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footer6.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footer7.xml" ContentType="application/vnd.openxmlformats-officedocument.wordprocessingml.footer+xml"/>
  <Override PartName="/word/header44.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6" Type="http://schemas.microsoft.com/office/2020/02/relationships/classificationlabels" Target="docMetadata/LabelInfo.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A47A7F" w14:textId="5DDD2BF1" w:rsidR="00FB70A8" w:rsidRPr="00BB1293" w:rsidRDefault="00FB70A8" w:rsidP="00C76D17">
      <w:pPr>
        <w:pStyle w:val="CoverTitle1"/>
      </w:pPr>
      <w:r w:rsidRPr="00BB1293">
        <w:t>Independe</w:t>
      </w:r>
      <w:r w:rsidR="00A04525" w:rsidRPr="00C76D17">
        <w:drawing>
          <wp:anchor distT="0" distB="0" distL="114300" distR="114300" simplePos="0" relativeHeight="251658247" behindDoc="1" locked="1" layoutInCell="1" allowOverlap="1" wp14:anchorId="33F8000F" wp14:editId="1F161939">
            <wp:simplePos x="0" y="0"/>
            <wp:positionH relativeFrom="page">
              <wp:align>left</wp:align>
            </wp:positionH>
            <wp:positionV relativeFrom="page">
              <wp:align>top</wp:align>
            </wp:positionV>
            <wp:extent cx="7559040" cy="10690225"/>
            <wp:effectExtent l="0" t="0" r="3810" b="0"/>
            <wp:wrapNone/>
            <wp:docPr id="119031290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312908" name="Graphic 1">
                      <a:extLst>
                        <a:ext uri="{C183D7F6-B498-43B3-948B-1728B52AA6E4}">
                          <adec:decorative xmlns:adec="http://schemas.microsoft.com/office/drawing/2017/decorative" val="1"/>
                        </a:ext>
                      </a:extLst>
                    </pic:cNvPr>
                    <pic:cNvPicPr/>
                  </pic:nvPicPr>
                  <pic:blipFill>
                    <a:blip r:embed="rId13">
                      <a:extLst>
                        <a:ext uri="{28A0092B-C50C-407E-A947-70E740481C1C}">
                          <a14:useLocalDpi xmlns:a14="http://schemas.microsoft.com/office/drawing/2010/main" val="0"/>
                        </a:ext>
                      </a:extLst>
                    </a:blip>
                    <a:stretch>
                      <a:fillRect/>
                    </a:stretch>
                  </pic:blipFill>
                  <pic:spPr>
                    <a:xfrm>
                      <a:off x="0" y="0"/>
                      <a:ext cx="7559040" cy="10690858"/>
                    </a:xfrm>
                    <a:prstGeom prst="rect">
                      <a:avLst/>
                    </a:prstGeom>
                  </pic:spPr>
                </pic:pic>
              </a:graphicData>
            </a:graphic>
            <wp14:sizeRelH relativeFrom="page">
              <wp14:pctWidth>0</wp14:pctWidth>
            </wp14:sizeRelH>
            <wp14:sizeRelV relativeFrom="page">
              <wp14:pctHeight>0</wp14:pctHeight>
            </wp14:sizeRelV>
          </wp:anchor>
        </w:drawing>
      </w:r>
      <w:r w:rsidRPr="00BB1293">
        <w:t xml:space="preserve">nt review of cancer prostheses equity in Australia </w:t>
      </w:r>
    </w:p>
    <w:p w14:paraId="5CCE20CA" w14:textId="77777777" w:rsidR="00FB70A8" w:rsidRPr="00EA0A4D" w:rsidRDefault="00FB70A8" w:rsidP="00EA0A4D">
      <w:pPr>
        <w:pStyle w:val="Covertitle2"/>
      </w:pPr>
      <w:r w:rsidRPr="00EA0A4D">
        <w:t xml:space="preserve">Final Review Report </w:t>
      </w:r>
    </w:p>
    <w:p w14:paraId="6ACCD94B" w14:textId="77777777" w:rsidR="00FB70A8" w:rsidRPr="00EA0A4D" w:rsidRDefault="00FB70A8" w:rsidP="00EA0A4D">
      <w:pPr>
        <w:pStyle w:val="Covertitle2"/>
      </w:pPr>
      <w:r w:rsidRPr="00EA0A4D">
        <w:t>Department of Health, Disability and Ageing</w:t>
      </w:r>
    </w:p>
    <w:p w14:paraId="3688CFDF" w14:textId="35784E4C" w:rsidR="00FB70A8" w:rsidRPr="00EA0A4D" w:rsidRDefault="00FB70A8" w:rsidP="00EA0A4D">
      <w:pPr>
        <w:pStyle w:val="Covertitle2"/>
      </w:pPr>
      <w:r w:rsidRPr="00EA0A4D">
        <w:t>2</w:t>
      </w:r>
      <w:r w:rsidR="00E73083" w:rsidRPr="00EA0A4D">
        <w:t>9</w:t>
      </w:r>
      <w:r w:rsidRPr="00EA0A4D">
        <w:t xml:space="preserve"> August 2025</w:t>
      </w:r>
    </w:p>
    <w:p w14:paraId="74F6C618" w14:textId="51854FD3" w:rsidR="00F94AB9" w:rsidRPr="0042443F" w:rsidRDefault="00F94AB9" w:rsidP="0042443F">
      <w:pPr>
        <w:sectPr w:rsidR="00F94AB9" w:rsidRPr="0042443F" w:rsidSect="00F709EB">
          <w:headerReference w:type="even" r:id="rId14"/>
          <w:headerReference w:type="default" r:id="rId15"/>
          <w:footerReference w:type="even" r:id="rId16"/>
          <w:footerReference w:type="default" r:id="rId17"/>
          <w:headerReference w:type="first" r:id="rId18"/>
          <w:footerReference w:type="first" r:id="rId19"/>
          <w:pgSz w:w="11906" w:h="16838"/>
          <w:pgMar w:top="4962" w:right="851" w:bottom="851" w:left="851" w:header="567" w:footer="284" w:gutter="0"/>
          <w:cols w:space="708"/>
          <w:docGrid w:linePitch="360"/>
        </w:sectPr>
      </w:pPr>
    </w:p>
    <w:p w14:paraId="10D6BEE0" w14:textId="026BE4C9" w:rsidR="00C63334" w:rsidRPr="00BB1293" w:rsidRDefault="00C63334" w:rsidP="00BB1293">
      <w:pPr>
        <w:pStyle w:val="Heading1AoCNoShow"/>
      </w:pPr>
      <w:r w:rsidRPr="00BB1293">
        <w:lastRenderedPageBreak/>
        <w:t>Acknowledgement of</w:t>
      </w:r>
      <w:r w:rsidR="00177810" w:rsidRPr="00BB1293">
        <w:t> </w:t>
      </w:r>
      <w:r w:rsidRPr="00BB1293">
        <w:t>Country</w:t>
      </w:r>
    </w:p>
    <w:p w14:paraId="19653F9D" w14:textId="663E97EC" w:rsidR="00C63334" w:rsidRPr="001D2613" w:rsidRDefault="00BB5425" w:rsidP="006E6752">
      <w:pPr>
        <w:pStyle w:val="AoCtext"/>
      </w:pPr>
      <w:r>
        <w:t>We acknowledge the</w:t>
      </w:r>
      <w:r w:rsidR="004D4C1B">
        <w:t xml:space="preserve"> </w:t>
      </w:r>
      <w:r w:rsidR="00C63334" w:rsidRPr="001D2613">
        <w:t>Abo</w:t>
      </w:r>
      <w:r w:rsidR="00C63334" w:rsidRPr="006E6752">
        <w:drawing>
          <wp:anchor distT="0" distB="0" distL="114300" distR="114300" simplePos="0" relativeHeight="251658251" behindDoc="1" locked="1" layoutInCell="1" allowOverlap="1" wp14:anchorId="115B24F0" wp14:editId="3A34EA82">
            <wp:simplePos x="0" y="0"/>
            <wp:positionH relativeFrom="page">
              <wp:align>left</wp:align>
            </wp:positionH>
            <wp:positionV relativeFrom="page">
              <wp:align>top</wp:align>
            </wp:positionV>
            <wp:extent cx="7581600" cy="10720800"/>
            <wp:effectExtent l="0" t="0" r="635" b="4445"/>
            <wp:wrapNone/>
            <wp:docPr id="1036074257" name="Picture 1036074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074257" name="Picture 1036074257">
                      <a:extLst>
                        <a:ext uri="{C183D7F6-B498-43B3-948B-1728B52AA6E4}">
                          <adec:decorative xmlns:adec="http://schemas.microsoft.com/office/drawing/2017/decorative" val="1"/>
                        </a:ext>
                      </a:extLst>
                    </pic:cNvPr>
                    <pic:cNvPicPr/>
                  </pic:nvPicPr>
                  <pic:blipFill>
                    <a:blip r:embed="rId20">
                      <a:extLst>
                        <a:ext uri="{28A0092B-C50C-407E-A947-70E740481C1C}">
                          <a14:useLocalDpi xmlns:a14="http://schemas.microsoft.com/office/drawing/2010/main" val="0"/>
                        </a:ext>
                      </a:extLst>
                    </a:blip>
                    <a:stretch>
                      <a:fillRect/>
                    </a:stretch>
                  </pic:blipFill>
                  <pic:spPr>
                    <a:xfrm>
                      <a:off x="0" y="0"/>
                      <a:ext cx="7581600" cy="10720800"/>
                    </a:xfrm>
                    <a:prstGeom prst="rect">
                      <a:avLst/>
                    </a:prstGeom>
                  </pic:spPr>
                </pic:pic>
              </a:graphicData>
            </a:graphic>
            <wp14:sizeRelH relativeFrom="margin">
              <wp14:pctWidth>0</wp14:pctWidth>
            </wp14:sizeRelH>
            <wp14:sizeRelV relativeFrom="margin">
              <wp14:pctHeight>0</wp14:pctHeight>
            </wp14:sizeRelV>
          </wp:anchor>
        </w:drawing>
      </w:r>
      <w:r w:rsidR="00C63334" w:rsidRPr="001D2613">
        <w:t xml:space="preserve">riginal and Torres Strait Islander peoples </w:t>
      </w:r>
      <w:r w:rsidR="004D4C1B">
        <w:t>are</w:t>
      </w:r>
      <w:r w:rsidR="00C63334" w:rsidRPr="001D2613">
        <w:t xml:space="preserve"> the First Peoples of Australia. We pay our respects to Elders past, present, and future as the Traditional Custodians of the land, water and skies of where we work.</w:t>
      </w:r>
    </w:p>
    <w:p w14:paraId="5C463244" w14:textId="2F49D2B5" w:rsidR="00C63334" w:rsidRPr="0042443F" w:rsidRDefault="004D4C1B" w:rsidP="0042443F">
      <w:r w:rsidRPr="0042443F">
        <w:t xml:space="preserve">Our </w:t>
      </w:r>
      <w:r w:rsidR="00C63334" w:rsidRPr="0042443F">
        <w:t xml:space="preserve">future is one where all Australians are united by a shared, honest, and complete understanding of our past, present, and future. We are committed to making this future a reality. Our story celebrates and acknowledges that the cultures, histories, rights, and voices of Aboriginal and Torres Strait Islander People are heard, understood, respected, and celebrated. </w:t>
      </w:r>
    </w:p>
    <w:p w14:paraId="0C033871" w14:textId="77777777" w:rsidR="00C63334" w:rsidRPr="0042443F" w:rsidRDefault="00C63334" w:rsidP="0042443F">
      <w:r w:rsidRPr="0042443F">
        <w:t xml:space="preserve">Australia’s First Peoples continue to hold distinctive cultural, spiritual, physical and economical relationships with their land, water and skies.  We take our obligations to the land and environments in which we operate seriously. </w:t>
      </w:r>
    </w:p>
    <w:p w14:paraId="72990371" w14:textId="77777777" w:rsidR="00C63334" w:rsidRPr="0042443F" w:rsidRDefault="00C63334" w:rsidP="0042443F">
      <w:r w:rsidRPr="0042443F">
        <w:t>We look forward to making our contribution towards a new future for Aboriginal and Torres Strait Islander peoples so that they can chart a strong future for themselves, their families and communities. We believe we can achieve much more together than we can apart.</w:t>
      </w:r>
    </w:p>
    <w:p w14:paraId="45A81D7A" w14:textId="02E7A03D" w:rsidR="00D955D8" w:rsidRPr="0042443F" w:rsidRDefault="00D955D8" w:rsidP="0042443F">
      <w:pPr>
        <w:sectPr w:rsidR="00D955D8" w:rsidRPr="0042443F" w:rsidSect="00D329BB">
          <w:pgSz w:w="11906" w:h="16838"/>
          <w:pgMar w:top="3119" w:right="1843" w:bottom="1418" w:left="1418" w:header="567" w:footer="284" w:gutter="0"/>
          <w:cols w:space="708"/>
          <w:docGrid w:linePitch="360"/>
        </w:sectPr>
      </w:pPr>
    </w:p>
    <w:p w14:paraId="6C5B3DDD" w14:textId="05D23F0B" w:rsidR="00034E0A" w:rsidRPr="00BB1293" w:rsidRDefault="00034E0A" w:rsidP="00BB1293">
      <w:pPr>
        <w:pStyle w:val="Heading1TOCNoShow"/>
      </w:pPr>
      <w:r w:rsidRPr="00BB1293">
        <w:t>Acknowledgement of</w:t>
      </w:r>
      <w:r w:rsidR="00177810" w:rsidRPr="00BB1293">
        <w:t> </w:t>
      </w:r>
      <w:r w:rsidRPr="00BB1293">
        <w:t xml:space="preserve">participation </w:t>
      </w:r>
      <w:r w:rsidR="008D0215" w:rsidRPr="00BB1293">
        <w:rPr>
          <w:noProof/>
        </w:rPr>
        <w:drawing>
          <wp:anchor distT="0" distB="0" distL="114300" distR="114300" simplePos="0" relativeHeight="251658250" behindDoc="1" locked="1" layoutInCell="1" allowOverlap="1" wp14:anchorId="01B222B7" wp14:editId="5117F50B">
            <wp:simplePos x="0" y="0"/>
            <wp:positionH relativeFrom="page">
              <wp:align>left</wp:align>
            </wp:positionH>
            <wp:positionV relativeFrom="page">
              <wp:align>top</wp:align>
            </wp:positionV>
            <wp:extent cx="7559040" cy="10691495"/>
            <wp:effectExtent l="0" t="0" r="3810" b="0"/>
            <wp:wrapNone/>
            <wp:docPr id="212713120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131201" name="Graphic 1">
                      <a:extLst>
                        <a:ext uri="{C183D7F6-B498-43B3-948B-1728B52AA6E4}">
                          <adec:decorative xmlns:adec="http://schemas.microsoft.com/office/drawing/2017/decorative" val="1"/>
                        </a:ext>
                      </a:extLst>
                    </pic:cNvPr>
                    <pic:cNvPicPr/>
                  </pic:nvPicPr>
                  <pic:blipFill>
                    <a:blip r:embed="rId21">
                      <a:extLst>
                        <a:ext uri="{28A0092B-C50C-407E-A947-70E740481C1C}">
                          <a14:useLocalDpi xmlns:a14="http://schemas.microsoft.com/office/drawing/2010/main" val="0"/>
                        </a:ext>
                      </a:extLst>
                    </a:blip>
                    <a:stretch>
                      <a:fillRect/>
                    </a:stretch>
                  </pic:blipFill>
                  <pic:spPr>
                    <a:xfrm>
                      <a:off x="0" y="0"/>
                      <a:ext cx="7559490" cy="10691495"/>
                    </a:xfrm>
                    <a:prstGeom prst="rect">
                      <a:avLst/>
                    </a:prstGeom>
                  </pic:spPr>
                </pic:pic>
              </a:graphicData>
            </a:graphic>
            <wp14:sizeRelH relativeFrom="page">
              <wp14:pctWidth>0</wp14:pctWidth>
            </wp14:sizeRelH>
            <wp14:sizeRelV relativeFrom="page">
              <wp14:pctHeight>0</wp14:pctHeight>
            </wp14:sizeRelV>
          </wp:anchor>
        </w:drawing>
      </w:r>
    </w:p>
    <w:p w14:paraId="39CA1BA5" w14:textId="66401B7A" w:rsidR="00034E0A" w:rsidRPr="0042443F" w:rsidRDefault="004D4C1B" w:rsidP="0042443F">
      <w:r w:rsidRPr="0042443F">
        <w:t>We</w:t>
      </w:r>
      <w:r w:rsidR="00034E0A" w:rsidRPr="0042443F" w:rsidDel="00364F85">
        <w:t xml:space="preserve"> </w:t>
      </w:r>
      <w:r w:rsidR="00034E0A" w:rsidRPr="0042443F">
        <w:t xml:space="preserve">would like to sincerely thank all participants who generously contributed their time to the consultation process for this review. </w:t>
      </w:r>
    </w:p>
    <w:p w14:paraId="50BC5B55" w14:textId="77777777" w:rsidR="00D14361" w:rsidRPr="0042443F" w:rsidRDefault="00034E0A" w:rsidP="0042443F">
      <w:pPr>
        <w:sectPr w:rsidR="00D14361" w:rsidRPr="0042443F" w:rsidSect="002531D3">
          <w:headerReference w:type="default" r:id="rId22"/>
          <w:pgSz w:w="11906" w:h="16838"/>
          <w:pgMar w:top="5245" w:right="2975" w:bottom="1418" w:left="851" w:header="567" w:footer="284" w:gutter="0"/>
          <w:cols w:space="708"/>
          <w:docGrid w:linePitch="360"/>
        </w:sectPr>
      </w:pPr>
      <w:r w:rsidRPr="0042443F">
        <w:t xml:space="preserve">Gaining the perspectives of a diverse range of stakeholders, including people with lived or living experience of cancer and their </w:t>
      </w:r>
      <w:proofErr w:type="spellStart"/>
      <w:r w:rsidRPr="0042443F">
        <w:t>carers</w:t>
      </w:r>
      <w:proofErr w:type="spellEnd"/>
      <w:r w:rsidRPr="0042443F">
        <w:t xml:space="preserve">, was invaluable in shaping this report and ensuring </w:t>
      </w:r>
      <w:r w:rsidR="004D18FC" w:rsidRPr="0042443F">
        <w:t xml:space="preserve">the review reflected </w:t>
      </w:r>
      <w:r w:rsidRPr="0042443F">
        <w:t>a broad and balanced range of views.</w:t>
      </w:r>
    </w:p>
    <w:p w14:paraId="6508BF1E" w14:textId="77777777" w:rsidR="00D14361" w:rsidRPr="0042443F" w:rsidRDefault="00D14361" w:rsidP="0042443F">
      <w:pPr>
        <w:rPr>
          <w:rStyle w:val="Strong"/>
        </w:rPr>
      </w:pPr>
      <w:r w:rsidRPr="0042443F">
        <w:drawing>
          <wp:anchor distT="0" distB="0" distL="114300" distR="114300" simplePos="0" relativeHeight="251658252" behindDoc="1" locked="1" layoutInCell="1" allowOverlap="1" wp14:anchorId="6C4A8A9B" wp14:editId="02B444B0">
            <wp:simplePos x="0" y="0"/>
            <wp:positionH relativeFrom="page">
              <wp:align>left</wp:align>
            </wp:positionH>
            <wp:positionV relativeFrom="page">
              <wp:align>top</wp:align>
            </wp:positionV>
            <wp:extent cx="7559675" cy="10692130"/>
            <wp:effectExtent l="0" t="0" r="3175" b="0"/>
            <wp:wrapNone/>
            <wp:docPr id="162795352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953520" name="Graphic 1">
                      <a:extLst>
                        <a:ext uri="{C183D7F6-B498-43B3-948B-1728B52AA6E4}">
                          <adec:decorative xmlns:adec="http://schemas.microsoft.com/office/drawing/2017/decorative" val="1"/>
                        </a:ext>
                      </a:extLst>
                    </pic:cNvPr>
                    <pic:cNvPicPr/>
                  </pic:nvPicPr>
                  <pic:blipFill>
                    <a:blip r:embed="rId23">
                      <a:extLst>
                        <a:ext uri="{28A0092B-C50C-407E-A947-70E740481C1C}">
                          <a14:useLocalDpi xmlns:a14="http://schemas.microsoft.com/office/drawing/2010/main" val="0"/>
                        </a:ext>
                      </a:extLst>
                    </a:blip>
                    <a:stretch>
                      <a:fillRect/>
                    </a:stretch>
                  </pic:blipFill>
                  <pic:spPr>
                    <a:xfrm>
                      <a:off x="0" y="0"/>
                      <a:ext cx="7560000" cy="10692215"/>
                    </a:xfrm>
                    <a:prstGeom prst="rect">
                      <a:avLst/>
                    </a:prstGeom>
                  </pic:spPr>
                </pic:pic>
              </a:graphicData>
            </a:graphic>
            <wp14:sizeRelH relativeFrom="margin">
              <wp14:pctWidth>0</wp14:pctWidth>
            </wp14:sizeRelH>
            <wp14:sizeRelV relativeFrom="margin">
              <wp14:pctHeight>0</wp14:pctHeight>
            </wp14:sizeRelV>
          </wp:anchor>
        </w:drawing>
      </w:r>
      <w:r>
        <w:rPr>
          <w:b/>
          <w:bCs/>
        </w:rPr>
        <w:t>Inherent limitations</w:t>
      </w:r>
    </w:p>
    <w:p w14:paraId="1B98C9AD" w14:textId="77777777" w:rsidR="00D14361" w:rsidRPr="0042443F" w:rsidRDefault="00D14361" w:rsidP="0042443F">
      <w:r w:rsidRPr="0042443F">
        <w:t xml:space="preserve">This report has been prepared as outlined with the Australian Government Department of Health, Disability and Ageing in the scope section of the engagement letter / contract executed on 3 March 2025. The services provided in connection with this engagement comprise an advisory engagement, which is not subject to assurance or other standards issued by the Australian Auditing and Assurance Standards Board and, consequently no opinions or conclusions intended to convey assurance have been expressed. </w:t>
      </w:r>
    </w:p>
    <w:p w14:paraId="4F7DBB47" w14:textId="77777777" w:rsidR="00D14361" w:rsidRPr="0042443F" w:rsidRDefault="00D14361" w:rsidP="0042443F">
      <w:r w:rsidRPr="0042443F">
        <w:t>No warranty of completeness, accuracy or reliability is given in relation to the statements and representations made by, and the information and documentation provided by Australian Government Department of Health, Disability and Ageing stakeholders consulted as part of the process.</w:t>
      </w:r>
    </w:p>
    <w:p w14:paraId="25866CEF" w14:textId="77777777" w:rsidR="00D14361" w:rsidRPr="0042443F" w:rsidRDefault="00D14361" w:rsidP="0042443F">
      <w:r w:rsidRPr="0042443F">
        <w:t>KPMG has indicated within this report the sources of the information provided. We have not sought to independently verify those sources unless otherwise noted within the report.</w:t>
      </w:r>
    </w:p>
    <w:p w14:paraId="310DD402" w14:textId="77777777" w:rsidR="00D14361" w:rsidRPr="0042443F" w:rsidRDefault="00D14361" w:rsidP="0042443F">
      <w:r w:rsidRPr="0042443F">
        <w:t>KPMG is under no obligation in any circumstance to update this report in either oral or written form, for events occurring after the report has been issued in final form.</w:t>
      </w:r>
    </w:p>
    <w:p w14:paraId="7A8B19A1" w14:textId="77777777" w:rsidR="00D14361" w:rsidRPr="0042443F" w:rsidRDefault="00D14361" w:rsidP="0042443F">
      <w:pPr>
        <w:rPr>
          <w:rStyle w:val="Strong"/>
        </w:rPr>
      </w:pPr>
      <w:r w:rsidRPr="0042443F">
        <w:rPr>
          <w:rStyle w:val="Strong"/>
        </w:rPr>
        <w:t>Notice to third parties</w:t>
      </w:r>
    </w:p>
    <w:p w14:paraId="45632B93" w14:textId="77777777" w:rsidR="00D14361" w:rsidRPr="0042443F" w:rsidRDefault="00D14361" w:rsidP="0042443F">
      <w:r w:rsidRPr="0042443F">
        <w:t xml:space="preserve">This report is solely for the purpose set out in the Statement of Work in the Order for Service and for the Department of Health, Disability and Ageing’s information, and is not to be used for any purpose not contemplated in the engagement letter / contract or to be distributed to any third party without KPMG’s prior written consent.  </w:t>
      </w:r>
    </w:p>
    <w:p w14:paraId="088B8A6F" w14:textId="77777777" w:rsidR="00D14361" w:rsidRPr="0042443F" w:rsidRDefault="00D14361" w:rsidP="0042443F">
      <w:r w:rsidRPr="0042443F">
        <w:t>This report has been prepared at the request of the Department of Health, Disability and Ageing in accordance with the terms of KPMG’s engagement letter/contract executed on 3 March 2025. Other than our responsibility to the Department of Health, Disability and Ageing, neither KPMG nor any member or employee of KPMG undertakes responsibility arising in any way from reliance placed by a third party on this report.  Any reliance placed is that party’s sole responsibility.</w:t>
      </w:r>
    </w:p>
    <w:p w14:paraId="3CD5318F" w14:textId="77777777" w:rsidR="008C2360" w:rsidRPr="0042443F" w:rsidRDefault="008C2360" w:rsidP="0042443F">
      <w:pPr>
        <w:rPr>
          <w:rStyle w:val="Strong"/>
        </w:rPr>
      </w:pPr>
      <w:r w:rsidRPr="0042443F">
        <w:rPr>
          <w:rStyle w:val="Strong"/>
        </w:rPr>
        <w:t>Accessibility</w:t>
      </w:r>
    </w:p>
    <w:p w14:paraId="59DB1AB5" w14:textId="77777777" w:rsidR="008C2360" w:rsidRPr="0042443F" w:rsidRDefault="008C2360" w:rsidP="0042443F">
      <w:r w:rsidRPr="0042443F">
        <w:t>To comply with the Commonwealth Government’s accessibility requirements for publishing on the internet, two versions of this Report are available: a KPMG-branded PDF version and an unbranded Microsoft </w:t>
      </w:r>
      <w:proofErr w:type="gramStart"/>
      <w:r w:rsidRPr="0042443F">
        <w:t>Word  version</w:t>
      </w:r>
      <w:proofErr w:type="gramEnd"/>
      <w:r w:rsidRPr="0042443F">
        <w:t>. The KPMG-branded PDF version of this Report remains the definitive version of this Report.</w:t>
      </w:r>
    </w:p>
    <w:p w14:paraId="5BFABA98" w14:textId="77777777" w:rsidR="008C2360" w:rsidRPr="0042443F" w:rsidRDefault="008C2360" w:rsidP="0042443F"/>
    <w:p w14:paraId="42A4DEC0" w14:textId="6E4D3B60" w:rsidR="00034E0A" w:rsidRPr="0042443F" w:rsidRDefault="00034E0A" w:rsidP="0042443F">
      <w:pPr>
        <w:sectPr w:rsidR="00034E0A" w:rsidRPr="0042443F" w:rsidSect="00432B23">
          <w:pgSz w:w="11906" w:h="16838"/>
          <w:pgMar w:top="4537" w:right="424" w:bottom="1418" w:left="851" w:header="567" w:footer="284" w:gutter="0"/>
          <w:cols w:space="708"/>
          <w:docGrid w:linePitch="360"/>
        </w:sectPr>
      </w:pPr>
    </w:p>
    <w:p w14:paraId="63E27D58" w14:textId="3985B2A6" w:rsidR="00C34053" w:rsidRPr="00273AFB" w:rsidRDefault="00630B86" w:rsidP="00BB1293">
      <w:pPr>
        <w:pStyle w:val="Heading1TOCNoShow"/>
      </w:pPr>
      <w:r w:rsidRPr="00273AFB">
        <w:t>C</w:t>
      </w:r>
      <w:r w:rsidR="00C34053" w:rsidRPr="00273AFB">
        <w:t>ontents</w:t>
      </w:r>
    </w:p>
    <w:p w14:paraId="7B562648" w14:textId="49DC2472" w:rsidR="00326544" w:rsidRDefault="00FC2EAE" w:rsidP="000B62E6">
      <w:pPr>
        <w:pStyle w:val="TOC1"/>
        <w:tabs>
          <w:tab w:val="clear" w:pos="9060"/>
          <w:tab w:val="right" w:leader="dot" w:pos="10204"/>
        </w:tabs>
        <w:rPr>
          <w:rFonts w:eastAsiaTheme="minorEastAsia"/>
          <w:b w:val="0"/>
          <w:color w:val="auto"/>
          <w:kern w:val="2"/>
          <w:sz w:val="24"/>
          <w:szCs w:val="24"/>
          <w:lang w:eastAsia="en-AU"/>
          <w14:ligatures w14:val="standardContextual"/>
        </w:rPr>
      </w:pPr>
      <w:r>
        <w:rPr>
          <w:b w:val="0"/>
        </w:rPr>
        <w:fldChar w:fldCharType="begin"/>
      </w:r>
      <w:r>
        <w:rPr>
          <w:b w:val="0"/>
        </w:rPr>
        <w:instrText xml:space="preserve"> TOC \o "1-2" \h \z \u </w:instrText>
      </w:r>
      <w:r>
        <w:rPr>
          <w:b w:val="0"/>
        </w:rPr>
        <w:fldChar w:fldCharType="separate"/>
      </w:r>
      <w:hyperlink w:anchor="_Toc207348725" w:history="1">
        <w:r w:rsidR="00326544" w:rsidRPr="001F7904">
          <w:rPr>
            <w:rStyle w:val="Hyperlink"/>
          </w:rPr>
          <w:t>Executive summary</w:t>
        </w:r>
        <w:r w:rsidR="00326544">
          <w:rPr>
            <w:webHidden/>
          </w:rPr>
          <w:tab/>
        </w:r>
        <w:r w:rsidR="00326544">
          <w:rPr>
            <w:webHidden/>
          </w:rPr>
          <w:fldChar w:fldCharType="begin"/>
        </w:r>
        <w:r w:rsidR="00326544">
          <w:rPr>
            <w:webHidden/>
          </w:rPr>
          <w:instrText xml:space="preserve"> PAGEREF _Toc207348725 \h </w:instrText>
        </w:r>
        <w:r w:rsidR="00326544">
          <w:rPr>
            <w:webHidden/>
          </w:rPr>
        </w:r>
        <w:r w:rsidR="00326544">
          <w:rPr>
            <w:webHidden/>
          </w:rPr>
          <w:fldChar w:fldCharType="separate"/>
        </w:r>
        <w:r w:rsidR="00D1685C">
          <w:rPr>
            <w:webHidden/>
          </w:rPr>
          <w:t>12</w:t>
        </w:r>
        <w:r w:rsidR="00326544">
          <w:rPr>
            <w:webHidden/>
          </w:rPr>
          <w:fldChar w:fldCharType="end"/>
        </w:r>
      </w:hyperlink>
    </w:p>
    <w:p w14:paraId="330793B7" w14:textId="726B2DBF" w:rsidR="00326544" w:rsidRDefault="00326544" w:rsidP="000B62E6">
      <w:pPr>
        <w:pStyle w:val="TOC2"/>
        <w:tabs>
          <w:tab w:val="clear" w:pos="9060"/>
          <w:tab w:val="right" w:leader="dot" w:pos="10204"/>
        </w:tabs>
        <w:rPr>
          <w:rFonts w:eastAsiaTheme="minorEastAsia"/>
          <w:color w:val="auto"/>
          <w:kern w:val="2"/>
          <w:sz w:val="24"/>
          <w:szCs w:val="24"/>
          <w:lang w:eastAsia="en-AU"/>
          <w14:ligatures w14:val="standardContextual"/>
        </w:rPr>
      </w:pPr>
      <w:hyperlink w:anchor="_Toc207348726" w:history="1">
        <w:r w:rsidRPr="001F7904">
          <w:rPr>
            <w:rStyle w:val="Hyperlink"/>
          </w:rPr>
          <w:t>Background</w:t>
        </w:r>
        <w:r>
          <w:rPr>
            <w:webHidden/>
          </w:rPr>
          <w:tab/>
        </w:r>
        <w:r>
          <w:rPr>
            <w:webHidden/>
          </w:rPr>
          <w:fldChar w:fldCharType="begin"/>
        </w:r>
        <w:r>
          <w:rPr>
            <w:webHidden/>
          </w:rPr>
          <w:instrText xml:space="preserve"> PAGEREF _Toc207348726 \h </w:instrText>
        </w:r>
        <w:r>
          <w:rPr>
            <w:webHidden/>
          </w:rPr>
        </w:r>
        <w:r>
          <w:rPr>
            <w:webHidden/>
          </w:rPr>
          <w:fldChar w:fldCharType="separate"/>
        </w:r>
        <w:r w:rsidR="00D1685C">
          <w:rPr>
            <w:webHidden/>
          </w:rPr>
          <w:t>12</w:t>
        </w:r>
        <w:r>
          <w:rPr>
            <w:webHidden/>
          </w:rPr>
          <w:fldChar w:fldCharType="end"/>
        </w:r>
      </w:hyperlink>
    </w:p>
    <w:p w14:paraId="44BA9B30" w14:textId="5E4FED15" w:rsidR="00326544" w:rsidRDefault="00326544" w:rsidP="000B62E6">
      <w:pPr>
        <w:pStyle w:val="TOC2"/>
        <w:tabs>
          <w:tab w:val="clear" w:pos="9060"/>
          <w:tab w:val="right" w:leader="dot" w:pos="10204"/>
        </w:tabs>
        <w:rPr>
          <w:rFonts w:eastAsiaTheme="minorEastAsia"/>
          <w:color w:val="auto"/>
          <w:kern w:val="2"/>
          <w:sz w:val="24"/>
          <w:szCs w:val="24"/>
          <w:lang w:eastAsia="en-AU"/>
          <w14:ligatures w14:val="standardContextual"/>
        </w:rPr>
      </w:pPr>
      <w:hyperlink w:anchor="_Toc207348727" w:history="1">
        <w:r w:rsidRPr="001F7904">
          <w:rPr>
            <w:rStyle w:val="Hyperlink"/>
          </w:rPr>
          <w:t>Review purpose and scope</w:t>
        </w:r>
        <w:r>
          <w:rPr>
            <w:webHidden/>
          </w:rPr>
          <w:tab/>
        </w:r>
        <w:r>
          <w:rPr>
            <w:webHidden/>
          </w:rPr>
          <w:fldChar w:fldCharType="begin"/>
        </w:r>
        <w:r>
          <w:rPr>
            <w:webHidden/>
          </w:rPr>
          <w:instrText xml:space="preserve"> PAGEREF _Toc207348727 \h </w:instrText>
        </w:r>
        <w:r>
          <w:rPr>
            <w:webHidden/>
          </w:rPr>
        </w:r>
        <w:r>
          <w:rPr>
            <w:webHidden/>
          </w:rPr>
          <w:fldChar w:fldCharType="separate"/>
        </w:r>
        <w:r w:rsidR="00D1685C">
          <w:rPr>
            <w:webHidden/>
          </w:rPr>
          <w:t>12</w:t>
        </w:r>
        <w:r>
          <w:rPr>
            <w:webHidden/>
          </w:rPr>
          <w:fldChar w:fldCharType="end"/>
        </w:r>
      </w:hyperlink>
    </w:p>
    <w:p w14:paraId="45E053C2" w14:textId="7F201740" w:rsidR="00326544" w:rsidRDefault="00326544" w:rsidP="000B62E6">
      <w:pPr>
        <w:pStyle w:val="TOC2"/>
        <w:tabs>
          <w:tab w:val="clear" w:pos="9060"/>
          <w:tab w:val="right" w:leader="dot" w:pos="10204"/>
        </w:tabs>
        <w:rPr>
          <w:rFonts w:eastAsiaTheme="minorEastAsia"/>
          <w:color w:val="auto"/>
          <w:kern w:val="2"/>
          <w:sz w:val="24"/>
          <w:szCs w:val="24"/>
          <w:lang w:eastAsia="en-AU"/>
          <w14:ligatures w14:val="standardContextual"/>
        </w:rPr>
      </w:pPr>
      <w:hyperlink w:anchor="_Toc207348728" w:history="1">
        <w:r w:rsidRPr="001F7904">
          <w:rPr>
            <w:rStyle w:val="Hyperlink"/>
          </w:rPr>
          <w:t>Review methodology</w:t>
        </w:r>
        <w:r>
          <w:rPr>
            <w:webHidden/>
          </w:rPr>
          <w:tab/>
        </w:r>
        <w:r>
          <w:rPr>
            <w:webHidden/>
          </w:rPr>
          <w:fldChar w:fldCharType="begin"/>
        </w:r>
        <w:r>
          <w:rPr>
            <w:webHidden/>
          </w:rPr>
          <w:instrText xml:space="preserve"> PAGEREF _Toc207348728 \h </w:instrText>
        </w:r>
        <w:r>
          <w:rPr>
            <w:webHidden/>
          </w:rPr>
        </w:r>
        <w:r>
          <w:rPr>
            <w:webHidden/>
          </w:rPr>
          <w:fldChar w:fldCharType="separate"/>
        </w:r>
        <w:r w:rsidR="00D1685C">
          <w:rPr>
            <w:webHidden/>
          </w:rPr>
          <w:t>13</w:t>
        </w:r>
        <w:r>
          <w:rPr>
            <w:webHidden/>
          </w:rPr>
          <w:fldChar w:fldCharType="end"/>
        </w:r>
      </w:hyperlink>
    </w:p>
    <w:p w14:paraId="49FA12B7" w14:textId="2EE01591" w:rsidR="00326544" w:rsidRDefault="00326544" w:rsidP="000B62E6">
      <w:pPr>
        <w:pStyle w:val="TOC2"/>
        <w:tabs>
          <w:tab w:val="clear" w:pos="9060"/>
          <w:tab w:val="right" w:leader="dot" w:pos="10204"/>
        </w:tabs>
        <w:rPr>
          <w:rFonts w:eastAsiaTheme="minorEastAsia"/>
          <w:color w:val="auto"/>
          <w:kern w:val="2"/>
          <w:sz w:val="24"/>
          <w:szCs w:val="24"/>
          <w:lang w:eastAsia="en-AU"/>
          <w14:ligatures w14:val="standardContextual"/>
        </w:rPr>
      </w:pPr>
      <w:hyperlink w:anchor="_Toc207348729" w:history="1">
        <w:r w:rsidRPr="001F7904">
          <w:rPr>
            <w:rStyle w:val="Hyperlink"/>
          </w:rPr>
          <w:t>Review findings</w:t>
        </w:r>
        <w:r>
          <w:rPr>
            <w:webHidden/>
          </w:rPr>
          <w:tab/>
        </w:r>
        <w:r>
          <w:rPr>
            <w:webHidden/>
          </w:rPr>
          <w:fldChar w:fldCharType="begin"/>
        </w:r>
        <w:r>
          <w:rPr>
            <w:webHidden/>
          </w:rPr>
          <w:instrText xml:space="preserve"> PAGEREF _Toc207348729 \h </w:instrText>
        </w:r>
        <w:r>
          <w:rPr>
            <w:webHidden/>
          </w:rPr>
        </w:r>
        <w:r>
          <w:rPr>
            <w:webHidden/>
          </w:rPr>
          <w:fldChar w:fldCharType="separate"/>
        </w:r>
        <w:r w:rsidR="00D1685C">
          <w:rPr>
            <w:webHidden/>
          </w:rPr>
          <w:t>13</w:t>
        </w:r>
        <w:r>
          <w:rPr>
            <w:webHidden/>
          </w:rPr>
          <w:fldChar w:fldCharType="end"/>
        </w:r>
      </w:hyperlink>
    </w:p>
    <w:p w14:paraId="19ACDD23" w14:textId="3DCD13A8" w:rsidR="00326544" w:rsidRDefault="00326544" w:rsidP="000B62E6">
      <w:pPr>
        <w:pStyle w:val="TOC1"/>
        <w:tabs>
          <w:tab w:val="clear" w:pos="9060"/>
          <w:tab w:val="left" w:pos="600"/>
          <w:tab w:val="right" w:leader="dot" w:pos="10204"/>
        </w:tabs>
        <w:rPr>
          <w:rFonts w:eastAsiaTheme="minorEastAsia"/>
          <w:b w:val="0"/>
          <w:color w:val="auto"/>
          <w:kern w:val="2"/>
          <w:sz w:val="24"/>
          <w:szCs w:val="24"/>
          <w:lang w:eastAsia="en-AU"/>
          <w14:ligatures w14:val="standardContextual"/>
        </w:rPr>
      </w:pPr>
      <w:hyperlink w:anchor="_Toc207348730" w:history="1">
        <w:r w:rsidRPr="001F7904">
          <w:rPr>
            <w:rStyle w:val="Hyperlink"/>
          </w:rPr>
          <w:t>1</w:t>
        </w:r>
        <w:r>
          <w:rPr>
            <w:rFonts w:eastAsiaTheme="minorEastAsia"/>
            <w:b w:val="0"/>
            <w:color w:val="auto"/>
            <w:kern w:val="2"/>
            <w:sz w:val="24"/>
            <w:szCs w:val="24"/>
            <w:lang w:eastAsia="en-AU"/>
            <w14:ligatures w14:val="standardContextual"/>
          </w:rPr>
          <w:tab/>
        </w:r>
        <w:r w:rsidRPr="001F7904">
          <w:rPr>
            <w:rStyle w:val="Hyperlink"/>
          </w:rPr>
          <w:t>Introduction</w:t>
        </w:r>
        <w:r>
          <w:rPr>
            <w:webHidden/>
          </w:rPr>
          <w:tab/>
        </w:r>
        <w:r>
          <w:rPr>
            <w:webHidden/>
          </w:rPr>
          <w:fldChar w:fldCharType="begin"/>
        </w:r>
        <w:r>
          <w:rPr>
            <w:webHidden/>
          </w:rPr>
          <w:instrText xml:space="preserve"> PAGEREF _Toc207348730 \h </w:instrText>
        </w:r>
        <w:r>
          <w:rPr>
            <w:webHidden/>
          </w:rPr>
        </w:r>
        <w:r>
          <w:rPr>
            <w:webHidden/>
          </w:rPr>
          <w:fldChar w:fldCharType="separate"/>
        </w:r>
        <w:r w:rsidR="00D1685C">
          <w:rPr>
            <w:webHidden/>
          </w:rPr>
          <w:t>21</w:t>
        </w:r>
        <w:r>
          <w:rPr>
            <w:webHidden/>
          </w:rPr>
          <w:fldChar w:fldCharType="end"/>
        </w:r>
      </w:hyperlink>
    </w:p>
    <w:p w14:paraId="17AC3559" w14:textId="5BDF3DB6"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31" w:history="1">
        <w:r w:rsidRPr="001F7904">
          <w:rPr>
            <w:rStyle w:val="Hyperlink"/>
          </w:rPr>
          <w:t>1.1</w:t>
        </w:r>
        <w:r>
          <w:rPr>
            <w:rFonts w:eastAsiaTheme="minorEastAsia"/>
            <w:color w:val="auto"/>
            <w:kern w:val="2"/>
            <w:sz w:val="24"/>
            <w:szCs w:val="24"/>
            <w:lang w:eastAsia="en-AU"/>
            <w14:ligatures w14:val="standardContextual"/>
          </w:rPr>
          <w:tab/>
        </w:r>
        <w:r w:rsidRPr="001F7904">
          <w:rPr>
            <w:rStyle w:val="Hyperlink"/>
          </w:rPr>
          <w:t>Background</w:t>
        </w:r>
        <w:r>
          <w:rPr>
            <w:webHidden/>
          </w:rPr>
          <w:tab/>
        </w:r>
        <w:r>
          <w:rPr>
            <w:webHidden/>
          </w:rPr>
          <w:fldChar w:fldCharType="begin"/>
        </w:r>
        <w:r>
          <w:rPr>
            <w:webHidden/>
          </w:rPr>
          <w:instrText xml:space="preserve"> PAGEREF _Toc207348731 \h </w:instrText>
        </w:r>
        <w:r>
          <w:rPr>
            <w:webHidden/>
          </w:rPr>
        </w:r>
        <w:r>
          <w:rPr>
            <w:webHidden/>
          </w:rPr>
          <w:fldChar w:fldCharType="separate"/>
        </w:r>
        <w:r w:rsidR="00D1685C">
          <w:rPr>
            <w:webHidden/>
          </w:rPr>
          <w:t>21</w:t>
        </w:r>
        <w:r>
          <w:rPr>
            <w:webHidden/>
          </w:rPr>
          <w:fldChar w:fldCharType="end"/>
        </w:r>
      </w:hyperlink>
    </w:p>
    <w:p w14:paraId="4487628F" w14:textId="736357AF"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32" w:history="1">
        <w:r w:rsidRPr="001F7904">
          <w:rPr>
            <w:rStyle w:val="Hyperlink"/>
          </w:rPr>
          <w:t>1.2</w:t>
        </w:r>
        <w:r>
          <w:rPr>
            <w:rFonts w:eastAsiaTheme="minorEastAsia"/>
            <w:color w:val="auto"/>
            <w:kern w:val="2"/>
            <w:sz w:val="24"/>
            <w:szCs w:val="24"/>
            <w:lang w:eastAsia="en-AU"/>
            <w14:ligatures w14:val="standardContextual"/>
          </w:rPr>
          <w:tab/>
        </w:r>
        <w:r w:rsidRPr="001F7904">
          <w:rPr>
            <w:rStyle w:val="Hyperlink"/>
          </w:rPr>
          <w:t>Purpose of this review</w:t>
        </w:r>
        <w:r>
          <w:rPr>
            <w:webHidden/>
          </w:rPr>
          <w:tab/>
        </w:r>
        <w:r>
          <w:rPr>
            <w:webHidden/>
          </w:rPr>
          <w:fldChar w:fldCharType="begin"/>
        </w:r>
        <w:r>
          <w:rPr>
            <w:webHidden/>
          </w:rPr>
          <w:instrText xml:space="preserve"> PAGEREF _Toc207348732 \h </w:instrText>
        </w:r>
        <w:r>
          <w:rPr>
            <w:webHidden/>
          </w:rPr>
        </w:r>
        <w:r>
          <w:rPr>
            <w:webHidden/>
          </w:rPr>
          <w:fldChar w:fldCharType="separate"/>
        </w:r>
        <w:r w:rsidR="00D1685C">
          <w:rPr>
            <w:webHidden/>
          </w:rPr>
          <w:t>22</w:t>
        </w:r>
        <w:r>
          <w:rPr>
            <w:webHidden/>
          </w:rPr>
          <w:fldChar w:fldCharType="end"/>
        </w:r>
      </w:hyperlink>
    </w:p>
    <w:p w14:paraId="18DCEFE1" w14:textId="01EF7FA1"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33" w:history="1">
        <w:r w:rsidRPr="001F7904">
          <w:rPr>
            <w:rStyle w:val="Hyperlink"/>
          </w:rPr>
          <w:t>1.3</w:t>
        </w:r>
        <w:r>
          <w:rPr>
            <w:rFonts w:eastAsiaTheme="minorEastAsia"/>
            <w:color w:val="auto"/>
            <w:kern w:val="2"/>
            <w:sz w:val="24"/>
            <w:szCs w:val="24"/>
            <w:lang w:eastAsia="en-AU"/>
            <w14:ligatures w14:val="standardContextual"/>
          </w:rPr>
          <w:tab/>
        </w:r>
        <w:r w:rsidRPr="001F7904">
          <w:rPr>
            <w:rStyle w:val="Hyperlink"/>
          </w:rPr>
          <w:t>Review methodology</w:t>
        </w:r>
        <w:r>
          <w:rPr>
            <w:webHidden/>
          </w:rPr>
          <w:tab/>
        </w:r>
        <w:r>
          <w:rPr>
            <w:webHidden/>
          </w:rPr>
          <w:fldChar w:fldCharType="begin"/>
        </w:r>
        <w:r>
          <w:rPr>
            <w:webHidden/>
          </w:rPr>
          <w:instrText xml:space="preserve"> PAGEREF _Toc207348733 \h </w:instrText>
        </w:r>
        <w:r>
          <w:rPr>
            <w:webHidden/>
          </w:rPr>
        </w:r>
        <w:r>
          <w:rPr>
            <w:webHidden/>
          </w:rPr>
          <w:fldChar w:fldCharType="separate"/>
        </w:r>
        <w:r w:rsidR="00D1685C">
          <w:rPr>
            <w:webHidden/>
          </w:rPr>
          <w:t>22</w:t>
        </w:r>
        <w:r>
          <w:rPr>
            <w:webHidden/>
          </w:rPr>
          <w:fldChar w:fldCharType="end"/>
        </w:r>
      </w:hyperlink>
    </w:p>
    <w:p w14:paraId="6EEB3BBD" w14:textId="382135D6"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34" w:history="1">
        <w:r w:rsidRPr="001F7904">
          <w:rPr>
            <w:rStyle w:val="Hyperlink"/>
          </w:rPr>
          <w:t>1.4</w:t>
        </w:r>
        <w:r>
          <w:rPr>
            <w:rFonts w:eastAsiaTheme="minorEastAsia"/>
            <w:color w:val="auto"/>
            <w:kern w:val="2"/>
            <w:sz w:val="24"/>
            <w:szCs w:val="24"/>
            <w:lang w:eastAsia="en-AU"/>
            <w14:ligatures w14:val="standardContextual"/>
          </w:rPr>
          <w:tab/>
        </w:r>
        <w:r w:rsidRPr="001F7904">
          <w:rPr>
            <w:rStyle w:val="Hyperlink"/>
          </w:rPr>
          <w:t>Review scope</w:t>
        </w:r>
        <w:r>
          <w:rPr>
            <w:webHidden/>
          </w:rPr>
          <w:tab/>
        </w:r>
        <w:r>
          <w:rPr>
            <w:webHidden/>
          </w:rPr>
          <w:fldChar w:fldCharType="begin"/>
        </w:r>
        <w:r>
          <w:rPr>
            <w:webHidden/>
          </w:rPr>
          <w:instrText xml:space="preserve"> PAGEREF _Toc207348734 \h </w:instrText>
        </w:r>
        <w:r>
          <w:rPr>
            <w:webHidden/>
          </w:rPr>
        </w:r>
        <w:r>
          <w:rPr>
            <w:webHidden/>
          </w:rPr>
          <w:fldChar w:fldCharType="separate"/>
        </w:r>
        <w:r w:rsidR="00D1685C">
          <w:rPr>
            <w:webHidden/>
          </w:rPr>
          <w:t>24</w:t>
        </w:r>
        <w:r>
          <w:rPr>
            <w:webHidden/>
          </w:rPr>
          <w:fldChar w:fldCharType="end"/>
        </w:r>
      </w:hyperlink>
    </w:p>
    <w:p w14:paraId="515FB9EB" w14:textId="2D45C60D"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35" w:history="1">
        <w:r w:rsidRPr="001F7904">
          <w:rPr>
            <w:rStyle w:val="Hyperlink"/>
          </w:rPr>
          <w:t>1.5</w:t>
        </w:r>
        <w:r>
          <w:rPr>
            <w:rFonts w:eastAsiaTheme="minorEastAsia"/>
            <w:color w:val="auto"/>
            <w:kern w:val="2"/>
            <w:sz w:val="24"/>
            <w:szCs w:val="24"/>
            <w:lang w:eastAsia="en-AU"/>
            <w14:ligatures w14:val="standardContextual"/>
          </w:rPr>
          <w:tab/>
        </w:r>
        <w:r w:rsidRPr="001F7904">
          <w:rPr>
            <w:rStyle w:val="Hyperlink"/>
          </w:rPr>
          <w:t>Limitations of this review</w:t>
        </w:r>
        <w:r>
          <w:rPr>
            <w:webHidden/>
          </w:rPr>
          <w:tab/>
        </w:r>
        <w:r>
          <w:rPr>
            <w:webHidden/>
          </w:rPr>
          <w:fldChar w:fldCharType="begin"/>
        </w:r>
        <w:r>
          <w:rPr>
            <w:webHidden/>
          </w:rPr>
          <w:instrText xml:space="preserve"> PAGEREF _Toc207348735 \h </w:instrText>
        </w:r>
        <w:r>
          <w:rPr>
            <w:webHidden/>
          </w:rPr>
        </w:r>
        <w:r>
          <w:rPr>
            <w:webHidden/>
          </w:rPr>
          <w:fldChar w:fldCharType="separate"/>
        </w:r>
        <w:r w:rsidR="00D1685C">
          <w:rPr>
            <w:webHidden/>
          </w:rPr>
          <w:t>26</w:t>
        </w:r>
        <w:r>
          <w:rPr>
            <w:webHidden/>
          </w:rPr>
          <w:fldChar w:fldCharType="end"/>
        </w:r>
      </w:hyperlink>
    </w:p>
    <w:p w14:paraId="606C5ABD" w14:textId="10C39914"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36" w:history="1">
        <w:r w:rsidRPr="001F7904">
          <w:rPr>
            <w:rStyle w:val="Hyperlink"/>
          </w:rPr>
          <w:t>1.6</w:t>
        </w:r>
        <w:r>
          <w:rPr>
            <w:rFonts w:eastAsiaTheme="minorEastAsia"/>
            <w:color w:val="auto"/>
            <w:kern w:val="2"/>
            <w:sz w:val="24"/>
            <w:szCs w:val="24"/>
            <w:lang w:eastAsia="en-AU"/>
            <w14:ligatures w14:val="standardContextual"/>
          </w:rPr>
          <w:tab/>
        </w:r>
        <w:r w:rsidRPr="001F7904">
          <w:rPr>
            <w:rStyle w:val="Hyperlink"/>
          </w:rPr>
          <w:t>Structure of this report</w:t>
        </w:r>
        <w:r>
          <w:rPr>
            <w:webHidden/>
          </w:rPr>
          <w:tab/>
        </w:r>
        <w:r>
          <w:rPr>
            <w:webHidden/>
          </w:rPr>
          <w:fldChar w:fldCharType="begin"/>
        </w:r>
        <w:r>
          <w:rPr>
            <w:webHidden/>
          </w:rPr>
          <w:instrText xml:space="preserve"> PAGEREF _Toc207348736 \h </w:instrText>
        </w:r>
        <w:r>
          <w:rPr>
            <w:webHidden/>
          </w:rPr>
        </w:r>
        <w:r>
          <w:rPr>
            <w:webHidden/>
          </w:rPr>
          <w:fldChar w:fldCharType="separate"/>
        </w:r>
        <w:r w:rsidR="00D1685C">
          <w:rPr>
            <w:webHidden/>
          </w:rPr>
          <w:t>27</w:t>
        </w:r>
        <w:r>
          <w:rPr>
            <w:webHidden/>
          </w:rPr>
          <w:fldChar w:fldCharType="end"/>
        </w:r>
      </w:hyperlink>
    </w:p>
    <w:p w14:paraId="37E1F3DB" w14:textId="4DF0809E" w:rsidR="00326544" w:rsidRDefault="00326544" w:rsidP="000B62E6">
      <w:pPr>
        <w:pStyle w:val="TOC1"/>
        <w:tabs>
          <w:tab w:val="clear" w:pos="9060"/>
          <w:tab w:val="left" w:pos="600"/>
          <w:tab w:val="right" w:leader="dot" w:pos="10204"/>
        </w:tabs>
        <w:rPr>
          <w:rFonts w:eastAsiaTheme="minorEastAsia"/>
          <w:b w:val="0"/>
          <w:color w:val="auto"/>
          <w:kern w:val="2"/>
          <w:sz w:val="24"/>
          <w:szCs w:val="24"/>
          <w:lang w:eastAsia="en-AU"/>
          <w14:ligatures w14:val="standardContextual"/>
        </w:rPr>
      </w:pPr>
      <w:hyperlink w:anchor="_Toc207348737" w:history="1">
        <w:r w:rsidRPr="001F7904">
          <w:rPr>
            <w:rStyle w:val="Hyperlink"/>
          </w:rPr>
          <w:t>2</w:t>
        </w:r>
        <w:r>
          <w:rPr>
            <w:rFonts w:eastAsiaTheme="minorEastAsia"/>
            <w:b w:val="0"/>
            <w:color w:val="auto"/>
            <w:kern w:val="2"/>
            <w:sz w:val="24"/>
            <w:szCs w:val="24"/>
            <w:lang w:eastAsia="en-AU"/>
            <w14:ligatures w14:val="standardContextual"/>
          </w:rPr>
          <w:tab/>
        </w:r>
        <w:r w:rsidRPr="001F7904">
          <w:rPr>
            <w:rStyle w:val="Hyperlink"/>
          </w:rPr>
          <w:t>Current prostheses services, programs and schemes in Australia</w:t>
        </w:r>
        <w:r>
          <w:rPr>
            <w:webHidden/>
          </w:rPr>
          <w:tab/>
        </w:r>
        <w:r>
          <w:rPr>
            <w:webHidden/>
          </w:rPr>
          <w:fldChar w:fldCharType="begin"/>
        </w:r>
        <w:r>
          <w:rPr>
            <w:webHidden/>
          </w:rPr>
          <w:instrText xml:space="preserve"> PAGEREF _Toc207348737 \h </w:instrText>
        </w:r>
        <w:r>
          <w:rPr>
            <w:webHidden/>
          </w:rPr>
        </w:r>
        <w:r>
          <w:rPr>
            <w:webHidden/>
          </w:rPr>
          <w:fldChar w:fldCharType="separate"/>
        </w:r>
        <w:r w:rsidR="00D1685C">
          <w:rPr>
            <w:webHidden/>
          </w:rPr>
          <w:t>29</w:t>
        </w:r>
        <w:r>
          <w:rPr>
            <w:webHidden/>
          </w:rPr>
          <w:fldChar w:fldCharType="end"/>
        </w:r>
      </w:hyperlink>
    </w:p>
    <w:p w14:paraId="7254E150" w14:textId="5D148BD4"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38" w:history="1">
        <w:r w:rsidRPr="001F7904">
          <w:rPr>
            <w:rStyle w:val="Hyperlink"/>
          </w:rPr>
          <w:t>2.1</w:t>
        </w:r>
        <w:r>
          <w:rPr>
            <w:rFonts w:eastAsiaTheme="minorEastAsia"/>
            <w:color w:val="auto"/>
            <w:kern w:val="2"/>
            <w:sz w:val="24"/>
            <w:szCs w:val="24"/>
            <w:lang w:eastAsia="en-AU"/>
            <w14:ligatures w14:val="standardContextual"/>
          </w:rPr>
          <w:tab/>
        </w:r>
        <w:r w:rsidRPr="001F7904">
          <w:rPr>
            <w:rStyle w:val="Hyperlink"/>
          </w:rPr>
          <w:t>Facial prostheses services, programs and schemes</w:t>
        </w:r>
        <w:r>
          <w:rPr>
            <w:webHidden/>
          </w:rPr>
          <w:tab/>
        </w:r>
        <w:r>
          <w:rPr>
            <w:webHidden/>
          </w:rPr>
          <w:fldChar w:fldCharType="begin"/>
        </w:r>
        <w:r>
          <w:rPr>
            <w:webHidden/>
          </w:rPr>
          <w:instrText xml:space="preserve"> PAGEREF _Toc207348738 \h </w:instrText>
        </w:r>
        <w:r>
          <w:rPr>
            <w:webHidden/>
          </w:rPr>
        </w:r>
        <w:r>
          <w:rPr>
            <w:webHidden/>
          </w:rPr>
          <w:fldChar w:fldCharType="separate"/>
        </w:r>
        <w:r w:rsidR="00D1685C">
          <w:rPr>
            <w:webHidden/>
          </w:rPr>
          <w:t>30</w:t>
        </w:r>
        <w:r>
          <w:rPr>
            <w:webHidden/>
          </w:rPr>
          <w:fldChar w:fldCharType="end"/>
        </w:r>
      </w:hyperlink>
    </w:p>
    <w:p w14:paraId="3D54A237" w14:textId="60D19DD1"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39" w:history="1">
        <w:r w:rsidRPr="001F7904">
          <w:rPr>
            <w:rStyle w:val="Hyperlink"/>
          </w:rPr>
          <w:t>2.2</w:t>
        </w:r>
        <w:r>
          <w:rPr>
            <w:rFonts w:eastAsiaTheme="minorEastAsia"/>
            <w:color w:val="auto"/>
            <w:kern w:val="2"/>
            <w:sz w:val="24"/>
            <w:szCs w:val="24"/>
            <w:lang w:eastAsia="en-AU"/>
            <w14:ligatures w14:val="standardContextual"/>
          </w:rPr>
          <w:tab/>
        </w:r>
        <w:r w:rsidRPr="001F7904">
          <w:rPr>
            <w:rStyle w:val="Hyperlink"/>
          </w:rPr>
          <w:t>Breast prostheses services, programs and schemes</w:t>
        </w:r>
        <w:r>
          <w:rPr>
            <w:webHidden/>
          </w:rPr>
          <w:tab/>
        </w:r>
        <w:r>
          <w:rPr>
            <w:webHidden/>
          </w:rPr>
          <w:fldChar w:fldCharType="begin"/>
        </w:r>
        <w:r>
          <w:rPr>
            <w:webHidden/>
          </w:rPr>
          <w:instrText xml:space="preserve"> PAGEREF _Toc207348739 \h </w:instrText>
        </w:r>
        <w:r>
          <w:rPr>
            <w:webHidden/>
          </w:rPr>
        </w:r>
        <w:r>
          <w:rPr>
            <w:webHidden/>
          </w:rPr>
          <w:fldChar w:fldCharType="separate"/>
        </w:r>
        <w:r w:rsidR="00D1685C">
          <w:rPr>
            <w:webHidden/>
          </w:rPr>
          <w:t>38</w:t>
        </w:r>
        <w:r>
          <w:rPr>
            <w:webHidden/>
          </w:rPr>
          <w:fldChar w:fldCharType="end"/>
        </w:r>
      </w:hyperlink>
    </w:p>
    <w:p w14:paraId="72DFDE09" w14:textId="29405B6E"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40" w:history="1">
        <w:r w:rsidRPr="001F7904">
          <w:rPr>
            <w:rStyle w:val="Hyperlink"/>
          </w:rPr>
          <w:t>2.3</w:t>
        </w:r>
        <w:r>
          <w:rPr>
            <w:rFonts w:eastAsiaTheme="minorEastAsia"/>
            <w:color w:val="auto"/>
            <w:kern w:val="2"/>
            <w:sz w:val="24"/>
            <w:szCs w:val="24"/>
            <w:lang w:eastAsia="en-AU"/>
            <w14:ligatures w14:val="standardContextual"/>
          </w:rPr>
          <w:tab/>
        </w:r>
        <w:r w:rsidRPr="001F7904">
          <w:rPr>
            <w:rStyle w:val="Hyperlink"/>
          </w:rPr>
          <w:t>Limb prostheses services, programs and schemes</w:t>
        </w:r>
        <w:r>
          <w:rPr>
            <w:webHidden/>
          </w:rPr>
          <w:tab/>
        </w:r>
        <w:r>
          <w:rPr>
            <w:webHidden/>
          </w:rPr>
          <w:fldChar w:fldCharType="begin"/>
        </w:r>
        <w:r>
          <w:rPr>
            <w:webHidden/>
          </w:rPr>
          <w:instrText xml:space="preserve"> PAGEREF _Toc207348740 \h </w:instrText>
        </w:r>
        <w:r>
          <w:rPr>
            <w:webHidden/>
          </w:rPr>
        </w:r>
        <w:r>
          <w:rPr>
            <w:webHidden/>
          </w:rPr>
          <w:fldChar w:fldCharType="separate"/>
        </w:r>
        <w:r w:rsidR="00D1685C">
          <w:rPr>
            <w:webHidden/>
          </w:rPr>
          <w:t>44</w:t>
        </w:r>
        <w:r>
          <w:rPr>
            <w:webHidden/>
          </w:rPr>
          <w:fldChar w:fldCharType="end"/>
        </w:r>
      </w:hyperlink>
    </w:p>
    <w:p w14:paraId="1155F91B" w14:textId="713789C7"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41" w:history="1">
        <w:r w:rsidRPr="001F7904">
          <w:rPr>
            <w:rStyle w:val="Hyperlink"/>
          </w:rPr>
          <w:t>2.4</w:t>
        </w:r>
        <w:r>
          <w:rPr>
            <w:rFonts w:eastAsiaTheme="minorEastAsia"/>
            <w:color w:val="auto"/>
            <w:kern w:val="2"/>
            <w:sz w:val="24"/>
            <w:szCs w:val="24"/>
            <w:lang w:eastAsia="en-AU"/>
            <w14:ligatures w14:val="standardContextual"/>
          </w:rPr>
          <w:tab/>
        </w:r>
        <w:r w:rsidRPr="001F7904">
          <w:rPr>
            <w:rStyle w:val="Hyperlink"/>
          </w:rPr>
          <w:t>Other types of prostheses services, programs and schemes</w:t>
        </w:r>
        <w:r>
          <w:rPr>
            <w:webHidden/>
          </w:rPr>
          <w:tab/>
        </w:r>
        <w:r>
          <w:rPr>
            <w:webHidden/>
          </w:rPr>
          <w:fldChar w:fldCharType="begin"/>
        </w:r>
        <w:r>
          <w:rPr>
            <w:webHidden/>
          </w:rPr>
          <w:instrText xml:space="preserve"> PAGEREF _Toc207348741 \h </w:instrText>
        </w:r>
        <w:r>
          <w:rPr>
            <w:webHidden/>
          </w:rPr>
        </w:r>
        <w:r>
          <w:rPr>
            <w:webHidden/>
          </w:rPr>
          <w:fldChar w:fldCharType="separate"/>
        </w:r>
        <w:r w:rsidR="00D1685C">
          <w:rPr>
            <w:webHidden/>
          </w:rPr>
          <w:t>53</w:t>
        </w:r>
        <w:r>
          <w:rPr>
            <w:webHidden/>
          </w:rPr>
          <w:fldChar w:fldCharType="end"/>
        </w:r>
      </w:hyperlink>
    </w:p>
    <w:p w14:paraId="2A4241C6" w14:textId="46C0E72F" w:rsidR="00326544" w:rsidRDefault="00326544" w:rsidP="000B62E6">
      <w:pPr>
        <w:pStyle w:val="TOC1"/>
        <w:tabs>
          <w:tab w:val="clear" w:pos="9060"/>
          <w:tab w:val="left" w:pos="600"/>
          <w:tab w:val="right" w:leader="dot" w:pos="10204"/>
        </w:tabs>
        <w:rPr>
          <w:rFonts w:eastAsiaTheme="minorEastAsia"/>
          <w:b w:val="0"/>
          <w:color w:val="auto"/>
          <w:kern w:val="2"/>
          <w:sz w:val="24"/>
          <w:szCs w:val="24"/>
          <w:lang w:eastAsia="en-AU"/>
          <w14:ligatures w14:val="standardContextual"/>
        </w:rPr>
      </w:pPr>
      <w:hyperlink w:anchor="_Toc207348742" w:history="1">
        <w:r w:rsidRPr="001F7904">
          <w:rPr>
            <w:rStyle w:val="Hyperlink"/>
          </w:rPr>
          <w:t>3</w:t>
        </w:r>
        <w:r>
          <w:rPr>
            <w:rFonts w:eastAsiaTheme="minorEastAsia"/>
            <w:b w:val="0"/>
            <w:color w:val="auto"/>
            <w:kern w:val="2"/>
            <w:sz w:val="24"/>
            <w:szCs w:val="24"/>
            <w:lang w:eastAsia="en-AU"/>
            <w14:ligatures w14:val="standardContextual"/>
          </w:rPr>
          <w:tab/>
        </w:r>
        <w:r w:rsidRPr="001F7904">
          <w:rPr>
            <w:rStyle w:val="Hyperlink"/>
          </w:rPr>
          <w:t>Prostheses services, programs and schemes in other countries</w:t>
        </w:r>
        <w:r>
          <w:rPr>
            <w:webHidden/>
          </w:rPr>
          <w:tab/>
        </w:r>
        <w:r>
          <w:rPr>
            <w:webHidden/>
          </w:rPr>
          <w:fldChar w:fldCharType="begin"/>
        </w:r>
        <w:r>
          <w:rPr>
            <w:webHidden/>
          </w:rPr>
          <w:instrText xml:space="preserve"> PAGEREF _Toc207348742 \h </w:instrText>
        </w:r>
        <w:r>
          <w:rPr>
            <w:webHidden/>
          </w:rPr>
        </w:r>
        <w:r>
          <w:rPr>
            <w:webHidden/>
          </w:rPr>
          <w:fldChar w:fldCharType="separate"/>
        </w:r>
        <w:r w:rsidR="00D1685C">
          <w:rPr>
            <w:webHidden/>
          </w:rPr>
          <w:t>60</w:t>
        </w:r>
        <w:r>
          <w:rPr>
            <w:webHidden/>
          </w:rPr>
          <w:fldChar w:fldCharType="end"/>
        </w:r>
      </w:hyperlink>
    </w:p>
    <w:p w14:paraId="4AE20EEA" w14:textId="3E78D9D8"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43" w:history="1">
        <w:r w:rsidRPr="001F7904">
          <w:rPr>
            <w:rStyle w:val="Hyperlink"/>
          </w:rPr>
          <w:t>3.1</w:t>
        </w:r>
        <w:r>
          <w:rPr>
            <w:rFonts w:eastAsiaTheme="minorEastAsia"/>
            <w:color w:val="auto"/>
            <w:kern w:val="2"/>
            <w:sz w:val="24"/>
            <w:szCs w:val="24"/>
            <w:lang w:eastAsia="en-AU"/>
            <w14:ligatures w14:val="standardContextual"/>
          </w:rPr>
          <w:tab/>
        </w:r>
        <w:r w:rsidRPr="001F7904">
          <w:rPr>
            <w:rStyle w:val="Hyperlink"/>
          </w:rPr>
          <w:t>Countries selected for comparative analysis</w:t>
        </w:r>
        <w:r>
          <w:rPr>
            <w:webHidden/>
          </w:rPr>
          <w:tab/>
        </w:r>
        <w:r>
          <w:rPr>
            <w:webHidden/>
          </w:rPr>
          <w:fldChar w:fldCharType="begin"/>
        </w:r>
        <w:r>
          <w:rPr>
            <w:webHidden/>
          </w:rPr>
          <w:instrText xml:space="preserve"> PAGEREF _Toc207348743 \h </w:instrText>
        </w:r>
        <w:r>
          <w:rPr>
            <w:webHidden/>
          </w:rPr>
        </w:r>
        <w:r>
          <w:rPr>
            <w:webHidden/>
          </w:rPr>
          <w:fldChar w:fldCharType="separate"/>
        </w:r>
        <w:r w:rsidR="00D1685C">
          <w:rPr>
            <w:webHidden/>
          </w:rPr>
          <w:t>61</w:t>
        </w:r>
        <w:r>
          <w:rPr>
            <w:webHidden/>
          </w:rPr>
          <w:fldChar w:fldCharType="end"/>
        </w:r>
      </w:hyperlink>
    </w:p>
    <w:p w14:paraId="5D62F382" w14:textId="664E03E4"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44" w:history="1">
        <w:r w:rsidRPr="001F7904">
          <w:rPr>
            <w:rStyle w:val="Hyperlink"/>
          </w:rPr>
          <w:t>3.2</w:t>
        </w:r>
        <w:r>
          <w:rPr>
            <w:rFonts w:eastAsiaTheme="minorEastAsia"/>
            <w:color w:val="auto"/>
            <w:kern w:val="2"/>
            <w:sz w:val="24"/>
            <w:szCs w:val="24"/>
            <w:lang w:eastAsia="en-AU"/>
            <w14:ligatures w14:val="standardContextual"/>
          </w:rPr>
          <w:tab/>
        </w:r>
        <w:r w:rsidRPr="001F7904">
          <w:rPr>
            <w:rStyle w:val="Hyperlink"/>
          </w:rPr>
          <w:t>International comparison of facial prostheses services, programs and schemes</w:t>
        </w:r>
        <w:r>
          <w:rPr>
            <w:webHidden/>
          </w:rPr>
          <w:tab/>
        </w:r>
        <w:r>
          <w:rPr>
            <w:webHidden/>
          </w:rPr>
          <w:fldChar w:fldCharType="begin"/>
        </w:r>
        <w:r>
          <w:rPr>
            <w:webHidden/>
          </w:rPr>
          <w:instrText xml:space="preserve"> PAGEREF _Toc207348744 \h </w:instrText>
        </w:r>
        <w:r>
          <w:rPr>
            <w:webHidden/>
          </w:rPr>
        </w:r>
        <w:r>
          <w:rPr>
            <w:webHidden/>
          </w:rPr>
          <w:fldChar w:fldCharType="separate"/>
        </w:r>
        <w:r w:rsidR="00D1685C">
          <w:rPr>
            <w:webHidden/>
          </w:rPr>
          <w:t>62</w:t>
        </w:r>
        <w:r>
          <w:rPr>
            <w:webHidden/>
          </w:rPr>
          <w:fldChar w:fldCharType="end"/>
        </w:r>
      </w:hyperlink>
    </w:p>
    <w:p w14:paraId="3824AD86" w14:textId="261BDACF"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45" w:history="1">
        <w:r w:rsidRPr="001F7904">
          <w:rPr>
            <w:rStyle w:val="Hyperlink"/>
          </w:rPr>
          <w:t>3.3</w:t>
        </w:r>
        <w:r>
          <w:rPr>
            <w:rFonts w:eastAsiaTheme="minorEastAsia"/>
            <w:color w:val="auto"/>
            <w:kern w:val="2"/>
            <w:sz w:val="24"/>
            <w:szCs w:val="24"/>
            <w:lang w:eastAsia="en-AU"/>
            <w14:ligatures w14:val="standardContextual"/>
          </w:rPr>
          <w:tab/>
        </w:r>
        <w:r w:rsidRPr="001F7904">
          <w:rPr>
            <w:rStyle w:val="Hyperlink"/>
          </w:rPr>
          <w:t>International comparison of breast prostheses services, programs and schemes</w:t>
        </w:r>
        <w:r>
          <w:rPr>
            <w:webHidden/>
          </w:rPr>
          <w:tab/>
        </w:r>
        <w:r>
          <w:rPr>
            <w:webHidden/>
          </w:rPr>
          <w:fldChar w:fldCharType="begin"/>
        </w:r>
        <w:r>
          <w:rPr>
            <w:webHidden/>
          </w:rPr>
          <w:instrText xml:space="preserve"> PAGEREF _Toc207348745 \h </w:instrText>
        </w:r>
        <w:r>
          <w:rPr>
            <w:webHidden/>
          </w:rPr>
        </w:r>
        <w:r>
          <w:rPr>
            <w:webHidden/>
          </w:rPr>
          <w:fldChar w:fldCharType="separate"/>
        </w:r>
        <w:r w:rsidR="00D1685C">
          <w:rPr>
            <w:webHidden/>
          </w:rPr>
          <w:t>64</w:t>
        </w:r>
        <w:r>
          <w:rPr>
            <w:webHidden/>
          </w:rPr>
          <w:fldChar w:fldCharType="end"/>
        </w:r>
      </w:hyperlink>
    </w:p>
    <w:p w14:paraId="7221CBB6" w14:textId="54F8369E"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46" w:history="1">
        <w:r w:rsidRPr="001F7904">
          <w:rPr>
            <w:rStyle w:val="Hyperlink"/>
          </w:rPr>
          <w:t>3.4</w:t>
        </w:r>
        <w:r>
          <w:rPr>
            <w:rFonts w:eastAsiaTheme="minorEastAsia"/>
            <w:color w:val="auto"/>
            <w:kern w:val="2"/>
            <w:sz w:val="24"/>
            <w:szCs w:val="24"/>
            <w:lang w:eastAsia="en-AU"/>
            <w14:ligatures w14:val="standardContextual"/>
          </w:rPr>
          <w:tab/>
        </w:r>
        <w:r w:rsidRPr="001F7904">
          <w:rPr>
            <w:rStyle w:val="Hyperlink"/>
          </w:rPr>
          <w:t>International comparison of limb prostheses services, programs and schemes</w:t>
        </w:r>
        <w:r>
          <w:rPr>
            <w:webHidden/>
          </w:rPr>
          <w:tab/>
        </w:r>
        <w:r>
          <w:rPr>
            <w:webHidden/>
          </w:rPr>
          <w:fldChar w:fldCharType="begin"/>
        </w:r>
        <w:r>
          <w:rPr>
            <w:webHidden/>
          </w:rPr>
          <w:instrText xml:space="preserve"> PAGEREF _Toc207348746 \h </w:instrText>
        </w:r>
        <w:r>
          <w:rPr>
            <w:webHidden/>
          </w:rPr>
        </w:r>
        <w:r>
          <w:rPr>
            <w:webHidden/>
          </w:rPr>
          <w:fldChar w:fldCharType="separate"/>
        </w:r>
        <w:r w:rsidR="00D1685C">
          <w:rPr>
            <w:webHidden/>
          </w:rPr>
          <w:t>66</w:t>
        </w:r>
        <w:r>
          <w:rPr>
            <w:webHidden/>
          </w:rPr>
          <w:fldChar w:fldCharType="end"/>
        </w:r>
      </w:hyperlink>
    </w:p>
    <w:p w14:paraId="159103C0" w14:textId="0215293A"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47" w:history="1">
        <w:r w:rsidRPr="001F7904">
          <w:rPr>
            <w:rStyle w:val="Hyperlink"/>
          </w:rPr>
          <w:t>3.5</w:t>
        </w:r>
        <w:r>
          <w:rPr>
            <w:rFonts w:eastAsiaTheme="minorEastAsia"/>
            <w:color w:val="auto"/>
            <w:kern w:val="2"/>
            <w:sz w:val="24"/>
            <w:szCs w:val="24"/>
            <w:lang w:eastAsia="en-AU"/>
            <w14:ligatures w14:val="standardContextual"/>
          </w:rPr>
          <w:tab/>
        </w:r>
        <w:r w:rsidRPr="001F7904">
          <w:rPr>
            <w:rStyle w:val="Hyperlink"/>
          </w:rPr>
          <w:t>International comparison of other prostheses services, programs and schemes</w:t>
        </w:r>
        <w:r>
          <w:rPr>
            <w:webHidden/>
          </w:rPr>
          <w:tab/>
        </w:r>
        <w:r>
          <w:rPr>
            <w:webHidden/>
          </w:rPr>
          <w:fldChar w:fldCharType="begin"/>
        </w:r>
        <w:r>
          <w:rPr>
            <w:webHidden/>
          </w:rPr>
          <w:instrText xml:space="preserve"> PAGEREF _Toc207348747 \h </w:instrText>
        </w:r>
        <w:r>
          <w:rPr>
            <w:webHidden/>
          </w:rPr>
        </w:r>
        <w:r>
          <w:rPr>
            <w:webHidden/>
          </w:rPr>
          <w:fldChar w:fldCharType="separate"/>
        </w:r>
        <w:r w:rsidR="00D1685C">
          <w:rPr>
            <w:webHidden/>
          </w:rPr>
          <w:t>68</w:t>
        </w:r>
        <w:r>
          <w:rPr>
            <w:webHidden/>
          </w:rPr>
          <w:fldChar w:fldCharType="end"/>
        </w:r>
      </w:hyperlink>
    </w:p>
    <w:p w14:paraId="77498F53" w14:textId="770E94B4" w:rsidR="00326544" w:rsidRDefault="00326544" w:rsidP="000B62E6">
      <w:pPr>
        <w:pStyle w:val="TOC1"/>
        <w:tabs>
          <w:tab w:val="clear" w:pos="9060"/>
          <w:tab w:val="left" w:pos="600"/>
          <w:tab w:val="right" w:leader="dot" w:pos="10204"/>
        </w:tabs>
        <w:rPr>
          <w:rFonts w:eastAsiaTheme="minorEastAsia"/>
          <w:b w:val="0"/>
          <w:color w:val="auto"/>
          <w:kern w:val="2"/>
          <w:sz w:val="24"/>
          <w:szCs w:val="24"/>
          <w:lang w:eastAsia="en-AU"/>
          <w14:ligatures w14:val="standardContextual"/>
        </w:rPr>
      </w:pPr>
      <w:hyperlink w:anchor="_Toc207348748" w:history="1">
        <w:r w:rsidRPr="001F7904">
          <w:rPr>
            <w:rStyle w:val="Hyperlink"/>
          </w:rPr>
          <w:t>4</w:t>
        </w:r>
        <w:r>
          <w:rPr>
            <w:rFonts w:eastAsiaTheme="minorEastAsia"/>
            <w:b w:val="0"/>
            <w:color w:val="auto"/>
            <w:kern w:val="2"/>
            <w:sz w:val="24"/>
            <w:szCs w:val="24"/>
            <w:lang w:eastAsia="en-AU"/>
            <w14:ligatures w14:val="standardContextual"/>
          </w:rPr>
          <w:tab/>
        </w:r>
        <w:r w:rsidRPr="001F7904">
          <w:rPr>
            <w:rStyle w:val="Hyperlink"/>
          </w:rPr>
          <w:t>Equity of access to prostheses for people living with or post a cancer diagnosis</w:t>
        </w:r>
        <w:r>
          <w:rPr>
            <w:webHidden/>
          </w:rPr>
          <w:tab/>
        </w:r>
        <w:r>
          <w:rPr>
            <w:webHidden/>
          </w:rPr>
          <w:fldChar w:fldCharType="begin"/>
        </w:r>
        <w:r>
          <w:rPr>
            <w:webHidden/>
          </w:rPr>
          <w:instrText xml:space="preserve"> PAGEREF _Toc207348748 \h </w:instrText>
        </w:r>
        <w:r>
          <w:rPr>
            <w:webHidden/>
          </w:rPr>
        </w:r>
        <w:r>
          <w:rPr>
            <w:webHidden/>
          </w:rPr>
          <w:fldChar w:fldCharType="separate"/>
        </w:r>
        <w:r w:rsidR="00D1685C">
          <w:rPr>
            <w:webHidden/>
          </w:rPr>
          <w:t>75</w:t>
        </w:r>
        <w:r>
          <w:rPr>
            <w:webHidden/>
          </w:rPr>
          <w:fldChar w:fldCharType="end"/>
        </w:r>
      </w:hyperlink>
    </w:p>
    <w:p w14:paraId="5C0C544B" w14:textId="5ED2E5D1"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49" w:history="1">
        <w:r w:rsidRPr="001F7904">
          <w:rPr>
            <w:rStyle w:val="Hyperlink"/>
          </w:rPr>
          <w:t>4.1</w:t>
        </w:r>
        <w:r>
          <w:rPr>
            <w:rFonts w:eastAsiaTheme="minorEastAsia"/>
            <w:color w:val="auto"/>
            <w:kern w:val="2"/>
            <w:sz w:val="24"/>
            <w:szCs w:val="24"/>
            <w:lang w:eastAsia="en-AU"/>
            <w14:ligatures w14:val="standardContextual"/>
          </w:rPr>
          <w:tab/>
        </w:r>
        <w:r w:rsidRPr="001F7904">
          <w:rPr>
            <w:rStyle w:val="Hyperlink"/>
          </w:rPr>
          <w:t>Barriers to accessing prostheses for people living with or who have lived experience of cancer</w:t>
        </w:r>
        <w:r>
          <w:rPr>
            <w:webHidden/>
          </w:rPr>
          <w:tab/>
        </w:r>
        <w:r>
          <w:rPr>
            <w:webHidden/>
          </w:rPr>
          <w:fldChar w:fldCharType="begin"/>
        </w:r>
        <w:r>
          <w:rPr>
            <w:webHidden/>
          </w:rPr>
          <w:instrText xml:space="preserve"> PAGEREF _Toc207348749 \h </w:instrText>
        </w:r>
        <w:r>
          <w:rPr>
            <w:webHidden/>
          </w:rPr>
        </w:r>
        <w:r>
          <w:rPr>
            <w:webHidden/>
          </w:rPr>
          <w:fldChar w:fldCharType="separate"/>
        </w:r>
        <w:r w:rsidR="00D1685C">
          <w:rPr>
            <w:webHidden/>
          </w:rPr>
          <w:t>76</w:t>
        </w:r>
        <w:r>
          <w:rPr>
            <w:webHidden/>
          </w:rPr>
          <w:fldChar w:fldCharType="end"/>
        </w:r>
      </w:hyperlink>
    </w:p>
    <w:p w14:paraId="600AA5E0" w14:textId="7281D9A3"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50" w:history="1">
        <w:r w:rsidRPr="001F7904">
          <w:rPr>
            <w:rStyle w:val="Hyperlink"/>
          </w:rPr>
          <w:t>4.2</w:t>
        </w:r>
        <w:r>
          <w:rPr>
            <w:rFonts w:eastAsiaTheme="minorEastAsia"/>
            <w:color w:val="auto"/>
            <w:kern w:val="2"/>
            <w:sz w:val="24"/>
            <w:szCs w:val="24"/>
            <w:lang w:eastAsia="en-AU"/>
            <w14:ligatures w14:val="standardContextual"/>
          </w:rPr>
          <w:tab/>
        </w:r>
        <w:r w:rsidRPr="001F7904">
          <w:rPr>
            <w:rStyle w:val="Hyperlink"/>
          </w:rPr>
          <w:t>Equity issues</w:t>
        </w:r>
        <w:r>
          <w:rPr>
            <w:webHidden/>
          </w:rPr>
          <w:tab/>
        </w:r>
        <w:r>
          <w:rPr>
            <w:webHidden/>
          </w:rPr>
          <w:fldChar w:fldCharType="begin"/>
        </w:r>
        <w:r>
          <w:rPr>
            <w:webHidden/>
          </w:rPr>
          <w:instrText xml:space="preserve"> PAGEREF _Toc207348750 \h </w:instrText>
        </w:r>
        <w:r>
          <w:rPr>
            <w:webHidden/>
          </w:rPr>
        </w:r>
        <w:r>
          <w:rPr>
            <w:webHidden/>
          </w:rPr>
          <w:fldChar w:fldCharType="separate"/>
        </w:r>
        <w:r w:rsidR="00D1685C">
          <w:rPr>
            <w:webHidden/>
          </w:rPr>
          <w:t>86</w:t>
        </w:r>
        <w:r>
          <w:rPr>
            <w:webHidden/>
          </w:rPr>
          <w:fldChar w:fldCharType="end"/>
        </w:r>
      </w:hyperlink>
    </w:p>
    <w:p w14:paraId="138A5A0B" w14:textId="5D0DCAE5" w:rsidR="00326544" w:rsidRDefault="00326544" w:rsidP="000B62E6">
      <w:pPr>
        <w:pStyle w:val="TOC1"/>
        <w:tabs>
          <w:tab w:val="clear" w:pos="9060"/>
          <w:tab w:val="left" w:pos="600"/>
          <w:tab w:val="right" w:leader="dot" w:pos="10204"/>
        </w:tabs>
        <w:rPr>
          <w:rFonts w:eastAsiaTheme="minorEastAsia"/>
          <w:b w:val="0"/>
          <w:color w:val="auto"/>
          <w:kern w:val="2"/>
          <w:sz w:val="24"/>
          <w:szCs w:val="24"/>
          <w:lang w:eastAsia="en-AU"/>
          <w14:ligatures w14:val="standardContextual"/>
        </w:rPr>
      </w:pPr>
      <w:hyperlink w:anchor="_Toc207348751" w:history="1">
        <w:r w:rsidRPr="001F7904">
          <w:rPr>
            <w:rStyle w:val="Hyperlink"/>
          </w:rPr>
          <w:t>5</w:t>
        </w:r>
        <w:r>
          <w:rPr>
            <w:rFonts w:eastAsiaTheme="minorEastAsia"/>
            <w:b w:val="0"/>
            <w:color w:val="auto"/>
            <w:kern w:val="2"/>
            <w:sz w:val="24"/>
            <w:szCs w:val="24"/>
            <w:lang w:eastAsia="en-AU"/>
            <w14:ligatures w14:val="standardContextual"/>
          </w:rPr>
          <w:tab/>
        </w:r>
        <w:r w:rsidRPr="001F7904">
          <w:rPr>
            <w:rStyle w:val="Hyperlink"/>
          </w:rPr>
          <w:t>Options and considerations for a potential national cancer prostheses program</w:t>
        </w:r>
        <w:r>
          <w:rPr>
            <w:webHidden/>
          </w:rPr>
          <w:tab/>
        </w:r>
        <w:r>
          <w:rPr>
            <w:webHidden/>
          </w:rPr>
          <w:fldChar w:fldCharType="begin"/>
        </w:r>
        <w:r>
          <w:rPr>
            <w:webHidden/>
          </w:rPr>
          <w:instrText xml:space="preserve"> PAGEREF _Toc207348751 \h </w:instrText>
        </w:r>
        <w:r>
          <w:rPr>
            <w:webHidden/>
          </w:rPr>
        </w:r>
        <w:r>
          <w:rPr>
            <w:webHidden/>
          </w:rPr>
          <w:fldChar w:fldCharType="separate"/>
        </w:r>
        <w:r w:rsidR="00D1685C">
          <w:rPr>
            <w:webHidden/>
          </w:rPr>
          <w:t>88</w:t>
        </w:r>
        <w:r>
          <w:rPr>
            <w:webHidden/>
          </w:rPr>
          <w:fldChar w:fldCharType="end"/>
        </w:r>
      </w:hyperlink>
    </w:p>
    <w:p w14:paraId="3DAD1F67" w14:textId="07055EF0"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52" w:history="1">
        <w:r w:rsidRPr="001F7904">
          <w:rPr>
            <w:rStyle w:val="Hyperlink"/>
          </w:rPr>
          <w:t>5.1</w:t>
        </w:r>
        <w:r>
          <w:rPr>
            <w:rFonts w:eastAsiaTheme="minorEastAsia"/>
            <w:color w:val="auto"/>
            <w:kern w:val="2"/>
            <w:sz w:val="24"/>
            <w:szCs w:val="24"/>
            <w:lang w:eastAsia="en-AU"/>
            <w14:ligatures w14:val="standardContextual"/>
          </w:rPr>
          <w:tab/>
        </w:r>
        <w:r w:rsidRPr="001F7904">
          <w:rPr>
            <w:rStyle w:val="Hyperlink"/>
          </w:rPr>
          <w:t>Options for a potential national cancer prostheses program</w:t>
        </w:r>
        <w:r>
          <w:rPr>
            <w:webHidden/>
          </w:rPr>
          <w:tab/>
        </w:r>
        <w:r>
          <w:rPr>
            <w:webHidden/>
          </w:rPr>
          <w:fldChar w:fldCharType="begin"/>
        </w:r>
        <w:r>
          <w:rPr>
            <w:webHidden/>
          </w:rPr>
          <w:instrText xml:space="preserve"> PAGEREF _Toc207348752 \h </w:instrText>
        </w:r>
        <w:r>
          <w:rPr>
            <w:webHidden/>
          </w:rPr>
        </w:r>
        <w:r>
          <w:rPr>
            <w:webHidden/>
          </w:rPr>
          <w:fldChar w:fldCharType="separate"/>
        </w:r>
        <w:r w:rsidR="00D1685C">
          <w:rPr>
            <w:webHidden/>
          </w:rPr>
          <w:t>89</w:t>
        </w:r>
        <w:r>
          <w:rPr>
            <w:webHidden/>
          </w:rPr>
          <w:fldChar w:fldCharType="end"/>
        </w:r>
      </w:hyperlink>
    </w:p>
    <w:p w14:paraId="359A903B" w14:textId="6DCC233B"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53" w:history="1">
        <w:r w:rsidRPr="001F7904">
          <w:rPr>
            <w:rStyle w:val="Hyperlink"/>
          </w:rPr>
          <w:t>5.2</w:t>
        </w:r>
        <w:r>
          <w:rPr>
            <w:rFonts w:eastAsiaTheme="minorEastAsia"/>
            <w:color w:val="auto"/>
            <w:kern w:val="2"/>
            <w:sz w:val="24"/>
            <w:szCs w:val="24"/>
            <w:lang w:eastAsia="en-AU"/>
            <w14:ligatures w14:val="standardContextual"/>
          </w:rPr>
          <w:tab/>
        </w:r>
        <w:r w:rsidRPr="001F7904">
          <w:rPr>
            <w:rStyle w:val="Hyperlink"/>
          </w:rPr>
          <w:t>Considerations for the implementation of a national cancer prostheses program</w:t>
        </w:r>
        <w:r>
          <w:rPr>
            <w:webHidden/>
          </w:rPr>
          <w:tab/>
        </w:r>
        <w:r>
          <w:rPr>
            <w:webHidden/>
          </w:rPr>
          <w:fldChar w:fldCharType="begin"/>
        </w:r>
        <w:r>
          <w:rPr>
            <w:webHidden/>
          </w:rPr>
          <w:instrText xml:space="preserve"> PAGEREF _Toc207348753 \h </w:instrText>
        </w:r>
        <w:r>
          <w:rPr>
            <w:webHidden/>
          </w:rPr>
        </w:r>
        <w:r>
          <w:rPr>
            <w:webHidden/>
          </w:rPr>
          <w:fldChar w:fldCharType="separate"/>
        </w:r>
        <w:r w:rsidR="00D1685C">
          <w:rPr>
            <w:webHidden/>
          </w:rPr>
          <w:t>93</w:t>
        </w:r>
        <w:r>
          <w:rPr>
            <w:webHidden/>
          </w:rPr>
          <w:fldChar w:fldCharType="end"/>
        </w:r>
      </w:hyperlink>
    </w:p>
    <w:p w14:paraId="059BEACC" w14:textId="4877ED88" w:rsidR="00326544" w:rsidRDefault="00326544" w:rsidP="000B62E6">
      <w:pPr>
        <w:pStyle w:val="TOC1"/>
        <w:tabs>
          <w:tab w:val="clear" w:pos="9060"/>
          <w:tab w:val="left" w:pos="600"/>
          <w:tab w:val="right" w:leader="dot" w:pos="10204"/>
        </w:tabs>
        <w:rPr>
          <w:rFonts w:eastAsiaTheme="minorEastAsia"/>
          <w:b w:val="0"/>
          <w:color w:val="auto"/>
          <w:kern w:val="2"/>
          <w:sz w:val="24"/>
          <w:szCs w:val="24"/>
          <w:lang w:eastAsia="en-AU"/>
          <w14:ligatures w14:val="standardContextual"/>
        </w:rPr>
      </w:pPr>
      <w:hyperlink w:anchor="_Toc207348754" w:history="1">
        <w:r w:rsidRPr="001F7904">
          <w:rPr>
            <w:rStyle w:val="Hyperlink"/>
          </w:rPr>
          <w:t>6</w:t>
        </w:r>
        <w:r>
          <w:rPr>
            <w:rFonts w:eastAsiaTheme="minorEastAsia"/>
            <w:b w:val="0"/>
            <w:color w:val="auto"/>
            <w:kern w:val="2"/>
            <w:sz w:val="24"/>
            <w:szCs w:val="24"/>
            <w:lang w:eastAsia="en-AU"/>
            <w14:ligatures w14:val="standardContextual"/>
          </w:rPr>
          <w:tab/>
        </w:r>
        <w:r w:rsidRPr="001F7904">
          <w:rPr>
            <w:rStyle w:val="Hyperlink"/>
          </w:rPr>
          <w:t>Cost implications of a potential national cancer prostheses program</w:t>
        </w:r>
        <w:r>
          <w:rPr>
            <w:webHidden/>
          </w:rPr>
          <w:tab/>
        </w:r>
        <w:r>
          <w:rPr>
            <w:webHidden/>
          </w:rPr>
          <w:fldChar w:fldCharType="begin"/>
        </w:r>
        <w:r>
          <w:rPr>
            <w:webHidden/>
          </w:rPr>
          <w:instrText xml:space="preserve"> PAGEREF _Toc207348754 \h </w:instrText>
        </w:r>
        <w:r>
          <w:rPr>
            <w:webHidden/>
          </w:rPr>
        </w:r>
        <w:r>
          <w:rPr>
            <w:webHidden/>
          </w:rPr>
          <w:fldChar w:fldCharType="separate"/>
        </w:r>
        <w:r w:rsidR="00D1685C">
          <w:rPr>
            <w:webHidden/>
          </w:rPr>
          <w:t>102</w:t>
        </w:r>
        <w:r>
          <w:rPr>
            <w:webHidden/>
          </w:rPr>
          <w:fldChar w:fldCharType="end"/>
        </w:r>
      </w:hyperlink>
    </w:p>
    <w:p w14:paraId="498B52E6" w14:textId="522D2B77"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55" w:history="1">
        <w:r w:rsidRPr="001F7904">
          <w:rPr>
            <w:rStyle w:val="Hyperlink"/>
          </w:rPr>
          <w:t>6.1</w:t>
        </w:r>
        <w:r>
          <w:rPr>
            <w:rFonts w:eastAsiaTheme="minorEastAsia"/>
            <w:color w:val="auto"/>
            <w:kern w:val="2"/>
            <w:sz w:val="24"/>
            <w:szCs w:val="24"/>
            <w:lang w:eastAsia="en-AU"/>
            <w14:ligatures w14:val="standardContextual"/>
          </w:rPr>
          <w:tab/>
        </w:r>
        <w:r w:rsidRPr="001F7904">
          <w:rPr>
            <w:rStyle w:val="Hyperlink"/>
          </w:rPr>
          <w:t>Prostheses market implications</w:t>
        </w:r>
        <w:r>
          <w:rPr>
            <w:webHidden/>
          </w:rPr>
          <w:tab/>
        </w:r>
        <w:r>
          <w:rPr>
            <w:webHidden/>
          </w:rPr>
          <w:fldChar w:fldCharType="begin"/>
        </w:r>
        <w:r>
          <w:rPr>
            <w:webHidden/>
          </w:rPr>
          <w:instrText xml:space="preserve"> PAGEREF _Toc207348755 \h </w:instrText>
        </w:r>
        <w:r>
          <w:rPr>
            <w:webHidden/>
          </w:rPr>
        </w:r>
        <w:r>
          <w:rPr>
            <w:webHidden/>
          </w:rPr>
          <w:fldChar w:fldCharType="separate"/>
        </w:r>
        <w:r w:rsidR="00D1685C">
          <w:rPr>
            <w:webHidden/>
          </w:rPr>
          <w:t>103</w:t>
        </w:r>
        <w:r>
          <w:rPr>
            <w:webHidden/>
          </w:rPr>
          <w:fldChar w:fldCharType="end"/>
        </w:r>
      </w:hyperlink>
    </w:p>
    <w:p w14:paraId="00F823A4" w14:textId="03A24FBA"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56" w:history="1">
        <w:r w:rsidRPr="001F7904">
          <w:rPr>
            <w:rStyle w:val="Hyperlink"/>
          </w:rPr>
          <w:t>6.2</w:t>
        </w:r>
        <w:r>
          <w:rPr>
            <w:rFonts w:eastAsiaTheme="minorEastAsia"/>
            <w:color w:val="auto"/>
            <w:kern w:val="2"/>
            <w:sz w:val="24"/>
            <w:szCs w:val="24"/>
            <w:lang w:eastAsia="en-AU"/>
            <w14:ligatures w14:val="standardContextual"/>
          </w:rPr>
          <w:tab/>
        </w:r>
        <w:r w:rsidRPr="001F7904">
          <w:rPr>
            <w:rStyle w:val="Hyperlink"/>
          </w:rPr>
          <w:t>Cost considerations</w:t>
        </w:r>
        <w:r>
          <w:rPr>
            <w:webHidden/>
          </w:rPr>
          <w:tab/>
        </w:r>
        <w:r>
          <w:rPr>
            <w:webHidden/>
          </w:rPr>
          <w:fldChar w:fldCharType="begin"/>
        </w:r>
        <w:r>
          <w:rPr>
            <w:webHidden/>
          </w:rPr>
          <w:instrText xml:space="preserve"> PAGEREF _Toc207348756 \h </w:instrText>
        </w:r>
        <w:r>
          <w:rPr>
            <w:webHidden/>
          </w:rPr>
        </w:r>
        <w:r>
          <w:rPr>
            <w:webHidden/>
          </w:rPr>
          <w:fldChar w:fldCharType="separate"/>
        </w:r>
        <w:r w:rsidR="00D1685C">
          <w:rPr>
            <w:webHidden/>
          </w:rPr>
          <w:t>103</w:t>
        </w:r>
        <w:r>
          <w:rPr>
            <w:webHidden/>
          </w:rPr>
          <w:fldChar w:fldCharType="end"/>
        </w:r>
      </w:hyperlink>
    </w:p>
    <w:p w14:paraId="4A7BF523" w14:textId="6ADBFC86"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57" w:history="1">
        <w:r w:rsidRPr="001F7904">
          <w:rPr>
            <w:rStyle w:val="Hyperlink"/>
          </w:rPr>
          <w:t>6.3</w:t>
        </w:r>
        <w:r>
          <w:rPr>
            <w:rFonts w:eastAsiaTheme="minorEastAsia"/>
            <w:color w:val="auto"/>
            <w:kern w:val="2"/>
            <w:sz w:val="24"/>
            <w:szCs w:val="24"/>
            <w:lang w:eastAsia="en-AU"/>
            <w14:ligatures w14:val="standardContextual"/>
          </w:rPr>
          <w:tab/>
        </w:r>
        <w:r w:rsidRPr="001F7904">
          <w:rPr>
            <w:rStyle w:val="Hyperlink"/>
          </w:rPr>
          <w:t>Costings for each option</w:t>
        </w:r>
        <w:r>
          <w:rPr>
            <w:webHidden/>
          </w:rPr>
          <w:tab/>
        </w:r>
        <w:r>
          <w:rPr>
            <w:webHidden/>
          </w:rPr>
          <w:fldChar w:fldCharType="begin"/>
        </w:r>
        <w:r>
          <w:rPr>
            <w:webHidden/>
          </w:rPr>
          <w:instrText xml:space="preserve"> PAGEREF _Toc207348757 \h </w:instrText>
        </w:r>
        <w:r>
          <w:rPr>
            <w:webHidden/>
          </w:rPr>
        </w:r>
        <w:r>
          <w:rPr>
            <w:webHidden/>
          </w:rPr>
          <w:fldChar w:fldCharType="separate"/>
        </w:r>
        <w:r w:rsidR="00D1685C">
          <w:rPr>
            <w:webHidden/>
          </w:rPr>
          <w:t>105</w:t>
        </w:r>
        <w:r>
          <w:rPr>
            <w:webHidden/>
          </w:rPr>
          <w:fldChar w:fldCharType="end"/>
        </w:r>
      </w:hyperlink>
    </w:p>
    <w:p w14:paraId="10782027" w14:textId="2AFE8259" w:rsidR="00326544" w:rsidRDefault="00326544" w:rsidP="000B62E6">
      <w:pPr>
        <w:pStyle w:val="TOC1"/>
        <w:tabs>
          <w:tab w:val="clear" w:pos="9060"/>
          <w:tab w:val="right" w:leader="dot" w:pos="10204"/>
        </w:tabs>
        <w:rPr>
          <w:rFonts w:eastAsiaTheme="minorEastAsia"/>
          <w:b w:val="0"/>
          <w:color w:val="auto"/>
          <w:kern w:val="2"/>
          <w:sz w:val="24"/>
          <w:szCs w:val="24"/>
          <w:lang w:eastAsia="en-AU"/>
          <w14:ligatures w14:val="standardContextual"/>
        </w:rPr>
      </w:pPr>
      <w:hyperlink w:anchor="_Toc207348758" w:history="1">
        <w:r w:rsidRPr="001F7904">
          <w:rPr>
            <w:rStyle w:val="Hyperlink"/>
          </w:rPr>
          <w:t>Appendix A : Key review questions</w:t>
        </w:r>
        <w:r>
          <w:rPr>
            <w:webHidden/>
          </w:rPr>
          <w:tab/>
        </w:r>
        <w:r>
          <w:rPr>
            <w:webHidden/>
          </w:rPr>
          <w:fldChar w:fldCharType="begin"/>
        </w:r>
        <w:r>
          <w:rPr>
            <w:webHidden/>
          </w:rPr>
          <w:instrText xml:space="preserve"> PAGEREF _Toc207348758 \h </w:instrText>
        </w:r>
        <w:r>
          <w:rPr>
            <w:webHidden/>
          </w:rPr>
        </w:r>
        <w:r>
          <w:rPr>
            <w:webHidden/>
          </w:rPr>
          <w:fldChar w:fldCharType="separate"/>
        </w:r>
        <w:r w:rsidR="00D1685C">
          <w:rPr>
            <w:webHidden/>
          </w:rPr>
          <w:t>116</w:t>
        </w:r>
        <w:r>
          <w:rPr>
            <w:webHidden/>
          </w:rPr>
          <w:fldChar w:fldCharType="end"/>
        </w:r>
      </w:hyperlink>
    </w:p>
    <w:p w14:paraId="6B762E57" w14:textId="7D5FD4B4" w:rsidR="00326544" w:rsidRDefault="00326544" w:rsidP="000B62E6">
      <w:pPr>
        <w:pStyle w:val="TOC1"/>
        <w:tabs>
          <w:tab w:val="clear" w:pos="9060"/>
          <w:tab w:val="right" w:leader="dot" w:pos="10204"/>
        </w:tabs>
        <w:rPr>
          <w:rFonts w:eastAsiaTheme="minorEastAsia"/>
          <w:b w:val="0"/>
          <w:color w:val="auto"/>
          <w:kern w:val="2"/>
          <w:sz w:val="24"/>
          <w:szCs w:val="24"/>
          <w:lang w:eastAsia="en-AU"/>
          <w14:ligatures w14:val="standardContextual"/>
        </w:rPr>
      </w:pPr>
      <w:hyperlink w:anchor="_Toc207348759" w:history="1">
        <w:r w:rsidRPr="001F7904">
          <w:rPr>
            <w:rStyle w:val="Hyperlink"/>
          </w:rPr>
          <w:t>Appendix B : Data collection</w:t>
        </w:r>
        <w:r>
          <w:rPr>
            <w:webHidden/>
          </w:rPr>
          <w:tab/>
        </w:r>
        <w:r>
          <w:rPr>
            <w:webHidden/>
          </w:rPr>
          <w:fldChar w:fldCharType="begin"/>
        </w:r>
        <w:r>
          <w:rPr>
            <w:webHidden/>
          </w:rPr>
          <w:instrText xml:space="preserve"> PAGEREF _Toc207348759 \h </w:instrText>
        </w:r>
        <w:r>
          <w:rPr>
            <w:webHidden/>
          </w:rPr>
        </w:r>
        <w:r>
          <w:rPr>
            <w:webHidden/>
          </w:rPr>
          <w:fldChar w:fldCharType="separate"/>
        </w:r>
        <w:r w:rsidR="00D1685C">
          <w:rPr>
            <w:webHidden/>
          </w:rPr>
          <w:t>121</w:t>
        </w:r>
        <w:r>
          <w:rPr>
            <w:webHidden/>
          </w:rPr>
          <w:fldChar w:fldCharType="end"/>
        </w:r>
      </w:hyperlink>
    </w:p>
    <w:p w14:paraId="2FDCA5F5" w14:textId="770718E9"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60" w:history="1">
        <w:r w:rsidRPr="001F7904">
          <w:rPr>
            <w:rStyle w:val="Hyperlink"/>
          </w:rPr>
          <w:t>B.1</w:t>
        </w:r>
        <w:r>
          <w:rPr>
            <w:rFonts w:eastAsiaTheme="minorEastAsia"/>
            <w:color w:val="auto"/>
            <w:kern w:val="2"/>
            <w:sz w:val="24"/>
            <w:szCs w:val="24"/>
            <w:lang w:eastAsia="en-AU"/>
            <w14:ligatures w14:val="standardContextual"/>
          </w:rPr>
          <w:tab/>
        </w:r>
        <w:r w:rsidRPr="001F7904">
          <w:rPr>
            <w:rStyle w:val="Hyperlink"/>
          </w:rPr>
          <w:t>List of stakeholders consulted</w:t>
        </w:r>
        <w:r>
          <w:rPr>
            <w:webHidden/>
          </w:rPr>
          <w:tab/>
        </w:r>
        <w:r>
          <w:rPr>
            <w:webHidden/>
          </w:rPr>
          <w:fldChar w:fldCharType="begin"/>
        </w:r>
        <w:r>
          <w:rPr>
            <w:webHidden/>
          </w:rPr>
          <w:instrText xml:space="preserve"> PAGEREF _Toc207348760 \h </w:instrText>
        </w:r>
        <w:r>
          <w:rPr>
            <w:webHidden/>
          </w:rPr>
        </w:r>
        <w:r>
          <w:rPr>
            <w:webHidden/>
          </w:rPr>
          <w:fldChar w:fldCharType="separate"/>
        </w:r>
        <w:r w:rsidR="00D1685C">
          <w:rPr>
            <w:webHidden/>
          </w:rPr>
          <w:t>121</w:t>
        </w:r>
        <w:r>
          <w:rPr>
            <w:webHidden/>
          </w:rPr>
          <w:fldChar w:fldCharType="end"/>
        </w:r>
      </w:hyperlink>
    </w:p>
    <w:p w14:paraId="3ED786A4" w14:textId="1D095244"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61" w:history="1">
        <w:r w:rsidRPr="001F7904">
          <w:rPr>
            <w:rStyle w:val="Hyperlink"/>
            <w:rFonts w:eastAsia="Calibri"/>
          </w:rPr>
          <w:t>B.2</w:t>
        </w:r>
        <w:r>
          <w:rPr>
            <w:rFonts w:eastAsiaTheme="minorEastAsia"/>
            <w:color w:val="auto"/>
            <w:kern w:val="2"/>
            <w:sz w:val="24"/>
            <w:szCs w:val="24"/>
            <w:lang w:eastAsia="en-AU"/>
            <w14:ligatures w14:val="standardContextual"/>
          </w:rPr>
          <w:tab/>
        </w:r>
        <w:r w:rsidRPr="001F7904">
          <w:rPr>
            <w:rStyle w:val="Hyperlink"/>
          </w:rPr>
          <w:t>Survey of people living with or with lived experience of cancer and their carers</w:t>
        </w:r>
        <w:r>
          <w:rPr>
            <w:webHidden/>
          </w:rPr>
          <w:tab/>
        </w:r>
        <w:r>
          <w:rPr>
            <w:webHidden/>
          </w:rPr>
          <w:fldChar w:fldCharType="begin"/>
        </w:r>
        <w:r>
          <w:rPr>
            <w:webHidden/>
          </w:rPr>
          <w:instrText xml:space="preserve"> PAGEREF _Toc207348761 \h </w:instrText>
        </w:r>
        <w:r>
          <w:rPr>
            <w:webHidden/>
          </w:rPr>
        </w:r>
        <w:r>
          <w:rPr>
            <w:webHidden/>
          </w:rPr>
          <w:fldChar w:fldCharType="separate"/>
        </w:r>
        <w:r w:rsidR="00D1685C">
          <w:rPr>
            <w:webHidden/>
          </w:rPr>
          <w:t>124</w:t>
        </w:r>
        <w:r>
          <w:rPr>
            <w:webHidden/>
          </w:rPr>
          <w:fldChar w:fldCharType="end"/>
        </w:r>
      </w:hyperlink>
    </w:p>
    <w:p w14:paraId="6D5504DC" w14:textId="7B8336FA"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62" w:history="1">
        <w:r w:rsidRPr="001F7904">
          <w:rPr>
            <w:rStyle w:val="Hyperlink"/>
          </w:rPr>
          <w:t>B.3</w:t>
        </w:r>
        <w:r>
          <w:rPr>
            <w:rFonts w:eastAsiaTheme="minorEastAsia"/>
            <w:color w:val="auto"/>
            <w:kern w:val="2"/>
            <w:sz w:val="24"/>
            <w:szCs w:val="24"/>
            <w:lang w:eastAsia="en-AU"/>
            <w14:ligatures w14:val="standardContextual"/>
          </w:rPr>
          <w:tab/>
        </w:r>
        <w:r w:rsidRPr="001F7904">
          <w:rPr>
            <w:rStyle w:val="Hyperlink"/>
          </w:rPr>
          <w:t>Survey of clinicians involved in the delivery of prostheses services</w:t>
        </w:r>
        <w:r>
          <w:rPr>
            <w:webHidden/>
          </w:rPr>
          <w:tab/>
        </w:r>
        <w:r>
          <w:rPr>
            <w:webHidden/>
          </w:rPr>
          <w:fldChar w:fldCharType="begin"/>
        </w:r>
        <w:r>
          <w:rPr>
            <w:webHidden/>
          </w:rPr>
          <w:instrText xml:space="preserve"> PAGEREF _Toc207348762 \h </w:instrText>
        </w:r>
        <w:r>
          <w:rPr>
            <w:webHidden/>
          </w:rPr>
        </w:r>
        <w:r>
          <w:rPr>
            <w:webHidden/>
          </w:rPr>
          <w:fldChar w:fldCharType="separate"/>
        </w:r>
        <w:r w:rsidR="00D1685C">
          <w:rPr>
            <w:webHidden/>
          </w:rPr>
          <w:t>139</w:t>
        </w:r>
        <w:r>
          <w:rPr>
            <w:webHidden/>
          </w:rPr>
          <w:fldChar w:fldCharType="end"/>
        </w:r>
      </w:hyperlink>
    </w:p>
    <w:p w14:paraId="71A87078" w14:textId="5779C248"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63" w:history="1">
        <w:r w:rsidRPr="001F7904">
          <w:rPr>
            <w:rStyle w:val="Hyperlink"/>
          </w:rPr>
          <w:t>B.4</w:t>
        </w:r>
        <w:r>
          <w:rPr>
            <w:rFonts w:eastAsiaTheme="minorEastAsia"/>
            <w:color w:val="auto"/>
            <w:kern w:val="2"/>
            <w:sz w:val="24"/>
            <w:szCs w:val="24"/>
            <w:lang w:eastAsia="en-AU"/>
            <w14:ligatures w14:val="standardContextual"/>
          </w:rPr>
          <w:tab/>
        </w:r>
        <w:r w:rsidRPr="001F7904">
          <w:rPr>
            <w:rStyle w:val="Hyperlink"/>
          </w:rPr>
          <w:t>Literature scan search protocol</w:t>
        </w:r>
        <w:r>
          <w:rPr>
            <w:webHidden/>
          </w:rPr>
          <w:tab/>
        </w:r>
        <w:r>
          <w:rPr>
            <w:webHidden/>
          </w:rPr>
          <w:fldChar w:fldCharType="begin"/>
        </w:r>
        <w:r>
          <w:rPr>
            <w:webHidden/>
          </w:rPr>
          <w:instrText xml:space="preserve"> PAGEREF _Toc207348763 \h </w:instrText>
        </w:r>
        <w:r>
          <w:rPr>
            <w:webHidden/>
          </w:rPr>
        </w:r>
        <w:r>
          <w:rPr>
            <w:webHidden/>
          </w:rPr>
          <w:fldChar w:fldCharType="separate"/>
        </w:r>
        <w:r w:rsidR="00D1685C">
          <w:rPr>
            <w:webHidden/>
          </w:rPr>
          <w:t>150</w:t>
        </w:r>
        <w:r>
          <w:rPr>
            <w:webHidden/>
          </w:rPr>
          <w:fldChar w:fldCharType="end"/>
        </w:r>
      </w:hyperlink>
    </w:p>
    <w:p w14:paraId="65EF91DE" w14:textId="37E28219"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64" w:history="1">
        <w:r w:rsidRPr="001F7904">
          <w:rPr>
            <w:rStyle w:val="Hyperlink"/>
          </w:rPr>
          <w:t>B.5</w:t>
        </w:r>
        <w:r>
          <w:rPr>
            <w:rFonts w:eastAsiaTheme="minorEastAsia"/>
            <w:color w:val="auto"/>
            <w:kern w:val="2"/>
            <w:sz w:val="24"/>
            <w:szCs w:val="24"/>
            <w:lang w:eastAsia="en-AU"/>
            <w14:ligatures w14:val="standardContextual"/>
          </w:rPr>
          <w:tab/>
        </w:r>
        <w:r w:rsidRPr="001F7904">
          <w:rPr>
            <w:rStyle w:val="Hyperlink"/>
          </w:rPr>
          <w:t>List of documents reviewed</w:t>
        </w:r>
        <w:r>
          <w:rPr>
            <w:webHidden/>
          </w:rPr>
          <w:tab/>
        </w:r>
        <w:r>
          <w:rPr>
            <w:webHidden/>
          </w:rPr>
          <w:fldChar w:fldCharType="begin"/>
        </w:r>
        <w:r>
          <w:rPr>
            <w:webHidden/>
          </w:rPr>
          <w:instrText xml:space="preserve"> PAGEREF _Toc207348764 \h </w:instrText>
        </w:r>
        <w:r>
          <w:rPr>
            <w:webHidden/>
          </w:rPr>
        </w:r>
        <w:r>
          <w:rPr>
            <w:webHidden/>
          </w:rPr>
          <w:fldChar w:fldCharType="separate"/>
        </w:r>
        <w:r w:rsidR="00D1685C">
          <w:rPr>
            <w:webHidden/>
          </w:rPr>
          <w:t>151</w:t>
        </w:r>
        <w:r>
          <w:rPr>
            <w:webHidden/>
          </w:rPr>
          <w:fldChar w:fldCharType="end"/>
        </w:r>
      </w:hyperlink>
    </w:p>
    <w:p w14:paraId="32BBEF9B" w14:textId="1030FCAF" w:rsidR="00326544" w:rsidRDefault="00326544" w:rsidP="000B62E6">
      <w:pPr>
        <w:pStyle w:val="TOC1"/>
        <w:tabs>
          <w:tab w:val="clear" w:pos="9060"/>
          <w:tab w:val="right" w:leader="dot" w:pos="10204"/>
        </w:tabs>
        <w:rPr>
          <w:rFonts w:eastAsiaTheme="minorEastAsia"/>
          <w:b w:val="0"/>
          <w:color w:val="auto"/>
          <w:kern w:val="2"/>
          <w:sz w:val="24"/>
          <w:szCs w:val="24"/>
          <w:lang w:eastAsia="en-AU"/>
          <w14:ligatures w14:val="standardContextual"/>
        </w:rPr>
      </w:pPr>
      <w:hyperlink w:anchor="_Toc207348765" w:history="1">
        <w:r w:rsidRPr="001F7904">
          <w:rPr>
            <w:rStyle w:val="Hyperlink"/>
          </w:rPr>
          <w:t>Appendix C : Facial prostheses services, programs and schemes</w:t>
        </w:r>
        <w:r>
          <w:rPr>
            <w:webHidden/>
          </w:rPr>
          <w:tab/>
        </w:r>
        <w:r>
          <w:rPr>
            <w:webHidden/>
          </w:rPr>
          <w:fldChar w:fldCharType="begin"/>
        </w:r>
        <w:r>
          <w:rPr>
            <w:webHidden/>
          </w:rPr>
          <w:instrText xml:space="preserve"> PAGEREF _Toc207348765 \h </w:instrText>
        </w:r>
        <w:r>
          <w:rPr>
            <w:webHidden/>
          </w:rPr>
        </w:r>
        <w:r>
          <w:rPr>
            <w:webHidden/>
          </w:rPr>
          <w:fldChar w:fldCharType="separate"/>
        </w:r>
        <w:r w:rsidR="00D1685C">
          <w:rPr>
            <w:webHidden/>
          </w:rPr>
          <w:t>152</w:t>
        </w:r>
        <w:r>
          <w:rPr>
            <w:webHidden/>
          </w:rPr>
          <w:fldChar w:fldCharType="end"/>
        </w:r>
      </w:hyperlink>
    </w:p>
    <w:p w14:paraId="6EE3CDBF" w14:textId="2051875D"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66" w:history="1">
        <w:r w:rsidRPr="001F7904">
          <w:rPr>
            <w:rStyle w:val="Hyperlink"/>
          </w:rPr>
          <w:t>C.1</w:t>
        </w:r>
        <w:r>
          <w:rPr>
            <w:rFonts w:eastAsiaTheme="minorEastAsia"/>
            <w:color w:val="auto"/>
            <w:kern w:val="2"/>
            <w:sz w:val="24"/>
            <w:szCs w:val="24"/>
            <w:lang w:eastAsia="en-AU"/>
            <w14:ligatures w14:val="standardContextual"/>
          </w:rPr>
          <w:tab/>
        </w:r>
        <w:r w:rsidRPr="001F7904">
          <w:rPr>
            <w:rStyle w:val="Hyperlink"/>
          </w:rPr>
          <w:t>Department of Veterans’ Affairs</w:t>
        </w:r>
        <w:r>
          <w:rPr>
            <w:webHidden/>
          </w:rPr>
          <w:tab/>
        </w:r>
        <w:r>
          <w:rPr>
            <w:webHidden/>
          </w:rPr>
          <w:fldChar w:fldCharType="begin"/>
        </w:r>
        <w:r>
          <w:rPr>
            <w:webHidden/>
          </w:rPr>
          <w:instrText xml:space="preserve"> PAGEREF _Toc207348766 \h </w:instrText>
        </w:r>
        <w:r>
          <w:rPr>
            <w:webHidden/>
          </w:rPr>
        </w:r>
        <w:r>
          <w:rPr>
            <w:webHidden/>
          </w:rPr>
          <w:fldChar w:fldCharType="separate"/>
        </w:r>
        <w:r w:rsidR="00D1685C">
          <w:rPr>
            <w:webHidden/>
          </w:rPr>
          <w:t>152</w:t>
        </w:r>
        <w:r>
          <w:rPr>
            <w:webHidden/>
          </w:rPr>
          <w:fldChar w:fldCharType="end"/>
        </w:r>
      </w:hyperlink>
    </w:p>
    <w:p w14:paraId="3458FA52" w14:textId="5E05F8CE"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67" w:history="1">
        <w:r w:rsidRPr="001F7904">
          <w:rPr>
            <w:rStyle w:val="Hyperlink"/>
          </w:rPr>
          <w:t>C.2</w:t>
        </w:r>
        <w:r>
          <w:rPr>
            <w:rFonts w:eastAsiaTheme="minorEastAsia"/>
            <w:color w:val="auto"/>
            <w:kern w:val="2"/>
            <w:sz w:val="24"/>
            <w:szCs w:val="24"/>
            <w:lang w:eastAsia="en-AU"/>
            <w14:ligatures w14:val="standardContextual"/>
          </w:rPr>
          <w:tab/>
        </w:r>
        <w:r w:rsidRPr="001F7904">
          <w:rPr>
            <w:rStyle w:val="Hyperlink"/>
          </w:rPr>
          <w:t>Australian Capital Territory</w:t>
        </w:r>
        <w:r>
          <w:rPr>
            <w:webHidden/>
          </w:rPr>
          <w:tab/>
        </w:r>
        <w:r>
          <w:rPr>
            <w:webHidden/>
          </w:rPr>
          <w:fldChar w:fldCharType="begin"/>
        </w:r>
        <w:r>
          <w:rPr>
            <w:webHidden/>
          </w:rPr>
          <w:instrText xml:space="preserve"> PAGEREF _Toc207348767 \h </w:instrText>
        </w:r>
        <w:r>
          <w:rPr>
            <w:webHidden/>
          </w:rPr>
        </w:r>
        <w:r>
          <w:rPr>
            <w:webHidden/>
          </w:rPr>
          <w:fldChar w:fldCharType="separate"/>
        </w:r>
        <w:r w:rsidR="00D1685C">
          <w:rPr>
            <w:webHidden/>
          </w:rPr>
          <w:t>153</w:t>
        </w:r>
        <w:r>
          <w:rPr>
            <w:webHidden/>
          </w:rPr>
          <w:fldChar w:fldCharType="end"/>
        </w:r>
      </w:hyperlink>
    </w:p>
    <w:p w14:paraId="5487DED9" w14:textId="0B7BBE5B"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68" w:history="1">
        <w:r w:rsidRPr="001F7904">
          <w:rPr>
            <w:rStyle w:val="Hyperlink"/>
          </w:rPr>
          <w:t>C.3</w:t>
        </w:r>
        <w:r>
          <w:rPr>
            <w:rFonts w:eastAsiaTheme="minorEastAsia"/>
            <w:color w:val="auto"/>
            <w:kern w:val="2"/>
            <w:sz w:val="24"/>
            <w:szCs w:val="24"/>
            <w:lang w:eastAsia="en-AU"/>
            <w14:ligatures w14:val="standardContextual"/>
          </w:rPr>
          <w:tab/>
        </w:r>
        <w:r w:rsidRPr="001F7904">
          <w:rPr>
            <w:rStyle w:val="Hyperlink"/>
          </w:rPr>
          <w:t>Queensland</w:t>
        </w:r>
        <w:r>
          <w:rPr>
            <w:webHidden/>
          </w:rPr>
          <w:tab/>
        </w:r>
        <w:r>
          <w:rPr>
            <w:webHidden/>
          </w:rPr>
          <w:fldChar w:fldCharType="begin"/>
        </w:r>
        <w:r>
          <w:rPr>
            <w:webHidden/>
          </w:rPr>
          <w:instrText xml:space="preserve"> PAGEREF _Toc207348768 \h </w:instrText>
        </w:r>
        <w:r>
          <w:rPr>
            <w:webHidden/>
          </w:rPr>
        </w:r>
        <w:r>
          <w:rPr>
            <w:webHidden/>
          </w:rPr>
          <w:fldChar w:fldCharType="separate"/>
        </w:r>
        <w:r w:rsidR="00D1685C">
          <w:rPr>
            <w:webHidden/>
          </w:rPr>
          <w:t>154</w:t>
        </w:r>
        <w:r>
          <w:rPr>
            <w:webHidden/>
          </w:rPr>
          <w:fldChar w:fldCharType="end"/>
        </w:r>
      </w:hyperlink>
    </w:p>
    <w:p w14:paraId="7B7D1A79" w14:textId="3692739B"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69" w:history="1">
        <w:r w:rsidRPr="001F7904">
          <w:rPr>
            <w:rStyle w:val="Hyperlink"/>
          </w:rPr>
          <w:t>C.4</w:t>
        </w:r>
        <w:r>
          <w:rPr>
            <w:rFonts w:eastAsiaTheme="minorEastAsia"/>
            <w:color w:val="auto"/>
            <w:kern w:val="2"/>
            <w:sz w:val="24"/>
            <w:szCs w:val="24"/>
            <w:lang w:eastAsia="en-AU"/>
            <w14:ligatures w14:val="standardContextual"/>
          </w:rPr>
          <w:tab/>
        </w:r>
        <w:r w:rsidRPr="001F7904">
          <w:rPr>
            <w:rStyle w:val="Hyperlink"/>
          </w:rPr>
          <w:t>Victoria</w:t>
        </w:r>
        <w:r>
          <w:rPr>
            <w:webHidden/>
          </w:rPr>
          <w:tab/>
        </w:r>
        <w:r>
          <w:rPr>
            <w:webHidden/>
          </w:rPr>
          <w:fldChar w:fldCharType="begin"/>
        </w:r>
        <w:r>
          <w:rPr>
            <w:webHidden/>
          </w:rPr>
          <w:instrText xml:space="preserve"> PAGEREF _Toc207348769 \h </w:instrText>
        </w:r>
        <w:r>
          <w:rPr>
            <w:webHidden/>
          </w:rPr>
        </w:r>
        <w:r>
          <w:rPr>
            <w:webHidden/>
          </w:rPr>
          <w:fldChar w:fldCharType="separate"/>
        </w:r>
        <w:r w:rsidR="00D1685C">
          <w:rPr>
            <w:webHidden/>
          </w:rPr>
          <w:t>154</w:t>
        </w:r>
        <w:r>
          <w:rPr>
            <w:webHidden/>
          </w:rPr>
          <w:fldChar w:fldCharType="end"/>
        </w:r>
      </w:hyperlink>
    </w:p>
    <w:p w14:paraId="096D8687" w14:textId="3867FA9B"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70" w:history="1">
        <w:r w:rsidRPr="001F7904">
          <w:rPr>
            <w:rStyle w:val="Hyperlink"/>
          </w:rPr>
          <w:t>C.5</w:t>
        </w:r>
        <w:r>
          <w:rPr>
            <w:rFonts w:eastAsiaTheme="minorEastAsia"/>
            <w:color w:val="auto"/>
            <w:kern w:val="2"/>
            <w:sz w:val="24"/>
            <w:szCs w:val="24"/>
            <w:lang w:eastAsia="en-AU"/>
            <w14:ligatures w14:val="standardContextual"/>
          </w:rPr>
          <w:tab/>
        </w:r>
        <w:r w:rsidRPr="001F7904">
          <w:rPr>
            <w:rStyle w:val="Hyperlink"/>
          </w:rPr>
          <w:t>Western Australia</w:t>
        </w:r>
        <w:r>
          <w:rPr>
            <w:webHidden/>
          </w:rPr>
          <w:tab/>
        </w:r>
        <w:r>
          <w:rPr>
            <w:webHidden/>
          </w:rPr>
          <w:fldChar w:fldCharType="begin"/>
        </w:r>
        <w:r>
          <w:rPr>
            <w:webHidden/>
          </w:rPr>
          <w:instrText xml:space="preserve"> PAGEREF _Toc207348770 \h </w:instrText>
        </w:r>
        <w:r>
          <w:rPr>
            <w:webHidden/>
          </w:rPr>
        </w:r>
        <w:r>
          <w:rPr>
            <w:webHidden/>
          </w:rPr>
          <w:fldChar w:fldCharType="separate"/>
        </w:r>
        <w:r w:rsidR="00D1685C">
          <w:rPr>
            <w:webHidden/>
          </w:rPr>
          <w:t>155</w:t>
        </w:r>
        <w:r>
          <w:rPr>
            <w:webHidden/>
          </w:rPr>
          <w:fldChar w:fldCharType="end"/>
        </w:r>
      </w:hyperlink>
    </w:p>
    <w:p w14:paraId="49CE922E" w14:textId="77C778E7" w:rsidR="00326544" w:rsidRDefault="00326544" w:rsidP="000B62E6">
      <w:pPr>
        <w:pStyle w:val="TOC1"/>
        <w:tabs>
          <w:tab w:val="clear" w:pos="9060"/>
          <w:tab w:val="right" w:leader="dot" w:pos="10204"/>
        </w:tabs>
        <w:rPr>
          <w:rFonts w:eastAsiaTheme="minorEastAsia"/>
          <w:b w:val="0"/>
          <w:color w:val="auto"/>
          <w:kern w:val="2"/>
          <w:sz w:val="24"/>
          <w:szCs w:val="24"/>
          <w:lang w:eastAsia="en-AU"/>
          <w14:ligatures w14:val="standardContextual"/>
        </w:rPr>
      </w:pPr>
      <w:hyperlink w:anchor="_Toc207348771" w:history="1">
        <w:r w:rsidRPr="001F7904">
          <w:rPr>
            <w:rStyle w:val="Hyperlink"/>
          </w:rPr>
          <w:t>Appendix D : Breast prostheses services, programs and schemes</w:t>
        </w:r>
        <w:r>
          <w:rPr>
            <w:webHidden/>
          </w:rPr>
          <w:tab/>
        </w:r>
        <w:r>
          <w:rPr>
            <w:webHidden/>
          </w:rPr>
          <w:fldChar w:fldCharType="begin"/>
        </w:r>
        <w:r>
          <w:rPr>
            <w:webHidden/>
          </w:rPr>
          <w:instrText xml:space="preserve"> PAGEREF _Toc207348771 \h </w:instrText>
        </w:r>
        <w:r>
          <w:rPr>
            <w:webHidden/>
          </w:rPr>
        </w:r>
        <w:r>
          <w:rPr>
            <w:webHidden/>
          </w:rPr>
          <w:fldChar w:fldCharType="separate"/>
        </w:r>
        <w:r w:rsidR="00D1685C">
          <w:rPr>
            <w:webHidden/>
          </w:rPr>
          <w:t>156</w:t>
        </w:r>
        <w:r>
          <w:rPr>
            <w:webHidden/>
          </w:rPr>
          <w:fldChar w:fldCharType="end"/>
        </w:r>
      </w:hyperlink>
    </w:p>
    <w:p w14:paraId="14CABDD7" w14:textId="34741B07"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72" w:history="1">
        <w:r w:rsidRPr="001F7904">
          <w:rPr>
            <w:rStyle w:val="Hyperlink"/>
          </w:rPr>
          <w:t>D.1</w:t>
        </w:r>
        <w:r>
          <w:rPr>
            <w:rFonts w:eastAsiaTheme="minorEastAsia"/>
            <w:color w:val="auto"/>
            <w:kern w:val="2"/>
            <w:sz w:val="24"/>
            <w:szCs w:val="24"/>
            <w:lang w:eastAsia="en-AU"/>
            <w14:ligatures w14:val="standardContextual"/>
          </w:rPr>
          <w:tab/>
        </w:r>
        <w:r w:rsidRPr="001F7904">
          <w:rPr>
            <w:rStyle w:val="Hyperlink"/>
          </w:rPr>
          <w:t>External Breast Prosthesis Reimbursement Program</w:t>
        </w:r>
        <w:r>
          <w:rPr>
            <w:webHidden/>
          </w:rPr>
          <w:tab/>
        </w:r>
        <w:r>
          <w:rPr>
            <w:webHidden/>
          </w:rPr>
          <w:fldChar w:fldCharType="begin"/>
        </w:r>
        <w:r>
          <w:rPr>
            <w:webHidden/>
          </w:rPr>
          <w:instrText xml:space="preserve"> PAGEREF _Toc207348772 \h </w:instrText>
        </w:r>
        <w:r>
          <w:rPr>
            <w:webHidden/>
          </w:rPr>
        </w:r>
        <w:r>
          <w:rPr>
            <w:webHidden/>
          </w:rPr>
          <w:fldChar w:fldCharType="separate"/>
        </w:r>
        <w:r w:rsidR="00D1685C">
          <w:rPr>
            <w:webHidden/>
          </w:rPr>
          <w:t>156</w:t>
        </w:r>
        <w:r>
          <w:rPr>
            <w:webHidden/>
          </w:rPr>
          <w:fldChar w:fldCharType="end"/>
        </w:r>
      </w:hyperlink>
    </w:p>
    <w:p w14:paraId="40E18D63" w14:textId="2D1977B7"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73" w:history="1">
        <w:r w:rsidRPr="001F7904">
          <w:rPr>
            <w:rStyle w:val="Hyperlink"/>
          </w:rPr>
          <w:t>D.2</w:t>
        </w:r>
        <w:r>
          <w:rPr>
            <w:rFonts w:eastAsiaTheme="minorEastAsia"/>
            <w:color w:val="auto"/>
            <w:kern w:val="2"/>
            <w:sz w:val="24"/>
            <w:szCs w:val="24"/>
            <w:lang w:eastAsia="en-AU"/>
            <w14:ligatures w14:val="standardContextual"/>
          </w:rPr>
          <w:tab/>
        </w:r>
        <w:r w:rsidRPr="001F7904">
          <w:rPr>
            <w:rStyle w:val="Hyperlink"/>
          </w:rPr>
          <w:t>Availability of external breast prostheses retailers across Australia</w:t>
        </w:r>
        <w:r>
          <w:rPr>
            <w:webHidden/>
          </w:rPr>
          <w:tab/>
        </w:r>
        <w:r>
          <w:rPr>
            <w:webHidden/>
          </w:rPr>
          <w:fldChar w:fldCharType="begin"/>
        </w:r>
        <w:r>
          <w:rPr>
            <w:webHidden/>
          </w:rPr>
          <w:instrText xml:space="preserve"> PAGEREF _Toc207348773 \h </w:instrText>
        </w:r>
        <w:r>
          <w:rPr>
            <w:webHidden/>
          </w:rPr>
        </w:r>
        <w:r>
          <w:rPr>
            <w:webHidden/>
          </w:rPr>
          <w:fldChar w:fldCharType="separate"/>
        </w:r>
        <w:r w:rsidR="00D1685C">
          <w:rPr>
            <w:webHidden/>
          </w:rPr>
          <w:t>157</w:t>
        </w:r>
        <w:r>
          <w:rPr>
            <w:webHidden/>
          </w:rPr>
          <w:fldChar w:fldCharType="end"/>
        </w:r>
      </w:hyperlink>
    </w:p>
    <w:p w14:paraId="27F9F638" w14:textId="2E80FD0F"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74" w:history="1">
        <w:r w:rsidRPr="001F7904">
          <w:rPr>
            <w:rStyle w:val="Hyperlink"/>
          </w:rPr>
          <w:t>D.3</w:t>
        </w:r>
        <w:r>
          <w:rPr>
            <w:rFonts w:eastAsiaTheme="minorEastAsia"/>
            <w:color w:val="auto"/>
            <w:kern w:val="2"/>
            <w:sz w:val="24"/>
            <w:szCs w:val="24"/>
            <w:lang w:eastAsia="en-AU"/>
            <w14:ligatures w14:val="standardContextual"/>
          </w:rPr>
          <w:tab/>
        </w:r>
        <w:r w:rsidRPr="001F7904">
          <w:rPr>
            <w:rStyle w:val="Hyperlink"/>
          </w:rPr>
          <w:t>My Care Kit</w:t>
        </w:r>
        <w:r>
          <w:rPr>
            <w:webHidden/>
          </w:rPr>
          <w:tab/>
        </w:r>
        <w:r>
          <w:rPr>
            <w:webHidden/>
          </w:rPr>
          <w:fldChar w:fldCharType="begin"/>
        </w:r>
        <w:r>
          <w:rPr>
            <w:webHidden/>
          </w:rPr>
          <w:instrText xml:space="preserve"> PAGEREF _Toc207348774 \h </w:instrText>
        </w:r>
        <w:r>
          <w:rPr>
            <w:webHidden/>
          </w:rPr>
        </w:r>
        <w:r>
          <w:rPr>
            <w:webHidden/>
          </w:rPr>
          <w:fldChar w:fldCharType="separate"/>
        </w:r>
        <w:r w:rsidR="00D1685C">
          <w:rPr>
            <w:webHidden/>
          </w:rPr>
          <w:t>158</w:t>
        </w:r>
        <w:r>
          <w:rPr>
            <w:webHidden/>
          </w:rPr>
          <w:fldChar w:fldCharType="end"/>
        </w:r>
      </w:hyperlink>
    </w:p>
    <w:p w14:paraId="3B67815C" w14:textId="0CC8108F"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75" w:history="1">
        <w:r w:rsidRPr="001F7904">
          <w:rPr>
            <w:rStyle w:val="Hyperlink"/>
          </w:rPr>
          <w:t>D.4</w:t>
        </w:r>
        <w:r>
          <w:rPr>
            <w:rFonts w:eastAsiaTheme="minorEastAsia"/>
            <w:color w:val="auto"/>
            <w:kern w:val="2"/>
            <w:sz w:val="24"/>
            <w:szCs w:val="24"/>
            <w:lang w:eastAsia="en-AU"/>
            <w14:ligatures w14:val="standardContextual"/>
          </w:rPr>
          <w:tab/>
        </w:r>
        <w:r w:rsidRPr="001F7904">
          <w:rPr>
            <w:rStyle w:val="Hyperlink"/>
          </w:rPr>
          <w:t>Knitted Knockers Australia</w:t>
        </w:r>
        <w:r>
          <w:rPr>
            <w:webHidden/>
          </w:rPr>
          <w:tab/>
        </w:r>
        <w:r>
          <w:rPr>
            <w:webHidden/>
          </w:rPr>
          <w:fldChar w:fldCharType="begin"/>
        </w:r>
        <w:r>
          <w:rPr>
            <w:webHidden/>
          </w:rPr>
          <w:instrText xml:space="preserve"> PAGEREF _Toc207348775 \h </w:instrText>
        </w:r>
        <w:r>
          <w:rPr>
            <w:webHidden/>
          </w:rPr>
        </w:r>
        <w:r>
          <w:rPr>
            <w:webHidden/>
          </w:rPr>
          <w:fldChar w:fldCharType="separate"/>
        </w:r>
        <w:r w:rsidR="00D1685C">
          <w:rPr>
            <w:webHidden/>
          </w:rPr>
          <w:t>159</w:t>
        </w:r>
        <w:r>
          <w:rPr>
            <w:webHidden/>
          </w:rPr>
          <w:fldChar w:fldCharType="end"/>
        </w:r>
      </w:hyperlink>
    </w:p>
    <w:p w14:paraId="0CDA770C" w14:textId="61A255AD"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76" w:history="1">
        <w:r w:rsidRPr="001F7904">
          <w:rPr>
            <w:rStyle w:val="Hyperlink"/>
          </w:rPr>
          <w:t>D.5</w:t>
        </w:r>
        <w:r>
          <w:rPr>
            <w:rFonts w:eastAsiaTheme="minorEastAsia"/>
            <w:color w:val="auto"/>
            <w:kern w:val="2"/>
            <w:sz w:val="24"/>
            <w:szCs w:val="24"/>
            <w:lang w:eastAsia="en-AU"/>
            <w14:ligatures w14:val="standardContextual"/>
          </w:rPr>
          <w:tab/>
        </w:r>
        <w:r w:rsidRPr="001F7904">
          <w:rPr>
            <w:rStyle w:val="Hyperlink"/>
          </w:rPr>
          <w:t>Department of Veterans’ Affairs</w:t>
        </w:r>
        <w:r>
          <w:rPr>
            <w:webHidden/>
          </w:rPr>
          <w:tab/>
        </w:r>
        <w:r>
          <w:rPr>
            <w:webHidden/>
          </w:rPr>
          <w:fldChar w:fldCharType="begin"/>
        </w:r>
        <w:r>
          <w:rPr>
            <w:webHidden/>
          </w:rPr>
          <w:instrText xml:space="preserve"> PAGEREF _Toc207348776 \h </w:instrText>
        </w:r>
        <w:r>
          <w:rPr>
            <w:webHidden/>
          </w:rPr>
        </w:r>
        <w:r>
          <w:rPr>
            <w:webHidden/>
          </w:rPr>
          <w:fldChar w:fldCharType="separate"/>
        </w:r>
        <w:r w:rsidR="00D1685C">
          <w:rPr>
            <w:webHidden/>
          </w:rPr>
          <w:t>160</w:t>
        </w:r>
        <w:r>
          <w:rPr>
            <w:webHidden/>
          </w:rPr>
          <w:fldChar w:fldCharType="end"/>
        </w:r>
      </w:hyperlink>
    </w:p>
    <w:p w14:paraId="3415CBEB" w14:textId="6426021C" w:rsidR="00326544" w:rsidRDefault="00326544" w:rsidP="000B62E6">
      <w:pPr>
        <w:pStyle w:val="TOC1"/>
        <w:tabs>
          <w:tab w:val="clear" w:pos="9060"/>
          <w:tab w:val="right" w:leader="dot" w:pos="10204"/>
        </w:tabs>
        <w:rPr>
          <w:rFonts w:eastAsiaTheme="minorEastAsia"/>
          <w:b w:val="0"/>
          <w:color w:val="auto"/>
          <w:kern w:val="2"/>
          <w:sz w:val="24"/>
          <w:szCs w:val="24"/>
          <w:lang w:eastAsia="en-AU"/>
          <w14:ligatures w14:val="standardContextual"/>
        </w:rPr>
      </w:pPr>
      <w:hyperlink w:anchor="_Toc207348777" w:history="1">
        <w:r w:rsidRPr="001F7904">
          <w:rPr>
            <w:rStyle w:val="Hyperlink"/>
          </w:rPr>
          <w:t>Appendix E : Limb prostheses services, programs and schemes</w:t>
        </w:r>
        <w:r>
          <w:rPr>
            <w:webHidden/>
          </w:rPr>
          <w:tab/>
        </w:r>
        <w:r>
          <w:rPr>
            <w:webHidden/>
          </w:rPr>
          <w:fldChar w:fldCharType="begin"/>
        </w:r>
        <w:r>
          <w:rPr>
            <w:webHidden/>
          </w:rPr>
          <w:instrText xml:space="preserve"> PAGEREF _Toc207348777 \h </w:instrText>
        </w:r>
        <w:r>
          <w:rPr>
            <w:webHidden/>
          </w:rPr>
        </w:r>
        <w:r>
          <w:rPr>
            <w:webHidden/>
          </w:rPr>
          <w:fldChar w:fldCharType="separate"/>
        </w:r>
        <w:r w:rsidR="00D1685C">
          <w:rPr>
            <w:webHidden/>
          </w:rPr>
          <w:t>161</w:t>
        </w:r>
        <w:r>
          <w:rPr>
            <w:webHidden/>
          </w:rPr>
          <w:fldChar w:fldCharType="end"/>
        </w:r>
      </w:hyperlink>
    </w:p>
    <w:p w14:paraId="433CD7EE" w14:textId="2697B28C"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78" w:history="1">
        <w:r w:rsidRPr="001F7904">
          <w:rPr>
            <w:rStyle w:val="Hyperlink"/>
          </w:rPr>
          <w:t>E.1</w:t>
        </w:r>
        <w:r>
          <w:rPr>
            <w:rFonts w:eastAsiaTheme="minorEastAsia"/>
            <w:color w:val="auto"/>
            <w:kern w:val="2"/>
            <w:sz w:val="24"/>
            <w:szCs w:val="24"/>
            <w:lang w:eastAsia="en-AU"/>
            <w14:ligatures w14:val="standardContextual"/>
          </w:rPr>
          <w:tab/>
        </w:r>
        <w:r w:rsidRPr="001F7904">
          <w:rPr>
            <w:rStyle w:val="Hyperlink"/>
          </w:rPr>
          <w:t>National Disability Insurance Scheme</w:t>
        </w:r>
        <w:r>
          <w:rPr>
            <w:webHidden/>
          </w:rPr>
          <w:tab/>
        </w:r>
        <w:r>
          <w:rPr>
            <w:webHidden/>
          </w:rPr>
          <w:fldChar w:fldCharType="begin"/>
        </w:r>
        <w:r>
          <w:rPr>
            <w:webHidden/>
          </w:rPr>
          <w:instrText xml:space="preserve"> PAGEREF _Toc207348778 \h </w:instrText>
        </w:r>
        <w:r>
          <w:rPr>
            <w:webHidden/>
          </w:rPr>
        </w:r>
        <w:r>
          <w:rPr>
            <w:webHidden/>
          </w:rPr>
          <w:fldChar w:fldCharType="separate"/>
        </w:r>
        <w:r w:rsidR="00D1685C">
          <w:rPr>
            <w:webHidden/>
          </w:rPr>
          <w:t>161</w:t>
        </w:r>
        <w:r>
          <w:rPr>
            <w:webHidden/>
          </w:rPr>
          <w:fldChar w:fldCharType="end"/>
        </w:r>
      </w:hyperlink>
    </w:p>
    <w:p w14:paraId="10348BF9" w14:textId="64BA800B"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79" w:history="1">
        <w:r w:rsidRPr="001F7904">
          <w:rPr>
            <w:rStyle w:val="Hyperlink"/>
          </w:rPr>
          <w:t>E.2</w:t>
        </w:r>
        <w:r>
          <w:rPr>
            <w:rFonts w:eastAsiaTheme="minorEastAsia"/>
            <w:color w:val="auto"/>
            <w:kern w:val="2"/>
            <w:sz w:val="24"/>
            <w:szCs w:val="24"/>
            <w:lang w:eastAsia="en-AU"/>
            <w14:ligatures w14:val="standardContextual"/>
          </w:rPr>
          <w:tab/>
        </w:r>
        <w:r w:rsidRPr="001F7904">
          <w:rPr>
            <w:rStyle w:val="Hyperlink"/>
          </w:rPr>
          <w:t>Availability of accredited limb prostheses service providers</w:t>
        </w:r>
        <w:r>
          <w:rPr>
            <w:webHidden/>
          </w:rPr>
          <w:tab/>
        </w:r>
        <w:r>
          <w:rPr>
            <w:webHidden/>
          </w:rPr>
          <w:fldChar w:fldCharType="begin"/>
        </w:r>
        <w:r>
          <w:rPr>
            <w:webHidden/>
          </w:rPr>
          <w:instrText xml:space="preserve"> PAGEREF _Toc207348779 \h </w:instrText>
        </w:r>
        <w:r>
          <w:rPr>
            <w:webHidden/>
          </w:rPr>
        </w:r>
        <w:r>
          <w:rPr>
            <w:webHidden/>
          </w:rPr>
          <w:fldChar w:fldCharType="separate"/>
        </w:r>
        <w:r w:rsidR="00D1685C">
          <w:rPr>
            <w:webHidden/>
          </w:rPr>
          <w:t>162</w:t>
        </w:r>
        <w:r>
          <w:rPr>
            <w:webHidden/>
          </w:rPr>
          <w:fldChar w:fldCharType="end"/>
        </w:r>
      </w:hyperlink>
    </w:p>
    <w:p w14:paraId="4AEA8003" w14:textId="432C204F"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80" w:history="1">
        <w:r w:rsidRPr="001F7904">
          <w:rPr>
            <w:rStyle w:val="Hyperlink"/>
          </w:rPr>
          <w:t>E.3</w:t>
        </w:r>
        <w:r>
          <w:rPr>
            <w:rFonts w:eastAsiaTheme="minorEastAsia"/>
            <w:color w:val="auto"/>
            <w:kern w:val="2"/>
            <w:sz w:val="24"/>
            <w:szCs w:val="24"/>
            <w:lang w:eastAsia="en-AU"/>
            <w14:ligatures w14:val="standardContextual"/>
          </w:rPr>
          <w:tab/>
        </w:r>
        <w:r w:rsidRPr="001F7904">
          <w:rPr>
            <w:rStyle w:val="Hyperlink"/>
          </w:rPr>
          <w:t>Department of Veterans’ Affairs</w:t>
        </w:r>
        <w:r>
          <w:rPr>
            <w:webHidden/>
          </w:rPr>
          <w:tab/>
        </w:r>
        <w:r>
          <w:rPr>
            <w:webHidden/>
          </w:rPr>
          <w:fldChar w:fldCharType="begin"/>
        </w:r>
        <w:r>
          <w:rPr>
            <w:webHidden/>
          </w:rPr>
          <w:instrText xml:space="preserve"> PAGEREF _Toc207348780 \h </w:instrText>
        </w:r>
        <w:r>
          <w:rPr>
            <w:webHidden/>
          </w:rPr>
        </w:r>
        <w:r>
          <w:rPr>
            <w:webHidden/>
          </w:rPr>
          <w:fldChar w:fldCharType="separate"/>
        </w:r>
        <w:r w:rsidR="00D1685C">
          <w:rPr>
            <w:webHidden/>
          </w:rPr>
          <w:t>164</w:t>
        </w:r>
        <w:r>
          <w:rPr>
            <w:webHidden/>
          </w:rPr>
          <w:fldChar w:fldCharType="end"/>
        </w:r>
      </w:hyperlink>
    </w:p>
    <w:p w14:paraId="213DC18B" w14:textId="5A0887A9"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81" w:history="1">
        <w:r w:rsidRPr="001F7904">
          <w:rPr>
            <w:rStyle w:val="Hyperlink"/>
          </w:rPr>
          <w:t>E.4</w:t>
        </w:r>
        <w:r>
          <w:rPr>
            <w:rFonts w:eastAsiaTheme="minorEastAsia"/>
            <w:color w:val="auto"/>
            <w:kern w:val="2"/>
            <w:sz w:val="24"/>
            <w:szCs w:val="24"/>
            <w:lang w:eastAsia="en-AU"/>
            <w14:ligatures w14:val="standardContextual"/>
          </w:rPr>
          <w:tab/>
        </w:r>
        <w:r w:rsidRPr="001F7904">
          <w:rPr>
            <w:rStyle w:val="Hyperlink"/>
          </w:rPr>
          <w:t>Australian Capital Territory</w:t>
        </w:r>
        <w:r>
          <w:rPr>
            <w:webHidden/>
          </w:rPr>
          <w:tab/>
        </w:r>
        <w:r>
          <w:rPr>
            <w:webHidden/>
          </w:rPr>
          <w:fldChar w:fldCharType="begin"/>
        </w:r>
        <w:r>
          <w:rPr>
            <w:webHidden/>
          </w:rPr>
          <w:instrText xml:space="preserve"> PAGEREF _Toc207348781 \h </w:instrText>
        </w:r>
        <w:r>
          <w:rPr>
            <w:webHidden/>
          </w:rPr>
        </w:r>
        <w:r>
          <w:rPr>
            <w:webHidden/>
          </w:rPr>
          <w:fldChar w:fldCharType="separate"/>
        </w:r>
        <w:r w:rsidR="00D1685C">
          <w:rPr>
            <w:webHidden/>
          </w:rPr>
          <w:t>164</w:t>
        </w:r>
        <w:r>
          <w:rPr>
            <w:webHidden/>
          </w:rPr>
          <w:fldChar w:fldCharType="end"/>
        </w:r>
      </w:hyperlink>
    </w:p>
    <w:p w14:paraId="5936ABCA" w14:textId="7AAF2B09"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82" w:history="1">
        <w:r w:rsidRPr="001F7904">
          <w:rPr>
            <w:rStyle w:val="Hyperlink"/>
          </w:rPr>
          <w:t>E.5</w:t>
        </w:r>
        <w:r>
          <w:rPr>
            <w:rFonts w:eastAsiaTheme="minorEastAsia"/>
            <w:color w:val="auto"/>
            <w:kern w:val="2"/>
            <w:sz w:val="24"/>
            <w:szCs w:val="24"/>
            <w:lang w:eastAsia="en-AU"/>
            <w14:ligatures w14:val="standardContextual"/>
          </w:rPr>
          <w:tab/>
        </w:r>
        <w:r w:rsidRPr="001F7904">
          <w:rPr>
            <w:rStyle w:val="Hyperlink"/>
          </w:rPr>
          <w:t>New South Wales</w:t>
        </w:r>
        <w:r>
          <w:rPr>
            <w:webHidden/>
          </w:rPr>
          <w:tab/>
        </w:r>
        <w:r>
          <w:rPr>
            <w:webHidden/>
          </w:rPr>
          <w:fldChar w:fldCharType="begin"/>
        </w:r>
        <w:r>
          <w:rPr>
            <w:webHidden/>
          </w:rPr>
          <w:instrText xml:space="preserve"> PAGEREF _Toc207348782 \h </w:instrText>
        </w:r>
        <w:r>
          <w:rPr>
            <w:webHidden/>
          </w:rPr>
        </w:r>
        <w:r>
          <w:rPr>
            <w:webHidden/>
          </w:rPr>
          <w:fldChar w:fldCharType="separate"/>
        </w:r>
        <w:r w:rsidR="00D1685C">
          <w:rPr>
            <w:webHidden/>
          </w:rPr>
          <w:t>166</w:t>
        </w:r>
        <w:r>
          <w:rPr>
            <w:webHidden/>
          </w:rPr>
          <w:fldChar w:fldCharType="end"/>
        </w:r>
      </w:hyperlink>
    </w:p>
    <w:p w14:paraId="21694A5D" w14:textId="31A24BE9"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83" w:history="1">
        <w:r w:rsidRPr="001F7904">
          <w:rPr>
            <w:rStyle w:val="Hyperlink"/>
          </w:rPr>
          <w:t>E.6</w:t>
        </w:r>
        <w:r>
          <w:rPr>
            <w:rFonts w:eastAsiaTheme="minorEastAsia"/>
            <w:color w:val="auto"/>
            <w:kern w:val="2"/>
            <w:sz w:val="24"/>
            <w:szCs w:val="24"/>
            <w:lang w:eastAsia="en-AU"/>
            <w14:ligatures w14:val="standardContextual"/>
          </w:rPr>
          <w:tab/>
        </w:r>
        <w:r w:rsidRPr="001F7904">
          <w:rPr>
            <w:rStyle w:val="Hyperlink"/>
          </w:rPr>
          <w:t>Northern Territory</w:t>
        </w:r>
        <w:r>
          <w:rPr>
            <w:webHidden/>
          </w:rPr>
          <w:tab/>
        </w:r>
        <w:r>
          <w:rPr>
            <w:webHidden/>
          </w:rPr>
          <w:fldChar w:fldCharType="begin"/>
        </w:r>
        <w:r>
          <w:rPr>
            <w:webHidden/>
          </w:rPr>
          <w:instrText xml:space="preserve"> PAGEREF _Toc207348783 \h </w:instrText>
        </w:r>
        <w:r>
          <w:rPr>
            <w:webHidden/>
          </w:rPr>
        </w:r>
        <w:r>
          <w:rPr>
            <w:webHidden/>
          </w:rPr>
          <w:fldChar w:fldCharType="separate"/>
        </w:r>
        <w:r w:rsidR="00D1685C">
          <w:rPr>
            <w:webHidden/>
          </w:rPr>
          <w:t>167</w:t>
        </w:r>
        <w:r>
          <w:rPr>
            <w:webHidden/>
          </w:rPr>
          <w:fldChar w:fldCharType="end"/>
        </w:r>
      </w:hyperlink>
    </w:p>
    <w:p w14:paraId="5F568D6D" w14:textId="5CFA28F2"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84" w:history="1">
        <w:r w:rsidRPr="001F7904">
          <w:rPr>
            <w:rStyle w:val="Hyperlink"/>
          </w:rPr>
          <w:t>E.7</w:t>
        </w:r>
        <w:r>
          <w:rPr>
            <w:rFonts w:eastAsiaTheme="minorEastAsia"/>
            <w:color w:val="auto"/>
            <w:kern w:val="2"/>
            <w:sz w:val="24"/>
            <w:szCs w:val="24"/>
            <w:lang w:eastAsia="en-AU"/>
            <w14:ligatures w14:val="standardContextual"/>
          </w:rPr>
          <w:tab/>
        </w:r>
        <w:r w:rsidRPr="001F7904">
          <w:rPr>
            <w:rStyle w:val="Hyperlink"/>
          </w:rPr>
          <w:t>Queensland</w:t>
        </w:r>
        <w:r>
          <w:rPr>
            <w:webHidden/>
          </w:rPr>
          <w:tab/>
        </w:r>
        <w:r>
          <w:rPr>
            <w:webHidden/>
          </w:rPr>
          <w:fldChar w:fldCharType="begin"/>
        </w:r>
        <w:r>
          <w:rPr>
            <w:webHidden/>
          </w:rPr>
          <w:instrText xml:space="preserve"> PAGEREF _Toc207348784 \h </w:instrText>
        </w:r>
        <w:r>
          <w:rPr>
            <w:webHidden/>
          </w:rPr>
        </w:r>
        <w:r>
          <w:rPr>
            <w:webHidden/>
          </w:rPr>
          <w:fldChar w:fldCharType="separate"/>
        </w:r>
        <w:r w:rsidR="00D1685C">
          <w:rPr>
            <w:webHidden/>
          </w:rPr>
          <w:t>168</w:t>
        </w:r>
        <w:r>
          <w:rPr>
            <w:webHidden/>
          </w:rPr>
          <w:fldChar w:fldCharType="end"/>
        </w:r>
      </w:hyperlink>
    </w:p>
    <w:p w14:paraId="167C7EEB" w14:textId="1EC6DB31"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85" w:history="1">
        <w:r w:rsidRPr="001F7904">
          <w:rPr>
            <w:rStyle w:val="Hyperlink"/>
          </w:rPr>
          <w:t>E.8</w:t>
        </w:r>
        <w:r>
          <w:rPr>
            <w:rFonts w:eastAsiaTheme="minorEastAsia"/>
            <w:color w:val="auto"/>
            <w:kern w:val="2"/>
            <w:sz w:val="24"/>
            <w:szCs w:val="24"/>
            <w:lang w:eastAsia="en-AU"/>
            <w14:ligatures w14:val="standardContextual"/>
          </w:rPr>
          <w:tab/>
        </w:r>
        <w:r w:rsidRPr="001F7904">
          <w:rPr>
            <w:rStyle w:val="Hyperlink"/>
          </w:rPr>
          <w:t>South Australia</w:t>
        </w:r>
        <w:r>
          <w:rPr>
            <w:webHidden/>
          </w:rPr>
          <w:tab/>
        </w:r>
        <w:r>
          <w:rPr>
            <w:webHidden/>
          </w:rPr>
          <w:fldChar w:fldCharType="begin"/>
        </w:r>
        <w:r>
          <w:rPr>
            <w:webHidden/>
          </w:rPr>
          <w:instrText xml:space="preserve"> PAGEREF _Toc207348785 \h </w:instrText>
        </w:r>
        <w:r>
          <w:rPr>
            <w:webHidden/>
          </w:rPr>
        </w:r>
        <w:r>
          <w:rPr>
            <w:webHidden/>
          </w:rPr>
          <w:fldChar w:fldCharType="separate"/>
        </w:r>
        <w:r w:rsidR="00D1685C">
          <w:rPr>
            <w:webHidden/>
          </w:rPr>
          <w:t>169</w:t>
        </w:r>
        <w:r>
          <w:rPr>
            <w:webHidden/>
          </w:rPr>
          <w:fldChar w:fldCharType="end"/>
        </w:r>
      </w:hyperlink>
    </w:p>
    <w:p w14:paraId="411DBB90" w14:textId="2B5195DD"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86" w:history="1">
        <w:r w:rsidRPr="001F7904">
          <w:rPr>
            <w:rStyle w:val="Hyperlink"/>
          </w:rPr>
          <w:t>E.9</w:t>
        </w:r>
        <w:r>
          <w:rPr>
            <w:rFonts w:eastAsiaTheme="minorEastAsia"/>
            <w:color w:val="auto"/>
            <w:kern w:val="2"/>
            <w:sz w:val="24"/>
            <w:szCs w:val="24"/>
            <w:lang w:eastAsia="en-AU"/>
            <w14:ligatures w14:val="standardContextual"/>
          </w:rPr>
          <w:tab/>
        </w:r>
        <w:r w:rsidRPr="001F7904">
          <w:rPr>
            <w:rStyle w:val="Hyperlink"/>
          </w:rPr>
          <w:t>Tasmania</w:t>
        </w:r>
        <w:r>
          <w:rPr>
            <w:webHidden/>
          </w:rPr>
          <w:tab/>
        </w:r>
        <w:r>
          <w:rPr>
            <w:webHidden/>
          </w:rPr>
          <w:fldChar w:fldCharType="begin"/>
        </w:r>
        <w:r>
          <w:rPr>
            <w:webHidden/>
          </w:rPr>
          <w:instrText xml:space="preserve"> PAGEREF _Toc207348786 \h </w:instrText>
        </w:r>
        <w:r>
          <w:rPr>
            <w:webHidden/>
          </w:rPr>
        </w:r>
        <w:r>
          <w:rPr>
            <w:webHidden/>
          </w:rPr>
          <w:fldChar w:fldCharType="separate"/>
        </w:r>
        <w:r w:rsidR="00D1685C">
          <w:rPr>
            <w:webHidden/>
          </w:rPr>
          <w:t>170</w:t>
        </w:r>
        <w:r>
          <w:rPr>
            <w:webHidden/>
          </w:rPr>
          <w:fldChar w:fldCharType="end"/>
        </w:r>
      </w:hyperlink>
    </w:p>
    <w:p w14:paraId="2CB15403" w14:textId="1A3C6131" w:rsidR="00326544" w:rsidRDefault="00326544" w:rsidP="000B62E6">
      <w:pPr>
        <w:pStyle w:val="TOC2"/>
        <w:tabs>
          <w:tab w:val="clear" w:pos="9060"/>
          <w:tab w:val="left" w:pos="800"/>
          <w:tab w:val="right" w:leader="dot" w:pos="10204"/>
        </w:tabs>
        <w:rPr>
          <w:rFonts w:eastAsiaTheme="minorEastAsia"/>
          <w:color w:val="auto"/>
          <w:kern w:val="2"/>
          <w:sz w:val="24"/>
          <w:szCs w:val="24"/>
          <w:lang w:eastAsia="en-AU"/>
          <w14:ligatures w14:val="standardContextual"/>
        </w:rPr>
      </w:pPr>
      <w:hyperlink w:anchor="_Toc207348787" w:history="1">
        <w:r w:rsidRPr="001F7904">
          <w:rPr>
            <w:rStyle w:val="Hyperlink"/>
          </w:rPr>
          <w:t>E.10</w:t>
        </w:r>
        <w:r>
          <w:rPr>
            <w:rFonts w:eastAsiaTheme="minorEastAsia"/>
            <w:color w:val="auto"/>
            <w:kern w:val="2"/>
            <w:sz w:val="24"/>
            <w:szCs w:val="24"/>
            <w:lang w:eastAsia="en-AU"/>
            <w14:ligatures w14:val="standardContextual"/>
          </w:rPr>
          <w:tab/>
        </w:r>
        <w:r w:rsidRPr="001F7904">
          <w:rPr>
            <w:rStyle w:val="Hyperlink"/>
          </w:rPr>
          <w:t>Victoria</w:t>
        </w:r>
        <w:r>
          <w:rPr>
            <w:webHidden/>
          </w:rPr>
          <w:tab/>
        </w:r>
        <w:r>
          <w:rPr>
            <w:webHidden/>
          </w:rPr>
          <w:fldChar w:fldCharType="begin"/>
        </w:r>
        <w:r>
          <w:rPr>
            <w:webHidden/>
          </w:rPr>
          <w:instrText xml:space="preserve"> PAGEREF _Toc207348787 \h </w:instrText>
        </w:r>
        <w:r>
          <w:rPr>
            <w:webHidden/>
          </w:rPr>
        </w:r>
        <w:r>
          <w:rPr>
            <w:webHidden/>
          </w:rPr>
          <w:fldChar w:fldCharType="separate"/>
        </w:r>
        <w:r w:rsidR="00D1685C">
          <w:rPr>
            <w:webHidden/>
          </w:rPr>
          <w:t>171</w:t>
        </w:r>
        <w:r>
          <w:rPr>
            <w:webHidden/>
          </w:rPr>
          <w:fldChar w:fldCharType="end"/>
        </w:r>
      </w:hyperlink>
    </w:p>
    <w:p w14:paraId="29F0C29F" w14:textId="34E9A86B" w:rsidR="00326544" w:rsidRDefault="00326544" w:rsidP="000B62E6">
      <w:pPr>
        <w:pStyle w:val="TOC2"/>
        <w:tabs>
          <w:tab w:val="clear" w:pos="9060"/>
          <w:tab w:val="left" w:pos="800"/>
          <w:tab w:val="right" w:leader="dot" w:pos="10204"/>
        </w:tabs>
        <w:rPr>
          <w:rFonts w:eastAsiaTheme="minorEastAsia"/>
          <w:color w:val="auto"/>
          <w:kern w:val="2"/>
          <w:sz w:val="24"/>
          <w:szCs w:val="24"/>
          <w:lang w:eastAsia="en-AU"/>
          <w14:ligatures w14:val="standardContextual"/>
        </w:rPr>
      </w:pPr>
      <w:hyperlink w:anchor="_Toc207348788" w:history="1">
        <w:r w:rsidRPr="001F7904">
          <w:rPr>
            <w:rStyle w:val="Hyperlink"/>
          </w:rPr>
          <w:t>E.11</w:t>
        </w:r>
        <w:r>
          <w:rPr>
            <w:rFonts w:eastAsiaTheme="minorEastAsia"/>
            <w:color w:val="auto"/>
            <w:kern w:val="2"/>
            <w:sz w:val="24"/>
            <w:szCs w:val="24"/>
            <w:lang w:eastAsia="en-AU"/>
            <w14:ligatures w14:val="standardContextual"/>
          </w:rPr>
          <w:tab/>
        </w:r>
        <w:r w:rsidRPr="001F7904">
          <w:rPr>
            <w:rStyle w:val="Hyperlink"/>
          </w:rPr>
          <w:t>Western Australia</w:t>
        </w:r>
        <w:r>
          <w:rPr>
            <w:webHidden/>
          </w:rPr>
          <w:tab/>
        </w:r>
        <w:r>
          <w:rPr>
            <w:webHidden/>
          </w:rPr>
          <w:fldChar w:fldCharType="begin"/>
        </w:r>
        <w:r>
          <w:rPr>
            <w:webHidden/>
          </w:rPr>
          <w:instrText xml:space="preserve"> PAGEREF _Toc207348788 \h </w:instrText>
        </w:r>
        <w:r>
          <w:rPr>
            <w:webHidden/>
          </w:rPr>
        </w:r>
        <w:r>
          <w:rPr>
            <w:webHidden/>
          </w:rPr>
          <w:fldChar w:fldCharType="separate"/>
        </w:r>
        <w:r w:rsidR="00D1685C">
          <w:rPr>
            <w:webHidden/>
          </w:rPr>
          <w:t>171</w:t>
        </w:r>
        <w:r>
          <w:rPr>
            <w:webHidden/>
          </w:rPr>
          <w:fldChar w:fldCharType="end"/>
        </w:r>
      </w:hyperlink>
    </w:p>
    <w:p w14:paraId="146704D6" w14:textId="64BC167F" w:rsidR="00326544" w:rsidRDefault="00326544" w:rsidP="000B62E6">
      <w:pPr>
        <w:pStyle w:val="TOC1"/>
        <w:tabs>
          <w:tab w:val="clear" w:pos="9060"/>
          <w:tab w:val="right" w:leader="dot" w:pos="10204"/>
        </w:tabs>
        <w:rPr>
          <w:rFonts w:eastAsiaTheme="minorEastAsia"/>
          <w:b w:val="0"/>
          <w:color w:val="auto"/>
          <w:kern w:val="2"/>
          <w:sz w:val="24"/>
          <w:szCs w:val="24"/>
          <w:lang w:eastAsia="en-AU"/>
          <w14:ligatures w14:val="standardContextual"/>
        </w:rPr>
      </w:pPr>
      <w:hyperlink w:anchor="_Toc207348789" w:history="1">
        <w:r w:rsidRPr="001F7904">
          <w:rPr>
            <w:rStyle w:val="Hyperlink"/>
          </w:rPr>
          <w:t>Appendix F : State and territory accredited amputee clinics and PSPs</w:t>
        </w:r>
        <w:r>
          <w:rPr>
            <w:webHidden/>
          </w:rPr>
          <w:tab/>
        </w:r>
        <w:r>
          <w:rPr>
            <w:webHidden/>
          </w:rPr>
          <w:fldChar w:fldCharType="begin"/>
        </w:r>
        <w:r>
          <w:rPr>
            <w:webHidden/>
          </w:rPr>
          <w:instrText xml:space="preserve"> PAGEREF _Toc207348789 \h </w:instrText>
        </w:r>
        <w:r>
          <w:rPr>
            <w:webHidden/>
          </w:rPr>
        </w:r>
        <w:r>
          <w:rPr>
            <w:webHidden/>
          </w:rPr>
          <w:fldChar w:fldCharType="separate"/>
        </w:r>
        <w:r w:rsidR="00D1685C">
          <w:rPr>
            <w:webHidden/>
          </w:rPr>
          <w:t>173</w:t>
        </w:r>
        <w:r>
          <w:rPr>
            <w:webHidden/>
          </w:rPr>
          <w:fldChar w:fldCharType="end"/>
        </w:r>
      </w:hyperlink>
    </w:p>
    <w:p w14:paraId="4F314CA0" w14:textId="19AFBD62"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90" w:history="1">
        <w:r w:rsidRPr="001F7904">
          <w:rPr>
            <w:rStyle w:val="Hyperlink"/>
          </w:rPr>
          <w:t>F.1</w:t>
        </w:r>
        <w:r>
          <w:rPr>
            <w:rFonts w:eastAsiaTheme="minorEastAsia"/>
            <w:color w:val="auto"/>
            <w:kern w:val="2"/>
            <w:sz w:val="24"/>
            <w:szCs w:val="24"/>
            <w:lang w:eastAsia="en-AU"/>
            <w14:ligatures w14:val="standardContextual"/>
          </w:rPr>
          <w:tab/>
        </w:r>
        <w:r w:rsidRPr="001F7904">
          <w:rPr>
            <w:rStyle w:val="Hyperlink"/>
          </w:rPr>
          <w:t>NSW accredited amputee clinics and PSPs</w:t>
        </w:r>
        <w:r>
          <w:rPr>
            <w:webHidden/>
          </w:rPr>
          <w:tab/>
        </w:r>
        <w:r>
          <w:rPr>
            <w:webHidden/>
          </w:rPr>
          <w:fldChar w:fldCharType="begin"/>
        </w:r>
        <w:r>
          <w:rPr>
            <w:webHidden/>
          </w:rPr>
          <w:instrText xml:space="preserve"> PAGEREF _Toc207348790 \h </w:instrText>
        </w:r>
        <w:r>
          <w:rPr>
            <w:webHidden/>
          </w:rPr>
        </w:r>
        <w:r>
          <w:rPr>
            <w:webHidden/>
          </w:rPr>
          <w:fldChar w:fldCharType="separate"/>
        </w:r>
        <w:r w:rsidR="00D1685C">
          <w:rPr>
            <w:webHidden/>
          </w:rPr>
          <w:t>173</w:t>
        </w:r>
        <w:r>
          <w:rPr>
            <w:webHidden/>
          </w:rPr>
          <w:fldChar w:fldCharType="end"/>
        </w:r>
      </w:hyperlink>
    </w:p>
    <w:p w14:paraId="31556985" w14:textId="6F0A3B12"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91" w:history="1">
        <w:r w:rsidRPr="001F7904">
          <w:rPr>
            <w:rStyle w:val="Hyperlink"/>
          </w:rPr>
          <w:t>F.2</w:t>
        </w:r>
        <w:r>
          <w:rPr>
            <w:rFonts w:eastAsiaTheme="minorEastAsia"/>
            <w:color w:val="auto"/>
            <w:kern w:val="2"/>
            <w:sz w:val="24"/>
            <w:szCs w:val="24"/>
            <w:lang w:eastAsia="en-AU"/>
            <w14:ligatures w14:val="standardContextual"/>
          </w:rPr>
          <w:tab/>
        </w:r>
        <w:r w:rsidRPr="001F7904">
          <w:rPr>
            <w:rStyle w:val="Hyperlink"/>
          </w:rPr>
          <w:t>QLD accredited amputee clinics and PSPs</w:t>
        </w:r>
        <w:r>
          <w:rPr>
            <w:webHidden/>
          </w:rPr>
          <w:tab/>
        </w:r>
        <w:r>
          <w:rPr>
            <w:webHidden/>
          </w:rPr>
          <w:fldChar w:fldCharType="begin"/>
        </w:r>
        <w:r>
          <w:rPr>
            <w:webHidden/>
          </w:rPr>
          <w:instrText xml:space="preserve"> PAGEREF _Toc207348791 \h </w:instrText>
        </w:r>
        <w:r>
          <w:rPr>
            <w:webHidden/>
          </w:rPr>
        </w:r>
        <w:r>
          <w:rPr>
            <w:webHidden/>
          </w:rPr>
          <w:fldChar w:fldCharType="separate"/>
        </w:r>
        <w:r w:rsidR="00D1685C">
          <w:rPr>
            <w:webHidden/>
          </w:rPr>
          <w:t>175</w:t>
        </w:r>
        <w:r>
          <w:rPr>
            <w:webHidden/>
          </w:rPr>
          <w:fldChar w:fldCharType="end"/>
        </w:r>
      </w:hyperlink>
    </w:p>
    <w:p w14:paraId="34BDF386" w14:textId="3E9CFEFD"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92" w:history="1">
        <w:r w:rsidRPr="001F7904">
          <w:rPr>
            <w:rStyle w:val="Hyperlink"/>
          </w:rPr>
          <w:t>F.3</w:t>
        </w:r>
        <w:r>
          <w:rPr>
            <w:rFonts w:eastAsiaTheme="minorEastAsia"/>
            <w:color w:val="auto"/>
            <w:kern w:val="2"/>
            <w:sz w:val="24"/>
            <w:szCs w:val="24"/>
            <w:lang w:eastAsia="en-AU"/>
            <w14:ligatures w14:val="standardContextual"/>
          </w:rPr>
          <w:tab/>
        </w:r>
        <w:r w:rsidRPr="001F7904">
          <w:rPr>
            <w:rStyle w:val="Hyperlink"/>
          </w:rPr>
          <w:t>SA accredited amputee clinics</w:t>
        </w:r>
        <w:r>
          <w:rPr>
            <w:webHidden/>
          </w:rPr>
          <w:tab/>
        </w:r>
        <w:r>
          <w:rPr>
            <w:webHidden/>
          </w:rPr>
          <w:fldChar w:fldCharType="begin"/>
        </w:r>
        <w:r>
          <w:rPr>
            <w:webHidden/>
          </w:rPr>
          <w:instrText xml:space="preserve"> PAGEREF _Toc207348792 \h </w:instrText>
        </w:r>
        <w:r>
          <w:rPr>
            <w:webHidden/>
          </w:rPr>
        </w:r>
        <w:r>
          <w:rPr>
            <w:webHidden/>
          </w:rPr>
          <w:fldChar w:fldCharType="separate"/>
        </w:r>
        <w:r w:rsidR="00D1685C">
          <w:rPr>
            <w:webHidden/>
          </w:rPr>
          <w:t>175</w:t>
        </w:r>
        <w:r>
          <w:rPr>
            <w:webHidden/>
          </w:rPr>
          <w:fldChar w:fldCharType="end"/>
        </w:r>
      </w:hyperlink>
    </w:p>
    <w:p w14:paraId="76343E35" w14:textId="03C50645" w:rsidR="00326544" w:rsidRDefault="00326544" w:rsidP="000B62E6">
      <w:pPr>
        <w:pStyle w:val="TOC1"/>
        <w:tabs>
          <w:tab w:val="clear" w:pos="9060"/>
          <w:tab w:val="right" w:leader="dot" w:pos="10204"/>
        </w:tabs>
        <w:rPr>
          <w:rFonts w:eastAsiaTheme="minorEastAsia"/>
          <w:b w:val="0"/>
          <w:color w:val="auto"/>
          <w:kern w:val="2"/>
          <w:sz w:val="24"/>
          <w:szCs w:val="24"/>
          <w:lang w:eastAsia="en-AU"/>
          <w14:ligatures w14:val="standardContextual"/>
        </w:rPr>
      </w:pPr>
      <w:hyperlink w:anchor="_Toc207348793" w:history="1">
        <w:r w:rsidRPr="001F7904">
          <w:rPr>
            <w:rStyle w:val="Hyperlink"/>
          </w:rPr>
          <w:t>Appendix G : Equity issues and case studies</w:t>
        </w:r>
        <w:r>
          <w:rPr>
            <w:webHidden/>
          </w:rPr>
          <w:tab/>
        </w:r>
        <w:r>
          <w:rPr>
            <w:webHidden/>
          </w:rPr>
          <w:fldChar w:fldCharType="begin"/>
        </w:r>
        <w:r>
          <w:rPr>
            <w:webHidden/>
          </w:rPr>
          <w:instrText xml:space="preserve"> PAGEREF _Toc207348793 \h </w:instrText>
        </w:r>
        <w:r>
          <w:rPr>
            <w:webHidden/>
          </w:rPr>
        </w:r>
        <w:r>
          <w:rPr>
            <w:webHidden/>
          </w:rPr>
          <w:fldChar w:fldCharType="separate"/>
        </w:r>
        <w:r w:rsidR="00D1685C">
          <w:rPr>
            <w:webHidden/>
          </w:rPr>
          <w:t>176</w:t>
        </w:r>
        <w:r>
          <w:rPr>
            <w:webHidden/>
          </w:rPr>
          <w:fldChar w:fldCharType="end"/>
        </w:r>
      </w:hyperlink>
    </w:p>
    <w:p w14:paraId="4D4371FC" w14:textId="38B7F677"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94" w:history="1">
        <w:r w:rsidRPr="001F7904">
          <w:rPr>
            <w:rStyle w:val="Hyperlink"/>
          </w:rPr>
          <w:t>G.1</w:t>
        </w:r>
        <w:r>
          <w:rPr>
            <w:rFonts w:eastAsiaTheme="minorEastAsia"/>
            <w:color w:val="auto"/>
            <w:kern w:val="2"/>
            <w:sz w:val="24"/>
            <w:szCs w:val="24"/>
            <w:lang w:eastAsia="en-AU"/>
            <w14:ligatures w14:val="standardContextual"/>
          </w:rPr>
          <w:tab/>
        </w:r>
        <w:r w:rsidRPr="001F7904">
          <w:rPr>
            <w:rStyle w:val="Hyperlink"/>
          </w:rPr>
          <w:t>Differences in equitable access between different types of prostheses</w:t>
        </w:r>
        <w:r>
          <w:rPr>
            <w:webHidden/>
          </w:rPr>
          <w:tab/>
        </w:r>
        <w:r>
          <w:rPr>
            <w:webHidden/>
          </w:rPr>
          <w:fldChar w:fldCharType="begin"/>
        </w:r>
        <w:r>
          <w:rPr>
            <w:webHidden/>
          </w:rPr>
          <w:instrText xml:space="preserve"> PAGEREF _Toc207348794 \h </w:instrText>
        </w:r>
        <w:r>
          <w:rPr>
            <w:webHidden/>
          </w:rPr>
        </w:r>
        <w:r>
          <w:rPr>
            <w:webHidden/>
          </w:rPr>
          <w:fldChar w:fldCharType="separate"/>
        </w:r>
        <w:r w:rsidR="00D1685C">
          <w:rPr>
            <w:webHidden/>
          </w:rPr>
          <w:t>176</w:t>
        </w:r>
        <w:r>
          <w:rPr>
            <w:webHidden/>
          </w:rPr>
          <w:fldChar w:fldCharType="end"/>
        </w:r>
      </w:hyperlink>
    </w:p>
    <w:p w14:paraId="2F78BEC5" w14:textId="7E4614FC"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95" w:history="1">
        <w:r w:rsidRPr="001F7904">
          <w:rPr>
            <w:rStyle w:val="Hyperlink"/>
          </w:rPr>
          <w:t>G.2</w:t>
        </w:r>
        <w:r>
          <w:rPr>
            <w:rFonts w:eastAsiaTheme="minorEastAsia"/>
            <w:color w:val="auto"/>
            <w:kern w:val="2"/>
            <w:sz w:val="24"/>
            <w:szCs w:val="24"/>
            <w:lang w:eastAsia="en-AU"/>
            <w14:ligatures w14:val="standardContextual"/>
          </w:rPr>
          <w:tab/>
        </w:r>
        <w:r w:rsidRPr="001F7904">
          <w:rPr>
            <w:rStyle w:val="Hyperlink"/>
          </w:rPr>
          <w:t>Differences in equitable access for the same type of prostheses</w:t>
        </w:r>
        <w:r>
          <w:rPr>
            <w:webHidden/>
          </w:rPr>
          <w:tab/>
        </w:r>
        <w:r>
          <w:rPr>
            <w:webHidden/>
          </w:rPr>
          <w:fldChar w:fldCharType="begin"/>
        </w:r>
        <w:r>
          <w:rPr>
            <w:webHidden/>
          </w:rPr>
          <w:instrText xml:space="preserve"> PAGEREF _Toc207348795 \h </w:instrText>
        </w:r>
        <w:r>
          <w:rPr>
            <w:webHidden/>
          </w:rPr>
        </w:r>
        <w:r>
          <w:rPr>
            <w:webHidden/>
          </w:rPr>
          <w:fldChar w:fldCharType="separate"/>
        </w:r>
        <w:r w:rsidR="00D1685C">
          <w:rPr>
            <w:webHidden/>
          </w:rPr>
          <w:t>179</w:t>
        </w:r>
        <w:r>
          <w:rPr>
            <w:webHidden/>
          </w:rPr>
          <w:fldChar w:fldCharType="end"/>
        </w:r>
      </w:hyperlink>
    </w:p>
    <w:p w14:paraId="463B4676" w14:textId="611CC8FF" w:rsidR="00326544" w:rsidRDefault="00326544" w:rsidP="000B62E6">
      <w:pPr>
        <w:pStyle w:val="TOC2"/>
        <w:tabs>
          <w:tab w:val="clear" w:pos="9060"/>
          <w:tab w:val="left" w:pos="600"/>
          <w:tab w:val="right" w:leader="dot" w:pos="10204"/>
        </w:tabs>
        <w:rPr>
          <w:rFonts w:eastAsiaTheme="minorEastAsia"/>
          <w:color w:val="auto"/>
          <w:kern w:val="2"/>
          <w:sz w:val="24"/>
          <w:szCs w:val="24"/>
          <w:lang w:eastAsia="en-AU"/>
          <w14:ligatures w14:val="standardContextual"/>
        </w:rPr>
      </w:pPr>
      <w:hyperlink w:anchor="_Toc207348796" w:history="1">
        <w:r w:rsidRPr="001F7904">
          <w:rPr>
            <w:rStyle w:val="Hyperlink"/>
          </w:rPr>
          <w:t>G.3</w:t>
        </w:r>
        <w:r>
          <w:rPr>
            <w:rFonts w:eastAsiaTheme="minorEastAsia"/>
            <w:color w:val="auto"/>
            <w:kern w:val="2"/>
            <w:sz w:val="24"/>
            <w:szCs w:val="24"/>
            <w:lang w:eastAsia="en-AU"/>
            <w14:ligatures w14:val="standardContextual"/>
          </w:rPr>
          <w:tab/>
        </w:r>
        <w:r w:rsidRPr="001F7904">
          <w:rPr>
            <w:rStyle w:val="Hyperlink"/>
          </w:rPr>
          <w:t>Additional access issues experienced by priority population groups</w:t>
        </w:r>
        <w:r>
          <w:rPr>
            <w:webHidden/>
          </w:rPr>
          <w:tab/>
        </w:r>
        <w:r>
          <w:rPr>
            <w:webHidden/>
          </w:rPr>
          <w:fldChar w:fldCharType="begin"/>
        </w:r>
        <w:r>
          <w:rPr>
            <w:webHidden/>
          </w:rPr>
          <w:instrText xml:space="preserve"> PAGEREF _Toc207348796 \h </w:instrText>
        </w:r>
        <w:r>
          <w:rPr>
            <w:webHidden/>
          </w:rPr>
        </w:r>
        <w:r>
          <w:rPr>
            <w:webHidden/>
          </w:rPr>
          <w:fldChar w:fldCharType="separate"/>
        </w:r>
        <w:r w:rsidR="00D1685C">
          <w:rPr>
            <w:webHidden/>
          </w:rPr>
          <w:t>181</w:t>
        </w:r>
        <w:r>
          <w:rPr>
            <w:webHidden/>
          </w:rPr>
          <w:fldChar w:fldCharType="end"/>
        </w:r>
      </w:hyperlink>
    </w:p>
    <w:p w14:paraId="6B0AEDDD" w14:textId="288F018B" w:rsidR="00326544" w:rsidRDefault="00326544" w:rsidP="000B62E6">
      <w:pPr>
        <w:pStyle w:val="TOC1"/>
        <w:tabs>
          <w:tab w:val="clear" w:pos="9060"/>
          <w:tab w:val="right" w:leader="dot" w:pos="10204"/>
        </w:tabs>
        <w:rPr>
          <w:rFonts w:eastAsiaTheme="minorEastAsia"/>
          <w:b w:val="0"/>
          <w:color w:val="auto"/>
          <w:kern w:val="2"/>
          <w:sz w:val="24"/>
          <w:szCs w:val="24"/>
          <w:lang w:eastAsia="en-AU"/>
          <w14:ligatures w14:val="standardContextual"/>
        </w:rPr>
      </w:pPr>
      <w:hyperlink w:anchor="_Toc207348797" w:history="1">
        <w:r w:rsidRPr="001F7904">
          <w:rPr>
            <w:rStyle w:val="Hyperlink"/>
          </w:rPr>
          <w:t>Appendix H : Cost model inputs</w:t>
        </w:r>
        <w:r>
          <w:rPr>
            <w:webHidden/>
          </w:rPr>
          <w:tab/>
        </w:r>
        <w:r>
          <w:rPr>
            <w:webHidden/>
          </w:rPr>
          <w:fldChar w:fldCharType="begin"/>
        </w:r>
        <w:r>
          <w:rPr>
            <w:webHidden/>
          </w:rPr>
          <w:instrText xml:space="preserve"> PAGEREF _Toc207348797 \h </w:instrText>
        </w:r>
        <w:r>
          <w:rPr>
            <w:webHidden/>
          </w:rPr>
        </w:r>
        <w:r>
          <w:rPr>
            <w:webHidden/>
          </w:rPr>
          <w:fldChar w:fldCharType="separate"/>
        </w:r>
        <w:r w:rsidR="00D1685C">
          <w:rPr>
            <w:webHidden/>
          </w:rPr>
          <w:t>184</w:t>
        </w:r>
        <w:r>
          <w:rPr>
            <w:webHidden/>
          </w:rPr>
          <w:fldChar w:fldCharType="end"/>
        </w:r>
      </w:hyperlink>
    </w:p>
    <w:p w14:paraId="1D541EB0" w14:textId="388D7608" w:rsidR="00326544" w:rsidRDefault="00326544" w:rsidP="000B62E6">
      <w:pPr>
        <w:pStyle w:val="TOC1"/>
        <w:tabs>
          <w:tab w:val="clear" w:pos="9060"/>
          <w:tab w:val="right" w:leader="dot" w:pos="10204"/>
        </w:tabs>
        <w:rPr>
          <w:rFonts w:eastAsiaTheme="minorEastAsia"/>
          <w:b w:val="0"/>
          <w:color w:val="auto"/>
          <w:kern w:val="2"/>
          <w:sz w:val="24"/>
          <w:szCs w:val="24"/>
          <w:lang w:eastAsia="en-AU"/>
          <w14:ligatures w14:val="standardContextual"/>
        </w:rPr>
      </w:pPr>
      <w:hyperlink w:anchor="_Toc207348798" w:history="1">
        <w:r w:rsidRPr="001F7904">
          <w:rPr>
            <w:rStyle w:val="Hyperlink"/>
          </w:rPr>
          <w:t>Appendix I : Alt text for Figure 5 Overarching review approach</w:t>
        </w:r>
        <w:r>
          <w:rPr>
            <w:webHidden/>
          </w:rPr>
          <w:tab/>
        </w:r>
        <w:r>
          <w:rPr>
            <w:webHidden/>
          </w:rPr>
          <w:fldChar w:fldCharType="begin"/>
        </w:r>
        <w:r>
          <w:rPr>
            <w:webHidden/>
          </w:rPr>
          <w:instrText xml:space="preserve"> PAGEREF _Toc207348798 \h </w:instrText>
        </w:r>
        <w:r>
          <w:rPr>
            <w:webHidden/>
          </w:rPr>
        </w:r>
        <w:r>
          <w:rPr>
            <w:webHidden/>
          </w:rPr>
          <w:fldChar w:fldCharType="separate"/>
        </w:r>
        <w:r w:rsidR="00D1685C">
          <w:rPr>
            <w:webHidden/>
          </w:rPr>
          <w:t>186</w:t>
        </w:r>
        <w:r>
          <w:rPr>
            <w:webHidden/>
          </w:rPr>
          <w:fldChar w:fldCharType="end"/>
        </w:r>
      </w:hyperlink>
    </w:p>
    <w:p w14:paraId="7B402373" w14:textId="3F2A12E4" w:rsidR="002B0E40" w:rsidRPr="00DE07D5" w:rsidRDefault="00FC2EAE" w:rsidP="000B62E6">
      <w:pPr>
        <w:tabs>
          <w:tab w:val="right" w:leader="dot" w:pos="10204"/>
        </w:tabs>
      </w:pPr>
      <w:r>
        <w:rPr>
          <w:b/>
          <w:noProof/>
        </w:rPr>
        <w:fldChar w:fldCharType="end"/>
      </w:r>
      <w:r w:rsidR="002B0E40">
        <w:rPr>
          <w:sz w:val="72"/>
          <w:szCs w:val="72"/>
        </w:rPr>
        <w:br w:type="page"/>
      </w:r>
    </w:p>
    <w:p w14:paraId="78D795D4" w14:textId="2C8EBEF2" w:rsidR="00ED5558" w:rsidRDefault="00ED5558" w:rsidP="00BB1293">
      <w:pPr>
        <w:pStyle w:val="Heading1TOCNoShow"/>
      </w:pPr>
      <w:r>
        <w:t>Index of figures and tables</w:t>
      </w:r>
    </w:p>
    <w:p w14:paraId="393E180D" w14:textId="1A1F2811" w:rsidR="007505DA" w:rsidRPr="008B474C" w:rsidRDefault="0082083A" w:rsidP="008B474C">
      <w:pPr>
        <w:pStyle w:val="TableofFigures"/>
        <w:rPr>
          <w:rStyle w:val="Strong"/>
        </w:rPr>
      </w:pPr>
      <w:r w:rsidRPr="008B474C">
        <w:rPr>
          <w:rStyle w:val="Strong"/>
        </w:rPr>
        <w:t>Index</w:t>
      </w:r>
      <w:r w:rsidR="001B5BAA" w:rsidRPr="008B474C">
        <w:rPr>
          <w:rStyle w:val="Strong"/>
        </w:rPr>
        <w:t xml:space="preserve"> of figures</w:t>
      </w:r>
    </w:p>
    <w:p w14:paraId="3224728A" w14:textId="697B4611" w:rsidR="00326544" w:rsidRDefault="00ED5558">
      <w:pPr>
        <w:pStyle w:val="TableofFigures"/>
        <w:rPr>
          <w:rFonts w:asciiTheme="minorHAnsi" w:eastAsiaTheme="minorEastAsia" w:hAnsiTheme="minorHAnsi"/>
          <w:color w:val="auto"/>
          <w:kern w:val="2"/>
          <w:sz w:val="24"/>
          <w:szCs w:val="24"/>
          <w:lang w:eastAsia="en-AU"/>
          <w14:ligatures w14:val="standardContextual"/>
        </w:rPr>
      </w:pPr>
      <w:r>
        <w:fldChar w:fldCharType="begin"/>
      </w:r>
      <w:r>
        <w:instrText xml:space="preserve"> TOC \h \z \c "Figure" </w:instrText>
      </w:r>
      <w:r>
        <w:fldChar w:fldCharType="separate"/>
      </w:r>
      <w:hyperlink w:anchor="_Toc207348708" w:history="1">
        <w:r w:rsidR="00326544" w:rsidRPr="00FA491B">
          <w:rPr>
            <w:rStyle w:val="Hyperlink"/>
          </w:rPr>
          <w:t>Figure 1: Overview of facial prostheses services, programs and schemes in Australia</w:t>
        </w:r>
        <w:r w:rsidR="00326544">
          <w:rPr>
            <w:webHidden/>
          </w:rPr>
          <w:tab/>
        </w:r>
        <w:r w:rsidR="00326544">
          <w:rPr>
            <w:webHidden/>
          </w:rPr>
          <w:fldChar w:fldCharType="begin"/>
        </w:r>
        <w:r w:rsidR="00326544">
          <w:rPr>
            <w:webHidden/>
          </w:rPr>
          <w:instrText xml:space="preserve"> PAGEREF _Toc207348708 \h </w:instrText>
        </w:r>
        <w:r w:rsidR="00326544">
          <w:rPr>
            <w:webHidden/>
          </w:rPr>
        </w:r>
        <w:r w:rsidR="00326544">
          <w:rPr>
            <w:webHidden/>
          </w:rPr>
          <w:fldChar w:fldCharType="separate"/>
        </w:r>
        <w:r w:rsidR="00D1685C">
          <w:rPr>
            <w:webHidden/>
          </w:rPr>
          <w:t>14</w:t>
        </w:r>
        <w:r w:rsidR="00326544">
          <w:rPr>
            <w:webHidden/>
          </w:rPr>
          <w:fldChar w:fldCharType="end"/>
        </w:r>
      </w:hyperlink>
    </w:p>
    <w:p w14:paraId="3B4AE8AE" w14:textId="763C3460" w:rsidR="00326544" w:rsidRPr="008B474C" w:rsidRDefault="00326544" w:rsidP="008B474C">
      <w:pPr>
        <w:pStyle w:val="TableofFigures"/>
      </w:pPr>
      <w:hyperlink w:anchor="_Toc207348709" w:history="1">
        <w:r w:rsidRPr="008B474C">
          <w:rPr>
            <w:rStyle w:val="Hyperlink"/>
            <w:color w:val="000000" w:themeColor="text1"/>
            <w:u w:val="none"/>
          </w:rPr>
          <w:t>Figure 2: Overview of breast prostheses services, programs and schemes in Australia</w:t>
        </w:r>
        <w:r w:rsidRPr="008B474C">
          <w:rPr>
            <w:webHidden/>
          </w:rPr>
          <w:tab/>
        </w:r>
        <w:r w:rsidRPr="008B474C">
          <w:rPr>
            <w:webHidden/>
          </w:rPr>
          <w:fldChar w:fldCharType="begin"/>
        </w:r>
        <w:r w:rsidRPr="008B474C">
          <w:rPr>
            <w:webHidden/>
          </w:rPr>
          <w:instrText xml:space="preserve"> PAGEREF _Toc207348709 \h </w:instrText>
        </w:r>
        <w:r w:rsidRPr="008B474C">
          <w:rPr>
            <w:webHidden/>
          </w:rPr>
        </w:r>
        <w:r w:rsidRPr="008B474C">
          <w:rPr>
            <w:webHidden/>
          </w:rPr>
          <w:fldChar w:fldCharType="separate"/>
        </w:r>
        <w:r w:rsidR="00D1685C" w:rsidRPr="008B474C">
          <w:rPr>
            <w:webHidden/>
          </w:rPr>
          <w:t>15</w:t>
        </w:r>
        <w:r w:rsidRPr="008B474C">
          <w:rPr>
            <w:webHidden/>
          </w:rPr>
          <w:fldChar w:fldCharType="end"/>
        </w:r>
      </w:hyperlink>
    </w:p>
    <w:p w14:paraId="43CD3F2A" w14:textId="3A5DF0B0" w:rsidR="00326544" w:rsidRPr="008B474C" w:rsidRDefault="00326544" w:rsidP="008B474C">
      <w:pPr>
        <w:pStyle w:val="TableofFigures"/>
      </w:pPr>
      <w:hyperlink w:anchor="_Toc207348710" w:history="1">
        <w:r w:rsidRPr="008B474C">
          <w:rPr>
            <w:rStyle w:val="Hyperlink"/>
            <w:color w:val="000000" w:themeColor="text1"/>
            <w:u w:val="none"/>
          </w:rPr>
          <w:t>Figure 3: Overview of limb prostheses services, programs and schemes in Australia</w:t>
        </w:r>
        <w:r w:rsidRPr="008B474C">
          <w:rPr>
            <w:webHidden/>
          </w:rPr>
          <w:tab/>
        </w:r>
        <w:r w:rsidRPr="008B474C">
          <w:rPr>
            <w:webHidden/>
          </w:rPr>
          <w:fldChar w:fldCharType="begin"/>
        </w:r>
        <w:r w:rsidRPr="008B474C">
          <w:rPr>
            <w:webHidden/>
          </w:rPr>
          <w:instrText xml:space="preserve"> PAGEREF _Toc207348710 \h </w:instrText>
        </w:r>
        <w:r w:rsidRPr="008B474C">
          <w:rPr>
            <w:webHidden/>
          </w:rPr>
        </w:r>
        <w:r w:rsidRPr="008B474C">
          <w:rPr>
            <w:webHidden/>
          </w:rPr>
          <w:fldChar w:fldCharType="separate"/>
        </w:r>
        <w:r w:rsidR="00D1685C" w:rsidRPr="008B474C">
          <w:rPr>
            <w:webHidden/>
          </w:rPr>
          <w:t>15</w:t>
        </w:r>
        <w:r w:rsidRPr="008B474C">
          <w:rPr>
            <w:webHidden/>
          </w:rPr>
          <w:fldChar w:fldCharType="end"/>
        </w:r>
      </w:hyperlink>
    </w:p>
    <w:p w14:paraId="33FD13F0" w14:textId="6C728542" w:rsidR="00326544" w:rsidRPr="008B474C" w:rsidRDefault="00326544" w:rsidP="008B474C">
      <w:pPr>
        <w:pStyle w:val="TableofFigures"/>
      </w:pPr>
      <w:hyperlink w:anchor="_Toc207348711" w:history="1">
        <w:r w:rsidRPr="008B474C">
          <w:rPr>
            <w:rStyle w:val="Hyperlink"/>
            <w:color w:val="000000" w:themeColor="text1"/>
            <w:u w:val="none"/>
          </w:rPr>
          <w:t>Figure 4: National services, programs and schemes for cancer prostheses</w:t>
        </w:r>
        <w:r w:rsidRPr="008B474C">
          <w:rPr>
            <w:webHidden/>
          </w:rPr>
          <w:tab/>
        </w:r>
        <w:r w:rsidRPr="008B474C">
          <w:rPr>
            <w:webHidden/>
          </w:rPr>
          <w:fldChar w:fldCharType="begin"/>
        </w:r>
        <w:r w:rsidRPr="008B474C">
          <w:rPr>
            <w:webHidden/>
          </w:rPr>
          <w:instrText xml:space="preserve"> PAGEREF _Toc207348711 \h </w:instrText>
        </w:r>
        <w:r w:rsidRPr="008B474C">
          <w:rPr>
            <w:webHidden/>
          </w:rPr>
        </w:r>
        <w:r w:rsidRPr="008B474C">
          <w:rPr>
            <w:webHidden/>
          </w:rPr>
          <w:fldChar w:fldCharType="separate"/>
        </w:r>
        <w:r w:rsidR="00D1685C" w:rsidRPr="008B474C">
          <w:rPr>
            <w:webHidden/>
          </w:rPr>
          <w:t>21</w:t>
        </w:r>
        <w:r w:rsidRPr="008B474C">
          <w:rPr>
            <w:webHidden/>
          </w:rPr>
          <w:fldChar w:fldCharType="end"/>
        </w:r>
      </w:hyperlink>
    </w:p>
    <w:p w14:paraId="0EF2A453" w14:textId="1FE8B2EE" w:rsidR="00326544" w:rsidRPr="008B474C" w:rsidRDefault="00326544" w:rsidP="008B474C">
      <w:pPr>
        <w:pStyle w:val="TableofFigures"/>
      </w:pPr>
      <w:hyperlink w:anchor="_Toc207348712" w:history="1">
        <w:r w:rsidRPr="008B474C">
          <w:rPr>
            <w:rStyle w:val="Hyperlink"/>
            <w:color w:val="000000" w:themeColor="text1"/>
            <w:u w:val="none"/>
          </w:rPr>
          <w:t>Figure 5: Overarching review approach</w:t>
        </w:r>
        <w:r w:rsidRPr="008B474C">
          <w:rPr>
            <w:webHidden/>
          </w:rPr>
          <w:tab/>
        </w:r>
        <w:r w:rsidRPr="008B474C">
          <w:rPr>
            <w:webHidden/>
          </w:rPr>
          <w:fldChar w:fldCharType="begin"/>
        </w:r>
        <w:r w:rsidRPr="008B474C">
          <w:rPr>
            <w:webHidden/>
          </w:rPr>
          <w:instrText xml:space="preserve"> PAGEREF _Toc207348712 \h </w:instrText>
        </w:r>
        <w:r w:rsidRPr="008B474C">
          <w:rPr>
            <w:webHidden/>
          </w:rPr>
        </w:r>
        <w:r w:rsidRPr="008B474C">
          <w:rPr>
            <w:webHidden/>
          </w:rPr>
          <w:fldChar w:fldCharType="separate"/>
        </w:r>
        <w:r w:rsidR="00D1685C" w:rsidRPr="008B474C">
          <w:rPr>
            <w:webHidden/>
          </w:rPr>
          <w:t>23</w:t>
        </w:r>
        <w:r w:rsidRPr="008B474C">
          <w:rPr>
            <w:webHidden/>
          </w:rPr>
          <w:fldChar w:fldCharType="end"/>
        </w:r>
      </w:hyperlink>
    </w:p>
    <w:p w14:paraId="0D96B83B" w14:textId="01747EDE" w:rsidR="00326544" w:rsidRPr="008B474C" w:rsidRDefault="00326544" w:rsidP="008B474C">
      <w:pPr>
        <w:pStyle w:val="TableofFigures"/>
      </w:pPr>
      <w:hyperlink w:anchor="_Toc207348713" w:history="1">
        <w:r w:rsidRPr="008B474C">
          <w:rPr>
            <w:rStyle w:val="Hyperlink"/>
            <w:color w:val="000000" w:themeColor="text1"/>
            <w:u w:val="none"/>
          </w:rPr>
          <w:t>Figure 6: Decision tree for the scope of the review</w:t>
        </w:r>
        <w:r w:rsidRPr="008B474C">
          <w:rPr>
            <w:webHidden/>
          </w:rPr>
          <w:tab/>
        </w:r>
        <w:r w:rsidRPr="008B474C">
          <w:rPr>
            <w:webHidden/>
          </w:rPr>
          <w:fldChar w:fldCharType="begin"/>
        </w:r>
        <w:r w:rsidRPr="008B474C">
          <w:rPr>
            <w:webHidden/>
          </w:rPr>
          <w:instrText xml:space="preserve"> PAGEREF _Toc207348713 \h </w:instrText>
        </w:r>
        <w:r w:rsidRPr="008B474C">
          <w:rPr>
            <w:webHidden/>
          </w:rPr>
        </w:r>
        <w:r w:rsidRPr="008B474C">
          <w:rPr>
            <w:webHidden/>
          </w:rPr>
          <w:fldChar w:fldCharType="separate"/>
        </w:r>
        <w:r w:rsidR="00D1685C" w:rsidRPr="008B474C">
          <w:rPr>
            <w:webHidden/>
          </w:rPr>
          <w:t>24</w:t>
        </w:r>
        <w:r w:rsidRPr="008B474C">
          <w:rPr>
            <w:webHidden/>
          </w:rPr>
          <w:fldChar w:fldCharType="end"/>
        </w:r>
      </w:hyperlink>
    </w:p>
    <w:p w14:paraId="6A266C20" w14:textId="157B6DCC" w:rsidR="00326544" w:rsidRPr="008B474C" w:rsidRDefault="00326544" w:rsidP="008B474C">
      <w:pPr>
        <w:pStyle w:val="TableofFigures"/>
      </w:pPr>
      <w:hyperlink w:anchor="_Toc207348714" w:history="1">
        <w:r w:rsidRPr="008B474C">
          <w:rPr>
            <w:rStyle w:val="Hyperlink"/>
            <w:color w:val="000000" w:themeColor="text1"/>
            <w:u w:val="none"/>
          </w:rPr>
          <w:t>Figure 7: Summary of facial prostheses services, programs and schemes available in Australia</w:t>
        </w:r>
        <w:r w:rsidRPr="008B474C">
          <w:rPr>
            <w:webHidden/>
          </w:rPr>
          <w:tab/>
        </w:r>
        <w:r w:rsidRPr="008B474C">
          <w:rPr>
            <w:webHidden/>
          </w:rPr>
          <w:fldChar w:fldCharType="begin"/>
        </w:r>
        <w:r w:rsidRPr="008B474C">
          <w:rPr>
            <w:webHidden/>
          </w:rPr>
          <w:instrText xml:space="preserve"> PAGEREF _Toc207348714 \h </w:instrText>
        </w:r>
        <w:r w:rsidRPr="008B474C">
          <w:rPr>
            <w:webHidden/>
          </w:rPr>
        </w:r>
        <w:r w:rsidRPr="008B474C">
          <w:rPr>
            <w:webHidden/>
          </w:rPr>
          <w:fldChar w:fldCharType="separate"/>
        </w:r>
        <w:r w:rsidR="00D1685C" w:rsidRPr="008B474C">
          <w:rPr>
            <w:webHidden/>
          </w:rPr>
          <w:t>30</w:t>
        </w:r>
        <w:r w:rsidRPr="008B474C">
          <w:rPr>
            <w:webHidden/>
          </w:rPr>
          <w:fldChar w:fldCharType="end"/>
        </w:r>
      </w:hyperlink>
    </w:p>
    <w:p w14:paraId="5F0EE668" w14:textId="56F36359" w:rsidR="00326544" w:rsidRPr="008B474C" w:rsidRDefault="00326544" w:rsidP="008B474C">
      <w:pPr>
        <w:pStyle w:val="TableofFigures"/>
      </w:pPr>
      <w:hyperlink w:anchor="_Toc207348715" w:history="1">
        <w:r w:rsidRPr="008B474C">
          <w:rPr>
            <w:rStyle w:val="Hyperlink"/>
            <w:color w:val="000000" w:themeColor="text1"/>
            <w:u w:val="none"/>
          </w:rPr>
          <w:t>Figure 8: Summary of breast prostheses services, programs and schemes available in Australia</w:t>
        </w:r>
        <w:r w:rsidRPr="008B474C">
          <w:rPr>
            <w:webHidden/>
          </w:rPr>
          <w:tab/>
        </w:r>
        <w:r w:rsidRPr="008B474C">
          <w:rPr>
            <w:webHidden/>
          </w:rPr>
          <w:fldChar w:fldCharType="begin"/>
        </w:r>
        <w:r w:rsidRPr="008B474C">
          <w:rPr>
            <w:webHidden/>
          </w:rPr>
          <w:instrText xml:space="preserve"> PAGEREF _Toc207348715 \h </w:instrText>
        </w:r>
        <w:r w:rsidRPr="008B474C">
          <w:rPr>
            <w:webHidden/>
          </w:rPr>
        </w:r>
        <w:r w:rsidRPr="008B474C">
          <w:rPr>
            <w:webHidden/>
          </w:rPr>
          <w:fldChar w:fldCharType="separate"/>
        </w:r>
        <w:r w:rsidR="00D1685C" w:rsidRPr="008B474C">
          <w:rPr>
            <w:webHidden/>
          </w:rPr>
          <w:t>38</w:t>
        </w:r>
        <w:r w:rsidRPr="008B474C">
          <w:rPr>
            <w:webHidden/>
          </w:rPr>
          <w:fldChar w:fldCharType="end"/>
        </w:r>
      </w:hyperlink>
    </w:p>
    <w:p w14:paraId="59AA1B5E" w14:textId="5CDC6605" w:rsidR="00326544" w:rsidRPr="008B474C" w:rsidRDefault="00326544" w:rsidP="008B474C">
      <w:pPr>
        <w:pStyle w:val="TableofFigures"/>
      </w:pPr>
      <w:hyperlink w:anchor="_Toc207348716" w:history="1">
        <w:r w:rsidRPr="008B474C">
          <w:rPr>
            <w:rStyle w:val="Hyperlink"/>
            <w:color w:val="000000" w:themeColor="text1"/>
            <w:u w:val="none"/>
          </w:rPr>
          <w:t>Figure 9: Locations of external breast prostheses retailers across Australia</w:t>
        </w:r>
        <w:r w:rsidRPr="008B474C">
          <w:rPr>
            <w:webHidden/>
          </w:rPr>
          <w:tab/>
        </w:r>
        <w:r w:rsidRPr="008B474C">
          <w:rPr>
            <w:webHidden/>
          </w:rPr>
          <w:fldChar w:fldCharType="begin"/>
        </w:r>
        <w:r w:rsidRPr="008B474C">
          <w:rPr>
            <w:webHidden/>
          </w:rPr>
          <w:instrText xml:space="preserve"> PAGEREF _Toc207348716 \h </w:instrText>
        </w:r>
        <w:r w:rsidRPr="008B474C">
          <w:rPr>
            <w:webHidden/>
          </w:rPr>
        </w:r>
        <w:r w:rsidRPr="008B474C">
          <w:rPr>
            <w:webHidden/>
          </w:rPr>
          <w:fldChar w:fldCharType="separate"/>
        </w:r>
        <w:r w:rsidR="00D1685C" w:rsidRPr="008B474C">
          <w:rPr>
            <w:webHidden/>
          </w:rPr>
          <w:t>40</w:t>
        </w:r>
        <w:r w:rsidRPr="008B474C">
          <w:rPr>
            <w:webHidden/>
          </w:rPr>
          <w:fldChar w:fldCharType="end"/>
        </w:r>
      </w:hyperlink>
    </w:p>
    <w:p w14:paraId="6DE8BB17" w14:textId="48DC0941" w:rsidR="00326544" w:rsidRPr="008B474C" w:rsidRDefault="00326544" w:rsidP="008B474C">
      <w:pPr>
        <w:pStyle w:val="TableofFigures"/>
      </w:pPr>
      <w:hyperlink w:anchor="_Toc207348717" w:history="1">
        <w:r w:rsidRPr="008B474C">
          <w:rPr>
            <w:rStyle w:val="Hyperlink"/>
            <w:color w:val="000000" w:themeColor="text1"/>
            <w:u w:val="none"/>
          </w:rPr>
          <w:t>Figure 10: Summary of limb prostheses services, programs and schemes available in Australia</w:t>
        </w:r>
        <w:r w:rsidRPr="008B474C">
          <w:rPr>
            <w:webHidden/>
          </w:rPr>
          <w:tab/>
        </w:r>
        <w:r w:rsidRPr="008B474C">
          <w:rPr>
            <w:webHidden/>
          </w:rPr>
          <w:fldChar w:fldCharType="begin"/>
        </w:r>
        <w:r w:rsidRPr="008B474C">
          <w:rPr>
            <w:webHidden/>
          </w:rPr>
          <w:instrText xml:space="preserve"> PAGEREF _Toc207348717 \h </w:instrText>
        </w:r>
        <w:r w:rsidRPr="008B474C">
          <w:rPr>
            <w:webHidden/>
          </w:rPr>
        </w:r>
        <w:r w:rsidRPr="008B474C">
          <w:rPr>
            <w:webHidden/>
          </w:rPr>
          <w:fldChar w:fldCharType="separate"/>
        </w:r>
        <w:r w:rsidR="00D1685C" w:rsidRPr="008B474C">
          <w:rPr>
            <w:webHidden/>
          </w:rPr>
          <w:t>44</w:t>
        </w:r>
        <w:r w:rsidRPr="008B474C">
          <w:rPr>
            <w:webHidden/>
          </w:rPr>
          <w:fldChar w:fldCharType="end"/>
        </w:r>
      </w:hyperlink>
    </w:p>
    <w:p w14:paraId="145E484F" w14:textId="08B28B20" w:rsidR="00326544" w:rsidRPr="008B474C" w:rsidRDefault="00326544" w:rsidP="008B474C">
      <w:pPr>
        <w:pStyle w:val="TableofFigures"/>
      </w:pPr>
      <w:hyperlink w:anchor="_Toc207348718" w:history="1">
        <w:r w:rsidRPr="008B474C">
          <w:rPr>
            <w:rStyle w:val="Hyperlink"/>
            <w:color w:val="000000" w:themeColor="text1"/>
            <w:u w:val="none"/>
          </w:rPr>
          <w:t>Figure 11: Locations of limb prostheses service providers across Australia</w:t>
        </w:r>
        <w:r w:rsidRPr="008B474C">
          <w:rPr>
            <w:webHidden/>
          </w:rPr>
          <w:tab/>
        </w:r>
        <w:r w:rsidRPr="008B474C">
          <w:rPr>
            <w:webHidden/>
          </w:rPr>
          <w:fldChar w:fldCharType="begin"/>
        </w:r>
        <w:r w:rsidRPr="008B474C">
          <w:rPr>
            <w:webHidden/>
          </w:rPr>
          <w:instrText xml:space="preserve"> PAGEREF _Toc207348718 \h </w:instrText>
        </w:r>
        <w:r w:rsidRPr="008B474C">
          <w:rPr>
            <w:webHidden/>
          </w:rPr>
        </w:r>
        <w:r w:rsidRPr="008B474C">
          <w:rPr>
            <w:webHidden/>
          </w:rPr>
          <w:fldChar w:fldCharType="separate"/>
        </w:r>
        <w:r w:rsidR="00D1685C" w:rsidRPr="008B474C">
          <w:rPr>
            <w:webHidden/>
          </w:rPr>
          <w:t>52</w:t>
        </w:r>
        <w:r w:rsidRPr="008B474C">
          <w:rPr>
            <w:webHidden/>
          </w:rPr>
          <w:fldChar w:fldCharType="end"/>
        </w:r>
      </w:hyperlink>
    </w:p>
    <w:p w14:paraId="0008C85C" w14:textId="0A8BD650" w:rsidR="00326544" w:rsidRPr="008B474C" w:rsidRDefault="00326544" w:rsidP="008B474C">
      <w:pPr>
        <w:pStyle w:val="TableofFigures"/>
      </w:pPr>
      <w:hyperlink w:anchor="_Toc207348719" w:history="1">
        <w:r w:rsidRPr="008B474C">
          <w:rPr>
            <w:rStyle w:val="Hyperlink"/>
            <w:color w:val="000000" w:themeColor="text1"/>
            <w:u w:val="none"/>
          </w:rPr>
          <w:t>Figure 12: Direct provider payment model flow of funds</w:t>
        </w:r>
        <w:r w:rsidRPr="008B474C">
          <w:rPr>
            <w:webHidden/>
          </w:rPr>
          <w:tab/>
        </w:r>
        <w:r w:rsidRPr="008B474C">
          <w:rPr>
            <w:webHidden/>
          </w:rPr>
          <w:fldChar w:fldCharType="begin"/>
        </w:r>
        <w:r w:rsidRPr="008B474C">
          <w:rPr>
            <w:webHidden/>
          </w:rPr>
          <w:instrText xml:space="preserve"> PAGEREF _Toc207348719 \h </w:instrText>
        </w:r>
        <w:r w:rsidRPr="008B474C">
          <w:rPr>
            <w:webHidden/>
          </w:rPr>
        </w:r>
        <w:r w:rsidRPr="008B474C">
          <w:rPr>
            <w:webHidden/>
          </w:rPr>
          <w:fldChar w:fldCharType="separate"/>
        </w:r>
        <w:r w:rsidR="00D1685C" w:rsidRPr="008B474C">
          <w:rPr>
            <w:webHidden/>
          </w:rPr>
          <w:t>96</w:t>
        </w:r>
        <w:r w:rsidRPr="008B474C">
          <w:rPr>
            <w:webHidden/>
          </w:rPr>
          <w:fldChar w:fldCharType="end"/>
        </w:r>
      </w:hyperlink>
    </w:p>
    <w:p w14:paraId="6BFB13BD" w14:textId="4AF02426" w:rsidR="00326544" w:rsidRPr="008B474C" w:rsidRDefault="00326544" w:rsidP="008B474C">
      <w:pPr>
        <w:pStyle w:val="TableofFigures"/>
      </w:pPr>
      <w:hyperlink w:anchor="_Toc207348720" w:history="1">
        <w:r w:rsidRPr="008B474C">
          <w:rPr>
            <w:rStyle w:val="Hyperlink"/>
            <w:color w:val="000000" w:themeColor="text1"/>
            <w:u w:val="none"/>
          </w:rPr>
          <w:t>Figure 13: Block funding payment model flow of funds</w:t>
        </w:r>
        <w:r w:rsidRPr="008B474C">
          <w:rPr>
            <w:webHidden/>
          </w:rPr>
          <w:tab/>
        </w:r>
        <w:r w:rsidRPr="008B474C">
          <w:rPr>
            <w:webHidden/>
          </w:rPr>
          <w:fldChar w:fldCharType="begin"/>
        </w:r>
        <w:r w:rsidRPr="008B474C">
          <w:rPr>
            <w:webHidden/>
          </w:rPr>
          <w:instrText xml:space="preserve"> PAGEREF _Toc207348720 \h </w:instrText>
        </w:r>
        <w:r w:rsidRPr="008B474C">
          <w:rPr>
            <w:webHidden/>
          </w:rPr>
        </w:r>
        <w:r w:rsidRPr="008B474C">
          <w:rPr>
            <w:webHidden/>
          </w:rPr>
          <w:fldChar w:fldCharType="separate"/>
        </w:r>
        <w:r w:rsidR="00D1685C" w:rsidRPr="008B474C">
          <w:rPr>
            <w:webHidden/>
          </w:rPr>
          <w:t>97</w:t>
        </w:r>
        <w:r w:rsidRPr="008B474C">
          <w:rPr>
            <w:webHidden/>
          </w:rPr>
          <w:fldChar w:fldCharType="end"/>
        </w:r>
      </w:hyperlink>
    </w:p>
    <w:p w14:paraId="1A311AD9" w14:textId="476BFE52" w:rsidR="00326544" w:rsidRPr="008B474C" w:rsidRDefault="00326544" w:rsidP="008B474C">
      <w:pPr>
        <w:pStyle w:val="TableofFigures"/>
      </w:pPr>
      <w:hyperlink w:anchor="_Toc207348721" w:history="1">
        <w:r w:rsidRPr="008B474C">
          <w:rPr>
            <w:rStyle w:val="Hyperlink"/>
            <w:color w:val="000000" w:themeColor="text1"/>
            <w:u w:val="none"/>
          </w:rPr>
          <w:t>Figure 14: Reimbursement model flow of funds</w:t>
        </w:r>
        <w:r w:rsidRPr="008B474C">
          <w:rPr>
            <w:webHidden/>
          </w:rPr>
          <w:tab/>
        </w:r>
        <w:r w:rsidRPr="008B474C">
          <w:rPr>
            <w:webHidden/>
          </w:rPr>
          <w:fldChar w:fldCharType="begin"/>
        </w:r>
        <w:r w:rsidRPr="008B474C">
          <w:rPr>
            <w:webHidden/>
          </w:rPr>
          <w:instrText xml:space="preserve"> PAGEREF _Toc207348721 \h </w:instrText>
        </w:r>
        <w:r w:rsidRPr="008B474C">
          <w:rPr>
            <w:webHidden/>
          </w:rPr>
        </w:r>
        <w:r w:rsidRPr="008B474C">
          <w:rPr>
            <w:webHidden/>
          </w:rPr>
          <w:fldChar w:fldCharType="separate"/>
        </w:r>
        <w:r w:rsidR="00D1685C" w:rsidRPr="008B474C">
          <w:rPr>
            <w:webHidden/>
          </w:rPr>
          <w:t>98</w:t>
        </w:r>
        <w:r w:rsidRPr="008B474C">
          <w:rPr>
            <w:webHidden/>
          </w:rPr>
          <w:fldChar w:fldCharType="end"/>
        </w:r>
      </w:hyperlink>
    </w:p>
    <w:p w14:paraId="68DFA835" w14:textId="2E45E810" w:rsidR="00326544" w:rsidRPr="008B474C" w:rsidRDefault="00326544" w:rsidP="008B474C">
      <w:pPr>
        <w:pStyle w:val="TableofFigures"/>
      </w:pPr>
      <w:hyperlink w:anchor="_Toc207348722" w:history="1">
        <w:r w:rsidRPr="008B474C">
          <w:rPr>
            <w:rStyle w:val="Hyperlink"/>
            <w:color w:val="000000" w:themeColor="text1"/>
            <w:u w:val="none"/>
          </w:rPr>
          <w:t>Figure 15: Option 1 annual costs</w:t>
        </w:r>
        <w:r w:rsidRPr="008B474C">
          <w:rPr>
            <w:webHidden/>
          </w:rPr>
          <w:tab/>
        </w:r>
        <w:r w:rsidRPr="008B474C">
          <w:rPr>
            <w:webHidden/>
          </w:rPr>
          <w:fldChar w:fldCharType="begin"/>
        </w:r>
        <w:r w:rsidRPr="008B474C">
          <w:rPr>
            <w:webHidden/>
          </w:rPr>
          <w:instrText xml:space="preserve"> PAGEREF _Toc207348722 \h </w:instrText>
        </w:r>
        <w:r w:rsidRPr="008B474C">
          <w:rPr>
            <w:webHidden/>
          </w:rPr>
        </w:r>
        <w:r w:rsidRPr="008B474C">
          <w:rPr>
            <w:webHidden/>
          </w:rPr>
          <w:fldChar w:fldCharType="separate"/>
        </w:r>
        <w:r w:rsidR="00D1685C" w:rsidRPr="008B474C">
          <w:rPr>
            <w:webHidden/>
          </w:rPr>
          <w:t>108</w:t>
        </w:r>
        <w:r w:rsidRPr="008B474C">
          <w:rPr>
            <w:webHidden/>
          </w:rPr>
          <w:fldChar w:fldCharType="end"/>
        </w:r>
      </w:hyperlink>
    </w:p>
    <w:p w14:paraId="6744EDFD" w14:textId="4ACD3071" w:rsidR="00326544" w:rsidRPr="008B474C" w:rsidRDefault="00326544" w:rsidP="008B474C">
      <w:pPr>
        <w:pStyle w:val="TableofFigures"/>
      </w:pPr>
      <w:hyperlink w:anchor="_Toc207348723" w:history="1">
        <w:r w:rsidRPr="008B474C">
          <w:rPr>
            <w:rStyle w:val="Hyperlink"/>
            <w:color w:val="000000" w:themeColor="text1"/>
            <w:u w:val="none"/>
          </w:rPr>
          <w:t>Figure 16: Option 2 annual costs</w:t>
        </w:r>
        <w:r w:rsidRPr="008B474C">
          <w:rPr>
            <w:webHidden/>
          </w:rPr>
          <w:tab/>
        </w:r>
        <w:r w:rsidRPr="008B474C">
          <w:rPr>
            <w:webHidden/>
          </w:rPr>
          <w:fldChar w:fldCharType="begin"/>
        </w:r>
        <w:r w:rsidRPr="008B474C">
          <w:rPr>
            <w:webHidden/>
          </w:rPr>
          <w:instrText xml:space="preserve"> PAGEREF _Toc207348723 \h </w:instrText>
        </w:r>
        <w:r w:rsidRPr="008B474C">
          <w:rPr>
            <w:webHidden/>
          </w:rPr>
        </w:r>
        <w:r w:rsidRPr="008B474C">
          <w:rPr>
            <w:webHidden/>
          </w:rPr>
          <w:fldChar w:fldCharType="separate"/>
        </w:r>
        <w:r w:rsidR="00D1685C" w:rsidRPr="008B474C">
          <w:rPr>
            <w:webHidden/>
          </w:rPr>
          <w:t>110</w:t>
        </w:r>
        <w:r w:rsidRPr="008B474C">
          <w:rPr>
            <w:webHidden/>
          </w:rPr>
          <w:fldChar w:fldCharType="end"/>
        </w:r>
      </w:hyperlink>
    </w:p>
    <w:p w14:paraId="5A6B02F6" w14:textId="490AF404" w:rsidR="00326544" w:rsidRPr="008B474C" w:rsidRDefault="00326544" w:rsidP="008B474C">
      <w:pPr>
        <w:pStyle w:val="TableofFigures"/>
      </w:pPr>
      <w:hyperlink w:anchor="_Toc207348724" w:history="1">
        <w:r w:rsidRPr="008B474C">
          <w:rPr>
            <w:rStyle w:val="Hyperlink"/>
            <w:color w:val="000000" w:themeColor="text1"/>
            <w:u w:val="none"/>
          </w:rPr>
          <w:t>Figure 17: Option 3 annual costs</w:t>
        </w:r>
        <w:r w:rsidRPr="008B474C">
          <w:rPr>
            <w:webHidden/>
          </w:rPr>
          <w:tab/>
        </w:r>
        <w:r w:rsidRPr="008B474C">
          <w:rPr>
            <w:webHidden/>
          </w:rPr>
          <w:fldChar w:fldCharType="begin"/>
        </w:r>
        <w:r w:rsidRPr="008B474C">
          <w:rPr>
            <w:webHidden/>
          </w:rPr>
          <w:instrText xml:space="preserve"> PAGEREF _Toc207348724 \h </w:instrText>
        </w:r>
        <w:r w:rsidRPr="008B474C">
          <w:rPr>
            <w:webHidden/>
          </w:rPr>
        </w:r>
        <w:r w:rsidRPr="008B474C">
          <w:rPr>
            <w:webHidden/>
          </w:rPr>
          <w:fldChar w:fldCharType="separate"/>
        </w:r>
        <w:r w:rsidR="00D1685C" w:rsidRPr="008B474C">
          <w:rPr>
            <w:webHidden/>
          </w:rPr>
          <w:t>113</w:t>
        </w:r>
        <w:r w:rsidRPr="008B474C">
          <w:rPr>
            <w:webHidden/>
          </w:rPr>
          <w:fldChar w:fldCharType="end"/>
        </w:r>
      </w:hyperlink>
    </w:p>
    <w:p w14:paraId="318DCE77" w14:textId="565D8177" w:rsidR="002B0E40" w:rsidRPr="0043000C" w:rsidRDefault="00ED5558" w:rsidP="0043000C">
      <w:pPr>
        <w:rPr>
          <w:rStyle w:val="Strong"/>
        </w:rPr>
      </w:pPr>
      <w:r>
        <w:fldChar w:fldCharType="end"/>
      </w:r>
      <w:r w:rsidR="0082083A" w:rsidRPr="0043000C">
        <w:rPr>
          <w:rStyle w:val="Strong"/>
        </w:rPr>
        <w:t>Index</w:t>
      </w:r>
      <w:r w:rsidR="001B5BAA" w:rsidRPr="0043000C">
        <w:rPr>
          <w:rStyle w:val="Strong"/>
        </w:rPr>
        <w:t xml:space="preserve"> of tables</w:t>
      </w:r>
    </w:p>
    <w:p w14:paraId="6C99B134" w14:textId="62880E92" w:rsidR="00097AE2" w:rsidRDefault="007505DA">
      <w:pPr>
        <w:pStyle w:val="TableofFigures"/>
        <w:rPr>
          <w:rFonts w:asciiTheme="minorHAnsi" w:eastAsiaTheme="minorEastAsia" w:hAnsiTheme="minorHAnsi"/>
          <w:color w:val="auto"/>
          <w:kern w:val="2"/>
          <w:sz w:val="24"/>
          <w:szCs w:val="24"/>
          <w:lang w:eastAsia="en-AU"/>
          <w14:ligatures w14:val="standardContextual"/>
        </w:rPr>
      </w:pPr>
      <w:r>
        <w:rPr>
          <w:b/>
          <w:bCs/>
        </w:rPr>
        <w:fldChar w:fldCharType="begin"/>
      </w:r>
      <w:r w:rsidRPr="001B5BAA">
        <w:rPr>
          <w:b/>
          <w:bCs/>
        </w:rPr>
        <w:instrText xml:space="preserve"> TOC \h \z \c "Table" </w:instrText>
      </w:r>
      <w:r>
        <w:rPr>
          <w:b/>
          <w:bCs/>
        </w:rPr>
        <w:fldChar w:fldCharType="separate"/>
      </w:r>
      <w:hyperlink w:anchor="_Toc207348566" w:history="1">
        <w:r w:rsidR="00097AE2" w:rsidRPr="00957327">
          <w:rPr>
            <w:rStyle w:val="Hyperlink"/>
          </w:rPr>
          <w:t>Table 1: In-scope and out-of-scope prostheses</w:t>
        </w:r>
        <w:r w:rsidR="00097AE2">
          <w:rPr>
            <w:webHidden/>
          </w:rPr>
          <w:tab/>
        </w:r>
        <w:r w:rsidR="00097AE2">
          <w:rPr>
            <w:webHidden/>
          </w:rPr>
          <w:fldChar w:fldCharType="begin"/>
        </w:r>
        <w:r w:rsidR="00097AE2">
          <w:rPr>
            <w:webHidden/>
          </w:rPr>
          <w:instrText xml:space="preserve"> PAGEREF _Toc207348566 \h </w:instrText>
        </w:r>
        <w:r w:rsidR="00097AE2">
          <w:rPr>
            <w:webHidden/>
          </w:rPr>
        </w:r>
        <w:r w:rsidR="00097AE2">
          <w:rPr>
            <w:webHidden/>
          </w:rPr>
          <w:fldChar w:fldCharType="separate"/>
        </w:r>
        <w:r w:rsidR="00D1685C">
          <w:rPr>
            <w:webHidden/>
          </w:rPr>
          <w:t>25</w:t>
        </w:r>
        <w:r w:rsidR="00097AE2">
          <w:rPr>
            <w:webHidden/>
          </w:rPr>
          <w:fldChar w:fldCharType="end"/>
        </w:r>
      </w:hyperlink>
    </w:p>
    <w:p w14:paraId="5F2FF686" w14:textId="6EAE3605"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67" w:history="1">
        <w:r w:rsidRPr="00957327">
          <w:rPr>
            <w:rStyle w:val="Hyperlink"/>
          </w:rPr>
          <w:t>Table 2: Types of facial prostheses</w:t>
        </w:r>
        <w:r>
          <w:rPr>
            <w:webHidden/>
          </w:rPr>
          <w:tab/>
        </w:r>
        <w:r>
          <w:rPr>
            <w:webHidden/>
          </w:rPr>
          <w:fldChar w:fldCharType="begin"/>
        </w:r>
        <w:r>
          <w:rPr>
            <w:webHidden/>
          </w:rPr>
          <w:instrText xml:space="preserve"> PAGEREF _Toc207348567 \h </w:instrText>
        </w:r>
        <w:r>
          <w:rPr>
            <w:webHidden/>
          </w:rPr>
        </w:r>
        <w:r>
          <w:rPr>
            <w:webHidden/>
          </w:rPr>
          <w:fldChar w:fldCharType="separate"/>
        </w:r>
        <w:r w:rsidR="00D1685C">
          <w:rPr>
            <w:webHidden/>
          </w:rPr>
          <w:t>31</w:t>
        </w:r>
        <w:r>
          <w:rPr>
            <w:webHidden/>
          </w:rPr>
          <w:fldChar w:fldCharType="end"/>
        </w:r>
      </w:hyperlink>
    </w:p>
    <w:p w14:paraId="4E115C67" w14:textId="51C8E830"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68" w:history="1">
        <w:r w:rsidRPr="00957327">
          <w:rPr>
            <w:rStyle w:val="Hyperlink"/>
          </w:rPr>
          <w:t>Table 3: Facial prostheses coverage by private health fund</w:t>
        </w:r>
        <w:r>
          <w:rPr>
            <w:webHidden/>
          </w:rPr>
          <w:tab/>
        </w:r>
        <w:r>
          <w:rPr>
            <w:webHidden/>
          </w:rPr>
          <w:fldChar w:fldCharType="begin"/>
        </w:r>
        <w:r>
          <w:rPr>
            <w:webHidden/>
          </w:rPr>
          <w:instrText xml:space="preserve"> PAGEREF _Toc207348568 \h </w:instrText>
        </w:r>
        <w:r>
          <w:rPr>
            <w:webHidden/>
          </w:rPr>
        </w:r>
        <w:r>
          <w:rPr>
            <w:webHidden/>
          </w:rPr>
          <w:fldChar w:fldCharType="separate"/>
        </w:r>
        <w:r w:rsidR="00D1685C">
          <w:rPr>
            <w:webHidden/>
          </w:rPr>
          <w:t>32</w:t>
        </w:r>
        <w:r>
          <w:rPr>
            <w:webHidden/>
          </w:rPr>
          <w:fldChar w:fldCharType="end"/>
        </w:r>
      </w:hyperlink>
    </w:p>
    <w:p w14:paraId="0B12C093" w14:textId="2BAE0233"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69" w:history="1">
        <w:r w:rsidRPr="00957327">
          <w:rPr>
            <w:rStyle w:val="Hyperlink"/>
          </w:rPr>
          <w:t>Table 4: Comparison of ocular facial prostheses schemes and services available across jurisdictions</w:t>
        </w:r>
        <w:r>
          <w:rPr>
            <w:webHidden/>
          </w:rPr>
          <w:tab/>
        </w:r>
        <w:r>
          <w:rPr>
            <w:webHidden/>
          </w:rPr>
          <w:fldChar w:fldCharType="begin"/>
        </w:r>
        <w:r>
          <w:rPr>
            <w:webHidden/>
          </w:rPr>
          <w:instrText xml:space="preserve"> PAGEREF _Toc207348569 \h </w:instrText>
        </w:r>
        <w:r>
          <w:rPr>
            <w:webHidden/>
          </w:rPr>
        </w:r>
        <w:r>
          <w:rPr>
            <w:webHidden/>
          </w:rPr>
          <w:fldChar w:fldCharType="separate"/>
        </w:r>
        <w:r w:rsidR="00D1685C">
          <w:rPr>
            <w:webHidden/>
          </w:rPr>
          <w:t>34</w:t>
        </w:r>
        <w:r>
          <w:rPr>
            <w:webHidden/>
          </w:rPr>
          <w:fldChar w:fldCharType="end"/>
        </w:r>
      </w:hyperlink>
    </w:p>
    <w:p w14:paraId="6972831E" w14:textId="0FC990C7"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70" w:history="1">
        <w:r w:rsidRPr="00957327">
          <w:rPr>
            <w:rStyle w:val="Hyperlink"/>
          </w:rPr>
          <w:t>Table 5: Comparison of ear, nasal and hemi-facial prostheses schemes and services available across jurisdictions</w:t>
        </w:r>
        <w:r>
          <w:rPr>
            <w:webHidden/>
          </w:rPr>
          <w:tab/>
        </w:r>
        <w:r>
          <w:rPr>
            <w:webHidden/>
          </w:rPr>
          <w:fldChar w:fldCharType="begin"/>
        </w:r>
        <w:r>
          <w:rPr>
            <w:webHidden/>
          </w:rPr>
          <w:instrText xml:space="preserve"> PAGEREF _Toc207348570 \h </w:instrText>
        </w:r>
        <w:r>
          <w:rPr>
            <w:webHidden/>
          </w:rPr>
        </w:r>
        <w:r>
          <w:rPr>
            <w:webHidden/>
          </w:rPr>
          <w:fldChar w:fldCharType="separate"/>
        </w:r>
        <w:r w:rsidR="00D1685C">
          <w:rPr>
            <w:webHidden/>
          </w:rPr>
          <w:t>34</w:t>
        </w:r>
        <w:r>
          <w:rPr>
            <w:webHidden/>
          </w:rPr>
          <w:fldChar w:fldCharType="end"/>
        </w:r>
      </w:hyperlink>
    </w:p>
    <w:p w14:paraId="691D0D2F" w14:textId="60544609"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71" w:history="1">
        <w:r w:rsidRPr="00957327">
          <w:rPr>
            <w:rStyle w:val="Hyperlink"/>
          </w:rPr>
          <w:t>Table 6: Facial prostheses services available in each Australian state / territory</w:t>
        </w:r>
        <w:r>
          <w:rPr>
            <w:webHidden/>
          </w:rPr>
          <w:tab/>
        </w:r>
        <w:r>
          <w:rPr>
            <w:webHidden/>
          </w:rPr>
          <w:fldChar w:fldCharType="begin"/>
        </w:r>
        <w:r>
          <w:rPr>
            <w:webHidden/>
          </w:rPr>
          <w:instrText xml:space="preserve"> PAGEREF _Toc207348571 \h </w:instrText>
        </w:r>
        <w:r>
          <w:rPr>
            <w:webHidden/>
          </w:rPr>
        </w:r>
        <w:r>
          <w:rPr>
            <w:webHidden/>
          </w:rPr>
          <w:fldChar w:fldCharType="separate"/>
        </w:r>
        <w:r w:rsidR="00D1685C">
          <w:rPr>
            <w:webHidden/>
          </w:rPr>
          <w:t>37</w:t>
        </w:r>
        <w:r>
          <w:rPr>
            <w:webHidden/>
          </w:rPr>
          <w:fldChar w:fldCharType="end"/>
        </w:r>
      </w:hyperlink>
    </w:p>
    <w:p w14:paraId="1A8FA482" w14:textId="56B4B360"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72" w:history="1">
        <w:r w:rsidRPr="00957327">
          <w:rPr>
            <w:rStyle w:val="Hyperlink"/>
          </w:rPr>
          <w:t>Table 7: External Breast Prostheses coverage by private health fund</w:t>
        </w:r>
        <w:r>
          <w:rPr>
            <w:webHidden/>
          </w:rPr>
          <w:tab/>
        </w:r>
        <w:r>
          <w:rPr>
            <w:webHidden/>
          </w:rPr>
          <w:fldChar w:fldCharType="begin"/>
        </w:r>
        <w:r>
          <w:rPr>
            <w:webHidden/>
          </w:rPr>
          <w:instrText xml:space="preserve"> PAGEREF _Toc207348572 \h </w:instrText>
        </w:r>
        <w:r>
          <w:rPr>
            <w:webHidden/>
          </w:rPr>
        </w:r>
        <w:r>
          <w:rPr>
            <w:webHidden/>
          </w:rPr>
          <w:fldChar w:fldCharType="separate"/>
        </w:r>
        <w:r w:rsidR="00D1685C">
          <w:rPr>
            <w:webHidden/>
          </w:rPr>
          <w:t>42</w:t>
        </w:r>
        <w:r>
          <w:rPr>
            <w:webHidden/>
          </w:rPr>
          <w:fldChar w:fldCharType="end"/>
        </w:r>
      </w:hyperlink>
    </w:p>
    <w:p w14:paraId="13A6E04D" w14:textId="3D9F56BA"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73" w:history="1">
        <w:r w:rsidRPr="00957327">
          <w:rPr>
            <w:rStyle w:val="Hyperlink"/>
          </w:rPr>
          <w:t>Table 8: K- level classification for lower limb prostheses</w:t>
        </w:r>
        <w:r>
          <w:rPr>
            <w:webHidden/>
          </w:rPr>
          <w:tab/>
        </w:r>
        <w:r>
          <w:rPr>
            <w:webHidden/>
          </w:rPr>
          <w:fldChar w:fldCharType="begin"/>
        </w:r>
        <w:r>
          <w:rPr>
            <w:webHidden/>
          </w:rPr>
          <w:instrText xml:space="preserve"> PAGEREF _Toc207348573 \h </w:instrText>
        </w:r>
        <w:r>
          <w:rPr>
            <w:webHidden/>
          </w:rPr>
        </w:r>
        <w:r>
          <w:rPr>
            <w:webHidden/>
          </w:rPr>
          <w:fldChar w:fldCharType="separate"/>
        </w:r>
        <w:r w:rsidR="00D1685C">
          <w:rPr>
            <w:webHidden/>
          </w:rPr>
          <w:t>45</w:t>
        </w:r>
        <w:r>
          <w:rPr>
            <w:webHidden/>
          </w:rPr>
          <w:fldChar w:fldCharType="end"/>
        </w:r>
      </w:hyperlink>
    </w:p>
    <w:p w14:paraId="03F7B1FC" w14:textId="3003F1CC"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74" w:history="1">
        <w:r w:rsidRPr="00957327">
          <w:rPr>
            <w:rStyle w:val="Hyperlink"/>
          </w:rPr>
          <w:t>Table 9: Limb prostheses coverage by private health fund</w:t>
        </w:r>
        <w:r>
          <w:rPr>
            <w:webHidden/>
          </w:rPr>
          <w:tab/>
        </w:r>
        <w:r>
          <w:rPr>
            <w:webHidden/>
          </w:rPr>
          <w:fldChar w:fldCharType="begin"/>
        </w:r>
        <w:r>
          <w:rPr>
            <w:webHidden/>
          </w:rPr>
          <w:instrText xml:space="preserve"> PAGEREF _Toc207348574 \h </w:instrText>
        </w:r>
        <w:r>
          <w:rPr>
            <w:webHidden/>
          </w:rPr>
        </w:r>
        <w:r>
          <w:rPr>
            <w:webHidden/>
          </w:rPr>
          <w:fldChar w:fldCharType="separate"/>
        </w:r>
        <w:r w:rsidR="00D1685C">
          <w:rPr>
            <w:webHidden/>
          </w:rPr>
          <w:t>48</w:t>
        </w:r>
        <w:r>
          <w:rPr>
            <w:webHidden/>
          </w:rPr>
          <w:fldChar w:fldCharType="end"/>
        </w:r>
      </w:hyperlink>
    </w:p>
    <w:p w14:paraId="5073B303" w14:textId="1E5BA27C"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75" w:history="1">
        <w:r w:rsidRPr="00957327">
          <w:rPr>
            <w:rStyle w:val="Hyperlink"/>
          </w:rPr>
          <w:t>Table 10: Comparison of limb prostheses schemes and services available across jurisdictions</w:t>
        </w:r>
        <w:r>
          <w:rPr>
            <w:webHidden/>
          </w:rPr>
          <w:tab/>
        </w:r>
        <w:r>
          <w:rPr>
            <w:webHidden/>
          </w:rPr>
          <w:fldChar w:fldCharType="begin"/>
        </w:r>
        <w:r>
          <w:rPr>
            <w:webHidden/>
          </w:rPr>
          <w:instrText xml:space="preserve"> PAGEREF _Toc207348575 \h </w:instrText>
        </w:r>
        <w:r>
          <w:rPr>
            <w:webHidden/>
          </w:rPr>
        </w:r>
        <w:r>
          <w:rPr>
            <w:webHidden/>
          </w:rPr>
          <w:fldChar w:fldCharType="separate"/>
        </w:r>
        <w:r w:rsidR="00D1685C">
          <w:rPr>
            <w:webHidden/>
          </w:rPr>
          <w:t>48</w:t>
        </w:r>
        <w:r>
          <w:rPr>
            <w:webHidden/>
          </w:rPr>
          <w:fldChar w:fldCharType="end"/>
        </w:r>
      </w:hyperlink>
    </w:p>
    <w:p w14:paraId="01A76936" w14:textId="169F33F2"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76" w:history="1">
        <w:r w:rsidRPr="00957327">
          <w:rPr>
            <w:rStyle w:val="Hyperlink"/>
          </w:rPr>
          <w:t>Table 11: Jurisdictional comparison of voice prostheses programs and schemes</w:t>
        </w:r>
        <w:r>
          <w:rPr>
            <w:webHidden/>
          </w:rPr>
          <w:tab/>
        </w:r>
        <w:r>
          <w:rPr>
            <w:webHidden/>
          </w:rPr>
          <w:fldChar w:fldCharType="begin"/>
        </w:r>
        <w:r>
          <w:rPr>
            <w:webHidden/>
          </w:rPr>
          <w:instrText xml:space="preserve"> PAGEREF _Toc207348576 \h </w:instrText>
        </w:r>
        <w:r>
          <w:rPr>
            <w:webHidden/>
          </w:rPr>
        </w:r>
        <w:r>
          <w:rPr>
            <w:webHidden/>
          </w:rPr>
          <w:fldChar w:fldCharType="separate"/>
        </w:r>
        <w:r w:rsidR="00D1685C">
          <w:rPr>
            <w:webHidden/>
          </w:rPr>
          <w:t>55</w:t>
        </w:r>
        <w:r>
          <w:rPr>
            <w:webHidden/>
          </w:rPr>
          <w:fldChar w:fldCharType="end"/>
        </w:r>
      </w:hyperlink>
    </w:p>
    <w:p w14:paraId="0E7BFE68" w14:textId="3C8464E2"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77" w:history="1">
        <w:r w:rsidRPr="00957327">
          <w:rPr>
            <w:rStyle w:val="Hyperlink"/>
          </w:rPr>
          <w:t>Table 12: Overview of the health systems in countries included in the international comparator analysis outlined in this section</w:t>
        </w:r>
        <w:r>
          <w:rPr>
            <w:webHidden/>
          </w:rPr>
          <w:tab/>
        </w:r>
        <w:r>
          <w:rPr>
            <w:webHidden/>
          </w:rPr>
          <w:fldChar w:fldCharType="begin"/>
        </w:r>
        <w:r>
          <w:rPr>
            <w:webHidden/>
          </w:rPr>
          <w:instrText xml:space="preserve"> PAGEREF _Toc207348577 \h </w:instrText>
        </w:r>
        <w:r>
          <w:rPr>
            <w:webHidden/>
          </w:rPr>
        </w:r>
        <w:r>
          <w:rPr>
            <w:webHidden/>
          </w:rPr>
          <w:fldChar w:fldCharType="separate"/>
        </w:r>
        <w:r w:rsidR="00D1685C">
          <w:rPr>
            <w:webHidden/>
          </w:rPr>
          <w:t>61</w:t>
        </w:r>
        <w:r>
          <w:rPr>
            <w:webHidden/>
          </w:rPr>
          <w:fldChar w:fldCharType="end"/>
        </w:r>
      </w:hyperlink>
    </w:p>
    <w:p w14:paraId="45DBA1B1" w14:textId="58F41ED4"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78" w:history="1">
        <w:r w:rsidRPr="00957327">
          <w:rPr>
            <w:rStyle w:val="Hyperlink"/>
          </w:rPr>
          <w:t>Table 13: International comparison of facial prostheses programs and schemes</w:t>
        </w:r>
        <w:r>
          <w:rPr>
            <w:webHidden/>
          </w:rPr>
          <w:tab/>
        </w:r>
        <w:r>
          <w:rPr>
            <w:webHidden/>
          </w:rPr>
          <w:fldChar w:fldCharType="begin"/>
        </w:r>
        <w:r>
          <w:rPr>
            <w:webHidden/>
          </w:rPr>
          <w:instrText xml:space="preserve"> PAGEREF _Toc207348578 \h </w:instrText>
        </w:r>
        <w:r>
          <w:rPr>
            <w:webHidden/>
          </w:rPr>
        </w:r>
        <w:r>
          <w:rPr>
            <w:webHidden/>
          </w:rPr>
          <w:fldChar w:fldCharType="separate"/>
        </w:r>
        <w:r w:rsidR="00D1685C">
          <w:rPr>
            <w:webHidden/>
          </w:rPr>
          <w:t>63</w:t>
        </w:r>
        <w:r>
          <w:rPr>
            <w:webHidden/>
          </w:rPr>
          <w:fldChar w:fldCharType="end"/>
        </w:r>
      </w:hyperlink>
    </w:p>
    <w:p w14:paraId="15D6D457" w14:textId="5B32B9A1"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79" w:history="1">
        <w:r w:rsidRPr="00957327">
          <w:rPr>
            <w:rStyle w:val="Hyperlink"/>
          </w:rPr>
          <w:t>Table 14: International comparison of external breast prostheses programs and schemes</w:t>
        </w:r>
        <w:r>
          <w:rPr>
            <w:webHidden/>
          </w:rPr>
          <w:tab/>
        </w:r>
        <w:r>
          <w:rPr>
            <w:webHidden/>
          </w:rPr>
          <w:fldChar w:fldCharType="begin"/>
        </w:r>
        <w:r>
          <w:rPr>
            <w:webHidden/>
          </w:rPr>
          <w:instrText xml:space="preserve"> PAGEREF _Toc207348579 \h </w:instrText>
        </w:r>
        <w:r>
          <w:rPr>
            <w:webHidden/>
          </w:rPr>
        </w:r>
        <w:r>
          <w:rPr>
            <w:webHidden/>
          </w:rPr>
          <w:fldChar w:fldCharType="separate"/>
        </w:r>
        <w:r w:rsidR="00D1685C">
          <w:rPr>
            <w:webHidden/>
          </w:rPr>
          <w:t>65</w:t>
        </w:r>
        <w:r>
          <w:rPr>
            <w:webHidden/>
          </w:rPr>
          <w:fldChar w:fldCharType="end"/>
        </w:r>
      </w:hyperlink>
    </w:p>
    <w:p w14:paraId="6D9CBEE8" w14:textId="4F72DD4A"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80" w:history="1">
        <w:r w:rsidRPr="00957327">
          <w:rPr>
            <w:rStyle w:val="Hyperlink"/>
          </w:rPr>
          <w:t>Table 15: International comparison of limb prostheses programs and schemes</w:t>
        </w:r>
        <w:r>
          <w:rPr>
            <w:webHidden/>
          </w:rPr>
          <w:tab/>
        </w:r>
        <w:r>
          <w:rPr>
            <w:webHidden/>
          </w:rPr>
          <w:fldChar w:fldCharType="begin"/>
        </w:r>
        <w:r>
          <w:rPr>
            <w:webHidden/>
          </w:rPr>
          <w:instrText xml:space="preserve"> PAGEREF _Toc207348580 \h </w:instrText>
        </w:r>
        <w:r>
          <w:rPr>
            <w:webHidden/>
          </w:rPr>
        </w:r>
        <w:r>
          <w:rPr>
            <w:webHidden/>
          </w:rPr>
          <w:fldChar w:fldCharType="separate"/>
        </w:r>
        <w:r w:rsidR="00D1685C">
          <w:rPr>
            <w:webHidden/>
          </w:rPr>
          <w:t>67</w:t>
        </w:r>
        <w:r>
          <w:rPr>
            <w:webHidden/>
          </w:rPr>
          <w:fldChar w:fldCharType="end"/>
        </w:r>
      </w:hyperlink>
    </w:p>
    <w:p w14:paraId="3154B80D" w14:textId="448121DB"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81" w:history="1">
        <w:r w:rsidRPr="00957327">
          <w:rPr>
            <w:rStyle w:val="Hyperlink"/>
          </w:rPr>
          <w:t>Table 16: International comparison of voice prostheses programs and schemes</w:t>
        </w:r>
        <w:r>
          <w:rPr>
            <w:webHidden/>
          </w:rPr>
          <w:tab/>
        </w:r>
        <w:r>
          <w:rPr>
            <w:webHidden/>
          </w:rPr>
          <w:fldChar w:fldCharType="begin"/>
        </w:r>
        <w:r>
          <w:rPr>
            <w:webHidden/>
          </w:rPr>
          <w:instrText xml:space="preserve"> PAGEREF _Toc207348581 \h </w:instrText>
        </w:r>
        <w:r>
          <w:rPr>
            <w:webHidden/>
          </w:rPr>
        </w:r>
        <w:r>
          <w:rPr>
            <w:webHidden/>
          </w:rPr>
          <w:fldChar w:fldCharType="separate"/>
        </w:r>
        <w:r w:rsidR="00D1685C">
          <w:rPr>
            <w:webHidden/>
          </w:rPr>
          <w:t>69</w:t>
        </w:r>
        <w:r>
          <w:rPr>
            <w:webHidden/>
          </w:rPr>
          <w:fldChar w:fldCharType="end"/>
        </w:r>
      </w:hyperlink>
    </w:p>
    <w:p w14:paraId="1A25A89C" w14:textId="4D025948"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82" w:history="1">
        <w:r w:rsidRPr="00957327">
          <w:rPr>
            <w:rStyle w:val="Hyperlink"/>
          </w:rPr>
          <w:t>Table 17: International comparison of male reproductive prostheses programs and schemes</w:t>
        </w:r>
        <w:r>
          <w:rPr>
            <w:webHidden/>
          </w:rPr>
          <w:tab/>
        </w:r>
        <w:r>
          <w:rPr>
            <w:webHidden/>
          </w:rPr>
          <w:fldChar w:fldCharType="begin"/>
        </w:r>
        <w:r>
          <w:rPr>
            <w:webHidden/>
          </w:rPr>
          <w:instrText xml:space="preserve"> PAGEREF _Toc207348582 \h </w:instrText>
        </w:r>
        <w:r>
          <w:rPr>
            <w:webHidden/>
          </w:rPr>
        </w:r>
        <w:r>
          <w:rPr>
            <w:webHidden/>
          </w:rPr>
          <w:fldChar w:fldCharType="separate"/>
        </w:r>
        <w:r w:rsidR="00D1685C">
          <w:rPr>
            <w:webHidden/>
          </w:rPr>
          <w:t>71</w:t>
        </w:r>
        <w:r>
          <w:rPr>
            <w:webHidden/>
          </w:rPr>
          <w:fldChar w:fldCharType="end"/>
        </w:r>
      </w:hyperlink>
    </w:p>
    <w:p w14:paraId="31C23300" w14:textId="31B29DC8"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83" w:history="1">
        <w:r w:rsidRPr="00957327">
          <w:rPr>
            <w:rStyle w:val="Hyperlink"/>
          </w:rPr>
          <w:t>Table 18: International comparison of oral prostheses programs and schemes</w:t>
        </w:r>
        <w:r>
          <w:rPr>
            <w:webHidden/>
          </w:rPr>
          <w:tab/>
        </w:r>
        <w:r>
          <w:rPr>
            <w:webHidden/>
          </w:rPr>
          <w:fldChar w:fldCharType="begin"/>
        </w:r>
        <w:r>
          <w:rPr>
            <w:webHidden/>
          </w:rPr>
          <w:instrText xml:space="preserve"> PAGEREF _Toc207348583 \h </w:instrText>
        </w:r>
        <w:r>
          <w:rPr>
            <w:webHidden/>
          </w:rPr>
        </w:r>
        <w:r>
          <w:rPr>
            <w:webHidden/>
          </w:rPr>
          <w:fldChar w:fldCharType="separate"/>
        </w:r>
        <w:r w:rsidR="00D1685C">
          <w:rPr>
            <w:webHidden/>
          </w:rPr>
          <w:t>73</w:t>
        </w:r>
        <w:r>
          <w:rPr>
            <w:webHidden/>
          </w:rPr>
          <w:fldChar w:fldCharType="end"/>
        </w:r>
      </w:hyperlink>
    </w:p>
    <w:p w14:paraId="022B6809" w14:textId="3B14ACC9"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84" w:history="1">
        <w:r w:rsidRPr="00957327">
          <w:rPr>
            <w:rStyle w:val="Hyperlink"/>
          </w:rPr>
          <w:t>Table 19: Summary of barriers to accessing prostheses for people living with or who have lived experience of cancer</w:t>
        </w:r>
        <w:r>
          <w:rPr>
            <w:webHidden/>
          </w:rPr>
          <w:tab/>
        </w:r>
        <w:r>
          <w:rPr>
            <w:webHidden/>
          </w:rPr>
          <w:fldChar w:fldCharType="begin"/>
        </w:r>
        <w:r>
          <w:rPr>
            <w:webHidden/>
          </w:rPr>
          <w:instrText xml:space="preserve"> PAGEREF _Toc207348584 \h </w:instrText>
        </w:r>
        <w:r>
          <w:rPr>
            <w:webHidden/>
          </w:rPr>
        </w:r>
        <w:r>
          <w:rPr>
            <w:webHidden/>
          </w:rPr>
          <w:fldChar w:fldCharType="separate"/>
        </w:r>
        <w:r w:rsidR="00D1685C">
          <w:rPr>
            <w:webHidden/>
          </w:rPr>
          <w:t>76</w:t>
        </w:r>
        <w:r>
          <w:rPr>
            <w:webHidden/>
          </w:rPr>
          <w:fldChar w:fldCharType="end"/>
        </w:r>
      </w:hyperlink>
    </w:p>
    <w:p w14:paraId="5642DD5C" w14:textId="5075E246"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85" w:history="1">
        <w:r w:rsidRPr="00957327">
          <w:rPr>
            <w:rStyle w:val="Hyperlink"/>
          </w:rPr>
          <w:t>Table 20: Equity issues able to be addressed by the three options for a national cancer prostheses program</w:t>
        </w:r>
        <w:r>
          <w:rPr>
            <w:webHidden/>
          </w:rPr>
          <w:tab/>
        </w:r>
        <w:r>
          <w:rPr>
            <w:webHidden/>
          </w:rPr>
          <w:fldChar w:fldCharType="begin"/>
        </w:r>
        <w:r>
          <w:rPr>
            <w:webHidden/>
          </w:rPr>
          <w:instrText xml:space="preserve"> PAGEREF _Toc207348585 \h </w:instrText>
        </w:r>
        <w:r>
          <w:rPr>
            <w:webHidden/>
          </w:rPr>
        </w:r>
        <w:r>
          <w:rPr>
            <w:webHidden/>
          </w:rPr>
          <w:fldChar w:fldCharType="separate"/>
        </w:r>
        <w:r w:rsidR="00D1685C">
          <w:rPr>
            <w:webHidden/>
          </w:rPr>
          <w:t>89</w:t>
        </w:r>
        <w:r>
          <w:rPr>
            <w:webHidden/>
          </w:rPr>
          <w:fldChar w:fldCharType="end"/>
        </w:r>
      </w:hyperlink>
    </w:p>
    <w:p w14:paraId="5E330630" w14:textId="0DE54012"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86" w:history="1">
        <w:r w:rsidRPr="00957327">
          <w:rPr>
            <w:rStyle w:val="Hyperlink"/>
          </w:rPr>
          <w:t>Table 21: Summary of the equity issues aimed to be addressed through Option 1</w:t>
        </w:r>
        <w:r>
          <w:rPr>
            <w:webHidden/>
          </w:rPr>
          <w:tab/>
        </w:r>
        <w:r>
          <w:rPr>
            <w:webHidden/>
          </w:rPr>
          <w:fldChar w:fldCharType="begin"/>
        </w:r>
        <w:r>
          <w:rPr>
            <w:webHidden/>
          </w:rPr>
          <w:instrText xml:space="preserve"> PAGEREF _Toc207348586 \h </w:instrText>
        </w:r>
        <w:r>
          <w:rPr>
            <w:webHidden/>
          </w:rPr>
        </w:r>
        <w:r>
          <w:rPr>
            <w:webHidden/>
          </w:rPr>
          <w:fldChar w:fldCharType="separate"/>
        </w:r>
        <w:r w:rsidR="00D1685C">
          <w:rPr>
            <w:webHidden/>
          </w:rPr>
          <w:t>90</w:t>
        </w:r>
        <w:r>
          <w:rPr>
            <w:webHidden/>
          </w:rPr>
          <w:fldChar w:fldCharType="end"/>
        </w:r>
      </w:hyperlink>
    </w:p>
    <w:p w14:paraId="66814244" w14:textId="389EC09C"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87" w:history="1">
        <w:r w:rsidRPr="00957327">
          <w:rPr>
            <w:rStyle w:val="Hyperlink"/>
          </w:rPr>
          <w:t>Table 22: Summary of the equity issues aimed to be addressed through Option 2</w:t>
        </w:r>
        <w:r>
          <w:rPr>
            <w:webHidden/>
          </w:rPr>
          <w:tab/>
        </w:r>
        <w:r>
          <w:rPr>
            <w:webHidden/>
          </w:rPr>
          <w:fldChar w:fldCharType="begin"/>
        </w:r>
        <w:r>
          <w:rPr>
            <w:webHidden/>
          </w:rPr>
          <w:instrText xml:space="preserve"> PAGEREF _Toc207348587 \h </w:instrText>
        </w:r>
        <w:r>
          <w:rPr>
            <w:webHidden/>
          </w:rPr>
        </w:r>
        <w:r>
          <w:rPr>
            <w:webHidden/>
          </w:rPr>
          <w:fldChar w:fldCharType="separate"/>
        </w:r>
        <w:r w:rsidR="00D1685C">
          <w:rPr>
            <w:webHidden/>
          </w:rPr>
          <w:t>91</w:t>
        </w:r>
        <w:r>
          <w:rPr>
            <w:webHidden/>
          </w:rPr>
          <w:fldChar w:fldCharType="end"/>
        </w:r>
      </w:hyperlink>
    </w:p>
    <w:p w14:paraId="07D81AF3" w14:textId="2F9DB8F9"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88" w:history="1">
        <w:r w:rsidRPr="00957327">
          <w:rPr>
            <w:rStyle w:val="Hyperlink"/>
          </w:rPr>
          <w:t>Table 23: Summary of the equity issues aimed to be addressed through Option 3</w:t>
        </w:r>
        <w:r>
          <w:rPr>
            <w:webHidden/>
          </w:rPr>
          <w:tab/>
        </w:r>
        <w:r>
          <w:rPr>
            <w:webHidden/>
          </w:rPr>
          <w:fldChar w:fldCharType="begin"/>
        </w:r>
        <w:r>
          <w:rPr>
            <w:webHidden/>
          </w:rPr>
          <w:instrText xml:space="preserve"> PAGEREF _Toc207348588 \h </w:instrText>
        </w:r>
        <w:r>
          <w:rPr>
            <w:webHidden/>
          </w:rPr>
        </w:r>
        <w:r>
          <w:rPr>
            <w:webHidden/>
          </w:rPr>
          <w:fldChar w:fldCharType="separate"/>
        </w:r>
        <w:r w:rsidR="00D1685C">
          <w:rPr>
            <w:webHidden/>
          </w:rPr>
          <w:t>92</w:t>
        </w:r>
        <w:r>
          <w:rPr>
            <w:webHidden/>
          </w:rPr>
          <w:fldChar w:fldCharType="end"/>
        </w:r>
      </w:hyperlink>
    </w:p>
    <w:p w14:paraId="088E9381" w14:textId="788CDAD7"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89" w:history="1">
        <w:r w:rsidRPr="00957327">
          <w:rPr>
            <w:rStyle w:val="Hyperlink"/>
          </w:rPr>
          <w:t>Table 24: Summary of delivery model options for a national cancer prostheses program and key strengths and considerations</w:t>
        </w:r>
        <w:r>
          <w:rPr>
            <w:webHidden/>
          </w:rPr>
          <w:tab/>
        </w:r>
        <w:r>
          <w:rPr>
            <w:webHidden/>
          </w:rPr>
          <w:fldChar w:fldCharType="begin"/>
        </w:r>
        <w:r>
          <w:rPr>
            <w:webHidden/>
          </w:rPr>
          <w:instrText xml:space="preserve"> PAGEREF _Toc207348589 \h </w:instrText>
        </w:r>
        <w:r>
          <w:rPr>
            <w:webHidden/>
          </w:rPr>
        </w:r>
        <w:r>
          <w:rPr>
            <w:webHidden/>
          </w:rPr>
          <w:fldChar w:fldCharType="separate"/>
        </w:r>
        <w:r w:rsidR="00D1685C">
          <w:rPr>
            <w:webHidden/>
          </w:rPr>
          <w:t>94</w:t>
        </w:r>
        <w:r>
          <w:rPr>
            <w:webHidden/>
          </w:rPr>
          <w:fldChar w:fldCharType="end"/>
        </w:r>
      </w:hyperlink>
    </w:p>
    <w:p w14:paraId="60BD6A51" w14:textId="0ECC4099"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90" w:history="1">
        <w:r w:rsidRPr="00957327">
          <w:rPr>
            <w:rStyle w:val="Hyperlink"/>
          </w:rPr>
          <w:t>Table 25: Summary of funding model options for a national cancer prostheses program and key strengths and considerations</w:t>
        </w:r>
        <w:r>
          <w:rPr>
            <w:webHidden/>
          </w:rPr>
          <w:tab/>
        </w:r>
        <w:r>
          <w:rPr>
            <w:webHidden/>
          </w:rPr>
          <w:fldChar w:fldCharType="begin"/>
        </w:r>
        <w:r>
          <w:rPr>
            <w:webHidden/>
          </w:rPr>
          <w:instrText xml:space="preserve"> PAGEREF _Toc207348590 \h </w:instrText>
        </w:r>
        <w:r>
          <w:rPr>
            <w:webHidden/>
          </w:rPr>
        </w:r>
        <w:r>
          <w:rPr>
            <w:webHidden/>
          </w:rPr>
          <w:fldChar w:fldCharType="separate"/>
        </w:r>
        <w:r w:rsidR="00D1685C">
          <w:rPr>
            <w:webHidden/>
          </w:rPr>
          <w:t>95</w:t>
        </w:r>
        <w:r>
          <w:rPr>
            <w:webHidden/>
          </w:rPr>
          <w:fldChar w:fldCharType="end"/>
        </w:r>
      </w:hyperlink>
    </w:p>
    <w:p w14:paraId="5DA496F1" w14:textId="1E555C24"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91" w:history="1">
        <w:r w:rsidRPr="00957327">
          <w:rPr>
            <w:rStyle w:val="Hyperlink"/>
          </w:rPr>
          <w:t>Table 26: Cost considerations</w:t>
        </w:r>
        <w:r>
          <w:rPr>
            <w:webHidden/>
          </w:rPr>
          <w:tab/>
        </w:r>
        <w:r>
          <w:rPr>
            <w:webHidden/>
          </w:rPr>
          <w:fldChar w:fldCharType="begin"/>
        </w:r>
        <w:r>
          <w:rPr>
            <w:webHidden/>
          </w:rPr>
          <w:instrText xml:space="preserve"> PAGEREF _Toc207348591 \h </w:instrText>
        </w:r>
        <w:r>
          <w:rPr>
            <w:webHidden/>
          </w:rPr>
        </w:r>
        <w:r>
          <w:rPr>
            <w:webHidden/>
          </w:rPr>
          <w:fldChar w:fldCharType="separate"/>
        </w:r>
        <w:r w:rsidR="00D1685C">
          <w:rPr>
            <w:webHidden/>
          </w:rPr>
          <w:t>104</w:t>
        </w:r>
        <w:r>
          <w:rPr>
            <w:webHidden/>
          </w:rPr>
          <w:fldChar w:fldCharType="end"/>
        </w:r>
      </w:hyperlink>
    </w:p>
    <w:p w14:paraId="0E3F7C83" w14:textId="167F1369"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92" w:history="1">
        <w:r w:rsidRPr="00957327">
          <w:rPr>
            <w:rStyle w:val="Hyperlink"/>
          </w:rPr>
          <w:t>Table 27: Option 1 cost inputs</w:t>
        </w:r>
        <w:r>
          <w:rPr>
            <w:webHidden/>
          </w:rPr>
          <w:tab/>
        </w:r>
        <w:r>
          <w:rPr>
            <w:webHidden/>
          </w:rPr>
          <w:fldChar w:fldCharType="begin"/>
        </w:r>
        <w:r>
          <w:rPr>
            <w:webHidden/>
          </w:rPr>
          <w:instrText xml:space="preserve"> PAGEREF _Toc207348592 \h </w:instrText>
        </w:r>
        <w:r>
          <w:rPr>
            <w:webHidden/>
          </w:rPr>
        </w:r>
        <w:r>
          <w:rPr>
            <w:webHidden/>
          </w:rPr>
          <w:fldChar w:fldCharType="separate"/>
        </w:r>
        <w:r w:rsidR="00D1685C">
          <w:rPr>
            <w:webHidden/>
          </w:rPr>
          <w:t>106</w:t>
        </w:r>
        <w:r>
          <w:rPr>
            <w:webHidden/>
          </w:rPr>
          <w:fldChar w:fldCharType="end"/>
        </w:r>
      </w:hyperlink>
    </w:p>
    <w:p w14:paraId="349862B7" w14:textId="63739C98"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93" w:history="1">
        <w:r w:rsidRPr="00957327">
          <w:rPr>
            <w:rStyle w:val="Hyperlink"/>
          </w:rPr>
          <w:t>Table 28: Option 1 total number of cancer cases diagnosed per year</w:t>
        </w:r>
        <w:r>
          <w:rPr>
            <w:webHidden/>
          </w:rPr>
          <w:tab/>
        </w:r>
        <w:r>
          <w:rPr>
            <w:webHidden/>
          </w:rPr>
          <w:fldChar w:fldCharType="begin"/>
        </w:r>
        <w:r>
          <w:rPr>
            <w:webHidden/>
          </w:rPr>
          <w:instrText xml:space="preserve"> PAGEREF _Toc207348593 \h </w:instrText>
        </w:r>
        <w:r>
          <w:rPr>
            <w:webHidden/>
          </w:rPr>
        </w:r>
        <w:r>
          <w:rPr>
            <w:webHidden/>
          </w:rPr>
          <w:fldChar w:fldCharType="separate"/>
        </w:r>
        <w:r w:rsidR="00D1685C">
          <w:rPr>
            <w:webHidden/>
          </w:rPr>
          <w:t>107</w:t>
        </w:r>
        <w:r>
          <w:rPr>
            <w:webHidden/>
          </w:rPr>
          <w:fldChar w:fldCharType="end"/>
        </w:r>
      </w:hyperlink>
    </w:p>
    <w:p w14:paraId="550FD800" w14:textId="5EB75486"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94" w:history="1">
        <w:r w:rsidRPr="00957327">
          <w:rPr>
            <w:rStyle w:val="Hyperlink"/>
          </w:rPr>
          <w:t>Table 29: Option 1 total number of new prostheses required per year per cancer type</w:t>
        </w:r>
        <w:r>
          <w:rPr>
            <w:webHidden/>
          </w:rPr>
          <w:tab/>
        </w:r>
        <w:r>
          <w:rPr>
            <w:webHidden/>
          </w:rPr>
          <w:fldChar w:fldCharType="begin"/>
        </w:r>
        <w:r>
          <w:rPr>
            <w:webHidden/>
          </w:rPr>
          <w:instrText xml:space="preserve"> PAGEREF _Toc207348594 \h </w:instrText>
        </w:r>
        <w:r>
          <w:rPr>
            <w:webHidden/>
          </w:rPr>
        </w:r>
        <w:r>
          <w:rPr>
            <w:webHidden/>
          </w:rPr>
          <w:fldChar w:fldCharType="separate"/>
        </w:r>
        <w:r w:rsidR="00D1685C">
          <w:rPr>
            <w:webHidden/>
          </w:rPr>
          <w:t>107</w:t>
        </w:r>
        <w:r>
          <w:rPr>
            <w:webHidden/>
          </w:rPr>
          <w:fldChar w:fldCharType="end"/>
        </w:r>
      </w:hyperlink>
    </w:p>
    <w:p w14:paraId="5BDE69D1" w14:textId="11F280A5"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95" w:history="1">
        <w:r w:rsidRPr="00957327">
          <w:rPr>
            <w:rStyle w:val="Hyperlink"/>
          </w:rPr>
          <w:t>Table 30: Option 1 total number of replacement prostheses required per year by cancer type</w:t>
        </w:r>
        <w:r>
          <w:rPr>
            <w:webHidden/>
          </w:rPr>
          <w:tab/>
        </w:r>
        <w:r>
          <w:rPr>
            <w:webHidden/>
          </w:rPr>
          <w:fldChar w:fldCharType="begin"/>
        </w:r>
        <w:r>
          <w:rPr>
            <w:webHidden/>
          </w:rPr>
          <w:instrText xml:space="preserve"> PAGEREF _Toc207348595 \h </w:instrText>
        </w:r>
        <w:r>
          <w:rPr>
            <w:webHidden/>
          </w:rPr>
        </w:r>
        <w:r>
          <w:rPr>
            <w:webHidden/>
          </w:rPr>
          <w:fldChar w:fldCharType="separate"/>
        </w:r>
        <w:r w:rsidR="00D1685C">
          <w:rPr>
            <w:webHidden/>
          </w:rPr>
          <w:t>107</w:t>
        </w:r>
        <w:r>
          <w:rPr>
            <w:webHidden/>
          </w:rPr>
          <w:fldChar w:fldCharType="end"/>
        </w:r>
      </w:hyperlink>
    </w:p>
    <w:p w14:paraId="7E8E4D64" w14:textId="2AB6B104"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96" w:history="1">
        <w:r w:rsidRPr="00957327">
          <w:rPr>
            <w:rStyle w:val="Hyperlink"/>
          </w:rPr>
          <w:t>Table 31: Option 1 total cost per year</w:t>
        </w:r>
        <w:r>
          <w:rPr>
            <w:webHidden/>
          </w:rPr>
          <w:tab/>
        </w:r>
        <w:r>
          <w:rPr>
            <w:webHidden/>
          </w:rPr>
          <w:fldChar w:fldCharType="begin"/>
        </w:r>
        <w:r>
          <w:rPr>
            <w:webHidden/>
          </w:rPr>
          <w:instrText xml:space="preserve"> PAGEREF _Toc207348596 \h </w:instrText>
        </w:r>
        <w:r>
          <w:rPr>
            <w:webHidden/>
          </w:rPr>
        </w:r>
        <w:r>
          <w:rPr>
            <w:webHidden/>
          </w:rPr>
          <w:fldChar w:fldCharType="separate"/>
        </w:r>
        <w:r w:rsidR="00D1685C">
          <w:rPr>
            <w:webHidden/>
          </w:rPr>
          <w:t>108</w:t>
        </w:r>
        <w:r>
          <w:rPr>
            <w:webHidden/>
          </w:rPr>
          <w:fldChar w:fldCharType="end"/>
        </w:r>
      </w:hyperlink>
    </w:p>
    <w:p w14:paraId="343BE6B2" w14:textId="2911C257"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97" w:history="1">
        <w:r w:rsidRPr="00957327">
          <w:rPr>
            <w:rStyle w:val="Hyperlink"/>
          </w:rPr>
          <w:t>Table 32: Option 2 cost inputs</w:t>
        </w:r>
        <w:r>
          <w:rPr>
            <w:webHidden/>
          </w:rPr>
          <w:tab/>
        </w:r>
        <w:r>
          <w:rPr>
            <w:webHidden/>
          </w:rPr>
          <w:fldChar w:fldCharType="begin"/>
        </w:r>
        <w:r>
          <w:rPr>
            <w:webHidden/>
          </w:rPr>
          <w:instrText xml:space="preserve"> PAGEREF _Toc207348597 \h </w:instrText>
        </w:r>
        <w:r>
          <w:rPr>
            <w:webHidden/>
          </w:rPr>
        </w:r>
        <w:r>
          <w:rPr>
            <w:webHidden/>
          </w:rPr>
          <w:fldChar w:fldCharType="separate"/>
        </w:r>
        <w:r w:rsidR="00D1685C">
          <w:rPr>
            <w:webHidden/>
          </w:rPr>
          <w:t>109</w:t>
        </w:r>
        <w:r>
          <w:rPr>
            <w:webHidden/>
          </w:rPr>
          <w:fldChar w:fldCharType="end"/>
        </w:r>
      </w:hyperlink>
    </w:p>
    <w:p w14:paraId="790E0DC2" w14:textId="4B607FEF"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98" w:history="1">
        <w:r w:rsidRPr="00957327">
          <w:rPr>
            <w:rStyle w:val="Hyperlink"/>
          </w:rPr>
          <w:t>Table 33: Option 2 total number of cancer cases diagnosed per year</w:t>
        </w:r>
        <w:r>
          <w:rPr>
            <w:webHidden/>
          </w:rPr>
          <w:tab/>
        </w:r>
        <w:r>
          <w:rPr>
            <w:webHidden/>
          </w:rPr>
          <w:fldChar w:fldCharType="begin"/>
        </w:r>
        <w:r>
          <w:rPr>
            <w:webHidden/>
          </w:rPr>
          <w:instrText xml:space="preserve"> PAGEREF _Toc207348598 \h </w:instrText>
        </w:r>
        <w:r>
          <w:rPr>
            <w:webHidden/>
          </w:rPr>
        </w:r>
        <w:r>
          <w:rPr>
            <w:webHidden/>
          </w:rPr>
          <w:fldChar w:fldCharType="separate"/>
        </w:r>
        <w:r w:rsidR="00D1685C">
          <w:rPr>
            <w:webHidden/>
          </w:rPr>
          <w:t>109</w:t>
        </w:r>
        <w:r>
          <w:rPr>
            <w:webHidden/>
          </w:rPr>
          <w:fldChar w:fldCharType="end"/>
        </w:r>
      </w:hyperlink>
    </w:p>
    <w:p w14:paraId="2B32B62D" w14:textId="1472E5BF"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599" w:history="1">
        <w:r w:rsidRPr="00957327">
          <w:rPr>
            <w:rStyle w:val="Hyperlink"/>
          </w:rPr>
          <w:t>Table 34: Option 2 total number of new prostheses required per year</w:t>
        </w:r>
        <w:r>
          <w:rPr>
            <w:webHidden/>
          </w:rPr>
          <w:tab/>
        </w:r>
        <w:r>
          <w:rPr>
            <w:webHidden/>
          </w:rPr>
          <w:fldChar w:fldCharType="begin"/>
        </w:r>
        <w:r>
          <w:rPr>
            <w:webHidden/>
          </w:rPr>
          <w:instrText xml:space="preserve"> PAGEREF _Toc207348599 \h </w:instrText>
        </w:r>
        <w:r>
          <w:rPr>
            <w:webHidden/>
          </w:rPr>
        </w:r>
        <w:r>
          <w:rPr>
            <w:webHidden/>
          </w:rPr>
          <w:fldChar w:fldCharType="separate"/>
        </w:r>
        <w:r w:rsidR="00D1685C">
          <w:rPr>
            <w:webHidden/>
          </w:rPr>
          <w:t>109</w:t>
        </w:r>
        <w:r>
          <w:rPr>
            <w:webHidden/>
          </w:rPr>
          <w:fldChar w:fldCharType="end"/>
        </w:r>
      </w:hyperlink>
    </w:p>
    <w:p w14:paraId="5383A900" w14:textId="25B40259"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00" w:history="1">
        <w:r w:rsidRPr="00957327">
          <w:rPr>
            <w:rStyle w:val="Hyperlink"/>
          </w:rPr>
          <w:t>Table 35: Option 2 total number of replacement prostheses required per year</w:t>
        </w:r>
        <w:r>
          <w:rPr>
            <w:webHidden/>
          </w:rPr>
          <w:tab/>
        </w:r>
        <w:r>
          <w:rPr>
            <w:webHidden/>
          </w:rPr>
          <w:fldChar w:fldCharType="begin"/>
        </w:r>
        <w:r>
          <w:rPr>
            <w:webHidden/>
          </w:rPr>
          <w:instrText xml:space="preserve"> PAGEREF _Toc207348600 \h </w:instrText>
        </w:r>
        <w:r>
          <w:rPr>
            <w:webHidden/>
          </w:rPr>
        </w:r>
        <w:r>
          <w:rPr>
            <w:webHidden/>
          </w:rPr>
          <w:fldChar w:fldCharType="separate"/>
        </w:r>
        <w:r w:rsidR="00D1685C">
          <w:rPr>
            <w:webHidden/>
          </w:rPr>
          <w:t>109</w:t>
        </w:r>
        <w:r>
          <w:rPr>
            <w:webHidden/>
          </w:rPr>
          <w:fldChar w:fldCharType="end"/>
        </w:r>
      </w:hyperlink>
    </w:p>
    <w:p w14:paraId="7CF737DE" w14:textId="25A778EE"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01" w:history="1">
        <w:r w:rsidRPr="00957327">
          <w:rPr>
            <w:rStyle w:val="Hyperlink"/>
          </w:rPr>
          <w:t>Table 36: Option 2 total cost per year</w:t>
        </w:r>
        <w:r>
          <w:rPr>
            <w:webHidden/>
          </w:rPr>
          <w:tab/>
        </w:r>
        <w:r>
          <w:rPr>
            <w:webHidden/>
          </w:rPr>
          <w:fldChar w:fldCharType="begin"/>
        </w:r>
        <w:r>
          <w:rPr>
            <w:webHidden/>
          </w:rPr>
          <w:instrText xml:space="preserve"> PAGEREF _Toc207348601 \h </w:instrText>
        </w:r>
        <w:r>
          <w:rPr>
            <w:webHidden/>
          </w:rPr>
        </w:r>
        <w:r>
          <w:rPr>
            <w:webHidden/>
          </w:rPr>
          <w:fldChar w:fldCharType="separate"/>
        </w:r>
        <w:r w:rsidR="00D1685C">
          <w:rPr>
            <w:webHidden/>
          </w:rPr>
          <w:t>110</w:t>
        </w:r>
        <w:r>
          <w:rPr>
            <w:webHidden/>
          </w:rPr>
          <w:fldChar w:fldCharType="end"/>
        </w:r>
      </w:hyperlink>
    </w:p>
    <w:p w14:paraId="33273BCE" w14:textId="2BAEA351"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02" w:history="1">
        <w:r w:rsidRPr="00957327">
          <w:rPr>
            <w:rStyle w:val="Hyperlink"/>
          </w:rPr>
          <w:t>Table 37: Option 3 cost inputs</w:t>
        </w:r>
        <w:r>
          <w:rPr>
            <w:webHidden/>
          </w:rPr>
          <w:tab/>
        </w:r>
        <w:r>
          <w:rPr>
            <w:webHidden/>
          </w:rPr>
          <w:fldChar w:fldCharType="begin"/>
        </w:r>
        <w:r>
          <w:rPr>
            <w:webHidden/>
          </w:rPr>
          <w:instrText xml:space="preserve"> PAGEREF _Toc207348602 \h </w:instrText>
        </w:r>
        <w:r>
          <w:rPr>
            <w:webHidden/>
          </w:rPr>
        </w:r>
        <w:r>
          <w:rPr>
            <w:webHidden/>
          </w:rPr>
          <w:fldChar w:fldCharType="separate"/>
        </w:r>
        <w:r w:rsidR="00D1685C">
          <w:rPr>
            <w:webHidden/>
          </w:rPr>
          <w:t>111</w:t>
        </w:r>
        <w:r>
          <w:rPr>
            <w:webHidden/>
          </w:rPr>
          <w:fldChar w:fldCharType="end"/>
        </w:r>
      </w:hyperlink>
    </w:p>
    <w:p w14:paraId="032E26EE" w14:textId="4CA75407"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03" w:history="1">
        <w:r w:rsidRPr="00957327">
          <w:rPr>
            <w:rStyle w:val="Hyperlink"/>
          </w:rPr>
          <w:t>Table 38: Option 3 total number of cancer cases diagnosed per year (over 65 years)</w:t>
        </w:r>
        <w:r>
          <w:rPr>
            <w:webHidden/>
          </w:rPr>
          <w:tab/>
        </w:r>
        <w:r>
          <w:rPr>
            <w:webHidden/>
          </w:rPr>
          <w:fldChar w:fldCharType="begin"/>
        </w:r>
        <w:r>
          <w:rPr>
            <w:webHidden/>
          </w:rPr>
          <w:instrText xml:space="preserve"> PAGEREF _Toc207348603 \h </w:instrText>
        </w:r>
        <w:r>
          <w:rPr>
            <w:webHidden/>
          </w:rPr>
        </w:r>
        <w:r>
          <w:rPr>
            <w:webHidden/>
          </w:rPr>
          <w:fldChar w:fldCharType="separate"/>
        </w:r>
        <w:r w:rsidR="00D1685C">
          <w:rPr>
            <w:webHidden/>
          </w:rPr>
          <w:t>111</w:t>
        </w:r>
        <w:r>
          <w:rPr>
            <w:webHidden/>
          </w:rPr>
          <w:fldChar w:fldCharType="end"/>
        </w:r>
      </w:hyperlink>
    </w:p>
    <w:p w14:paraId="1C982AD1" w14:textId="0F370F47"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04" w:history="1">
        <w:r w:rsidRPr="00957327">
          <w:rPr>
            <w:rStyle w:val="Hyperlink"/>
          </w:rPr>
          <w:t>Table 39: Option 3 total number of new prostheses required per year by cancer type (over 65 years)</w:t>
        </w:r>
        <w:r>
          <w:rPr>
            <w:webHidden/>
          </w:rPr>
          <w:tab/>
        </w:r>
        <w:r>
          <w:rPr>
            <w:webHidden/>
          </w:rPr>
          <w:fldChar w:fldCharType="begin"/>
        </w:r>
        <w:r>
          <w:rPr>
            <w:webHidden/>
          </w:rPr>
          <w:instrText xml:space="preserve"> PAGEREF _Toc207348604 \h </w:instrText>
        </w:r>
        <w:r>
          <w:rPr>
            <w:webHidden/>
          </w:rPr>
        </w:r>
        <w:r>
          <w:rPr>
            <w:webHidden/>
          </w:rPr>
          <w:fldChar w:fldCharType="separate"/>
        </w:r>
        <w:r w:rsidR="00D1685C">
          <w:rPr>
            <w:webHidden/>
          </w:rPr>
          <w:t>112</w:t>
        </w:r>
        <w:r>
          <w:rPr>
            <w:webHidden/>
          </w:rPr>
          <w:fldChar w:fldCharType="end"/>
        </w:r>
      </w:hyperlink>
    </w:p>
    <w:p w14:paraId="14AF49CE" w14:textId="388BBEAC"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05" w:history="1">
        <w:r w:rsidRPr="00957327">
          <w:rPr>
            <w:rStyle w:val="Hyperlink"/>
          </w:rPr>
          <w:t>Table 40: Option 3 total number of replacement prostheses required per year by cancer type (over 65 years)</w:t>
        </w:r>
        <w:r>
          <w:rPr>
            <w:webHidden/>
          </w:rPr>
          <w:tab/>
        </w:r>
        <w:r>
          <w:rPr>
            <w:webHidden/>
          </w:rPr>
          <w:fldChar w:fldCharType="begin"/>
        </w:r>
        <w:r>
          <w:rPr>
            <w:webHidden/>
          </w:rPr>
          <w:instrText xml:space="preserve"> PAGEREF _Toc207348605 \h </w:instrText>
        </w:r>
        <w:r>
          <w:rPr>
            <w:webHidden/>
          </w:rPr>
        </w:r>
        <w:r>
          <w:rPr>
            <w:webHidden/>
          </w:rPr>
          <w:fldChar w:fldCharType="separate"/>
        </w:r>
        <w:r w:rsidR="00D1685C">
          <w:rPr>
            <w:webHidden/>
          </w:rPr>
          <w:t>112</w:t>
        </w:r>
        <w:r>
          <w:rPr>
            <w:webHidden/>
          </w:rPr>
          <w:fldChar w:fldCharType="end"/>
        </w:r>
      </w:hyperlink>
    </w:p>
    <w:p w14:paraId="23AF1EF5" w14:textId="01BB1813"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06" w:history="1">
        <w:r w:rsidRPr="00957327">
          <w:rPr>
            <w:rStyle w:val="Hyperlink"/>
          </w:rPr>
          <w:t>Table 41: Option 3 total cost per year</w:t>
        </w:r>
        <w:r>
          <w:rPr>
            <w:webHidden/>
          </w:rPr>
          <w:tab/>
        </w:r>
        <w:r>
          <w:rPr>
            <w:webHidden/>
          </w:rPr>
          <w:fldChar w:fldCharType="begin"/>
        </w:r>
        <w:r>
          <w:rPr>
            <w:webHidden/>
          </w:rPr>
          <w:instrText xml:space="preserve"> PAGEREF _Toc207348606 \h </w:instrText>
        </w:r>
        <w:r>
          <w:rPr>
            <w:webHidden/>
          </w:rPr>
        </w:r>
        <w:r>
          <w:rPr>
            <w:webHidden/>
          </w:rPr>
          <w:fldChar w:fldCharType="separate"/>
        </w:r>
        <w:r w:rsidR="00D1685C">
          <w:rPr>
            <w:webHidden/>
          </w:rPr>
          <w:t>112</w:t>
        </w:r>
        <w:r>
          <w:rPr>
            <w:webHidden/>
          </w:rPr>
          <w:fldChar w:fldCharType="end"/>
        </w:r>
      </w:hyperlink>
    </w:p>
    <w:p w14:paraId="10435C8C" w14:textId="5D5B873B"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07" w:history="1">
        <w:r w:rsidRPr="00957327">
          <w:rPr>
            <w:rStyle w:val="Hyperlink"/>
          </w:rPr>
          <w:t>Table 42: Sensitivity analysis cost inputs</w:t>
        </w:r>
        <w:r>
          <w:rPr>
            <w:webHidden/>
          </w:rPr>
          <w:tab/>
        </w:r>
        <w:r>
          <w:rPr>
            <w:webHidden/>
          </w:rPr>
          <w:fldChar w:fldCharType="begin"/>
        </w:r>
        <w:r>
          <w:rPr>
            <w:webHidden/>
          </w:rPr>
          <w:instrText xml:space="preserve"> PAGEREF _Toc207348607 \h </w:instrText>
        </w:r>
        <w:r>
          <w:rPr>
            <w:webHidden/>
          </w:rPr>
        </w:r>
        <w:r>
          <w:rPr>
            <w:webHidden/>
          </w:rPr>
          <w:fldChar w:fldCharType="separate"/>
        </w:r>
        <w:r w:rsidR="00D1685C">
          <w:rPr>
            <w:webHidden/>
          </w:rPr>
          <w:t>113</w:t>
        </w:r>
        <w:r>
          <w:rPr>
            <w:webHidden/>
          </w:rPr>
          <w:fldChar w:fldCharType="end"/>
        </w:r>
      </w:hyperlink>
    </w:p>
    <w:p w14:paraId="03421B8A" w14:textId="5056A2C6"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08" w:history="1">
        <w:r w:rsidRPr="00957327">
          <w:rPr>
            <w:rStyle w:val="Hyperlink"/>
          </w:rPr>
          <w:t>Table 43: Sensitivity analysis results for facial prostheses, ($, millions)</w:t>
        </w:r>
        <w:r>
          <w:rPr>
            <w:webHidden/>
          </w:rPr>
          <w:tab/>
        </w:r>
        <w:r>
          <w:rPr>
            <w:webHidden/>
          </w:rPr>
          <w:fldChar w:fldCharType="begin"/>
        </w:r>
        <w:r>
          <w:rPr>
            <w:webHidden/>
          </w:rPr>
          <w:instrText xml:space="preserve"> PAGEREF _Toc207348608 \h </w:instrText>
        </w:r>
        <w:r>
          <w:rPr>
            <w:webHidden/>
          </w:rPr>
        </w:r>
        <w:r>
          <w:rPr>
            <w:webHidden/>
          </w:rPr>
          <w:fldChar w:fldCharType="separate"/>
        </w:r>
        <w:r w:rsidR="00D1685C">
          <w:rPr>
            <w:webHidden/>
          </w:rPr>
          <w:t>114</w:t>
        </w:r>
        <w:r>
          <w:rPr>
            <w:webHidden/>
          </w:rPr>
          <w:fldChar w:fldCharType="end"/>
        </w:r>
      </w:hyperlink>
    </w:p>
    <w:p w14:paraId="1A2724D9" w14:textId="372E1929"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09" w:history="1">
        <w:r w:rsidRPr="00957327">
          <w:rPr>
            <w:rStyle w:val="Hyperlink"/>
          </w:rPr>
          <w:t>Table 44: Sensitivity analysis results for limb prostheses, ($, millions)</w:t>
        </w:r>
        <w:r>
          <w:rPr>
            <w:webHidden/>
          </w:rPr>
          <w:tab/>
        </w:r>
        <w:r>
          <w:rPr>
            <w:webHidden/>
          </w:rPr>
          <w:fldChar w:fldCharType="begin"/>
        </w:r>
        <w:r>
          <w:rPr>
            <w:webHidden/>
          </w:rPr>
          <w:instrText xml:space="preserve"> PAGEREF _Toc207348609 \h </w:instrText>
        </w:r>
        <w:r>
          <w:rPr>
            <w:webHidden/>
          </w:rPr>
        </w:r>
        <w:r>
          <w:rPr>
            <w:webHidden/>
          </w:rPr>
          <w:fldChar w:fldCharType="separate"/>
        </w:r>
        <w:r w:rsidR="00D1685C">
          <w:rPr>
            <w:webHidden/>
          </w:rPr>
          <w:t>114</w:t>
        </w:r>
        <w:r>
          <w:rPr>
            <w:webHidden/>
          </w:rPr>
          <w:fldChar w:fldCharType="end"/>
        </w:r>
      </w:hyperlink>
    </w:p>
    <w:p w14:paraId="6ABD56A6" w14:textId="6B423AB1"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10" w:history="1">
        <w:r w:rsidRPr="00957327">
          <w:rPr>
            <w:rStyle w:val="Hyperlink"/>
          </w:rPr>
          <w:t>Table 45: Sub-questions and sections of the report where KRQ 1 is addressed</w:t>
        </w:r>
        <w:r>
          <w:rPr>
            <w:webHidden/>
          </w:rPr>
          <w:tab/>
        </w:r>
        <w:r>
          <w:rPr>
            <w:webHidden/>
          </w:rPr>
          <w:fldChar w:fldCharType="begin"/>
        </w:r>
        <w:r>
          <w:rPr>
            <w:webHidden/>
          </w:rPr>
          <w:instrText xml:space="preserve"> PAGEREF _Toc207348610 \h </w:instrText>
        </w:r>
        <w:r>
          <w:rPr>
            <w:webHidden/>
          </w:rPr>
        </w:r>
        <w:r>
          <w:rPr>
            <w:webHidden/>
          </w:rPr>
          <w:fldChar w:fldCharType="separate"/>
        </w:r>
        <w:r w:rsidR="00D1685C">
          <w:rPr>
            <w:webHidden/>
          </w:rPr>
          <w:t>116</w:t>
        </w:r>
        <w:r>
          <w:rPr>
            <w:webHidden/>
          </w:rPr>
          <w:fldChar w:fldCharType="end"/>
        </w:r>
      </w:hyperlink>
    </w:p>
    <w:p w14:paraId="7CB20986" w14:textId="59EF7D0F"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11" w:history="1">
        <w:r w:rsidRPr="00957327">
          <w:rPr>
            <w:rStyle w:val="Hyperlink"/>
          </w:rPr>
          <w:t>Table 46: Sub-questions and sections of the report where KRQ 2 is addressed</w:t>
        </w:r>
        <w:r>
          <w:rPr>
            <w:webHidden/>
          </w:rPr>
          <w:tab/>
        </w:r>
        <w:r>
          <w:rPr>
            <w:webHidden/>
          </w:rPr>
          <w:fldChar w:fldCharType="begin"/>
        </w:r>
        <w:r>
          <w:rPr>
            <w:webHidden/>
          </w:rPr>
          <w:instrText xml:space="preserve"> PAGEREF _Toc207348611 \h </w:instrText>
        </w:r>
        <w:r>
          <w:rPr>
            <w:webHidden/>
          </w:rPr>
        </w:r>
        <w:r>
          <w:rPr>
            <w:webHidden/>
          </w:rPr>
          <w:fldChar w:fldCharType="separate"/>
        </w:r>
        <w:r w:rsidR="00D1685C">
          <w:rPr>
            <w:webHidden/>
          </w:rPr>
          <w:t>117</w:t>
        </w:r>
        <w:r>
          <w:rPr>
            <w:webHidden/>
          </w:rPr>
          <w:fldChar w:fldCharType="end"/>
        </w:r>
      </w:hyperlink>
    </w:p>
    <w:p w14:paraId="5524571C" w14:textId="558CC54B"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12" w:history="1">
        <w:r w:rsidRPr="00957327">
          <w:rPr>
            <w:rStyle w:val="Hyperlink"/>
          </w:rPr>
          <w:t>Table 47: Sub-questions and sections of the report where KRQ 3 is addressed</w:t>
        </w:r>
        <w:r>
          <w:rPr>
            <w:webHidden/>
          </w:rPr>
          <w:tab/>
        </w:r>
        <w:r>
          <w:rPr>
            <w:webHidden/>
          </w:rPr>
          <w:fldChar w:fldCharType="begin"/>
        </w:r>
        <w:r>
          <w:rPr>
            <w:webHidden/>
          </w:rPr>
          <w:instrText xml:space="preserve"> PAGEREF _Toc207348612 \h </w:instrText>
        </w:r>
        <w:r>
          <w:rPr>
            <w:webHidden/>
          </w:rPr>
        </w:r>
        <w:r>
          <w:rPr>
            <w:webHidden/>
          </w:rPr>
          <w:fldChar w:fldCharType="separate"/>
        </w:r>
        <w:r w:rsidR="00D1685C">
          <w:rPr>
            <w:webHidden/>
          </w:rPr>
          <w:t>117</w:t>
        </w:r>
        <w:r>
          <w:rPr>
            <w:webHidden/>
          </w:rPr>
          <w:fldChar w:fldCharType="end"/>
        </w:r>
      </w:hyperlink>
    </w:p>
    <w:p w14:paraId="6E2EA9B5" w14:textId="53DD12DE"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13" w:history="1">
        <w:r w:rsidRPr="00957327">
          <w:rPr>
            <w:rStyle w:val="Hyperlink"/>
          </w:rPr>
          <w:t>Table 48: Sub-questions and sections of the report where KRQ 4 is addressed</w:t>
        </w:r>
        <w:r>
          <w:rPr>
            <w:webHidden/>
          </w:rPr>
          <w:tab/>
        </w:r>
        <w:r>
          <w:rPr>
            <w:webHidden/>
          </w:rPr>
          <w:fldChar w:fldCharType="begin"/>
        </w:r>
        <w:r>
          <w:rPr>
            <w:webHidden/>
          </w:rPr>
          <w:instrText xml:space="preserve"> PAGEREF _Toc207348613 \h </w:instrText>
        </w:r>
        <w:r>
          <w:rPr>
            <w:webHidden/>
          </w:rPr>
        </w:r>
        <w:r>
          <w:rPr>
            <w:webHidden/>
          </w:rPr>
          <w:fldChar w:fldCharType="separate"/>
        </w:r>
        <w:r w:rsidR="00D1685C">
          <w:rPr>
            <w:webHidden/>
          </w:rPr>
          <w:t>118</w:t>
        </w:r>
        <w:r>
          <w:rPr>
            <w:webHidden/>
          </w:rPr>
          <w:fldChar w:fldCharType="end"/>
        </w:r>
      </w:hyperlink>
    </w:p>
    <w:p w14:paraId="0F316B1C" w14:textId="5EEECA72"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14" w:history="1">
        <w:r w:rsidRPr="00957327">
          <w:rPr>
            <w:rStyle w:val="Hyperlink"/>
          </w:rPr>
          <w:t>Table 49: Sub-questions and sections of the report where KRQ 5 is addressed</w:t>
        </w:r>
        <w:r>
          <w:rPr>
            <w:webHidden/>
          </w:rPr>
          <w:tab/>
        </w:r>
        <w:r>
          <w:rPr>
            <w:webHidden/>
          </w:rPr>
          <w:fldChar w:fldCharType="begin"/>
        </w:r>
        <w:r>
          <w:rPr>
            <w:webHidden/>
          </w:rPr>
          <w:instrText xml:space="preserve"> PAGEREF _Toc207348614 \h </w:instrText>
        </w:r>
        <w:r>
          <w:rPr>
            <w:webHidden/>
          </w:rPr>
        </w:r>
        <w:r>
          <w:rPr>
            <w:webHidden/>
          </w:rPr>
          <w:fldChar w:fldCharType="separate"/>
        </w:r>
        <w:r w:rsidR="00D1685C">
          <w:rPr>
            <w:webHidden/>
          </w:rPr>
          <w:t>119</w:t>
        </w:r>
        <w:r>
          <w:rPr>
            <w:webHidden/>
          </w:rPr>
          <w:fldChar w:fldCharType="end"/>
        </w:r>
      </w:hyperlink>
    </w:p>
    <w:p w14:paraId="75E6C971" w14:textId="548ED119"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15" w:history="1">
        <w:r w:rsidRPr="00957327">
          <w:rPr>
            <w:rStyle w:val="Hyperlink"/>
          </w:rPr>
          <w:t>Table 50: Sub-questions and sections of the report where KRQ 6 is addressed</w:t>
        </w:r>
        <w:r>
          <w:rPr>
            <w:webHidden/>
          </w:rPr>
          <w:tab/>
        </w:r>
        <w:r>
          <w:rPr>
            <w:webHidden/>
          </w:rPr>
          <w:fldChar w:fldCharType="begin"/>
        </w:r>
        <w:r>
          <w:rPr>
            <w:webHidden/>
          </w:rPr>
          <w:instrText xml:space="preserve"> PAGEREF _Toc207348615 \h </w:instrText>
        </w:r>
        <w:r>
          <w:rPr>
            <w:webHidden/>
          </w:rPr>
        </w:r>
        <w:r>
          <w:rPr>
            <w:webHidden/>
          </w:rPr>
          <w:fldChar w:fldCharType="separate"/>
        </w:r>
        <w:r w:rsidR="00D1685C">
          <w:rPr>
            <w:webHidden/>
          </w:rPr>
          <w:t>119</w:t>
        </w:r>
        <w:r>
          <w:rPr>
            <w:webHidden/>
          </w:rPr>
          <w:fldChar w:fldCharType="end"/>
        </w:r>
      </w:hyperlink>
    </w:p>
    <w:p w14:paraId="31CADDB3" w14:textId="099F7932"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16" w:history="1">
        <w:r w:rsidRPr="00957327">
          <w:rPr>
            <w:rStyle w:val="Hyperlink"/>
          </w:rPr>
          <w:t>Table 51: Sub-questions and sections of the report where KRQ 7 is addressed</w:t>
        </w:r>
        <w:r>
          <w:rPr>
            <w:webHidden/>
          </w:rPr>
          <w:tab/>
        </w:r>
        <w:r>
          <w:rPr>
            <w:webHidden/>
          </w:rPr>
          <w:fldChar w:fldCharType="begin"/>
        </w:r>
        <w:r>
          <w:rPr>
            <w:webHidden/>
          </w:rPr>
          <w:instrText xml:space="preserve"> PAGEREF _Toc207348616 \h </w:instrText>
        </w:r>
        <w:r>
          <w:rPr>
            <w:webHidden/>
          </w:rPr>
        </w:r>
        <w:r>
          <w:rPr>
            <w:webHidden/>
          </w:rPr>
          <w:fldChar w:fldCharType="separate"/>
        </w:r>
        <w:r w:rsidR="00D1685C">
          <w:rPr>
            <w:webHidden/>
          </w:rPr>
          <w:t>120</w:t>
        </w:r>
        <w:r>
          <w:rPr>
            <w:webHidden/>
          </w:rPr>
          <w:fldChar w:fldCharType="end"/>
        </w:r>
      </w:hyperlink>
    </w:p>
    <w:p w14:paraId="4EA7FA5D" w14:textId="47D62AA9"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17" w:history="1">
        <w:r w:rsidRPr="00957327">
          <w:rPr>
            <w:rStyle w:val="Hyperlink"/>
          </w:rPr>
          <w:t>Table 52: List of stakeholders for consultation and consultation status</w:t>
        </w:r>
        <w:r>
          <w:rPr>
            <w:webHidden/>
          </w:rPr>
          <w:tab/>
        </w:r>
        <w:r>
          <w:rPr>
            <w:webHidden/>
          </w:rPr>
          <w:fldChar w:fldCharType="begin"/>
        </w:r>
        <w:r>
          <w:rPr>
            <w:webHidden/>
          </w:rPr>
          <w:instrText xml:space="preserve"> PAGEREF _Toc207348617 \h </w:instrText>
        </w:r>
        <w:r>
          <w:rPr>
            <w:webHidden/>
          </w:rPr>
        </w:r>
        <w:r>
          <w:rPr>
            <w:webHidden/>
          </w:rPr>
          <w:fldChar w:fldCharType="separate"/>
        </w:r>
        <w:r w:rsidR="00D1685C">
          <w:rPr>
            <w:webHidden/>
          </w:rPr>
          <w:t>121</w:t>
        </w:r>
        <w:r>
          <w:rPr>
            <w:webHidden/>
          </w:rPr>
          <w:fldChar w:fldCharType="end"/>
        </w:r>
      </w:hyperlink>
    </w:p>
    <w:p w14:paraId="1D3C8F90" w14:textId="4153360A"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18" w:history="1">
        <w:r w:rsidRPr="00957327">
          <w:rPr>
            <w:rStyle w:val="Hyperlink"/>
          </w:rPr>
          <w:t>Table 53: Responses by jurisdiction to Statement 1</w:t>
        </w:r>
        <w:r>
          <w:rPr>
            <w:webHidden/>
          </w:rPr>
          <w:tab/>
        </w:r>
        <w:r>
          <w:rPr>
            <w:webHidden/>
          </w:rPr>
          <w:fldChar w:fldCharType="begin"/>
        </w:r>
        <w:r>
          <w:rPr>
            <w:webHidden/>
          </w:rPr>
          <w:instrText xml:space="preserve"> PAGEREF _Toc207348618 \h </w:instrText>
        </w:r>
        <w:r>
          <w:rPr>
            <w:webHidden/>
          </w:rPr>
        </w:r>
        <w:r>
          <w:rPr>
            <w:webHidden/>
          </w:rPr>
          <w:fldChar w:fldCharType="separate"/>
        </w:r>
        <w:r w:rsidR="00D1685C">
          <w:rPr>
            <w:webHidden/>
          </w:rPr>
          <w:t>126</w:t>
        </w:r>
        <w:r>
          <w:rPr>
            <w:webHidden/>
          </w:rPr>
          <w:fldChar w:fldCharType="end"/>
        </w:r>
      </w:hyperlink>
    </w:p>
    <w:p w14:paraId="375C4F9F" w14:textId="1E11F151"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19" w:history="1">
        <w:r w:rsidRPr="00957327">
          <w:rPr>
            <w:rStyle w:val="Hyperlink"/>
          </w:rPr>
          <w:t>Table 54: Responses by remoteness to Statement 1</w:t>
        </w:r>
        <w:r>
          <w:rPr>
            <w:webHidden/>
          </w:rPr>
          <w:tab/>
        </w:r>
        <w:r>
          <w:rPr>
            <w:webHidden/>
          </w:rPr>
          <w:fldChar w:fldCharType="begin"/>
        </w:r>
        <w:r>
          <w:rPr>
            <w:webHidden/>
          </w:rPr>
          <w:instrText xml:space="preserve"> PAGEREF _Toc207348619 \h </w:instrText>
        </w:r>
        <w:r>
          <w:rPr>
            <w:webHidden/>
          </w:rPr>
        </w:r>
        <w:r>
          <w:rPr>
            <w:webHidden/>
          </w:rPr>
          <w:fldChar w:fldCharType="separate"/>
        </w:r>
        <w:r w:rsidR="00D1685C">
          <w:rPr>
            <w:webHidden/>
          </w:rPr>
          <w:t>126</w:t>
        </w:r>
        <w:r>
          <w:rPr>
            <w:webHidden/>
          </w:rPr>
          <w:fldChar w:fldCharType="end"/>
        </w:r>
      </w:hyperlink>
    </w:p>
    <w:p w14:paraId="6B67451A" w14:textId="074E3D08"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20" w:history="1">
        <w:r w:rsidRPr="00957327">
          <w:rPr>
            <w:rStyle w:val="Hyperlink"/>
          </w:rPr>
          <w:t>Table 55: Responses by prosthesis type to Statement 1</w:t>
        </w:r>
        <w:r>
          <w:rPr>
            <w:webHidden/>
          </w:rPr>
          <w:tab/>
        </w:r>
        <w:r>
          <w:rPr>
            <w:webHidden/>
          </w:rPr>
          <w:fldChar w:fldCharType="begin"/>
        </w:r>
        <w:r>
          <w:rPr>
            <w:webHidden/>
          </w:rPr>
          <w:instrText xml:space="preserve"> PAGEREF _Toc207348620 \h </w:instrText>
        </w:r>
        <w:r>
          <w:rPr>
            <w:webHidden/>
          </w:rPr>
        </w:r>
        <w:r>
          <w:rPr>
            <w:webHidden/>
          </w:rPr>
          <w:fldChar w:fldCharType="separate"/>
        </w:r>
        <w:r w:rsidR="00D1685C">
          <w:rPr>
            <w:webHidden/>
          </w:rPr>
          <w:t>126</w:t>
        </w:r>
        <w:r>
          <w:rPr>
            <w:webHidden/>
          </w:rPr>
          <w:fldChar w:fldCharType="end"/>
        </w:r>
      </w:hyperlink>
    </w:p>
    <w:p w14:paraId="73D2D514" w14:textId="59DEF8F9"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21" w:history="1">
        <w:r w:rsidRPr="00957327">
          <w:rPr>
            <w:rStyle w:val="Hyperlink"/>
          </w:rPr>
          <w:t>Table 56: Responses by jurisdiction to Statement 2</w:t>
        </w:r>
        <w:r>
          <w:rPr>
            <w:webHidden/>
          </w:rPr>
          <w:tab/>
        </w:r>
        <w:r>
          <w:rPr>
            <w:webHidden/>
          </w:rPr>
          <w:fldChar w:fldCharType="begin"/>
        </w:r>
        <w:r>
          <w:rPr>
            <w:webHidden/>
          </w:rPr>
          <w:instrText xml:space="preserve"> PAGEREF _Toc207348621 \h </w:instrText>
        </w:r>
        <w:r>
          <w:rPr>
            <w:webHidden/>
          </w:rPr>
        </w:r>
        <w:r>
          <w:rPr>
            <w:webHidden/>
          </w:rPr>
          <w:fldChar w:fldCharType="separate"/>
        </w:r>
        <w:r w:rsidR="00D1685C">
          <w:rPr>
            <w:webHidden/>
          </w:rPr>
          <w:t>127</w:t>
        </w:r>
        <w:r>
          <w:rPr>
            <w:webHidden/>
          </w:rPr>
          <w:fldChar w:fldCharType="end"/>
        </w:r>
      </w:hyperlink>
    </w:p>
    <w:p w14:paraId="7A4549FC" w14:textId="237B1F12"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22" w:history="1">
        <w:r w:rsidRPr="00957327">
          <w:rPr>
            <w:rStyle w:val="Hyperlink"/>
          </w:rPr>
          <w:t>Table 57: Responses by remoteness to Statement 2</w:t>
        </w:r>
        <w:r>
          <w:rPr>
            <w:webHidden/>
          </w:rPr>
          <w:tab/>
        </w:r>
        <w:r>
          <w:rPr>
            <w:webHidden/>
          </w:rPr>
          <w:fldChar w:fldCharType="begin"/>
        </w:r>
        <w:r>
          <w:rPr>
            <w:webHidden/>
          </w:rPr>
          <w:instrText xml:space="preserve"> PAGEREF _Toc207348622 \h </w:instrText>
        </w:r>
        <w:r>
          <w:rPr>
            <w:webHidden/>
          </w:rPr>
        </w:r>
        <w:r>
          <w:rPr>
            <w:webHidden/>
          </w:rPr>
          <w:fldChar w:fldCharType="separate"/>
        </w:r>
        <w:r w:rsidR="00D1685C">
          <w:rPr>
            <w:webHidden/>
          </w:rPr>
          <w:t>127</w:t>
        </w:r>
        <w:r>
          <w:rPr>
            <w:webHidden/>
          </w:rPr>
          <w:fldChar w:fldCharType="end"/>
        </w:r>
      </w:hyperlink>
    </w:p>
    <w:p w14:paraId="4F345423" w14:textId="5751DD57"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23" w:history="1">
        <w:r w:rsidRPr="00957327">
          <w:rPr>
            <w:rStyle w:val="Hyperlink"/>
          </w:rPr>
          <w:t>Table 58: Responses by prosthesis type to Statement 2</w:t>
        </w:r>
        <w:r>
          <w:rPr>
            <w:webHidden/>
          </w:rPr>
          <w:tab/>
        </w:r>
        <w:r>
          <w:rPr>
            <w:webHidden/>
          </w:rPr>
          <w:fldChar w:fldCharType="begin"/>
        </w:r>
        <w:r>
          <w:rPr>
            <w:webHidden/>
          </w:rPr>
          <w:instrText xml:space="preserve"> PAGEREF _Toc207348623 \h </w:instrText>
        </w:r>
        <w:r>
          <w:rPr>
            <w:webHidden/>
          </w:rPr>
        </w:r>
        <w:r>
          <w:rPr>
            <w:webHidden/>
          </w:rPr>
          <w:fldChar w:fldCharType="separate"/>
        </w:r>
        <w:r w:rsidR="00D1685C">
          <w:rPr>
            <w:webHidden/>
          </w:rPr>
          <w:t>127</w:t>
        </w:r>
        <w:r>
          <w:rPr>
            <w:webHidden/>
          </w:rPr>
          <w:fldChar w:fldCharType="end"/>
        </w:r>
      </w:hyperlink>
    </w:p>
    <w:p w14:paraId="258CABD7" w14:textId="33FFDFE9"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24" w:history="1">
        <w:r w:rsidRPr="00957327">
          <w:rPr>
            <w:rStyle w:val="Hyperlink"/>
          </w:rPr>
          <w:t>Table 59: Responses by jurisdiction to Statement 3</w:t>
        </w:r>
        <w:r>
          <w:rPr>
            <w:webHidden/>
          </w:rPr>
          <w:tab/>
        </w:r>
        <w:r>
          <w:rPr>
            <w:webHidden/>
          </w:rPr>
          <w:fldChar w:fldCharType="begin"/>
        </w:r>
        <w:r>
          <w:rPr>
            <w:webHidden/>
          </w:rPr>
          <w:instrText xml:space="preserve"> PAGEREF _Toc207348624 \h </w:instrText>
        </w:r>
        <w:r>
          <w:rPr>
            <w:webHidden/>
          </w:rPr>
        </w:r>
        <w:r>
          <w:rPr>
            <w:webHidden/>
          </w:rPr>
          <w:fldChar w:fldCharType="separate"/>
        </w:r>
        <w:r w:rsidR="00D1685C">
          <w:rPr>
            <w:webHidden/>
          </w:rPr>
          <w:t>128</w:t>
        </w:r>
        <w:r>
          <w:rPr>
            <w:webHidden/>
          </w:rPr>
          <w:fldChar w:fldCharType="end"/>
        </w:r>
      </w:hyperlink>
    </w:p>
    <w:p w14:paraId="20A92AE1" w14:textId="02698DF7"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25" w:history="1">
        <w:r w:rsidRPr="00957327">
          <w:rPr>
            <w:rStyle w:val="Hyperlink"/>
          </w:rPr>
          <w:t>Table 60: Responses by remoteness to Statement 3</w:t>
        </w:r>
        <w:r>
          <w:rPr>
            <w:webHidden/>
          </w:rPr>
          <w:tab/>
        </w:r>
        <w:r>
          <w:rPr>
            <w:webHidden/>
          </w:rPr>
          <w:fldChar w:fldCharType="begin"/>
        </w:r>
        <w:r>
          <w:rPr>
            <w:webHidden/>
          </w:rPr>
          <w:instrText xml:space="preserve"> PAGEREF _Toc207348625 \h </w:instrText>
        </w:r>
        <w:r>
          <w:rPr>
            <w:webHidden/>
          </w:rPr>
        </w:r>
        <w:r>
          <w:rPr>
            <w:webHidden/>
          </w:rPr>
          <w:fldChar w:fldCharType="separate"/>
        </w:r>
        <w:r w:rsidR="00D1685C">
          <w:rPr>
            <w:webHidden/>
          </w:rPr>
          <w:t>128</w:t>
        </w:r>
        <w:r>
          <w:rPr>
            <w:webHidden/>
          </w:rPr>
          <w:fldChar w:fldCharType="end"/>
        </w:r>
      </w:hyperlink>
    </w:p>
    <w:p w14:paraId="14DEB010" w14:textId="7F41C819"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26" w:history="1">
        <w:r w:rsidRPr="00957327">
          <w:rPr>
            <w:rStyle w:val="Hyperlink"/>
          </w:rPr>
          <w:t>Table 61: Responses by prosthesis type to Statement 3</w:t>
        </w:r>
        <w:r>
          <w:rPr>
            <w:webHidden/>
          </w:rPr>
          <w:tab/>
        </w:r>
        <w:r>
          <w:rPr>
            <w:webHidden/>
          </w:rPr>
          <w:fldChar w:fldCharType="begin"/>
        </w:r>
        <w:r>
          <w:rPr>
            <w:webHidden/>
          </w:rPr>
          <w:instrText xml:space="preserve"> PAGEREF _Toc207348626 \h </w:instrText>
        </w:r>
        <w:r>
          <w:rPr>
            <w:webHidden/>
          </w:rPr>
        </w:r>
        <w:r>
          <w:rPr>
            <w:webHidden/>
          </w:rPr>
          <w:fldChar w:fldCharType="separate"/>
        </w:r>
        <w:r w:rsidR="00D1685C">
          <w:rPr>
            <w:webHidden/>
          </w:rPr>
          <w:t>128</w:t>
        </w:r>
        <w:r>
          <w:rPr>
            <w:webHidden/>
          </w:rPr>
          <w:fldChar w:fldCharType="end"/>
        </w:r>
      </w:hyperlink>
    </w:p>
    <w:p w14:paraId="3E1523BD" w14:textId="393DFCBA"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27" w:history="1">
        <w:r w:rsidRPr="00957327">
          <w:rPr>
            <w:rStyle w:val="Hyperlink"/>
          </w:rPr>
          <w:t>Table 62: Responses by jurisdictions to Statement 4</w:t>
        </w:r>
        <w:r>
          <w:rPr>
            <w:webHidden/>
          </w:rPr>
          <w:tab/>
        </w:r>
        <w:r>
          <w:rPr>
            <w:webHidden/>
          </w:rPr>
          <w:fldChar w:fldCharType="begin"/>
        </w:r>
        <w:r>
          <w:rPr>
            <w:webHidden/>
          </w:rPr>
          <w:instrText xml:space="preserve"> PAGEREF _Toc207348627 \h </w:instrText>
        </w:r>
        <w:r>
          <w:rPr>
            <w:webHidden/>
          </w:rPr>
        </w:r>
        <w:r>
          <w:rPr>
            <w:webHidden/>
          </w:rPr>
          <w:fldChar w:fldCharType="separate"/>
        </w:r>
        <w:r w:rsidR="00D1685C">
          <w:rPr>
            <w:webHidden/>
          </w:rPr>
          <w:t>129</w:t>
        </w:r>
        <w:r>
          <w:rPr>
            <w:webHidden/>
          </w:rPr>
          <w:fldChar w:fldCharType="end"/>
        </w:r>
      </w:hyperlink>
    </w:p>
    <w:p w14:paraId="4C08DFE7" w14:textId="360B707A"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28" w:history="1">
        <w:r w:rsidRPr="00957327">
          <w:rPr>
            <w:rStyle w:val="Hyperlink"/>
          </w:rPr>
          <w:t>Table 63: Responses by remoteness to Statement 4</w:t>
        </w:r>
        <w:r>
          <w:rPr>
            <w:webHidden/>
          </w:rPr>
          <w:tab/>
        </w:r>
        <w:r>
          <w:rPr>
            <w:webHidden/>
          </w:rPr>
          <w:fldChar w:fldCharType="begin"/>
        </w:r>
        <w:r>
          <w:rPr>
            <w:webHidden/>
          </w:rPr>
          <w:instrText xml:space="preserve"> PAGEREF _Toc207348628 \h </w:instrText>
        </w:r>
        <w:r>
          <w:rPr>
            <w:webHidden/>
          </w:rPr>
        </w:r>
        <w:r>
          <w:rPr>
            <w:webHidden/>
          </w:rPr>
          <w:fldChar w:fldCharType="separate"/>
        </w:r>
        <w:r w:rsidR="00D1685C">
          <w:rPr>
            <w:webHidden/>
          </w:rPr>
          <w:t>129</w:t>
        </w:r>
        <w:r>
          <w:rPr>
            <w:webHidden/>
          </w:rPr>
          <w:fldChar w:fldCharType="end"/>
        </w:r>
      </w:hyperlink>
    </w:p>
    <w:p w14:paraId="0B827D62" w14:textId="372A3A33"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29" w:history="1">
        <w:r w:rsidRPr="00957327">
          <w:rPr>
            <w:rStyle w:val="Hyperlink"/>
          </w:rPr>
          <w:t>Table 64: Responses by prosthesis type to Statement 4</w:t>
        </w:r>
        <w:r>
          <w:rPr>
            <w:webHidden/>
          </w:rPr>
          <w:tab/>
        </w:r>
        <w:r>
          <w:rPr>
            <w:webHidden/>
          </w:rPr>
          <w:fldChar w:fldCharType="begin"/>
        </w:r>
        <w:r>
          <w:rPr>
            <w:webHidden/>
          </w:rPr>
          <w:instrText xml:space="preserve"> PAGEREF _Toc207348629 \h </w:instrText>
        </w:r>
        <w:r>
          <w:rPr>
            <w:webHidden/>
          </w:rPr>
        </w:r>
        <w:r>
          <w:rPr>
            <w:webHidden/>
          </w:rPr>
          <w:fldChar w:fldCharType="separate"/>
        </w:r>
        <w:r w:rsidR="00D1685C">
          <w:rPr>
            <w:webHidden/>
          </w:rPr>
          <w:t>129</w:t>
        </w:r>
        <w:r>
          <w:rPr>
            <w:webHidden/>
          </w:rPr>
          <w:fldChar w:fldCharType="end"/>
        </w:r>
      </w:hyperlink>
    </w:p>
    <w:p w14:paraId="2810D1A0" w14:textId="2990754A"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30" w:history="1">
        <w:r w:rsidRPr="00957327">
          <w:rPr>
            <w:rStyle w:val="Hyperlink"/>
          </w:rPr>
          <w:t>Table 65: Responses by jurisdiction to Statement 5</w:t>
        </w:r>
        <w:r>
          <w:rPr>
            <w:webHidden/>
          </w:rPr>
          <w:tab/>
        </w:r>
        <w:r>
          <w:rPr>
            <w:webHidden/>
          </w:rPr>
          <w:fldChar w:fldCharType="begin"/>
        </w:r>
        <w:r>
          <w:rPr>
            <w:webHidden/>
          </w:rPr>
          <w:instrText xml:space="preserve"> PAGEREF _Toc207348630 \h </w:instrText>
        </w:r>
        <w:r>
          <w:rPr>
            <w:webHidden/>
          </w:rPr>
        </w:r>
        <w:r>
          <w:rPr>
            <w:webHidden/>
          </w:rPr>
          <w:fldChar w:fldCharType="separate"/>
        </w:r>
        <w:r w:rsidR="00D1685C">
          <w:rPr>
            <w:webHidden/>
          </w:rPr>
          <w:t>130</w:t>
        </w:r>
        <w:r>
          <w:rPr>
            <w:webHidden/>
          </w:rPr>
          <w:fldChar w:fldCharType="end"/>
        </w:r>
      </w:hyperlink>
    </w:p>
    <w:p w14:paraId="2846A35E" w14:textId="1794E8C0"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31" w:history="1">
        <w:r w:rsidRPr="00957327">
          <w:rPr>
            <w:rStyle w:val="Hyperlink"/>
          </w:rPr>
          <w:t>Table 66: Responses by remoteness to Statement 5</w:t>
        </w:r>
        <w:r>
          <w:rPr>
            <w:webHidden/>
          </w:rPr>
          <w:tab/>
        </w:r>
        <w:r>
          <w:rPr>
            <w:webHidden/>
          </w:rPr>
          <w:fldChar w:fldCharType="begin"/>
        </w:r>
        <w:r>
          <w:rPr>
            <w:webHidden/>
          </w:rPr>
          <w:instrText xml:space="preserve"> PAGEREF _Toc207348631 \h </w:instrText>
        </w:r>
        <w:r>
          <w:rPr>
            <w:webHidden/>
          </w:rPr>
        </w:r>
        <w:r>
          <w:rPr>
            <w:webHidden/>
          </w:rPr>
          <w:fldChar w:fldCharType="separate"/>
        </w:r>
        <w:r w:rsidR="00D1685C">
          <w:rPr>
            <w:webHidden/>
          </w:rPr>
          <w:t>130</w:t>
        </w:r>
        <w:r>
          <w:rPr>
            <w:webHidden/>
          </w:rPr>
          <w:fldChar w:fldCharType="end"/>
        </w:r>
      </w:hyperlink>
    </w:p>
    <w:p w14:paraId="38F6287D" w14:textId="0160BFF8"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32" w:history="1">
        <w:r w:rsidRPr="00957327">
          <w:rPr>
            <w:rStyle w:val="Hyperlink"/>
          </w:rPr>
          <w:t>Table 67: Responses by prosthesis type to Statement 5</w:t>
        </w:r>
        <w:r>
          <w:rPr>
            <w:webHidden/>
          </w:rPr>
          <w:tab/>
        </w:r>
        <w:r>
          <w:rPr>
            <w:webHidden/>
          </w:rPr>
          <w:fldChar w:fldCharType="begin"/>
        </w:r>
        <w:r>
          <w:rPr>
            <w:webHidden/>
          </w:rPr>
          <w:instrText xml:space="preserve"> PAGEREF _Toc207348632 \h </w:instrText>
        </w:r>
        <w:r>
          <w:rPr>
            <w:webHidden/>
          </w:rPr>
        </w:r>
        <w:r>
          <w:rPr>
            <w:webHidden/>
          </w:rPr>
          <w:fldChar w:fldCharType="separate"/>
        </w:r>
        <w:r w:rsidR="00D1685C">
          <w:rPr>
            <w:webHidden/>
          </w:rPr>
          <w:t>130</w:t>
        </w:r>
        <w:r>
          <w:rPr>
            <w:webHidden/>
          </w:rPr>
          <w:fldChar w:fldCharType="end"/>
        </w:r>
      </w:hyperlink>
    </w:p>
    <w:p w14:paraId="567C06FF" w14:textId="43D69BB7"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33" w:history="1">
        <w:r w:rsidRPr="00957327">
          <w:rPr>
            <w:rStyle w:val="Hyperlink"/>
          </w:rPr>
          <w:t>Table 68:Responses by jurisdiction to Statement 6</w:t>
        </w:r>
        <w:r>
          <w:rPr>
            <w:webHidden/>
          </w:rPr>
          <w:tab/>
        </w:r>
        <w:r>
          <w:rPr>
            <w:webHidden/>
          </w:rPr>
          <w:fldChar w:fldCharType="begin"/>
        </w:r>
        <w:r>
          <w:rPr>
            <w:webHidden/>
          </w:rPr>
          <w:instrText xml:space="preserve"> PAGEREF _Toc207348633 \h </w:instrText>
        </w:r>
        <w:r>
          <w:rPr>
            <w:webHidden/>
          </w:rPr>
        </w:r>
        <w:r>
          <w:rPr>
            <w:webHidden/>
          </w:rPr>
          <w:fldChar w:fldCharType="separate"/>
        </w:r>
        <w:r w:rsidR="00D1685C">
          <w:rPr>
            <w:webHidden/>
          </w:rPr>
          <w:t>131</w:t>
        </w:r>
        <w:r>
          <w:rPr>
            <w:webHidden/>
          </w:rPr>
          <w:fldChar w:fldCharType="end"/>
        </w:r>
      </w:hyperlink>
    </w:p>
    <w:p w14:paraId="6F253854" w14:textId="059D1AAB"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34" w:history="1">
        <w:r w:rsidRPr="00957327">
          <w:rPr>
            <w:rStyle w:val="Hyperlink"/>
          </w:rPr>
          <w:t>Table 69:Responses by remoteness to Statement 6</w:t>
        </w:r>
        <w:r>
          <w:rPr>
            <w:webHidden/>
          </w:rPr>
          <w:tab/>
        </w:r>
        <w:r>
          <w:rPr>
            <w:webHidden/>
          </w:rPr>
          <w:fldChar w:fldCharType="begin"/>
        </w:r>
        <w:r>
          <w:rPr>
            <w:webHidden/>
          </w:rPr>
          <w:instrText xml:space="preserve"> PAGEREF _Toc207348634 \h </w:instrText>
        </w:r>
        <w:r>
          <w:rPr>
            <w:webHidden/>
          </w:rPr>
        </w:r>
        <w:r>
          <w:rPr>
            <w:webHidden/>
          </w:rPr>
          <w:fldChar w:fldCharType="separate"/>
        </w:r>
        <w:r w:rsidR="00D1685C">
          <w:rPr>
            <w:webHidden/>
          </w:rPr>
          <w:t>131</w:t>
        </w:r>
        <w:r>
          <w:rPr>
            <w:webHidden/>
          </w:rPr>
          <w:fldChar w:fldCharType="end"/>
        </w:r>
      </w:hyperlink>
    </w:p>
    <w:p w14:paraId="01EEEA9A" w14:textId="60099784"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35" w:history="1">
        <w:r w:rsidRPr="00957327">
          <w:rPr>
            <w:rStyle w:val="Hyperlink"/>
          </w:rPr>
          <w:t>Table 70: Responses by prosthesis type to Statement 6</w:t>
        </w:r>
        <w:r>
          <w:rPr>
            <w:webHidden/>
          </w:rPr>
          <w:tab/>
        </w:r>
        <w:r>
          <w:rPr>
            <w:webHidden/>
          </w:rPr>
          <w:fldChar w:fldCharType="begin"/>
        </w:r>
        <w:r>
          <w:rPr>
            <w:webHidden/>
          </w:rPr>
          <w:instrText xml:space="preserve"> PAGEREF _Toc207348635 \h </w:instrText>
        </w:r>
        <w:r>
          <w:rPr>
            <w:webHidden/>
          </w:rPr>
        </w:r>
        <w:r>
          <w:rPr>
            <w:webHidden/>
          </w:rPr>
          <w:fldChar w:fldCharType="separate"/>
        </w:r>
        <w:r w:rsidR="00D1685C">
          <w:rPr>
            <w:webHidden/>
          </w:rPr>
          <w:t>131</w:t>
        </w:r>
        <w:r>
          <w:rPr>
            <w:webHidden/>
          </w:rPr>
          <w:fldChar w:fldCharType="end"/>
        </w:r>
      </w:hyperlink>
    </w:p>
    <w:p w14:paraId="45AAC1A1" w14:textId="4DA2927F"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36" w:history="1">
        <w:r w:rsidRPr="00957327">
          <w:rPr>
            <w:rStyle w:val="Hyperlink"/>
          </w:rPr>
          <w:t>Table 71: Responses by jurisdiction to Statement 7</w:t>
        </w:r>
        <w:r>
          <w:rPr>
            <w:webHidden/>
          </w:rPr>
          <w:tab/>
        </w:r>
        <w:r>
          <w:rPr>
            <w:webHidden/>
          </w:rPr>
          <w:fldChar w:fldCharType="begin"/>
        </w:r>
        <w:r>
          <w:rPr>
            <w:webHidden/>
          </w:rPr>
          <w:instrText xml:space="preserve"> PAGEREF _Toc207348636 \h </w:instrText>
        </w:r>
        <w:r>
          <w:rPr>
            <w:webHidden/>
          </w:rPr>
        </w:r>
        <w:r>
          <w:rPr>
            <w:webHidden/>
          </w:rPr>
          <w:fldChar w:fldCharType="separate"/>
        </w:r>
        <w:r w:rsidR="00D1685C">
          <w:rPr>
            <w:webHidden/>
          </w:rPr>
          <w:t>132</w:t>
        </w:r>
        <w:r>
          <w:rPr>
            <w:webHidden/>
          </w:rPr>
          <w:fldChar w:fldCharType="end"/>
        </w:r>
      </w:hyperlink>
    </w:p>
    <w:p w14:paraId="42D3135C" w14:textId="6236A896"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37" w:history="1">
        <w:r w:rsidRPr="00957327">
          <w:rPr>
            <w:rStyle w:val="Hyperlink"/>
          </w:rPr>
          <w:t>Table 72: Responses by remoteness to Statement 7</w:t>
        </w:r>
        <w:r>
          <w:rPr>
            <w:webHidden/>
          </w:rPr>
          <w:tab/>
        </w:r>
        <w:r>
          <w:rPr>
            <w:webHidden/>
          </w:rPr>
          <w:fldChar w:fldCharType="begin"/>
        </w:r>
        <w:r>
          <w:rPr>
            <w:webHidden/>
          </w:rPr>
          <w:instrText xml:space="preserve"> PAGEREF _Toc207348637 \h </w:instrText>
        </w:r>
        <w:r>
          <w:rPr>
            <w:webHidden/>
          </w:rPr>
        </w:r>
        <w:r>
          <w:rPr>
            <w:webHidden/>
          </w:rPr>
          <w:fldChar w:fldCharType="separate"/>
        </w:r>
        <w:r w:rsidR="00D1685C">
          <w:rPr>
            <w:webHidden/>
          </w:rPr>
          <w:t>132</w:t>
        </w:r>
        <w:r>
          <w:rPr>
            <w:webHidden/>
          </w:rPr>
          <w:fldChar w:fldCharType="end"/>
        </w:r>
      </w:hyperlink>
    </w:p>
    <w:p w14:paraId="369A810C" w14:textId="66525C48"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38" w:history="1">
        <w:r w:rsidRPr="00957327">
          <w:rPr>
            <w:rStyle w:val="Hyperlink"/>
          </w:rPr>
          <w:t>Table 73: Responses by prosthesis type to Statement 7</w:t>
        </w:r>
        <w:r>
          <w:rPr>
            <w:webHidden/>
          </w:rPr>
          <w:tab/>
        </w:r>
        <w:r>
          <w:rPr>
            <w:webHidden/>
          </w:rPr>
          <w:fldChar w:fldCharType="begin"/>
        </w:r>
        <w:r>
          <w:rPr>
            <w:webHidden/>
          </w:rPr>
          <w:instrText xml:space="preserve"> PAGEREF _Toc207348638 \h </w:instrText>
        </w:r>
        <w:r>
          <w:rPr>
            <w:webHidden/>
          </w:rPr>
        </w:r>
        <w:r>
          <w:rPr>
            <w:webHidden/>
          </w:rPr>
          <w:fldChar w:fldCharType="separate"/>
        </w:r>
        <w:r w:rsidR="00D1685C">
          <w:rPr>
            <w:webHidden/>
          </w:rPr>
          <w:t>132</w:t>
        </w:r>
        <w:r>
          <w:rPr>
            <w:webHidden/>
          </w:rPr>
          <w:fldChar w:fldCharType="end"/>
        </w:r>
      </w:hyperlink>
    </w:p>
    <w:p w14:paraId="60556DEB" w14:textId="0923F465"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39" w:history="1">
        <w:r w:rsidRPr="00957327">
          <w:rPr>
            <w:rStyle w:val="Hyperlink"/>
          </w:rPr>
          <w:t>Table 74: Responses by jurisdiction to Statement 8</w:t>
        </w:r>
        <w:r>
          <w:rPr>
            <w:webHidden/>
          </w:rPr>
          <w:tab/>
        </w:r>
        <w:r>
          <w:rPr>
            <w:webHidden/>
          </w:rPr>
          <w:fldChar w:fldCharType="begin"/>
        </w:r>
        <w:r>
          <w:rPr>
            <w:webHidden/>
          </w:rPr>
          <w:instrText xml:space="preserve"> PAGEREF _Toc207348639 \h </w:instrText>
        </w:r>
        <w:r>
          <w:rPr>
            <w:webHidden/>
          </w:rPr>
        </w:r>
        <w:r>
          <w:rPr>
            <w:webHidden/>
          </w:rPr>
          <w:fldChar w:fldCharType="separate"/>
        </w:r>
        <w:r w:rsidR="00D1685C">
          <w:rPr>
            <w:webHidden/>
          </w:rPr>
          <w:t>133</w:t>
        </w:r>
        <w:r>
          <w:rPr>
            <w:webHidden/>
          </w:rPr>
          <w:fldChar w:fldCharType="end"/>
        </w:r>
      </w:hyperlink>
    </w:p>
    <w:p w14:paraId="4866B1ED" w14:textId="4579E97B"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40" w:history="1">
        <w:r w:rsidRPr="00957327">
          <w:rPr>
            <w:rStyle w:val="Hyperlink"/>
          </w:rPr>
          <w:t>Table 75: Responses by remoteness to Statement 8</w:t>
        </w:r>
        <w:r>
          <w:rPr>
            <w:webHidden/>
          </w:rPr>
          <w:tab/>
        </w:r>
        <w:r>
          <w:rPr>
            <w:webHidden/>
          </w:rPr>
          <w:fldChar w:fldCharType="begin"/>
        </w:r>
        <w:r>
          <w:rPr>
            <w:webHidden/>
          </w:rPr>
          <w:instrText xml:space="preserve"> PAGEREF _Toc207348640 \h </w:instrText>
        </w:r>
        <w:r>
          <w:rPr>
            <w:webHidden/>
          </w:rPr>
        </w:r>
        <w:r>
          <w:rPr>
            <w:webHidden/>
          </w:rPr>
          <w:fldChar w:fldCharType="separate"/>
        </w:r>
        <w:r w:rsidR="00D1685C">
          <w:rPr>
            <w:webHidden/>
          </w:rPr>
          <w:t>133</w:t>
        </w:r>
        <w:r>
          <w:rPr>
            <w:webHidden/>
          </w:rPr>
          <w:fldChar w:fldCharType="end"/>
        </w:r>
      </w:hyperlink>
    </w:p>
    <w:p w14:paraId="26C4BDF8" w14:textId="723A79A6"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41" w:history="1">
        <w:r w:rsidRPr="00957327">
          <w:rPr>
            <w:rStyle w:val="Hyperlink"/>
          </w:rPr>
          <w:t>Table 76: Responses by prosthesis type to Statement 8</w:t>
        </w:r>
        <w:r>
          <w:rPr>
            <w:webHidden/>
          </w:rPr>
          <w:tab/>
        </w:r>
        <w:r>
          <w:rPr>
            <w:webHidden/>
          </w:rPr>
          <w:fldChar w:fldCharType="begin"/>
        </w:r>
        <w:r>
          <w:rPr>
            <w:webHidden/>
          </w:rPr>
          <w:instrText xml:space="preserve"> PAGEREF _Toc207348641 \h </w:instrText>
        </w:r>
        <w:r>
          <w:rPr>
            <w:webHidden/>
          </w:rPr>
        </w:r>
        <w:r>
          <w:rPr>
            <w:webHidden/>
          </w:rPr>
          <w:fldChar w:fldCharType="separate"/>
        </w:r>
        <w:r w:rsidR="00D1685C">
          <w:rPr>
            <w:webHidden/>
          </w:rPr>
          <w:t>133</w:t>
        </w:r>
        <w:r>
          <w:rPr>
            <w:webHidden/>
          </w:rPr>
          <w:fldChar w:fldCharType="end"/>
        </w:r>
      </w:hyperlink>
    </w:p>
    <w:p w14:paraId="64B8AA02" w14:textId="256E6974"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42" w:history="1">
        <w:r w:rsidRPr="00957327">
          <w:rPr>
            <w:rStyle w:val="Hyperlink"/>
          </w:rPr>
          <w:t>Table 77:Responses to Question 7 by jurisdiction</w:t>
        </w:r>
        <w:r>
          <w:rPr>
            <w:webHidden/>
          </w:rPr>
          <w:tab/>
        </w:r>
        <w:r>
          <w:rPr>
            <w:webHidden/>
          </w:rPr>
          <w:fldChar w:fldCharType="begin"/>
        </w:r>
        <w:r>
          <w:rPr>
            <w:webHidden/>
          </w:rPr>
          <w:instrText xml:space="preserve"> PAGEREF _Toc207348642 \h </w:instrText>
        </w:r>
        <w:r>
          <w:rPr>
            <w:webHidden/>
          </w:rPr>
        </w:r>
        <w:r>
          <w:rPr>
            <w:webHidden/>
          </w:rPr>
          <w:fldChar w:fldCharType="separate"/>
        </w:r>
        <w:r w:rsidR="00D1685C">
          <w:rPr>
            <w:webHidden/>
          </w:rPr>
          <w:t>134</w:t>
        </w:r>
        <w:r>
          <w:rPr>
            <w:webHidden/>
          </w:rPr>
          <w:fldChar w:fldCharType="end"/>
        </w:r>
      </w:hyperlink>
    </w:p>
    <w:p w14:paraId="1B5F038B" w14:textId="310CB7A3"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43" w:history="1">
        <w:r w:rsidRPr="00957327">
          <w:rPr>
            <w:rStyle w:val="Hyperlink"/>
          </w:rPr>
          <w:t>Table 78: Responses to Question 7 by remoteness</w:t>
        </w:r>
        <w:r>
          <w:rPr>
            <w:webHidden/>
          </w:rPr>
          <w:tab/>
        </w:r>
        <w:r>
          <w:rPr>
            <w:webHidden/>
          </w:rPr>
          <w:fldChar w:fldCharType="begin"/>
        </w:r>
        <w:r>
          <w:rPr>
            <w:webHidden/>
          </w:rPr>
          <w:instrText xml:space="preserve"> PAGEREF _Toc207348643 \h </w:instrText>
        </w:r>
        <w:r>
          <w:rPr>
            <w:webHidden/>
          </w:rPr>
        </w:r>
        <w:r>
          <w:rPr>
            <w:webHidden/>
          </w:rPr>
          <w:fldChar w:fldCharType="separate"/>
        </w:r>
        <w:r w:rsidR="00D1685C">
          <w:rPr>
            <w:webHidden/>
          </w:rPr>
          <w:t>134</w:t>
        </w:r>
        <w:r>
          <w:rPr>
            <w:webHidden/>
          </w:rPr>
          <w:fldChar w:fldCharType="end"/>
        </w:r>
      </w:hyperlink>
    </w:p>
    <w:p w14:paraId="2717A5CB" w14:textId="22B3CC88"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44" w:history="1">
        <w:r w:rsidRPr="00957327">
          <w:rPr>
            <w:rStyle w:val="Hyperlink"/>
          </w:rPr>
          <w:t>Table 79: Responses to Question 7 by prosthesis type</w:t>
        </w:r>
        <w:r>
          <w:rPr>
            <w:webHidden/>
          </w:rPr>
          <w:tab/>
        </w:r>
        <w:r>
          <w:rPr>
            <w:webHidden/>
          </w:rPr>
          <w:fldChar w:fldCharType="begin"/>
        </w:r>
        <w:r>
          <w:rPr>
            <w:webHidden/>
          </w:rPr>
          <w:instrText xml:space="preserve"> PAGEREF _Toc207348644 \h </w:instrText>
        </w:r>
        <w:r>
          <w:rPr>
            <w:webHidden/>
          </w:rPr>
        </w:r>
        <w:r>
          <w:rPr>
            <w:webHidden/>
          </w:rPr>
          <w:fldChar w:fldCharType="separate"/>
        </w:r>
        <w:r w:rsidR="00D1685C">
          <w:rPr>
            <w:webHidden/>
          </w:rPr>
          <w:t>134</w:t>
        </w:r>
        <w:r>
          <w:rPr>
            <w:webHidden/>
          </w:rPr>
          <w:fldChar w:fldCharType="end"/>
        </w:r>
      </w:hyperlink>
    </w:p>
    <w:p w14:paraId="51401C5C" w14:textId="65ABFB2A"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45" w:history="1">
        <w:r w:rsidRPr="00957327">
          <w:rPr>
            <w:rStyle w:val="Hyperlink"/>
          </w:rPr>
          <w:t>Table 80: Responses to Question 8 by jurisdiction</w:t>
        </w:r>
        <w:r>
          <w:rPr>
            <w:webHidden/>
          </w:rPr>
          <w:tab/>
        </w:r>
        <w:r>
          <w:rPr>
            <w:webHidden/>
          </w:rPr>
          <w:fldChar w:fldCharType="begin"/>
        </w:r>
        <w:r>
          <w:rPr>
            <w:webHidden/>
          </w:rPr>
          <w:instrText xml:space="preserve"> PAGEREF _Toc207348645 \h </w:instrText>
        </w:r>
        <w:r>
          <w:rPr>
            <w:webHidden/>
          </w:rPr>
        </w:r>
        <w:r>
          <w:rPr>
            <w:webHidden/>
          </w:rPr>
          <w:fldChar w:fldCharType="separate"/>
        </w:r>
        <w:r w:rsidR="00D1685C">
          <w:rPr>
            <w:webHidden/>
          </w:rPr>
          <w:t>135</w:t>
        </w:r>
        <w:r>
          <w:rPr>
            <w:webHidden/>
          </w:rPr>
          <w:fldChar w:fldCharType="end"/>
        </w:r>
      </w:hyperlink>
    </w:p>
    <w:p w14:paraId="238CD76E" w14:textId="7FAA14B6"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46" w:history="1">
        <w:r w:rsidRPr="00957327">
          <w:rPr>
            <w:rStyle w:val="Hyperlink"/>
          </w:rPr>
          <w:t>Table 81: Responses to Question 8 by remoteness</w:t>
        </w:r>
        <w:r>
          <w:rPr>
            <w:webHidden/>
          </w:rPr>
          <w:tab/>
        </w:r>
        <w:r>
          <w:rPr>
            <w:webHidden/>
          </w:rPr>
          <w:fldChar w:fldCharType="begin"/>
        </w:r>
        <w:r>
          <w:rPr>
            <w:webHidden/>
          </w:rPr>
          <w:instrText xml:space="preserve"> PAGEREF _Toc207348646 \h </w:instrText>
        </w:r>
        <w:r>
          <w:rPr>
            <w:webHidden/>
          </w:rPr>
        </w:r>
        <w:r>
          <w:rPr>
            <w:webHidden/>
          </w:rPr>
          <w:fldChar w:fldCharType="separate"/>
        </w:r>
        <w:r w:rsidR="00D1685C">
          <w:rPr>
            <w:webHidden/>
          </w:rPr>
          <w:t>135</w:t>
        </w:r>
        <w:r>
          <w:rPr>
            <w:webHidden/>
          </w:rPr>
          <w:fldChar w:fldCharType="end"/>
        </w:r>
      </w:hyperlink>
    </w:p>
    <w:p w14:paraId="6D3160EA" w14:textId="6041963F"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47" w:history="1">
        <w:r w:rsidRPr="00957327">
          <w:rPr>
            <w:rStyle w:val="Hyperlink"/>
          </w:rPr>
          <w:t>Table 82: Responses to Question 8 by prosthesis type</w:t>
        </w:r>
        <w:r>
          <w:rPr>
            <w:webHidden/>
          </w:rPr>
          <w:tab/>
        </w:r>
        <w:r>
          <w:rPr>
            <w:webHidden/>
          </w:rPr>
          <w:fldChar w:fldCharType="begin"/>
        </w:r>
        <w:r>
          <w:rPr>
            <w:webHidden/>
          </w:rPr>
          <w:instrText xml:space="preserve"> PAGEREF _Toc207348647 \h </w:instrText>
        </w:r>
        <w:r>
          <w:rPr>
            <w:webHidden/>
          </w:rPr>
        </w:r>
        <w:r>
          <w:rPr>
            <w:webHidden/>
          </w:rPr>
          <w:fldChar w:fldCharType="separate"/>
        </w:r>
        <w:r w:rsidR="00D1685C">
          <w:rPr>
            <w:webHidden/>
          </w:rPr>
          <w:t>135</w:t>
        </w:r>
        <w:r>
          <w:rPr>
            <w:webHidden/>
          </w:rPr>
          <w:fldChar w:fldCharType="end"/>
        </w:r>
      </w:hyperlink>
    </w:p>
    <w:p w14:paraId="1A5FD590" w14:textId="5CC28022"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48" w:history="1">
        <w:r w:rsidRPr="00957327">
          <w:rPr>
            <w:rStyle w:val="Hyperlink"/>
          </w:rPr>
          <w:t>Table 83: Responses to Question 9 by jurisdiction</w:t>
        </w:r>
        <w:r>
          <w:rPr>
            <w:webHidden/>
          </w:rPr>
          <w:tab/>
        </w:r>
        <w:r>
          <w:rPr>
            <w:webHidden/>
          </w:rPr>
          <w:fldChar w:fldCharType="begin"/>
        </w:r>
        <w:r>
          <w:rPr>
            <w:webHidden/>
          </w:rPr>
          <w:instrText xml:space="preserve"> PAGEREF _Toc207348648 \h </w:instrText>
        </w:r>
        <w:r>
          <w:rPr>
            <w:webHidden/>
          </w:rPr>
        </w:r>
        <w:r>
          <w:rPr>
            <w:webHidden/>
          </w:rPr>
          <w:fldChar w:fldCharType="separate"/>
        </w:r>
        <w:r w:rsidR="00D1685C">
          <w:rPr>
            <w:webHidden/>
          </w:rPr>
          <w:t>136</w:t>
        </w:r>
        <w:r>
          <w:rPr>
            <w:webHidden/>
          </w:rPr>
          <w:fldChar w:fldCharType="end"/>
        </w:r>
      </w:hyperlink>
    </w:p>
    <w:p w14:paraId="6990C628" w14:textId="5D7E665B"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49" w:history="1">
        <w:r w:rsidRPr="00957327">
          <w:rPr>
            <w:rStyle w:val="Hyperlink"/>
          </w:rPr>
          <w:t>Table 84: Responses to Question 9 by remoteness</w:t>
        </w:r>
        <w:r>
          <w:rPr>
            <w:webHidden/>
          </w:rPr>
          <w:tab/>
        </w:r>
        <w:r>
          <w:rPr>
            <w:webHidden/>
          </w:rPr>
          <w:fldChar w:fldCharType="begin"/>
        </w:r>
        <w:r>
          <w:rPr>
            <w:webHidden/>
          </w:rPr>
          <w:instrText xml:space="preserve"> PAGEREF _Toc207348649 \h </w:instrText>
        </w:r>
        <w:r>
          <w:rPr>
            <w:webHidden/>
          </w:rPr>
        </w:r>
        <w:r>
          <w:rPr>
            <w:webHidden/>
          </w:rPr>
          <w:fldChar w:fldCharType="separate"/>
        </w:r>
        <w:r w:rsidR="00D1685C">
          <w:rPr>
            <w:webHidden/>
          </w:rPr>
          <w:t>137</w:t>
        </w:r>
        <w:r>
          <w:rPr>
            <w:webHidden/>
          </w:rPr>
          <w:fldChar w:fldCharType="end"/>
        </w:r>
      </w:hyperlink>
    </w:p>
    <w:p w14:paraId="720EEC5B" w14:textId="757C2620"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50" w:history="1">
        <w:r w:rsidRPr="00957327">
          <w:rPr>
            <w:rStyle w:val="Hyperlink"/>
          </w:rPr>
          <w:t>Table 85: Responses to Question 9 by prosthesis type</w:t>
        </w:r>
        <w:r>
          <w:rPr>
            <w:webHidden/>
          </w:rPr>
          <w:tab/>
        </w:r>
        <w:r>
          <w:rPr>
            <w:webHidden/>
          </w:rPr>
          <w:fldChar w:fldCharType="begin"/>
        </w:r>
        <w:r>
          <w:rPr>
            <w:webHidden/>
          </w:rPr>
          <w:instrText xml:space="preserve"> PAGEREF _Toc207348650 \h </w:instrText>
        </w:r>
        <w:r>
          <w:rPr>
            <w:webHidden/>
          </w:rPr>
        </w:r>
        <w:r>
          <w:rPr>
            <w:webHidden/>
          </w:rPr>
          <w:fldChar w:fldCharType="separate"/>
        </w:r>
        <w:r w:rsidR="00D1685C">
          <w:rPr>
            <w:webHidden/>
          </w:rPr>
          <w:t>137</w:t>
        </w:r>
        <w:r>
          <w:rPr>
            <w:webHidden/>
          </w:rPr>
          <w:fldChar w:fldCharType="end"/>
        </w:r>
      </w:hyperlink>
    </w:p>
    <w:p w14:paraId="418E5A9E" w14:textId="2498B1D0"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51" w:history="1">
        <w:r w:rsidRPr="00957327">
          <w:rPr>
            <w:rStyle w:val="Hyperlink"/>
          </w:rPr>
          <w:t>Table 86: Responses to Question 10 by theme</w:t>
        </w:r>
        <w:r>
          <w:rPr>
            <w:webHidden/>
          </w:rPr>
          <w:tab/>
        </w:r>
        <w:r>
          <w:rPr>
            <w:webHidden/>
          </w:rPr>
          <w:fldChar w:fldCharType="begin"/>
        </w:r>
        <w:r>
          <w:rPr>
            <w:webHidden/>
          </w:rPr>
          <w:instrText xml:space="preserve"> PAGEREF _Toc207348651 \h </w:instrText>
        </w:r>
        <w:r>
          <w:rPr>
            <w:webHidden/>
          </w:rPr>
        </w:r>
        <w:r>
          <w:rPr>
            <w:webHidden/>
          </w:rPr>
          <w:fldChar w:fldCharType="separate"/>
        </w:r>
        <w:r w:rsidR="00D1685C">
          <w:rPr>
            <w:webHidden/>
          </w:rPr>
          <w:t>138</w:t>
        </w:r>
        <w:r>
          <w:rPr>
            <w:webHidden/>
          </w:rPr>
          <w:fldChar w:fldCharType="end"/>
        </w:r>
      </w:hyperlink>
    </w:p>
    <w:p w14:paraId="0D37271C" w14:textId="1BF81AE0"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52" w:history="1">
        <w:r w:rsidRPr="00957327">
          <w:rPr>
            <w:rStyle w:val="Hyperlink"/>
          </w:rPr>
          <w:t>Table 87: Responses to Question 11 by theme</w:t>
        </w:r>
        <w:r>
          <w:rPr>
            <w:webHidden/>
          </w:rPr>
          <w:tab/>
        </w:r>
        <w:r>
          <w:rPr>
            <w:webHidden/>
          </w:rPr>
          <w:fldChar w:fldCharType="begin"/>
        </w:r>
        <w:r>
          <w:rPr>
            <w:webHidden/>
          </w:rPr>
          <w:instrText xml:space="preserve"> PAGEREF _Toc207348652 \h </w:instrText>
        </w:r>
        <w:r>
          <w:rPr>
            <w:webHidden/>
          </w:rPr>
        </w:r>
        <w:r>
          <w:rPr>
            <w:webHidden/>
          </w:rPr>
          <w:fldChar w:fldCharType="separate"/>
        </w:r>
        <w:r w:rsidR="00D1685C">
          <w:rPr>
            <w:webHidden/>
          </w:rPr>
          <w:t>138</w:t>
        </w:r>
        <w:r>
          <w:rPr>
            <w:webHidden/>
          </w:rPr>
          <w:fldChar w:fldCharType="end"/>
        </w:r>
      </w:hyperlink>
    </w:p>
    <w:p w14:paraId="17E40A22" w14:textId="5954BBEC"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53" w:history="1">
        <w:r w:rsidRPr="00957327">
          <w:rPr>
            <w:rStyle w:val="Hyperlink"/>
          </w:rPr>
          <w:t>Table 88: Response to question 1</w:t>
        </w:r>
        <w:r>
          <w:rPr>
            <w:webHidden/>
          </w:rPr>
          <w:tab/>
        </w:r>
        <w:r>
          <w:rPr>
            <w:webHidden/>
          </w:rPr>
          <w:fldChar w:fldCharType="begin"/>
        </w:r>
        <w:r>
          <w:rPr>
            <w:webHidden/>
          </w:rPr>
          <w:instrText xml:space="preserve"> PAGEREF _Toc207348653 \h </w:instrText>
        </w:r>
        <w:r>
          <w:rPr>
            <w:webHidden/>
          </w:rPr>
        </w:r>
        <w:r>
          <w:rPr>
            <w:webHidden/>
          </w:rPr>
          <w:fldChar w:fldCharType="separate"/>
        </w:r>
        <w:r w:rsidR="00D1685C">
          <w:rPr>
            <w:webHidden/>
          </w:rPr>
          <w:t>139</w:t>
        </w:r>
        <w:r>
          <w:rPr>
            <w:webHidden/>
          </w:rPr>
          <w:fldChar w:fldCharType="end"/>
        </w:r>
      </w:hyperlink>
    </w:p>
    <w:p w14:paraId="22656D3B" w14:textId="0C8682B0"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54" w:history="1">
        <w:r w:rsidRPr="00957327">
          <w:rPr>
            <w:rStyle w:val="Hyperlink"/>
          </w:rPr>
          <w:t>Table 89: Response to question 2</w:t>
        </w:r>
        <w:r>
          <w:rPr>
            <w:webHidden/>
          </w:rPr>
          <w:tab/>
        </w:r>
        <w:r>
          <w:rPr>
            <w:webHidden/>
          </w:rPr>
          <w:fldChar w:fldCharType="begin"/>
        </w:r>
        <w:r>
          <w:rPr>
            <w:webHidden/>
          </w:rPr>
          <w:instrText xml:space="preserve"> PAGEREF _Toc207348654 \h </w:instrText>
        </w:r>
        <w:r>
          <w:rPr>
            <w:webHidden/>
          </w:rPr>
        </w:r>
        <w:r>
          <w:rPr>
            <w:webHidden/>
          </w:rPr>
          <w:fldChar w:fldCharType="separate"/>
        </w:r>
        <w:r w:rsidR="00D1685C">
          <w:rPr>
            <w:webHidden/>
          </w:rPr>
          <w:t>139</w:t>
        </w:r>
        <w:r>
          <w:rPr>
            <w:webHidden/>
          </w:rPr>
          <w:fldChar w:fldCharType="end"/>
        </w:r>
      </w:hyperlink>
    </w:p>
    <w:p w14:paraId="281C30B9" w14:textId="29BC5A02"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55" w:history="1">
        <w:r w:rsidRPr="00957327">
          <w:rPr>
            <w:rStyle w:val="Hyperlink"/>
          </w:rPr>
          <w:t>Table 90: Response to question 3</w:t>
        </w:r>
        <w:r>
          <w:rPr>
            <w:webHidden/>
          </w:rPr>
          <w:tab/>
        </w:r>
        <w:r>
          <w:rPr>
            <w:webHidden/>
          </w:rPr>
          <w:fldChar w:fldCharType="begin"/>
        </w:r>
        <w:r>
          <w:rPr>
            <w:webHidden/>
          </w:rPr>
          <w:instrText xml:space="preserve"> PAGEREF _Toc207348655 \h </w:instrText>
        </w:r>
        <w:r>
          <w:rPr>
            <w:webHidden/>
          </w:rPr>
        </w:r>
        <w:r>
          <w:rPr>
            <w:webHidden/>
          </w:rPr>
          <w:fldChar w:fldCharType="separate"/>
        </w:r>
        <w:r w:rsidR="00D1685C">
          <w:rPr>
            <w:webHidden/>
          </w:rPr>
          <w:t>140</w:t>
        </w:r>
        <w:r>
          <w:rPr>
            <w:webHidden/>
          </w:rPr>
          <w:fldChar w:fldCharType="end"/>
        </w:r>
      </w:hyperlink>
    </w:p>
    <w:p w14:paraId="5C85FD33" w14:textId="2401B3DF"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56" w:history="1">
        <w:r w:rsidRPr="00957327">
          <w:rPr>
            <w:rStyle w:val="Hyperlink"/>
          </w:rPr>
          <w:t>Table 91: Response to question 4 by jurisdiction</w:t>
        </w:r>
        <w:r>
          <w:rPr>
            <w:webHidden/>
          </w:rPr>
          <w:tab/>
        </w:r>
        <w:r>
          <w:rPr>
            <w:webHidden/>
          </w:rPr>
          <w:fldChar w:fldCharType="begin"/>
        </w:r>
        <w:r>
          <w:rPr>
            <w:webHidden/>
          </w:rPr>
          <w:instrText xml:space="preserve"> PAGEREF _Toc207348656 \h </w:instrText>
        </w:r>
        <w:r>
          <w:rPr>
            <w:webHidden/>
          </w:rPr>
        </w:r>
        <w:r>
          <w:rPr>
            <w:webHidden/>
          </w:rPr>
          <w:fldChar w:fldCharType="separate"/>
        </w:r>
        <w:r w:rsidR="00D1685C">
          <w:rPr>
            <w:webHidden/>
          </w:rPr>
          <w:t>141</w:t>
        </w:r>
        <w:r>
          <w:rPr>
            <w:webHidden/>
          </w:rPr>
          <w:fldChar w:fldCharType="end"/>
        </w:r>
      </w:hyperlink>
    </w:p>
    <w:p w14:paraId="1B4F7F1F" w14:textId="2ECD133F"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57" w:history="1">
        <w:r w:rsidRPr="00957327">
          <w:rPr>
            <w:rStyle w:val="Hyperlink"/>
          </w:rPr>
          <w:t>Table 92: Response to question 4 by remoteness</w:t>
        </w:r>
        <w:r>
          <w:rPr>
            <w:webHidden/>
          </w:rPr>
          <w:tab/>
        </w:r>
        <w:r>
          <w:rPr>
            <w:webHidden/>
          </w:rPr>
          <w:fldChar w:fldCharType="begin"/>
        </w:r>
        <w:r>
          <w:rPr>
            <w:webHidden/>
          </w:rPr>
          <w:instrText xml:space="preserve"> PAGEREF _Toc207348657 \h </w:instrText>
        </w:r>
        <w:r>
          <w:rPr>
            <w:webHidden/>
          </w:rPr>
        </w:r>
        <w:r>
          <w:rPr>
            <w:webHidden/>
          </w:rPr>
          <w:fldChar w:fldCharType="separate"/>
        </w:r>
        <w:r w:rsidR="00D1685C">
          <w:rPr>
            <w:webHidden/>
          </w:rPr>
          <w:t>141</w:t>
        </w:r>
        <w:r>
          <w:rPr>
            <w:webHidden/>
          </w:rPr>
          <w:fldChar w:fldCharType="end"/>
        </w:r>
      </w:hyperlink>
    </w:p>
    <w:p w14:paraId="53CC89D3" w14:textId="7AC3B9A6"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58" w:history="1">
        <w:r w:rsidRPr="00957327">
          <w:rPr>
            <w:rStyle w:val="Hyperlink"/>
          </w:rPr>
          <w:t>Table 93: Response to question 4 by area of practice</w:t>
        </w:r>
        <w:r>
          <w:rPr>
            <w:webHidden/>
          </w:rPr>
          <w:tab/>
        </w:r>
        <w:r>
          <w:rPr>
            <w:webHidden/>
          </w:rPr>
          <w:fldChar w:fldCharType="begin"/>
        </w:r>
        <w:r>
          <w:rPr>
            <w:webHidden/>
          </w:rPr>
          <w:instrText xml:space="preserve"> PAGEREF _Toc207348658 \h </w:instrText>
        </w:r>
        <w:r>
          <w:rPr>
            <w:webHidden/>
          </w:rPr>
        </w:r>
        <w:r>
          <w:rPr>
            <w:webHidden/>
          </w:rPr>
          <w:fldChar w:fldCharType="separate"/>
        </w:r>
        <w:r w:rsidR="00D1685C">
          <w:rPr>
            <w:webHidden/>
          </w:rPr>
          <w:t>142</w:t>
        </w:r>
        <w:r>
          <w:rPr>
            <w:webHidden/>
          </w:rPr>
          <w:fldChar w:fldCharType="end"/>
        </w:r>
      </w:hyperlink>
    </w:p>
    <w:p w14:paraId="68D03B04" w14:textId="083F37B5"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59" w:history="1">
        <w:r w:rsidRPr="00957327">
          <w:rPr>
            <w:rStyle w:val="Hyperlink"/>
          </w:rPr>
          <w:t>Table 94: Response to question 5 by jurisdiction</w:t>
        </w:r>
        <w:r>
          <w:rPr>
            <w:webHidden/>
          </w:rPr>
          <w:tab/>
        </w:r>
        <w:r>
          <w:rPr>
            <w:webHidden/>
          </w:rPr>
          <w:fldChar w:fldCharType="begin"/>
        </w:r>
        <w:r>
          <w:rPr>
            <w:webHidden/>
          </w:rPr>
          <w:instrText xml:space="preserve"> PAGEREF _Toc207348659 \h </w:instrText>
        </w:r>
        <w:r>
          <w:rPr>
            <w:webHidden/>
          </w:rPr>
        </w:r>
        <w:r>
          <w:rPr>
            <w:webHidden/>
          </w:rPr>
          <w:fldChar w:fldCharType="separate"/>
        </w:r>
        <w:r w:rsidR="00D1685C">
          <w:rPr>
            <w:webHidden/>
          </w:rPr>
          <w:t>143</w:t>
        </w:r>
        <w:r>
          <w:rPr>
            <w:webHidden/>
          </w:rPr>
          <w:fldChar w:fldCharType="end"/>
        </w:r>
      </w:hyperlink>
    </w:p>
    <w:p w14:paraId="177500B7" w14:textId="3A0D23B1"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60" w:history="1">
        <w:r w:rsidRPr="00957327">
          <w:rPr>
            <w:rStyle w:val="Hyperlink"/>
          </w:rPr>
          <w:t>Table 95: Response to question 5 by remoteness</w:t>
        </w:r>
        <w:r>
          <w:rPr>
            <w:webHidden/>
          </w:rPr>
          <w:tab/>
        </w:r>
        <w:r>
          <w:rPr>
            <w:webHidden/>
          </w:rPr>
          <w:fldChar w:fldCharType="begin"/>
        </w:r>
        <w:r>
          <w:rPr>
            <w:webHidden/>
          </w:rPr>
          <w:instrText xml:space="preserve"> PAGEREF _Toc207348660 \h </w:instrText>
        </w:r>
        <w:r>
          <w:rPr>
            <w:webHidden/>
          </w:rPr>
        </w:r>
        <w:r>
          <w:rPr>
            <w:webHidden/>
          </w:rPr>
          <w:fldChar w:fldCharType="separate"/>
        </w:r>
        <w:r w:rsidR="00D1685C">
          <w:rPr>
            <w:webHidden/>
          </w:rPr>
          <w:t>143</w:t>
        </w:r>
        <w:r>
          <w:rPr>
            <w:webHidden/>
          </w:rPr>
          <w:fldChar w:fldCharType="end"/>
        </w:r>
      </w:hyperlink>
    </w:p>
    <w:p w14:paraId="7EA93468" w14:textId="0753459D"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61" w:history="1">
        <w:r w:rsidRPr="00957327">
          <w:rPr>
            <w:rStyle w:val="Hyperlink"/>
          </w:rPr>
          <w:t>Table 96: Response to question 5 by area of practice</w:t>
        </w:r>
        <w:r>
          <w:rPr>
            <w:webHidden/>
          </w:rPr>
          <w:tab/>
        </w:r>
        <w:r>
          <w:rPr>
            <w:webHidden/>
          </w:rPr>
          <w:fldChar w:fldCharType="begin"/>
        </w:r>
        <w:r>
          <w:rPr>
            <w:webHidden/>
          </w:rPr>
          <w:instrText xml:space="preserve"> PAGEREF _Toc207348661 \h </w:instrText>
        </w:r>
        <w:r>
          <w:rPr>
            <w:webHidden/>
          </w:rPr>
        </w:r>
        <w:r>
          <w:rPr>
            <w:webHidden/>
          </w:rPr>
          <w:fldChar w:fldCharType="separate"/>
        </w:r>
        <w:r w:rsidR="00D1685C">
          <w:rPr>
            <w:webHidden/>
          </w:rPr>
          <w:t>144</w:t>
        </w:r>
        <w:r>
          <w:rPr>
            <w:webHidden/>
          </w:rPr>
          <w:fldChar w:fldCharType="end"/>
        </w:r>
      </w:hyperlink>
    </w:p>
    <w:p w14:paraId="3C4C885F" w14:textId="145D7CE7"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62" w:history="1">
        <w:r w:rsidRPr="00957327">
          <w:rPr>
            <w:rStyle w:val="Hyperlink"/>
          </w:rPr>
          <w:t>Table 97: Response to question 7 by jurisdiction</w:t>
        </w:r>
        <w:r>
          <w:rPr>
            <w:webHidden/>
          </w:rPr>
          <w:tab/>
        </w:r>
        <w:r>
          <w:rPr>
            <w:webHidden/>
          </w:rPr>
          <w:fldChar w:fldCharType="begin"/>
        </w:r>
        <w:r>
          <w:rPr>
            <w:webHidden/>
          </w:rPr>
          <w:instrText xml:space="preserve"> PAGEREF _Toc207348662 \h </w:instrText>
        </w:r>
        <w:r>
          <w:rPr>
            <w:webHidden/>
          </w:rPr>
        </w:r>
        <w:r>
          <w:rPr>
            <w:webHidden/>
          </w:rPr>
          <w:fldChar w:fldCharType="separate"/>
        </w:r>
        <w:r w:rsidR="00D1685C">
          <w:rPr>
            <w:webHidden/>
          </w:rPr>
          <w:t>145</w:t>
        </w:r>
        <w:r>
          <w:rPr>
            <w:webHidden/>
          </w:rPr>
          <w:fldChar w:fldCharType="end"/>
        </w:r>
      </w:hyperlink>
    </w:p>
    <w:p w14:paraId="5F187176" w14:textId="107B0875"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63" w:history="1">
        <w:r w:rsidRPr="00957327">
          <w:rPr>
            <w:rStyle w:val="Hyperlink"/>
          </w:rPr>
          <w:t>Table 98: Response to question 7 by remoteness</w:t>
        </w:r>
        <w:r>
          <w:rPr>
            <w:webHidden/>
          </w:rPr>
          <w:tab/>
        </w:r>
        <w:r>
          <w:rPr>
            <w:webHidden/>
          </w:rPr>
          <w:fldChar w:fldCharType="begin"/>
        </w:r>
        <w:r>
          <w:rPr>
            <w:webHidden/>
          </w:rPr>
          <w:instrText xml:space="preserve"> PAGEREF _Toc207348663 \h </w:instrText>
        </w:r>
        <w:r>
          <w:rPr>
            <w:webHidden/>
          </w:rPr>
        </w:r>
        <w:r>
          <w:rPr>
            <w:webHidden/>
          </w:rPr>
          <w:fldChar w:fldCharType="separate"/>
        </w:r>
        <w:r w:rsidR="00D1685C">
          <w:rPr>
            <w:webHidden/>
          </w:rPr>
          <w:t>145</w:t>
        </w:r>
        <w:r>
          <w:rPr>
            <w:webHidden/>
          </w:rPr>
          <w:fldChar w:fldCharType="end"/>
        </w:r>
      </w:hyperlink>
    </w:p>
    <w:p w14:paraId="47C5AA9C" w14:textId="0183CD2F"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64" w:history="1">
        <w:r w:rsidRPr="00957327">
          <w:rPr>
            <w:rStyle w:val="Hyperlink"/>
          </w:rPr>
          <w:t>Table 99: Response to question 7 by area of practice</w:t>
        </w:r>
        <w:r>
          <w:rPr>
            <w:webHidden/>
          </w:rPr>
          <w:tab/>
        </w:r>
        <w:r>
          <w:rPr>
            <w:webHidden/>
          </w:rPr>
          <w:fldChar w:fldCharType="begin"/>
        </w:r>
        <w:r>
          <w:rPr>
            <w:webHidden/>
          </w:rPr>
          <w:instrText xml:space="preserve"> PAGEREF _Toc207348664 \h </w:instrText>
        </w:r>
        <w:r>
          <w:rPr>
            <w:webHidden/>
          </w:rPr>
        </w:r>
        <w:r>
          <w:rPr>
            <w:webHidden/>
          </w:rPr>
          <w:fldChar w:fldCharType="separate"/>
        </w:r>
        <w:r w:rsidR="00D1685C">
          <w:rPr>
            <w:webHidden/>
          </w:rPr>
          <w:t>146</w:t>
        </w:r>
        <w:r>
          <w:rPr>
            <w:webHidden/>
          </w:rPr>
          <w:fldChar w:fldCharType="end"/>
        </w:r>
      </w:hyperlink>
    </w:p>
    <w:p w14:paraId="052F0E59" w14:textId="43FC4C0E"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65" w:history="1">
        <w:r w:rsidRPr="00957327">
          <w:rPr>
            <w:rStyle w:val="Hyperlink"/>
          </w:rPr>
          <w:t>Table 100: Response to question 8 by jurisdiction</w:t>
        </w:r>
        <w:r>
          <w:rPr>
            <w:webHidden/>
          </w:rPr>
          <w:tab/>
        </w:r>
        <w:r>
          <w:rPr>
            <w:webHidden/>
          </w:rPr>
          <w:fldChar w:fldCharType="begin"/>
        </w:r>
        <w:r>
          <w:rPr>
            <w:webHidden/>
          </w:rPr>
          <w:instrText xml:space="preserve"> PAGEREF _Toc207348665 \h </w:instrText>
        </w:r>
        <w:r>
          <w:rPr>
            <w:webHidden/>
          </w:rPr>
        </w:r>
        <w:r>
          <w:rPr>
            <w:webHidden/>
          </w:rPr>
          <w:fldChar w:fldCharType="separate"/>
        </w:r>
        <w:r w:rsidR="00D1685C">
          <w:rPr>
            <w:webHidden/>
          </w:rPr>
          <w:t>147</w:t>
        </w:r>
        <w:r>
          <w:rPr>
            <w:webHidden/>
          </w:rPr>
          <w:fldChar w:fldCharType="end"/>
        </w:r>
      </w:hyperlink>
    </w:p>
    <w:p w14:paraId="7946207B" w14:textId="1ACBD934"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66" w:history="1">
        <w:r w:rsidRPr="00957327">
          <w:rPr>
            <w:rStyle w:val="Hyperlink"/>
          </w:rPr>
          <w:t>Table 101: Response to question 8 by remoteness</w:t>
        </w:r>
        <w:r>
          <w:rPr>
            <w:webHidden/>
          </w:rPr>
          <w:tab/>
        </w:r>
        <w:r>
          <w:rPr>
            <w:webHidden/>
          </w:rPr>
          <w:fldChar w:fldCharType="begin"/>
        </w:r>
        <w:r>
          <w:rPr>
            <w:webHidden/>
          </w:rPr>
          <w:instrText xml:space="preserve"> PAGEREF _Toc207348666 \h </w:instrText>
        </w:r>
        <w:r>
          <w:rPr>
            <w:webHidden/>
          </w:rPr>
        </w:r>
        <w:r>
          <w:rPr>
            <w:webHidden/>
          </w:rPr>
          <w:fldChar w:fldCharType="separate"/>
        </w:r>
        <w:r w:rsidR="00D1685C">
          <w:rPr>
            <w:webHidden/>
          </w:rPr>
          <w:t>147</w:t>
        </w:r>
        <w:r>
          <w:rPr>
            <w:webHidden/>
          </w:rPr>
          <w:fldChar w:fldCharType="end"/>
        </w:r>
      </w:hyperlink>
    </w:p>
    <w:p w14:paraId="1258F8B6" w14:textId="1C160EF2"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67" w:history="1">
        <w:r w:rsidRPr="00957327">
          <w:rPr>
            <w:rStyle w:val="Hyperlink"/>
          </w:rPr>
          <w:t>Table 102: Response to question 8 by area of practice</w:t>
        </w:r>
        <w:r>
          <w:rPr>
            <w:webHidden/>
          </w:rPr>
          <w:tab/>
        </w:r>
        <w:r>
          <w:rPr>
            <w:webHidden/>
          </w:rPr>
          <w:fldChar w:fldCharType="begin"/>
        </w:r>
        <w:r>
          <w:rPr>
            <w:webHidden/>
          </w:rPr>
          <w:instrText xml:space="preserve"> PAGEREF _Toc207348667 \h </w:instrText>
        </w:r>
        <w:r>
          <w:rPr>
            <w:webHidden/>
          </w:rPr>
        </w:r>
        <w:r>
          <w:rPr>
            <w:webHidden/>
          </w:rPr>
          <w:fldChar w:fldCharType="separate"/>
        </w:r>
        <w:r w:rsidR="00D1685C">
          <w:rPr>
            <w:webHidden/>
          </w:rPr>
          <w:t>148</w:t>
        </w:r>
        <w:r>
          <w:rPr>
            <w:webHidden/>
          </w:rPr>
          <w:fldChar w:fldCharType="end"/>
        </w:r>
      </w:hyperlink>
    </w:p>
    <w:p w14:paraId="7A4A127D" w14:textId="7845F88F"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68" w:history="1">
        <w:r w:rsidRPr="00957327">
          <w:rPr>
            <w:rStyle w:val="Hyperlink"/>
          </w:rPr>
          <w:t>Table 103: Response to question 9 by theme</w:t>
        </w:r>
        <w:r>
          <w:rPr>
            <w:webHidden/>
          </w:rPr>
          <w:tab/>
        </w:r>
        <w:r>
          <w:rPr>
            <w:webHidden/>
          </w:rPr>
          <w:fldChar w:fldCharType="begin"/>
        </w:r>
        <w:r>
          <w:rPr>
            <w:webHidden/>
          </w:rPr>
          <w:instrText xml:space="preserve"> PAGEREF _Toc207348668 \h </w:instrText>
        </w:r>
        <w:r>
          <w:rPr>
            <w:webHidden/>
          </w:rPr>
        </w:r>
        <w:r>
          <w:rPr>
            <w:webHidden/>
          </w:rPr>
          <w:fldChar w:fldCharType="separate"/>
        </w:r>
        <w:r w:rsidR="00D1685C">
          <w:rPr>
            <w:webHidden/>
          </w:rPr>
          <w:t>149</w:t>
        </w:r>
        <w:r>
          <w:rPr>
            <w:webHidden/>
          </w:rPr>
          <w:fldChar w:fldCharType="end"/>
        </w:r>
      </w:hyperlink>
    </w:p>
    <w:p w14:paraId="06B44458" w14:textId="1054AF8B"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69" w:history="1">
        <w:r w:rsidRPr="00957327">
          <w:rPr>
            <w:rStyle w:val="Hyperlink"/>
          </w:rPr>
          <w:t>Table 104: Response to question 10 by theme</w:t>
        </w:r>
        <w:r>
          <w:rPr>
            <w:webHidden/>
          </w:rPr>
          <w:tab/>
        </w:r>
        <w:r>
          <w:rPr>
            <w:webHidden/>
          </w:rPr>
          <w:fldChar w:fldCharType="begin"/>
        </w:r>
        <w:r>
          <w:rPr>
            <w:webHidden/>
          </w:rPr>
          <w:instrText xml:space="preserve"> PAGEREF _Toc207348669 \h </w:instrText>
        </w:r>
        <w:r>
          <w:rPr>
            <w:webHidden/>
          </w:rPr>
        </w:r>
        <w:r>
          <w:rPr>
            <w:webHidden/>
          </w:rPr>
          <w:fldChar w:fldCharType="separate"/>
        </w:r>
        <w:r w:rsidR="00D1685C">
          <w:rPr>
            <w:webHidden/>
          </w:rPr>
          <w:t>149</w:t>
        </w:r>
        <w:r>
          <w:rPr>
            <w:webHidden/>
          </w:rPr>
          <w:fldChar w:fldCharType="end"/>
        </w:r>
      </w:hyperlink>
    </w:p>
    <w:p w14:paraId="4CAE8C0E" w14:textId="7DC96FCE"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70" w:history="1">
        <w:r w:rsidRPr="00957327">
          <w:rPr>
            <w:rStyle w:val="Hyperlink"/>
          </w:rPr>
          <w:t>Table 105: Literature scan search protocol</w:t>
        </w:r>
        <w:r>
          <w:rPr>
            <w:webHidden/>
          </w:rPr>
          <w:tab/>
        </w:r>
        <w:r>
          <w:rPr>
            <w:webHidden/>
          </w:rPr>
          <w:fldChar w:fldCharType="begin"/>
        </w:r>
        <w:r>
          <w:rPr>
            <w:webHidden/>
          </w:rPr>
          <w:instrText xml:space="preserve"> PAGEREF _Toc207348670 \h </w:instrText>
        </w:r>
        <w:r>
          <w:rPr>
            <w:webHidden/>
          </w:rPr>
        </w:r>
        <w:r>
          <w:rPr>
            <w:webHidden/>
          </w:rPr>
          <w:fldChar w:fldCharType="separate"/>
        </w:r>
        <w:r w:rsidR="00D1685C">
          <w:rPr>
            <w:webHidden/>
          </w:rPr>
          <w:t>150</w:t>
        </w:r>
        <w:r>
          <w:rPr>
            <w:webHidden/>
          </w:rPr>
          <w:fldChar w:fldCharType="end"/>
        </w:r>
      </w:hyperlink>
    </w:p>
    <w:p w14:paraId="5F3FD5BE" w14:textId="0F47A86D"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71" w:history="1">
        <w:r w:rsidRPr="00957327">
          <w:rPr>
            <w:rStyle w:val="Hyperlink"/>
          </w:rPr>
          <w:t>Table 106: Literature scan search concepts and terms</w:t>
        </w:r>
        <w:r>
          <w:rPr>
            <w:webHidden/>
          </w:rPr>
          <w:tab/>
        </w:r>
        <w:r>
          <w:rPr>
            <w:webHidden/>
          </w:rPr>
          <w:fldChar w:fldCharType="begin"/>
        </w:r>
        <w:r>
          <w:rPr>
            <w:webHidden/>
          </w:rPr>
          <w:instrText xml:space="preserve"> PAGEREF _Toc207348671 \h </w:instrText>
        </w:r>
        <w:r>
          <w:rPr>
            <w:webHidden/>
          </w:rPr>
        </w:r>
        <w:r>
          <w:rPr>
            <w:webHidden/>
          </w:rPr>
          <w:fldChar w:fldCharType="separate"/>
        </w:r>
        <w:r w:rsidR="00D1685C">
          <w:rPr>
            <w:webHidden/>
          </w:rPr>
          <w:t>150</w:t>
        </w:r>
        <w:r>
          <w:rPr>
            <w:webHidden/>
          </w:rPr>
          <w:fldChar w:fldCharType="end"/>
        </w:r>
      </w:hyperlink>
    </w:p>
    <w:p w14:paraId="2EF7C001" w14:textId="26418700"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72" w:history="1">
        <w:r w:rsidRPr="00957327">
          <w:rPr>
            <w:rStyle w:val="Hyperlink"/>
          </w:rPr>
          <w:t>Table 107: List of documents reviewed</w:t>
        </w:r>
        <w:r>
          <w:rPr>
            <w:webHidden/>
          </w:rPr>
          <w:tab/>
        </w:r>
        <w:r>
          <w:rPr>
            <w:webHidden/>
          </w:rPr>
          <w:fldChar w:fldCharType="begin"/>
        </w:r>
        <w:r>
          <w:rPr>
            <w:webHidden/>
          </w:rPr>
          <w:instrText xml:space="preserve"> PAGEREF _Toc207348672 \h </w:instrText>
        </w:r>
        <w:r>
          <w:rPr>
            <w:webHidden/>
          </w:rPr>
        </w:r>
        <w:r>
          <w:rPr>
            <w:webHidden/>
          </w:rPr>
          <w:fldChar w:fldCharType="separate"/>
        </w:r>
        <w:r w:rsidR="00D1685C">
          <w:rPr>
            <w:webHidden/>
          </w:rPr>
          <w:t>151</w:t>
        </w:r>
        <w:r>
          <w:rPr>
            <w:webHidden/>
          </w:rPr>
          <w:fldChar w:fldCharType="end"/>
        </w:r>
      </w:hyperlink>
    </w:p>
    <w:p w14:paraId="718DA201" w14:textId="2655C683"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73" w:history="1">
        <w:r w:rsidRPr="00957327">
          <w:rPr>
            <w:rStyle w:val="Hyperlink"/>
          </w:rPr>
          <w:t>Table 108: DVA facial prostheses details</w:t>
        </w:r>
        <w:r>
          <w:rPr>
            <w:webHidden/>
          </w:rPr>
          <w:tab/>
        </w:r>
        <w:r>
          <w:rPr>
            <w:webHidden/>
          </w:rPr>
          <w:fldChar w:fldCharType="begin"/>
        </w:r>
        <w:r>
          <w:rPr>
            <w:webHidden/>
          </w:rPr>
          <w:instrText xml:space="preserve"> PAGEREF _Toc207348673 \h </w:instrText>
        </w:r>
        <w:r>
          <w:rPr>
            <w:webHidden/>
          </w:rPr>
        </w:r>
        <w:r>
          <w:rPr>
            <w:webHidden/>
          </w:rPr>
          <w:fldChar w:fldCharType="separate"/>
        </w:r>
        <w:r w:rsidR="00D1685C">
          <w:rPr>
            <w:webHidden/>
          </w:rPr>
          <w:t>152</w:t>
        </w:r>
        <w:r>
          <w:rPr>
            <w:webHidden/>
          </w:rPr>
          <w:fldChar w:fldCharType="end"/>
        </w:r>
      </w:hyperlink>
    </w:p>
    <w:p w14:paraId="618CF0AE" w14:textId="62675F1D"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74" w:history="1">
        <w:r w:rsidRPr="00957327">
          <w:rPr>
            <w:rStyle w:val="Hyperlink"/>
          </w:rPr>
          <w:t>Table 109: Canberra Health Service prosthetic eye scheme details</w:t>
        </w:r>
        <w:r>
          <w:rPr>
            <w:webHidden/>
          </w:rPr>
          <w:tab/>
        </w:r>
        <w:r>
          <w:rPr>
            <w:webHidden/>
          </w:rPr>
          <w:fldChar w:fldCharType="begin"/>
        </w:r>
        <w:r>
          <w:rPr>
            <w:webHidden/>
          </w:rPr>
          <w:instrText xml:space="preserve"> PAGEREF _Toc207348674 \h </w:instrText>
        </w:r>
        <w:r>
          <w:rPr>
            <w:webHidden/>
          </w:rPr>
        </w:r>
        <w:r>
          <w:rPr>
            <w:webHidden/>
          </w:rPr>
          <w:fldChar w:fldCharType="separate"/>
        </w:r>
        <w:r w:rsidR="00D1685C">
          <w:rPr>
            <w:webHidden/>
          </w:rPr>
          <w:t>153</w:t>
        </w:r>
        <w:r>
          <w:rPr>
            <w:webHidden/>
          </w:rPr>
          <w:fldChar w:fldCharType="end"/>
        </w:r>
      </w:hyperlink>
    </w:p>
    <w:p w14:paraId="76FA27D6" w14:textId="61DBD11C"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75" w:history="1">
        <w:r w:rsidRPr="00957327">
          <w:rPr>
            <w:rStyle w:val="Hyperlink"/>
          </w:rPr>
          <w:t>Table 110: Queensland Health facial prosthesis service</w:t>
        </w:r>
        <w:r>
          <w:rPr>
            <w:webHidden/>
          </w:rPr>
          <w:tab/>
        </w:r>
        <w:r>
          <w:rPr>
            <w:webHidden/>
          </w:rPr>
          <w:fldChar w:fldCharType="begin"/>
        </w:r>
        <w:r>
          <w:rPr>
            <w:webHidden/>
          </w:rPr>
          <w:instrText xml:space="preserve"> PAGEREF _Toc207348675 \h </w:instrText>
        </w:r>
        <w:r>
          <w:rPr>
            <w:webHidden/>
          </w:rPr>
        </w:r>
        <w:r>
          <w:rPr>
            <w:webHidden/>
          </w:rPr>
          <w:fldChar w:fldCharType="separate"/>
        </w:r>
        <w:r w:rsidR="00D1685C">
          <w:rPr>
            <w:webHidden/>
          </w:rPr>
          <w:t>154</w:t>
        </w:r>
        <w:r>
          <w:rPr>
            <w:webHidden/>
          </w:rPr>
          <w:fldChar w:fldCharType="end"/>
        </w:r>
      </w:hyperlink>
    </w:p>
    <w:p w14:paraId="75D73AC5" w14:textId="236E9EE9"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76" w:history="1">
        <w:r w:rsidRPr="00957327">
          <w:rPr>
            <w:rStyle w:val="Hyperlink"/>
          </w:rPr>
          <w:t>Table 111: Facial prosthesis service in Victoria</w:t>
        </w:r>
        <w:r>
          <w:rPr>
            <w:webHidden/>
          </w:rPr>
          <w:tab/>
        </w:r>
        <w:r>
          <w:rPr>
            <w:webHidden/>
          </w:rPr>
          <w:fldChar w:fldCharType="begin"/>
        </w:r>
        <w:r>
          <w:rPr>
            <w:webHidden/>
          </w:rPr>
          <w:instrText xml:space="preserve"> PAGEREF _Toc207348676 \h </w:instrText>
        </w:r>
        <w:r>
          <w:rPr>
            <w:webHidden/>
          </w:rPr>
        </w:r>
        <w:r>
          <w:rPr>
            <w:webHidden/>
          </w:rPr>
          <w:fldChar w:fldCharType="separate"/>
        </w:r>
        <w:r w:rsidR="00D1685C">
          <w:rPr>
            <w:webHidden/>
          </w:rPr>
          <w:t>154</w:t>
        </w:r>
        <w:r>
          <w:rPr>
            <w:webHidden/>
          </w:rPr>
          <w:fldChar w:fldCharType="end"/>
        </w:r>
      </w:hyperlink>
    </w:p>
    <w:p w14:paraId="5CF6857C" w14:textId="01EDE70C"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77" w:history="1">
        <w:r w:rsidRPr="00957327">
          <w:rPr>
            <w:rStyle w:val="Hyperlink"/>
          </w:rPr>
          <w:t>Table 112: WA facial prosthesis service</w:t>
        </w:r>
        <w:r>
          <w:rPr>
            <w:webHidden/>
          </w:rPr>
          <w:tab/>
        </w:r>
        <w:r>
          <w:rPr>
            <w:webHidden/>
          </w:rPr>
          <w:fldChar w:fldCharType="begin"/>
        </w:r>
        <w:r>
          <w:rPr>
            <w:webHidden/>
          </w:rPr>
          <w:instrText xml:space="preserve"> PAGEREF _Toc207348677 \h </w:instrText>
        </w:r>
        <w:r>
          <w:rPr>
            <w:webHidden/>
          </w:rPr>
        </w:r>
        <w:r>
          <w:rPr>
            <w:webHidden/>
          </w:rPr>
          <w:fldChar w:fldCharType="separate"/>
        </w:r>
        <w:r w:rsidR="00D1685C">
          <w:rPr>
            <w:webHidden/>
          </w:rPr>
          <w:t>155</w:t>
        </w:r>
        <w:r>
          <w:rPr>
            <w:webHidden/>
          </w:rPr>
          <w:fldChar w:fldCharType="end"/>
        </w:r>
      </w:hyperlink>
    </w:p>
    <w:p w14:paraId="786BD1DE" w14:textId="179C967C"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78" w:history="1">
        <w:r w:rsidRPr="00957327">
          <w:rPr>
            <w:rStyle w:val="Hyperlink"/>
          </w:rPr>
          <w:t>Table 113: EBPRP program details</w:t>
        </w:r>
        <w:r>
          <w:rPr>
            <w:webHidden/>
          </w:rPr>
          <w:tab/>
        </w:r>
        <w:r>
          <w:rPr>
            <w:webHidden/>
          </w:rPr>
          <w:fldChar w:fldCharType="begin"/>
        </w:r>
        <w:r>
          <w:rPr>
            <w:webHidden/>
          </w:rPr>
          <w:instrText xml:space="preserve"> PAGEREF _Toc207348678 \h </w:instrText>
        </w:r>
        <w:r>
          <w:rPr>
            <w:webHidden/>
          </w:rPr>
        </w:r>
        <w:r>
          <w:rPr>
            <w:webHidden/>
          </w:rPr>
          <w:fldChar w:fldCharType="separate"/>
        </w:r>
        <w:r w:rsidR="00D1685C">
          <w:rPr>
            <w:webHidden/>
          </w:rPr>
          <w:t>156</w:t>
        </w:r>
        <w:r>
          <w:rPr>
            <w:webHidden/>
          </w:rPr>
          <w:fldChar w:fldCharType="end"/>
        </w:r>
      </w:hyperlink>
    </w:p>
    <w:p w14:paraId="5B5F1A19" w14:textId="0CC3858C"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79" w:history="1">
        <w:r w:rsidRPr="00957327">
          <w:rPr>
            <w:rStyle w:val="Hyperlink"/>
          </w:rPr>
          <w:t>Table 114: Availability of external breast prostheses retailers and in-person fittings</w:t>
        </w:r>
        <w:r>
          <w:rPr>
            <w:webHidden/>
          </w:rPr>
          <w:tab/>
        </w:r>
        <w:r>
          <w:rPr>
            <w:webHidden/>
          </w:rPr>
          <w:fldChar w:fldCharType="begin"/>
        </w:r>
        <w:r>
          <w:rPr>
            <w:webHidden/>
          </w:rPr>
          <w:instrText xml:space="preserve"> PAGEREF _Toc207348679 \h </w:instrText>
        </w:r>
        <w:r>
          <w:rPr>
            <w:webHidden/>
          </w:rPr>
        </w:r>
        <w:r>
          <w:rPr>
            <w:webHidden/>
          </w:rPr>
          <w:fldChar w:fldCharType="separate"/>
        </w:r>
        <w:r w:rsidR="00D1685C">
          <w:rPr>
            <w:webHidden/>
          </w:rPr>
          <w:t>157</w:t>
        </w:r>
        <w:r>
          <w:rPr>
            <w:webHidden/>
          </w:rPr>
          <w:fldChar w:fldCharType="end"/>
        </w:r>
      </w:hyperlink>
    </w:p>
    <w:p w14:paraId="6A791303" w14:textId="681D2C5F"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80" w:history="1">
        <w:r w:rsidRPr="00957327">
          <w:rPr>
            <w:rStyle w:val="Hyperlink"/>
          </w:rPr>
          <w:t>Table 115: My Care Kit program details</w:t>
        </w:r>
        <w:r>
          <w:rPr>
            <w:webHidden/>
          </w:rPr>
          <w:tab/>
        </w:r>
        <w:r>
          <w:rPr>
            <w:webHidden/>
          </w:rPr>
          <w:fldChar w:fldCharType="begin"/>
        </w:r>
        <w:r>
          <w:rPr>
            <w:webHidden/>
          </w:rPr>
          <w:instrText xml:space="preserve"> PAGEREF _Toc207348680 \h </w:instrText>
        </w:r>
        <w:r>
          <w:rPr>
            <w:webHidden/>
          </w:rPr>
        </w:r>
        <w:r>
          <w:rPr>
            <w:webHidden/>
          </w:rPr>
          <w:fldChar w:fldCharType="separate"/>
        </w:r>
        <w:r w:rsidR="00D1685C">
          <w:rPr>
            <w:webHidden/>
          </w:rPr>
          <w:t>158</w:t>
        </w:r>
        <w:r>
          <w:rPr>
            <w:webHidden/>
          </w:rPr>
          <w:fldChar w:fldCharType="end"/>
        </w:r>
      </w:hyperlink>
    </w:p>
    <w:p w14:paraId="41DB4370" w14:textId="5694E5C6"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81" w:history="1">
        <w:r w:rsidRPr="00957327">
          <w:rPr>
            <w:rStyle w:val="Hyperlink"/>
          </w:rPr>
          <w:t>Table 116: Knitted Knockers Australia program details</w:t>
        </w:r>
        <w:r>
          <w:rPr>
            <w:webHidden/>
          </w:rPr>
          <w:tab/>
        </w:r>
        <w:r>
          <w:rPr>
            <w:webHidden/>
          </w:rPr>
          <w:fldChar w:fldCharType="begin"/>
        </w:r>
        <w:r>
          <w:rPr>
            <w:webHidden/>
          </w:rPr>
          <w:instrText xml:space="preserve"> PAGEREF _Toc207348681 \h </w:instrText>
        </w:r>
        <w:r>
          <w:rPr>
            <w:webHidden/>
          </w:rPr>
        </w:r>
        <w:r>
          <w:rPr>
            <w:webHidden/>
          </w:rPr>
          <w:fldChar w:fldCharType="separate"/>
        </w:r>
        <w:r w:rsidR="00D1685C">
          <w:rPr>
            <w:webHidden/>
          </w:rPr>
          <w:t>159</w:t>
        </w:r>
        <w:r>
          <w:rPr>
            <w:webHidden/>
          </w:rPr>
          <w:fldChar w:fldCharType="end"/>
        </w:r>
      </w:hyperlink>
    </w:p>
    <w:p w14:paraId="13B7085E" w14:textId="64B6C741"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82" w:history="1">
        <w:r w:rsidRPr="00957327">
          <w:rPr>
            <w:rStyle w:val="Hyperlink"/>
          </w:rPr>
          <w:t>Table 117: DVA breast prostheses details</w:t>
        </w:r>
        <w:r>
          <w:rPr>
            <w:webHidden/>
          </w:rPr>
          <w:tab/>
        </w:r>
        <w:r>
          <w:rPr>
            <w:webHidden/>
          </w:rPr>
          <w:fldChar w:fldCharType="begin"/>
        </w:r>
        <w:r>
          <w:rPr>
            <w:webHidden/>
          </w:rPr>
          <w:instrText xml:space="preserve"> PAGEREF _Toc207348682 \h </w:instrText>
        </w:r>
        <w:r>
          <w:rPr>
            <w:webHidden/>
          </w:rPr>
        </w:r>
        <w:r>
          <w:rPr>
            <w:webHidden/>
          </w:rPr>
          <w:fldChar w:fldCharType="separate"/>
        </w:r>
        <w:r w:rsidR="00D1685C">
          <w:rPr>
            <w:webHidden/>
          </w:rPr>
          <w:t>160</w:t>
        </w:r>
        <w:r>
          <w:rPr>
            <w:webHidden/>
          </w:rPr>
          <w:fldChar w:fldCharType="end"/>
        </w:r>
      </w:hyperlink>
    </w:p>
    <w:p w14:paraId="6FC8A81B" w14:textId="4EC7ADF3"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83" w:history="1">
        <w:r w:rsidRPr="00957327">
          <w:rPr>
            <w:rStyle w:val="Hyperlink"/>
          </w:rPr>
          <w:t>Table 118: Commonly used prostheses listed on the NDIS Assistive Technology Guide</w:t>
        </w:r>
        <w:r>
          <w:rPr>
            <w:webHidden/>
          </w:rPr>
          <w:tab/>
        </w:r>
        <w:r>
          <w:rPr>
            <w:webHidden/>
          </w:rPr>
          <w:fldChar w:fldCharType="begin"/>
        </w:r>
        <w:r>
          <w:rPr>
            <w:webHidden/>
          </w:rPr>
          <w:instrText xml:space="preserve"> PAGEREF _Toc207348683 \h </w:instrText>
        </w:r>
        <w:r>
          <w:rPr>
            <w:webHidden/>
          </w:rPr>
        </w:r>
        <w:r>
          <w:rPr>
            <w:webHidden/>
          </w:rPr>
          <w:fldChar w:fldCharType="separate"/>
        </w:r>
        <w:r w:rsidR="00D1685C">
          <w:rPr>
            <w:webHidden/>
          </w:rPr>
          <w:t>161</w:t>
        </w:r>
        <w:r>
          <w:rPr>
            <w:webHidden/>
          </w:rPr>
          <w:fldChar w:fldCharType="end"/>
        </w:r>
      </w:hyperlink>
    </w:p>
    <w:p w14:paraId="7FE60938" w14:textId="6338D09D"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84" w:history="1">
        <w:r w:rsidRPr="00957327">
          <w:rPr>
            <w:rStyle w:val="Hyperlink"/>
          </w:rPr>
          <w:t>Table 119: NDIS details</w:t>
        </w:r>
        <w:r>
          <w:rPr>
            <w:webHidden/>
          </w:rPr>
          <w:tab/>
        </w:r>
        <w:r>
          <w:rPr>
            <w:webHidden/>
          </w:rPr>
          <w:fldChar w:fldCharType="begin"/>
        </w:r>
        <w:r>
          <w:rPr>
            <w:webHidden/>
          </w:rPr>
          <w:instrText xml:space="preserve"> PAGEREF _Toc207348684 \h </w:instrText>
        </w:r>
        <w:r>
          <w:rPr>
            <w:webHidden/>
          </w:rPr>
        </w:r>
        <w:r>
          <w:rPr>
            <w:webHidden/>
          </w:rPr>
          <w:fldChar w:fldCharType="separate"/>
        </w:r>
        <w:r w:rsidR="00D1685C">
          <w:rPr>
            <w:webHidden/>
          </w:rPr>
          <w:t>161</w:t>
        </w:r>
        <w:r>
          <w:rPr>
            <w:webHidden/>
          </w:rPr>
          <w:fldChar w:fldCharType="end"/>
        </w:r>
      </w:hyperlink>
    </w:p>
    <w:p w14:paraId="36FC9B76" w14:textId="22BFF1A3"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85" w:history="1">
        <w:r w:rsidRPr="00957327">
          <w:rPr>
            <w:rStyle w:val="Hyperlink"/>
          </w:rPr>
          <w:t>Table 120: Availability of accredited limb prostheses service providers</w:t>
        </w:r>
        <w:r>
          <w:rPr>
            <w:webHidden/>
          </w:rPr>
          <w:tab/>
        </w:r>
        <w:r>
          <w:rPr>
            <w:webHidden/>
          </w:rPr>
          <w:fldChar w:fldCharType="begin"/>
        </w:r>
        <w:r>
          <w:rPr>
            <w:webHidden/>
          </w:rPr>
          <w:instrText xml:space="preserve"> PAGEREF _Toc207348685 \h </w:instrText>
        </w:r>
        <w:r>
          <w:rPr>
            <w:webHidden/>
          </w:rPr>
        </w:r>
        <w:r>
          <w:rPr>
            <w:webHidden/>
          </w:rPr>
          <w:fldChar w:fldCharType="separate"/>
        </w:r>
        <w:r w:rsidR="00D1685C">
          <w:rPr>
            <w:webHidden/>
          </w:rPr>
          <w:t>162</w:t>
        </w:r>
        <w:r>
          <w:rPr>
            <w:webHidden/>
          </w:rPr>
          <w:fldChar w:fldCharType="end"/>
        </w:r>
      </w:hyperlink>
    </w:p>
    <w:p w14:paraId="13E4C9EC" w14:textId="76CED16B"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86" w:history="1">
        <w:r w:rsidRPr="00957327">
          <w:rPr>
            <w:rStyle w:val="Hyperlink"/>
          </w:rPr>
          <w:t>Table 121: DVA limb prostheses details</w:t>
        </w:r>
        <w:r>
          <w:rPr>
            <w:webHidden/>
          </w:rPr>
          <w:tab/>
        </w:r>
        <w:r>
          <w:rPr>
            <w:webHidden/>
          </w:rPr>
          <w:fldChar w:fldCharType="begin"/>
        </w:r>
        <w:r>
          <w:rPr>
            <w:webHidden/>
          </w:rPr>
          <w:instrText xml:space="preserve"> PAGEREF _Toc207348686 \h </w:instrText>
        </w:r>
        <w:r>
          <w:rPr>
            <w:webHidden/>
          </w:rPr>
        </w:r>
        <w:r>
          <w:rPr>
            <w:webHidden/>
          </w:rPr>
          <w:fldChar w:fldCharType="separate"/>
        </w:r>
        <w:r w:rsidR="00D1685C">
          <w:rPr>
            <w:webHidden/>
          </w:rPr>
          <w:t>164</w:t>
        </w:r>
        <w:r>
          <w:rPr>
            <w:webHidden/>
          </w:rPr>
          <w:fldChar w:fldCharType="end"/>
        </w:r>
      </w:hyperlink>
    </w:p>
    <w:p w14:paraId="4B232439" w14:textId="10682201"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87" w:history="1">
        <w:r w:rsidRPr="00957327">
          <w:rPr>
            <w:rStyle w:val="Hyperlink"/>
          </w:rPr>
          <w:t>Table 122: ACTALS details</w:t>
        </w:r>
        <w:r>
          <w:rPr>
            <w:webHidden/>
          </w:rPr>
          <w:tab/>
        </w:r>
        <w:r>
          <w:rPr>
            <w:webHidden/>
          </w:rPr>
          <w:fldChar w:fldCharType="begin"/>
        </w:r>
        <w:r>
          <w:rPr>
            <w:webHidden/>
          </w:rPr>
          <w:instrText xml:space="preserve"> PAGEREF _Toc207348687 \h </w:instrText>
        </w:r>
        <w:r>
          <w:rPr>
            <w:webHidden/>
          </w:rPr>
        </w:r>
        <w:r>
          <w:rPr>
            <w:webHidden/>
          </w:rPr>
          <w:fldChar w:fldCharType="separate"/>
        </w:r>
        <w:r w:rsidR="00D1685C">
          <w:rPr>
            <w:webHidden/>
          </w:rPr>
          <w:t>164</w:t>
        </w:r>
        <w:r>
          <w:rPr>
            <w:webHidden/>
          </w:rPr>
          <w:fldChar w:fldCharType="end"/>
        </w:r>
      </w:hyperlink>
    </w:p>
    <w:p w14:paraId="1E316F1C" w14:textId="2F92D0CB"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88" w:history="1">
        <w:r w:rsidRPr="00957327">
          <w:rPr>
            <w:rStyle w:val="Hyperlink"/>
          </w:rPr>
          <w:t>Table 123: EnableNSW Prosthetic Limb Service details</w:t>
        </w:r>
        <w:r>
          <w:rPr>
            <w:webHidden/>
          </w:rPr>
          <w:tab/>
        </w:r>
        <w:r>
          <w:rPr>
            <w:webHidden/>
          </w:rPr>
          <w:fldChar w:fldCharType="begin"/>
        </w:r>
        <w:r>
          <w:rPr>
            <w:webHidden/>
          </w:rPr>
          <w:instrText xml:space="preserve"> PAGEREF _Toc207348688 \h </w:instrText>
        </w:r>
        <w:r>
          <w:rPr>
            <w:webHidden/>
          </w:rPr>
        </w:r>
        <w:r>
          <w:rPr>
            <w:webHidden/>
          </w:rPr>
          <w:fldChar w:fldCharType="separate"/>
        </w:r>
        <w:r w:rsidR="00D1685C">
          <w:rPr>
            <w:webHidden/>
          </w:rPr>
          <w:t>166</w:t>
        </w:r>
        <w:r>
          <w:rPr>
            <w:webHidden/>
          </w:rPr>
          <w:fldChar w:fldCharType="end"/>
        </w:r>
      </w:hyperlink>
    </w:p>
    <w:p w14:paraId="698034D3" w14:textId="1EAF5AB9"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89" w:history="1">
        <w:r w:rsidRPr="00957327">
          <w:rPr>
            <w:rStyle w:val="Hyperlink"/>
          </w:rPr>
          <w:t>Table 124: Prosthetic limb services in NT</w:t>
        </w:r>
        <w:r>
          <w:rPr>
            <w:webHidden/>
          </w:rPr>
          <w:tab/>
        </w:r>
        <w:r>
          <w:rPr>
            <w:webHidden/>
          </w:rPr>
          <w:fldChar w:fldCharType="begin"/>
        </w:r>
        <w:r>
          <w:rPr>
            <w:webHidden/>
          </w:rPr>
          <w:instrText xml:space="preserve"> PAGEREF _Toc207348689 \h </w:instrText>
        </w:r>
        <w:r>
          <w:rPr>
            <w:webHidden/>
          </w:rPr>
        </w:r>
        <w:r>
          <w:rPr>
            <w:webHidden/>
          </w:rPr>
          <w:fldChar w:fldCharType="separate"/>
        </w:r>
        <w:r w:rsidR="00D1685C">
          <w:rPr>
            <w:webHidden/>
          </w:rPr>
          <w:t>167</w:t>
        </w:r>
        <w:r>
          <w:rPr>
            <w:webHidden/>
          </w:rPr>
          <w:fldChar w:fldCharType="end"/>
        </w:r>
      </w:hyperlink>
    </w:p>
    <w:p w14:paraId="76777092" w14:textId="0E42B4B5"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90" w:history="1">
        <w:r w:rsidRPr="00957327">
          <w:rPr>
            <w:rStyle w:val="Hyperlink"/>
          </w:rPr>
          <w:t>Table 125: Queensland Artificial Limb Service details</w:t>
        </w:r>
        <w:r>
          <w:rPr>
            <w:webHidden/>
          </w:rPr>
          <w:tab/>
        </w:r>
        <w:r>
          <w:rPr>
            <w:webHidden/>
          </w:rPr>
          <w:fldChar w:fldCharType="begin"/>
        </w:r>
        <w:r>
          <w:rPr>
            <w:webHidden/>
          </w:rPr>
          <w:instrText xml:space="preserve"> PAGEREF _Toc207348690 \h </w:instrText>
        </w:r>
        <w:r>
          <w:rPr>
            <w:webHidden/>
          </w:rPr>
        </w:r>
        <w:r>
          <w:rPr>
            <w:webHidden/>
          </w:rPr>
          <w:fldChar w:fldCharType="separate"/>
        </w:r>
        <w:r w:rsidR="00D1685C">
          <w:rPr>
            <w:webHidden/>
          </w:rPr>
          <w:t>168</w:t>
        </w:r>
        <w:r>
          <w:rPr>
            <w:webHidden/>
          </w:rPr>
          <w:fldChar w:fldCharType="end"/>
        </w:r>
      </w:hyperlink>
    </w:p>
    <w:p w14:paraId="5F267CC9" w14:textId="710000E9"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91" w:history="1">
        <w:r w:rsidRPr="00957327">
          <w:rPr>
            <w:rStyle w:val="Hyperlink"/>
          </w:rPr>
          <w:t>Table 126: SAALS details</w:t>
        </w:r>
        <w:r>
          <w:rPr>
            <w:webHidden/>
          </w:rPr>
          <w:tab/>
        </w:r>
        <w:r>
          <w:rPr>
            <w:webHidden/>
          </w:rPr>
          <w:fldChar w:fldCharType="begin"/>
        </w:r>
        <w:r>
          <w:rPr>
            <w:webHidden/>
          </w:rPr>
          <w:instrText xml:space="preserve"> PAGEREF _Toc207348691 \h </w:instrText>
        </w:r>
        <w:r>
          <w:rPr>
            <w:webHidden/>
          </w:rPr>
        </w:r>
        <w:r>
          <w:rPr>
            <w:webHidden/>
          </w:rPr>
          <w:fldChar w:fldCharType="separate"/>
        </w:r>
        <w:r w:rsidR="00D1685C">
          <w:rPr>
            <w:webHidden/>
          </w:rPr>
          <w:t>169</w:t>
        </w:r>
        <w:r>
          <w:rPr>
            <w:webHidden/>
          </w:rPr>
          <w:fldChar w:fldCharType="end"/>
        </w:r>
      </w:hyperlink>
    </w:p>
    <w:p w14:paraId="628E0CA6" w14:textId="1E80BCCD"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92" w:history="1">
        <w:r w:rsidRPr="00957327">
          <w:rPr>
            <w:rStyle w:val="Hyperlink"/>
          </w:rPr>
          <w:t>Table 127: Tasmanian Artificial Limb Scheme details</w:t>
        </w:r>
        <w:r>
          <w:rPr>
            <w:webHidden/>
          </w:rPr>
          <w:tab/>
        </w:r>
        <w:r>
          <w:rPr>
            <w:webHidden/>
          </w:rPr>
          <w:fldChar w:fldCharType="begin"/>
        </w:r>
        <w:r>
          <w:rPr>
            <w:webHidden/>
          </w:rPr>
          <w:instrText xml:space="preserve"> PAGEREF _Toc207348692 \h </w:instrText>
        </w:r>
        <w:r>
          <w:rPr>
            <w:webHidden/>
          </w:rPr>
        </w:r>
        <w:r>
          <w:rPr>
            <w:webHidden/>
          </w:rPr>
          <w:fldChar w:fldCharType="separate"/>
        </w:r>
        <w:r w:rsidR="00D1685C">
          <w:rPr>
            <w:webHidden/>
          </w:rPr>
          <w:t>170</w:t>
        </w:r>
        <w:r>
          <w:rPr>
            <w:webHidden/>
          </w:rPr>
          <w:fldChar w:fldCharType="end"/>
        </w:r>
      </w:hyperlink>
    </w:p>
    <w:p w14:paraId="7E883024" w14:textId="5C435312"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93" w:history="1">
        <w:r w:rsidRPr="00957327">
          <w:rPr>
            <w:rStyle w:val="Hyperlink"/>
          </w:rPr>
          <w:t>Table 128: Prosthetic limb services in Victoria</w:t>
        </w:r>
        <w:r>
          <w:rPr>
            <w:webHidden/>
          </w:rPr>
          <w:tab/>
        </w:r>
        <w:r>
          <w:rPr>
            <w:webHidden/>
          </w:rPr>
          <w:fldChar w:fldCharType="begin"/>
        </w:r>
        <w:r>
          <w:rPr>
            <w:webHidden/>
          </w:rPr>
          <w:instrText xml:space="preserve"> PAGEREF _Toc207348693 \h </w:instrText>
        </w:r>
        <w:r>
          <w:rPr>
            <w:webHidden/>
          </w:rPr>
        </w:r>
        <w:r>
          <w:rPr>
            <w:webHidden/>
          </w:rPr>
          <w:fldChar w:fldCharType="separate"/>
        </w:r>
        <w:r w:rsidR="00D1685C">
          <w:rPr>
            <w:webHidden/>
          </w:rPr>
          <w:t>171</w:t>
        </w:r>
        <w:r>
          <w:rPr>
            <w:webHidden/>
          </w:rPr>
          <w:fldChar w:fldCharType="end"/>
        </w:r>
      </w:hyperlink>
    </w:p>
    <w:p w14:paraId="49ABCE3D" w14:textId="57104957"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94" w:history="1">
        <w:r w:rsidRPr="00957327">
          <w:rPr>
            <w:rStyle w:val="Hyperlink"/>
          </w:rPr>
          <w:t>Table 129: WALSA funding based on mobility class</w:t>
        </w:r>
        <w:r>
          <w:rPr>
            <w:webHidden/>
          </w:rPr>
          <w:tab/>
        </w:r>
        <w:r>
          <w:rPr>
            <w:webHidden/>
          </w:rPr>
          <w:fldChar w:fldCharType="begin"/>
        </w:r>
        <w:r>
          <w:rPr>
            <w:webHidden/>
          </w:rPr>
          <w:instrText xml:space="preserve"> PAGEREF _Toc207348694 \h </w:instrText>
        </w:r>
        <w:r>
          <w:rPr>
            <w:webHidden/>
          </w:rPr>
        </w:r>
        <w:r>
          <w:rPr>
            <w:webHidden/>
          </w:rPr>
          <w:fldChar w:fldCharType="separate"/>
        </w:r>
        <w:r w:rsidR="00D1685C">
          <w:rPr>
            <w:webHidden/>
          </w:rPr>
          <w:t>171</w:t>
        </w:r>
        <w:r>
          <w:rPr>
            <w:webHidden/>
          </w:rPr>
          <w:fldChar w:fldCharType="end"/>
        </w:r>
      </w:hyperlink>
    </w:p>
    <w:p w14:paraId="5F13C90F" w14:textId="2709AC98"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95" w:history="1">
        <w:r w:rsidRPr="00957327">
          <w:rPr>
            <w:rStyle w:val="Hyperlink"/>
          </w:rPr>
          <w:t>Table 130: WALSA details</w:t>
        </w:r>
        <w:r>
          <w:rPr>
            <w:webHidden/>
          </w:rPr>
          <w:tab/>
        </w:r>
        <w:r>
          <w:rPr>
            <w:webHidden/>
          </w:rPr>
          <w:fldChar w:fldCharType="begin"/>
        </w:r>
        <w:r>
          <w:rPr>
            <w:webHidden/>
          </w:rPr>
          <w:instrText xml:space="preserve"> PAGEREF _Toc207348695 \h </w:instrText>
        </w:r>
        <w:r>
          <w:rPr>
            <w:webHidden/>
          </w:rPr>
        </w:r>
        <w:r>
          <w:rPr>
            <w:webHidden/>
          </w:rPr>
          <w:fldChar w:fldCharType="separate"/>
        </w:r>
        <w:r w:rsidR="00D1685C">
          <w:rPr>
            <w:webHidden/>
          </w:rPr>
          <w:t>172</w:t>
        </w:r>
        <w:r>
          <w:rPr>
            <w:webHidden/>
          </w:rPr>
          <w:fldChar w:fldCharType="end"/>
        </w:r>
      </w:hyperlink>
    </w:p>
    <w:p w14:paraId="1515288E" w14:textId="3F74AAEC"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96" w:history="1">
        <w:r w:rsidRPr="00957327">
          <w:rPr>
            <w:rStyle w:val="Hyperlink"/>
          </w:rPr>
          <w:t>Table 131: EnableNSW accredited amputee clinics and PSPs in Metropolitan NSW</w:t>
        </w:r>
        <w:r>
          <w:rPr>
            <w:webHidden/>
          </w:rPr>
          <w:tab/>
        </w:r>
        <w:r>
          <w:rPr>
            <w:webHidden/>
          </w:rPr>
          <w:fldChar w:fldCharType="begin"/>
        </w:r>
        <w:r>
          <w:rPr>
            <w:webHidden/>
          </w:rPr>
          <w:instrText xml:space="preserve"> PAGEREF _Toc207348696 \h </w:instrText>
        </w:r>
        <w:r>
          <w:rPr>
            <w:webHidden/>
          </w:rPr>
        </w:r>
        <w:r>
          <w:rPr>
            <w:webHidden/>
          </w:rPr>
          <w:fldChar w:fldCharType="separate"/>
        </w:r>
        <w:r w:rsidR="00D1685C">
          <w:rPr>
            <w:webHidden/>
          </w:rPr>
          <w:t>173</w:t>
        </w:r>
        <w:r>
          <w:rPr>
            <w:webHidden/>
          </w:rPr>
          <w:fldChar w:fldCharType="end"/>
        </w:r>
      </w:hyperlink>
    </w:p>
    <w:p w14:paraId="67C19CD6" w14:textId="519B3D80"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97" w:history="1">
        <w:r w:rsidRPr="00957327">
          <w:rPr>
            <w:rStyle w:val="Hyperlink"/>
          </w:rPr>
          <w:t>Table 132: EnableNSW accredited amputee clinics and PSPs in Regional NSW</w:t>
        </w:r>
        <w:r>
          <w:rPr>
            <w:webHidden/>
          </w:rPr>
          <w:tab/>
        </w:r>
        <w:r>
          <w:rPr>
            <w:webHidden/>
          </w:rPr>
          <w:fldChar w:fldCharType="begin"/>
        </w:r>
        <w:r>
          <w:rPr>
            <w:webHidden/>
          </w:rPr>
          <w:instrText xml:space="preserve"> PAGEREF _Toc207348697 \h </w:instrText>
        </w:r>
        <w:r>
          <w:rPr>
            <w:webHidden/>
          </w:rPr>
        </w:r>
        <w:r>
          <w:rPr>
            <w:webHidden/>
          </w:rPr>
          <w:fldChar w:fldCharType="separate"/>
        </w:r>
        <w:r w:rsidR="00D1685C">
          <w:rPr>
            <w:webHidden/>
          </w:rPr>
          <w:t>174</w:t>
        </w:r>
        <w:r>
          <w:rPr>
            <w:webHidden/>
          </w:rPr>
          <w:fldChar w:fldCharType="end"/>
        </w:r>
      </w:hyperlink>
    </w:p>
    <w:p w14:paraId="09AAA200" w14:textId="36EDCD1F"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98" w:history="1">
        <w:r w:rsidRPr="00957327">
          <w:rPr>
            <w:rStyle w:val="Hyperlink"/>
          </w:rPr>
          <w:t>Table 133: EnableNSW accredited amputee clinics and PSPs in Remote NSW</w:t>
        </w:r>
        <w:r>
          <w:rPr>
            <w:webHidden/>
          </w:rPr>
          <w:tab/>
        </w:r>
        <w:r>
          <w:rPr>
            <w:webHidden/>
          </w:rPr>
          <w:fldChar w:fldCharType="begin"/>
        </w:r>
        <w:r>
          <w:rPr>
            <w:webHidden/>
          </w:rPr>
          <w:instrText xml:space="preserve"> PAGEREF _Toc207348698 \h </w:instrText>
        </w:r>
        <w:r>
          <w:rPr>
            <w:webHidden/>
          </w:rPr>
        </w:r>
        <w:r>
          <w:rPr>
            <w:webHidden/>
          </w:rPr>
          <w:fldChar w:fldCharType="separate"/>
        </w:r>
        <w:r w:rsidR="00D1685C">
          <w:rPr>
            <w:webHidden/>
          </w:rPr>
          <w:t>174</w:t>
        </w:r>
        <w:r>
          <w:rPr>
            <w:webHidden/>
          </w:rPr>
          <w:fldChar w:fldCharType="end"/>
        </w:r>
      </w:hyperlink>
    </w:p>
    <w:p w14:paraId="72158ED2" w14:textId="04C22A8B"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699" w:history="1">
        <w:r w:rsidRPr="00957327">
          <w:rPr>
            <w:rStyle w:val="Hyperlink"/>
          </w:rPr>
          <w:t>Table 134:  QALS accredited amputee clinics and PSPs</w:t>
        </w:r>
        <w:r>
          <w:rPr>
            <w:webHidden/>
          </w:rPr>
          <w:tab/>
        </w:r>
        <w:r>
          <w:rPr>
            <w:webHidden/>
          </w:rPr>
          <w:fldChar w:fldCharType="begin"/>
        </w:r>
        <w:r>
          <w:rPr>
            <w:webHidden/>
          </w:rPr>
          <w:instrText xml:space="preserve"> PAGEREF _Toc207348699 \h </w:instrText>
        </w:r>
        <w:r>
          <w:rPr>
            <w:webHidden/>
          </w:rPr>
        </w:r>
        <w:r>
          <w:rPr>
            <w:webHidden/>
          </w:rPr>
          <w:fldChar w:fldCharType="separate"/>
        </w:r>
        <w:r w:rsidR="00D1685C">
          <w:rPr>
            <w:webHidden/>
          </w:rPr>
          <w:t>175</w:t>
        </w:r>
        <w:r>
          <w:rPr>
            <w:webHidden/>
          </w:rPr>
          <w:fldChar w:fldCharType="end"/>
        </w:r>
      </w:hyperlink>
    </w:p>
    <w:p w14:paraId="401510AA" w14:textId="0991144E"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700" w:history="1">
        <w:r w:rsidRPr="00957327">
          <w:rPr>
            <w:rStyle w:val="Hyperlink"/>
          </w:rPr>
          <w:t>Table 135:  SA amputee clinics</w:t>
        </w:r>
        <w:r>
          <w:rPr>
            <w:webHidden/>
          </w:rPr>
          <w:tab/>
        </w:r>
        <w:r>
          <w:rPr>
            <w:webHidden/>
          </w:rPr>
          <w:fldChar w:fldCharType="begin"/>
        </w:r>
        <w:r>
          <w:rPr>
            <w:webHidden/>
          </w:rPr>
          <w:instrText xml:space="preserve"> PAGEREF _Toc207348700 \h </w:instrText>
        </w:r>
        <w:r>
          <w:rPr>
            <w:webHidden/>
          </w:rPr>
        </w:r>
        <w:r>
          <w:rPr>
            <w:webHidden/>
          </w:rPr>
          <w:fldChar w:fldCharType="separate"/>
        </w:r>
        <w:r w:rsidR="00D1685C">
          <w:rPr>
            <w:webHidden/>
          </w:rPr>
          <w:t>175</w:t>
        </w:r>
        <w:r>
          <w:rPr>
            <w:webHidden/>
          </w:rPr>
          <w:fldChar w:fldCharType="end"/>
        </w:r>
      </w:hyperlink>
    </w:p>
    <w:p w14:paraId="032D25B3" w14:textId="70D79F11"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701" w:history="1">
        <w:r w:rsidRPr="00957327">
          <w:rPr>
            <w:rStyle w:val="Hyperlink"/>
          </w:rPr>
          <w:t>Table 136: Cost model CPI and discount rate inputs</w:t>
        </w:r>
        <w:r>
          <w:rPr>
            <w:webHidden/>
          </w:rPr>
          <w:tab/>
        </w:r>
        <w:r>
          <w:rPr>
            <w:webHidden/>
          </w:rPr>
          <w:fldChar w:fldCharType="begin"/>
        </w:r>
        <w:r>
          <w:rPr>
            <w:webHidden/>
          </w:rPr>
          <w:instrText xml:space="preserve"> PAGEREF _Toc207348701 \h </w:instrText>
        </w:r>
        <w:r>
          <w:rPr>
            <w:webHidden/>
          </w:rPr>
        </w:r>
        <w:r>
          <w:rPr>
            <w:webHidden/>
          </w:rPr>
          <w:fldChar w:fldCharType="separate"/>
        </w:r>
        <w:r w:rsidR="00D1685C">
          <w:rPr>
            <w:webHidden/>
          </w:rPr>
          <w:t>184</w:t>
        </w:r>
        <w:r>
          <w:rPr>
            <w:webHidden/>
          </w:rPr>
          <w:fldChar w:fldCharType="end"/>
        </w:r>
      </w:hyperlink>
    </w:p>
    <w:p w14:paraId="760BF2A1" w14:textId="5AD6C9B8"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702" w:history="1">
        <w:r w:rsidRPr="00957327">
          <w:rPr>
            <w:rStyle w:val="Hyperlink"/>
          </w:rPr>
          <w:t>Table 137: Cost model inputs for head and neck cancer</w:t>
        </w:r>
        <w:r>
          <w:rPr>
            <w:webHidden/>
          </w:rPr>
          <w:tab/>
        </w:r>
        <w:r>
          <w:rPr>
            <w:webHidden/>
          </w:rPr>
          <w:fldChar w:fldCharType="begin"/>
        </w:r>
        <w:r>
          <w:rPr>
            <w:webHidden/>
          </w:rPr>
          <w:instrText xml:space="preserve"> PAGEREF _Toc207348702 \h </w:instrText>
        </w:r>
        <w:r>
          <w:rPr>
            <w:webHidden/>
          </w:rPr>
        </w:r>
        <w:r>
          <w:rPr>
            <w:webHidden/>
          </w:rPr>
          <w:fldChar w:fldCharType="separate"/>
        </w:r>
        <w:r w:rsidR="00D1685C">
          <w:rPr>
            <w:webHidden/>
          </w:rPr>
          <w:t>184</w:t>
        </w:r>
        <w:r>
          <w:rPr>
            <w:webHidden/>
          </w:rPr>
          <w:fldChar w:fldCharType="end"/>
        </w:r>
      </w:hyperlink>
    </w:p>
    <w:p w14:paraId="436809F2" w14:textId="613121D7"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703" w:history="1">
        <w:r w:rsidRPr="00957327">
          <w:rPr>
            <w:rStyle w:val="Hyperlink"/>
          </w:rPr>
          <w:t>Table 138: Cost model inputs for melanoma</w:t>
        </w:r>
        <w:r>
          <w:rPr>
            <w:webHidden/>
          </w:rPr>
          <w:tab/>
        </w:r>
        <w:r>
          <w:rPr>
            <w:webHidden/>
          </w:rPr>
          <w:fldChar w:fldCharType="begin"/>
        </w:r>
        <w:r>
          <w:rPr>
            <w:webHidden/>
          </w:rPr>
          <w:instrText xml:space="preserve"> PAGEREF _Toc207348703 \h </w:instrText>
        </w:r>
        <w:r>
          <w:rPr>
            <w:webHidden/>
          </w:rPr>
        </w:r>
        <w:r>
          <w:rPr>
            <w:webHidden/>
          </w:rPr>
          <w:fldChar w:fldCharType="separate"/>
        </w:r>
        <w:r w:rsidR="00D1685C">
          <w:rPr>
            <w:webHidden/>
          </w:rPr>
          <w:t>184</w:t>
        </w:r>
        <w:r>
          <w:rPr>
            <w:webHidden/>
          </w:rPr>
          <w:fldChar w:fldCharType="end"/>
        </w:r>
      </w:hyperlink>
    </w:p>
    <w:p w14:paraId="09525246" w14:textId="187DCF24"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704" w:history="1">
        <w:r w:rsidRPr="00957327">
          <w:rPr>
            <w:rStyle w:val="Hyperlink"/>
          </w:rPr>
          <w:t>Table 139: Cost model inputs for eye cancer</w:t>
        </w:r>
        <w:r>
          <w:rPr>
            <w:webHidden/>
          </w:rPr>
          <w:tab/>
        </w:r>
        <w:r>
          <w:rPr>
            <w:webHidden/>
          </w:rPr>
          <w:fldChar w:fldCharType="begin"/>
        </w:r>
        <w:r>
          <w:rPr>
            <w:webHidden/>
          </w:rPr>
          <w:instrText xml:space="preserve"> PAGEREF _Toc207348704 \h </w:instrText>
        </w:r>
        <w:r>
          <w:rPr>
            <w:webHidden/>
          </w:rPr>
        </w:r>
        <w:r>
          <w:rPr>
            <w:webHidden/>
          </w:rPr>
          <w:fldChar w:fldCharType="separate"/>
        </w:r>
        <w:r w:rsidR="00D1685C">
          <w:rPr>
            <w:webHidden/>
          </w:rPr>
          <w:t>184</w:t>
        </w:r>
        <w:r>
          <w:rPr>
            <w:webHidden/>
          </w:rPr>
          <w:fldChar w:fldCharType="end"/>
        </w:r>
      </w:hyperlink>
    </w:p>
    <w:p w14:paraId="362AF43D" w14:textId="31BBF194"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705" w:history="1">
        <w:r w:rsidRPr="00957327">
          <w:rPr>
            <w:rStyle w:val="Hyperlink"/>
          </w:rPr>
          <w:t>Table 140: Cost model inputs for sarcoma of all types</w:t>
        </w:r>
        <w:r>
          <w:rPr>
            <w:webHidden/>
          </w:rPr>
          <w:tab/>
        </w:r>
        <w:r>
          <w:rPr>
            <w:webHidden/>
          </w:rPr>
          <w:fldChar w:fldCharType="begin"/>
        </w:r>
        <w:r>
          <w:rPr>
            <w:webHidden/>
          </w:rPr>
          <w:instrText xml:space="preserve"> PAGEREF _Toc207348705 \h </w:instrText>
        </w:r>
        <w:r>
          <w:rPr>
            <w:webHidden/>
          </w:rPr>
        </w:r>
        <w:r>
          <w:rPr>
            <w:webHidden/>
          </w:rPr>
          <w:fldChar w:fldCharType="separate"/>
        </w:r>
        <w:r w:rsidR="00D1685C">
          <w:rPr>
            <w:webHidden/>
          </w:rPr>
          <w:t>185</w:t>
        </w:r>
        <w:r>
          <w:rPr>
            <w:webHidden/>
          </w:rPr>
          <w:fldChar w:fldCharType="end"/>
        </w:r>
      </w:hyperlink>
    </w:p>
    <w:p w14:paraId="28E89377" w14:textId="1D20734B"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706" w:history="1">
        <w:r w:rsidRPr="00957327">
          <w:rPr>
            <w:rStyle w:val="Hyperlink"/>
          </w:rPr>
          <w:t>Table 141: Cost model inputs for breast cancer</w:t>
        </w:r>
        <w:r>
          <w:rPr>
            <w:webHidden/>
          </w:rPr>
          <w:tab/>
        </w:r>
        <w:r>
          <w:rPr>
            <w:webHidden/>
          </w:rPr>
          <w:fldChar w:fldCharType="begin"/>
        </w:r>
        <w:r>
          <w:rPr>
            <w:webHidden/>
          </w:rPr>
          <w:instrText xml:space="preserve"> PAGEREF _Toc207348706 \h </w:instrText>
        </w:r>
        <w:r>
          <w:rPr>
            <w:webHidden/>
          </w:rPr>
        </w:r>
        <w:r>
          <w:rPr>
            <w:webHidden/>
          </w:rPr>
          <w:fldChar w:fldCharType="separate"/>
        </w:r>
        <w:r w:rsidR="00D1685C">
          <w:rPr>
            <w:webHidden/>
          </w:rPr>
          <w:t>185</w:t>
        </w:r>
        <w:r>
          <w:rPr>
            <w:webHidden/>
          </w:rPr>
          <w:fldChar w:fldCharType="end"/>
        </w:r>
      </w:hyperlink>
    </w:p>
    <w:p w14:paraId="7D6E04C2" w14:textId="4552338A" w:rsidR="00097AE2" w:rsidRDefault="00097AE2">
      <w:pPr>
        <w:pStyle w:val="TableofFigures"/>
        <w:rPr>
          <w:rFonts w:asciiTheme="minorHAnsi" w:eastAsiaTheme="minorEastAsia" w:hAnsiTheme="minorHAnsi"/>
          <w:color w:val="auto"/>
          <w:kern w:val="2"/>
          <w:sz w:val="24"/>
          <w:szCs w:val="24"/>
          <w:lang w:eastAsia="en-AU"/>
          <w14:ligatures w14:val="standardContextual"/>
        </w:rPr>
      </w:pPr>
      <w:hyperlink w:anchor="_Toc207348707" w:history="1">
        <w:r w:rsidRPr="00957327">
          <w:rPr>
            <w:rStyle w:val="Hyperlink"/>
          </w:rPr>
          <w:t>Table 142: Cost model inputs</w:t>
        </w:r>
        <w:r>
          <w:rPr>
            <w:webHidden/>
          </w:rPr>
          <w:tab/>
        </w:r>
        <w:r>
          <w:rPr>
            <w:webHidden/>
          </w:rPr>
          <w:fldChar w:fldCharType="begin"/>
        </w:r>
        <w:r>
          <w:rPr>
            <w:webHidden/>
          </w:rPr>
          <w:instrText xml:space="preserve"> PAGEREF _Toc207348707 \h </w:instrText>
        </w:r>
        <w:r>
          <w:rPr>
            <w:webHidden/>
          </w:rPr>
        </w:r>
        <w:r>
          <w:rPr>
            <w:webHidden/>
          </w:rPr>
          <w:fldChar w:fldCharType="separate"/>
        </w:r>
        <w:r w:rsidR="00D1685C">
          <w:rPr>
            <w:webHidden/>
          </w:rPr>
          <w:t>185</w:t>
        </w:r>
        <w:r>
          <w:rPr>
            <w:webHidden/>
          </w:rPr>
          <w:fldChar w:fldCharType="end"/>
        </w:r>
      </w:hyperlink>
    </w:p>
    <w:p w14:paraId="40323F9F" w14:textId="1B9130F6" w:rsidR="00C01E4A" w:rsidRDefault="007505DA" w:rsidP="00C01E4A">
      <w:pPr>
        <w:spacing w:before="0" w:after="160" w:line="259" w:lineRule="auto"/>
        <w:rPr>
          <w:b/>
          <w:noProof/>
        </w:rPr>
      </w:pPr>
      <w:r>
        <w:rPr>
          <w:b/>
          <w:noProof/>
        </w:rPr>
        <w:fldChar w:fldCharType="end"/>
      </w:r>
      <w:r w:rsidR="00C01E4A">
        <w:rPr>
          <w:b/>
          <w:noProof/>
        </w:rPr>
        <w:br w:type="page"/>
      </w:r>
    </w:p>
    <w:p w14:paraId="4C7683F0" w14:textId="23A7931A" w:rsidR="004C131F" w:rsidRPr="008A5BF0" w:rsidRDefault="004C131F" w:rsidP="00BB1293">
      <w:pPr>
        <w:pStyle w:val="Heading1TOCNoShow"/>
      </w:pPr>
      <w:r>
        <w:t>Acronyms</w:t>
      </w:r>
    </w:p>
    <w:tbl>
      <w:tblPr>
        <w:tblStyle w:val="KPMGTable"/>
        <w:tblW w:w="0" w:type="auto"/>
        <w:tblLook w:val="04A0" w:firstRow="1" w:lastRow="0" w:firstColumn="1" w:lastColumn="0" w:noHBand="0" w:noVBand="1"/>
      </w:tblPr>
      <w:tblGrid>
        <w:gridCol w:w="1843"/>
        <w:gridCol w:w="8080"/>
      </w:tblGrid>
      <w:tr w:rsidR="00772257" w14:paraId="65B9BB69" w14:textId="77777777" w:rsidTr="00DE07D5">
        <w:trPr>
          <w:cnfStyle w:val="100000000000" w:firstRow="1" w:lastRow="0" w:firstColumn="0" w:lastColumn="0" w:oddVBand="0" w:evenVBand="0" w:oddHBand="0" w:evenHBand="0" w:firstRowFirstColumn="0" w:firstRowLastColumn="0" w:lastRowFirstColumn="0" w:lastRowLastColumn="0"/>
          <w:trHeight w:val="335"/>
          <w:tblHeader/>
        </w:trPr>
        <w:tc>
          <w:tcPr>
            <w:cnfStyle w:val="001000000000" w:firstRow="0" w:lastRow="0" w:firstColumn="1" w:lastColumn="0" w:oddVBand="0" w:evenVBand="0" w:oddHBand="0" w:evenHBand="0" w:firstRowFirstColumn="0" w:firstRowLastColumn="0" w:lastRowFirstColumn="0" w:lastRowLastColumn="0"/>
            <w:tcW w:w="1843" w:type="dxa"/>
          </w:tcPr>
          <w:p w14:paraId="79B07C8E" w14:textId="77777777" w:rsidR="004C131F" w:rsidRPr="008A5BF0" w:rsidRDefault="004C131F" w:rsidP="008D3CA7">
            <w:pPr>
              <w:pStyle w:val="TableHeading"/>
            </w:pPr>
            <w:r w:rsidRPr="008A5BF0">
              <w:t>Acronym</w:t>
            </w:r>
          </w:p>
        </w:tc>
        <w:tc>
          <w:tcPr>
            <w:tcW w:w="8080" w:type="dxa"/>
          </w:tcPr>
          <w:p w14:paraId="02A742C9" w14:textId="77777777" w:rsidR="004C131F" w:rsidRPr="008A5BF0" w:rsidRDefault="004C131F" w:rsidP="008D3CA7">
            <w:pPr>
              <w:pStyle w:val="TableHeading"/>
              <w:cnfStyle w:val="100000000000" w:firstRow="1" w:lastRow="0" w:firstColumn="0" w:lastColumn="0" w:oddVBand="0" w:evenVBand="0" w:oddHBand="0" w:evenHBand="0" w:firstRowFirstColumn="0" w:firstRowLastColumn="0" w:lastRowFirstColumn="0" w:lastRowLastColumn="0"/>
            </w:pPr>
            <w:r w:rsidRPr="008A5BF0">
              <w:t>Description</w:t>
            </w:r>
          </w:p>
        </w:tc>
      </w:tr>
      <w:tr w:rsidR="00305136" w14:paraId="0EB97C26"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2157934D" w14:textId="3B503538" w:rsidR="004C131F" w:rsidRPr="007372D4" w:rsidRDefault="00581388" w:rsidP="00D210ED">
            <w:pPr>
              <w:pStyle w:val="Tabletextbold"/>
              <w:rPr>
                <w:szCs w:val="20"/>
              </w:rPr>
            </w:pPr>
            <w:r>
              <w:t>ACT</w:t>
            </w:r>
          </w:p>
        </w:tc>
        <w:tc>
          <w:tcPr>
            <w:tcW w:w="8080" w:type="dxa"/>
          </w:tcPr>
          <w:p w14:paraId="37BAA785" w14:textId="31B8F433" w:rsidR="004C131F" w:rsidRPr="007372D4" w:rsidRDefault="00581388"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t>Australian Capital Territory</w:t>
            </w:r>
          </w:p>
        </w:tc>
      </w:tr>
      <w:tr w:rsidR="00305136" w14:paraId="78A394D8"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6DE1D5FE" w14:textId="3F79A11C" w:rsidR="007372D4" w:rsidRPr="007372D4" w:rsidRDefault="00581388" w:rsidP="00D210ED">
            <w:pPr>
              <w:pStyle w:val="Tabletextbold"/>
              <w:rPr>
                <w:szCs w:val="20"/>
              </w:rPr>
            </w:pPr>
            <w:r>
              <w:t>ACALS</w:t>
            </w:r>
          </w:p>
        </w:tc>
        <w:tc>
          <w:tcPr>
            <w:tcW w:w="8080" w:type="dxa"/>
          </w:tcPr>
          <w:p w14:paraId="0BDB56F4" w14:textId="0A264811" w:rsidR="007372D4" w:rsidRPr="007372D4" w:rsidRDefault="00581388" w:rsidP="00D210ED">
            <w:pPr>
              <w:pStyle w:val="TableText"/>
              <w:cnfStyle w:val="000000000000" w:firstRow="0" w:lastRow="0" w:firstColumn="0" w:lastColumn="0" w:oddVBand="0" w:evenVBand="0" w:oddHBand="0" w:evenHBand="0" w:firstRowFirstColumn="0" w:firstRowLastColumn="0" w:lastRowFirstColumn="0" w:lastRowLastColumn="0"/>
              <w:rPr>
                <w:kern w:val="24"/>
                <w:szCs w:val="20"/>
              </w:rPr>
            </w:pPr>
            <w:r>
              <w:t>ACT Artificial Limb Scheme</w:t>
            </w:r>
          </w:p>
        </w:tc>
      </w:tr>
      <w:tr w:rsidR="00305136" w14:paraId="628AC963"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4E4688E1" w14:textId="19BF4C51" w:rsidR="007372D4" w:rsidRPr="007372D4" w:rsidRDefault="007372D4" w:rsidP="00D210ED">
            <w:pPr>
              <w:pStyle w:val="Tabletextbold"/>
            </w:pPr>
            <w:r w:rsidRPr="007372D4">
              <w:t>AIHW</w:t>
            </w:r>
          </w:p>
        </w:tc>
        <w:tc>
          <w:tcPr>
            <w:tcW w:w="8080" w:type="dxa"/>
          </w:tcPr>
          <w:p w14:paraId="02FDED71" w14:textId="5ADF91D8" w:rsidR="007372D4" w:rsidRPr="007372D4" w:rsidRDefault="007372D4" w:rsidP="00D210ED">
            <w:pPr>
              <w:pStyle w:val="TableText"/>
              <w:cnfStyle w:val="000000000000" w:firstRow="0" w:lastRow="0" w:firstColumn="0" w:lastColumn="0" w:oddVBand="0" w:evenVBand="0" w:oddHBand="0" w:evenHBand="0" w:firstRowFirstColumn="0" w:firstRowLastColumn="0" w:lastRowFirstColumn="0" w:lastRowLastColumn="0"/>
              <w:rPr>
                <w:kern w:val="24"/>
                <w:szCs w:val="20"/>
              </w:rPr>
            </w:pPr>
            <w:r w:rsidRPr="007372D4">
              <w:t xml:space="preserve">Australian Institute of Health and Welfare </w:t>
            </w:r>
          </w:p>
        </w:tc>
      </w:tr>
      <w:tr w:rsidR="00305136" w14:paraId="7E670923"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6F41CB0B" w14:textId="74DEFE06" w:rsidR="007372D4" w:rsidRPr="007372D4" w:rsidRDefault="00581388" w:rsidP="00D210ED">
            <w:pPr>
              <w:pStyle w:val="Tabletextbold"/>
              <w:rPr>
                <w:szCs w:val="20"/>
              </w:rPr>
            </w:pPr>
            <w:r>
              <w:t>BCNA</w:t>
            </w:r>
          </w:p>
        </w:tc>
        <w:tc>
          <w:tcPr>
            <w:tcW w:w="8080" w:type="dxa"/>
          </w:tcPr>
          <w:p w14:paraId="4A176413" w14:textId="1CD52783" w:rsidR="007372D4" w:rsidRPr="007372D4" w:rsidRDefault="00581388" w:rsidP="00D210ED">
            <w:pPr>
              <w:pStyle w:val="TableText"/>
              <w:cnfStyle w:val="000000000000" w:firstRow="0" w:lastRow="0" w:firstColumn="0" w:lastColumn="0" w:oddVBand="0" w:evenVBand="0" w:oddHBand="0" w:evenHBand="0" w:firstRowFirstColumn="0" w:firstRowLastColumn="0" w:lastRowFirstColumn="0" w:lastRowLastColumn="0"/>
              <w:rPr>
                <w:kern w:val="24"/>
                <w:szCs w:val="20"/>
              </w:rPr>
            </w:pPr>
            <w:r>
              <w:t>Breast Cancer Network Australia</w:t>
            </w:r>
          </w:p>
        </w:tc>
      </w:tr>
      <w:tr w:rsidR="00305136" w14:paraId="073AC059"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4437DEBD" w14:textId="53AA5C66" w:rsidR="00581388" w:rsidRDefault="00581388" w:rsidP="00D210ED">
            <w:pPr>
              <w:pStyle w:val="Tabletextbold"/>
            </w:pPr>
            <w:r>
              <w:t>CALD</w:t>
            </w:r>
          </w:p>
        </w:tc>
        <w:tc>
          <w:tcPr>
            <w:tcW w:w="8080" w:type="dxa"/>
          </w:tcPr>
          <w:p w14:paraId="2E68D832" w14:textId="3E90489B" w:rsidR="00581388" w:rsidRDefault="00581388" w:rsidP="00D210ED">
            <w:pPr>
              <w:pStyle w:val="TableText"/>
              <w:cnfStyle w:val="000000000000" w:firstRow="0" w:lastRow="0" w:firstColumn="0" w:lastColumn="0" w:oddVBand="0" w:evenVBand="0" w:oddHBand="0" w:evenHBand="0" w:firstRowFirstColumn="0" w:firstRowLastColumn="0" w:lastRowFirstColumn="0" w:lastRowLastColumn="0"/>
              <w:rPr>
                <w:kern w:val="24"/>
                <w:szCs w:val="20"/>
              </w:rPr>
            </w:pPr>
            <w:r w:rsidRPr="00581388">
              <w:t>Culturally and Linguistically Diverse</w:t>
            </w:r>
          </w:p>
        </w:tc>
      </w:tr>
      <w:tr w:rsidR="00305136" w14:paraId="578153CA"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7CDC87AE" w14:textId="77777777" w:rsidR="004C131F" w:rsidRPr="007372D4" w:rsidRDefault="004C131F" w:rsidP="00D210ED">
            <w:pPr>
              <w:pStyle w:val="Tabletextbold"/>
            </w:pPr>
            <w:r w:rsidRPr="007372D4">
              <w:t>CAPS</w:t>
            </w:r>
          </w:p>
        </w:tc>
        <w:tc>
          <w:tcPr>
            <w:tcW w:w="8080" w:type="dxa"/>
          </w:tcPr>
          <w:p w14:paraId="334E2229" w14:textId="77777777" w:rsidR="004C131F" w:rsidRPr="007372D4" w:rsidRDefault="004C131F" w:rsidP="00D210ED">
            <w:pPr>
              <w:pStyle w:val="TableText"/>
              <w:cnfStyle w:val="000000000000" w:firstRow="0" w:lastRow="0" w:firstColumn="0" w:lastColumn="0" w:oddVBand="0" w:evenVBand="0" w:oddHBand="0" w:evenHBand="0" w:firstRowFirstColumn="0" w:firstRowLastColumn="0" w:lastRowFirstColumn="0" w:lastRowLastColumn="0"/>
              <w:rPr>
                <w:kern w:val="24"/>
                <w:szCs w:val="20"/>
              </w:rPr>
            </w:pPr>
            <w:r w:rsidRPr="007372D4">
              <w:t xml:space="preserve">Cancer and </w:t>
            </w:r>
            <w:r w:rsidRPr="007372D4">
              <w:rPr>
                <w:kern w:val="24"/>
                <w:szCs w:val="20"/>
              </w:rPr>
              <w:t>Population Screening</w:t>
            </w:r>
          </w:p>
        </w:tc>
      </w:tr>
      <w:tr w:rsidR="00305136" w14:paraId="42669C48"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2822CB0C" w14:textId="23DF5F58" w:rsidR="00581388" w:rsidRPr="007372D4" w:rsidRDefault="00581388" w:rsidP="00D210ED">
            <w:pPr>
              <w:pStyle w:val="Tabletextbold"/>
              <w:rPr>
                <w:szCs w:val="20"/>
              </w:rPr>
            </w:pPr>
            <w:r>
              <w:t>CPCD</w:t>
            </w:r>
          </w:p>
        </w:tc>
        <w:tc>
          <w:tcPr>
            <w:tcW w:w="8080" w:type="dxa"/>
          </w:tcPr>
          <w:p w14:paraId="59D458FC" w14:textId="02DAD0C9" w:rsidR="00581388" w:rsidRPr="007372D4" w:rsidRDefault="00581388" w:rsidP="00D210ED">
            <w:pPr>
              <w:pStyle w:val="TableText"/>
              <w:cnfStyle w:val="000000000000" w:firstRow="0" w:lastRow="0" w:firstColumn="0" w:lastColumn="0" w:oddVBand="0" w:evenVBand="0" w:oddHBand="0" w:evenHBand="0" w:firstRowFirstColumn="0" w:firstRowLastColumn="0" w:lastRowFirstColumn="0" w:lastRowLastColumn="0"/>
              <w:rPr>
                <w:kern w:val="24"/>
                <w:szCs w:val="20"/>
              </w:rPr>
            </w:pPr>
            <w:r>
              <w:t>Canadian Dental Care Plan</w:t>
            </w:r>
          </w:p>
        </w:tc>
      </w:tr>
      <w:tr w:rsidR="00305136" w14:paraId="1600A472"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44ACF926" w14:textId="5024B18F" w:rsidR="00581388" w:rsidRDefault="00581388" w:rsidP="00D210ED">
            <w:pPr>
              <w:pStyle w:val="Tabletextbold"/>
            </w:pPr>
            <w:r>
              <w:t>CHS</w:t>
            </w:r>
          </w:p>
        </w:tc>
        <w:tc>
          <w:tcPr>
            <w:tcW w:w="8080" w:type="dxa"/>
          </w:tcPr>
          <w:p w14:paraId="3ADEF242" w14:textId="3DE4EE85" w:rsidR="00581388" w:rsidRDefault="00581388" w:rsidP="00D210ED">
            <w:pPr>
              <w:pStyle w:val="TableText"/>
              <w:cnfStyle w:val="000000000000" w:firstRow="0" w:lastRow="0" w:firstColumn="0" w:lastColumn="0" w:oddVBand="0" w:evenVBand="0" w:oddHBand="0" w:evenHBand="0" w:firstRowFirstColumn="0" w:firstRowLastColumn="0" w:lastRowFirstColumn="0" w:lastRowLastColumn="0"/>
              <w:rPr>
                <w:kern w:val="24"/>
                <w:szCs w:val="20"/>
              </w:rPr>
            </w:pPr>
            <w:r>
              <w:t>Canberra Health Service</w:t>
            </w:r>
          </w:p>
        </w:tc>
      </w:tr>
      <w:tr w:rsidR="00305136" w14:paraId="324E29E4"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17783E82" w14:textId="77777777" w:rsidR="004C131F" w:rsidRPr="007372D4" w:rsidRDefault="004C131F" w:rsidP="00D210ED">
            <w:pPr>
              <w:pStyle w:val="Tabletextbold"/>
            </w:pPr>
            <w:r w:rsidRPr="007372D4">
              <w:t>CPI</w:t>
            </w:r>
          </w:p>
        </w:tc>
        <w:tc>
          <w:tcPr>
            <w:tcW w:w="8080" w:type="dxa"/>
          </w:tcPr>
          <w:p w14:paraId="7B02B7B2" w14:textId="77777777" w:rsidR="004C131F" w:rsidRPr="007372D4" w:rsidRDefault="004C131F" w:rsidP="00D210ED">
            <w:pPr>
              <w:pStyle w:val="TableText"/>
              <w:cnfStyle w:val="000000000000" w:firstRow="0" w:lastRow="0" w:firstColumn="0" w:lastColumn="0" w:oddVBand="0" w:evenVBand="0" w:oddHBand="0" w:evenHBand="0" w:firstRowFirstColumn="0" w:firstRowLastColumn="0" w:lastRowFirstColumn="0" w:lastRowLastColumn="0"/>
              <w:rPr>
                <w:kern w:val="24"/>
                <w:szCs w:val="20"/>
              </w:rPr>
            </w:pPr>
            <w:r w:rsidRPr="007372D4">
              <w:t>Consumer Price Index</w:t>
            </w:r>
          </w:p>
        </w:tc>
      </w:tr>
      <w:tr w:rsidR="00305136" w14:paraId="5A6CBC57"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7BA9DDFA" w14:textId="77777777" w:rsidR="004C131F" w:rsidRPr="007372D4" w:rsidRDefault="004C131F" w:rsidP="00D210ED">
            <w:pPr>
              <w:pStyle w:val="Tabletextbold"/>
            </w:pPr>
            <w:r w:rsidRPr="007372D4">
              <w:t>DVA</w:t>
            </w:r>
          </w:p>
        </w:tc>
        <w:tc>
          <w:tcPr>
            <w:tcW w:w="8080" w:type="dxa"/>
          </w:tcPr>
          <w:p w14:paraId="3EB5AAF8" w14:textId="62866A64" w:rsidR="004C131F" w:rsidRPr="007372D4" w:rsidRDefault="004C131F"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rsidRPr="007372D4">
              <w:t>Department of Veterans</w:t>
            </w:r>
            <w:r w:rsidR="00581388">
              <w:rPr>
                <w:szCs w:val="20"/>
              </w:rPr>
              <w:t>’</w:t>
            </w:r>
            <w:r w:rsidRPr="007372D4">
              <w:rPr>
                <w:szCs w:val="20"/>
              </w:rPr>
              <w:t xml:space="preserve"> Affairs</w:t>
            </w:r>
          </w:p>
        </w:tc>
      </w:tr>
      <w:tr w:rsidR="00305136" w14:paraId="3DF567EC"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5E591127" w14:textId="2E459096" w:rsidR="00581388" w:rsidRPr="007372D4" w:rsidRDefault="00581388" w:rsidP="00D210ED">
            <w:pPr>
              <w:pStyle w:val="Tabletextbold"/>
              <w:rPr>
                <w:szCs w:val="20"/>
              </w:rPr>
            </w:pPr>
            <w:r>
              <w:t>EBPRP</w:t>
            </w:r>
          </w:p>
        </w:tc>
        <w:tc>
          <w:tcPr>
            <w:tcW w:w="8080" w:type="dxa"/>
          </w:tcPr>
          <w:p w14:paraId="19F3EDC5" w14:textId="1BD265B0" w:rsidR="00581388" w:rsidRPr="007372D4" w:rsidRDefault="00581388"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rsidRPr="00581388">
              <w:t>External Breast Prosthesis Reimbursement Program</w:t>
            </w:r>
          </w:p>
        </w:tc>
      </w:tr>
      <w:tr w:rsidR="00305136" w14:paraId="60AAF363"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32B1FC3B" w14:textId="558F89B6" w:rsidR="00581388" w:rsidRDefault="00581388" w:rsidP="00D210ED">
            <w:pPr>
              <w:pStyle w:val="Tabletextbold"/>
            </w:pPr>
            <w:r>
              <w:t>ENT</w:t>
            </w:r>
          </w:p>
        </w:tc>
        <w:tc>
          <w:tcPr>
            <w:tcW w:w="8080" w:type="dxa"/>
          </w:tcPr>
          <w:p w14:paraId="71262D76" w14:textId="157291C5" w:rsidR="00581388" w:rsidRPr="007372D4" w:rsidRDefault="00581388"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rsidRPr="00581388">
              <w:t>Ear, Nose and Throat</w:t>
            </w:r>
          </w:p>
        </w:tc>
      </w:tr>
      <w:tr w:rsidR="00305136" w14:paraId="46C4B750"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1882440D" w14:textId="77777777" w:rsidR="004C131F" w:rsidRPr="007372D4" w:rsidRDefault="004C131F" w:rsidP="00D210ED">
            <w:pPr>
              <w:pStyle w:val="Tabletextbold"/>
            </w:pPr>
            <w:r w:rsidRPr="007372D4">
              <w:t>FECCA</w:t>
            </w:r>
          </w:p>
        </w:tc>
        <w:tc>
          <w:tcPr>
            <w:tcW w:w="8080" w:type="dxa"/>
          </w:tcPr>
          <w:p w14:paraId="58797685" w14:textId="77777777" w:rsidR="004C131F" w:rsidRPr="007372D4" w:rsidRDefault="004C131F" w:rsidP="00D210ED">
            <w:pPr>
              <w:pStyle w:val="TableText"/>
              <w:cnfStyle w:val="000000000000" w:firstRow="0" w:lastRow="0" w:firstColumn="0" w:lastColumn="0" w:oddVBand="0" w:evenVBand="0" w:oddHBand="0" w:evenHBand="0" w:firstRowFirstColumn="0" w:firstRowLastColumn="0" w:lastRowFirstColumn="0" w:lastRowLastColumn="0"/>
            </w:pPr>
            <w:r w:rsidRPr="007372D4">
              <w:t>Federation of Ethnic Communities Councils of Australia</w:t>
            </w:r>
          </w:p>
        </w:tc>
      </w:tr>
      <w:tr w:rsidR="00305136" w14:paraId="1BB71EF0"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53ED2C83" w14:textId="36C5D573" w:rsidR="00581388" w:rsidRPr="007372D4" w:rsidRDefault="00581388" w:rsidP="00D210ED">
            <w:pPr>
              <w:pStyle w:val="Tabletextbold"/>
              <w:rPr>
                <w:szCs w:val="20"/>
              </w:rPr>
            </w:pPr>
            <w:r>
              <w:t>GP</w:t>
            </w:r>
          </w:p>
        </w:tc>
        <w:tc>
          <w:tcPr>
            <w:tcW w:w="8080" w:type="dxa"/>
          </w:tcPr>
          <w:p w14:paraId="4CD17D0C" w14:textId="6934312B" w:rsidR="00581388" w:rsidRPr="007372D4" w:rsidRDefault="00581388"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t>General Practitioner</w:t>
            </w:r>
          </w:p>
        </w:tc>
      </w:tr>
      <w:tr w:rsidR="00305136" w14:paraId="208B5D93"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04432A2E" w14:textId="3E3E0598" w:rsidR="00581388" w:rsidRPr="007372D4" w:rsidRDefault="00581388" w:rsidP="00D210ED">
            <w:pPr>
              <w:pStyle w:val="Tabletextbold"/>
              <w:rPr>
                <w:szCs w:val="20"/>
              </w:rPr>
            </w:pPr>
            <w:r>
              <w:t>HBCF</w:t>
            </w:r>
          </w:p>
        </w:tc>
        <w:tc>
          <w:tcPr>
            <w:tcW w:w="8080" w:type="dxa"/>
          </w:tcPr>
          <w:p w14:paraId="1FB5E7D3" w14:textId="1E4A7041" w:rsidR="00581388" w:rsidRPr="007372D4" w:rsidRDefault="00581388"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rsidRPr="00581388">
              <w:t>Hunter Breast Cancer Foundation</w:t>
            </w:r>
          </w:p>
        </w:tc>
      </w:tr>
      <w:tr w:rsidR="00305136" w14:paraId="218FD2EB"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42EDDD0B" w14:textId="0305C260" w:rsidR="00581388" w:rsidRPr="007372D4" w:rsidRDefault="007339B2" w:rsidP="00D210ED">
            <w:pPr>
              <w:pStyle w:val="Tabletextbold"/>
              <w:rPr>
                <w:szCs w:val="20"/>
              </w:rPr>
            </w:pPr>
            <w:r>
              <w:t>HME</w:t>
            </w:r>
          </w:p>
        </w:tc>
        <w:tc>
          <w:tcPr>
            <w:tcW w:w="8080" w:type="dxa"/>
          </w:tcPr>
          <w:p w14:paraId="3A45C47D" w14:textId="1553D7F2" w:rsidR="00581388" w:rsidRPr="007372D4" w:rsidRDefault="007339B2"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rsidRPr="007339B2">
              <w:t>Heat Moisture Exchanger</w:t>
            </w:r>
          </w:p>
        </w:tc>
      </w:tr>
      <w:tr w:rsidR="00305136" w14:paraId="200F78D1"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03B96097" w14:textId="77777777" w:rsidR="004C131F" w:rsidRPr="007372D4" w:rsidRDefault="004C131F" w:rsidP="00D210ED">
            <w:pPr>
              <w:pStyle w:val="Tabletextbold"/>
            </w:pPr>
            <w:r w:rsidRPr="007372D4">
              <w:t>HTA</w:t>
            </w:r>
          </w:p>
        </w:tc>
        <w:tc>
          <w:tcPr>
            <w:tcW w:w="8080" w:type="dxa"/>
          </w:tcPr>
          <w:p w14:paraId="79BB433D" w14:textId="77777777" w:rsidR="004C131F" w:rsidRPr="007372D4" w:rsidRDefault="004C131F" w:rsidP="00D210ED">
            <w:pPr>
              <w:pStyle w:val="TableText"/>
              <w:cnfStyle w:val="000000000000" w:firstRow="0" w:lastRow="0" w:firstColumn="0" w:lastColumn="0" w:oddVBand="0" w:evenVBand="0" w:oddHBand="0" w:evenHBand="0" w:firstRowFirstColumn="0" w:firstRowLastColumn="0" w:lastRowFirstColumn="0" w:lastRowLastColumn="0"/>
            </w:pPr>
            <w:r w:rsidRPr="007372D4">
              <w:t>Health Technology Assessment</w:t>
            </w:r>
          </w:p>
        </w:tc>
      </w:tr>
      <w:tr w:rsidR="00305136" w14:paraId="16A60F6A"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0C9AB4EF" w14:textId="77777777" w:rsidR="004C131F" w:rsidRPr="007372D4" w:rsidRDefault="004C131F" w:rsidP="00D210ED">
            <w:pPr>
              <w:pStyle w:val="Tabletextbold"/>
            </w:pPr>
            <w:r w:rsidRPr="007372D4">
              <w:t>ICT</w:t>
            </w:r>
          </w:p>
        </w:tc>
        <w:tc>
          <w:tcPr>
            <w:tcW w:w="8080" w:type="dxa"/>
          </w:tcPr>
          <w:p w14:paraId="261BE17C" w14:textId="77777777" w:rsidR="004C131F" w:rsidRPr="007372D4" w:rsidRDefault="004C131F" w:rsidP="00D210ED">
            <w:pPr>
              <w:pStyle w:val="TableText"/>
              <w:cnfStyle w:val="000000000000" w:firstRow="0" w:lastRow="0" w:firstColumn="0" w:lastColumn="0" w:oddVBand="0" w:evenVBand="0" w:oddHBand="0" w:evenHBand="0" w:firstRowFirstColumn="0" w:firstRowLastColumn="0" w:lastRowFirstColumn="0" w:lastRowLastColumn="0"/>
            </w:pPr>
            <w:r w:rsidRPr="007372D4">
              <w:t>Information and Communications Technology</w:t>
            </w:r>
          </w:p>
        </w:tc>
      </w:tr>
      <w:tr w:rsidR="00305136" w14:paraId="04876210"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7BAA2647" w14:textId="77777777" w:rsidR="004C131F" w:rsidRPr="007372D4" w:rsidRDefault="004C131F" w:rsidP="00D210ED">
            <w:pPr>
              <w:pStyle w:val="Tabletextbold"/>
            </w:pPr>
            <w:r w:rsidRPr="007372D4">
              <w:t>KRQ</w:t>
            </w:r>
          </w:p>
        </w:tc>
        <w:tc>
          <w:tcPr>
            <w:tcW w:w="8080" w:type="dxa"/>
          </w:tcPr>
          <w:p w14:paraId="498B6AA7" w14:textId="77777777" w:rsidR="004C131F" w:rsidRPr="007372D4" w:rsidRDefault="004C131F" w:rsidP="00D210ED">
            <w:pPr>
              <w:pStyle w:val="TableText"/>
              <w:cnfStyle w:val="000000000000" w:firstRow="0" w:lastRow="0" w:firstColumn="0" w:lastColumn="0" w:oddVBand="0" w:evenVBand="0" w:oddHBand="0" w:evenHBand="0" w:firstRowFirstColumn="0" w:firstRowLastColumn="0" w:lastRowFirstColumn="0" w:lastRowLastColumn="0"/>
            </w:pPr>
            <w:r w:rsidRPr="007372D4">
              <w:t>Key Research Question</w:t>
            </w:r>
          </w:p>
        </w:tc>
      </w:tr>
      <w:tr w:rsidR="00305136" w14:paraId="321B0CFA"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70D64373" w14:textId="02F2E2F4" w:rsidR="007339B2" w:rsidRPr="007372D4" w:rsidRDefault="007339B2" w:rsidP="00D210ED">
            <w:pPr>
              <w:pStyle w:val="Tabletextbold"/>
              <w:rPr>
                <w:szCs w:val="20"/>
              </w:rPr>
            </w:pPr>
            <w:r>
              <w:t>LGBTIQA+</w:t>
            </w:r>
          </w:p>
        </w:tc>
        <w:tc>
          <w:tcPr>
            <w:tcW w:w="8080" w:type="dxa"/>
          </w:tcPr>
          <w:p w14:paraId="66E674C8" w14:textId="6418A57D" w:rsidR="007339B2" w:rsidRPr="007372D4" w:rsidRDefault="007339B2"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rsidRPr="007339B2">
              <w:t>Lesbian, Gay, Bisexual, Transgender, Intersex, Queer and Asexual people</w:t>
            </w:r>
          </w:p>
        </w:tc>
      </w:tr>
      <w:tr w:rsidR="00305136" w14:paraId="2E7FD483"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5D6240E9" w14:textId="165D7B13" w:rsidR="007339B2" w:rsidRPr="007372D4" w:rsidRDefault="007339B2" w:rsidP="00D210ED">
            <w:pPr>
              <w:pStyle w:val="Tabletextbold"/>
              <w:rPr>
                <w:szCs w:val="20"/>
              </w:rPr>
            </w:pPr>
            <w:r>
              <w:t>LHD</w:t>
            </w:r>
          </w:p>
        </w:tc>
        <w:tc>
          <w:tcPr>
            <w:tcW w:w="8080" w:type="dxa"/>
          </w:tcPr>
          <w:p w14:paraId="1D610815" w14:textId="57E2DEE2" w:rsidR="007339B2" w:rsidRPr="007372D4" w:rsidRDefault="007339B2"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t>Local Health District</w:t>
            </w:r>
          </w:p>
        </w:tc>
      </w:tr>
      <w:tr w:rsidR="00305136" w14:paraId="60383BF6"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6AECB74F" w14:textId="1CD4FF70" w:rsidR="007339B2" w:rsidRPr="007372D4" w:rsidRDefault="007339B2" w:rsidP="00D210ED">
            <w:pPr>
              <w:pStyle w:val="Tabletextbold"/>
              <w:rPr>
                <w:szCs w:val="20"/>
              </w:rPr>
            </w:pPr>
            <w:r>
              <w:t>MASS</w:t>
            </w:r>
          </w:p>
        </w:tc>
        <w:tc>
          <w:tcPr>
            <w:tcW w:w="8080" w:type="dxa"/>
          </w:tcPr>
          <w:p w14:paraId="16413FC6" w14:textId="567D5DA7" w:rsidR="007339B2" w:rsidRPr="007372D4" w:rsidRDefault="007339B2"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t>Medical Aids Subsidy Scheme</w:t>
            </w:r>
          </w:p>
        </w:tc>
      </w:tr>
      <w:tr w:rsidR="00305136" w14:paraId="6C17B411"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1B3B2035" w14:textId="06ED5AC6" w:rsidR="007339B2" w:rsidRDefault="00F96BB1" w:rsidP="00D210ED">
            <w:pPr>
              <w:pStyle w:val="Tabletextbold"/>
              <w:rPr>
                <w:szCs w:val="20"/>
              </w:rPr>
            </w:pPr>
            <w:r>
              <w:t>MMM</w:t>
            </w:r>
          </w:p>
        </w:tc>
        <w:tc>
          <w:tcPr>
            <w:tcW w:w="8080" w:type="dxa"/>
          </w:tcPr>
          <w:p w14:paraId="464F525E" w14:textId="0D56BF09" w:rsidR="007339B2" w:rsidRDefault="00F96BB1"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rsidRPr="00F96BB1">
              <w:t>Modified Monash Model</w:t>
            </w:r>
          </w:p>
        </w:tc>
      </w:tr>
      <w:tr w:rsidR="00305136" w14:paraId="2E9C9AD3"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1EEEA565" w14:textId="544E6740" w:rsidR="007339B2" w:rsidRDefault="00F96BB1" w:rsidP="00D210ED">
            <w:pPr>
              <w:pStyle w:val="Tabletextbold"/>
              <w:rPr>
                <w:szCs w:val="20"/>
              </w:rPr>
            </w:pPr>
            <w:r>
              <w:t>MSAC</w:t>
            </w:r>
          </w:p>
        </w:tc>
        <w:tc>
          <w:tcPr>
            <w:tcW w:w="8080" w:type="dxa"/>
          </w:tcPr>
          <w:p w14:paraId="444BE4FD" w14:textId="69955863" w:rsidR="007339B2" w:rsidRDefault="00F96BB1"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rsidRPr="00F96BB1">
              <w:t>Medical Services Advisory Committee</w:t>
            </w:r>
          </w:p>
        </w:tc>
      </w:tr>
      <w:tr w:rsidR="00305136" w14:paraId="6723D6EC"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58C9A7AC" w14:textId="77777777" w:rsidR="004C131F" w:rsidRPr="007372D4" w:rsidRDefault="004C131F" w:rsidP="00D210ED">
            <w:pPr>
              <w:pStyle w:val="Tabletextbold"/>
            </w:pPr>
            <w:r w:rsidRPr="007372D4">
              <w:t>NACCHO</w:t>
            </w:r>
          </w:p>
        </w:tc>
        <w:tc>
          <w:tcPr>
            <w:tcW w:w="8080" w:type="dxa"/>
          </w:tcPr>
          <w:p w14:paraId="4B32639A" w14:textId="77777777" w:rsidR="004C131F" w:rsidRPr="007372D4" w:rsidRDefault="004C131F" w:rsidP="00D210ED">
            <w:pPr>
              <w:pStyle w:val="TableText"/>
              <w:cnfStyle w:val="000000000000" w:firstRow="0" w:lastRow="0" w:firstColumn="0" w:lastColumn="0" w:oddVBand="0" w:evenVBand="0" w:oddHBand="0" w:evenHBand="0" w:firstRowFirstColumn="0" w:firstRowLastColumn="0" w:lastRowFirstColumn="0" w:lastRowLastColumn="0"/>
            </w:pPr>
            <w:r w:rsidRPr="007372D4">
              <w:t>National Aboriginal Community Controlled Health Organisation</w:t>
            </w:r>
          </w:p>
        </w:tc>
      </w:tr>
      <w:tr w:rsidR="00305136" w14:paraId="0022C605"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64F8FC9D" w14:textId="77777777" w:rsidR="004C131F" w:rsidRPr="007372D4" w:rsidRDefault="004C131F" w:rsidP="00D210ED">
            <w:pPr>
              <w:pStyle w:val="Tabletextbold"/>
            </w:pPr>
            <w:r w:rsidRPr="007372D4">
              <w:t>NDIA</w:t>
            </w:r>
          </w:p>
        </w:tc>
        <w:tc>
          <w:tcPr>
            <w:tcW w:w="8080" w:type="dxa"/>
          </w:tcPr>
          <w:p w14:paraId="3F000DEB" w14:textId="77777777" w:rsidR="004C131F" w:rsidRPr="007372D4" w:rsidRDefault="004C131F" w:rsidP="00D210ED">
            <w:pPr>
              <w:pStyle w:val="TableText"/>
              <w:cnfStyle w:val="000000000000" w:firstRow="0" w:lastRow="0" w:firstColumn="0" w:lastColumn="0" w:oddVBand="0" w:evenVBand="0" w:oddHBand="0" w:evenHBand="0" w:firstRowFirstColumn="0" w:firstRowLastColumn="0" w:lastRowFirstColumn="0" w:lastRowLastColumn="0"/>
            </w:pPr>
            <w:r w:rsidRPr="007372D4">
              <w:t>National Disability Insurance Agency</w:t>
            </w:r>
          </w:p>
        </w:tc>
      </w:tr>
      <w:tr w:rsidR="00305136" w14:paraId="7EA5E1AF"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51135288" w14:textId="77777777" w:rsidR="004C131F" w:rsidRPr="007372D4" w:rsidRDefault="004C131F" w:rsidP="00D210ED">
            <w:pPr>
              <w:pStyle w:val="Tabletextbold"/>
            </w:pPr>
            <w:r w:rsidRPr="007372D4">
              <w:t>NDIS</w:t>
            </w:r>
          </w:p>
        </w:tc>
        <w:tc>
          <w:tcPr>
            <w:tcW w:w="8080" w:type="dxa"/>
          </w:tcPr>
          <w:p w14:paraId="6D520565" w14:textId="77777777" w:rsidR="004C131F" w:rsidRPr="007372D4" w:rsidRDefault="004C131F" w:rsidP="00D210ED">
            <w:pPr>
              <w:pStyle w:val="TableText"/>
              <w:cnfStyle w:val="000000000000" w:firstRow="0" w:lastRow="0" w:firstColumn="0" w:lastColumn="0" w:oddVBand="0" w:evenVBand="0" w:oddHBand="0" w:evenHBand="0" w:firstRowFirstColumn="0" w:firstRowLastColumn="0" w:lastRowFirstColumn="0" w:lastRowLastColumn="0"/>
            </w:pPr>
            <w:r w:rsidRPr="007372D4">
              <w:t>National Disability Insurance Scheme</w:t>
            </w:r>
          </w:p>
        </w:tc>
      </w:tr>
      <w:tr w:rsidR="00305136" w14:paraId="6479071F"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06544807" w14:textId="180E342E" w:rsidR="00F96BB1" w:rsidRPr="007372D4" w:rsidRDefault="00F96BB1" w:rsidP="00D210ED">
            <w:pPr>
              <w:pStyle w:val="Tabletextbold"/>
              <w:rPr>
                <w:szCs w:val="20"/>
              </w:rPr>
            </w:pPr>
            <w:r>
              <w:t>NHS</w:t>
            </w:r>
          </w:p>
        </w:tc>
        <w:tc>
          <w:tcPr>
            <w:tcW w:w="8080" w:type="dxa"/>
          </w:tcPr>
          <w:p w14:paraId="6A5BF2A8" w14:textId="20BD2A04" w:rsidR="00F96BB1" w:rsidRPr="007372D4" w:rsidRDefault="00F96BB1"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t xml:space="preserve">National Health </w:t>
            </w:r>
            <w:r w:rsidR="00A04404">
              <w:rPr>
                <w:szCs w:val="20"/>
              </w:rPr>
              <w:t>Service</w:t>
            </w:r>
          </w:p>
        </w:tc>
      </w:tr>
      <w:tr w:rsidR="00305136" w14:paraId="1647A5AD"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3CCFE94A" w14:textId="77777777" w:rsidR="004C131F" w:rsidRPr="007372D4" w:rsidRDefault="004C131F" w:rsidP="00D210ED">
            <w:pPr>
              <w:pStyle w:val="Tabletextbold"/>
            </w:pPr>
            <w:r w:rsidRPr="007372D4">
              <w:t>NHMRC</w:t>
            </w:r>
          </w:p>
        </w:tc>
        <w:tc>
          <w:tcPr>
            <w:tcW w:w="8080" w:type="dxa"/>
          </w:tcPr>
          <w:p w14:paraId="0F359952" w14:textId="77777777" w:rsidR="004C131F" w:rsidRPr="007372D4" w:rsidRDefault="004C131F" w:rsidP="00D210ED">
            <w:pPr>
              <w:pStyle w:val="TableText"/>
              <w:cnfStyle w:val="000000000000" w:firstRow="0" w:lastRow="0" w:firstColumn="0" w:lastColumn="0" w:oddVBand="0" w:evenVBand="0" w:oddHBand="0" w:evenHBand="0" w:firstRowFirstColumn="0" w:firstRowLastColumn="0" w:lastRowFirstColumn="0" w:lastRowLastColumn="0"/>
            </w:pPr>
            <w:r w:rsidRPr="007372D4">
              <w:t>National Health and Medical Research Council</w:t>
            </w:r>
          </w:p>
        </w:tc>
      </w:tr>
      <w:tr w:rsidR="00305136" w14:paraId="4A03E7F7"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73BF91C6" w14:textId="42887647" w:rsidR="00F96BB1" w:rsidRPr="007372D4" w:rsidRDefault="00F96BB1" w:rsidP="00D210ED">
            <w:pPr>
              <w:pStyle w:val="Tabletextbold"/>
              <w:rPr>
                <w:szCs w:val="20"/>
              </w:rPr>
            </w:pPr>
            <w:r>
              <w:t>NGO</w:t>
            </w:r>
          </w:p>
        </w:tc>
        <w:tc>
          <w:tcPr>
            <w:tcW w:w="8080" w:type="dxa"/>
          </w:tcPr>
          <w:p w14:paraId="17484175" w14:textId="42BA7CAA" w:rsidR="00F96BB1" w:rsidRPr="007372D4" w:rsidRDefault="00A04404"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rsidRPr="00A04404">
              <w:t>Non-Government Organisation</w:t>
            </w:r>
          </w:p>
        </w:tc>
      </w:tr>
      <w:tr w:rsidR="00305136" w14:paraId="14E68EB8"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1F17F927" w14:textId="354DDEA8" w:rsidR="009D09E5" w:rsidRDefault="009D09E5" w:rsidP="00D210ED">
            <w:pPr>
              <w:pStyle w:val="Tabletextbold"/>
            </w:pPr>
            <w:r>
              <w:t>NSW</w:t>
            </w:r>
          </w:p>
        </w:tc>
        <w:tc>
          <w:tcPr>
            <w:tcW w:w="8080" w:type="dxa"/>
          </w:tcPr>
          <w:p w14:paraId="75BDFED8" w14:textId="1DF0D9E9" w:rsidR="009D09E5" w:rsidRDefault="009D09E5" w:rsidP="00D210ED">
            <w:pPr>
              <w:pStyle w:val="TableText"/>
              <w:cnfStyle w:val="000000000000" w:firstRow="0" w:lastRow="0" w:firstColumn="0" w:lastColumn="0" w:oddVBand="0" w:evenVBand="0" w:oddHBand="0" w:evenHBand="0" w:firstRowFirstColumn="0" w:firstRowLastColumn="0" w:lastRowFirstColumn="0" w:lastRowLastColumn="0"/>
            </w:pPr>
            <w:r>
              <w:t>New South Wales</w:t>
            </w:r>
          </w:p>
        </w:tc>
      </w:tr>
      <w:tr w:rsidR="00305136" w14:paraId="7BC26EBC"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7844390D" w14:textId="4087002B" w:rsidR="00F96BB1" w:rsidRPr="007372D4" w:rsidRDefault="00A04404" w:rsidP="00D210ED">
            <w:pPr>
              <w:pStyle w:val="Tabletextbold"/>
              <w:rPr>
                <w:szCs w:val="20"/>
              </w:rPr>
            </w:pPr>
            <w:r>
              <w:t>NT</w:t>
            </w:r>
          </w:p>
        </w:tc>
        <w:tc>
          <w:tcPr>
            <w:tcW w:w="8080" w:type="dxa"/>
          </w:tcPr>
          <w:p w14:paraId="6C4DB26A" w14:textId="76C2AA8A" w:rsidR="00F96BB1" w:rsidRPr="007372D4" w:rsidRDefault="00A04404"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t>Northern Territory</w:t>
            </w:r>
          </w:p>
        </w:tc>
      </w:tr>
      <w:tr w:rsidR="00305136" w14:paraId="01ECE863"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07F623E3" w14:textId="1D0CB676" w:rsidR="00F96BB1" w:rsidRPr="007372D4" w:rsidRDefault="00A04404" w:rsidP="00D210ED">
            <w:pPr>
              <w:pStyle w:val="Tabletextbold"/>
              <w:rPr>
                <w:szCs w:val="20"/>
              </w:rPr>
            </w:pPr>
            <w:r>
              <w:t>OAPL</w:t>
            </w:r>
          </w:p>
        </w:tc>
        <w:tc>
          <w:tcPr>
            <w:tcW w:w="8080" w:type="dxa"/>
          </w:tcPr>
          <w:p w14:paraId="08CB7FA7" w14:textId="3DA395C8" w:rsidR="00F96BB1" w:rsidRPr="007372D4" w:rsidRDefault="00A04404"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rsidRPr="00A04404">
              <w:t>Orthopaedic Appliances Pty Ltd</w:t>
            </w:r>
          </w:p>
        </w:tc>
      </w:tr>
      <w:tr w:rsidR="00305136" w14:paraId="7B5E5232"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12BBCEA0" w14:textId="7F5B26E7" w:rsidR="00A04404" w:rsidRDefault="00A04404" w:rsidP="00D210ED">
            <w:pPr>
              <w:pStyle w:val="Tabletextbold"/>
            </w:pPr>
            <w:r>
              <w:t>OPST</w:t>
            </w:r>
          </w:p>
        </w:tc>
        <w:tc>
          <w:tcPr>
            <w:tcW w:w="8080" w:type="dxa"/>
          </w:tcPr>
          <w:p w14:paraId="49F29C2D" w14:textId="261E4BED" w:rsidR="00A04404" w:rsidRPr="007372D4" w:rsidRDefault="00A04404"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rsidRPr="00A04404">
              <w:t>Orthotic Prosthetic Services Tasmania</w:t>
            </w:r>
          </w:p>
        </w:tc>
      </w:tr>
      <w:tr w:rsidR="00305136" w14:paraId="2A99EF0B"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409B8667" w14:textId="2E19367B" w:rsidR="00A04404" w:rsidRDefault="00A04404" w:rsidP="00D210ED">
            <w:pPr>
              <w:pStyle w:val="Tabletextbold"/>
            </w:pPr>
            <w:r>
              <w:t>OPS</w:t>
            </w:r>
          </w:p>
        </w:tc>
        <w:tc>
          <w:tcPr>
            <w:tcW w:w="8080" w:type="dxa"/>
          </w:tcPr>
          <w:p w14:paraId="297FE5A7" w14:textId="1DD922D8" w:rsidR="00A04404" w:rsidRPr="007372D4" w:rsidRDefault="00A04404"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rsidRPr="00A04404">
              <w:t>Orthotic Prosthetic Solutions</w:t>
            </w:r>
          </w:p>
        </w:tc>
      </w:tr>
      <w:tr w:rsidR="00305136" w14:paraId="6E4D8A32"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12A5A2D7" w14:textId="4F129B30" w:rsidR="00A04404" w:rsidRDefault="00A04404" w:rsidP="00D210ED">
            <w:pPr>
              <w:pStyle w:val="Tabletextbold"/>
              <w:rPr>
                <w:szCs w:val="20"/>
              </w:rPr>
            </w:pPr>
            <w:r w:rsidRPr="007372D4">
              <w:t>PAHO</w:t>
            </w:r>
          </w:p>
        </w:tc>
        <w:tc>
          <w:tcPr>
            <w:tcW w:w="8080" w:type="dxa"/>
          </w:tcPr>
          <w:p w14:paraId="7764BA57" w14:textId="17D853C3" w:rsidR="00A04404" w:rsidRPr="007372D4" w:rsidRDefault="00A04404" w:rsidP="00D210ED">
            <w:pPr>
              <w:pStyle w:val="TableText"/>
              <w:cnfStyle w:val="000000000000" w:firstRow="0" w:lastRow="0" w:firstColumn="0" w:lastColumn="0" w:oddVBand="0" w:evenVBand="0" w:oddHBand="0" w:evenHBand="0" w:firstRowFirstColumn="0" w:firstRowLastColumn="0" w:lastRowFirstColumn="0" w:lastRowLastColumn="0"/>
            </w:pPr>
            <w:r w:rsidRPr="007372D4">
              <w:t>Pan American Health Organization</w:t>
            </w:r>
          </w:p>
        </w:tc>
      </w:tr>
      <w:tr w:rsidR="00305136" w14:paraId="31BEB328"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21E305F2" w14:textId="23D9B992" w:rsidR="00A04404" w:rsidRDefault="00A04404" w:rsidP="00D210ED">
            <w:pPr>
              <w:pStyle w:val="Tabletextbold"/>
            </w:pPr>
            <w:r>
              <w:t>PLS</w:t>
            </w:r>
          </w:p>
        </w:tc>
        <w:tc>
          <w:tcPr>
            <w:tcW w:w="8080" w:type="dxa"/>
          </w:tcPr>
          <w:p w14:paraId="1D67CA0A" w14:textId="7EFB0AC7" w:rsidR="00A04404" w:rsidRPr="007372D4" w:rsidRDefault="000813E3"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rsidRPr="000813E3">
              <w:t>Prosthetic Limb Service</w:t>
            </w:r>
          </w:p>
        </w:tc>
      </w:tr>
      <w:tr w:rsidR="00305136" w14:paraId="6BF156D8"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5817702E" w14:textId="67FDA494" w:rsidR="00A04404" w:rsidRDefault="00A04404" w:rsidP="00D210ED">
            <w:pPr>
              <w:pStyle w:val="Tabletextbold"/>
              <w:rPr>
                <w:szCs w:val="20"/>
              </w:rPr>
            </w:pPr>
            <w:r w:rsidRPr="007372D4">
              <w:t>PMO</w:t>
            </w:r>
          </w:p>
        </w:tc>
        <w:tc>
          <w:tcPr>
            <w:tcW w:w="8080" w:type="dxa"/>
          </w:tcPr>
          <w:p w14:paraId="16378B8D" w14:textId="089FBDDA" w:rsidR="00A04404" w:rsidRPr="007372D4" w:rsidRDefault="00A04404" w:rsidP="00D210ED">
            <w:pPr>
              <w:pStyle w:val="TableText"/>
              <w:cnfStyle w:val="000000000000" w:firstRow="0" w:lastRow="0" w:firstColumn="0" w:lastColumn="0" w:oddVBand="0" w:evenVBand="0" w:oddHBand="0" w:evenHBand="0" w:firstRowFirstColumn="0" w:firstRowLastColumn="0" w:lastRowFirstColumn="0" w:lastRowLastColumn="0"/>
            </w:pPr>
            <w:r w:rsidRPr="007372D4">
              <w:t>Project Management Office</w:t>
            </w:r>
          </w:p>
        </w:tc>
      </w:tr>
      <w:tr w:rsidR="00305136" w14:paraId="3CAEDFCA"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6655DE9C" w14:textId="26CA3AEC" w:rsidR="00A04404" w:rsidRDefault="000813E3" w:rsidP="00D210ED">
            <w:pPr>
              <w:pStyle w:val="Tabletextbold"/>
              <w:rPr>
                <w:szCs w:val="20"/>
              </w:rPr>
            </w:pPr>
            <w:r>
              <w:t>PSP</w:t>
            </w:r>
          </w:p>
        </w:tc>
        <w:tc>
          <w:tcPr>
            <w:tcW w:w="8080" w:type="dxa"/>
          </w:tcPr>
          <w:p w14:paraId="0749FE56" w14:textId="087CD70C" w:rsidR="00A04404" w:rsidRPr="007372D4" w:rsidRDefault="000813E3"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rsidRPr="000813E3">
              <w:t>Prosthetic Service Provider</w:t>
            </w:r>
          </w:p>
        </w:tc>
      </w:tr>
      <w:tr w:rsidR="00305136" w14:paraId="4AC63984"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34E82382" w14:textId="4FE6C9CA" w:rsidR="00A04404" w:rsidRDefault="000813E3" w:rsidP="00D210ED">
            <w:pPr>
              <w:pStyle w:val="Tabletextbold"/>
              <w:rPr>
                <w:szCs w:val="20"/>
              </w:rPr>
            </w:pPr>
            <w:r>
              <w:t>QLD</w:t>
            </w:r>
          </w:p>
        </w:tc>
        <w:tc>
          <w:tcPr>
            <w:tcW w:w="8080" w:type="dxa"/>
          </w:tcPr>
          <w:p w14:paraId="48A7070C" w14:textId="0C972FB4" w:rsidR="00A04404" w:rsidRPr="007372D4" w:rsidRDefault="000813E3"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t>Queensland</w:t>
            </w:r>
          </w:p>
        </w:tc>
      </w:tr>
      <w:tr w:rsidR="00305136" w14:paraId="44195B72"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55AB8AE1" w14:textId="5A196625" w:rsidR="004C131F" w:rsidRPr="007372D4" w:rsidRDefault="000813E3" w:rsidP="00D210ED">
            <w:pPr>
              <w:pStyle w:val="Tabletextbold"/>
              <w:rPr>
                <w:szCs w:val="20"/>
              </w:rPr>
            </w:pPr>
            <w:r>
              <w:t>RAP</w:t>
            </w:r>
          </w:p>
        </w:tc>
        <w:tc>
          <w:tcPr>
            <w:tcW w:w="8080" w:type="dxa"/>
          </w:tcPr>
          <w:p w14:paraId="30FBB9F3" w14:textId="24AE3887" w:rsidR="004C131F" w:rsidRPr="007372D4" w:rsidRDefault="005B6008"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rsidRPr="005B6008">
              <w:t>Rehabilitation Appliances Program</w:t>
            </w:r>
          </w:p>
        </w:tc>
      </w:tr>
      <w:tr w:rsidR="00305136" w14:paraId="41F4E4A1"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6A101A7F" w14:textId="73C0652D" w:rsidR="005B6008" w:rsidRDefault="005B6008" w:rsidP="00D210ED">
            <w:pPr>
              <w:pStyle w:val="Tabletextbold"/>
              <w:rPr>
                <w:szCs w:val="20"/>
              </w:rPr>
            </w:pPr>
            <w:r w:rsidRPr="007372D4">
              <w:t>RFT</w:t>
            </w:r>
          </w:p>
        </w:tc>
        <w:tc>
          <w:tcPr>
            <w:tcW w:w="8080" w:type="dxa"/>
          </w:tcPr>
          <w:p w14:paraId="06D55A46" w14:textId="36F669DB" w:rsidR="005B6008" w:rsidRPr="005B6008" w:rsidRDefault="005B6008"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rsidRPr="007372D4">
              <w:t>Request for Tender</w:t>
            </w:r>
          </w:p>
        </w:tc>
      </w:tr>
      <w:tr w:rsidR="00305136" w14:paraId="32F9F8E4"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1BD5F8C9" w14:textId="46C68304" w:rsidR="004C131F" w:rsidRPr="007372D4" w:rsidRDefault="005B6008" w:rsidP="00D210ED">
            <w:pPr>
              <w:pStyle w:val="Tabletextbold"/>
              <w:rPr>
                <w:szCs w:val="20"/>
              </w:rPr>
            </w:pPr>
            <w:r>
              <w:t>SA</w:t>
            </w:r>
          </w:p>
        </w:tc>
        <w:tc>
          <w:tcPr>
            <w:tcW w:w="8080" w:type="dxa"/>
          </w:tcPr>
          <w:p w14:paraId="7AB5FEB9" w14:textId="50B6E22A" w:rsidR="004C131F" w:rsidRPr="007372D4" w:rsidRDefault="005B6008"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t>South Australia</w:t>
            </w:r>
          </w:p>
        </w:tc>
      </w:tr>
      <w:tr w:rsidR="00305136" w14:paraId="66D32A38"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7D9C6174" w14:textId="0452838E" w:rsidR="005B6008" w:rsidRDefault="005B6008" w:rsidP="00D210ED">
            <w:pPr>
              <w:pStyle w:val="Tabletextbold"/>
            </w:pPr>
            <w:r>
              <w:t>SAALS</w:t>
            </w:r>
          </w:p>
        </w:tc>
        <w:tc>
          <w:tcPr>
            <w:tcW w:w="8080" w:type="dxa"/>
          </w:tcPr>
          <w:p w14:paraId="7353899C" w14:textId="2CD10ADB" w:rsidR="005B6008" w:rsidRDefault="005B6008"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rsidRPr="005B6008">
              <w:t>South Australian Amputee Limb Service</w:t>
            </w:r>
          </w:p>
        </w:tc>
      </w:tr>
      <w:tr w:rsidR="00305136" w14:paraId="2AB28553"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33148EA1" w14:textId="2A6A456F" w:rsidR="005B6008" w:rsidRDefault="005B6008" w:rsidP="00D210ED">
            <w:pPr>
              <w:pStyle w:val="Tabletextbold"/>
            </w:pPr>
            <w:r>
              <w:t>SACH</w:t>
            </w:r>
          </w:p>
        </w:tc>
        <w:tc>
          <w:tcPr>
            <w:tcW w:w="8080" w:type="dxa"/>
          </w:tcPr>
          <w:p w14:paraId="36B0762E" w14:textId="39C030EA" w:rsidR="005B6008" w:rsidRDefault="00127FC0"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rsidRPr="00127FC0">
              <w:t>Solid Ankle Cushion Heel</w:t>
            </w:r>
          </w:p>
        </w:tc>
      </w:tr>
      <w:tr w:rsidR="00305136" w14:paraId="18AF6A8C"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5BC6537F" w14:textId="02179A4E" w:rsidR="005B6008" w:rsidRDefault="005B6008" w:rsidP="00D210ED">
            <w:pPr>
              <w:pStyle w:val="Tabletextbold"/>
            </w:pPr>
            <w:r>
              <w:t>SWEP</w:t>
            </w:r>
          </w:p>
        </w:tc>
        <w:tc>
          <w:tcPr>
            <w:tcW w:w="8080" w:type="dxa"/>
          </w:tcPr>
          <w:p w14:paraId="627E0C6C" w14:textId="6AC41B83" w:rsidR="005B6008" w:rsidRDefault="00127FC0"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rsidRPr="00127FC0">
              <w:t>State-Wide Equipment Program</w:t>
            </w:r>
          </w:p>
        </w:tc>
      </w:tr>
      <w:tr w:rsidR="00305136" w14:paraId="21AAA0C0"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06898F83" w14:textId="51FCCD31" w:rsidR="005B6008" w:rsidRDefault="00127FC0" w:rsidP="00D210ED">
            <w:pPr>
              <w:pStyle w:val="Tabletextbold"/>
              <w:rPr>
                <w:szCs w:val="20"/>
              </w:rPr>
            </w:pPr>
            <w:r>
              <w:t>TAS</w:t>
            </w:r>
          </w:p>
        </w:tc>
        <w:tc>
          <w:tcPr>
            <w:tcW w:w="8080" w:type="dxa"/>
          </w:tcPr>
          <w:p w14:paraId="6653387A" w14:textId="10A949A8" w:rsidR="005B6008" w:rsidRDefault="00127FC0"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t>Tasmania</w:t>
            </w:r>
          </w:p>
        </w:tc>
      </w:tr>
      <w:tr w:rsidR="00305136" w14:paraId="507BC1EE"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6C41FED3" w14:textId="5992C96A" w:rsidR="005B6008" w:rsidRDefault="00127FC0" w:rsidP="00D210ED">
            <w:pPr>
              <w:pStyle w:val="Tabletextbold"/>
              <w:rPr>
                <w:szCs w:val="20"/>
              </w:rPr>
            </w:pPr>
            <w:r>
              <w:t>TGA</w:t>
            </w:r>
          </w:p>
        </w:tc>
        <w:tc>
          <w:tcPr>
            <w:tcW w:w="8080" w:type="dxa"/>
          </w:tcPr>
          <w:p w14:paraId="3AD9CC34" w14:textId="68C4A433" w:rsidR="005B6008" w:rsidRDefault="00127FC0"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rsidRPr="00127FC0">
              <w:t>Therapeutic Goods Administration</w:t>
            </w:r>
          </w:p>
        </w:tc>
      </w:tr>
      <w:tr w:rsidR="00305136" w14:paraId="7534FF02"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3ACE1C12" w14:textId="736FC334" w:rsidR="004C131F" w:rsidRPr="007372D4" w:rsidRDefault="00127FC0" w:rsidP="00D210ED">
            <w:pPr>
              <w:pStyle w:val="Tabletextbold"/>
              <w:rPr>
                <w:szCs w:val="20"/>
              </w:rPr>
            </w:pPr>
            <w:r>
              <w:t>UK</w:t>
            </w:r>
          </w:p>
        </w:tc>
        <w:tc>
          <w:tcPr>
            <w:tcW w:w="8080" w:type="dxa"/>
          </w:tcPr>
          <w:p w14:paraId="10179ED5" w14:textId="1E0053B8" w:rsidR="004C131F" w:rsidRPr="007372D4" w:rsidRDefault="00127FC0"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t>United Kingdom</w:t>
            </w:r>
          </w:p>
        </w:tc>
      </w:tr>
      <w:tr w:rsidR="00305136" w14:paraId="792A8E06"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3B0FFF35" w14:textId="35522EA3" w:rsidR="00127FC0" w:rsidRDefault="00127FC0" w:rsidP="00D210ED">
            <w:pPr>
              <w:pStyle w:val="Tabletextbold"/>
            </w:pPr>
            <w:r>
              <w:t>VED</w:t>
            </w:r>
          </w:p>
        </w:tc>
        <w:tc>
          <w:tcPr>
            <w:tcW w:w="8080" w:type="dxa"/>
          </w:tcPr>
          <w:p w14:paraId="6FBE78BB" w14:textId="4182AB0E" w:rsidR="00127FC0" w:rsidRPr="007372D4" w:rsidRDefault="00127FC0"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t>Vacuum Erection Device</w:t>
            </w:r>
          </w:p>
        </w:tc>
      </w:tr>
      <w:tr w:rsidR="00305136" w14:paraId="22879C56"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476E19EB" w14:textId="57E782DF" w:rsidR="00127FC0" w:rsidRDefault="00127FC0" w:rsidP="00D210ED">
            <w:pPr>
              <w:pStyle w:val="Tabletextbold"/>
            </w:pPr>
            <w:r>
              <w:t>VIC</w:t>
            </w:r>
          </w:p>
        </w:tc>
        <w:tc>
          <w:tcPr>
            <w:tcW w:w="8080" w:type="dxa"/>
          </w:tcPr>
          <w:p w14:paraId="65E52349" w14:textId="031AB661" w:rsidR="00127FC0" w:rsidRPr="007372D4" w:rsidRDefault="00127FC0"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t>Victoria</w:t>
            </w:r>
          </w:p>
        </w:tc>
      </w:tr>
      <w:tr w:rsidR="00305136" w14:paraId="70245D91"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72076B64" w14:textId="6B29F661" w:rsidR="00127FC0" w:rsidRDefault="00127FC0" w:rsidP="00D210ED">
            <w:pPr>
              <w:pStyle w:val="Tabletextbold"/>
              <w:rPr>
                <w:szCs w:val="20"/>
              </w:rPr>
            </w:pPr>
            <w:r w:rsidRPr="007372D4">
              <w:t>VHL</w:t>
            </w:r>
          </w:p>
        </w:tc>
        <w:tc>
          <w:tcPr>
            <w:tcW w:w="8080" w:type="dxa"/>
          </w:tcPr>
          <w:p w14:paraId="21AFCBA6" w14:textId="43DDDE00" w:rsidR="00127FC0" w:rsidRPr="007372D4" w:rsidRDefault="00127FC0" w:rsidP="00D210ED">
            <w:pPr>
              <w:pStyle w:val="TableText"/>
              <w:cnfStyle w:val="000000000000" w:firstRow="0" w:lastRow="0" w:firstColumn="0" w:lastColumn="0" w:oddVBand="0" w:evenVBand="0" w:oddHBand="0" w:evenHBand="0" w:firstRowFirstColumn="0" w:firstRowLastColumn="0" w:lastRowFirstColumn="0" w:lastRowLastColumn="0"/>
            </w:pPr>
            <w:r w:rsidRPr="007372D4">
              <w:t>Virtual Health Library</w:t>
            </w:r>
          </w:p>
        </w:tc>
      </w:tr>
      <w:tr w:rsidR="00305136" w14:paraId="27D5BB18"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5D59F672" w14:textId="587E9A7B" w:rsidR="00127FC0" w:rsidRDefault="00127FC0" w:rsidP="00D210ED">
            <w:pPr>
              <w:pStyle w:val="Tabletextbold"/>
            </w:pPr>
            <w:r>
              <w:t>WA</w:t>
            </w:r>
          </w:p>
        </w:tc>
        <w:tc>
          <w:tcPr>
            <w:tcW w:w="8080" w:type="dxa"/>
          </w:tcPr>
          <w:p w14:paraId="5F5054E5" w14:textId="654BCE1D" w:rsidR="00127FC0" w:rsidRPr="007372D4" w:rsidRDefault="00127FC0"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t>Western Australia</w:t>
            </w:r>
          </w:p>
        </w:tc>
      </w:tr>
      <w:tr w:rsidR="00305136" w14:paraId="4F41FC10" w14:textId="77777777" w:rsidTr="008D3CA7">
        <w:tc>
          <w:tcPr>
            <w:cnfStyle w:val="001000000000" w:firstRow="0" w:lastRow="0" w:firstColumn="1" w:lastColumn="0" w:oddVBand="0" w:evenVBand="0" w:oddHBand="0" w:evenHBand="0" w:firstRowFirstColumn="0" w:firstRowLastColumn="0" w:lastRowFirstColumn="0" w:lastRowLastColumn="0"/>
            <w:tcW w:w="1843" w:type="dxa"/>
          </w:tcPr>
          <w:p w14:paraId="0D27E152" w14:textId="71E512A4" w:rsidR="004C131F" w:rsidRPr="007372D4" w:rsidRDefault="00127FC0" w:rsidP="00D210ED">
            <w:pPr>
              <w:pStyle w:val="Tabletextbold"/>
              <w:rPr>
                <w:szCs w:val="20"/>
              </w:rPr>
            </w:pPr>
            <w:r>
              <w:t>WALSA</w:t>
            </w:r>
          </w:p>
        </w:tc>
        <w:tc>
          <w:tcPr>
            <w:tcW w:w="8080" w:type="dxa"/>
          </w:tcPr>
          <w:p w14:paraId="4DFBC85A" w14:textId="03447238" w:rsidR="004C131F" w:rsidRPr="007372D4" w:rsidRDefault="00127FC0" w:rsidP="00D210ED">
            <w:pPr>
              <w:pStyle w:val="TableText"/>
              <w:cnfStyle w:val="000000000000" w:firstRow="0" w:lastRow="0" w:firstColumn="0" w:lastColumn="0" w:oddVBand="0" w:evenVBand="0" w:oddHBand="0" w:evenHBand="0" w:firstRowFirstColumn="0" w:firstRowLastColumn="0" w:lastRowFirstColumn="0" w:lastRowLastColumn="0"/>
              <w:rPr>
                <w:szCs w:val="20"/>
              </w:rPr>
            </w:pPr>
            <w:r>
              <w:t>WA Limb Service for Amputees</w:t>
            </w:r>
          </w:p>
        </w:tc>
      </w:tr>
    </w:tbl>
    <w:p w14:paraId="316FC3B6" w14:textId="77777777" w:rsidR="004C131F" w:rsidRPr="008B474C" w:rsidRDefault="004C131F" w:rsidP="008B474C"/>
    <w:p w14:paraId="1C512D66" w14:textId="7272ECEA" w:rsidR="00E57D35" w:rsidRPr="008B474C" w:rsidRDefault="00E57D35" w:rsidP="008B474C">
      <w:pPr>
        <w:sectPr w:rsidR="00E57D35" w:rsidRPr="008B474C" w:rsidSect="00CC60C1">
          <w:headerReference w:type="default" r:id="rId24"/>
          <w:footerReference w:type="default" r:id="rId25"/>
          <w:pgSz w:w="11906" w:h="16838"/>
          <w:pgMar w:top="1418" w:right="851" w:bottom="1418" w:left="851" w:header="567" w:footer="284" w:gutter="0"/>
          <w:pgNumType w:fmt="lowerRoman"/>
          <w:cols w:space="708"/>
          <w:docGrid w:linePitch="360"/>
        </w:sectPr>
      </w:pPr>
    </w:p>
    <w:p w14:paraId="0599DD41" w14:textId="09F4682E" w:rsidR="005944E9" w:rsidRPr="00FD54A5" w:rsidRDefault="00A976CC" w:rsidP="008B474C">
      <w:pPr>
        <w:rPr>
          <w:rFonts w:asciiTheme="majorHAnsi" w:hAnsiTheme="majorHAnsi"/>
          <w:color w:val="FFFFFF" w:themeColor="background1"/>
          <w:sz w:val="96"/>
          <w:szCs w:val="144"/>
        </w:rPr>
        <w:sectPr w:rsidR="005944E9" w:rsidRPr="00FD54A5" w:rsidSect="00317AA1">
          <w:headerReference w:type="even" r:id="rId26"/>
          <w:footerReference w:type="default" r:id="rId27"/>
          <w:headerReference w:type="first" r:id="rId28"/>
          <w:pgSz w:w="11906" w:h="16838"/>
          <w:pgMar w:top="1311" w:right="851" w:bottom="851" w:left="851" w:header="567" w:footer="283" w:gutter="0"/>
          <w:cols w:space="708"/>
          <w:docGrid w:linePitch="360"/>
        </w:sectPr>
      </w:pPr>
      <w:r w:rsidRPr="008B474C">
        <w:drawing>
          <wp:anchor distT="0" distB="0" distL="114300" distR="114300" simplePos="0" relativeHeight="251658246" behindDoc="1" locked="1" layoutInCell="1" allowOverlap="1" wp14:anchorId="7B258700" wp14:editId="1D637D7D">
            <wp:simplePos x="0" y="0"/>
            <wp:positionH relativeFrom="page">
              <wp:align>left</wp:align>
            </wp:positionH>
            <wp:positionV relativeFrom="page">
              <wp:align>top</wp:align>
            </wp:positionV>
            <wp:extent cx="7559675" cy="10691495"/>
            <wp:effectExtent l="0" t="0" r="3175" b="0"/>
            <wp:wrapNone/>
            <wp:docPr id="85103222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032228" name="Graphic 1">
                      <a:extLst>
                        <a:ext uri="{C183D7F6-B498-43B3-948B-1728B52AA6E4}">
                          <adec:decorative xmlns:adec="http://schemas.microsoft.com/office/drawing/2017/decorative" val="1"/>
                        </a:ext>
                      </a:extLst>
                    </pic:cNvPr>
                    <pic:cNvPicPr/>
                  </pic:nvPicPr>
                  <pic:blipFill>
                    <a:blip r:embed="rId29">
                      <a:extLst>
                        <a:ext uri="{28A0092B-C50C-407E-A947-70E740481C1C}">
                          <a14:useLocalDpi xmlns:a14="http://schemas.microsoft.com/office/drawing/2010/main" val="0"/>
                        </a:ext>
                      </a:extLst>
                    </a:blip>
                    <a:stretch>
                      <a:fillRect/>
                    </a:stretch>
                  </pic:blipFill>
                  <pic:spPr>
                    <a:xfrm>
                      <a:off x="0" y="0"/>
                      <a:ext cx="7559847" cy="10692000"/>
                    </a:xfrm>
                    <a:prstGeom prst="rect">
                      <a:avLst/>
                    </a:prstGeom>
                  </pic:spPr>
                </pic:pic>
              </a:graphicData>
            </a:graphic>
            <wp14:sizeRelH relativeFrom="margin">
              <wp14:pctWidth>0</wp14:pctWidth>
            </wp14:sizeRelH>
            <wp14:sizeRelV relativeFrom="margin">
              <wp14:pctHeight>0</wp14:pctHeight>
            </wp14:sizeRelV>
          </wp:anchor>
        </w:drawing>
      </w:r>
    </w:p>
    <w:p w14:paraId="3617F4E3" w14:textId="08CA0DDA" w:rsidR="000938D6" w:rsidRPr="00273AFB" w:rsidRDefault="000938D6" w:rsidP="009251D9">
      <w:pPr>
        <w:pStyle w:val="Heading1"/>
        <w:numPr>
          <w:ilvl w:val="0"/>
          <w:numId w:val="0"/>
        </w:numPr>
        <w:spacing w:after="360"/>
      </w:pPr>
      <w:bookmarkStart w:id="0" w:name="_Toc207348725"/>
      <w:r>
        <w:t>Executive summary</w:t>
      </w:r>
      <w:bookmarkEnd w:id="0"/>
    </w:p>
    <w:p w14:paraId="6BE6CF13" w14:textId="2E017EBF" w:rsidR="00651941" w:rsidRPr="003176A8" w:rsidRDefault="00632261" w:rsidP="00CE3DCC">
      <w:pPr>
        <w:pStyle w:val="Bodytext-introduction"/>
      </w:pPr>
      <w:r w:rsidRPr="003176A8">
        <w:t>In</w:t>
      </w:r>
      <w:r w:rsidR="00DC45C6" w:rsidRPr="003176A8">
        <w:t xml:space="preserve"> March 2025,</w:t>
      </w:r>
      <w:r w:rsidRPr="003176A8">
        <w:t xml:space="preserve"> </w:t>
      </w:r>
      <w:r w:rsidR="00DC45C6" w:rsidRPr="003176A8">
        <w:t>t</w:t>
      </w:r>
      <w:r w:rsidR="004843CD" w:rsidRPr="003176A8">
        <w:t xml:space="preserve">he Department of Health, Disability and Ageing (the Department) engaged </w:t>
      </w:r>
      <w:r w:rsidR="000B62E6">
        <w:t>an independent reviewer</w:t>
      </w:r>
      <w:r w:rsidR="004843CD" w:rsidRPr="003176A8">
        <w:t xml:space="preserve"> to </w:t>
      </w:r>
      <w:r w:rsidR="000B62E6">
        <w:t xml:space="preserve">conduct a review of the equity of cancer prostheses </w:t>
      </w:r>
      <w:r w:rsidR="004843CD" w:rsidRPr="003176A8">
        <w:t xml:space="preserve">in Australia. The purpose of the review was to understand current </w:t>
      </w:r>
      <w:r w:rsidR="00EB5137" w:rsidRPr="003176A8">
        <w:t xml:space="preserve">access to </w:t>
      </w:r>
      <w:r w:rsidR="00183A90" w:rsidRPr="003176A8">
        <w:t xml:space="preserve">external </w:t>
      </w:r>
      <w:r w:rsidR="00EB5137" w:rsidRPr="003176A8">
        <w:t xml:space="preserve">prostheses </w:t>
      </w:r>
      <w:r w:rsidR="004843CD" w:rsidRPr="003176A8">
        <w:t xml:space="preserve">across Australia for </w:t>
      </w:r>
      <w:r w:rsidR="00EB5137" w:rsidRPr="003176A8">
        <w:t>people with lived or living experience of cancer. This</w:t>
      </w:r>
      <w:r w:rsidR="004843CD" w:rsidRPr="003176A8">
        <w:t xml:space="preserve"> provided the evidence to consider the </w:t>
      </w:r>
      <w:r w:rsidR="00D47870" w:rsidRPr="003176A8">
        <w:t xml:space="preserve">options </w:t>
      </w:r>
      <w:r w:rsidR="005E1BFE" w:rsidRPr="003176A8">
        <w:t>for,</w:t>
      </w:r>
      <w:r w:rsidR="00D47870" w:rsidRPr="003176A8">
        <w:t xml:space="preserve"> and </w:t>
      </w:r>
      <w:r w:rsidR="00B564EF" w:rsidRPr="003176A8">
        <w:t xml:space="preserve">the </w:t>
      </w:r>
      <w:r w:rsidR="004843CD" w:rsidRPr="003176A8">
        <w:t>cost</w:t>
      </w:r>
      <w:r w:rsidR="00EB5137" w:rsidRPr="003176A8">
        <w:t>s associated with</w:t>
      </w:r>
      <w:r w:rsidR="005E1BFE" w:rsidRPr="003176A8">
        <w:t>,</w:t>
      </w:r>
      <w:r w:rsidR="00EB5137" w:rsidRPr="003176A8">
        <w:t xml:space="preserve"> </w:t>
      </w:r>
      <w:r w:rsidR="004843CD" w:rsidRPr="003176A8">
        <w:t xml:space="preserve">a </w:t>
      </w:r>
      <w:r w:rsidR="005E1BFE" w:rsidRPr="003176A8">
        <w:t xml:space="preserve">potential </w:t>
      </w:r>
      <w:r w:rsidR="00EF2228" w:rsidRPr="003176A8">
        <w:t xml:space="preserve">future </w:t>
      </w:r>
      <w:r w:rsidR="00EB5137" w:rsidRPr="003176A8">
        <w:t>national</w:t>
      </w:r>
      <w:r w:rsidR="004843CD" w:rsidRPr="003176A8">
        <w:t xml:space="preserve"> program designed to address </w:t>
      </w:r>
      <w:r w:rsidR="00F25CF2" w:rsidRPr="003176A8">
        <w:t>service gaps and barriers to equitable</w:t>
      </w:r>
      <w:r w:rsidR="00DF6E69">
        <w:t> </w:t>
      </w:r>
      <w:r w:rsidR="00F25CF2" w:rsidRPr="003176A8">
        <w:t>access</w:t>
      </w:r>
      <w:r w:rsidR="004843CD" w:rsidRPr="003176A8">
        <w:t>.</w:t>
      </w:r>
    </w:p>
    <w:p w14:paraId="3E0B8EE8" w14:textId="77777777" w:rsidR="00840B9A" w:rsidRDefault="00840B9A" w:rsidP="00567163">
      <w:pPr>
        <w:pStyle w:val="Heading2nonumber"/>
      </w:pPr>
      <w:bookmarkStart w:id="1" w:name="_Toc201930851"/>
      <w:bookmarkStart w:id="2" w:name="_Toc203131959"/>
      <w:bookmarkStart w:id="3" w:name="_Toc206423615"/>
      <w:bookmarkStart w:id="4" w:name="_Toc207348726"/>
      <w:r>
        <w:t>Background</w:t>
      </w:r>
      <w:bookmarkEnd w:id="1"/>
      <w:bookmarkEnd w:id="2"/>
      <w:bookmarkEnd w:id="3"/>
      <w:bookmarkEnd w:id="4"/>
    </w:p>
    <w:p w14:paraId="30D3350B" w14:textId="0E625B4F" w:rsidR="00C5383F" w:rsidRDefault="00302E88" w:rsidP="00CE3DCC">
      <w:r w:rsidRPr="00302E88">
        <w:t xml:space="preserve">Cancer remains the leading cause of death and the </w:t>
      </w:r>
      <w:r w:rsidR="001E7783">
        <w:t>most significant</w:t>
      </w:r>
      <w:r w:rsidRPr="00302E88">
        <w:t xml:space="preserve"> contributor to disease burden in Australia, with approximately 165,000 new cases diagnosed each year. While</w:t>
      </w:r>
      <w:r w:rsidR="00403A89">
        <w:t xml:space="preserve"> recent</w:t>
      </w:r>
      <w:r w:rsidRPr="00302E88">
        <w:t xml:space="preserve"> medical advance</w:t>
      </w:r>
      <w:r w:rsidR="00C5383F">
        <w:t>ments</w:t>
      </w:r>
      <w:r w:rsidRPr="00302E88">
        <w:t xml:space="preserve"> have improved survival rates, many </w:t>
      </w:r>
      <w:r w:rsidR="002D650B">
        <w:t>people</w:t>
      </w:r>
      <w:r w:rsidR="002D650B" w:rsidRPr="00302E88">
        <w:t xml:space="preserve"> </w:t>
      </w:r>
      <w:r w:rsidRPr="00302E88">
        <w:t xml:space="preserve">experience lasting </w:t>
      </w:r>
      <w:r w:rsidR="00E768AE" w:rsidRPr="00E768AE">
        <w:t xml:space="preserve">impacts </w:t>
      </w:r>
      <w:r w:rsidR="00D30ADB">
        <w:t>to</w:t>
      </w:r>
      <w:r w:rsidR="00E768AE" w:rsidRPr="00E768AE">
        <w:t xml:space="preserve"> their physical health and emotional wellbeing. These impacts can be particularly significant for individuals who have undergone an amputation or resection of a part of their body to treat or manage their cancer. For these individuals, prostheses </w:t>
      </w:r>
      <w:r w:rsidR="001D5510">
        <w:t xml:space="preserve">can </w:t>
      </w:r>
      <w:r w:rsidR="00E768AE" w:rsidRPr="00E768AE">
        <w:t>play a crucial role in helping to maintain their quality of life, restore functionality, foster independence, and support psychological wellbein</w:t>
      </w:r>
      <w:r w:rsidR="001D5510">
        <w:t>g</w:t>
      </w:r>
      <w:r w:rsidRPr="00302E88">
        <w:t>. However, access to publicly funded prosthes</w:t>
      </w:r>
      <w:r w:rsidR="001D5510">
        <w:t>e</w:t>
      </w:r>
      <w:r w:rsidRPr="00302E88">
        <w:t xml:space="preserve">s services in Australia is inconsistent and depends on the type of prosthesis required. </w:t>
      </w:r>
    </w:p>
    <w:p w14:paraId="1EEEC1E5" w14:textId="4CF1AD1B" w:rsidR="00302E88" w:rsidRDefault="00242708" w:rsidP="00CE3DCC">
      <w:r>
        <w:t>The inconsistencies</w:t>
      </w:r>
      <w:r w:rsidR="00C5383F" w:rsidRPr="001C06A0">
        <w:t xml:space="preserve"> </w:t>
      </w:r>
      <w:r w:rsidR="00C5383F">
        <w:t>in current funding schemes and barriers to accessing prostheses for people with living or lived experience of cancer have been highlighted by several recent federal reviews and strategies</w:t>
      </w:r>
      <w:r w:rsidR="001D5510">
        <w:t>,</w:t>
      </w:r>
      <w:r w:rsidR="00C5383F">
        <w:t xml:space="preserve"> including: </w:t>
      </w:r>
    </w:p>
    <w:p w14:paraId="066741B7" w14:textId="24FDAA9F" w:rsidR="00C5383F" w:rsidRDefault="00266055" w:rsidP="004A4AA1">
      <w:pPr>
        <w:pStyle w:val="Bullet1stlevel"/>
      </w:pPr>
      <w:r>
        <w:t>Recommendation</w:t>
      </w:r>
      <w:r w:rsidR="00691B20">
        <w:t xml:space="preserve"> 14</w:t>
      </w:r>
      <w:r>
        <w:t xml:space="preserve"> from the</w:t>
      </w:r>
      <w:r w:rsidR="00C5383F">
        <w:t xml:space="preserve"> Senate Community Affairs References Committee </w:t>
      </w:r>
      <w:r w:rsidR="0031762E">
        <w:t xml:space="preserve">enquiry </w:t>
      </w:r>
      <w:r w:rsidR="00C5383F">
        <w:t xml:space="preserve">into </w:t>
      </w:r>
      <w:r w:rsidR="00C5383F" w:rsidRPr="00266055">
        <w:rPr>
          <w:i/>
          <w:iCs/>
        </w:rPr>
        <w:t>Equitable access to diagnosis and treatment for individuals with rare and less common cancers, including neuroendocrine cancer</w:t>
      </w:r>
      <w:r w:rsidR="007878AB">
        <w:t>. The committee recommended that</w:t>
      </w:r>
      <w:r w:rsidR="00242708" w:rsidRPr="00242708">
        <w:t xml:space="preserve"> the Australian Government </w:t>
      </w:r>
      <w:r w:rsidR="00691B20">
        <w:t xml:space="preserve">work with </w:t>
      </w:r>
      <w:r w:rsidR="00A72A22">
        <w:t>S</w:t>
      </w:r>
      <w:r w:rsidR="00691B20">
        <w:t xml:space="preserve">tate and </w:t>
      </w:r>
      <w:r w:rsidR="00A72A22">
        <w:t>T</w:t>
      </w:r>
      <w:r w:rsidR="00691B20">
        <w:t xml:space="preserve">erritory </w:t>
      </w:r>
      <w:r w:rsidR="00A72A22">
        <w:t>G</w:t>
      </w:r>
      <w:r w:rsidR="00691B20">
        <w:t>overnments to</w:t>
      </w:r>
      <w:r w:rsidR="00242708" w:rsidRPr="00242708">
        <w:t xml:space="preserve"> identify the barriers faced by cancer patients</w:t>
      </w:r>
      <w:r w:rsidR="007878AB">
        <w:t xml:space="preserve"> requiring rehabilitation, prosthetics and implants </w:t>
      </w:r>
      <w:proofErr w:type="gramStart"/>
      <w:r w:rsidR="007878AB">
        <w:t>as a result of</w:t>
      </w:r>
      <w:proofErr w:type="gramEnd"/>
      <w:r w:rsidR="007878AB">
        <w:t xml:space="preserve"> their treatment, with a view to ensuring they have financial support for those services. </w:t>
      </w:r>
    </w:p>
    <w:p w14:paraId="3EFAA102" w14:textId="7647BE17" w:rsidR="00266055" w:rsidRDefault="00FE6C0D" w:rsidP="004A4AA1">
      <w:pPr>
        <w:pStyle w:val="Bullet1stlevel"/>
      </w:pPr>
      <w:r>
        <w:t>The e</w:t>
      </w:r>
      <w:r w:rsidR="00266055">
        <w:t>valuation of the External Breast Prosthesis Reimbursement Program</w:t>
      </w:r>
      <w:r w:rsidR="00407F5E">
        <w:t>, which</w:t>
      </w:r>
      <w:r w:rsidR="00266055">
        <w:t xml:space="preserve"> </w:t>
      </w:r>
      <w:r w:rsidR="00407F5E">
        <w:t>highlighted notable barriers that limit equitable access to external breast prostheses,</w:t>
      </w:r>
      <w:r w:rsidR="00F41B7D" w:rsidRPr="00F41B7D">
        <w:t xml:space="preserve"> including the need for an up-front payment. </w:t>
      </w:r>
      <w:r w:rsidR="002F2500">
        <w:t>It was</w:t>
      </w:r>
      <w:r w:rsidR="00F41B7D">
        <w:t xml:space="preserve"> also </w:t>
      </w:r>
      <w:r w:rsidR="005D1C3F">
        <w:t>noted</w:t>
      </w:r>
      <w:r w:rsidR="00F41B7D">
        <w:t xml:space="preserve"> that these</w:t>
      </w:r>
      <w:r w:rsidR="00F41B7D" w:rsidRPr="00F41B7D">
        <w:t xml:space="preserve"> barriers </w:t>
      </w:r>
      <w:r w:rsidR="00F41B7D">
        <w:t xml:space="preserve">are significant for </w:t>
      </w:r>
      <w:r w:rsidR="00F41B7D" w:rsidRPr="00F41B7D">
        <w:t>priority population</w:t>
      </w:r>
      <w:r w:rsidR="00F41B7D">
        <w:t xml:space="preserve"> groups</w:t>
      </w:r>
      <w:r w:rsidR="00F41B7D" w:rsidRPr="00F41B7D">
        <w:t>, including First Nations and CALD communities</w:t>
      </w:r>
      <w:r w:rsidR="00266055">
        <w:t>.</w:t>
      </w:r>
    </w:p>
    <w:p w14:paraId="48A47647" w14:textId="39547BB5" w:rsidR="00E36FDD" w:rsidRDefault="00E36FDD" w:rsidP="004A4AA1">
      <w:pPr>
        <w:pStyle w:val="Bullet1stlevel"/>
      </w:pPr>
      <w:r>
        <w:t>The Australian Cancer Plan</w:t>
      </w:r>
      <w:r w:rsidR="00407F5E">
        <w:t>,</w:t>
      </w:r>
      <w:r>
        <w:t xml:space="preserve"> </w:t>
      </w:r>
      <w:r w:rsidR="00E77456">
        <w:t xml:space="preserve">which </w:t>
      </w:r>
      <w:r w:rsidR="00FE6C0D">
        <w:t xml:space="preserve">includes the </w:t>
      </w:r>
      <w:r>
        <w:t>aim</w:t>
      </w:r>
      <w:r w:rsidR="00FE6C0D">
        <w:t xml:space="preserve"> of</w:t>
      </w:r>
      <w:r>
        <w:t xml:space="preserve"> reduc</w:t>
      </w:r>
      <w:r w:rsidR="00FE6C0D">
        <w:t>ing</w:t>
      </w:r>
      <w:r>
        <w:t xml:space="preserve"> disparities in cancer care, particularly for priority populations.</w:t>
      </w:r>
    </w:p>
    <w:p w14:paraId="39B4B838" w14:textId="4650A5A0" w:rsidR="00840B9A" w:rsidRDefault="00840B9A" w:rsidP="00567163">
      <w:pPr>
        <w:pStyle w:val="Heading2nonumber"/>
      </w:pPr>
      <w:bookmarkStart w:id="5" w:name="_Toc201930852"/>
      <w:bookmarkStart w:id="6" w:name="_Toc203131960"/>
      <w:bookmarkStart w:id="7" w:name="_Toc206423616"/>
      <w:bookmarkStart w:id="8" w:name="_Toc207348727"/>
      <w:r>
        <w:t>Review purpose and scope</w:t>
      </w:r>
      <w:bookmarkEnd w:id="5"/>
      <w:bookmarkEnd w:id="6"/>
      <w:bookmarkEnd w:id="7"/>
      <w:bookmarkEnd w:id="8"/>
    </w:p>
    <w:p w14:paraId="3BD49B50" w14:textId="156420B7" w:rsidR="00AF556E" w:rsidRPr="00CE3DCC" w:rsidRDefault="002D087F" w:rsidP="00CE3DCC">
      <w:r>
        <w:t xml:space="preserve">The Department commissioned </w:t>
      </w:r>
      <w:r w:rsidR="00792776">
        <w:t>an independent reviewer</w:t>
      </w:r>
      <w:r w:rsidR="00AF556E" w:rsidRPr="00AF556E">
        <w:t xml:space="preserve"> </w:t>
      </w:r>
      <w:r w:rsidR="002B28FC">
        <w:t>to review equity in access to cancer prostheses in Australia</w:t>
      </w:r>
      <w:r w:rsidR="00D47A98">
        <w:t>.</w:t>
      </w:r>
      <w:r w:rsidR="00AF556E" w:rsidRPr="00AF556E">
        <w:t xml:space="preserve"> The review focused on </w:t>
      </w:r>
      <w:r w:rsidR="00CB1C0A">
        <w:t>understanding</w:t>
      </w:r>
      <w:r w:rsidR="00AF556E" w:rsidRPr="00AF556E">
        <w:t xml:space="preserve"> current prostheses services</w:t>
      </w:r>
      <w:r w:rsidR="00CB1C0A">
        <w:t xml:space="preserve"> available across </w:t>
      </w:r>
      <w:r w:rsidR="00D47A98">
        <w:t>the country</w:t>
      </w:r>
      <w:r w:rsidR="00AF556E" w:rsidRPr="00AF556E">
        <w:t xml:space="preserve"> to identify gaps</w:t>
      </w:r>
      <w:r w:rsidR="009B2B00">
        <w:t xml:space="preserve"> </w:t>
      </w:r>
      <w:r w:rsidR="00D47A98">
        <w:t>and</w:t>
      </w:r>
      <w:r w:rsidR="00AF556E" w:rsidRPr="00AF556E">
        <w:t xml:space="preserve"> barriers</w:t>
      </w:r>
      <w:r w:rsidR="009B2B00">
        <w:t xml:space="preserve"> </w:t>
      </w:r>
      <w:r w:rsidR="00D47A98">
        <w:t>to access</w:t>
      </w:r>
      <w:r w:rsidR="009B2B00">
        <w:t xml:space="preserve">. </w:t>
      </w:r>
      <w:r w:rsidR="00AF556E" w:rsidRPr="00AF556E">
        <w:t>Additionally, the review</w:t>
      </w:r>
      <w:r w:rsidR="00D47A98">
        <w:t xml:space="preserve"> sought to</w:t>
      </w:r>
      <w:r w:rsidR="00AF556E" w:rsidRPr="00AF556E">
        <w:t xml:space="preserve"> </w:t>
      </w:r>
      <w:r w:rsidR="00FB0343">
        <w:t>understand</w:t>
      </w:r>
      <w:r w:rsidR="00AF556E" w:rsidRPr="00AF556E">
        <w:t xml:space="preserve"> the</w:t>
      </w:r>
      <w:r w:rsidR="00F42FE9">
        <w:t xml:space="preserve"> potential</w:t>
      </w:r>
      <w:r w:rsidR="00AF556E" w:rsidRPr="00AF556E">
        <w:t xml:space="preserve"> cost implications </w:t>
      </w:r>
      <w:r w:rsidR="00F42FE9" w:rsidRPr="00F42FE9">
        <w:t xml:space="preserve">if a new national program </w:t>
      </w:r>
      <w:r w:rsidR="00FB0343">
        <w:t>were</w:t>
      </w:r>
      <w:r w:rsidR="00F42FE9" w:rsidRPr="00F42FE9">
        <w:t xml:space="preserve"> to be established to support </w:t>
      </w:r>
      <w:r w:rsidR="00D10367">
        <w:t>equitable</w:t>
      </w:r>
      <w:r w:rsidR="00AF556E" w:rsidRPr="00AF556E">
        <w:t xml:space="preserve"> access to prostheses</w:t>
      </w:r>
      <w:r w:rsidR="00104F40">
        <w:t xml:space="preserve"> for</w:t>
      </w:r>
      <w:r w:rsidR="00BD681F">
        <w:t xml:space="preserve"> </w:t>
      </w:r>
      <w:r w:rsidR="00104F40">
        <w:t xml:space="preserve">people living with or who have lived </w:t>
      </w:r>
      <w:r w:rsidR="00104F40" w:rsidRPr="00CE3DCC">
        <w:t>experience of</w:t>
      </w:r>
      <w:r w:rsidR="00EA2477" w:rsidRPr="00CE3DCC">
        <w:t> </w:t>
      </w:r>
      <w:r w:rsidR="00104F40" w:rsidRPr="00CE3DCC">
        <w:t xml:space="preserve">cancer. </w:t>
      </w:r>
    </w:p>
    <w:p w14:paraId="6FDB2059" w14:textId="0F73EE9E" w:rsidR="00991F96" w:rsidRPr="00991F96" w:rsidRDefault="00991F96" w:rsidP="00CE3DCC">
      <w:r w:rsidRPr="00CE3DCC">
        <w:t>The scope of this review was provided by the Department and was validated with key stakeholders as part of a review design workshop</w:t>
      </w:r>
      <w:r w:rsidR="00D157CF" w:rsidRPr="00CE3DCC">
        <w:t xml:space="preserve"> (see </w:t>
      </w:r>
      <w:r w:rsidR="00D157CF" w:rsidRPr="00CE3DCC">
        <w:fldChar w:fldCharType="begin"/>
      </w:r>
      <w:r w:rsidR="00D157CF" w:rsidRPr="00CE3DCC">
        <w:instrText xml:space="preserve"> REF _Ref201824949 \w \h </w:instrText>
      </w:r>
      <w:r w:rsidR="00CE3DCC">
        <w:instrText xml:space="preserve"> \* MERGEFORMAT </w:instrText>
      </w:r>
      <w:r w:rsidR="00D157CF" w:rsidRPr="00CE3DCC">
        <w:fldChar w:fldCharType="separate"/>
      </w:r>
      <w:r w:rsidR="00D955D8" w:rsidRPr="00CE3DCC">
        <w:t>Appendix B</w:t>
      </w:r>
      <w:r w:rsidR="00D157CF" w:rsidRPr="00CE3DCC">
        <w:fldChar w:fldCharType="end"/>
      </w:r>
      <w:r w:rsidR="00D157CF" w:rsidRPr="00CE3DCC">
        <w:t xml:space="preserve"> for a list of </w:t>
      </w:r>
      <w:r w:rsidR="00EF1D90" w:rsidRPr="00CE3DCC">
        <w:t>workshop attendees)</w:t>
      </w:r>
      <w:r w:rsidRPr="00CE3DCC">
        <w:t>. For the purposes of this review, the term ‘prosthe</w:t>
      </w:r>
      <w:r>
        <w:t xml:space="preserve">sis’ referred to an </w:t>
      </w:r>
      <w:r w:rsidRPr="00E2235D">
        <w:t xml:space="preserve">external </w:t>
      </w:r>
      <w:r>
        <w:t>device that replaces a part of a person’s body that was removed due to cancer and / or cancer treatment</w:t>
      </w:r>
      <w:r w:rsidR="00FB0343">
        <w:t>. This</w:t>
      </w:r>
      <w:r w:rsidRPr="00991F96">
        <w:t xml:space="preserve"> includ</w:t>
      </w:r>
      <w:r w:rsidR="00FB0343">
        <w:t>ed</w:t>
      </w:r>
      <w:r w:rsidRPr="00991F96">
        <w:t>:</w:t>
      </w:r>
    </w:p>
    <w:p w14:paraId="3F72A10D" w14:textId="2DE637A1" w:rsidR="00991F96" w:rsidRPr="00DC4E99" w:rsidRDefault="00991F96" w:rsidP="00DC4E99">
      <w:pPr>
        <w:pStyle w:val="Bullet1stlevel"/>
      </w:pPr>
      <w:r w:rsidRPr="00DC4E99">
        <w:t>Facial prostheses</w:t>
      </w:r>
      <w:r w:rsidR="00202458" w:rsidRPr="00DC4E99">
        <w:t>,</w:t>
      </w:r>
      <w:r w:rsidRPr="00DC4E99">
        <w:t xml:space="preserve"> including prosthetic ears, noses, eyeballs, orbital prostheses and hemi-facial prostheses</w:t>
      </w:r>
    </w:p>
    <w:p w14:paraId="59429D96" w14:textId="77777777" w:rsidR="00FB0343" w:rsidRPr="00DC4E99" w:rsidRDefault="00FB0343" w:rsidP="00DC4E99">
      <w:pPr>
        <w:pStyle w:val="Bullet1stlevel"/>
      </w:pPr>
      <w:r w:rsidRPr="00DC4E99">
        <w:t>External breast prostheses</w:t>
      </w:r>
    </w:p>
    <w:p w14:paraId="7220D011" w14:textId="54CA3441" w:rsidR="00991F96" w:rsidRPr="00DC4E99" w:rsidRDefault="00991F96" w:rsidP="00DC4E99">
      <w:pPr>
        <w:pStyle w:val="Bullet1stlevel"/>
      </w:pPr>
      <w:r w:rsidRPr="00DC4E99">
        <w:t>Limb prostheses</w:t>
      </w:r>
      <w:r w:rsidR="00202458" w:rsidRPr="00DC4E99">
        <w:t>,</w:t>
      </w:r>
      <w:r w:rsidRPr="00DC4E99">
        <w:t xml:space="preserve"> including arm prostheses fitted at, above or below the elbow and leg prostheses fitted at, above or below the knee.</w:t>
      </w:r>
    </w:p>
    <w:p w14:paraId="4CB812C7" w14:textId="45F929C2" w:rsidR="006B55B8" w:rsidRDefault="006B55B8" w:rsidP="00CE3DCC">
      <w:pPr>
        <w:rPr>
          <w:color w:val="auto"/>
        </w:rPr>
      </w:pPr>
      <w:r>
        <w:rPr>
          <w:color w:val="auto"/>
        </w:rPr>
        <w:t xml:space="preserve">Throughout the review, several other types of prostheses were </w:t>
      </w:r>
      <w:r w:rsidR="00C41BBF">
        <w:rPr>
          <w:color w:val="auto"/>
        </w:rPr>
        <w:t xml:space="preserve">discussed </w:t>
      </w:r>
      <w:r>
        <w:rPr>
          <w:color w:val="auto"/>
        </w:rPr>
        <w:t xml:space="preserve">by stakeholders that </w:t>
      </w:r>
      <w:proofErr w:type="gramStart"/>
      <w:r>
        <w:rPr>
          <w:color w:val="auto"/>
        </w:rPr>
        <w:t xml:space="preserve">were </w:t>
      </w:r>
      <w:r w:rsidR="002B3FB3">
        <w:rPr>
          <w:color w:val="auto"/>
        </w:rPr>
        <w:t>considered to be</w:t>
      </w:r>
      <w:proofErr w:type="gramEnd"/>
      <w:r w:rsidR="002B3FB3">
        <w:rPr>
          <w:color w:val="auto"/>
        </w:rPr>
        <w:t xml:space="preserve"> outside the </w:t>
      </w:r>
      <w:r>
        <w:rPr>
          <w:color w:val="auto"/>
        </w:rPr>
        <w:t>agreed</w:t>
      </w:r>
      <w:r w:rsidR="00904518">
        <w:rPr>
          <w:color w:val="auto"/>
        </w:rPr>
        <w:t xml:space="preserve"> review</w:t>
      </w:r>
      <w:r>
        <w:rPr>
          <w:color w:val="auto"/>
        </w:rPr>
        <w:t xml:space="preserve"> scope</w:t>
      </w:r>
      <w:r w:rsidR="000058D7">
        <w:rPr>
          <w:color w:val="auto"/>
        </w:rPr>
        <w:t xml:space="preserve">. This included </w:t>
      </w:r>
      <w:r w:rsidR="00D05ADF">
        <w:rPr>
          <w:color w:val="auto"/>
        </w:rPr>
        <w:t>oral prostheses</w:t>
      </w:r>
      <w:r w:rsidR="002B3FB3">
        <w:rPr>
          <w:color w:val="auto"/>
        </w:rPr>
        <w:t xml:space="preserve">, </w:t>
      </w:r>
      <w:r w:rsidR="00B57221">
        <w:rPr>
          <w:color w:val="auto"/>
        </w:rPr>
        <w:t>which</w:t>
      </w:r>
      <w:r w:rsidR="002078CF" w:rsidRPr="002078CF">
        <w:rPr>
          <w:color w:val="auto"/>
        </w:rPr>
        <w:t xml:space="preserve"> are typically considered </w:t>
      </w:r>
      <w:r w:rsidR="00327397">
        <w:rPr>
          <w:color w:val="auto"/>
        </w:rPr>
        <w:t xml:space="preserve">implants, and prostheses that require further evaluation </w:t>
      </w:r>
      <w:r w:rsidR="008855D2" w:rsidRPr="008855D2">
        <w:rPr>
          <w:color w:val="auto"/>
        </w:rPr>
        <w:t>to determine if they meet the definition of an external prosthes</w:t>
      </w:r>
      <w:r w:rsidR="004B445C">
        <w:rPr>
          <w:color w:val="auto"/>
        </w:rPr>
        <w:t>i</w:t>
      </w:r>
      <w:r w:rsidR="008855D2" w:rsidRPr="008855D2">
        <w:rPr>
          <w:color w:val="auto"/>
        </w:rPr>
        <w:t>s</w:t>
      </w:r>
      <w:r w:rsidR="002078CF">
        <w:rPr>
          <w:color w:val="auto"/>
        </w:rPr>
        <w:t>. This</w:t>
      </w:r>
      <w:r w:rsidR="002B3FB3">
        <w:rPr>
          <w:color w:val="auto"/>
        </w:rPr>
        <w:t xml:space="preserve"> includ</w:t>
      </w:r>
      <w:r w:rsidR="002078CF">
        <w:rPr>
          <w:color w:val="auto"/>
        </w:rPr>
        <w:t>ed</w:t>
      </w:r>
      <w:r w:rsidR="008855D2" w:rsidRPr="008855D2">
        <w:rPr>
          <w:color w:val="auto"/>
        </w:rPr>
        <w:t xml:space="preserve"> </w:t>
      </w:r>
      <w:r w:rsidR="000058D7">
        <w:rPr>
          <w:color w:val="auto"/>
        </w:rPr>
        <w:t xml:space="preserve">non-indwelling </w:t>
      </w:r>
      <w:r>
        <w:rPr>
          <w:color w:val="auto"/>
        </w:rPr>
        <w:t>v</w:t>
      </w:r>
      <w:r w:rsidRPr="00A6514D">
        <w:rPr>
          <w:color w:val="auto"/>
        </w:rPr>
        <w:t>oice prostheses</w:t>
      </w:r>
      <w:r w:rsidR="002B3FB3">
        <w:rPr>
          <w:color w:val="auto"/>
        </w:rPr>
        <w:t xml:space="preserve"> and</w:t>
      </w:r>
      <w:r w:rsidRPr="00A6514D">
        <w:rPr>
          <w:color w:val="auto"/>
        </w:rPr>
        <w:t xml:space="preserve"> male reproductive</w:t>
      </w:r>
      <w:r w:rsidR="002B3FB3">
        <w:rPr>
          <w:color w:val="auto"/>
        </w:rPr>
        <w:t xml:space="preserve"> prostheses</w:t>
      </w:r>
      <w:r w:rsidRPr="00A6514D">
        <w:rPr>
          <w:color w:val="auto"/>
        </w:rPr>
        <w:t xml:space="preserve">. </w:t>
      </w:r>
      <w:r>
        <w:rPr>
          <w:color w:val="auto"/>
        </w:rPr>
        <w:t xml:space="preserve">While not </w:t>
      </w:r>
      <w:r w:rsidR="00981E6F">
        <w:rPr>
          <w:color w:val="auto"/>
        </w:rPr>
        <w:t>in scope, these prostheses have been included in</w:t>
      </w:r>
      <w:r w:rsidR="005910EC">
        <w:rPr>
          <w:color w:val="auto"/>
        </w:rPr>
        <w:t xml:space="preserve"> </w:t>
      </w:r>
      <w:r w:rsidR="00904518">
        <w:rPr>
          <w:color w:val="auto"/>
        </w:rPr>
        <w:t xml:space="preserve">some sections of </w:t>
      </w:r>
      <w:r w:rsidR="005910EC">
        <w:rPr>
          <w:color w:val="auto"/>
        </w:rPr>
        <w:t>this report</w:t>
      </w:r>
      <w:r w:rsidRPr="00A6514D">
        <w:rPr>
          <w:color w:val="auto"/>
        </w:rPr>
        <w:t xml:space="preserve"> for completeness</w:t>
      </w:r>
      <w:r w:rsidR="00327397">
        <w:rPr>
          <w:color w:val="auto"/>
        </w:rPr>
        <w:t xml:space="preserve">; however, they </w:t>
      </w:r>
      <w:r w:rsidR="00E96E3C">
        <w:rPr>
          <w:color w:val="auto"/>
        </w:rPr>
        <w:t>were</w:t>
      </w:r>
      <w:r w:rsidR="00E96E3C" w:rsidRPr="005910EC">
        <w:rPr>
          <w:color w:val="auto"/>
        </w:rPr>
        <w:t xml:space="preserve"> </w:t>
      </w:r>
      <w:r w:rsidR="005910EC" w:rsidRPr="005910EC">
        <w:rPr>
          <w:color w:val="auto"/>
        </w:rPr>
        <w:t xml:space="preserve">not considered </w:t>
      </w:r>
      <w:r w:rsidR="00E96E3C">
        <w:rPr>
          <w:color w:val="auto"/>
        </w:rPr>
        <w:t>in</w:t>
      </w:r>
      <w:r w:rsidR="005910EC" w:rsidRPr="005910EC">
        <w:rPr>
          <w:color w:val="auto"/>
        </w:rPr>
        <w:t xml:space="preserve"> the</w:t>
      </w:r>
      <w:r w:rsidR="00E96E3C">
        <w:rPr>
          <w:color w:val="auto"/>
        </w:rPr>
        <w:t xml:space="preserve"> development of</w:t>
      </w:r>
      <w:r w:rsidR="005910EC" w:rsidRPr="005910EC">
        <w:rPr>
          <w:color w:val="auto"/>
        </w:rPr>
        <w:t xml:space="preserve"> options for a</w:t>
      </w:r>
      <w:r w:rsidR="00C41BBF">
        <w:rPr>
          <w:color w:val="auto"/>
        </w:rPr>
        <w:t xml:space="preserve"> potential</w:t>
      </w:r>
      <w:r w:rsidR="005910EC" w:rsidRPr="005910EC">
        <w:rPr>
          <w:color w:val="auto"/>
        </w:rPr>
        <w:t xml:space="preserve"> national cancer </w:t>
      </w:r>
      <w:r w:rsidR="005910EC">
        <w:rPr>
          <w:color w:val="auto"/>
        </w:rPr>
        <w:t xml:space="preserve">prostheses </w:t>
      </w:r>
      <w:r w:rsidR="005910EC" w:rsidRPr="005910EC">
        <w:rPr>
          <w:color w:val="auto"/>
        </w:rPr>
        <w:t>program</w:t>
      </w:r>
      <w:r w:rsidR="005910EC">
        <w:rPr>
          <w:color w:val="auto"/>
        </w:rPr>
        <w:t xml:space="preserve">. </w:t>
      </w:r>
    </w:p>
    <w:p w14:paraId="08DB7F5E" w14:textId="33074C53" w:rsidR="00840B9A" w:rsidRDefault="006F63EC" w:rsidP="00567163">
      <w:pPr>
        <w:pStyle w:val="Heading2nonumber"/>
      </w:pPr>
      <w:bookmarkStart w:id="9" w:name="_Toc201930853"/>
      <w:bookmarkStart w:id="10" w:name="_Toc203131961"/>
      <w:bookmarkStart w:id="11" w:name="_Toc206423617"/>
      <w:bookmarkStart w:id="12" w:name="_Toc207348728"/>
      <w:r>
        <w:t>Review m</w:t>
      </w:r>
      <w:r w:rsidR="00442B79">
        <w:t>ethodology</w:t>
      </w:r>
      <w:bookmarkEnd w:id="9"/>
      <w:bookmarkEnd w:id="10"/>
      <w:bookmarkEnd w:id="11"/>
      <w:bookmarkEnd w:id="12"/>
    </w:p>
    <w:p w14:paraId="4E386EF8" w14:textId="752D60EE" w:rsidR="00D22F04" w:rsidRDefault="006F63EC" w:rsidP="00651941">
      <w:pPr>
        <w:spacing w:before="0" w:after="160" w:line="259" w:lineRule="auto"/>
      </w:pPr>
      <w:r w:rsidRPr="006F63EC">
        <w:t>A mixed-methods approach</w:t>
      </w:r>
      <w:r w:rsidR="00D22F04">
        <w:t xml:space="preserve"> </w:t>
      </w:r>
      <w:r w:rsidRPr="006F63EC">
        <w:t>was adopted for this review</w:t>
      </w:r>
      <w:r w:rsidR="00D22F04">
        <w:t xml:space="preserve">, guided by </w:t>
      </w:r>
      <w:r w:rsidR="00D22F04" w:rsidRPr="006F63EC">
        <w:t xml:space="preserve">a set of </w:t>
      </w:r>
      <w:r w:rsidR="00D22F04">
        <w:t xml:space="preserve">seven </w:t>
      </w:r>
      <w:r w:rsidR="00D22F04" w:rsidRPr="006F63EC">
        <w:t>Key Review Questions</w:t>
      </w:r>
      <w:r w:rsidR="005C7200">
        <w:t xml:space="preserve"> (KRQs)</w:t>
      </w:r>
      <w:r w:rsidR="005910EC">
        <w:t>,</w:t>
      </w:r>
      <w:r w:rsidR="005C7200">
        <w:t xml:space="preserve"> which each included several sub-questions</w:t>
      </w:r>
      <w:r w:rsidR="00AB2C76">
        <w:t>. These included:</w:t>
      </w:r>
    </w:p>
    <w:p w14:paraId="533A8867" w14:textId="2D567239" w:rsidR="00AB2C76" w:rsidRDefault="00AB2C76" w:rsidP="001536EC">
      <w:pPr>
        <w:pStyle w:val="Bullet1stlevel"/>
      </w:pPr>
      <w:r w:rsidRPr="0042443F">
        <w:rPr>
          <w:rStyle w:val="Strong"/>
        </w:rPr>
        <w:t>KRQ</w:t>
      </w:r>
      <w:r w:rsidR="001536EC" w:rsidRPr="0042443F">
        <w:rPr>
          <w:rStyle w:val="Strong"/>
        </w:rPr>
        <w:t xml:space="preserve"> </w:t>
      </w:r>
      <w:r w:rsidR="00A53FAD" w:rsidRPr="0042443F">
        <w:rPr>
          <w:rStyle w:val="Strong"/>
        </w:rPr>
        <w:t>1:</w:t>
      </w:r>
      <w:r w:rsidR="00A53FAD">
        <w:t xml:space="preserve"> What prostheses services / schemes are current available to people living with or who have lived experience of cancer?</w:t>
      </w:r>
    </w:p>
    <w:p w14:paraId="182D3E02" w14:textId="2B6E41A5" w:rsidR="00A53FAD" w:rsidRDefault="00A53FAD" w:rsidP="001536EC">
      <w:pPr>
        <w:pStyle w:val="Bullet1stlevel"/>
      </w:pPr>
      <w:r w:rsidRPr="0042443F">
        <w:rPr>
          <w:rStyle w:val="Strong"/>
        </w:rPr>
        <w:t>KRQ 2:</w:t>
      </w:r>
      <w:r>
        <w:t xml:space="preserve"> What role do state, territory and commonwealth governments currently play in providing access to cancer prostheses?</w:t>
      </w:r>
    </w:p>
    <w:p w14:paraId="2DE52373" w14:textId="299F1757" w:rsidR="00A53FAD" w:rsidRDefault="00A53FAD" w:rsidP="001536EC">
      <w:pPr>
        <w:pStyle w:val="Bullet1stlevel"/>
      </w:pPr>
      <w:r w:rsidRPr="0042443F">
        <w:rPr>
          <w:rStyle w:val="Strong"/>
        </w:rPr>
        <w:t>KRQ 3:</w:t>
      </w:r>
      <w:r>
        <w:t xml:space="preserve"> In what health setting/s are people living with or have lived experience of cancer accessing cancer prostheses?</w:t>
      </w:r>
    </w:p>
    <w:p w14:paraId="141BC41C" w14:textId="20FC9662" w:rsidR="00A53FAD" w:rsidRDefault="00A53FAD" w:rsidP="001536EC">
      <w:pPr>
        <w:pStyle w:val="Bullet1stlevel"/>
      </w:pPr>
      <w:r w:rsidRPr="0042443F">
        <w:rPr>
          <w:rStyle w:val="Strong"/>
        </w:rPr>
        <w:t>KRQ 4:</w:t>
      </w:r>
      <w:r>
        <w:t xml:space="preserve"> </w:t>
      </w:r>
      <w:r w:rsidR="004250E7">
        <w:t>W</w:t>
      </w:r>
      <w:r>
        <w:t>hat are the current barriers faced by people living with or who have lived experience of cance</w:t>
      </w:r>
      <w:r w:rsidR="004250E7">
        <w:t>r in accessing prostheses?</w:t>
      </w:r>
    </w:p>
    <w:p w14:paraId="26DAB1E3" w14:textId="10AC159C" w:rsidR="004250E7" w:rsidRDefault="004250E7" w:rsidP="001536EC">
      <w:pPr>
        <w:pStyle w:val="Bullet1stlevel"/>
      </w:pPr>
      <w:r w:rsidRPr="0042443F">
        <w:rPr>
          <w:rStyle w:val="Strong"/>
        </w:rPr>
        <w:t>KRQ 5:</w:t>
      </w:r>
      <w:r>
        <w:t xml:space="preserve"> Are there particular </w:t>
      </w:r>
      <w:proofErr w:type="gramStart"/>
      <w:r>
        <w:t>prostheses</w:t>
      </w:r>
      <w:proofErr w:type="gramEnd"/>
      <w:r>
        <w:t xml:space="preserve"> types that are more difficult to access than others? Are there particular </w:t>
      </w:r>
      <w:proofErr w:type="gramStart"/>
      <w:r>
        <w:t>prostheses</w:t>
      </w:r>
      <w:proofErr w:type="gramEnd"/>
      <w:r>
        <w:t xml:space="preserve"> types not covered by any existing support schemes&gt;</w:t>
      </w:r>
    </w:p>
    <w:p w14:paraId="6CD90E0F" w14:textId="463E7DC1" w:rsidR="004250E7" w:rsidRDefault="004250E7" w:rsidP="001536EC">
      <w:pPr>
        <w:pStyle w:val="Bullet1stlevel"/>
      </w:pPr>
      <w:r w:rsidRPr="0042443F">
        <w:rPr>
          <w:rStyle w:val="Strong"/>
        </w:rPr>
        <w:t>KRQ 6:</w:t>
      </w:r>
      <w:r>
        <w:t xml:space="preserve"> Is there a gap in equity and access to prosthetics for individuals living with or post a cancer diagnosis?</w:t>
      </w:r>
    </w:p>
    <w:p w14:paraId="36F84F34" w14:textId="40565C36" w:rsidR="004250E7" w:rsidRDefault="004250E7" w:rsidP="001536EC">
      <w:pPr>
        <w:pStyle w:val="Bullet1stlevel"/>
      </w:pPr>
      <w:r w:rsidRPr="0042443F">
        <w:rPr>
          <w:rStyle w:val="Strong"/>
        </w:rPr>
        <w:t>KRQ 7:</w:t>
      </w:r>
      <w:r>
        <w:t xml:space="preserve"> what would be the cost and an appropriate delivery model for a national cancer prostheses program?</w:t>
      </w:r>
    </w:p>
    <w:p w14:paraId="5CF3304A" w14:textId="7587CFF5" w:rsidR="006619F7" w:rsidRDefault="006619F7" w:rsidP="00CE3DCC">
      <w:r>
        <w:t xml:space="preserve">Both primary and secondary data was collected </w:t>
      </w:r>
      <w:r w:rsidR="00DF0B3A">
        <w:t xml:space="preserve">and analysed </w:t>
      </w:r>
      <w:r>
        <w:t xml:space="preserve">to inform </w:t>
      </w:r>
      <w:r w:rsidR="00DF0B3A">
        <w:t>the review</w:t>
      </w:r>
      <w:r w:rsidR="00F92746">
        <w:t xml:space="preserve">, with a </w:t>
      </w:r>
      <w:r w:rsidR="004208B4">
        <w:t>r</w:t>
      </w:r>
      <w:r>
        <w:t xml:space="preserve">ange </w:t>
      </w:r>
      <w:r w:rsidR="00F92746">
        <w:t xml:space="preserve">of </w:t>
      </w:r>
      <w:r>
        <w:t>data collection activities</w:t>
      </w:r>
      <w:r w:rsidR="004208B4">
        <w:t xml:space="preserve"> undertaken</w:t>
      </w:r>
      <w:r w:rsidR="00F92746">
        <w:t>,</w:t>
      </w:r>
      <w:r>
        <w:t xml:space="preserve"> including:</w:t>
      </w:r>
    </w:p>
    <w:p w14:paraId="78EC7DA2" w14:textId="2FFD79B5" w:rsidR="006619F7" w:rsidRPr="006C4BBA" w:rsidRDefault="006619F7" w:rsidP="008319B1">
      <w:pPr>
        <w:pStyle w:val="Bullet1stlevel"/>
      </w:pPr>
      <w:r w:rsidRPr="0042443F">
        <w:rPr>
          <w:rStyle w:val="Strong"/>
        </w:rPr>
        <w:t>Stakeholder consultation</w:t>
      </w:r>
      <w:r>
        <w:t xml:space="preserve"> with </w:t>
      </w:r>
      <w:r w:rsidRPr="00CD5B33">
        <w:t>70 individuals</w:t>
      </w:r>
      <w:r w:rsidR="006C70EC" w:rsidRPr="006C70EC">
        <w:t xml:space="preserve">, </w:t>
      </w:r>
      <w:r w:rsidR="00C21B9F">
        <w:t>including</w:t>
      </w:r>
      <w:r w:rsidR="006C70EC" w:rsidRPr="006C70EC">
        <w:t xml:space="preserve"> representatives from</w:t>
      </w:r>
      <w:r w:rsidR="006C70EC">
        <w:t xml:space="preserve"> </w:t>
      </w:r>
      <w:r w:rsidR="004245E7">
        <w:t>Australian</w:t>
      </w:r>
      <w:r w:rsidR="006C70EC">
        <w:t xml:space="preserve"> </w:t>
      </w:r>
      <w:r w:rsidR="004245E7">
        <w:t>G</w:t>
      </w:r>
      <w:r w:rsidR="006C70EC">
        <w:t xml:space="preserve">overnment agencies, </w:t>
      </w:r>
      <w:r w:rsidR="003C1013">
        <w:t xml:space="preserve">peak bodies and advocacy groups, </w:t>
      </w:r>
      <w:r w:rsidR="006C70EC">
        <w:t xml:space="preserve">state and territory health departments, clinicians involved in the delivery of prostheses services, prostheses retailers </w:t>
      </w:r>
      <w:r w:rsidR="003C1013">
        <w:t xml:space="preserve">and </w:t>
      </w:r>
      <w:r w:rsidR="00A7577F">
        <w:t>i</w:t>
      </w:r>
      <w:r>
        <w:t xml:space="preserve">ndividuals </w:t>
      </w:r>
      <w:r w:rsidRPr="006C4BBA">
        <w:t xml:space="preserve">who are living with or </w:t>
      </w:r>
      <w:r>
        <w:t xml:space="preserve">who </w:t>
      </w:r>
      <w:r w:rsidRPr="006C4BBA">
        <w:t>have lived experience</w:t>
      </w:r>
      <w:r>
        <w:t xml:space="preserve"> of cancer</w:t>
      </w:r>
      <w:r w:rsidRPr="006C4BBA">
        <w:t xml:space="preserve"> </w:t>
      </w:r>
    </w:p>
    <w:p w14:paraId="49C01FB8" w14:textId="5A1334E7" w:rsidR="006619F7" w:rsidRDefault="004208B4" w:rsidP="008319B1">
      <w:pPr>
        <w:pStyle w:val="Bullet1stlevel"/>
      </w:pPr>
      <w:r w:rsidRPr="0042443F">
        <w:rPr>
          <w:rStyle w:val="Strong"/>
        </w:rPr>
        <w:t>A s</w:t>
      </w:r>
      <w:r w:rsidR="003C1013" w:rsidRPr="0042443F">
        <w:rPr>
          <w:rStyle w:val="Strong"/>
        </w:rPr>
        <w:t>urvey</w:t>
      </w:r>
      <w:r w:rsidR="003C1013">
        <w:t xml:space="preserve"> of </w:t>
      </w:r>
      <w:r w:rsidR="005C7200">
        <w:t xml:space="preserve">61 </w:t>
      </w:r>
      <w:r w:rsidR="003C1013">
        <w:t>p</w:t>
      </w:r>
      <w:r w:rsidR="006619F7">
        <w:t xml:space="preserve">eople living with or who have lived experience of cancer and their carers </w:t>
      </w:r>
    </w:p>
    <w:p w14:paraId="6A8DAB8F" w14:textId="7BFA14D7" w:rsidR="006619F7" w:rsidRDefault="004208B4" w:rsidP="008319B1">
      <w:pPr>
        <w:pStyle w:val="Bullet1stlevel"/>
      </w:pPr>
      <w:r w:rsidRPr="0042443F">
        <w:rPr>
          <w:rStyle w:val="Strong"/>
        </w:rPr>
        <w:t>A s</w:t>
      </w:r>
      <w:r w:rsidR="003C1013" w:rsidRPr="0042443F">
        <w:rPr>
          <w:rStyle w:val="Strong"/>
        </w:rPr>
        <w:t>urvey</w:t>
      </w:r>
      <w:r w:rsidR="003C1013">
        <w:t xml:space="preserve"> of </w:t>
      </w:r>
      <w:r w:rsidR="005C7200">
        <w:t xml:space="preserve">57 </w:t>
      </w:r>
      <w:r w:rsidR="003C1013">
        <w:t>c</w:t>
      </w:r>
      <w:r w:rsidR="006619F7">
        <w:t xml:space="preserve">linicians involved in the delivery of prostheses services </w:t>
      </w:r>
    </w:p>
    <w:p w14:paraId="57FB855C" w14:textId="25A20AED" w:rsidR="006619F7" w:rsidRDefault="004208B4" w:rsidP="008319B1">
      <w:pPr>
        <w:pStyle w:val="Bullet1stlevel"/>
      </w:pPr>
      <w:r w:rsidRPr="0042443F">
        <w:rPr>
          <w:rStyle w:val="Strong"/>
        </w:rPr>
        <w:t>A r</w:t>
      </w:r>
      <w:r w:rsidR="006619F7" w:rsidRPr="0042443F">
        <w:rPr>
          <w:rStyle w:val="Strong"/>
        </w:rPr>
        <w:t>eview of publicly available documents</w:t>
      </w:r>
      <w:r w:rsidR="006619F7">
        <w:t>, including peer-reviewed and grey literature sources, relating to the current provision of prostheses services, programs and schemes in Australia and internationally</w:t>
      </w:r>
    </w:p>
    <w:p w14:paraId="6737F04A" w14:textId="4A705E2B" w:rsidR="006619F7" w:rsidRDefault="004208B4" w:rsidP="008319B1">
      <w:pPr>
        <w:pStyle w:val="Bullet1stlevel"/>
      </w:pPr>
      <w:r w:rsidRPr="0042443F">
        <w:rPr>
          <w:rStyle w:val="Strong"/>
        </w:rPr>
        <w:t>A r</w:t>
      </w:r>
      <w:r w:rsidR="006619F7" w:rsidRPr="0042443F">
        <w:rPr>
          <w:rStyle w:val="Strong"/>
        </w:rPr>
        <w:t>eview of publicly available quantitative data</w:t>
      </w:r>
      <w:r w:rsidR="006619F7">
        <w:t xml:space="preserve"> relating to the incidence of cancer in Australia, the need for prostheses </w:t>
      </w:r>
      <w:proofErr w:type="gramStart"/>
      <w:r w:rsidR="006619F7">
        <w:t>as a result of</w:t>
      </w:r>
      <w:proofErr w:type="gramEnd"/>
      <w:r w:rsidR="006619F7">
        <w:t xml:space="preserve"> cancer and the cost of prostheses.</w:t>
      </w:r>
    </w:p>
    <w:p w14:paraId="699DF310" w14:textId="725EDD41" w:rsidR="005412A0" w:rsidRPr="005910EC" w:rsidRDefault="005412A0" w:rsidP="00567163">
      <w:pPr>
        <w:pStyle w:val="Heading2nonumber"/>
      </w:pPr>
      <w:bookmarkStart w:id="13" w:name="_Toc201930854"/>
      <w:bookmarkStart w:id="14" w:name="_Toc203131962"/>
      <w:bookmarkStart w:id="15" w:name="_Toc206423618"/>
      <w:bookmarkStart w:id="16" w:name="_Toc207348729"/>
      <w:r w:rsidRPr="005910EC">
        <w:t>Review findings</w:t>
      </w:r>
      <w:bookmarkEnd w:id="13"/>
      <w:bookmarkEnd w:id="14"/>
      <w:bookmarkEnd w:id="15"/>
      <w:bookmarkEnd w:id="16"/>
    </w:p>
    <w:p w14:paraId="5C4D92C3" w14:textId="3DF7620F" w:rsidR="0039038F" w:rsidRDefault="0039038F" w:rsidP="00CE3DCC">
      <w:r w:rsidRPr="0039038F">
        <w:t>This report outlines the key findings from the review. When considering the findings outlined within this report</w:t>
      </w:r>
      <w:r w:rsidR="007C59C6">
        <w:t>,</w:t>
      </w:r>
      <w:r>
        <w:t xml:space="preserve"> it is important to note the following: </w:t>
      </w:r>
    </w:p>
    <w:p w14:paraId="6CC2DE12" w14:textId="7B8BC39D" w:rsidR="0039038F" w:rsidRDefault="0039038F" w:rsidP="00E366EF">
      <w:pPr>
        <w:pStyle w:val="Bullet1stlevel"/>
      </w:pPr>
      <w:r w:rsidRPr="0039038F">
        <w:t>Th</w:t>
      </w:r>
      <w:r>
        <w:t>e</w:t>
      </w:r>
      <w:r w:rsidRPr="0039038F">
        <w:t xml:space="preserve"> ability to report on cancer prostheses services, schemes and programs currently in place across Australia was limited by the availability and quality of publicly available information. Where publicly available information was </w:t>
      </w:r>
      <w:r w:rsidR="007C59C6">
        <w:t xml:space="preserve">unavailable or incomplete, qualitative insights from stakeholder consultations were relied upon to supplement the </w:t>
      </w:r>
      <w:r w:rsidRPr="0039038F">
        <w:t>documentation.</w:t>
      </w:r>
    </w:p>
    <w:p w14:paraId="406B0A95" w14:textId="3D47BE75" w:rsidR="0039038F" w:rsidRDefault="0039038F" w:rsidP="00E366EF">
      <w:pPr>
        <w:pStyle w:val="Bullet1stlevel"/>
      </w:pPr>
      <w:r w:rsidRPr="0039038F">
        <w:t>Stakeholder perceptions used to inform this report were limited to the stakeholders who were willing and able to attend consultations during the consultation period and may not necessarily represent the diverse views or experiences of all who have an interest in, or interaction with</w:t>
      </w:r>
      <w:r w:rsidR="00903A2B">
        <w:t>,</w:t>
      </w:r>
      <w:r w:rsidRPr="0039038F">
        <w:t xml:space="preserve"> cancer prosthesis programs</w:t>
      </w:r>
      <w:r>
        <w:t xml:space="preserve"> or services</w:t>
      </w:r>
      <w:r w:rsidRPr="0039038F">
        <w:t>.</w:t>
      </w:r>
      <w:r>
        <w:t xml:space="preserve"> The method used to develop this report did not include verification of whether stakeholders’ perceptions aligned with actual events or practice.</w:t>
      </w:r>
    </w:p>
    <w:p w14:paraId="32392F0B" w14:textId="2C8DCE4B" w:rsidR="0039038F" w:rsidRDefault="0039038F" w:rsidP="00E366EF">
      <w:pPr>
        <w:pStyle w:val="Bullet1stlevel"/>
      </w:pPr>
      <w:r>
        <w:t>Limited public quantitative data was available to support the development of cost estimates, with input from stakeholders relied upon to inform cost modelling</w:t>
      </w:r>
      <w:r w:rsidR="00D67088">
        <w:t>.</w:t>
      </w:r>
      <w:r w:rsidR="005F1ED1">
        <w:t xml:space="preserve"> </w:t>
      </w:r>
      <w:r w:rsidR="00D67088">
        <w:t>T</w:t>
      </w:r>
      <w:r w:rsidR="00D67088" w:rsidRPr="005F1ED1">
        <w:t>herefore,</w:t>
      </w:r>
      <w:r w:rsidR="005F1ED1" w:rsidRPr="005F1ED1">
        <w:t xml:space="preserve"> the cost estimates </w:t>
      </w:r>
      <w:r w:rsidR="00D67088">
        <w:t xml:space="preserve">included </w:t>
      </w:r>
      <w:r w:rsidR="00903A2B">
        <w:t>in this report may not accurately reflect the actual</w:t>
      </w:r>
      <w:r w:rsidR="005F1ED1" w:rsidRPr="005F1ED1">
        <w:t xml:space="preserve"> costs</w:t>
      </w:r>
      <w:r w:rsidR="00D67088">
        <w:t xml:space="preserve"> associated with a potential national program. </w:t>
      </w:r>
    </w:p>
    <w:p w14:paraId="64097E07" w14:textId="670CFF5F" w:rsidR="005412A0" w:rsidRPr="00FD54A5" w:rsidRDefault="005412A0" w:rsidP="00FD54A5">
      <w:pPr>
        <w:pStyle w:val="HEading3nonumber"/>
      </w:pPr>
      <w:r w:rsidRPr="00FD54A5">
        <w:t>Current prostheses services, programs and schemes in Australia</w:t>
      </w:r>
    </w:p>
    <w:p w14:paraId="508768DA" w14:textId="440EAF69" w:rsidR="00344318" w:rsidRPr="00CE3DCC" w:rsidRDefault="00344318" w:rsidP="00CE3DCC">
      <w:r w:rsidRPr="00E16B4E">
        <w:t>People requiring e</w:t>
      </w:r>
      <w:r w:rsidRPr="00CE3DCC">
        <w:t xml:space="preserve">xternal breast prostheses and limb prostheses due to cancer or cancer treatment </w:t>
      </w:r>
      <w:r w:rsidR="00562FAB" w:rsidRPr="00CE3DCC">
        <w:t>can</w:t>
      </w:r>
      <w:r w:rsidRPr="00CE3DCC">
        <w:t xml:space="preserve"> access prostheses through national programs funded by the Australian Government. The primary national program for breast </w:t>
      </w:r>
      <w:r w:rsidR="00D84163" w:rsidRPr="00CE3DCC">
        <w:t>prostheses is the External Breast Prostheses Reimbursement Program (EBPRP),</w:t>
      </w:r>
      <w:r w:rsidRPr="00CE3DCC">
        <w:t xml:space="preserve"> while limb prostheses can be accessed through the National Disability Insurance Scheme (NDIS)</w:t>
      </w:r>
      <w:r w:rsidR="0068275A" w:rsidRPr="00CE3DCC">
        <w:t xml:space="preserve"> </w:t>
      </w:r>
      <w:r w:rsidR="00CD4C5A" w:rsidRPr="00CE3DCC">
        <w:t>or jurisdictional limb schemes</w:t>
      </w:r>
      <w:r w:rsidRPr="00CE3DCC">
        <w:t xml:space="preserve">. In contrast, there is no national program </w:t>
      </w:r>
      <w:r w:rsidR="00345182" w:rsidRPr="00CE3DCC">
        <w:t xml:space="preserve">or scheme </w:t>
      </w:r>
      <w:r w:rsidRPr="00CE3DCC">
        <w:t>in place for individuals requiring a facial prosthesis due to cancer or cancer treatment.</w:t>
      </w:r>
    </w:p>
    <w:p w14:paraId="0415F82C" w14:textId="00536F2B" w:rsidR="00344318" w:rsidRPr="00E16B4E" w:rsidRDefault="00344318" w:rsidP="00CE3DCC">
      <w:r w:rsidRPr="00CE3DCC">
        <w:t>Most types of prostheses are covered under the Department of Veterans’ Affairs (DVA) for eligible individuals. Some private health ins</w:t>
      </w:r>
      <w:r w:rsidRPr="00E16B4E">
        <w:t>urance policies provide limited coverage for prostheses</w:t>
      </w:r>
      <w:r w:rsidR="00D84163">
        <w:t>;</w:t>
      </w:r>
      <w:r w:rsidRPr="00E16B4E">
        <w:t xml:space="preserve"> however, as external prostheses are not included on the Prescribed List, private health insurers are not required to pay benefits for these items.</w:t>
      </w:r>
      <w:r w:rsidR="004C44B5">
        <w:t xml:space="preserve"> Further </w:t>
      </w:r>
      <w:r w:rsidR="007B6634">
        <w:t xml:space="preserve">details regarding the </w:t>
      </w:r>
      <w:proofErr w:type="gramStart"/>
      <w:r w:rsidR="007B6634">
        <w:t>prostheses</w:t>
      </w:r>
      <w:proofErr w:type="gramEnd"/>
      <w:r w:rsidR="007B6634">
        <w:t xml:space="preserve"> services, programs, and schemes available in Australia by prosthesis type are</w:t>
      </w:r>
      <w:r w:rsidR="004C44B5">
        <w:t xml:space="preserve"> provided below. </w:t>
      </w:r>
    </w:p>
    <w:p w14:paraId="6759998D" w14:textId="77777777" w:rsidR="00F936B3" w:rsidRPr="00FD54A5" w:rsidRDefault="00F936B3" w:rsidP="00FD54A5">
      <w:pPr>
        <w:pStyle w:val="Heading4"/>
      </w:pPr>
      <w:r w:rsidRPr="00FD54A5">
        <w:t>Facial prostheses</w:t>
      </w:r>
    </w:p>
    <w:p w14:paraId="7364AABC" w14:textId="77777777" w:rsidR="00F936B3" w:rsidRPr="00CE3DCC" w:rsidRDefault="00F936B3" w:rsidP="00CE3DCC">
      <w:r w:rsidRPr="002165E0">
        <w:t>There is no national program or scheme currently in place that provides broad coverage for facial prostheses to people across Australia. A small proportion of people may be eligible to receive funding through the DVA or their private health insurance. The NDIS typically does not fund facial prostheses, as they fall outside the scheme’s eligibility criteria.</w:t>
      </w:r>
    </w:p>
    <w:p w14:paraId="77F6D971" w14:textId="6D95CB2F" w:rsidR="00F936B3" w:rsidRPr="00CE3DCC" w:rsidRDefault="00F936B3" w:rsidP="00CE3DCC">
      <w:r w:rsidRPr="00CE3DCC">
        <w:t>There is significant variation across jurisdictions in the availability of publicly funded facial prostheses services, schemes and programs. As shown by</w:t>
      </w:r>
      <w:r w:rsidR="00DE4AB2" w:rsidRPr="00CE3DCC">
        <w:t xml:space="preserve"> </w:t>
      </w:r>
      <w:r w:rsidR="00DE4AB2" w:rsidRPr="00CE3DCC">
        <w:fldChar w:fldCharType="begin"/>
      </w:r>
      <w:r w:rsidR="00DE4AB2" w:rsidRPr="00CE3DCC">
        <w:instrText xml:space="preserve"> REF _Ref204183484 \h </w:instrText>
      </w:r>
      <w:r w:rsidR="00CE3DCC">
        <w:instrText xml:space="preserve"> \* MERGEFORMAT </w:instrText>
      </w:r>
      <w:r w:rsidR="00DE4AB2" w:rsidRPr="00CE3DCC">
        <w:fldChar w:fldCharType="separate"/>
      </w:r>
      <w:r w:rsidR="00911129" w:rsidRPr="00CE3DCC">
        <w:t>Figure 1</w:t>
      </w:r>
      <w:r w:rsidR="00DE4AB2" w:rsidRPr="00CE3DCC">
        <w:fldChar w:fldCharType="end"/>
      </w:r>
      <w:r w:rsidR="00FA6EE2" w:rsidRPr="00CE3DCC">
        <w:t>, in Victoria, Queensland, and Western Australia, some major public hospitals provide access to and funding for facial prostheses, including orbital, ear</w:t>
      </w:r>
      <w:r w:rsidRPr="00CE3DCC">
        <w:t>, nasal, and hemifacial prostheses. In the ACT, only ocular prostheses are publicly funded</w:t>
      </w:r>
      <w:r w:rsidR="00FA6EE2" w:rsidRPr="00CE3DCC">
        <w:t>,</w:t>
      </w:r>
      <w:r w:rsidRPr="00CE3DCC">
        <w:t xml:space="preserve"> </w:t>
      </w:r>
      <w:r w:rsidR="00FA6EE2" w:rsidRPr="00CE3DCC">
        <w:t>whereas in New South Wales, South Australia, Tasmania, and the Northern Territory, there are no publicly funded facial prostheses</w:t>
      </w:r>
      <w:r w:rsidRPr="00CE3DCC">
        <w:t xml:space="preserve"> services available.</w:t>
      </w:r>
    </w:p>
    <w:p w14:paraId="5400BAA9" w14:textId="77777777" w:rsidR="00F936B3" w:rsidRDefault="00F936B3" w:rsidP="00CE3DCC">
      <w:r w:rsidRPr="00CE3DCC">
        <w:t>Access to facial prost</w:t>
      </w:r>
      <w:r w:rsidRPr="002165E0">
        <w:t>heses generally requires a prescription or referral from a maxillofacial surgeon, ophthalmologist or specialist. The design and fabrication of facial prostheses are undertaken by anaplastologists, maxillofacial prosthetists, and ocularists.</w:t>
      </w:r>
    </w:p>
    <w:p w14:paraId="3B05D3EA" w14:textId="483B70A7" w:rsidR="00DE4AB2" w:rsidRDefault="00DE4AB2" w:rsidP="00DE4AB2">
      <w:pPr>
        <w:pStyle w:val="Caption"/>
      </w:pPr>
      <w:bookmarkStart w:id="17" w:name="_Ref204183484"/>
      <w:bookmarkStart w:id="18" w:name="_Toc207348708"/>
      <w:r>
        <w:t xml:space="preserve">Figure </w:t>
      </w:r>
      <w:r w:rsidR="00911129">
        <w:fldChar w:fldCharType="begin"/>
      </w:r>
      <w:r w:rsidR="00911129">
        <w:instrText xml:space="preserve"> SEQ Figure \* ARABIC </w:instrText>
      </w:r>
      <w:r w:rsidR="00911129">
        <w:fldChar w:fldCharType="separate"/>
      </w:r>
      <w:r w:rsidR="00911129">
        <w:rPr>
          <w:noProof/>
        </w:rPr>
        <w:t>1</w:t>
      </w:r>
      <w:r w:rsidR="00911129">
        <w:rPr>
          <w:noProof/>
        </w:rPr>
        <w:fldChar w:fldCharType="end"/>
      </w:r>
      <w:bookmarkEnd w:id="17"/>
      <w:r>
        <w:t xml:space="preserve">: </w:t>
      </w:r>
      <w:r w:rsidRPr="0041477F">
        <w:t>Overview of facial prostheses services, programs and schemes in Australia</w:t>
      </w:r>
      <w:bookmarkEnd w:id="18"/>
    </w:p>
    <w:p w14:paraId="699F8EC6" w14:textId="706366B2" w:rsidR="00F936B3" w:rsidRDefault="00F936B3" w:rsidP="008B474C">
      <w:r w:rsidRPr="008B474C">
        <w:drawing>
          <wp:inline distT="0" distB="0" distL="0" distR="0" wp14:anchorId="776B4FBC" wp14:editId="0445216B">
            <wp:extent cx="6479999" cy="1679296"/>
            <wp:effectExtent l="0" t="0" r="0" b="0"/>
            <wp:docPr id="31576629" name="Picture 1" descr="Facial prostheses services available nationally are DVA and private health insurance. Additional services are available in QLD, ACT, VIC, and WA.">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76629" name="Picture 1" descr="Facial prostheses services available nationally are DVA and private health insurance. Additional services are available in QLD, ACT, VIC, and WA.">
                      <a:extLst>
                        <a:ext uri="{C183D7F6-B498-43B3-948B-1728B52AA6E4}">
                          <adec:decorative xmlns:adec="http://schemas.microsoft.com/office/drawing/2017/decorative" val="0"/>
                        </a:ext>
                      </a:extLst>
                    </pic:cNvPr>
                    <pic:cNvPicPr>
                      <a:picLocks noChangeAspect="1" noChangeArrowheads="1"/>
                    </pic:cNvPicPr>
                  </pic:nvPicPr>
                  <pic:blipFill>
                    <a:blip r:embed="rId30">
                      <a:extLst>
                        <a:ext uri="{96DAC541-7B7A-43D3-8B79-37D633B846F1}">
                          <asvg:svgBlip xmlns:asvg="http://schemas.microsoft.com/office/drawing/2016/SVG/main" r:embed="rId31"/>
                        </a:ext>
                      </a:extLst>
                    </a:blip>
                    <a:stretch>
                      <a:fillRect/>
                    </a:stretch>
                  </pic:blipFill>
                  <pic:spPr bwMode="auto">
                    <a:xfrm>
                      <a:off x="0" y="0"/>
                      <a:ext cx="6479999" cy="1679296"/>
                    </a:xfrm>
                    <a:prstGeom prst="rect">
                      <a:avLst/>
                    </a:prstGeom>
                  </pic:spPr>
                </pic:pic>
              </a:graphicData>
            </a:graphic>
          </wp:inline>
        </w:drawing>
      </w:r>
    </w:p>
    <w:p w14:paraId="293528CF" w14:textId="1337983F" w:rsidR="00F936B3" w:rsidRPr="00CD3106" w:rsidRDefault="00F936B3" w:rsidP="00482323">
      <w:pPr>
        <w:pStyle w:val="Caption-Source"/>
      </w:pPr>
      <w:r w:rsidRPr="00482323">
        <w:t xml:space="preserve">Source: </w:t>
      </w:r>
      <w:r w:rsidR="00792776">
        <w:t>Independent reviewer</w:t>
      </w:r>
      <w:r w:rsidRPr="00CD3106">
        <w:t xml:space="preserve"> (2025)</w:t>
      </w:r>
    </w:p>
    <w:p w14:paraId="55BFFCB0" w14:textId="151DA7CB" w:rsidR="00473A22" w:rsidRDefault="00473A22" w:rsidP="00FD54A5">
      <w:pPr>
        <w:pStyle w:val="Heading4"/>
      </w:pPr>
      <w:r>
        <w:t>Breast prostheses</w:t>
      </w:r>
    </w:p>
    <w:p w14:paraId="5A11FD7C" w14:textId="6E4B3344" w:rsidR="00473A22" w:rsidRPr="00CE3DCC" w:rsidRDefault="00473A22" w:rsidP="00CE3DCC">
      <w:r w:rsidRPr="00473A22">
        <w:t xml:space="preserve">People requiring external breast prosthesis due to cancer or cancer treatment </w:t>
      </w:r>
      <w:r w:rsidR="00592E14">
        <w:t>can</w:t>
      </w:r>
      <w:r w:rsidRPr="00473A22">
        <w:t xml:space="preserve"> access interim and definitive prostheses through national programs and schemes</w:t>
      </w:r>
      <w:r w:rsidR="0013165A">
        <w:rPr>
          <w:rStyle w:val="FootnoteReference"/>
        </w:rPr>
        <w:footnoteReference w:id="2"/>
      </w:r>
      <w:r w:rsidRPr="00473A22">
        <w:t xml:space="preserve"> including the EBPRP</w:t>
      </w:r>
      <w:r w:rsidR="00592E14">
        <w:t>, funded by the Australian Government, and the My Care Kit program,</w:t>
      </w:r>
      <w:r w:rsidRPr="00473A22">
        <w:t xml:space="preserve"> delivered by Breast Cancer Network Australia and </w:t>
      </w:r>
      <w:proofErr w:type="spellStart"/>
      <w:r w:rsidRPr="00473A22">
        <w:t>Berlei</w:t>
      </w:r>
      <w:proofErr w:type="spellEnd"/>
      <w:r w:rsidRPr="00473A22">
        <w:t>.</w:t>
      </w:r>
      <w:r>
        <w:t xml:space="preserve"> </w:t>
      </w:r>
      <w:r w:rsidR="009A09C6">
        <w:t>As shown</w:t>
      </w:r>
      <w:r w:rsidR="00A676D5">
        <w:t xml:space="preserve"> </w:t>
      </w:r>
      <w:r w:rsidR="00906A66">
        <w:t xml:space="preserve">in </w:t>
      </w:r>
      <w:r w:rsidR="00906A66">
        <w:fldChar w:fldCharType="begin"/>
      </w:r>
      <w:r w:rsidR="00906A66">
        <w:instrText xml:space="preserve"> REF _Ref201910573 \h </w:instrText>
      </w:r>
      <w:r w:rsidR="00906A66">
        <w:fldChar w:fldCharType="separate"/>
      </w:r>
      <w:r w:rsidR="00277F03">
        <w:t xml:space="preserve">Figure </w:t>
      </w:r>
      <w:r w:rsidR="00277F03">
        <w:rPr>
          <w:noProof/>
        </w:rPr>
        <w:t>2</w:t>
      </w:r>
      <w:r w:rsidR="00906A66">
        <w:fldChar w:fldCharType="end"/>
      </w:r>
      <w:r w:rsidR="00AE449B">
        <w:t xml:space="preserve"> </w:t>
      </w:r>
      <w:r w:rsidR="00BB335B">
        <w:t>on the next</w:t>
      </w:r>
      <w:r w:rsidR="00592E14">
        <w:t xml:space="preserve"> page, in some states and territories,</w:t>
      </w:r>
      <w:r w:rsidRPr="00473A22">
        <w:t xml:space="preserve"> additional supports are available through </w:t>
      </w:r>
      <w:r w:rsidR="00592E14">
        <w:t>n</w:t>
      </w:r>
      <w:r w:rsidR="001E390C">
        <w:t>on-</w:t>
      </w:r>
      <w:r w:rsidR="00592E14">
        <w:t>g</w:t>
      </w:r>
      <w:r w:rsidR="001E390C">
        <w:t xml:space="preserve">overnment </w:t>
      </w:r>
      <w:r w:rsidR="00592E14">
        <w:t>o</w:t>
      </w:r>
      <w:r w:rsidR="001E390C">
        <w:t>rganisation</w:t>
      </w:r>
      <w:r w:rsidRPr="00473A22">
        <w:t>s</w:t>
      </w:r>
      <w:r w:rsidRPr="00CE3DCC">
        <w:t xml:space="preserve">, including financial assistance for the upfront payment required under the EBPRP. </w:t>
      </w:r>
    </w:p>
    <w:p w14:paraId="7F365BC7" w14:textId="71531FBF" w:rsidR="00473A22" w:rsidRPr="00CE3DCC" w:rsidRDefault="00473A22" w:rsidP="00CE3DCC">
      <w:r w:rsidRPr="00CE3DCC">
        <w:t xml:space="preserve">External breast prostheses are typically </w:t>
      </w:r>
      <w:r w:rsidR="00B54219" w:rsidRPr="00CE3DCC">
        <w:t>purchased through specialist retailers</w:t>
      </w:r>
      <w:r w:rsidRPr="00CE3DCC">
        <w:t>. These retailers are widely available in metropolitan and some regional areas</w:t>
      </w:r>
      <w:r w:rsidR="00B54219" w:rsidRPr="00CE3DCC">
        <w:t>;</w:t>
      </w:r>
      <w:r w:rsidRPr="00CE3DCC">
        <w:t xml:space="preserve"> however, people living in rural and remote areas </w:t>
      </w:r>
      <w:r w:rsidR="00B54219" w:rsidRPr="00CE3DCC">
        <w:t>are generally</w:t>
      </w:r>
      <w:r w:rsidRPr="00CE3DCC">
        <w:t xml:space="preserve"> reliant on online retailers. </w:t>
      </w:r>
    </w:p>
    <w:p w14:paraId="60754BC8" w14:textId="4E3214E3" w:rsidR="00473A22" w:rsidRDefault="00473A22" w:rsidP="00CE3DCC">
      <w:r w:rsidRPr="00CE3DCC">
        <w:t xml:space="preserve">A prescription or </w:t>
      </w:r>
      <w:r w:rsidRPr="00473A22">
        <w:t xml:space="preserve">referral from a medical practitioner is not required to receive an external breast prosthesis. Trained external breast prostheses fitters, </w:t>
      </w:r>
      <w:r w:rsidR="00B54219">
        <w:t>who</w:t>
      </w:r>
      <w:r w:rsidRPr="00473A22">
        <w:t xml:space="preserve"> may include breast care nurses, will typically assist with measuring and fitting the</w:t>
      </w:r>
      <w:r w:rsidR="009575A6">
        <w:t xml:space="preserve"> prosthesis</w:t>
      </w:r>
      <w:r w:rsidRPr="00473A22">
        <w:t>.</w:t>
      </w:r>
    </w:p>
    <w:p w14:paraId="4D81AA34" w14:textId="78A52CF3" w:rsidR="00A7577F" w:rsidRDefault="00A7577F" w:rsidP="00A7577F">
      <w:pPr>
        <w:pStyle w:val="Caption"/>
      </w:pPr>
      <w:bookmarkStart w:id="19" w:name="_Ref201910573"/>
      <w:bookmarkStart w:id="20" w:name="_Toc207348709"/>
      <w:r>
        <w:t xml:space="preserve">Figure </w:t>
      </w:r>
      <w:r w:rsidR="00277F03">
        <w:fldChar w:fldCharType="begin"/>
      </w:r>
      <w:r w:rsidR="00277F03">
        <w:instrText xml:space="preserve"> SEQ Figure \* ARABIC </w:instrText>
      </w:r>
      <w:r w:rsidR="00277F03">
        <w:fldChar w:fldCharType="separate"/>
      </w:r>
      <w:r w:rsidR="00277F03">
        <w:rPr>
          <w:noProof/>
        </w:rPr>
        <w:t>2</w:t>
      </w:r>
      <w:r w:rsidR="00277F03">
        <w:rPr>
          <w:noProof/>
        </w:rPr>
        <w:fldChar w:fldCharType="end"/>
      </w:r>
      <w:bookmarkEnd w:id="19"/>
      <w:r>
        <w:t>: Overview of breast prostheses services, programs and schemes in Australia</w:t>
      </w:r>
      <w:bookmarkEnd w:id="20"/>
    </w:p>
    <w:p w14:paraId="4E5443C6" w14:textId="0698EDAD" w:rsidR="009A09C6" w:rsidRDefault="009A09C6" w:rsidP="008B474C">
      <w:r w:rsidRPr="008B474C">
        <w:drawing>
          <wp:inline distT="0" distB="0" distL="0" distR="0" wp14:anchorId="1600304E" wp14:editId="09EA9BF3">
            <wp:extent cx="6497461" cy="1871345"/>
            <wp:effectExtent l="0" t="0" r="0" b="0"/>
            <wp:docPr id="511289190" name="Picture 1" descr="Breast prostheses services available nationally are National External Breast Prostheses Reimbursement Program, My Care Kit, Knitted Knockers, DVA and Private Health Insurance. Additional services are available in QLD, NSW, and 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289190" name="Picture 1" descr="Breast prostheses services available nationally are National External Breast Prostheses Reimbursement Program, My Care Kit, Knitted Knockers, DVA and Private Health Insurance. Additional services are available in QLD, NSW, and SA."/>
                    <pic:cNvPicPr>
                      <a:picLocks noChangeAspect="1" noChangeArrowheads="1"/>
                    </pic:cNvPicPr>
                  </pic:nvPicPr>
                  <pic:blipFill>
                    <a:blip r:embed="rId32">
                      <a:extLst>
                        <a:ext uri="{96DAC541-7B7A-43D3-8B79-37D633B846F1}">
                          <asvg:svgBlip xmlns:asvg="http://schemas.microsoft.com/office/drawing/2016/SVG/main" r:embed="rId33"/>
                        </a:ext>
                      </a:extLst>
                    </a:blip>
                    <a:stretch>
                      <a:fillRect/>
                    </a:stretch>
                  </pic:blipFill>
                  <pic:spPr bwMode="auto">
                    <a:xfrm>
                      <a:off x="0" y="0"/>
                      <a:ext cx="6497461" cy="1871345"/>
                    </a:xfrm>
                    <a:prstGeom prst="rect">
                      <a:avLst/>
                    </a:prstGeom>
                  </pic:spPr>
                </pic:pic>
              </a:graphicData>
            </a:graphic>
          </wp:inline>
        </w:drawing>
      </w:r>
    </w:p>
    <w:p w14:paraId="1E63DB0C" w14:textId="157DA6E7" w:rsidR="00A8647B" w:rsidRPr="00CD3106" w:rsidRDefault="00A8647B" w:rsidP="00E366EF">
      <w:pPr>
        <w:pStyle w:val="Caption-Source"/>
      </w:pPr>
      <w:r w:rsidRPr="008B616D">
        <w:t xml:space="preserve">Source: </w:t>
      </w:r>
      <w:r w:rsidR="00792776" w:rsidRPr="00792776">
        <w:t>Independent reviewer</w:t>
      </w:r>
      <w:r w:rsidRPr="00CD3106">
        <w:t xml:space="preserve"> (2025)</w:t>
      </w:r>
    </w:p>
    <w:p w14:paraId="3E77B201" w14:textId="6B9934F1" w:rsidR="00776010" w:rsidRDefault="003020D5" w:rsidP="00FD54A5">
      <w:pPr>
        <w:pStyle w:val="Heading4"/>
      </w:pPr>
      <w:r>
        <w:t>Limb</w:t>
      </w:r>
      <w:r w:rsidR="00776010">
        <w:t xml:space="preserve"> prostheses</w:t>
      </w:r>
    </w:p>
    <w:p w14:paraId="63A48EBD" w14:textId="1F5F39D9" w:rsidR="008661DE" w:rsidRPr="00CE3DCC" w:rsidRDefault="008661DE" w:rsidP="00CE3DCC">
      <w:r w:rsidRPr="008661DE">
        <w:t xml:space="preserve">Eligible people requiring limb </w:t>
      </w:r>
      <w:r w:rsidR="00B54219">
        <w:t>prostheses due to cancer or cancer treatment can access prostheses through national programs and schemes,</w:t>
      </w:r>
      <w:r w:rsidRPr="008661DE">
        <w:t xml:space="preserve"> including the NDIS and DVA. Individuals excluded from the NDIS (including all people aged 65 years and older) are reliant on jurisdiction-based limb schemes</w:t>
      </w:r>
      <w:r w:rsidR="003028BC">
        <w:t xml:space="preserve">, as </w:t>
      </w:r>
      <w:r w:rsidR="00FB3A1F">
        <w:t>outlined in</w:t>
      </w:r>
      <w:r w:rsidR="00F65989">
        <w:t xml:space="preserve"> </w:t>
      </w:r>
      <w:r w:rsidR="00F65989">
        <w:fldChar w:fldCharType="begin"/>
      </w:r>
      <w:r w:rsidR="00F65989">
        <w:instrText xml:space="preserve"> REF _Ref201913595 \h </w:instrText>
      </w:r>
      <w:r w:rsidR="00F65989">
        <w:fldChar w:fldCharType="separate"/>
      </w:r>
      <w:r w:rsidR="00277F03">
        <w:t xml:space="preserve">Figure </w:t>
      </w:r>
      <w:r w:rsidR="00277F03">
        <w:rPr>
          <w:noProof/>
        </w:rPr>
        <w:t>3</w:t>
      </w:r>
      <w:r w:rsidR="00F65989">
        <w:fldChar w:fldCharType="end"/>
      </w:r>
      <w:r w:rsidRPr="008661DE">
        <w:t xml:space="preserve">. </w:t>
      </w:r>
      <w:r w:rsidR="00FB1F21">
        <w:t xml:space="preserve">There </w:t>
      </w:r>
      <w:r w:rsidRPr="008661DE">
        <w:t>is considerable variation between jurisdictional schemes</w:t>
      </w:r>
      <w:r w:rsidR="00B54219">
        <w:t>,</w:t>
      </w:r>
      <w:r w:rsidRPr="008661DE">
        <w:t xml:space="preserve"> including differences in funding allocation, treatment approaches, prosthetic componentry and consumables provided. </w:t>
      </w:r>
      <w:proofErr w:type="gramStart"/>
      <w:r w:rsidRPr="008661DE">
        <w:t>With the exception of</w:t>
      </w:r>
      <w:proofErr w:type="gramEnd"/>
      <w:r w:rsidRPr="008661DE">
        <w:t xml:space="preserve"> NSW, most state and territory schemes do not fund </w:t>
      </w:r>
      <w:r w:rsidR="00B54219">
        <w:t>high-grade</w:t>
      </w:r>
      <w:r w:rsidRPr="008661DE">
        <w:t xml:space="preserve"> prostheses, such as microprocessor knees and computerised compo</w:t>
      </w:r>
      <w:r w:rsidRPr="00CE3DCC">
        <w:t xml:space="preserve">nents, which are funded under the NDIS for </w:t>
      </w:r>
      <w:r w:rsidR="00B77C7F" w:rsidRPr="00CE3DCC">
        <w:t>eligible individuals</w:t>
      </w:r>
      <w:r w:rsidRPr="00CE3DCC">
        <w:t xml:space="preserve">. </w:t>
      </w:r>
    </w:p>
    <w:p w14:paraId="02BC5A8F" w14:textId="4883A8A7" w:rsidR="009A09C6" w:rsidRDefault="008661DE" w:rsidP="00CE3DCC">
      <w:r w:rsidRPr="00CE3DCC">
        <w:t>Prosthet</w:t>
      </w:r>
      <w:r w:rsidRPr="008661DE">
        <w:t>ic service providers are widely available in metropolitan and some regional areas</w:t>
      </w:r>
      <w:r w:rsidR="00BB335B">
        <w:t>;</w:t>
      </w:r>
      <w:r w:rsidRPr="008661DE">
        <w:t xml:space="preserve"> however, people living in rural and remote areas are typically reliant on mobile clinics or financial assistance to travel to metropolitan areas.</w:t>
      </w:r>
      <w:r w:rsidR="00170F12">
        <w:t xml:space="preserve"> </w:t>
      </w:r>
      <w:r w:rsidRPr="008661DE">
        <w:t>Access to limb prostheses require</w:t>
      </w:r>
      <w:r w:rsidR="00170F12">
        <w:t>s</w:t>
      </w:r>
      <w:r w:rsidRPr="008661DE">
        <w:t xml:space="preserve"> a prescription or referral from a rehabilitation physician or specialist. A prosthetist is responsible for ensuring the limb fits correctly and meets the individual's functional needs. </w:t>
      </w:r>
    </w:p>
    <w:p w14:paraId="4EBD8E05" w14:textId="6EF4C704" w:rsidR="00DD7667" w:rsidRDefault="00DD7667" w:rsidP="00DD7667">
      <w:pPr>
        <w:pStyle w:val="Caption"/>
      </w:pPr>
      <w:bookmarkStart w:id="21" w:name="_Ref201913595"/>
      <w:bookmarkStart w:id="22" w:name="_Toc207348710"/>
      <w:r>
        <w:t xml:space="preserve">Figure </w:t>
      </w:r>
      <w:r w:rsidR="00277F03">
        <w:fldChar w:fldCharType="begin"/>
      </w:r>
      <w:r w:rsidR="00277F03">
        <w:instrText xml:space="preserve"> SEQ Figure \* ARABIC </w:instrText>
      </w:r>
      <w:r w:rsidR="00277F03">
        <w:fldChar w:fldCharType="separate"/>
      </w:r>
      <w:r w:rsidR="00277F03">
        <w:rPr>
          <w:noProof/>
        </w:rPr>
        <w:t>3</w:t>
      </w:r>
      <w:r w:rsidR="00277F03">
        <w:rPr>
          <w:noProof/>
        </w:rPr>
        <w:fldChar w:fldCharType="end"/>
      </w:r>
      <w:bookmarkEnd w:id="21"/>
      <w:r>
        <w:t>: Overview of limb prostheses services, programs and schemes in Australia</w:t>
      </w:r>
      <w:bookmarkEnd w:id="22"/>
    </w:p>
    <w:p w14:paraId="65DBC449" w14:textId="6FA1634C" w:rsidR="009A09C6" w:rsidRDefault="00DD7667" w:rsidP="008B474C">
      <w:r w:rsidRPr="008B474C">
        <w:drawing>
          <wp:inline distT="0" distB="0" distL="0" distR="0" wp14:anchorId="1D6B3B0B" wp14:editId="116F8AC4">
            <wp:extent cx="6479538" cy="1615162"/>
            <wp:effectExtent l="0" t="0" r="0" b="4445"/>
            <wp:docPr id="759177101" name="Picture 1" descr="Limb prostheses services available nationally are NDIS, DVA and private health insurance. Additional services are available through jurisdictional limb sch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177101" name="Picture 1" descr="Limb prostheses services available nationally are NDIS, DVA and private health insurance. Additional services are available through jurisdictional limb schemes."/>
                    <pic:cNvPicPr>
                      <a:picLocks noChangeAspect="1" noChangeArrowheads="1"/>
                    </pic:cNvPicPr>
                  </pic:nvPicPr>
                  <pic:blipFill>
                    <a:blip r:embed="rId34">
                      <a:extLst>
                        <a:ext uri="{96DAC541-7B7A-43D3-8B79-37D633B846F1}">
                          <asvg:svgBlip xmlns:asvg="http://schemas.microsoft.com/office/drawing/2016/SVG/main" r:embed="rId35"/>
                        </a:ext>
                      </a:extLst>
                    </a:blip>
                    <a:stretch>
                      <a:fillRect/>
                    </a:stretch>
                  </pic:blipFill>
                  <pic:spPr bwMode="auto">
                    <a:xfrm>
                      <a:off x="0" y="0"/>
                      <a:ext cx="6479538" cy="1615162"/>
                    </a:xfrm>
                    <a:prstGeom prst="rect">
                      <a:avLst/>
                    </a:prstGeom>
                  </pic:spPr>
                </pic:pic>
              </a:graphicData>
            </a:graphic>
          </wp:inline>
        </w:drawing>
      </w:r>
    </w:p>
    <w:p w14:paraId="628E904F" w14:textId="340177E0" w:rsidR="00DD7667" w:rsidRPr="008B616D" w:rsidRDefault="00DD7667" w:rsidP="00CF1A6B">
      <w:pPr>
        <w:pStyle w:val="Caption-Source"/>
        <w:rPr>
          <w:i/>
          <w:color w:val="auto"/>
          <w:szCs w:val="20"/>
        </w:rPr>
      </w:pPr>
      <w:r w:rsidRPr="00CF1A6B">
        <w:t xml:space="preserve">Source: </w:t>
      </w:r>
      <w:r w:rsidR="00792776" w:rsidRPr="00792776">
        <w:t xml:space="preserve">Independent reviewer </w:t>
      </w:r>
      <w:r w:rsidRPr="00CD3106">
        <w:t>(2025)</w:t>
      </w:r>
    </w:p>
    <w:p w14:paraId="2B768F2F" w14:textId="3A12E8B4" w:rsidR="00691AB9" w:rsidRDefault="005B49F9" w:rsidP="00FD54A5">
      <w:pPr>
        <w:pStyle w:val="Heading4"/>
      </w:pPr>
      <w:r>
        <w:t>Other</w:t>
      </w:r>
      <w:r w:rsidR="00691AB9">
        <w:t xml:space="preserve"> prostheses</w:t>
      </w:r>
    </w:p>
    <w:p w14:paraId="586CF81E" w14:textId="5AA8E4E0" w:rsidR="005B49F9" w:rsidRPr="00CE3DCC" w:rsidRDefault="005B49F9" w:rsidP="00CE3DCC">
      <w:r>
        <w:t xml:space="preserve">There is no national program or scheme that funds voice prostheses, </w:t>
      </w:r>
      <w:r w:rsidR="00DD7B5F">
        <w:t>except for the DVA,</w:t>
      </w:r>
      <w:r>
        <w:t xml:space="preserve"> which provides coverage for voice prostheses for eligible veterans. Access to public funding for voice prostheses varies across jurisdictions</w:t>
      </w:r>
      <w:r w:rsidR="003511DF">
        <w:t>,</w:t>
      </w:r>
      <w:r w:rsidR="00ED616A">
        <w:t xml:space="preserve"> with</w:t>
      </w:r>
      <w:r>
        <w:t xml:space="preserve"> some states, including Victoria, New South Wales and Tasmania, offer</w:t>
      </w:r>
      <w:r w:rsidR="00ED616A">
        <w:t>ing</w:t>
      </w:r>
      <w:r>
        <w:t xml:space="preserve"> limited support</w:t>
      </w:r>
      <w:r w:rsidR="00ED616A">
        <w:t xml:space="preserve">. The </w:t>
      </w:r>
      <w:r>
        <w:t>remainder of jurisd</w:t>
      </w:r>
      <w:r w:rsidRPr="00CE3DCC">
        <w:t>ictions provide little to no coverage, leaving individuals to cover the full cost of voice prostheses themselves.</w:t>
      </w:r>
    </w:p>
    <w:p w14:paraId="6C3573F1" w14:textId="07A82E10" w:rsidR="005B49F9" w:rsidRPr="00CE3DCC" w:rsidRDefault="001070D7" w:rsidP="00CE3DCC">
      <w:r w:rsidRPr="00CE3DCC">
        <w:t xml:space="preserve">The </w:t>
      </w:r>
      <w:r w:rsidR="005B49F9" w:rsidRPr="00CE3DCC">
        <w:t>DVA provides coverage for</w:t>
      </w:r>
      <w:r w:rsidRPr="00CE3DCC">
        <w:t xml:space="preserve"> external male reproductive prostheses</w:t>
      </w:r>
      <w:r w:rsidR="005B49F9" w:rsidRPr="00CE3DCC">
        <w:t xml:space="preserve"> for eligible veterans. </w:t>
      </w:r>
      <w:r w:rsidRPr="00CE3DCC">
        <w:t xml:space="preserve">Outside of this, there </w:t>
      </w:r>
      <w:r w:rsidR="005B49F9" w:rsidRPr="00CE3DCC">
        <w:t xml:space="preserve">are no </w:t>
      </w:r>
      <w:r w:rsidRPr="00CE3DCC">
        <w:t xml:space="preserve">national or jurisdictional </w:t>
      </w:r>
      <w:r w:rsidR="005B49F9" w:rsidRPr="00CE3DCC">
        <w:t xml:space="preserve">programs or schemes that fund </w:t>
      </w:r>
      <w:r w:rsidRPr="00CE3DCC">
        <w:t>these</w:t>
      </w:r>
      <w:r w:rsidR="005B49F9" w:rsidRPr="00CE3DCC">
        <w:t xml:space="preserve"> prostheses, leaving most individuals who wish to explore this option to cover the full cost themselves.</w:t>
      </w:r>
    </w:p>
    <w:p w14:paraId="2064CEE3" w14:textId="526090BB" w:rsidR="00473A22" w:rsidRDefault="005B49F9" w:rsidP="00CE3DCC">
      <w:r w:rsidRPr="00CE3DCC">
        <w:t>Oral prosth</w:t>
      </w:r>
      <w:r>
        <w:t>eses</w:t>
      </w:r>
      <w:r w:rsidR="00E13F12">
        <w:rPr>
          <w:rStyle w:val="FootnoteReference"/>
        </w:rPr>
        <w:footnoteReference w:id="3"/>
      </w:r>
      <w:r>
        <w:t xml:space="preserve"> </w:t>
      </w:r>
      <w:r w:rsidR="003511DF">
        <w:t>are</w:t>
      </w:r>
      <w:r>
        <w:t xml:space="preserve"> largely excluded from public funding</w:t>
      </w:r>
      <w:r w:rsidR="004B2DF5">
        <w:t>,</w:t>
      </w:r>
      <w:r>
        <w:t xml:space="preserve"> </w:t>
      </w:r>
      <w:r w:rsidR="003511DF">
        <w:t>except for those eligible through the DVA</w:t>
      </w:r>
      <w:r>
        <w:t>. Limited coverage is provided under most private health insurance policies</w:t>
      </w:r>
      <w:r w:rsidR="003511DF">
        <w:t>,</w:t>
      </w:r>
      <w:r w:rsidR="008A341B">
        <w:t xml:space="preserve"> while t</w:t>
      </w:r>
      <w:r>
        <w:t xml:space="preserve">here are no consistent </w:t>
      </w:r>
      <w:r w:rsidR="004B2DF5">
        <w:t xml:space="preserve">national or jurisdictional </w:t>
      </w:r>
      <w:r>
        <w:t xml:space="preserve">schemes </w:t>
      </w:r>
      <w:r w:rsidR="004B2DF5">
        <w:t xml:space="preserve">in place </w:t>
      </w:r>
      <w:r>
        <w:t>that cover oral prostheses</w:t>
      </w:r>
      <w:r w:rsidR="008A341B">
        <w:t>. This r</w:t>
      </w:r>
      <w:r>
        <w:t>esult</w:t>
      </w:r>
      <w:r w:rsidR="008A341B">
        <w:t>s</w:t>
      </w:r>
      <w:r>
        <w:t xml:space="preserve"> in significant out-of-pocket costs for most individuals</w:t>
      </w:r>
      <w:r w:rsidR="008A341B">
        <w:t xml:space="preserve"> who require oral prostheses, such as prosthetic teeth, due to cancer or cancer treatment</w:t>
      </w:r>
      <w:r>
        <w:t>.</w:t>
      </w:r>
    </w:p>
    <w:p w14:paraId="0D03031F" w14:textId="7DECB04D" w:rsidR="00FB3A1F" w:rsidRDefault="00FB3A1F" w:rsidP="00FB3A1F">
      <w:pPr>
        <w:pStyle w:val="Heading3"/>
        <w:numPr>
          <w:ilvl w:val="0"/>
          <w:numId w:val="0"/>
        </w:numPr>
        <w:ind w:left="720" w:hanging="720"/>
      </w:pPr>
      <w:r w:rsidRPr="00FB3A1F">
        <w:t>Prostheses services, programs and schemes in other countries</w:t>
      </w:r>
    </w:p>
    <w:p w14:paraId="21002179" w14:textId="6D24E668" w:rsidR="00F76D4C" w:rsidRDefault="00F76D4C" w:rsidP="00CE3DCC">
      <w:r>
        <w:t xml:space="preserve">The prostheses services, programs and schemes in four other countries, </w:t>
      </w:r>
      <w:r w:rsidRPr="00F76D4C">
        <w:t>selected due to similarities between their health systems and Australia’s</w:t>
      </w:r>
      <w:r>
        <w:t>, were compared to those available in Australia:</w:t>
      </w:r>
    </w:p>
    <w:p w14:paraId="30A6DB33" w14:textId="77777777" w:rsidR="00F76D4C" w:rsidRPr="008B474C" w:rsidRDefault="00F76D4C" w:rsidP="008B474C">
      <w:pPr>
        <w:pStyle w:val="Bullet1stlevel"/>
      </w:pPr>
      <w:r w:rsidRPr="008B474C">
        <w:t>Canada</w:t>
      </w:r>
    </w:p>
    <w:p w14:paraId="5DA181DD" w14:textId="77777777" w:rsidR="00F76D4C" w:rsidRPr="008B474C" w:rsidRDefault="00F76D4C" w:rsidP="008B474C">
      <w:pPr>
        <w:pStyle w:val="Bullet1stlevel"/>
      </w:pPr>
      <w:r w:rsidRPr="008B474C">
        <w:t>The Netherlands</w:t>
      </w:r>
    </w:p>
    <w:p w14:paraId="0022074B" w14:textId="77777777" w:rsidR="00F76D4C" w:rsidRPr="008B474C" w:rsidRDefault="00F76D4C" w:rsidP="008B474C">
      <w:pPr>
        <w:pStyle w:val="Bullet1stlevel"/>
      </w:pPr>
      <w:r w:rsidRPr="008B474C">
        <w:t>New Zealand</w:t>
      </w:r>
    </w:p>
    <w:p w14:paraId="3922EB5B" w14:textId="77777777" w:rsidR="00F76D4C" w:rsidRPr="008B474C" w:rsidRDefault="00F76D4C" w:rsidP="008B474C">
      <w:pPr>
        <w:pStyle w:val="Bullet1stlevel"/>
      </w:pPr>
      <w:r w:rsidRPr="008B474C">
        <w:t xml:space="preserve">The United Kingdom. </w:t>
      </w:r>
    </w:p>
    <w:p w14:paraId="14D64A42" w14:textId="77777777" w:rsidR="006D408A" w:rsidRDefault="006D408A" w:rsidP="00FD54A5">
      <w:pPr>
        <w:pStyle w:val="Heading4"/>
      </w:pPr>
      <w:r>
        <w:t>Facial prostheses</w:t>
      </w:r>
    </w:p>
    <w:p w14:paraId="7BEB8789" w14:textId="324FC8D3" w:rsidR="006D408A" w:rsidRPr="00CE3DCC" w:rsidRDefault="006D408A" w:rsidP="00CE3DCC">
      <w:r w:rsidRPr="00CE3DCC">
        <w:t>In contrast to the limited availability of publicly funded facial prostheses services in Australia, Canada, the Netherlands, New Zealand, and the UK</w:t>
      </w:r>
      <w:r w:rsidR="003511DF" w:rsidRPr="00CE3DCC">
        <w:t>,</w:t>
      </w:r>
      <w:r w:rsidRPr="00CE3DCC">
        <w:t xml:space="preserve"> all provide access to facial prostheses through national or provincial programs. New Zealand, the Netherlands, and the UK offer fully funded prostheses, while Canada provides partial public funding. </w:t>
      </w:r>
    </w:p>
    <w:p w14:paraId="44E58B40" w14:textId="77777777" w:rsidR="00F76D4C" w:rsidRDefault="00F76D4C" w:rsidP="00FD54A5">
      <w:pPr>
        <w:pStyle w:val="Heading4"/>
      </w:pPr>
      <w:r>
        <w:t>Breast prostheses</w:t>
      </w:r>
    </w:p>
    <w:p w14:paraId="1BD37030" w14:textId="029B258B" w:rsidR="00F76D4C" w:rsidRPr="008B474C" w:rsidRDefault="00F76D4C" w:rsidP="008B474C">
      <w:r w:rsidRPr="008B474C">
        <w:t xml:space="preserve">External breast prostheses programs in Australia, the UK, the Netherlands, New Zealand, and Canada are broadly similar in providing funding for breast prostheses after mastectomy but differ in their funding models and coverage of supplementary items. Australia, New Zealand, and Canada use reimbursement models, while the UK and the Netherlands provide prostheses directly with no upfront cost to individuals. Notably, New Zealand’s program is more comprehensive, funding supplementary items such as mastectomy bras and swimwear. </w:t>
      </w:r>
    </w:p>
    <w:p w14:paraId="6910F0FF" w14:textId="65E7BA93" w:rsidR="00F76D4C" w:rsidRDefault="00F76D4C" w:rsidP="00FD54A5">
      <w:pPr>
        <w:pStyle w:val="Heading4"/>
      </w:pPr>
      <w:r>
        <w:t>Limb prostheses</w:t>
      </w:r>
    </w:p>
    <w:p w14:paraId="19839C42" w14:textId="74154DEA" w:rsidR="00F76D4C" w:rsidRPr="008B474C" w:rsidRDefault="00F76D4C" w:rsidP="008B474C">
      <w:r w:rsidRPr="008B474C">
        <w:t>In comparison</w:t>
      </w:r>
      <w:r w:rsidR="005B4AC2" w:rsidRPr="008B474C">
        <w:t xml:space="preserve"> to the significant variation </w:t>
      </w:r>
      <w:r w:rsidR="00817B10" w:rsidRPr="008B474C">
        <w:t xml:space="preserve">that can occur in Australia </w:t>
      </w:r>
      <w:r w:rsidR="003511DF" w:rsidRPr="008B474C">
        <w:t>when accessing limb prostheses, depending on age and location, Canada, the Netherlands, New Zealand, and the UK have nationally consistent approaches,</w:t>
      </w:r>
      <w:r w:rsidRPr="008B474C">
        <w:t xml:space="preserve"> with eligibility based </w:t>
      </w:r>
      <w:r w:rsidR="006D408A" w:rsidRPr="008B474C">
        <w:t xml:space="preserve">on </w:t>
      </w:r>
      <w:r w:rsidRPr="008B474C">
        <w:t xml:space="preserve">clinical need. While Canada and the Netherlands generally only fund basic prostheses and have limited support for advanced technology, New Zealand and the UK fully fund microprocessor knees and provide comprehensive support services for those who meet clinical criteria. </w:t>
      </w:r>
    </w:p>
    <w:p w14:paraId="02808DEA" w14:textId="501EBBF1" w:rsidR="00F76D4C" w:rsidRDefault="00F76D4C" w:rsidP="00FD54A5">
      <w:pPr>
        <w:pStyle w:val="Heading4"/>
      </w:pPr>
      <w:r>
        <w:t>Other prostheses</w:t>
      </w:r>
    </w:p>
    <w:p w14:paraId="7CA6E54C" w14:textId="31FDFDB3" w:rsidR="00C75535" w:rsidRPr="00CE3DCC" w:rsidRDefault="00C75535" w:rsidP="00CE3DCC">
      <w:r w:rsidRPr="00CE3DCC">
        <w:t xml:space="preserve">Key findings from the international comparative analysis for other </w:t>
      </w:r>
      <w:proofErr w:type="gramStart"/>
      <w:r w:rsidRPr="00CE3DCC">
        <w:t>prostheses</w:t>
      </w:r>
      <w:proofErr w:type="gramEnd"/>
      <w:r w:rsidRPr="00CE3DCC">
        <w:t xml:space="preserve"> types were as follows:</w:t>
      </w:r>
    </w:p>
    <w:p w14:paraId="669FC3E2" w14:textId="369DF484" w:rsidR="00F76D4C" w:rsidRDefault="00C75535" w:rsidP="008B474C">
      <w:pPr>
        <w:pStyle w:val="Bullet1stlevel"/>
      </w:pPr>
      <w:r w:rsidRPr="0042443F">
        <w:rPr>
          <w:rStyle w:val="Strong"/>
        </w:rPr>
        <w:t>Voice prostheses:</w:t>
      </w:r>
      <w:r>
        <w:rPr>
          <w:b/>
          <w:bCs/>
        </w:rPr>
        <w:t xml:space="preserve"> </w:t>
      </w:r>
      <w:r w:rsidR="00F76D4C" w:rsidRPr="008B474C">
        <w:t xml:space="preserve">Canada, the Netherlands, and the UK have structured provincial or national programs </w:t>
      </w:r>
      <w:r w:rsidR="00337680" w:rsidRPr="008B474C">
        <w:t>in place that cover voice prostheses</w:t>
      </w:r>
      <w:r w:rsidR="00F76D4C" w:rsidRPr="008B474C">
        <w:t xml:space="preserve">. The Netherlands and </w:t>
      </w:r>
      <w:r w:rsidR="0086308C" w:rsidRPr="008B474C">
        <w:t>the UK offer comprehensive coverage for voice prostheses,</w:t>
      </w:r>
      <w:r w:rsidR="00F76D4C" w:rsidRPr="008B474C">
        <w:t xml:space="preserve"> while Canada provides partial funding.</w:t>
      </w:r>
    </w:p>
    <w:p w14:paraId="1A2AA80B" w14:textId="5918A4B5" w:rsidR="00F76D4C" w:rsidRPr="008B474C" w:rsidRDefault="00C75535" w:rsidP="008B474C">
      <w:pPr>
        <w:pStyle w:val="Bullet1stlevel"/>
      </w:pPr>
      <w:r w:rsidRPr="0042443F">
        <w:rPr>
          <w:rStyle w:val="Strong"/>
        </w:rPr>
        <w:t>Male reproductive prostheses:</w:t>
      </w:r>
      <w:r w:rsidRPr="008B474C">
        <w:t xml:space="preserve"> </w:t>
      </w:r>
      <w:r w:rsidR="00F76D4C" w:rsidRPr="008B474C">
        <w:t>The UK is the only country that offers public funding for male reproductive prostheses. Canada</w:t>
      </w:r>
      <w:r w:rsidR="005B4AC2" w:rsidRPr="008B474C">
        <w:t xml:space="preserve"> </w:t>
      </w:r>
      <w:r w:rsidR="00F76D4C" w:rsidRPr="008B474C">
        <w:t xml:space="preserve">and New Zealand rely primarily on self-funding, while there is no publicly available information for the Netherlands. </w:t>
      </w:r>
    </w:p>
    <w:p w14:paraId="4BEF6266" w14:textId="20CEC0F7" w:rsidR="008F20E3" w:rsidRPr="00821FA5" w:rsidRDefault="00C75535">
      <w:pPr>
        <w:pStyle w:val="Bullet1stlevel"/>
      </w:pPr>
      <w:r w:rsidRPr="0042443F">
        <w:rPr>
          <w:rStyle w:val="Strong"/>
        </w:rPr>
        <w:t xml:space="preserve">Oral prostheses: </w:t>
      </w:r>
      <w:r w:rsidR="00F76D4C" w:rsidRPr="00821FA5">
        <w:rPr>
          <w:rStyle w:val="Bullet1stlevelChar"/>
        </w:rPr>
        <w:t xml:space="preserve">Canada and the Netherlands offer structured reimbursement models </w:t>
      </w:r>
      <w:r w:rsidR="005B4AC2" w:rsidRPr="00821FA5">
        <w:rPr>
          <w:rStyle w:val="Bullet1stlevelChar"/>
        </w:rPr>
        <w:t>for oral prostheses</w:t>
      </w:r>
      <w:r w:rsidR="0086308C" w:rsidRPr="00821FA5">
        <w:rPr>
          <w:rStyle w:val="Bullet1stlevelChar"/>
        </w:rPr>
        <w:t>,</w:t>
      </w:r>
      <w:r w:rsidR="00F76D4C" w:rsidRPr="00821FA5">
        <w:rPr>
          <w:rStyle w:val="Bullet1stlevelChar"/>
        </w:rPr>
        <w:t xml:space="preserve"> while New Zealand and the UK provide fully funded oral prostheses for individuals meeting specific clinical criteria, which includes those affected by cancer.</w:t>
      </w:r>
      <w:r w:rsidR="008F20E3" w:rsidRPr="00821FA5">
        <w:rPr>
          <w:rStyle w:val="Bullet1stlevelChar"/>
        </w:rPr>
        <w:br w:type="page"/>
      </w:r>
    </w:p>
    <w:p w14:paraId="69C10B36" w14:textId="54B1C15B" w:rsidR="00A80D3D" w:rsidRDefault="00A80D3D" w:rsidP="0040616B">
      <w:pPr>
        <w:pStyle w:val="Heading2NoShow"/>
      </w:pPr>
      <w:r>
        <w:t xml:space="preserve">Equity of access to prostheses </w:t>
      </w:r>
      <w:r w:rsidRPr="00A80D3D">
        <w:t xml:space="preserve">for people living with or post a cancer </w:t>
      </w:r>
      <w:r w:rsidRPr="00731939">
        <w:t>diagnosis</w:t>
      </w:r>
    </w:p>
    <w:p w14:paraId="5DD14685" w14:textId="53DBE32A" w:rsidR="00A80D3D" w:rsidRPr="00CE3DCC" w:rsidRDefault="00A80D3D" w:rsidP="00CE3DCC">
      <w:r w:rsidRPr="00CE3DCC">
        <w:t xml:space="preserve">A range of barriers were identified for people living with or who have lived experience of cancer in accessing prostheses services. </w:t>
      </w:r>
      <w:r w:rsidR="000136C8" w:rsidRPr="00CE3DCC">
        <w:t xml:space="preserve">These barriers were identified </w:t>
      </w:r>
      <w:r w:rsidR="0086308C" w:rsidRPr="00CE3DCC">
        <w:t xml:space="preserve">through a variety of sources, including desktop research and mapping of available schemes and programs for prostheses, consultation with stakeholders such as clinicians involved in </w:t>
      </w:r>
      <w:r w:rsidR="000136C8" w:rsidRPr="00CE3DCC">
        <w:t xml:space="preserve">prostheses services and people living with or who have lived experience of cancer, and stakeholder survey responses. </w:t>
      </w:r>
      <w:r w:rsidR="008738EA" w:rsidRPr="00CE3DCC">
        <w:t>The identified b</w:t>
      </w:r>
      <w:r w:rsidR="000136C8" w:rsidRPr="00CE3DCC">
        <w:t xml:space="preserve">arriers </w:t>
      </w:r>
      <w:r w:rsidR="008738EA" w:rsidRPr="00CE3DCC">
        <w:t xml:space="preserve">to accessing prostheses services </w:t>
      </w:r>
      <w:r w:rsidRPr="00CE3DCC">
        <w:t xml:space="preserve">included: </w:t>
      </w:r>
    </w:p>
    <w:p w14:paraId="408B34E2" w14:textId="452530C5" w:rsidR="00A80D3D" w:rsidRPr="00A80D3D" w:rsidRDefault="00A80D3D" w:rsidP="00AD624C">
      <w:pPr>
        <w:pStyle w:val="Bullet1stlevel"/>
      </w:pPr>
      <w:r w:rsidRPr="0042443F">
        <w:rPr>
          <w:rStyle w:val="Strong"/>
        </w:rPr>
        <w:t>System navigation and access issues</w:t>
      </w:r>
      <w:r w:rsidR="0086308C" w:rsidRPr="0042443F">
        <w:rPr>
          <w:rStyle w:val="Strong"/>
        </w:rPr>
        <w:t>,</w:t>
      </w:r>
      <w:r w:rsidRPr="00A80D3D">
        <w:t xml:space="preserve"> including unclear care pathways and system complexity, a lack of awareness of existing services and schemes and issues relating to eligibility criteria for existing schemes such as the NDIS. </w:t>
      </w:r>
    </w:p>
    <w:p w14:paraId="37789067" w14:textId="58DE4E6B" w:rsidR="00A80D3D" w:rsidRPr="00A80D3D" w:rsidRDefault="00A80D3D" w:rsidP="00AD624C">
      <w:pPr>
        <w:pStyle w:val="Bullet1stlevel"/>
      </w:pPr>
      <w:r w:rsidRPr="0042443F">
        <w:rPr>
          <w:rStyle w:val="Strong"/>
        </w:rPr>
        <w:t>Availability of prostheses services</w:t>
      </w:r>
      <w:r w:rsidR="00420AA4" w:rsidRPr="0042443F">
        <w:rPr>
          <w:rStyle w:val="Strong"/>
        </w:rPr>
        <w:t>,</w:t>
      </w:r>
      <w:r w:rsidRPr="00A80D3D">
        <w:t xml:space="preserve"> including a lack of prostheses services, particularly in regional, rural and remote areas, long wait times to access existing prostheses services, including both publicly funded and private services and limited culturally safe and accessible prostheses services for Aboriginal and Torres Strait Islander and CALD communities.</w:t>
      </w:r>
    </w:p>
    <w:p w14:paraId="27489224" w14:textId="226BB214" w:rsidR="00A80D3D" w:rsidRPr="00A80D3D" w:rsidRDefault="00A80D3D" w:rsidP="00AD624C">
      <w:pPr>
        <w:pStyle w:val="Bullet1stlevel"/>
      </w:pPr>
      <w:r w:rsidRPr="0042443F">
        <w:rPr>
          <w:rStyle w:val="Strong"/>
        </w:rPr>
        <w:t>Workforce issues</w:t>
      </w:r>
      <w:r w:rsidR="00420AA4">
        <w:rPr>
          <w:b/>
          <w:bCs/>
        </w:rPr>
        <w:t>,</w:t>
      </w:r>
      <w:r w:rsidRPr="00A80D3D">
        <w:t xml:space="preserve"> including a shortage of skilled prosthetic providers, particularly for facial prostheses, no clear or formal education and qualification pathways for providers of facial prostheses and a lack of regulation and accreditation standards for providers of facial prostheses.</w:t>
      </w:r>
    </w:p>
    <w:p w14:paraId="261B36F0" w14:textId="03D4D405" w:rsidR="00A80D3D" w:rsidRPr="00A80D3D" w:rsidRDefault="00A80D3D" w:rsidP="00AD624C">
      <w:pPr>
        <w:pStyle w:val="Bullet1stlevel"/>
      </w:pPr>
      <w:r w:rsidRPr="0042443F">
        <w:rPr>
          <w:rStyle w:val="Strong"/>
        </w:rPr>
        <w:t>Cost and funding models</w:t>
      </w:r>
      <w:r w:rsidR="005F0835" w:rsidRPr="0042443F">
        <w:rPr>
          <w:rStyle w:val="Strong"/>
        </w:rPr>
        <w:t>,</w:t>
      </w:r>
      <w:r w:rsidRPr="00A80D3D">
        <w:t xml:space="preserve"> including out-of-pocket costs for prostheses not covered by existing schemes, upfront payments required under existing reimbursement models and travel costs for patients who cannot access prostheses services where they live.</w:t>
      </w:r>
    </w:p>
    <w:p w14:paraId="264CA5C0" w14:textId="3B20BBA2" w:rsidR="001B5679" w:rsidRDefault="00A80D3D" w:rsidP="00CE3DCC">
      <w:r w:rsidRPr="00A80D3D">
        <w:t xml:space="preserve">In considering these barriers, </w:t>
      </w:r>
      <w:r w:rsidR="00420AA4">
        <w:t>several</w:t>
      </w:r>
      <w:r w:rsidRPr="00A80D3D">
        <w:t xml:space="preserve"> </w:t>
      </w:r>
      <w:r w:rsidR="006158F5">
        <w:t xml:space="preserve">equity </w:t>
      </w:r>
      <w:r w:rsidRPr="00A80D3D">
        <w:t xml:space="preserve">issues </w:t>
      </w:r>
      <w:r w:rsidR="006158F5">
        <w:t xml:space="preserve">for people living with or who have lived experience </w:t>
      </w:r>
      <w:r w:rsidR="004C44B5">
        <w:t>of</w:t>
      </w:r>
      <w:r w:rsidRPr="00A80D3D">
        <w:t xml:space="preserve"> </w:t>
      </w:r>
      <w:r w:rsidR="006158F5">
        <w:t xml:space="preserve">cancer in accessing prostheses services </w:t>
      </w:r>
      <w:r w:rsidRPr="00A80D3D">
        <w:t>have been identified</w:t>
      </w:r>
      <w:r w:rsidR="001B5679">
        <w:t>. These include:</w:t>
      </w:r>
    </w:p>
    <w:p w14:paraId="3467FEE9" w14:textId="60C84286" w:rsidR="00E1488B" w:rsidRPr="0042443F" w:rsidRDefault="00C173B8" w:rsidP="005A6CA2">
      <w:pPr>
        <w:pStyle w:val="Calloutbodytext"/>
        <w:rPr>
          <w:rStyle w:val="Strong"/>
        </w:rPr>
      </w:pPr>
      <w:r w:rsidRPr="0042443F">
        <w:rPr>
          <w:rStyle w:val="Strong"/>
        </w:rPr>
        <w:t xml:space="preserve">1. </w:t>
      </w:r>
      <w:r w:rsidR="00E1488B" w:rsidRPr="0042443F">
        <w:rPr>
          <w:rStyle w:val="Strong"/>
        </w:rPr>
        <w:t>Differences in equitable access between different types of prostheses</w:t>
      </w:r>
    </w:p>
    <w:p w14:paraId="7D175014" w14:textId="15C46A58" w:rsidR="00A80D3D" w:rsidRDefault="00063CEC" w:rsidP="005A6CA2">
      <w:pPr>
        <w:pStyle w:val="Callout-Summaryofkeyfindingbullet"/>
      </w:pPr>
      <w:r w:rsidRPr="0042443F">
        <w:rPr>
          <w:rStyle w:val="Strong"/>
        </w:rPr>
        <w:t>1A</w:t>
      </w:r>
      <w:r w:rsidR="002031DF" w:rsidRPr="0042443F">
        <w:rPr>
          <w:rStyle w:val="Strong"/>
        </w:rPr>
        <w:t>. Inconsistent availability of national programs and schemes</w:t>
      </w:r>
      <w:r w:rsidR="002031DF" w:rsidRPr="002031DF">
        <w:t>: There is no national program or scheme currently in place for facial prostheses, unlike limbs (NDIS) and external breast prostheses (EBPRP).</w:t>
      </w:r>
    </w:p>
    <w:p w14:paraId="21C73A7D" w14:textId="6C151BF9" w:rsidR="002031DF" w:rsidRDefault="002031DF" w:rsidP="005A6CA2">
      <w:pPr>
        <w:pStyle w:val="Callout-Summaryofkeyfindingbullet"/>
      </w:pPr>
      <w:r w:rsidRPr="0042443F">
        <w:rPr>
          <w:rStyle w:val="Strong"/>
        </w:rPr>
        <w:t>1B.  Inconsistent funding models used by existing national programs and schemes</w:t>
      </w:r>
      <w:r w:rsidRPr="002031DF">
        <w:t>: The EBPRP requires an upfront payment to access breast prostheses, while there is no upfront payment required to access a prosthetic limb under the NDIS.</w:t>
      </w:r>
    </w:p>
    <w:p w14:paraId="2C306BBE" w14:textId="42CB5BEC" w:rsidR="002031DF" w:rsidRPr="0042443F" w:rsidRDefault="00C173B8" w:rsidP="005A6CA2">
      <w:pPr>
        <w:pStyle w:val="Calloutbodytext"/>
        <w:rPr>
          <w:rStyle w:val="Strong"/>
        </w:rPr>
      </w:pPr>
      <w:r w:rsidRPr="0042443F">
        <w:rPr>
          <w:rStyle w:val="Strong"/>
        </w:rPr>
        <w:t xml:space="preserve">2. </w:t>
      </w:r>
      <w:r w:rsidR="00DD06FA" w:rsidRPr="0042443F">
        <w:rPr>
          <w:rStyle w:val="Strong"/>
        </w:rPr>
        <w:t>Differences in equitable access for the same type of prostheses</w:t>
      </w:r>
    </w:p>
    <w:p w14:paraId="7BABD9D2" w14:textId="28F94842" w:rsidR="009C14BC" w:rsidRDefault="009C14BC" w:rsidP="005A6CA2">
      <w:pPr>
        <w:pStyle w:val="Callout-Summaryofkeyfindingbullet"/>
      </w:pPr>
      <w:r w:rsidRPr="0042443F">
        <w:rPr>
          <w:rStyle w:val="Strong"/>
        </w:rPr>
        <w:t xml:space="preserve">2A. Variability in availability of facial prostheses services between jurisdictions: </w:t>
      </w:r>
      <w:r w:rsidRPr="009C14BC">
        <w:t>Some jurisdictions provide publicly funded facial prostheses services, while in others, either only private services or no services are available.</w:t>
      </w:r>
    </w:p>
    <w:p w14:paraId="3DBAD2FD" w14:textId="00D8385F" w:rsidR="009C14BC" w:rsidRDefault="009C14BC" w:rsidP="005A6CA2">
      <w:pPr>
        <w:pStyle w:val="Callout-Summaryofkeyfindingbullet"/>
      </w:pPr>
      <w:r w:rsidRPr="0042443F">
        <w:rPr>
          <w:rStyle w:val="Strong"/>
        </w:rPr>
        <w:t>2B. Variability in prostheses available under the NDIS and jurisdictional limb schemes</w:t>
      </w:r>
      <w:r w:rsidRPr="009C14BC">
        <w:t>: People under 65 years can access high-grade limbs through the NDIS, while people over 65 years are reliant on jurisdictional limb schemes, which typically offer basic limbs and componentry only</w:t>
      </w:r>
    </w:p>
    <w:p w14:paraId="1587B217" w14:textId="74D6F3E7" w:rsidR="006158F5" w:rsidRPr="0042443F" w:rsidRDefault="00C173B8" w:rsidP="005A6CA2">
      <w:pPr>
        <w:pStyle w:val="Calloutbodytext"/>
        <w:rPr>
          <w:rStyle w:val="Strong"/>
        </w:rPr>
      </w:pPr>
      <w:r w:rsidRPr="0042443F">
        <w:rPr>
          <w:rStyle w:val="Strong"/>
        </w:rPr>
        <w:t xml:space="preserve">3. </w:t>
      </w:r>
      <w:r w:rsidR="00E41B5F" w:rsidRPr="0042443F">
        <w:rPr>
          <w:rStyle w:val="Strong"/>
        </w:rPr>
        <w:t>Additional access issues experienced by priority population groups</w:t>
      </w:r>
    </w:p>
    <w:p w14:paraId="77E9D770" w14:textId="2898D501" w:rsidR="00E41B5F" w:rsidRDefault="00E41B5F" w:rsidP="005A6CA2">
      <w:pPr>
        <w:pStyle w:val="Callout-Summaryofkeyfindingbullet"/>
      </w:pPr>
      <w:r w:rsidRPr="0042443F">
        <w:rPr>
          <w:rStyle w:val="Strong"/>
        </w:rPr>
        <w:t>3A.  Limited services available in rural and remote areas:</w:t>
      </w:r>
      <w:r w:rsidRPr="00E41B5F">
        <w:t xml:space="preserve"> Most prostheses services are only available in metropolitan areas, with limited and inconsistent availability of mobile or outreach prostheses services.</w:t>
      </w:r>
    </w:p>
    <w:p w14:paraId="197DB4A5" w14:textId="3271101E" w:rsidR="00E41B5F" w:rsidRDefault="00E41B5F" w:rsidP="005A6CA2">
      <w:pPr>
        <w:pStyle w:val="Callout-Summaryofkeyfindingbullet"/>
      </w:pPr>
      <w:r w:rsidRPr="0042443F">
        <w:rPr>
          <w:rStyle w:val="Strong"/>
        </w:rPr>
        <w:t>3B.  Significant financial barriers for people in lower socioeconomic groups:</w:t>
      </w:r>
      <w:r w:rsidRPr="00E41B5F">
        <w:t xml:space="preserve"> There are significant financial barriers for individuals who require facial prostheses who live in jurisdictions where there are no publicly funded services available. Additionally, the reimbursement model of the EBPRP presents a barrier to access for people in lower socioeconomic groups due to the upfront payment required.</w:t>
      </w:r>
    </w:p>
    <w:p w14:paraId="0A84A7B0" w14:textId="042F008F" w:rsidR="0094465B" w:rsidRDefault="00E41B5F" w:rsidP="005A6CA2">
      <w:pPr>
        <w:pStyle w:val="Callout-Summaryofkeyfindingbullet"/>
      </w:pPr>
      <w:r w:rsidRPr="0042443F">
        <w:rPr>
          <w:rStyle w:val="Strong"/>
        </w:rPr>
        <w:t>3C.  Additional financial burden for young people requiring facial prostheses:</w:t>
      </w:r>
      <w:r>
        <w:t xml:space="preserve"> The need for more frequent replacement prostheses to accommodate anatomical changes due to growth and ageing, placing an additional financial burden on young people who require facial prostheses and live in jurisdictions with no publicly funded services available.</w:t>
      </w:r>
      <w:r w:rsidR="0094465B">
        <w:br w:type="page"/>
      </w:r>
    </w:p>
    <w:p w14:paraId="799C4168" w14:textId="42CF82F9" w:rsidR="006B2134" w:rsidRDefault="006B2134" w:rsidP="0040616B">
      <w:pPr>
        <w:pStyle w:val="Heading2NoShow"/>
      </w:pPr>
      <w:r w:rsidRPr="006B2134">
        <w:t>Options and considerations for a national cancer prostheses program</w:t>
      </w:r>
    </w:p>
    <w:p w14:paraId="070A88B4" w14:textId="4D3831A0" w:rsidR="006B2134" w:rsidRDefault="006B2134" w:rsidP="00CE3DCC">
      <w:r w:rsidRPr="006B2134">
        <w:t xml:space="preserve">Based on the review findings, three options have been identified for a </w:t>
      </w:r>
      <w:r w:rsidR="00AD6758">
        <w:t xml:space="preserve">potential </w:t>
      </w:r>
      <w:r w:rsidRPr="006B2134">
        <w:t>national cancer prostheses program</w:t>
      </w:r>
      <w:r w:rsidR="00AD6758">
        <w:t>,</w:t>
      </w:r>
      <w:r w:rsidRPr="006B2134">
        <w:t xml:space="preserve"> aimed at addressing</w:t>
      </w:r>
      <w:r w:rsidR="00325EBE">
        <w:t xml:space="preserve"> the</w:t>
      </w:r>
      <w:r w:rsidRPr="006B2134">
        <w:t xml:space="preserve"> identified equity issues. </w:t>
      </w:r>
      <w:r w:rsidR="00C247A5">
        <w:t>T</w:t>
      </w:r>
      <w:r w:rsidRPr="006B2134">
        <w:t xml:space="preserve">hese options build on each other to expand access across different types of prostheses. </w:t>
      </w:r>
      <w:r w:rsidR="00C247A5">
        <w:t>The options include:</w:t>
      </w:r>
    </w:p>
    <w:p w14:paraId="72CFCCA7" w14:textId="4D6943D6" w:rsidR="004F7163" w:rsidRPr="0042443F" w:rsidRDefault="00C247A5" w:rsidP="00D96491">
      <w:pPr>
        <w:pStyle w:val="Callout-Summaryofkeyfindingbullet"/>
        <w:rPr>
          <w:rStyle w:val="Strong"/>
        </w:rPr>
      </w:pPr>
      <w:r w:rsidRPr="0042443F">
        <w:rPr>
          <w:rStyle w:val="Strong"/>
        </w:rPr>
        <w:t>Option</w:t>
      </w:r>
      <w:r w:rsidR="004F7163" w:rsidRPr="0042443F">
        <w:rPr>
          <w:rStyle w:val="Strong"/>
        </w:rPr>
        <w:t xml:space="preserve"> 1: Establish a national program that provides funding for facial prostheses that are required </w:t>
      </w:r>
      <w:proofErr w:type="gramStart"/>
      <w:r w:rsidR="004F7163" w:rsidRPr="0042443F">
        <w:rPr>
          <w:rStyle w:val="Strong"/>
        </w:rPr>
        <w:t>as a result of</w:t>
      </w:r>
      <w:proofErr w:type="gramEnd"/>
      <w:r w:rsidR="004F7163" w:rsidRPr="0042443F">
        <w:rPr>
          <w:rStyle w:val="Strong"/>
        </w:rPr>
        <w:t xml:space="preserve"> cancer or cancer treatment </w:t>
      </w:r>
    </w:p>
    <w:p w14:paraId="5017AF62" w14:textId="0A32A309" w:rsidR="004F7163" w:rsidRPr="004F7163" w:rsidRDefault="004F7163" w:rsidP="00D96491">
      <w:pPr>
        <w:pStyle w:val="Callout-Summaryofkeyfindingbullet"/>
      </w:pPr>
      <w:r w:rsidRPr="0042443F">
        <w:rPr>
          <w:rStyle w:val="Strong"/>
        </w:rPr>
        <w:t xml:space="preserve">Option 2: Establish a national program that, in addition to the funding provided under Option </w:t>
      </w:r>
      <w:r w:rsidRPr="004F7163">
        <w:t xml:space="preserve">1, also provides funding to ensure that individuals who require an </w:t>
      </w:r>
      <w:r w:rsidRPr="0042443F">
        <w:rPr>
          <w:rStyle w:val="Strong"/>
        </w:rPr>
        <w:t>external breast prosthesis</w:t>
      </w:r>
      <w:r w:rsidRPr="004F7163">
        <w:t xml:space="preserve"> </w:t>
      </w:r>
      <w:proofErr w:type="gramStart"/>
      <w:r w:rsidRPr="004F7163">
        <w:t>as a result of</w:t>
      </w:r>
      <w:proofErr w:type="gramEnd"/>
      <w:r w:rsidRPr="004F7163">
        <w:t xml:space="preserve"> cancer or cancer treatment can access one without needing to make an upfront payment</w:t>
      </w:r>
    </w:p>
    <w:p w14:paraId="1B74F24D" w14:textId="6191754E" w:rsidR="00C247A5" w:rsidRPr="004F7163" w:rsidRDefault="004F7163" w:rsidP="00D96491">
      <w:pPr>
        <w:pStyle w:val="Callout-Summaryofkeyfindingbullet"/>
      </w:pPr>
      <w:r w:rsidRPr="0042443F">
        <w:rPr>
          <w:rStyle w:val="Strong"/>
        </w:rPr>
        <w:t>Option 3</w:t>
      </w:r>
      <w:r>
        <w:t xml:space="preserve">: </w:t>
      </w:r>
      <w:r w:rsidRPr="004F7163">
        <w:t xml:space="preserve">Establish a national program that, in addition to the funding provided under Option 2, also provides funding to ensure that </w:t>
      </w:r>
      <w:r w:rsidRPr="0042443F">
        <w:rPr>
          <w:rStyle w:val="Strong"/>
        </w:rPr>
        <w:t>individuals aged 65 years and older who require a limb prosthesis</w:t>
      </w:r>
      <w:r w:rsidRPr="004F7163">
        <w:t xml:space="preserve"> </w:t>
      </w:r>
      <w:proofErr w:type="gramStart"/>
      <w:r w:rsidRPr="004F7163">
        <w:t>as a result of</w:t>
      </w:r>
      <w:proofErr w:type="gramEnd"/>
      <w:r w:rsidRPr="004F7163">
        <w:t xml:space="preserve"> cancer or cancer treatment can access a prosthesis that meets their needs. This would include high-grade prostheses such as microprocessor knees, if clinically indicated</w:t>
      </w:r>
    </w:p>
    <w:p w14:paraId="56D9CE38" w14:textId="25CB40FF" w:rsidR="006B2134" w:rsidRPr="00CE3DCC" w:rsidRDefault="00FC1FE5" w:rsidP="00CE3DCC">
      <w:r w:rsidRPr="00CE3DCC">
        <w:t xml:space="preserve">The </w:t>
      </w:r>
      <w:r w:rsidR="006B2134" w:rsidRPr="00CE3DCC">
        <w:t>successful and sustainable implementation of a</w:t>
      </w:r>
      <w:r w:rsidR="00744E73" w:rsidRPr="00CE3DCC">
        <w:t xml:space="preserve"> potential</w:t>
      </w:r>
      <w:r w:rsidR="006B2134" w:rsidRPr="00CE3DCC">
        <w:t xml:space="preserve"> national cancer prostheses program</w:t>
      </w:r>
      <w:r w:rsidRPr="00CE3DCC">
        <w:t xml:space="preserve"> </w:t>
      </w:r>
      <w:r w:rsidR="00AD6758" w:rsidRPr="00CE3DCC">
        <w:t>would</w:t>
      </w:r>
      <w:r w:rsidRPr="00CE3DCC">
        <w:t xml:space="preserve"> be dependent on a </w:t>
      </w:r>
      <w:r w:rsidR="00DF5C32" w:rsidRPr="00CE3DCC">
        <w:t>range</w:t>
      </w:r>
      <w:r w:rsidRPr="00CE3DCC">
        <w:t xml:space="preserve"> of factors </w:t>
      </w:r>
      <w:r w:rsidR="006B2134" w:rsidRPr="00CE3DCC">
        <w:t>includ</w:t>
      </w:r>
      <w:r w:rsidR="00744E73" w:rsidRPr="00CE3DCC">
        <w:t>ing</w:t>
      </w:r>
      <w:r w:rsidR="006B2134" w:rsidRPr="00CE3DCC">
        <w:t xml:space="preserve">: </w:t>
      </w:r>
    </w:p>
    <w:p w14:paraId="7CC92F4E" w14:textId="77777777" w:rsidR="006B2134" w:rsidRPr="006B2134" w:rsidRDefault="006B2134" w:rsidP="00356CA9">
      <w:pPr>
        <w:pStyle w:val="Bullet1stlevel"/>
      </w:pPr>
      <w:r w:rsidRPr="0042443F">
        <w:rPr>
          <w:rStyle w:val="Strong"/>
        </w:rPr>
        <w:t>Delivery and funding model:</w:t>
      </w:r>
      <w:r w:rsidRPr="006B2134">
        <w:t xml:space="preserve"> The choice of delivery and funding models will shape how prostheses services are administered, coordinated, and financed. Delivery options include centralised national administration, state and territory-based coordination, or contracted third-party providers. Funding models include direct provider payments, block-funding, and reimbursement models. Each approach has different strengths and considerations in terms of responsiveness, consistency and equity.</w:t>
      </w:r>
    </w:p>
    <w:p w14:paraId="4D28B1EE" w14:textId="39CCB6DE" w:rsidR="006B2134" w:rsidRPr="006B2134" w:rsidRDefault="006B2134" w:rsidP="00356CA9">
      <w:pPr>
        <w:pStyle w:val="Bullet1stlevel"/>
      </w:pPr>
      <w:r w:rsidRPr="0042443F">
        <w:rPr>
          <w:rStyle w:val="Strong"/>
        </w:rPr>
        <w:t xml:space="preserve">Workforce supply and regulation: </w:t>
      </w:r>
      <w:r w:rsidR="00BC09F9" w:rsidRPr="00D1617A">
        <w:rPr>
          <w:rFonts w:eastAsia="Times New Roman" w:cs="Arial"/>
          <w:lang w:eastAsia="en-AU"/>
        </w:rPr>
        <w:t>Profession</w:t>
      </w:r>
      <w:r w:rsidR="00BC09F9">
        <w:rPr>
          <w:rFonts w:eastAsia="Times New Roman" w:cs="Arial"/>
          <w:lang w:eastAsia="en-AU"/>
        </w:rPr>
        <w:t>al</w:t>
      </w:r>
      <w:r w:rsidR="00BC09F9" w:rsidRPr="00D1617A">
        <w:rPr>
          <w:rFonts w:eastAsia="Times New Roman" w:cs="Arial"/>
          <w:lang w:eastAsia="en-AU"/>
        </w:rPr>
        <w:t xml:space="preserve">s such as anaplastologists and ocularists are in limited supply and are currently unregulated. Mechanisms to ensure that safe and high-quality services are provided under </w:t>
      </w:r>
      <w:r w:rsidR="00BC09F9">
        <w:rPr>
          <w:rFonts w:eastAsia="Times New Roman" w:cs="Arial"/>
          <w:lang w:eastAsia="en-AU"/>
        </w:rPr>
        <w:t>a</w:t>
      </w:r>
      <w:r w:rsidR="00BC09F9" w:rsidRPr="00D1617A">
        <w:rPr>
          <w:rFonts w:eastAsia="Times New Roman" w:cs="Arial"/>
          <w:lang w:eastAsia="en-AU"/>
        </w:rPr>
        <w:t xml:space="preserve"> </w:t>
      </w:r>
      <w:r w:rsidR="00BC09F9">
        <w:rPr>
          <w:rFonts w:eastAsia="Times New Roman" w:cs="Arial"/>
          <w:lang w:eastAsia="en-AU"/>
        </w:rPr>
        <w:t xml:space="preserve">potential new </w:t>
      </w:r>
      <w:r w:rsidR="00BC09F9" w:rsidRPr="00D1617A">
        <w:rPr>
          <w:rFonts w:eastAsia="Times New Roman" w:cs="Arial"/>
          <w:lang w:eastAsia="en-AU"/>
        </w:rPr>
        <w:t xml:space="preserve">program </w:t>
      </w:r>
      <w:r w:rsidR="00BC09F9">
        <w:rPr>
          <w:rFonts w:eastAsia="Times New Roman" w:cs="Arial"/>
          <w:lang w:eastAsia="en-AU"/>
        </w:rPr>
        <w:t xml:space="preserve">will require </w:t>
      </w:r>
      <w:r w:rsidR="00BC09F9" w:rsidRPr="00D1617A">
        <w:rPr>
          <w:rFonts w:eastAsia="Times New Roman" w:cs="Arial"/>
          <w:lang w:eastAsia="en-AU"/>
        </w:rPr>
        <w:t>consider</w:t>
      </w:r>
      <w:r w:rsidR="00BC09F9">
        <w:rPr>
          <w:rFonts w:eastAsia="Times New Roman" w:cs="Arial"/>
          <w:lang w:eastAsia="en-AU"/>
        </w:rPr>
        <w:t>ation</w:t>
      </w:r>
      <w:r w:rsidR="00BC09F9" w:rsidRPr="00D1617A">
        <w:rPr>
          <w:rFonts w:eastAsia="Times New Roman" w:cs="Arial"/>
          <w:lang w:eastAsia="en-AU"/>
        </w:rPr>
        <w:t xml:space="preserve">.  </w:t>
      </w:r>
    </w:p>
    <w:p w14:paraId="2D3ED533" w14:textId="7C572A74" w:rsidR="006B2134" w:rsidRPr="006B2134" w:rsidRDefault="006B2134" w:rsidP="00356CA9">
      <w:pPr>
        <w:pStyle w:val="Bullet1stlevel"/>
      </w:pPr>
      <w:r w:rsidRPr="0042443F">
        <w:rPr>
          <w:rStyle w:val="Strong"/>
        </w:rPr>
        <w:t>Care pathways, education and awareness:</w:t>
      </w:r>
      <w:r w:rsidRPr="006B2134">
        <w:t xml:space="preserve"> Clearly defining and communicating the care pathway for accessing cancer prostheses under the new program will be critical. This will help to ensure that clinicians</w:t>
      </w:r>
      <w:r w:rsidR="00BC09F9">
        <w:t xml:space="preserve">, as well as people with living or lived experience of cancer and their </w:t>
      </w:r>
      <w:proofErr w:type="spellStart"/>
      <w:r w:rsidR="00BC09F9">
        <w:t>carers</w:t>
      </w:r>
      <w:proofErr w:type="spellEnd"/>
      <w:r w:rsidR="00BC09F9">
        <w:t>,</w:t>
      </w:r>
      <w:r w:rsidRPr="006B2134">
        <w:t xml:space="preserve"> </w:t>
      </w:r>
      <w:r w:rsidR="004426FC">
        <w:t xml:space="preserve">to </w:t>
      </w:r>
      <w:r w:rsidRPr="006B2134">
        <w:t>understand when, how and where they can access prostheses services.</w:t>
      </w:r>
    </w:p>
    <w:p w14:paraId="5E85C1EB" w14:textId="0EF3A807" w:rsidR="006B2134" w:rsidRPr="006B2134" w:rsidRDefault="006B2134" w:rsidP="00356CA9">
      <w:pPr>
        <w:pStyle w:val="Bullet1stlevel"/>
      </w:pPr>
      <w:r w:rsidRPr="0042443F">
        <w:rPr>
          <w:rStyle w:val="Strong"/>
        </w:rPr>
        <w:t>Cultural safety and inclusion:</w:t>
      </w:r>
      <w:r w:rsidRPr="00356CA9">
        <w:t xml:space="preserve"> </w:t>
      </w:r>
      <w:r w:rsidR="004426FC" w:rsidRPr="00D1617A">
        <w:rPr>
          <w:rFonts w:eastAsia="Times New Roman" w:cs="Arial"/>
          <w:lang w:eastAsia="en-AU"/>
        </w:rPr>
        <w:t>Consideratio</w:t>
      </w:r>
      <w:r w:rsidR="004426FC">
        <w:rPr>
          <w:rFonts w:eastAsia="Times New Roman" w:cs="Arial"/>
          <w:lang w:eastAsia="en-AU"/>
        </w:rPr>
        <w:t>n should be given to</w:t>
      </w:r>
      <w:r w:rsidR="004426FC" w:rsidRPr="00D1617A">
        <w:rPr>
          <w:rFonts w:eastAsia="Times New Roman" w:cs="Arial"/>
          <w:lang w:eastAsia="en-AU"/>
        </w:rPr>
        <w:t xml:space="preserve"> how </w:t>
      </w:r>
      <w:r w:rsidR="004426FC">
        <w:rPr>
          <w:rFonts w:eastAsia="Times New Roman" w:cs="Arial"/>
          <w:lang w:eastAsia="en-AU"/>
        </w:rPr>
        <w:t>a new national</w:t>
      </w:r>
      <w:r w:rsidR="004426FC" w:rsidRPr="00D1617A">
        <w:rPr>
          <w:rFonts w:eastAsia="Times New Roman" w:cs="Arial"/>
          <w:lang w:eastAsia="en-AU"/>
        </w:rPr>
        <w:t xml:space="preserve"> program </w:t>
      </w:r>
      <w:r w:rsidR="004426FC">
        <w:rPr>
          <w:rFonts w:eastAsia="Times New Roman" w:cs="Arial"/>
          <w:lang w:eastAsia="en-AU"/>
        </w:rPr>
        <w:t>could be</w:t>
      </w:r>
      <w:r w:rsidR="004426FC" w:rsidRPr="00D1617A">
        <w:rPr>
          <w:rFonts w:eastAsia="Times New Roman" w:cs="Arial"/>
          <w:lang w:eastAsia="en-AU"/>
        </w:rPr>
        <w:t xml:space="preserve"> designed to ensure culturally safe and accessible care is provided for Aboriginal and Torres Strait Islander people, CALD communities, and other priority groups</w:t>
      </w:r>
      <w:r w:rsidRPr="006B2134">
        <w:t>.</w:t>
      </w:r>
    </w:p>
    <w:p w14:paraId="4C6D3DA5" w14:textId="3B8E3407" w:rsidR="006B2134" w:rsidRPr="006B2134" w:rsidRDefault="006B2134" w:rsidP="00356CA9">
      <w:pPr>
        <w:pStyle w:val="Bullet1stlevel"/>
      </w:pPr>
      <w:r w:rsidRPr="0042443F">
        <w:rPr>
          <w:rStyle w:val="Strong"/>
        </w:rPr>
        <w:t xml:space="preserve">Rural and remote access: </w:t>
      </w:r>
      <w:r w:rsidR="00BB3086">
        <w:rPr>
          <w:rFonts w:eastAsia="Times New Roman" w:cs="Arial"/>
          <w:lang w:eastAsia="en-AU"/>
        </w:rPr>
        <w:t>As part of a potential new program, s</w:t>
      </w:r>
      <w:r w:rsidR="00BB3086" w:rsidRPr="00D1617A">
        <w:rPr>
          <w:rFonts w:eastAsia="Times New Roman" w:cs="Arial"/>
          <w:lang w:eastAsia="en-AU"/>
        </w:rPr>
        <w:t>trategies could be considered to improve access to prostheses services in rural and remote locations</w:t>
      </w:r>
      <w:r w:rsidR="00BB3086">
        <w:rPr>
          <w:rFonts w:eastAsia="Times New Roman" w:cs="Arial"/>
          <w:lang w:eastAsia="en-AU"/>
        </w:rPr>
        <w:t xml:space="preserve">. This </w:t>
      </w:r>
      <w:r w:rsidR="00BB3086" w:rsidRPr="00D1617A">
        <w:rPr>
          <w:rFonts w:eastAsia="Times New Roman" w:cs="Arial"/>
          <w:lang w:eastAsia="en-AU"/>
        </w:rPr>
        <w:t xml:space="preserve">may include travel support schemes, outreach or mobile clinics, and the use of telehealth or virtual care models. </w:t>
      </w:r>
      <w:r w:rsidR="007E617B">
        <w:t xml:space="preserve"> </w:t>
      </w:r>
      <w:r w:rsidR="00DB0FD3" w:rsidRPr="00EF4876">
        <w:t xml:space="preserve"> </w:t>
      </w:r>
      <w:r w:rsidRPr="006B2134">
        <w:t xml:space="preserve"> </w:t>
      </w:r>
    </w:p>
    <w:p w14:paraId="383CA6CF" w14:textId="60BBEA53" w:rsidR="008819F6" w:rsidRPr="00356CA9" w:rsidRDefault="006B2134" w:rsidP="00356CA9">
      <w:pPr>
        <w:pStyle w:val="Bullet1stlevel"/>
      </w:pPr>
      <w:r w:rsidRPr="0042443F">
        <w:rPr>
          <w:rStyle w:val="Strong"/>
        </w:rPr>
        <w:t>Data collection and evaluation:</w:t>
      </w:r>
      <w:r w:rsidRPr="006B2134">
        <w:t xml:space="preserve"> </w:t>
      </w:r>
      <w:r w:rsidR="00BB3086" w:rsidRPr="00D1617A">
        <w:rPr>
          <w:rFonts w:eastAsia="Times New Roman" w:cs="Arial"/>
          <w:lang w:eastAsia="en-AU"/>
        </w:rPr>
        <w:t>The establishment of a monitoring and evaluation framework, as well as mechanisms to collect robust data on prosthesis needs, access, outcomes, and costs, w</w:t>
      </w:r>
      <w:r w:rsidR="00BB3086">
        <w:rPr>
          <w:rFonts w:eastAsia="Times New Roman" w:cs="Arial"/>
          <w:lang w:eastAsia="en-AU"/>
        </w:rPr>
        <w:t>ould</w:t>
      </w:r>
      <w:r w:rsidR="00BB3086" w:rsidRPr="00D1617A">
        <w:rPr>
          <w:rFonts w:eastAsia="Times New Roman" w:cs="Arial"/>
          <w:lang w:eastAsia="en-AU"/>
        </w:rPr>
        <w:t xml:space="preserve"> be important to enable ongoing accountability and continuous improvement</w:t>
      </w:r>
      <w:r w:rsidR="00BB3086">
        <w:rPr>
          <w:rFonts w:eastAsia="Times New Roman" w:cs="Arial"/>
          <w:lang w:eastAsia="en-AU"/>
        </w:rPr>
        <w:t xml:space="preserve"> of a national program</w:t>
      </w:r>
      <w:r w:rsidR="00BB3086" w:rsidRPr="00D1617A">
        <w:rPr>
          <w:rFonts w:eastAsia="Times New Roman" w:cs="Arial"/>
          <w:lang w:eastAsia="en-AU"/>
        </w:rPr>
        <w:t>.</w:t>
      </w:r>
    </w:p>
    <w:p w14:paraId="0B9E0AA4" w14:textId="730D2822" w:rsidR="00627775" w:rsidRDefault="00627775" w:rsidP="00627775">
      <w:pPr>
        <w:pStyle w:val="Heading3"/>
        <w:numPr>
          <w:ilvl w:val="0"/>
          <w:numId w:val="0"/>
        </w:numPr>
        <w:ind w:left="720" w:hanging="720"/>
      </w:pPr>
      <w:r w:rsidRPr="00627775">
        <w:t>Cost implications of a national cancer prostheses program</w:t>
      </w:r>
    </w:p>
    <w:p w14:paraId="66E1ED8A" w14:textId="77777777" w:rsidR="00BA7ECF" w:rsidRPr="00CE3DCC" w:rsidRDefault="00C315D6" w:rsidP="00CE3DCC">
      <w:r w:rsidRPr="00CE3DCC">
        <w:t xml:space="preserve">The potential implementation of a national prosthesis scheme may </w:t>
      </w:r>
      <w:r w:rsidR="00545B08" w:rsidRPr="00CE3DCC">
        <w:t>affect the supply and demand in the marketplace and send price signals to prosthetic manufacturers</w:t>
      </w:r>
      <w:r w:rsidRPr="00CE3DCC">
        <w:t xml:space="preserve">. </w:t>
      </w:r>
      <w:r w:rsidR="00545B08" w:rsidRPr="00CE3DCC">
        <w:t>Currently, there is no data available to determine</w:t>
      </w:r>
      <w:r w:rsidRPr="00CE3DCC">
        <w:t xml:space="preserve"> the number of people who may currently require a prosthesis but do not have one. The implementation of a national scheme may lead to a </w:t>
      </w:r>
      <w:r w:rsidR="00545B08" w:rsidRPr="00CE3DCC">
        <w:t>surge in demand for prostheses, potentially resulting in either higher</w:t>
      </w:r>
      <w:r w:rsidRPr="00CE3DCC">
        <w:t xml:space="preserve"> prices charged by manufacturers or longer waitlists for prostheses. </w:t>
      </w:r>
    </w:p>
    <w:p w14:paraId="10201E95" w14:textId="6B92AC3F" w:rsidR="00C315D6" w:rsidRDefault="00C315D6" w:rsidP="00CE3DCC">
      <w:r w:rsidRPr="00CE3DCC">
        <w:t xml:space="preserve">In establishing a </w:t>
      </w:r>
      <w:r>
        <w:t xml:space="preserve">national scheme, the price set by the Australian Government </w:t>
      </w:r>
      <w:r w:rsidR="00BA7ECF">
        <w:t>would</w:t>
      </w:r>
      <w:r>
        <w:t xml:space="preserve"> send a price signal to the market about what a prosthesis </w:t>
      </w:r>
      <w:r w:rsidR="00BA7ECF">
        <w:t>“</w:t>
      </w:r>
      <w:r>
        <w:t>should</w:t>
      </w:r>
      <w:r w:rsidR="00BA7ECF">
        <w:t>”</w:t>
      </w:r>
      <w:r>
        <w:t xml:space="preserve"> cost and the acceptable amount for manufacturers to charge. This c</w:t>
      </w:r>
      <w:r w:rsidR="00545B08">
        <w:t>ould</w:t>
      </w:r>
      <w:r>
        <w:t xml:space="preserve"> lead to prices clustering around the set price. Setting the price of prostheses too high c</w:t>
      </w:r>
      <w:r w:rsidR="00545B08">
        <w:t>ould</w:t>
      </w:r>
      <w:r>
        <w:t xml:space="preserve"> lead to increased costs to government through these clustering effects, while setting the price too low c</w:t>
      </w:r>
      <w:r w:rsidR="00BA7ECF">
        <w:t>ould</w:t>
      </w:r>
      <w:r>
        <w:t xml:space="preserve"> have a detrimental impact on the delivery of services and lead to providers exiting the market. </w:t>
      </w:r>
    </w:p>
    <w:p w14:paraId="0DDCD1F0" w14:textId="34E2C711" w:rsidR="00EC6FBE" w:rsidRPr="008B474C" w:rsidRDefault="00627775" w:rsidP="008B474C">
      <w:r w:rsidRPr="008B474C">
        <w:t xml:space="preserve">There is limited data available to describe the types of cancer that may lead to </w:t>
      </w:r>
      <w:r w:rsidR="00322769" w:rsidRPr="008B474C">
        <w:t xml:space="preserve">individuals requiring </w:t>
      </w:r>
      <w:r w:rsidRPr="008B474C">
        <w:t>a prosthesis, the number of people that will require a prosthesis following treatment for cancer and the costs associated with each prosthesis type.</w:t>
      </w:r>
      <w:r w:rsidR="00C315D6" w:rsidRPr="008B474C">
        <w:t xml:space="preserve"> </w:t>
      </w:r>
    </w:p>
    <w:p w14:paraId="18F9625B" w14:textId="0D35F3D8" w:rsidR="00627775" w:rsidRPr="00CE3DCC" w:rsidRDefault="00627775" w:rsidP="00CE3DCC">
      <w:r w:rsidRPr="00CE3DCC">
        <w:t>The average cost of an external breast prosthesis was reported to be $400, which is in line with the reimbursement amount under the EBPR</w:t>
      </w:r>
      <w:r w:rsidR="00C73EFA" w:rsidRPr="00CE3DCC">
        <w:t xml:space="preserve">P. </w:t>
      </w:r>
      <w:r w:rsidRPr="00CE3DCC">
        <w:t xml:space="preserve">Costs associated with facial prostheses were reported to vary significantly due to their highly customised nature. The average cost reported for a facial prosthesis was $6,000, although stakeholders suggested some may cost more than $10,000. The cost of a prosthetic limb was reported to range from less than $15,000 for a basic limb through to $250,000 for a highly advanced limb. Data to describe the distribution of costs within this range was not available. </w:t>
      </w:r>
      <w:r w:rsidR="00EB2750" w:rsidRPr="00CE3DCC">
        <w:t xml:space="preserve">Detailed limitations to the cost model are available in Section 6.3.1 with assumptions and model inputs available in Appendix </w:t>
      </w:r>
      <w:r w:rsidR="0008238D" w:rsidRPr="00CE3DCC">
        <w:t>H</w:t>
      </w:r>
      <w:r w:rsidR="00410958" w:rsidRPr="00CE3DCC">
        <w:t>.</w:t>
      </w:r>
    </w:p>
    <w:p w14:paraId="11012DFB" w14:textId="41A43414" w:rsidR="00627775" w:rsidRDefault="00627775" w:rsidP="00CE3DCC">
      <w:r w:rsidRPr="00CE3DCC">
        <w:t>Cos</w:t>
      </w:r>
      <w:r>
        <w:t>t modelling for a national cancer prostheses program indicate</w:t>
      </w:r>
      <w:r w:rsidR="008819F6">
        <w:t>d</w:t>
      </w:r>
      <w:r>
        <w:t xml:space="preserve">: </w:t>
      </w:r>
    </w:p>
    <w:p w14:paraId="418F4D59" w14:textId="26B5713B" w:rsidR="002674B4" w:rsidRDefault="002674B4" w:rsidP="00233AC4">
      <w:pPr>
        <w:pStyle w:val="Bullet1stlevel"/>
      </w:pPr>
      <w:r>
        <w:t>Option 1 would cost $51.63 million over 10 years for facial prostheses, including ears, eyes, noses and hemi-facial prostheses.</w:t>
      </w:r>
    </w:p>
    <w:p w14:paraId="31971ED5" w14:textId="2641B73F" w:rsidR="002674B4" w:rsidRDefault="002674B4" w:rsidP="00233AC4">
      <w:pPr>
        <w:pStyle w:val="Bullet1stlevel"/>
      </w:pPr>
      <w:r>
        <w:t xml:space="preserve">Option 2 would cost $123.38 million over 10 years. This includes $51.63 million for facial prostheses and $71.76 million for external breast prostheses, noting that </w:t>
      </w:r>
      <w:r w:rsidR="001F65DB">
        <w:t>the Australian Government already funds the EBPRP</w:t>
      </w:r>
      <w:r>
        <w:t>.</w:t>
      </w:r>
    </w:p>
    <w:p w14:paraId="5E63A793" w14:textId="23CB67A1" w:rsidR="00651941" w:rsidRPr="00233AC4" w:rsidRDefault="002674B4" w:rsidP="00233AC4">
      <w:pPr>
        <w:pStyle w:val="Bullet1stlevel"/>
        <w:spacing w:before="0" w:after="160" w:line="259" w:lineRule="auto"/>
      </w:pPr>
      <w:r>
        <w:t>Option 3 would cost $209.75 million over 10 years. This includes $51.63 million for facial prostheses, $71.76 million for external breast prostheses and $86.37 million for prosthetic limbs.</w:t>
      </w:r>
    </w:p>
    <w:p w14:paraId="74F7F49F" w14:textId="77777777" w:rsidR="00BB46F3" w:rsidRDefault="00BB46F3" w:rsidP="00233AC4">
      <w:pPr>
        <w:sectPr w:rsidR="00BB46F3" w:rsidSect="009251D9">
          <w:headerReference w:type="even" r:id="rId36"/>
          <w:headerReference w:type="default" r:id="rId37"/>
          <w:headerReference w:type="first" r:id="rId38"/>
          <w:pgSz w:w="11906" w:h="16838"/>
          <w:pgMar w:top="1418" w:right="851" w:bottom="1418" w:left="851" w:header="567" w:footer="284" w:gutter="0"/>
          <w:cols w:space="708"/>
          <w:docGrid w:linePitch="360"/>
        </w:sectPr>
      </w:pPr>
    </w:p>
    <w:p w14:paraId="43BF808E" w14:textId="783982A2" w:rsidR="000938D6" w:rsidRDefault="000938D6" w:rsidP="00CE3DCC"/>
    <w:p w14:paraId="7C2F8129" w14:textId="6BF1D637" w:rsidR="00BB46F3" w:rsidRDefault="00D329BB">
      <w:pPr>
        <w:spacing w:before="0" w:after="160" w:line="259" w:lineRule="auto"/>
        <w:sectPr w:rsidR="00BB46F3" w:rsidSect="00AD06AA">
          <w:headerReference w:type="default" r:id="rId39"/>
          <w:pgSz w:w="11906" w:h="16838"/>
          <w:pgMar w:top="920" w:right="851" w:bottom="851" w:left="851" w:header="567" w:footer="283" w:gutter="0"/>
          <w:cols w:space="708"/>
          <w:docGrid w:linePitch="360"/>
        </w:sectPr>
      </w:pPr>
      <w:r w:rsidRPr="00C20260">
        <w:rPr>
          <w:noProof/>
        </w:rPr>
        <w:drawing>
          <wp:anchor distT="0" distB="0" distL="114300" distR="114300" simplePos="0" relativeHeight="251658248" behindDoc="1" locked="1" layoutInCell="1" allowOverlap="1" wp14:anchorId="4C849D1C" wp14:editId="4F6DC160">
            <wp:simplePos x="0" y="0"/>
            <wp:positionH relativeFrom="page">
              <wp:align>left</wp:align>
            </wp:positionH>
            <wp:positionV relativeFrom="page">
              <wp:align>top</wp:align>
            </wp:positionV>
            <wp:extent cx="7560000" cy="10692000"/>
            <wp:effectExtent l="0" t="0" r="3175" b="0"/>
            <wp:wrapNone/>
            <wp:docPr id="49078156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781564" name="Graphic 1">
                      <a:extLst>
                        <a:ext uri="{C183D7F6-B498-43B3-948B-1728B52AA6E4}">
                          <adec:decorative xmlns:adec="http://schemas.microsoft.com/office/drawing/2017/decorative" val="1"/>
                        </a:ext>
                      </a:extLst>
                    </pic:cNvPr>
                    <pic:cNvPicPr/>
                  </pic:nvPicPr>
                  <pic:blipFill>
                    <a:blip r:embed="rId40">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p w14:paraId="1F50518E" w14:textId="5CBEBFBC" w:rsidR="00630B86" w:rsidRPr="00273AFB" w:rsidRDefault="006E596E" w:rsidP="0040616B">
      <w:pPr>
        <w:pStyle w:val="Heading1"/>
        <w:numPr>
          <w:ilvl w:val="0"/>
          <w:numId w:val="25"/>
        </w:numPr>
      </w:pPr>
      <w:bookmarkStart w:id="23" w:name="_Toc207348730"/>
      <w:r>
        <w:t>Introduction</w:t>
      </w:r>
      <w:bookmarkEnd w:id="23"/>
    </w:p>
    <w:p w14:paraId="225B3B00" w14:textId="02BEF0AF" w:rsidR="00EA3068" w:rsidRPr="00CE3DCC" w:rsidRDefault="00A7169C" w:rsidP="00CE3DCC">
      <w:r w:rsidRPr="00A7169C">
        <w:t>In response to</w:t>
      </w:r>
      <w:r w:rsidR="00B21EF1">
        <w:t xml:space="preserve"> </w:t>
      </w:r>
      <w:r w:rsidR="004843D9">
        <w:t xml:space="preserve">recommendations from a recent </w:t>
      </w:r>
      <w:r w:rsidR="00115ED5">
        <w:t xml:space="preserve">enquiry conducted by </w:t>
      </w:r>
      <w:r w:rsidR="00B850D6">
        <w:t>the</w:t>
      </w:r>
      <w:r w:rsidRPr="00A7169C">
        <w:t xml:space="preserve"> </w:t>
      </w:r>
      <w:r w:rsidR="0035055B">
        <w:t xml:space="preserve">Senate </w:t>
      </w:r>
      <w:r w:rsidR="00115ED5" w:rsidRPr="001C06A0">
        <w:t>Community Affairs References Committee</w:t>
      </w:r>
      <w:r>
        <w:t>,</w:t>
      </w:r>
      <w:r w:rsidRPr="00A7169C">
        <w:t xml:space="preserve"> the Department of </w:t>
      </w:r>
      <w:r w:rsidR="00640669">
        <w:t>Health, Disability and Ageing</w:t>
      </w:r>
      <w:r w:rsidRPr="00A7169C">
        <w:t xml:space="preserve"> </w:t>
      </w:r>
      <w:r w:rsidR="00CB2064">
        <w:t xml:space="preserve">(the Department) </w:t>
      </w:r>
      <w:r w:rsidRPr="00A7169C">
        <w:t xml:space="preserve">engaged </w:t>
      </w:r>
      <w:r w:rsidR="004A6003">
        <w:t xml:space="preserve">an </w:t>
      </w:r>
      <w:r w:rsidR="004A6003" w:rsidRPr="004A6003">
        <w:t>independent reviewer</w:t>
      </w:r>
      <w:r w:rsidRPr="00A7169C">
        <w:t xml:space="preserve"> to undertake a</w:t>
      </w:r>
      <w:r w:rsidR="004A6003">
        <w:t xml:space="preserve"> </w:t>
      </w:r>
      <w:r w:rsidRPr="00A7169C">
        <w:t xml:space="preserve">review of cancer prostheses equity in Australia. </w:t>
      </w:r>
      <w:r>
        <w:t xml:space="preserve">The purpose of the review </w:t>
      </w:r>
      <w:r w:rsidR="003C41F4">
        <w:t>wa</w:t>
      </w:r>
      <w:r>
        <w:t xml:space="preserve">s to </w:t>
      </w:r>
      <w:r w:rsidR="00A04E9A">
        <w:t>understand</w:t>
      </w:r>
      <w:r w:rsidRPr="00E46D3B">
        <w:t xml:space="preserve"> the current</w:t>
      </w:r>
      <w:r w:rsidR="009B21B4">
        <w:t xml:space="preserve"> programs, schemes and approaches in place across Australia</w:t>
      </w:r>
      <w:r w:rsidR="00033A2B">
        <w:t xml:space="preserve"> </w:t>
      </w:r>
      <w:r w:rsidR="00274F7D">
        <w:t xml:space="preserve">to support people with lived or living experience of </w:t>
      </w:r>
      <w:r w:rsidR="00FD55F3">
        <w:t xml:space="preserve">cancer </w:t>
      </w:r>
      <w:r w:rsidR="00033A2B">
        <w:t>to access</w:t>
      </w:r>
      <w:r w:rsidRPr="00E46D3B">
        <w:t xml:space="preserve"> </w:t>
      </w:r>
      <w:r w:rsidR="007F3ABD">
        <w:t xml:space="preserve">external </w:t>
      </w:r>
      <w:r w:rsidR="00F07346">
        <w:t>prostheses</w:t>
      </w:r>
      <w:r w:rsidR="00CA3CA8">
        <w:t xml:space="preserve">. </w:t>
      </w:r>
      <w:r w:rsidR="005E1BFE">
        <w:t xml:space="preserve">The review also aimed to </w:t>
      </w:r>
      <w:r w:rsidR="005E1BFE" w:rsidRPr="00E46D3B">
        <w:t>identify</w:t>
      </w:r>
      <w:r w:rsidR="005E1BFE">
        <w:t xml:space="preserve"> </w:t>
      </w:r>
      <w:r w:rsidR="005E1BFE" w:rsidRPr="00E46D3B">
        <w:t>gaps</w:t>
      </w:r>
      <w:r w:rsidR="005E1BFE">
        <w:t xml:space="preserve"> and barriers to equitable access,</w:t>
      </w:r>
      <w:r w:rsidR="005E1BFE" w:rsidRPr="00E46D3B">
        <w:t xml:space="preserve"> </w:t>
      </w:r>
      <w:r w:rsidR="001F65DB">
        <w:t>providing</w:t>
      </w:r>
      <w:r w:rsidR="005E1BFE">
        <w:t xml:space="preserve"> evidence to</w:t>
      </w:r>
      <w:r w:rsidR="005E1BFE" w:rsidRPr="00E46D3B">
        <w:t xml:space="preserve"> </w:t>
      </w:r>
      <w:r w:rsidR="005E1BFE">
        <w:t>consider</w:t>
      </w:r>
      <w:r w:rsidR="005E1BFE" w:rsidRPr="00E46D3B">
        <w:t xml:space="preserve"> </w:t>
      </w:r>
      <w:r w:rsidR="005E1BFE">
        <w:t>the cost implications of</w:t>
      </w:r>
      <w:r w:rsidR="005E1BFE" w:rsidRPr="00E46D3B">
        <w:t xml:space="preserve"> a potential </w:t>
      </w:r>
      <w:r w:rsidR="007F3ABD">
        <w:t xml:space="preserve">new </w:t>
      </w:r>
      <w:r w:rsidR="005E1BFE">
        <w:t xml:space="preserve">national </w:t>
      </w:r>
      <w:r w:rsidR="005E1BFE" w:rsidRPr="00E46D3B">
        <w:t>program</w:t>
      </w:r>
      <w:r w:rsidR="005E1BFE">
        <w:t xml:space="preserve"> designed t</w:t>
      </w:r>
      <w:r w:rsidR="005E1BFE" w:rsidRPr="00CE3DCC">
        <w:t>o address these gaps.</w:t>
      </w:r>
    </w:p>
    <w:p w14:paraId="05032A0E" w14:textId="01FF50CC" w:rsidR="00960249" w:rsidRPr="00E46D3B" w:rsidRDefault="004D6147" w:rsidP="00CE3DCC">
      <w:r w:rsidRPr="00CE3DCC">
        <w:t xml:space="preserve">This </w:t>
      </w:r>
      <w:r w:rsidR="005742D3" w:rsidRPr="00CE3DCC">
        <w:t>report</w:t>
      </w:r>
      <w:r w:rsidR="00F67435" w:rsidRPr="00CE3DCC">
        <w:t xml:space="preserve"> </w:t>
      </w:r>
      <w:r w:rsidR="005742D3" w:rsidRPr="00CE3DCC">
        <w:t>outlines the key findings from the review</w:t>
      </w:r>
      <w:r w:rsidR="003734BA" w:rsidRPr="00CE3DCC">
        <w:t>.</w:t>
      </w:r>
      <w:r w:rsidR="00B2349D" w:rsidRPr="00CE3DCC">
        <w:t xml:space="preserve"> </w:t>
      </w:r>
      <w:r w:rsidR="00125A33" w:rsidRPr="00CE3DCC">
        <w:t>This</w:t>
      </w:r>
      <w:r w:rsidR="00EC1A0B" w:rsidRPr="00CE3DCC">
        <w:t xml:space="preserve"> introductory</w:t>
      </w:r>
      <w:r w:rsidR="00125A33" w:rsidRPr="00CE3DCC">
        <w:t xml:space="preserve"> section </w:t>
      </w:r>
      <w:r w:rsidR="00EC1A0B" w:rsidRPr="00CE3DCC">
        <w:t xml:space="preserve">of the </w:t>
      </w:r>
      <w:r w:rsidR="005742D3" w:rsidRPr="00CE3DCC">
        <w:t>report</w:t>
      </w:r>
      <w:r w:rsidR="00EC1A0B" w:rsidRPr="00CE3DCC">
        <w:t xml:space="preserve"> </w:t>
      </w:r>
      <w:r w:rsidR="00B80061" w:rsidRPr="00CE3DCC">
        <w:t xml:space="preserve">provides </w:t>
      </w:r>
      <w:r w:rsidR="00EC1A0B" w:rsidRPr="00CE3DCC">
        <w:t>a brief overview o</w:t>
      </w:r>
      <w:r w:rsidR="00EC1A0B" w:rsidRPr="00B34704">
        <w:t xml:space="preserve">f </w:t>
      </w:r>
      <w:r w:rsidR="00EA3068" w:rsidRPr="00B34704">
        <w:t xml:space="preserve">the </w:t>
      </w:r>
      <w:r w:rsidR="0019534D" w:rsidRPr="00B34704">
        <w:t>background</w:t>
      </w:r>
      <w:r w:rsidR="00EC1A0B" w:rsidRPr="00B34704">
        <w:t xml:space="preserve"> and context for the review</w:t>
      </w:r>
      <w:r w:rsidR="00CB7783" w:rsidRPr="00B34704">
        <w:t>,</w:t>
      </w:r>
      <w:r w:rsidR="00EC1A0B" w:rsidRPr="00B34704">
        <w:t xml:space="preserve"> the</w:t>
      </w:r>
      <w:r w:rsidR="00CB7783" w:rsidRPr="00B34704">
        <w:t xml:space="preserve"> </w:t>
      </w:r>
      <w:r w:rsidR="00B80061" w:rsidRPr="00B34704">
        <w:t>review</w:t>
      </w:r>
      <w:r w:rsidR="00CB7783" w:rsidRPr="00B34704">
        <w:t xml:space="preserve"> </w:t>
      </w:r>
      <w:r w:rsidR="007643CE" w:rsidRPr="00B34704">
        <w:t>purpose</w:t>
      </w:r>
      <w:r w:rsidR="00B34704" w:rsidRPr="00B34704">
        <w:t>, methodology, scope</w:t>
      </w:r>
      <w:r w:rsidR="007643CE" w:rsidRPr="00B34704">
        <w:t xml:space="preserve"> and limitations</w:t>
      </w:r>
      <w:r w:rsidR="00EA3068" w:rsidRPr="00B34704">
        <w:t xml:space="preserve">, as well as the structure of the </w:t>
      </w:r>
      <w:r w:rsidR="007643CE" w:rsidRPr="00B34704">
        <w:t>document</w:t>
      </w:r>
      <w:r w:rsidR="00162727" w:rsidRPr="00B34704">
        <w:t>.</w:t>
      </w:r>
      <w:r w:rsidR="00162727" w:rsidRPr="00E46D3B">
        <w:t xml:space="preserve"> </w:t>
      </w:r>
    </w:p>
    <w:p w14:paraId="06D04E38" w14:textId="5D1B2F37" w:rsidR="005E4457" w:rsidRDefault="005E4457" w:rsidP="008239ED">
      <w:pPr>
        <w:pStyle w:val="Heading2"/>
      </w:pPr>
      <w:bookmarkStart w:id="24" w:name="_Toc207348731"/>
      <w:r>
        <w:t>Background</w:t>
      </w:r>
      <w:bookmarkEnd w:id="24"/>
    </w:p>
    <w:p w14:paraId="1DFE0843" w14:textId="74352A15" w:rsidR="00825995" w:rsidRPr="00CE3DCC" w:rsidRDefault="00794747" w:rsidP="00CE3DCC">
      <w:r w:rsidRPr="001C06A0">
        <w:t xml:space="preserve">Cancer is </w:t>
      </w:r>
      <w:r>
        <w:t xml:space="preserve">currently the </w:t>
      </w:r>
      <w:r w:rsidRPr="001C06A0">
        <w:t xml:space="preserve">leading cause of death </w:t>
      </w:r>
      <w:r>
        <w:t>in Australia</w:t>
      </w:r>
      <w:r w:rsidRPr="001C06A0">
        <w:t xml:space="preserve">, with an estimated 165,000 new cases diagnosed </w:t>
      </w:r>
      <w:r w:rsidR="00CF51A3" w:rsidRPr="001C06A0">
        <w:t>annuall</w:t>
      </w:r>
      <w:r w:rsidR="00CF51A3">
        <w:t>y.</w:t>
      </w:r>
      <w:r w:rsidR="00825995">
        <w:rPr>
          <w:rStyle w:val="FootnoteReference"/>
        </w:rPr>
        <w:footnoteReference w:id="4"/>
      </w:r>
      <w:r w:rsidR="00825995" w:rsidRPr="001C06A0">
        <w:t xml:space="preserve"> </w:t>
      </w:r>
      <w:r w:rsidR="00A72BBB" w:rsidRPr="001C06A0">
        <w:t xml:space="preserve">While </w:t>
      </w:r>
      <w:r w:rsidR="00A72BBB">
        <w:t xml:space="preserve">recent </w:t>
      </w:r>
      <w:r w:rsidR="00A72BBB" w:rsidRPr="001C06A0">
        <w:t xml:space="preserve">advancements in medical treatments have improved survival rates, </w:t>
      </w:r>
      <w:r w:rsidR="00A72BBB">
        <w:t>cancer continues to</w:t>
      </w:r>
      <w:r w:rsidR="00D070F5">
        <w:t xml:space="preserve"> be</w:t>
      </w:r>
      <w:r w:rsidR="00A72BBB">
        <w:t xml:space="preserve"> </w:t>
      </w:r>
      <w:r w:rsidR="00D070F5" w:rsidRPr="00302E88">
        <w:t xml:space="preserve">the </w:t>
      </w:r>
      <w:r w:rsidR="00D070F5">
        <w:t>most significant</w:t>
      </w:r>
      <w:r w:rsidR="00D070F5" w:rsidRPr="00302E88">
        <w:t xml:space="preserve"> contributor to disease burden in Australia</w:t>
      </w:r>
      <w:r w:rsidR="00D070F5">
        <w:t>,</w:t>
      </w:r>
      <w:r w:rsidR="00A72BBB">
        <w:t xml:space="preserve"> with </w:t>
      </w:r>
      <w:r w:rsidR="00A72BBB" w:rsidRPr="001C06A0">
        <w:t xml:space="preserve">many </w:t>
      </w:r>
      <w:r w:rsidR="00A72BBB">
        <w:t xml:space="preserve">people </w:t>
      </w:r>
      <w:r w:rsidR="00A72BBB" w:rsidRPr="001C06A0">
        <w:t>experienc</w:t>
      </w:r>
      <w:r w:rsidR="00A72BBB">
        <w:t>ing</w:t>
      </w:r>
      <w:r w:rsidR="00A72BBB" w:rsidRPr="001C06A0">
        <w:t xml:space="preserve"> long-term</w:t>
      </w:r>
      <w:r w:rsidR="00A72BBB">
        <w:t xml:space="preserve"> impacts to their</w:t>
      </w:r>
      <w:r w:rsidR="00A72BBB" w:rsidRPr="001C06A0">
        <w:t xml:space="preserve"> physical </w:t>
      </w:r>
      <w:r w:rsidR="00A72BBB">
        <w:t xml:space="preserve">health </w:t>
      </w:r>
      <w:r w:rsidR="00A72BBB" w:rsidRPr="001C06A0">
        <w:t xml:space="preserve">and emotional </w:t>
      </w:r>
      <w:r w:rsidR="00A72BBB">
        <w:t>wellbeing</w:t>
      </w:r>
      <w:r w:rsidR="00A72BBB" w:rsidRPr="001C06A0">
        <w:t xml:space="preserve">. </w:t>
      </w:r>
      <w:r w:rsidR="00A72BBB">
        <w:t>These impacts can be particularly significant for i</w:t>
      </w:r>
      <w:r w:rsidR="00A72BBB" w:rsidRPr="001C06A0">
        <w:t xml:space="preserve">ndividuals who have undergone </w:t>
      </w:r>
      <w:r w:rsidR="00A72BBB">
        <w:t xml:space="preserve">an </w:t>
      </w:r>
      <w:r w:rsidR="00A72BBB" w:rsidRPr="001C06A0">
        <w:t>amputation or resection</w:t>
      </w:r>
      <w:r w:rsidR="00A72BBB">
        <w:t xml:space="preserve"> of a part of their body</w:t>
      </w:r>
      <w:r w:rsidR="00A72BBB" w:rsidRPr="001C06A0">
        <w:t xml:space="preserve"> to treat or manage</w:t>
      </w:r>
      <w:r w:rsidR="00A72BBB">
        <w:t xml:space="preserve"> their cancer. For these individuals,</w:t>
      </w:r>
      <w:r w:rsidR="00A72BBB" w:rsidRPr="001C06A0">
        <w:t xml:space="preserve"> prostheses play a crucial role in helping </w:t>
      </w:r>
      <w:r w:rsidR="00A72BBB">
        <w:t xml:space="preserve">to </w:t>
      </w:r>
      <w:r w:rsidR="00A72BBB" w:rsidRPr="001C06A0">
        <w:t>maintain their quality of life, restor</w:t>
      </w:r>
      <w:r w:rsidR="00A72BBB">
        <w:t>e</w:t>
      </w:r>
      <w:r w:rsidR="00A72BBB" w:rsidRPr="001C06A0">
        <w:t xml:space="preserve"> functionality, foster independence, and </w:t>
      </w:r>
      <w:r w:rsidR="00A72BBB" w:rsidRPr="00CE3DCC">
        <w:t>support psychological wellbeing</w:t>
      </w:r>
      <w:r w:rsidR="00825995" w:rsidRPr="00CE3DCC">
        <w:t>.</w:t>
      </w:r>
      <w:r w:rsidR="007B7939" w:rsidRPr="00CE3DCC">
        <w:t>1F</w:t>
      </w:r>
      <w:r w:rsidR="00825995" w:rsidRPr="008B474C">
        <w:rPr>
          <w:vertAlign w:val="superscript"/>
        </w:rPr>
        <w:footnoteReference w:id="5"/>
      </w:r>
    </w:p>
    <w:p w14:paraId="1D4ED52D" w14:textId="7A47213B" w:rsidR="00F0490D" w:rsidRDefault="00350154" w:rsidP="00CE3DCC">
      <w:r w:rsidRPr="00CE3DCC">
        <w:t>Acces</w:t>
      </w:r>
      <w:r>
        <w:t>s to publicly funded prostheses services and supports in Australia varies significantly depending on the type of prosthesis</w:t>
      </w:r>
      <w:r w:rsidR="00A72BBB">
        <w:t>.</w:t>
      </w:r>
      <w:r w:rsidR="006106F0">
        <w:t xml:space="preserve"> </w:t>
      </w:r>
      <w:r w:rsidR="007D638C">
        <w:t>A</w:t>
      </w:r>
      <w:r w:rsidR="006106F0">
        <w:t>s s</w:t>
      </w:r>
      <w:r w:rsidR="007D638C">
        <w:t>hown</w:t>
      </w:r>
      <w:r w:rsidR="006106F0">
        <w:t xml:space="preserve"> in </w:t>
      </w:r>
      <w:r w:rsidR="006106F0">
        <w:fldChar w:fldCharType="begin"/>
      </w:r>
      <w:r w:rsidR="006106F0">
        <w:instrText xml:space="preserve"> REF _Ref201822994 \h </w:instrText>
      </w:r>
      <w:r w:rsidR="006106F0">
        <w:fldChar w:fldCharType="separate"/>
      </w:r>
      <w:r w:rsidR="00AD0EF0">
        <w:t xml:space="preserve">Figure </w:t>
      </w:r>
      <w:r w:rsidR="00AD0EF0">
        <w:rPr>
          <w:noProof/>
        </w:rPr>
        <w:t>4</w:t>
      </w:r>
      <w:r w:rsidR="006106F0">
        <w:fldChar w:fldCharType="end"/>
      </w:r>
      <w:r w:rsidR="006106F0">
        <w:t xml:space="preserve"> below</w:t>
      </w:r>
      <w:r w:rsidR="007D638C">
        <w:t>, i</w:t>
      </w:r>
      <w:r w:rsidR="001340D1">
        <w:t>ndividuals requiring limb prostheses</w:t>
      </w:r>
      <w:r w:rsidR="007D454D">
        <w:t xml:space="preserve"> due to cancer or cancer treatment </w:t>
      </w:r>
      <w:r w:rsidR="001340D1">
        <w:t xml:space="preserve">may be eligible for funding through the National Disability Insurance </w:t>
      </w:r>
      <w:r w:rsidR="00F769C7">
        <w:t>Scheme (</w:t>
      </w:r>
      <w:r w:rsidR="007D454D">
        <w:t>NDIS</w:t>
      </w:r>
      <w:r w:rsidR="001340D1">
        <w:t>)</w:t>
      </w:r>
      <w:r w:rsidR="007D454D">
        <w:t xml:space="preserve">, </w:t>
      </w:r>
      <w:r w:rsidR="00903B1A">
        <w:t xml:space="preserve">while those requiring a </w:t>
      </w:r>
      <w:r w:rsidR="00F769C7">
        <w:t>breast prosthesis</w:t>
      </w:r>
      <w:r w:rsidR="00903B1A">
        <w:t xml:space="preserve"> can access financial support through the E</w:t>
      </w:r>
      <w:r w:rsidR="003A2EA4">
        <w:t xml:space="preserve">xternal </w:t>
      </w:r>
      <w:r w:rsidR="00903B1A">
        <w:t>B</w:t>
      </w:r>
      <w:r w:rsidR="003A2EA4">
        <w:t xml:space="preserve">reast </w:t>
      </w:r>
      <w:r w:rsidR="00903B1A">
        <w:t>P</w:t>
      </w:r>
      <w:r w:rsidR="003A2EA4">
        <w:t xml:space="preserve">rosthesis </w:t>
      </w:r>
      <w:r w:rsidR="00903B1A">
        <w:t>R</w:t>
      </w:r>
      <w:r w:rsidR="003A2EA4">
        <w:t xml:space="preserve">eimbursement </w:t>
      </w:r>
      <w:r w:rsidR="00903B1A">
        <w:t>P</w:t>
      </w:r>
      <w:r w:rsidR="003A2EA4">
        <w:t>rogram</w:t>
      </w:r>
      <w:r w:rsidR="00005ACA">
        <w:t xml:space="preserve"> (EBPRP)</w:t>
      </w:r>
      <w:r w:rsidR="003A2EA4">
        <w:t>.</w:t>
      </w:r>
      <w:r w:rsidR="00F769C7" w:rsidRPr="00F769C7">
        <w:t xml:space="preserve"> </w:t>
      </w:r>
      <w:r w:rsidR="007B7939">
        <w:rPr>
          <w:rFonts w:ascii="ZWAdobeF" w:hAnsi="ZWAdobeF" w:cs="ZWAdobeF"/>
          <w:color w:val="auto"/>
          <w:sz w:val="2"/>
          <w:szCs w:val="2"/>
        </w:rPr>
        <w:t>2F</w:t>
      </w:r>
      <w:r w:rsidR="00F769C7">
        <w:rPr>
          <w:rStyle w:val="FootnoteReference"/>
        </w:rPr>
        <w:footnoteReference w:id="6"/>
      </w:r>
      <w:r w:rsidR="00F769C7" w:rsidRPr="001C06A0">
        <w:t xml:space="preserve"> </w:t>
      </w:r>
      <w:r w:rsidR="00C1020F">
        <w:t>I</w:t>
      </w:r>
      <w:r w:rsidR="00903B1A">
        <w:t>n contrast</w:t>
      </w:r>
      <w:r w:rsidR="003A2EA4">
        <w:t xml:space="preserve">, there is </w:t>
      </w:r>
      <w:r w:rsidR="00F0490D">
        <w:t xml:space="preserve">currently </w:t>
      </w:r>
      <w:r w:rsidR="003A2EA4">
        <w:t xml:space="preserve">no national funding program or scheme </w:t>
      </w:r>
      <w:r w:rsidR="001C3719">
        <w:t>available</w:t>
      </w:r>
      <w:r w:rsidR="003A2EA4">
        <w:t xml:space="preserve"> for</w:t>
      </w:r>
      <w:r w:rsidR="00E45861">
        <w:t xml:space="preserve"> facial prostheses for</w:t>
      </w:r>
      <w:r w:rsidR="003A2EA4">
        <w:t xml:space="preserve"> </w:t>
      </w:r>
      <w:r w:rsidR="00C71BF1">
        <w:t xml:space="preserve">individuals with </w:t>
      </w:r>
      <w:r w:rsidR="00E45861">
        <w:t>living or lived experience of cancer</w:t>
      </w:r>
      <w:r w:rsidR="001C3719">
        <w:t xml:space="preserve">. As a result, people who require facial prostheses are often left to </w:t>
      </w:r>
      <w:r w:rsidR="00F769C7">
        <w:t xml:space="preserve">pay significant out-of-pocket costs, with limited or no public </w:t>
      </w:r>
      <w:r w:rsidR="006535C1">
        <w:t>financial</w:t>
      </w:r>
      <w:r w:rsidR="00F769C7">
        <w:t xml:space="preserve"> support</w:t>
      </w:r>
      <w:r w:rsidR="00752DD5">
        <w:t>.</w:t>
      </w:r>
      <w:r w:rsidR="007B7939">
        <w:rPr>
          <w:rFonts w:ascii="ZWAdobeF" w:hAnsi="ZWAdobeF" w:cs="ZWAdobeF"/>
          <w:color w:val="auto"/>
          <w:sz w:val="2"/>
          <w:szCs w:val="2"/>
        </w:rPr>
        <w:t>3F</w:t>
      </w:r>
      <w:r w:rsidR="00825995">
        <w:rPr>
          <w:rStyle w:val="FootnoteReference"/>
        </w:rPr>
        <w:footnoteReference w:id="7"/>
      </w:r>
    </w:p>
    <w:p w14:paraId="05B0BC68" w14:textId="168B1922" w:rsidR="00FA5780" w:rsidRDefault="00FA5780" w:rsidP="00D33F7A">
      <w:pPr>
        <w:pStyle w:val="Caption"/>
        <w:spacing w:before="240" w:after="240"/>
      </w:pPr>
      <w:bookmarkStart w:id="25" w:name="_Ref201822994"/>
      <w:bookmarkStart w:id="26" w:name="_Toc207348711"/>
      <w:r>
        <w:t xml:space="preserve">Figure </w:t>
      </w:r>
      <w:r w:rsidR="00AD0EF0">
        <w:fldChar w:fldCharType="begin"/>
      </w:r>
      <w:r w:rsidR="00AD0EF0">
        <w:instrText xml:space="preserve"> SEQ Figure \* ARABIC </w:instrText>
      </w:r>
      <w:r w:rsidR="00AD0EF0">
        <w:fldChar w:fldCharType="separate"/>
      </w:r>
      <w:r w:rsidR="00AD0EF0">
        <w:rPr>
          <w:noProof/>
        </w:rPr>
        <w:t>4</w:t>
      </w:r>
      <w:r w:rsidR="00AD0EF0">
        <w:rPr>
          <w:noProof/>
        </w:rPr>
        <w:fldChar w:fldCharType="end"/>
      </w:r>
      <w:bookmarkEnd w:id="25"/>
      <w:r>
        <w:t>: National services, programs and schemes for cancer prostheses</w:t>
      </w:r>
      <w:bookmarkEnd w:id="26"/>
    </w:p>
    <w:p w14:paraId="4FF1EB8F" w14:textId="6109009F" w:rsidR="002C6153" w:rsidRPr="001C06A0" w:rsidRDefault="006C4381" w:rsidP="008B474C">
      <w:r w:rsidRPr="008B474C">
        <w:drawing>
          <wp:inline distT="0" distB="0" distL="0" distR="0" wp14:anchorId="3169BA91" wp14:editId="6752AC49">
            <wp:extent cx="6444529" cy="1759492"/>
            <wp:effectExtent l="0" t="0" r="0" b="0"/>
            <wp:docPr id="1233249400" name="Picture 19" descr="There is no national program for facial prostheses in Australia. Comparatively, there is the NDIS for limb prostheses and EBPRP for breast prosthe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249400" name="Picture 19" descr="There is no national program for facial prostheses in Australia. Comparatively, there is the NDIS for limb prostheses and EBPRP for breast prostheses. "/>
                    <pic:cNvPicPr>
                      <a:picLocks noChangeAspect="1" noChangeArrowheads="1"/>
                    </pic:cNvPicPr>
                  </pic:nvPicPr>
                  <pic:blipFill>
                    <a:blip r:embed="rId41">
                      <a:extLst>
                        <a:ext uri="{96DAC541-7B7A-43D3-8B79-37D633B846F1}">
                          <asvg:svgBlip xmlns:asvg="http://schemas.microsoft.com/office/drawing/2016/SVG/main" r:embed="rId42"/>
                        </a:ext>
                      </a:extLst>
                    </a:blip>
                    <a:stretch>
                      <a:fillRect/>
                    </a:stretch>
                  </pic:blipFill>
                  <pic:spPr bwMode="auto">
                    <a:xfrm>
                      <a:off x="0" y="0"/>
                      <a:ext cx="6444529" cy="1759492"/>
                    </a:xfrm>
                    <a:prstGeom prst="rect">
                      <a:avLst/>
                    </a:prstGeom>
                  </pic:spPr>
                </pic:pic>
              </a:graphicData>
            </a:graphic>
          </wp:inline>
        </w:drawing>
      </w:r>
    </w:p>
    <w:p w14:paraId="67404BBA" w14:textId="4C8BAC5F" w:rsidR="00820ED7" w:rsidRDefault="00FA5780" w:rsidP="001C2460">
      <w:pPr>
        <w:pStyle w:val="Caption-Source"/>
      </w:pPr>
      <w:r w:rsidRPr="00FA5780">
        <w:t xml:space="preserve">Source: </w:t>
      </w:r>
      <w:r w:rsidR="004A6003" w:rsidRPr="004A6003">
        <w:t xml:space="preserve">Independent reviewer </w:t>
      </w:r>
      <w:r w:rsidRPr="00FA5780">
        <w:t>(2025)</w:t>
      </w:r>
      <w:r w:rsidR="00820ED7">
        <w:br w:type="page"/>
      </w:r>
    </w:p>
    <w:p w14:paraId="26460B2A" w14:textId="6EFFDD62" w:rsidR="00E85CE5" w:rsidRPr="008B474C" w:rsidRDefault="00916968" w:rsidP="008B474C">
      <w:r w:rsidRPr="008B474C">
        <w:t xml:space="preserve">These differences in the current funding schemes for prostheses have been highlighted by several recent federal reviews and strategies. </w:t>
      </w:r>
      <w:r w:rsidR="009E15ED" w:rsidRPr="008B474C">
        <w:t>These include</w:t>
      </w:r>
      <w:r w:rsidR="00824C08" w:rsidRPr="008B474C">
        <w:t>:</w:t>
      </w:r>
    </w:p>
    <w:p w14:paraId="28E2D799" w14:textId="5499CB1B" w:rsidR="0006447A" w:rsidRDefault="0006447A" w:rsidP="0006447A">
      <w:pPr>
        <w:pStyle w:val="Bullet1stlevel"/>
      </w:pPr>
      <w:r w:rsidRPr="0042443F">
        <w:rPr>
          <w:rStyle w:val="Strong"/>
        </w:rPr>
        <w:t>Recommendations from the Senate Community Affairs References Committee</w:t>
      </w:r>
      <w:r>
        <w:t xml:space="preserve">: </w:t>
      </w:r>
      <w:r w:rsidRPr="0006447A">
        <w:t>Recommendation 14 from the enquiry into Equitable access to diagnosis and treatment for individuals with rare and less common cancers, including neuroendocrine cancer was for the Australian Government to work with State/Territory Governments to identify the barriers faced by cancer patients requiring rehabilitation, prosthetics and implants as a result of their treatment, with a view to ensuring they have financial support for those services</w:t>
      </w:r>
      <w:r w:rsidRPr="00CE1F3E">
        <w:rPr>
          <w:rStyle w:val="FootnoteReference"/>
          <w:i/>
          <w:szCs w:val="20"/>
        </w:rPr>
        <w:footnoteReference w:id="8"/>
      </w:r>
    </w:p>
    <w:p w14:paraId="2605125F" w14:textId="40646F35" w:rsidR="0006447A" w:rsidRDefault="0006447A" w:rsidP="0006447A">
      <w:pPr>
        <w:pStyle w:val="Bullet1stlevel"/>
      </w:pPr>
      <w:r w:rsidRPr="0042443F">
        <w:rPr>
          <w:rStyle w:val="Strong"/>
        </w:rPr>
        <w:t>Evaluation of the External Breast Prosthesis Reimbursement Program</w:t>
      </w:r>
      <w:r>
        <w:t>: This evaluation examined access to the EBPRP as well as the financial impact and effectiveness of the program in supporting individual’s post-mastectomy. The evaluation highlighted notable barriers that limit equitable access to external breast prostheses through the program, including the need for an up-front payment. It was noted that these barriers are significant for priority population groups, including First Nations and CALD communities.</w:t>
      </w:r>
      <w:r w:rsidRPr="0006447A">
        <w:rPr>
          <w:i/>
          <w:szCs w:val="20"/>
        </w:rPr>
        <w:t xml:space="preserve"> </w:t>
      </w:r>
      <w:r w:rsidRPr="00CE1F3E">
        <w:rPr>
          <w:rStyle w:val="FootnoteReference"/>
          <w:i/>
          <w:szCs w:val="20"/>
        </w:rPr>
        <w:footnoteReference w:id="9"/>
      </w:r>
    </w:p>
    <w:p w14:paraId="006C2DED" w14:textId="354F68B4" w:rsidR="0006447A" w:rsidRDefault="0006447A" w:rsidP="0006447A">
      <w:pPr>
        <w:pStyle w:val="Bullet1stlevel"/>
      </w:pPr>
      <w:r w:rsidRPr="0042443F">
        <w:rPr>
          <w:rStyle w:val="Strong"/>
        </w:rPr>
        <w:t>The Australian Cancer Plan:</w:t>
      </w:r>
      <w:r>
        <w:t xml:space="preserve"> The Australian Cancer plan outlines the strategic objectives, ambitions, goals, and priority actions for cancer care in Australia. The strategic objectives of the plan include reducing inequities and disparities in cancer care, particularly for priority populations.</w:t>
      </w:r>
      <w:r w:rsidRPr="0006447A">
        <w:rPr>
          <w:i/>
          <w:iCs/>
          <w:szCs w:val="20"/>
        </w:rPr>
        <w:t xml:space="preserve"> </w:t>
      </w:r>
      <w:r w:rsidRPr="00CE1F3E">
        <w:rPr>
          <w:rStyle w:val="FootnoteReference"/>
          <w:i/>
          <w:iCs/>
          <w:szCs w:val="20"/>
        </w:rPr>
        <w:footnoteReference w:id="10"/>
      </w:r>
    </w:p>
    <w:p w14:paraId="3AA2B488" w14:textId="6312A13A" w:rsidR="005E4457" w:rsidRDefault="005E4457" w:rsidP="008239ED">
      <w:pPr>
        <w:pStyle w:val="Heading2"/>
      </w:pPr>
      <w:bookmarkStart w:id="27" w:name="_Toc207348732"/>
      <w:r>
        <w:t>Purpose of this review</w:t>
      </w:r>
      <w:bookmarkEnd w:id="27"/>
    </w:p>
    <w:p w14:paraId="11DA517F" w14:textId="2AE65358" w:rsidR="00290675" w:rsidRPr="00CE3DCC" w:rsidRDefault="004A6003" w:rsidP="00CE3DCC">
      <w:r w:rsidRPr="00CE3DCC">
        <w:t>An independent reviewer</w:t>
      </w:r>
      <w:r w:rsidR="00290675" w:rsidRPr="00CE3DCC">
        <w:t xml:space="preserve"> was engaged by the Department to conduct a</w:t>
      </w:r>
      <w:r w:rsidRPr="00CE3DCC">
        <w:t xml:space="preserve"> </w:t>
      </w:r>
      <w:r w:rsidR="00290675" w:rsidRPr="00CE3DCC">
        <w:t>review of cancer prostheses equity in Australia to help to inform the future provision of services for individuals requiring prostheses due to cancer. The objectives of the review included:</w:t>
      </w:r>
    </w:p>
    <w:p w14:paraId="7F751F8B" w14:textId="04E4D714" w:rsidR="00290675" w:rsidRDefault="00290675" w:rsidP="001C2460">
      <w:pPr>
        <w:pStyle w:val="Bullet1stlevel"/>
      </w:pPr>
      <w:r>
        <w:t>Establishing a clear view of current prostheses service delivery across Australia, including programs currently delivered by state and territories, as well as those available in comparable countries, to identify key gaps</w:t>
      </w:r>
      <w:r w:rsidR="001C2460">
        <w:t>.</w:t>
      </w:r>
    </w:p>
    <w:p w14:paraId="4B48105B" w14:textId="5A1BDE99" w:rsidR="00290675" w:rsidRDefault="00290675" w:rsidP="001C2460">
      <w:pPr>
        <w:pStyle w:val="Bullet1stlevel"/>
      </w:pPr>
      <w:r>
        <w:t>Gaining a comprehensive understanding of the current barriers and challenges faced by people living with or who have lived experience of cancer in accessing prostheses</w:t>
      </w:r>
      <w:r w:rsidR="001C2460">
        <w:t>.</w:t>
      </w:r>
    </w:p>
    <w:p w14:paraId="26A84C73" w14:textId="7A378698" w:rsidR="00290675" w:rsidRDefault="00290675" w:rsidP="001C2460">
      <w:pPr>
        <w:pStyle w:val="Bullet1stlevel"/>
      </w:pPr>
      <w:r w:rsidRPr="009F581C">
        <w:t>Develop</w:t>
      </w:r>
      <w:r>
        <w:t>ing</w:t>
      </w:r>
      <w:r w:rsidRPr="009F581C">
        <w:t xml:space="preserve"> strategies to address </w:t>
      </w:r>
      <w:r>
        <w:t>current</w:t>
      </w:r>
      <w:r w:rsidRPr="009F581C">
        <w:t xml:space="preserve"> gaps and barriers, </w:t>
      </w:r>
      <w:r>
        <w:t>in</w:t>
      </w:r>
      <w:r w:rsidRPr="009F581C">
        <w:t xml:space="preserve"> align</w:t>
      </w:r>
      <w:r>
        <w:t>ment</w:t>
      </w:r>
      <w:r w:rsidRPr="009F581C">
        <w:t xml:space="preserve"> with the objectives of the Australian Cancer Plan and </w:t>
      </w:r>
      <w:r>
        <w:t xml:space="preserve">with </w:t>
      </w:r>
      <w:r w:rsidRPr="009F581C">
        <w:t>consider</w:t>
      </w:r>
      <w:r>
        <w:t>ation for</w:t>
      </w:r>
      <w:r w:rsidRPr="009F581C">
        <w:t xml:space="preserve"> the needs of priority population groups and Aboriginal and Torres Strait Islander people</w:t>
      </w:r>
      <w:r w:rsidR="001C2460">
        <w:t>.</w:t>
      </w:r>
    </w:p>
    <w:p w14:paraId="2189A601" w14:textId="77777777" w:rsidR="00290675" w:rsidRDefault="00290675" w:rsidP="001C2460">
      <w:pPr>
        <w:pStyle w:val="Bullet1stlevel"/>
      </w:pPr>
      <w:r>
        <w:t xml:space="preserve">Identifying funding options and determining the cost implications of a potential program that supports access to all necessary prostheses for people living with or have lived experience of cancer. </w:t>
      </w:r>
    </w:p>
    <w:p w14:paraId="02FB9F64" w14:textId="1D0CD134" w:rsidR="00CD2910" w:rsidRDefault="00CD2910" w:rsidP="008239ED">
      <w:pPr>
        <w:pStyle w:val="Heading2"/>
      </w:pPr>
      <w:bookmarkStart w:id="28" w:name="_Toc207348733"/>
      <w:r>
        <w:t xml:space="preserve">Review </w:t>
      </w:r>
      <w:r w:rsidR="00A45C3A">
        <w:t>methodology</w:t>
      </w:r>
      <w:bookmarkEnd w:id="28"/>
      <w:r w:rsidR="00AA11E6">
        <w:t xml:space="preserve"> </w:t>
      </w:r>
    </w:p>
    <w:p w14:paraId="5DA85AC2" w14:textId="3728170B" w:rsidR="00A45C3A" w:rsidRPr="00CE3DCC" w:rsidRDefault="00A45C3A" w:rsidP="00DF7929">
      <w:r w:rsidRPr="00CE3DCC">
        <w:t xml:space="preserve">A mixed-methods approach, guided by a set of Key Review Questions, was adopted for this review. </w:t>
      </w:r>
      <w:r w:rsidR="00CE1F3E" w:rsidRPr="00CE3DCC">
        <w:fldChar w:fldCharType="begin"/>
      </w:r>
      <w:r w:rsidR="00CE1F3E" w:rsidRPr="00CE3DCC">
        <w:instrText xml:space="preserve"> REF _Ref201823409 \h </w:instrText>
      </w:r>
      <w:r w:rsidR="00CE1F3E" w:rsidRPr="00CE3DCC">
        <w:fldChar w:fldCharType="separate"/>
      </w:r>
      <w:r w:rsidR="000D4B64" w:rsidRPr="00CE3DCC">
        <w:t>Figure 5</w:t>
      </w:r>
      <w:r w:rsidR="00CE1F3E" w:rsidRPr="00CE3DCC">
        <w:fldChar w:fldCharType="end"/>
      </w:r>
      <w:r w:rsidRPr="00CE3DCC">
        <w:t xml:space="preserve"> below provides a high-level overview of the </w:t>
      </w:r>
      <w:r w:rsidR="00D32BED" w:rsidRPr="00CE3DCC">
        <w:t xml:space="preserve">review </w:t>
      </w:r>
      <w:r w:rsidRPr="00CE3DCC">
        <w:t>approach.</w:t>
      </w:r>
      <w:r w:rsidR="003221EC" w:rsidRPr="00CE3DCC">
        <w:t xml:space="preserve"> </w:t>
      </w:r>
    </w:p>
    <w:p w14:paraId="5766378E" w14:textId="67649A86" w:rsidR="00963D92" w:rsidRDefault="00E3537D" w:rsidP="00E3537D">
      <w:pPr>
        <w:pStyle w:val="Caption"/>
      </w:pPr>
      <w:bookmarkStart w:id="29" w:name="_Ref201823409"/>
      <w:bookmarkStart w:id="30" w:name="_Ref207270085"/>
      <w:bookmarkStart w:id="31" w:name="_Toc207348712"/>
      <w:r>
        <w:t xml:space="preserve">Figure </w:t>
      </w:r>
      <w:r w:rsidR="000D4B64">
        <w:fldChar w:fldCharType="begin"/>
      </w:r>
      <w:r w:rsidR="000D4B64">
        <w:instrText xml:space="preserve"> SEQ Figure \* ARABIC </w:instrText>
      </w:r>
      <w:r w:rsidR="000D4B64">
        <w:fldChar w:fldCharType="separate"/>
      </w:r>
      <w:r w:rsidR="000D4B64">
        <w:rPr>
          <w:noProof/>
        </w:rPr>
        <w:t>5</w:t>
      </w:r>
      <w:r w:rsidR="000D4B64">
        <w:rPr>
          <w:noProof/>
        </w:rPr>
        <w:fldChar w:fldCharType="end"/>
      </w:r>
      <w:bookmarkEnd w:id="29"/>
      <w:bookmarkEnd w:id="30"/>
      <w:r w:rsidR="00963D92" w:rsidRPr="00010DFB">
        <w:t>:</w:t>
      </w:r>
      <w:r>
        <w:t xml:space="preserve"> </w:t>
      </w:r>
      <w:r w:rsidR="00963D92" w:rsidRPr="00010DFB">
        <w:t xml:space="preserve">Overarching </w:t>
      </w:r>
      <w:r w:rsidR="00963D92">
        <w:t xml:space="preserve">review </w:t>
      </w:r>
      <w:r w:rsidR="00963D92" w:rsidRPr="00010DFB">
        <w:t>approach</w:t>
      </w:r>
      <w:bookmarkEnd w:id="31"/>
      <w:r w:rsidR="00963D92" w:rsidRPr="00010DFB">
        <w:t xml:space="preserve"> </w:t>
      </w:r>
    </w:p>
    <w:p w14:paraId="639787BE" w14:textId="5E7F9BF1" w:rsidR="00B73136" w:rsidRPr="00DF7929" w:rsidRDefault="00B73136" w:rsidP="00DF7929">
      <w:r>
        <w:rPr>
          <w:noProof/>
        </w:rPr>
        <w:drawing>
          <wp:inline distT="0" distB="0" distL="0" distR="0" wp14:anchorId="36998189" wp14:editId="0340F2A3">
            <wp:extent cx="6480810" cy="7651115"/>
            <wp:effectExtent l="0" t="0" r="0" b="6985"/>
            <wp:docPr id="1107419275" name="Picture 2" descr="Full alt text description available at link following thi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419275" name="Picture 2" descr="Full alt text description available at link following this figur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80810" cy="7651115"/>
                    </a:xfrm>
                    <a:prstGeom prst="rect">
                      <a:avLst/>
                    </a:prstGeom>
                    <a:noFill/>
                  </pic:spPr>
                </pic:pic>
              </a:graphicData>
            </a:graphic>
          </wp:inline>
        </w:drawing>
      </w:r>
    </w:p>
    <w:p w14:paraId="5AC96063" w14:textId="633A8025" w:rsidR="009508F0" w:rsidRDefault="00FD7208" w:rsidP="001C2460">
      <w:pPr>
        <w:pStyle w:val="Caption-Source"/>
      </w:pPr>
      <w:r w:rsidRPr="003221EC">
        <w:t xml:space="preserve">Source: </w:t>
      </w:r>
      <w:r w:rsidR="004A6003" w:rsidRPr="004A6003">
        <w:t>Independent reviewer</w:t>
      </w:r>
      <w:r w:rsidR="00584D02" w:rsidRPr="00CD3106">
        <w:t xml:space="preserve"> (</w:t>
      </w:r>
      <w:r w:rsidRPr="00CD3106">
        <w:t>2025</w:t>
      </w:r>
      <w:r w:rsidR="00584D02" w:rsidRPr="00CD3106">
        <w:t>)</w:t>
      </w:r>
    </w:p>
    <w:p w14:paraId="5E6F4409" w14:textId="78321297" w:rsidR="001C73D3" w:rsidRPr="00DF7929" w:rsidRDefault="00E3537D" w:rsidP="00DF7929">
      <w:r w:rsidRPr="00DF7929">
        <w:t>A</w:t>
      </w:r>
      <w:r w:rsidR="009508F0" w:rsidRPr="00DF7929">
        <w:t>lt text</w:t>
      </w:r>
      <w:r w:rsidRPr="00DF7929">
        <w:t xml:space="preserve"> for </w:t>
      </w:r>
      <w:r w:rsidRPr="00DF7929">
        <w:fldChar w:fldCharType="begin"/>
      </w:r>
      <w:r w:rsidRPr="00DF7929">
        <w:instrText xml:space="preserve"> REF _Ref207270085 \h  \* MERGEFORMAT </w:instrText>
      </w:r>
      <w:r w:rsidRPr="00DF7929">
        <w:fldChar w:fldCharType="separate"/>
      </w:r>
      <w:r w:rsidR="000D4B64" w:rsidRPr="00DF7929">
        <w:t>Figure 5</w:t>
      </w:r>
      <w:r w:rsidRPr="00DF7929">
        <w:fldChar w:fldCharType="end"/>
      </w:r>
      <w:r w:rsidR="009508F0" w:rsidRPr="00DF7929">
        <w:t xml:space="preserve"> available at </w:t>
      </w:r>
      <w:r w:rsidRPr="00DF7929">
        <w:fldChar w:fldCharType="begin"/>
      </w:r>
      <w:r w:rsidRPr="00DF7929">
        <w:instrText xml:space="preserve"> REF _Ref207270030 \r \h  \* MERGEFORMAT </w:instrText>
      </w:r>
      <w:r w:rsidRPr="00DF7929">
        <w:fldChar w:fldCharType="separate"/>
      </w:r>
      <w:r w:rsidRPr="00DF7929">
        <w:t>Appendix I</w:t>
      </w:r>
      <w:r w:rsidRPr="00DF7929">
        <w:fldChar w:fldCharType="end"/>
      </w:r>
      <w:r w:rsidRPr="00DF7929">
        <w:t>.</w:t>
      </w:r>
      <w:r w:rsidR="001C73D3" w:rsidRPr="00DF7929">
        <w:br w:type="page"/>
      </w:r>
    </w:p>
    <w:p w14:paraId="55C75B3F" w14:textId="457F453B" w:rsidR="0012718C" w:rsidRPr="00CE3DCC" w:rsidRDefault="00385C18" w:rsidP="00CE3DCC">
      <w:r>
        <w:fldChar w:fldCharType="begin"/>
      </w:r>
      <w:r>
        <w:instrText xml:space="preserve"> REF _Ref196307624 \w \h </w:instrText>
      </w:r>
      <w:r>
        <w:fldChar w:fldCharType="separate"/>
      </w:r>
      <w:r w:rsidR="00D955D8">
        <w:t>Appendix A</w:t>
      </w:r>
      <w:r>
        <w:fldChar w:fldCharType="end"/>
      </w:r>
      <w:r w:rsidR="00EA544B">
        <w:t xml:space="preserve"> provides further detail regarding each KRQ, including the sub-questions </w:t>
      </w:r>
      <w:r w:rsidR="000E0E79">
        <w:t xml:space="preserve">and data sources </w:t>
      </w:r>
      <w:r w:rsidR="00EA544B">
        <w:t>considered for each</w:t>
      </w:r>
      <w:r w:rsidR="000E0E79">
        <w:t xml:space="preserve">. </w:t>
      </w:r>
      <w:r w:rsidR="0012718C">
        <w:t>Both primary and secondary data was collected to inform the review via a range data collection activities including:</w:t>
      </w:r>
    </w:p>
    <w:p w14:paraId="5C04687C" w14:textId="2FFAC748" w:rsidR="0012718C" w:rsidRDefault="0012718C" w:rsidP="001C2460">
      <w:pPr>
        <w:pStyle w:val="Bullet1stlevel"/>
      </w:pPr>
      <w:r>
        <w:t>Stakeholder consultation</w:t>
      </w:r>
      <w:r w:rsidR="00D05EF9">
        <w:t xml:space="preserve"> with </w:t>
      </w:r>
      <w:r w:rsidR="00CD5B33" w:rsidRPr="00CD5B33">
        <w:t>70</w:t>
      </w:r>
      <w:r w:rsidR="00D05EF9" w:rsidRPr="00CD5B33">
        <w:t xml:space="preserve"> individuals</w:t>
      </w:r>
      <w:r w:rsidR="00D05EF9">
        <w:t xml:space="preserve"> including representatives from: </w:t>
      </w:r>
      <w:r>
        <w:t xml:space="preserve"> </w:t>
      </w:r>
    </w:p>
    <w:p w14:paraId="196568B9" w14:textId="16CBF290" w:rsidR="00E77F83" w:rsidRDefault="00E77F83" w:rsidP="001C2460">
      <w:pPr>
        <w:pStyle w:val="Bullet2ndlevel"/>
      </w:pPr>
      <w:r>
        <w:t xml:space="preserve">Department of </w:t>
      </w:r>
      <w:r w:rsidR="00640669">
        <w:t>Health, Disability and Ageing</w:t>
      </w:r>
      <w:r>
        <w:t xml:space="preserve">, including the Technology Assessment and Access Division, </w:t>
      </w:r>
      <w:r w:rsidR="00E67620">
        <w:t xml:space="preserve">and </w:t>
      </w:r>
      <w:r>
        <w:t>Medicare Benefits and Digital Health Division</w:t>
      </w:r>
      <w:r w:rsidR="001C2460">
        <w:t>.</w:t>
      </w:r>
    </w:p>
    <w:p w14:paraId="626F3116" w14:textId="77777777" w:rsidR="00E77F83" w:rsidRDefault="00E77F83" w:rsidP="001C2460">
      <w:pPr>
        <w:pStyle w:val="Bullet2ndlevel"/>
      </w:pPr>
      <w:r>
        <w:t xml:space="preserve">State and territory health departments, </w:t>
      </w:r>
      <w:r w:rsidRPr="00163E3F">
        <w:t>including members</w:t>
      </w:r>
      <w:r>
        <w:t xml:space="preserve"> and / or nominees</w:t>
      </w:r>
      <w:r w:rsidRPr="00163E3F">
        <w:t xml:space="preserve"> </w:t>
      </w:r>
      <w:r>
        <w:t xml:space="preserve">identified by members </w:t>
      </w:r>
      <w:r w:rsidRPr="00163E3F">
        <w:t>of</w:t>
      </w:r>
      <w:r>
        <w:t xml:space="preserve"> the</w:t>
      </w:r>
      <w:r w:rsidRPr="00163E3F">
        <w:t xml:space="preserve"> Cancer and Population Screening (CAPS) committee</w:t>
      </w:r>
      <w:r w:rsidRPr="00163E3F" w:rsidDel="00981335">
        <w:t xml:space="preserve"> </w:t>
      </w:r>
    </w:p>
    <w:p w14:paraId="5EBAF574" w14:textId="29252C3F" w:rsidR="00E77F83" w:rsidRDefault="00E77F83" w:rsidP="001C2460">
      <w:pPr>
        <w:pStyle w:val="Bullet2ndlevel"/>
      </w:pPr>
      <w:r>
        <w:t>Clinicians involved in the delivery of prostheses services</w:t>
      </w:r>
      <w:r w:rsidR="001C2460">
        <w:t>.</w:t>
      </w:r>
    </w:p>
    <w:p w14:paraId="45674286" w14:textId="121F2DA1" w:rsidR="00E77F83" w:rsidRDefault="00FF6A69" w:rsidP="001C2460">
      <w:pPr>
        <w:pStyle w:val="Bullet2ndlevel"/>
      </w:pPr>
      <w:r>
        <w:t>National Disability Insurance Agency (NDIA)</w:t>
      </w:r>
      <w:r w:rsidR="00E77F83">
        <w:t xml:space="preserve"> and </w:t>
      </w:r>
      <w:r>
        <w:t>Department of Social Services (DSS)</w:t>
      </w:r>
      <w:r w:rsidR="001C2460">
        <w:t>.</w:t>
      </w:r>
    </w:p>
    <w:p w14:paraId="256FF14A" w14:textId="51262A91" w:rsidR="00E77F83" w:rsidRDefault="00FF6A69" w:rsidP="001C2460">
      <w:pPr>
        <w:pStyle w:val="Bullet2ndlevel"/>
      </w:pPr>
      <w:r>
        <w:t>Department of Veterans’ Affairs (DVA)</w:t>
      </w:r>
      <w:r w:rsidR="001C2460">
        <w:t>.</w:t>
      </w:r>
    </w:p>
    <w:p w14:paraId="528858DB" w14:textId="403BD58B" w:rsidR="00E77F83" w:rsidRPr="006C4BBA" w:rsidRDefault="00E77F83" w:rsidP="001C2460">
      <w:pPr>
        <w:pStyle w:val="Bullet2ndlevel"/>
      </w:pPr>
      <w:r>
        <w:t xml:space="preserve">Individuals </w:t>
      </w:r>
      <w:r w:rsidRPr="006C4BBA">
        <w:t xml:space="preserve">who are living with or </w:t>
      </w:r>
      <w:r>
        <w:t xml:space="preserve">who </w:t>
      </w:r>
      <w:r w:rsidRPr="006C4BBA">
        <w:t>have lived experience</w:t>
      </w:r>
      <w:r>
        <w:t xml:space="preserve"> of cancer</w:t>
      </w:r>
      <w:r w:rsidRPr="006C4BBA">
        <w:t xml:space="preserve"> and</w:t>
      </w:r>
      <w:r>
        <w:t xml:space="preserve"> their</w:t>
      </w:r>
      <w:r w:rsidRPr="006C4BBA">
        <w:t xml:space="preserve"> </w:t>
      </w:r>
      <w:proofErr w:type="spellStart"/>
      <w:r w:rsidRPr="006C4BBA">
        <w:t>carers</w:t>
      </w:r>
      <w:proofErr w:type="spellEnd"/>
      <w:r w:rsidR="001C2460">
        <w:t>.</w:t>
      </w:r>
    </w:p>
    <w:p w14:paraId="53C5B382" w14:textId="527BF94E" w:rsidR="00E77F83" w:rsidRDefault="00E77F83" w:rsidP="001C2460">
      <w:pPr>
        <w:pStyle w:val="Bullet2ndlevel"/>
      </w:pPr>
      <w:r>
        <w:t>Prostheses retailers including clinicians who make custom made prostheses</w:t>
      </w:r>
      <w:r w:rsidR="001C2460">
        <w:t>.</w:t>
      </w:r>
    </w:p>
    <w:p w14:paraId="628455EB" w14:textId="7DA72B19" w:rsidR="00E77F83" w:rsidRDefault="00E77F83" w:rsidP="001C2460">
      <w:pPr>
        <w:pStyle w:val="Bullet2ndlevel"/>
      </w:pPr>
      <w:r>
        <w:t xml:space="preserve">Peak bodies and advocacy groups, including Cancer Australia, Head and Neck Cancer Australia, Rare Cancers Australia, </w:t>
      </w:r>
      <w:r w:rsidR="00354FAB">
        <w:t>National Community Controlled Health Organisation (</w:t>
      </w:r>
      <w:r>
        <w:t>NACCHO</w:t>
      </w:r>
      <w:r w:rsidR="00354FAB">
        <w:t>)</w:t>
      </w:r>
      <w:r>
        <w:t xml:space="preserve">, and </w:t>
      </w:r>
      <w:r w:rsidR="00354FAB">
        <w:t>Federation of Ethnic Communities’ Council of Australia (</w:t>
      </w:r>
      <w:r>
        <w:t>FECCA</w:t>
      </w:r>
      <w:r w:rsidR="00354FAB">
        <w:t>)</w:t>
      </w:r>
      <w:r>
        <w:t>.</w:t>
      </w:r>
    </w:p>
    <w:p w14:paraId="30294CC4" w14:textId="7C00B05D" w:rsidR="0012718C" w:rsidRDefault="0012718C" w:rsidP="001C2460">
      <w:pPr>
        <w:pStyle w:val="Bullet1stlevel"/>
      </w:pPr>
      <w:r>
        <w:t>Stakeholder surveys</w:t>
      </w:r>
      <w:r w:rsidR="001B2C76">
        <w:t xml:space="preserve"> including: </w:t>
      </w:r>
    </w:p>
    <w:p w14:paraId="67DF6590" w14:textId="20FEDFDE" w:rsidR="001B2C76" w:rsidRDefault="00BC1733" w:rsidP="001C2460">
      <w:pPr>
        <w:pStyle w:val="Bullet2ndlevel"/>
      </w:pPr>
      <w:r>
        <w:t xml:space="preserve">People </w:t>
      </w:r>
      <w:r w:rsidR="0024382A">
        <w:t>living with or who have lived experience of cancer and their carers</w:t>
      </w:r>
      <w:r w:rsidR="00C4289C">
        <w:t xml:space="preserve"> (</w:t>
      </w:r>
      <w:r w:rsidR="008E1BAE">
        <w:t>61</w:t>
      </w:r>
      <w:r w:rsidR="00611B40">
        <w:t xml:space="preserve"> </w:t>
      </w:r>
      <w:r w:rsidR="00B61C94">
        <w:t>respondents</w:t>
      </w:r>
      <w:r w:rsidR="00611B40">
        <w:t xml:space="preserve">) </w:t>
      </w:r>
    </w:p>
    <w:p w14:paraId="26D745FE" w14:textId="6E05753A" w:rsidR="001B2C76" w:rsidRDefault="0024382A" w:rsidP="001C2460">
      <w:pPr>
        <w:pStyle w:val="Bullet2ndlevel"/>
      </w:pPr>
      <w:r>
        <w:t>Clinicians involved in the deliver</w:t>
      </w:r>
      <w:r w:rsidR="00A90D24">
        <w:t>y</w:t>
      </w:r>
      <w:r>
        <w:t xml:space="preserve"> of prostheses services</w:t>
      </w:r>
      <w:r w:rsidR="00FF5A55">
        <w:t xml:space="preserve"> (</w:t>
      </w:r>
      <w:r w:rsidR="008E1BAE">
        <w:t xml:space="preserve">57 </w:t>
      </w:r>
      <w:r w:rsidR="00B61C94">
        <w:t>respondents</w:t>
      </w:r>
      <w:r w:rsidR="008E1BAE">
        <w:t>)</w:t>
      </w:r>
      <w:r>
        <w:t>.</w:t>
      </w:r>
      <w:r w:rsidR="00FF5A55">
        <w:t xml:space="preserve"> </w:t>
      </w:r>
    </w:p>
    <w:p w14:paraId="3E64042E" w14:textId="5AF22620" w:rsidR="0012718C" w:rsidRDefault="002B3754" w:rsidP="001C2460">
      <w:pPr>
        <w:pStyle w:val="Bullet1stlevel"/>
      </w:pPr>
      <w:r>
        <w:t xml:space="preserve">Review of publicly available documents, including peer-reviewed and grey </w:t>
      </w:r>
      <w:r w:rsidR="000D2646">
        <w:t xml:space="preserve">literature sources, </w:t>
      </w:r>
      <w:r>
        <w:t>relating to the current provision of prostheses services, programs and schemes in Australia and internationally</w:t>
      </w:r>
      <w:r w:rsidR="001C2460">
        <w:t>.</w:t>
      </w:r>
    </w:p>
    <w:p w14:paraId="1E01213E" w14:textId="3641C92E" w:rsidR="0012718C" w:rsidRDefault="000D2646" w:rsidP="001C2460">
      <w:pPr>
        <w:pStyle w:val="Bullet1stlevel"/>
      </w:pPr>
      <w:r>
        <w:t xml:space="preserve">Review of publicly available quantitative data relating to the incidence of cancer in Australia, the need for prostheses </w:t>
      </w:r>
      <w:proofErr w:type="gramStart"/>
      <w:r>
        <w:t>as a result of</w:t>
      </w:r>
      <w:proofErr w:type="gramEnd"/>
      <w:r>
        <w:t xml:space="preserve"> cancer and the cost of prostheses.</w:t>
      </w:r>
    </w:p>
    <w:p w14:paraId="028887C5" w14:textId="2C8CE40F" w:rsidR="0084259E" w:rsidRDefault="009D6D09" w:rsidP="00CE3DCC">
      <w:r>
        <w:t xml:space="preserve">Further detail regarding </w:t>
      </w:r>
      <w:r w:rsidR="0012718C">
        <w:t xml:space="preserve">data collection is </w:t>
      </w:r>
      <w:r w:rsidRPr="00CD5B33">
        <w:t>provided</w:t>
      </w:r>
      <w:r w:rsidR="0012718C" w:rsidRPr="00CD5B33">
        <w:t xml:space="preserve"> in </w:t>
      </w:r>
      <w:r w:rsidR="00CD5B33" w:rsidRPr="00CD5B33">
        <w:fldChar w:fldCharType="begin"/>
      </w:r>
      <w:r w:rsidR="00CD5B33" w:rsidRPr="00CD5B33">
        <w:instrText xml:space="preserve"> REF _Ref201824949 \n \h </w:instrText>
      </w:r>
      <w:r w:rsidR="00CD5B33">
        <w:instrText xml:space="preserve"> \* MERGEFORMAT </w:instrText>
      </w:r>
      <w:r w:rsidR="00CD5B33" w:rsidRPr="00CD5B33">
        <w:fldChar w:fldCharType="separate"/>
      </w:r>
      <w:r w:rsidR="00D955D8">
        <w:t>Appendix B</w:t>
      </w:r>
      <w:r w:rsidR="00CD5B33" w:rsidRPr="00CD5B33">
        <w:fldChar w:fldCharType="end"/>
      </w:r>
      <w:r>
        <w:t xml:space="preserve"> including a full list of stakeholders consulted, </w:t>
      </w:r>
      <w:r w:rsidR="00442CCC">
        <w:t>survey</w:t>
      </w:r>
      <w:r>
        <w:t xml:space="preserve"> </w:t>
      </w:r>
      <w:r w:rsidR="00442CCC">
        <w:t xml:space="preserve">questions and results, the literature scan </w:t>
      </w:r>
      <w:r w:rsidR="00356FFF">
        <w:t>search protocol</w:t>
      </w:r>
      <w:r w:rsidR="00CF0ED1">
        <w:t xml:space="preserve"> and</w:t>
      </w:r>
      <w:r w:rsidR="00356FFF">
        <w:t xml:space="preserve"> </w:t>
      </w:r>
      <w:r w:rsidR="000D2646">
        <w:t>a</w:t>
      </w:r>
      <w:r w:rsidR="0024382A">
        <w:t xml:space="preserve"> list of</w:t>
      </w:r>
      <w:r w:rsidR="00356FFF">
        <w:t xml:space="preserve"> documents reviewed</w:t>
      </w:r>
      <w:r w:rsidR="0012718C" w:rsidRPr="00993B0C">
        <w:t>.</w:t>
      </w:r>
      <w:r w:rsidR="0012718C">
        <w:t xml:space="preserve"> </w:t>
      </w:r>
      <w:r w:rsidR="0084259E">
        <w:t xml:space="preserve"> </w:t>
      </w:r>
    </w:p>
    <w:p w14:paraId="15CD6BBA" w14:textId="462528EB" w:rsidR="007831AE" w:rsidRDefault="007831AE" w:rsidP="008239ED">
      <w:pPr>
        <w:pStyle w:val="Heading2"/>
      </w:pPr>
      <w:bookmarkStart w:id="32" w:name="_Ref201872967"/>
      <w:bookmarkStart w:id="33" w:name="_Toc207348734"/>
      <w:r>
        <w:t>Review scope</w:t>
      </w:r>
      <w:bookmarkEnd w:id="32"/>
      <w:bookmarkEnd w:id="33"/>
    </w:p>
    <w:p w14:paraId="24213284" w14:textId="0011E681" w:rsidR="00995F4F" w:rsidRPr="00CE3DCC" w:rsidRDefault="007831AE" w:rsidP="00CE3DCC">
      <w:r>
        <w:t>For the purposes</w:t>
      </w:r>
      <w:r w:rsidRPr="00E2235D">
        <w:t xml:space="preserve"> of this review</w:t>
      </w:r>
      <w:r>
        <w:t>, the term ‘prosthesis’ refer</w:t>
      </w:r>
      <w:r w:rsidR="00991F96">
        <w:t>red</w:t>
      </w:r>
      <w:r>
        <w:t xml:space="preserve"> to </w:t>
      </w:r>
      <w:r w:rsidR="00AC1C16">
        <w:t xml:space="preserve">an </w:t>
      </w:r>
      <w:r w:rsidRPr="00E2235D">
        <w:t xml:space="preserve">external </w:t>
      </w:r>
      <w:r w:rsidR="00AC1C16">
        <w:t>device</w:t>
      </w:r>
      <w:r>
        <w:t xml:space="preserve"> that replace</w:t>
      </w:r>
      <w:r w:rsidR="00AC1C16">
        <w:t>s</w:t>
      </w:r>
      <w:r>
        <w:t xml:space="preserve"> a part of a person’s body that was removed due to cancer and / or cancer treatment. </w:t>
      </w:r>
      <w:r w:rsidR="00AC1C16">
        <w:t xml:space="preserve">All types of cancer that </w:t>
      </w:r>
      <w:r w:rsidR="00995F4F">
        <w:t xml:space="preserve">could </w:t>
      </w:r>
      <w:r w:rsidR="00AC1C16" w:rsidRPr="00642912">
        <w:t xml:space="preserve">lead to </w:t>
      </w:r>
      <w:r w:rsidR="00AC1C16">
        <w:t>the need for</w:t>
      </w:r>
      <w:r w:rsidR="00AC1C16" w:rsidRPr="00642912">
        <w:t xml:space="preserve"> prosthes</w:t>
      </w:r>
      <w:r w:rsidR="00AC1C16">
        <w:t>i</w:t>
      </w:r>
      <w:r w:rsidR="00AC1C16" w:rsidRPr="00642912">
        <w:t xml:space="preserve">s </w:t>
      </w:r>
      <w:r w:rsidR="00AC1C16">
        <w:t>were considered</w:t>
      </w:r>
      <w:r w:rsidR="00AC1C16" w:rsidRPr="00642912">
        <w:t xml:space="preserve"> in-scope</w:t>
      </w:r>
      <w:r w:rsidR="00995F4F">
        <w:t>. S</w:t>
      </w:r>
      <w:r w:rsidR="00AC1C16">
        <w:t>urgically implanted prostheses were not considered as part of the</w:t>
      </w:r>
      <w:r w:rsidR="0028755A">
        <w:t> </w:t>
      </w:r>
      <w:r w:rsidR="00AC1C16">
        <w:t xml:space="preserve">review. </w:t>
      </w:r>
    </w:p>
    <w:p w14:paraId="2B8AE8F4" w14:textId="4B7E7E9F" w:rsidR="007831AE" w:rsidRPr="00CE3DCC" w:rsidRDefault="00A07CAA" w:rsidP="00CE3DCC">
      <w:r w:rsidRPr="00CE3DCC">
        <w:t xml:space="preserve">The scope of this review was provided by the Department and was agreed and validated with </w:t>
      </w:r>
      <w:r w:rsidR="00AE2BC8" w:rsidRPr="00CE3DCC">
        <w:t xml:space="preserve">key </w:t>
      </w:r>
      <w:r w:rsidRPr="00CE3DCC">
        <w:t xml:space="preserve">stakeholders as part of a review design workshop. The stakeholders involved in the workshop is outlined in </w:t>
      </w:r>
      <w:r w:rsidRPr="00CE3DCC">
        <w:fldChar w:fldCharType="begin" w:fldLock="1"/>
      </w:r>
      <w:r w:rsidRPr="00CE3DCC">
        <w:instrText xml:space="preserve"> REF _Ref201825726 \n \h </w:instrText>
      </w:r>
      <w:r w:rsidR="00364E86" w:rsidRPr="00CE3DCC">
        <w:instrText xml:space="preserve"> \* MERGEFORMAT </w:instrText>
      </w:r>
      <w:r w:rsidRPr="00CE3DCC">
        <w:fldChar w:fldCharType="separate"/>
      </w:r>
      <w:r w:rsidR="00C63908" w:rsidRPr="00CE3DCC">
        <w:t>Appendix B</w:t>
      </w:r>
      <w:r w:rsidRPr="00CE3DCC">
        <w:fldChar w:fldCharType="end"/>
      </w:r>
      <w:r w:rsidRPr="00CE3DCC">
        <w:t xml:space="preserve">. </w:t>
      </w:r>
      <w:r w:rsidR="00AE2BC8" w:rsidRPr="00CE3DCC">
        <w:t xml:space="preserve">The decision tree outlined in </w:t>
      </w:r>
      <w:r w:rsidR="00AE2BC8" w:rsidRPr="00CE3DCC">
        <w:fldChar w:fldCharType="begin"/>
      </w:r>
      <w:r w:rsidR="00AE2BC8" w:rsidRPr="00CE3DCC">
        <w:rPr>
          <w:highlight w:val="yellow"/>
        </w:rPr>
        <w:instrText xml:space="preserve"> REF _Ref196298955 \h  \* MERGEFORMAT </w:instrText>
      </w:r>
      <w:r w:rsidR="00AE2BC8" w:rsidRPr="00CE3DCC">
        <w:fldChar w:fldCharType="separate"/>
      </w:r>
      <w:r w:rsidR="000D4B64" w:rsidRPr="00CE3DCC">
        <w:t>Figure 6</w:t>
      </w:r>
      <w:r w:rsidR="00AE2BC8" w:rsidRPr="00CE3DCC">
        <w:fldChar w:fldCharType="end"/>
      </w:r>
      <w:r w:rsidR="00AE2BC8" w:rsidRPr="00CE3DCC">
        <w:t xml:space="preserve"> below illustrates the criteria used for determining whether a prosthesis was considered within the scope of this review. </w:t>
      </w:r>
      <w:r w:rsidR="007831AE" w:rsidRPr="00CE3DCC">
        <w:t xml:space="preserve">Examples of in-scope and out-of-scope types of prostheses are outlined in </w:t>
      </w:r>
      <w:r w:rsidR="0047423B" w:rsidRPr="00CE3DCC">
        <w:fldChar w:fldCharType="begin"/>
      </w:r>
      <w:r w:rsidR="0047423B" w:rsidRPr="00CE3DCC">
        <w:instrText xml:space="preserve"> REF _Ref201824984 \h </w:instrText>
      </w:r>
      <w:r w:rsidR="00CE3DCC">
        <w:instrText xml:space="preserve"> \* MERGEFORMAT </w:instrText>
      </w:r>
      <w:r w:rsidR="0047423B" w:rsidRPr="00CE3DCC">
        <w:fldChar w:fldCharType="separate"/>
      </w:r>
      <w:r w:rsidR="0047423B" w:rsidRPr="00CE3DCC">
        <w:t>Table 1</w:t>
      </w:r>
      <w:r w:rsidR="0047423B" w:rsidRPr="00CE3DCC">
        <w:fldChar w:fldCharType="end"/>
      </w:r>
      <w:r w:rsidR="001F1045" w:rsidRPr="00CE3DCC">
        <w:t xml:space="preserve"> </w:t>
      </w:r>
      <w:r w:rsidR="0011098B" w:rsidRPr="00CE3DCC">
        <w:t>over page</w:t>
      </w:r>
      <w:r w:rsidR="001F1045" w:rsidRPr="00CE3DCC">
        <w:t>.</w:t>
      </w:r>
    </w:p>
    <w:p w14:paraId="0B1793D6" w14:textId="2AF565C7" w:rsidR="007831AE" w:rsidRDefault="007831AE" w:rsidP="003902C8">
      <w:pPr>
        <w:pStyle w:val="Caption"/>
        <w:spacing w:after="40"/>
      </w:pPr>
      <w:bookmarkStart w:id="34" w:name="_Ref196298955"/>
      <w:bookmarkStart w:id="35" w:name="_Toc207348713"/>
      <w:r>
        <w:t xml:space="preserve">Figure </w:t>
      </w:r>
      <w:r w:rsidR="000D4B64">
        <w:fldChar w:fldCharType="begin"/>
      </w:r>
      <w:r w:rsidR="000D4B64">
        <w:instrText xml:space="preserve"> SEQ Figure \* ARABIC </w:instrText>
      </w:r>
      <w:r w:rsidR="000D4B64">
        <w:fldChar w:fldCharType="separate"/>
      </w:r>
      <w:r w:rsidR="000D4B64">
        <w:rPr>
          <w:noProof/>
        </w:rPr>
        <w:t>6</w:t>
      </w:r>
      <w:r w:rsidR="000D4B64">
        <w:rPr>
          <w:noProof/>
        </w:rPr>
        <w:fldChar w:fldCharType="end"/>
      </w:r>
      <w:bookmarkEnd w:id="34"/>
      <w:r>
        <w:t>: Decision tree for the scope of the review</w:t>
      </w:r>
      <w:bookmarkEnd w:id="35"/>
    </w:p>
    <w:p w14:paraId="228F3F40" w14:textId="5127B358" w:rsidR="007831AE" w:rsidRDefault="007831AE" w:rsidP="008B474C">
      <w:r w:rsidRPr="008B474C">
        <w:drawing>
          <wp:inline distT="0" distB="0" distL="0" distR="0" wp14:anchorId="02DD06CB" wp14:editId="42EEA51D">
            <wp:extent cx="4926027" cy="1967789"/>
            <wp:effectExtent l="0" t="0" r="8255" b="0"/>
            <wp:docPr id="1600325930" name="Graphic 1600325930" descr="Will the prosthesis replace a part of a person’s body that has been removed due to cancer/cancer treatment? If no, it is excluded from the review. If yes, is the prosthesis external? If no, it is excluded from the review. If yes, it is included within the revi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325930" name="Graphic 1600325930" descr="Will the prosthesis replace a part of a person’s body that has been removed due to cancer/cancer treatment? If no, it is excluded from the review. If yes, is the prosthesis external? If no, it is excluded from the review. If yes, it is included within the review. "/>
                    <pic:cNvPicPr>
                      <a:picLocks noChangeAspect="1" noChangeArrowheads="1"/>
                    </pic:cNvPicPr>
                  </pic:nvPicPr>
                  <pic:blipFill>
                    <a:blip r:embed="rId44">
                      <a:extLst>
                        <a:ext uri="{96DAC541-7B7A-43D3-8B79-37D633B846F1}">
                          <asvg:svgBlip xmlns:asvg="http://schemas.microsoft.com/office/drawing/2016/SVG/main" r:embed="rId45"/>
                        </a:ext>
                      </a:extLst>
                    </a:blip>
                    <a:stretch>
                      <a:fillRect/>
                    </a:stretch>
                  </pic:blipFill>
                  <pic:spPr bwMode="auto">
                    <a:xfrm>
                      <a:off x="0" y="0"/>
                      <a:ext cx="4974926" cy="1987323"/>
                    </a:xfrm>
                    <a:prstGeom prst="rect">
                      <a:avLst/>
                    </a:prstGeom>
                  </pic:spPr>
                </pic:pic>
              </a:graphicData>
            </a:graphic>
          </wp:inline>
        </w:drawing>
      </w:r>
    </w:p>
    <w:p w14:paraId="6C7A512A" w14:textId="6476BBB9" w:rsidR="007831AE" w:rsidRPr="003221EC" w:rsidRDefault="007831AE" w:rsidP="001C2460">
      <w:pPr>
        <w:pStyle w:val="Caption-Source"/>
      </w:pPr>
      <w:r w:rsidRPr="003221EC">
        <w:t xml:space="preserve">Source: </w:t>
      </w:r>
      <w:r w:rsidR="004A6003" w:rsidRPr="004A6003">
        <w:t>Independent reviewer</w:t>
      </w:r>
      <w:r w:rsidR="00584D02">
        <w:t xml:space="preserve"> (</w:t>
      </w:r>
      <w:r w:rsidRPr="003221EC">
        <w:t>2025</w:t>
      </w:r>
      <w:r w:rsidR="00584D02">
        <w:t>)</w:t>
      </w:r>
    </w:p>
    <w:p w14:paraId="2B88AD13" w14:textId="11750A7D" w:rsidR="007831AE" w:rsidRDefault="007831AE" w:rsidP="007831AE">
      <w:pPr>
        <w:pStyle w:val="Caption"/>
      </w:pPr>
      <w:bookmarkStart w:id="36" w:name="_Ref201824984"/>
      <w:bookmarkStart w:id="37" w:name="_Toc207348566"/>
      <w:r>
        <w:t xml:space="preserve">Table </w:t>
      </w:r>
      <w:r w:rsidR="004F27F5">
        <w:fldChar w:fldCharType="begin"/>
      </w:r>
      <w:r w:rsidR="004F27F5">
        <w:instrText xml:space="preserve"> SEQ Table \* ARABIC </w:instrText>
      </w:r>
      <w:r w:rsidR="004F27F5">
        <w:fldChar w:fldCharType="separate"/>
      </w:r>
      <w:r w:rsidR="004F27F5">
        <w:rPr>
          <w:noProof/>
        </w:rPr>
        <w:t>1</w:t>
      </w:r>
      <w:r w:rsidR="004F27F5">
        <w:rPr>
          <w:noProof/>
        </w:rPr>
        <w:fldChar w:fldCharType="end"/>
      </w:r>
      <w:bookmarkEnd w:id="36"/>
      <w:r>
        <w:t>: In-scope and out-of-scope prostheses</w:t>
      </w:r>
      <w:bookmarkEnd w:id="37"/>
    </w:p>
    <w:tbl>
      <w:tblPr>
        <w:tblStyle w:val="KPMGTable"/>
        <w:tblW w:w="10206" w:type="dxa"/>
        <w:tblLook w:val="0420" w:firstRow="1" w:lastRow="0" w:firstColumn="0" w:lastColumn="0" w:noHBand="0" w:noVBand="1"/>
      </w:tblPr>
      <w:tblGrid>
        <w:gridCol w:w="5103"/>
        <w:gridCol w:w="5103"/>
      </w:tblGrid>
      <w:tr w:rsidR="00BC4FBB" w:rsidRPr="008000BE" w14:paraId="0A2DD0FB" w14:textId="77777777" w:rsidTr="008B474C">
        <w:trPr>
          <w:cnfStyle w:val="100000000000" w:firstRow="1" w:lastRow="0" w:firstColumn="0" w:lastColumn="0" w:oddVBand="0" w:evenVBand="0" w:oddHBand="0" w:evenHBand="0" w:firstRowFirstColumn="0" w:firstRowLastColumn="0" w:lastRowFirstColumn="0" w:lastRowLastColumn="0"/>
          <w:trHeight w:val="298"/>
          <w:tblHeader/>
        </w:trPr>
        <w:tc>
          <w:tcPr>
            <w:tcW w:w="5103" w:type="dxa"/>
          </w:tcPr>
          <w:p w14:paraId="35646C46" w14:textId="30ED1179" w:rsidR="007831AE" w:rsidRPr="008000BE" w:rsidRDefault="007831AE" w:rsidP="00CD71E8">
            <w:pPr>
              <w:pStyle w:val="TableHeading"/>
            </w:pPr>
            <w:r w:rsidRPr="008000BE">
              <w:t xml:space="preserve">In-scope </w:t>
            </w:r>
            <w:r w:rsidR="00AC1C16">
              <w:t>prostheses</w:t>
            </w:r>
          </w:p>
        </w:tc>
        <w:tc>
          <w:tcPr>
            <w:tcW w:w="5103" w:type="dxa"/>
          </w:tcPr>
          <w:p w14:paraId="689A8003" w14:textId="18500A35" w:rsidR="007831AE" w:rsidRPr="008000BE" w:rsidRDefault="007831AE" w:rsidP="00CD71E8">
            <w:pPr>
              <w:pStyle w:val="TableHeading"/>
            </w:pPr>
            <w:r w:rsidRPr="008000BE">
              <w:t xml:space="preserve">Out-of-scope </w:t>
            </w:r>
            <w:r w:rsidR="00AC1C16">
              <w:t>prostheses</w:t>
            </w:r>
          </w:p>
        </w:tc>
      </w:tr>
      <w:tr w:rsidR="007831AE" w:rsidRPr="008000BE" w14:paraId="136F1733" w14:textId="77777777" w:rsidTr="002C4EE0">
        <w:trPr>
          <w:trHeight w:val="3288"/>
        </w:trPr>
        <w:tc>
          <w:tcPr>
            <w:tcW w:w="5103" w:type="dxa"/>
          </w:tcPr>
          <w:p w14:paraId="5515AA2A" w14:textId="2786D479" w:rsidR="00891437" w:rsidRPr="008B474C" w:rsidRDefault="007831AE" w:rsidP="008B474C">
            <w:pPr>
              <w:pStyle w:val="TableText"/>
            </w:pPr>
            <w:r w:rsidRPr="008B474C">
              <w:t>For this review, the term ‘prosthesis’ refer</w:t>
            </w:r>
            <w:r w:rsidR="00AE2BC8" w:rsidRPr="008B474C">
              <w:t>red</w:t>
            </w:r>
            <w:r w:rsidRPr="008B474C">
              <w:t xml:space="preserve"> to external prostheses, </w:t>
            </w:r>
            <w:r w:rsidR="00AE2BC8" w:rsidRPr="008B474C">
              <w:t>including</w:t>
            </w:r>
            <w:r w:rsidRPr="008B474C">
              <w:t>:</w:t>
            </w:r>
          </w:p>
          <w:p w14:paraId="3B2DF316" w14:textId="77777777" w:rsidR="00891437" w:rsidRDefault="00891437" w:rsidP="008B474C">
            <w:pPr>
              <w:pStyle w:val="TableBullet1stlevel"/>
            </w:pPr>
            <w:r>
              <w:t>External breast prostheses</w:t>
            </w:r>
          </w:p>
          <w:p w14:paraId="0525A303" w14:textId="77777777" w:rsidR="00891437" w:rsidRDefault="00891437" w:rsidP="008B474C">
            <w:pPr>
              <w:pStyle w:val="TableBullet1stlevel"/>
            </w:pPr>
            <w:r w:rsidRPr="0007190A">
              <w:t xml:space="preserve">Facial prostheses including: </w:t>
            </w:r>
          </w:p>
          <w:p w14:paraId="0FEB679C" w14:textId="77777777" w:rsidR="00891437" w:rsidRDefault="00891437" w:rsidP="008B474C">
            <w:pPr>
              <w:pStyle w:val="TableBullet2ndlevel"/>
            </w:pPr>
            <w:r w:rsidRPr="0007190A">
              <w:t>Prosthetic ears, noses, eyeballs</w:t>
            </w:r>
          </w:p>
          <w:p w14:paraId="54F28404" w14:textId="095CB28F" w:rsidR="00891437" w:rsidRDefault="00891437" w:rsidP="008B474C">
            <w:pPr>
              <w:pStyle w:val="TableBullet2ndlevel"/>
            </w:pPr>
            <w:r w:rsidRPr="0007190A">
              <w:t>Orbital prosthe</w:t>
            </w:r>
            <w:r w:rsidR="00AE2BC8">
              <w:t>ses</w:t>
            </w:r>
          </w:p>
          <w:p w14:paraId="76BF7E11" w14:textId="293141F2" w:rsidR="00891437" w:rsidRPr="0007190A" w:rsidRDefault="00891437" w:rsidP="008B474C">
            <w:pPr>
              <w:pStyle w:val="TableBullet2ndlevel"/>
            </w:pPr>
            <w:r w:rsidRPr="0007190A">
              <w:t>Hemi-facial prosthe</w:t>
            </w:r>
            <w:r w:rsidR="00AE2BC8">
              <w:t>ses</w:t>
            </w:r>
          </w:p>
          <w:p w14:paraId="2B54529B" w14:textId="77777777" w:rsidR="00891437" w:rsidRDefault="00891437" w:rsidP="008B474C">
            <w:pPr>
              <w:pStyle w:val="TableBullet1stlevel"/>
            </w:pPr>
            <w:r w:rsidRPr="0007190A">
              <w:t xml:space="preserve">Limb prostheses including: </w:t>
            </w:r>
          </w:p>
          <w:p w14:paraId="5CF1C4AC" w14:textId="77777777" w:rsidR="00891437" w:rsidRDefault="00891437" w:rsidP="008B474C">
            <w:pPr>
              <w:pStyle w:val="TableBullet2ndlevel"/>
            </w:pPr>
            <w:r w:rsidRPr="0007190A">
              <w:t>Arm prostheses fitted at, above or below the elbow, including hand and finger prostheses</w:t>
            </w:r>
          </w:p>
          <w:p w14:paraId="1AB6D127" w14:textId="276AADBE" w:rsidR="007831AE" w:rsidRPr="00AE2BC8" w:rsidRDefault="00891437" w:rsidP="008B474C">
            <w:pPr>
              <w:pStyle w:val="TableBullet2ndlevel"/>
            </w:pPr>
            <w:r w:rsidRPr="0007190A">
              <w:t>Leg prostheses fitted at, above or below the knee, including foot and toe prostheses</w:t>
            </w:r>
            <w:r w:rsidR="00AE2BC8">
              <w:t>.</w:t>
            </w:r>
          </w:p>
        </w:tc>
        <w:tc>
          <w:tcPr>
            <w:tcW w:w="5103" w:type="dxa"/>
          </w:tcPr>
          <w:p w14:paraId="037EF965" w14:textId="7DE9AFA2" w:rsidR="00891437" w:rsidRPr="00847F20" w:rsidRDefault="007831AE" w:rsidP="008B474C">
            <w:pPr>
              <w:pStyle w:val="TableText"/>
            </w:pPr>
            <w:r w:rsidRPr="00847F20">
              <w:t xml:space="preserve">For this review, the term ‘prosthesis’ </w:t>
            </w:r>
            <w:r w:rsidR="00AE2BC8">
              <w:t>did</w:t>
            </w:r>
            <w:r w:rsidRPr="00847F20">
              <w:t xml:space="preserve"> not refer to surgically implanted </w:t>
            </w:r>
            <w:r>
              <w:t>prostheses</w:t>
            </w:r>
            <w:r w:rsidRPr="00847F20">
              <w:t>, such as:</w:t>
            </w:r>
          </w:p>
          <w:p w14:paraId="39324A32" w14:textId="77777777" w:rsidR="00891437" w:rsidRPr="00AE5D9C" w:rsidRDefault="00891437" w:rsidP="008B474C">
            <w:pPr>
              <w:pStyle w:val="TableBullet1stlevel"/>
            </w:pPr>
            <w:r w:rsidRPr="00AE5D9C">
              <w:t>Bones or joints (e.g. a hip replacement)</w:t>
            </w:r>
          </w:p>
          <w:p w14:paraId="595523F9" w14:textId="77777777" w:rsidR="00891437" w:rsidRDefault="00891437" w:rsidP="008B474C">
            <w:pPr>
              <w:pStyle w:val="TableBullet1stlevel"/>
            </w:pPr>
            <w:r>
              <w:t>Breast implants or breast reconstructions</w:t>
            </w:r>
          </w:p>
          <w:p w14:paraId="3251F00F" w14:textId="77777777" w:rsidR="00891437" w:rsidRDefault="00891437" w:rsidP="008B474C">
            <w:pPr>
              <w:pStyle w:val="TableBullet1stlevel"/>
            </w:pPr>
            <w:r w:rsidRPr="00AE5D9C">
              <w:t>Cochlear implants</w:t>
            </w:r>
          </w:p>
          <w:p w14:paraId="0C7338CF" w14:textId="44C40695" w:rsidR="00891437" w:rsidRPr="00A7715E" w:rsidRDefault="00891437" w:rsidP="008B474C">
            <w:pPr>
              <w:pStyle w:val="TableBullet1stlevel"/>
            </w:pPr>
            <w:r>
              <w:t>D</w:t>
            </w:r>
            <w:r w:rsidRPr="00A7715E">
              <w:t>ental implants</w:t>
            </w:r>
            <w:r w:rsidR="007B7939">
              <w:rPr>
                <w:rFonts w:ascii="ZWAdobeF" w:hAnsi="ZWAdobeF" w:cs="ZWAdobeF"/>
                <w:color w:val="auto"/>
                <w:sz w:val="2"/>
                <w:szCs w:val="2"/>
              </w:rPr>
              <w:t>7F</w:t>
            </w:r>
            <w:r>
              <w:rPr>
                <w:rStyle w:val="FootnoteReference"/>
              </w:rPr>
              <w:footnoteReference w:id="11"/>
            </w:r>
          </w:p>
          <w:p w14:paraId="3B570A02" w14:textId="77777777" w:rsidR="00891437" w:rsidRDefault="00891437" w:rsidP="008B474C">
            <w:pPr>
              <w:pStyle w:val="TableBullet1stlevel"/>
            </w:pPr>
            <w:r>
              <w:t>Implanted male reproductive prostheses</w:t>
            </w:r>
          </w:p>
          <w:p w14:paraId="72827FD6" w14:textId="0903CA79" w:rsidR="007831AE" w:rsidRPr="00847F20" w:rsidRDefault="00891437" w:rsidP="008B474C">
            <w:pPr>
              <w:pStyle w:val="TableBullet1stlevel"/>
            </w:pPr>
            <w:r w:rsidRPr="00AE5D9C">
              <w:t>Replacement heart valves</w:t>
            </w:r>
            <w:r w:rsidR="00AE2BC8">
              <w:t>.</w:t>
            </w:r>
          </w:p>
        </w:tc>
      </w:tr>
    </w:tbl>
    <w:p w14:paraId="0F043336" w14:textId="214B7B7B" w:rsidR="007831AE" w:rsidRPr="003221EC" w:rsidRDefault="007831AE" w:rsidP="00EC34A9">
      <w:pPr>
        <w:pStyle w:val="Caption-Source"/>
      </w:pPr>
      <w:r w:rsidRPr="003221EC">
        <w:t xml:space="preserve">Source: </w:t>
      </w:r>
      <w:r w:rsidR="00120620" w:rsidRPr="00120620">
        <w:t>Independent reviewer</w:t>
      </w:r>
      <w:r w:rsidR="00584D02">
        <w:t xml:space="preserve"> (</w:t>
      </w:r>
      <w:r w:rsidRPr="003221EC">
        <w:t>2025</w:t>
      </w:r>
      <w:r w:rsidR="00584D02">
        <w:t>)</w:t>
      </w:r>
    </w:p>
    <w:p w14:paraId="0280692D" w14:textId="40AAC7C5" w:rsidR="003231B0" w:rsidRPr="00CE3DCC" w:rsidRDefault="00B57221" w:rsidP="00CE3DCC">
      <w:r>
        <w:rPr>
          <w:color w:val="auto"/>
        </w:rPr>
        <w:t xml:space="preserve">Throughout the course of the review, several other types of prostheses were discussed by stakeholders that </w:t>
      </w:r>
      <w:proofErr w:type="gramStart"/>
      <w:r>
        <w:rPr>
          <w:color w:val="auto"/>
        </w:rPr>
        <w:t>were considered to be</w:t>
      </w:r>
      <w:proofErr w:type="gramEnd"/>
      <w:r>
        <w:rPr>
          <w:color w:val="auto"/>
        </w:rPr>
        <w:t xml:space="preserve"> outside the agreed review scope. This included oral prostheses, which </w:t>
      </w:r>
      <w:r w:rsidRPr="002078CF">
        <w:rPr>
          <w:color w:val="auto"/>
        </w:rPr>
        <w:t>are typically considered to be implants</w:t>
      </w:r>
      <w:r>
        <w:rPr>
          <w:color w:val="auto"/>
        </w:rPr>
        <w:t xml:space="preserve"> and / or part of dental care,</w:t>
      </w:r>
      <w:r w:rsidRPr="008855D2">
        <w:rPr>
          <w:color w:val="auto"/>
        </w:rPr>
        <w:t xml:space="preserve"> </w:t>
      </w:r>
      <w:r>
        <w:rPr>
          <w:color w:val="auto"/>
        </w:rPr>
        <w:t xml:space="preserve">and prostheses where </w:t>
      </w:r>
      <w:r w:rsidRPr="008855D2">
        <w:rPr>
          <w:color w:val="auto"/>
        </w:rPr>
        <w:t>further work is required to determine if they meet the definition of an external prosthe</w:t>
      </w:r>
      <w:r w:rsidR="004B445C">
        <w:rPr>
          <w:color w:val="auto"/>
        </w:rPr>
        <w:t>si</w:t>
      </w:r>
      <w:r w:rsidRPr="008855D2">
        <w:rPr>
          <w:color w:val="auto"/>
        </w:rPr>
        <w:t>s</w:t>
      </w:r>
      <w:r>
        <w:rPr>
          <w:color w:val="auto"/>
        </w:rPr>
        <w:t xml:space="preserve"> including</w:t>
      </w:r>
      <w:r w:rsidRPr="008855D2">
        <w:rPr>
          <w:color w:val="auto"/>
        </w:rPr>
        <w:t xml:space="preserve"> </w:t>
      </w:r>
      <w:r>
        <w:rPr>
          <w:color w:val="auto"/>
        </w:rPr>
        <w:t>non-indwelling v</w:t>
      </w:r>
      <w:r w:rsidRPr="00A6514D">
        <w:rPr>
          <w:color w:val="auto"/>
        </w:rPr>
        <w:t>oice prostheses</w:t>
      </w:r>
      <w:r>
        <w:rPr>
          <w:color w:val="auto"/>
        </w:rPr>
        <w:t xml:space="preserve"> and</w:t>
      </w:r>
      <w:r w:rsidRPr="00A6514D">
        <w:rPr>
          <w:color w:val="auto"/>
        </w:rPr>
        <w:t xml:space="preserve"> male reproductive</w:t>
      </w:r>
      <w:r>
        <w:rPr>
          <w:color w:val="auto"/>
        </w:rPr>
        <w:t xml:space="preserve"> prostheses</w:t>
      </w:r>
      <w:r w:rsidRPr="00A6514D">
        <w:rPr>
          <w:color w:val="auto"/>
        </w:rPr>
        <w:t>.</w:t>
      </w:r>
      <w:r>
        <w:rPr>
          <w:color w:val="auto"/>
        </w:rPr>
        <w:t xml:space="preserve"> </w:t>
      </w:r>
      <w:r w:rsidR="00643786">
        <w:rPr>
          <w:color w:val="auto"/>
        </w:rPr>
        <w:t xml:space="preserve">While not considered in-scope, these </w:t>
      </w:r>
      <w:proofErr w:type="gramStart"/>
      <w:r w:rsidR="00643786">
        <w:rPr>
          <w:color w:val="auto"/>
        </w:rPr>
        <w:t>prostheses</w:t>
      </w:r>
      <w:proofErr w:type="gramEnd"/>
      <w:r w:rsidR="00665B0B">
        <w:rPr>
          <w:color w:val="auto"/>
        </w:rPr>
        <w:t xml:space="preserve"> types</w:t>
      </w:r>
      <w:r w:rsidR="00643786">
        <w:rPr>
          <w:color w:val="auto"/>
        </w:rPr>
        <w:t xml:space="preserve"> </w:t>
      </w:r>
      <w:r w:rsidR="00AE2BC8" w:rsidRPr="00A6514D">
        <w:rPr>
          <w:color w:val="auto"/>
        </w:rPr>
        <w:t>have been</w:t>
      </w:r>
      <w:r w:rsidR="00643786">
        <w:rPr>
          <w:color w:val="auto"/>
        </w:rPr>
        <w:t xml:space="preserve"> </w:t>
      </w:r>
      <w:r w:rsidR="00AE2BC8" w:rsidRPr="00A6514D">
        <w:rPr>
          <w:color w:val="auto"/>
        </w:rPr>
        <w:t xml:space="preserve">included </w:t>
      </w:r>
      <w:r w:rsidR="003231B0">
        <w:rPr>
          <w:color w:val="auto"/>
        </w:rPr>
        <w:t xml:space="preserve">within Sections 2 and 3 of this report </w:t>
      </w:r>
      <w:r w:rsidR="00AE2BC8" w:rsidRPr="00A6514D">
        <w:rPr>
          <w:color w:val="auto"/>
        </w:rPr>
        <w:t>for completeness</w:t>
      </w:r>
      <w:r w:rsidR="000D12C9">
        <w:rPr>
          <w:color w:val="auto"/>
        </w:rPr>
        <w:t xml:space="preserve">, </w:t>
      </w:r>
      <w:proofErr w:type="gramStart"/>
      <w:r w:rsidR="000D12C9">
        <w:rPr>
          <w:color w:val="auto"/>
        </w:rPr>
        <w:t>however</w:t>
      </w:r>
      <w:proofErr w:type="gramEnd"/>
      <w:r w:rsidR="000D12C9">
        <w:rPr>
          <w:color w:val="auto"/>
        </w:rPr>
        <w:t xml:space="preserve"> </w:t>
      </w:r>
      <w:r w:rsidR="00665B0B">
        <w:rPr>
          <w:color w:val="auto"/>
        </w:rPr>
        <w:t>were not</w:t>
      </w:r>
      <w:r w:rsidR="003902C8">
        <w:rPr>
          <w:color w:val="auto"/>
        </w:rPr>
        <w:t xml:space="preserve"> considered</w:t>
      </w:r>
      <w:r w:rsidR="00CE0A74">
        <w:rPr>
          <w:color w:val="auto"/>
        </w:rPr>
        <w:t xml:space="preserve"> </w:t>
      </w:r>
      <w:r w:rsidR="00665B0B">
        <w:rPr>
          <w:color w:val="auto"/>
        </w:rPr>
        <w:t xml:space="preserve">in </w:t>
      </w:r>
      <w:r w:rsidR="003902C8">
        <w:rPr>
          <w:color w:val="auto"/>
        </w:rPr>
        <w:t>the</w:t>
      </w:r>
      <w:r w:rsidR="00665B0B">
        <w:rPr>
          <w:color w:val="auto"/>
        </w:rPr>
        <w:t xml:space="preserve"> development of</w:t>
      </w:r>
      <w:r w:rsidR="003902C8">
        <w:rPr>
          <w:color w:val="auto"/>
        </w:rPr>
        <w:t xml:space="preserve"> options </w:t>
      </w:r>
      <w:r w:rsidR="000D12C9">
        <w:rPr>
          <w:color w:val="auto"/>
        </w:rPr>
        <w:t xml:space="preserve">and costings </w:t>
      </w:r>
      <w:r w:rsidR="001703CE">
        <w:rPr>
          <w:color w:val="auto"/>
        </w:rPr>
        <w:t xml:space="preserve">for a </w:t>
      </w:r>
      <w:r w:rsidR="00665B0B">
        <w:rPr>
          <w:color w:val="auto"/>
        </w:rPr>
        <w:t xml:space="preserve">potential </w:t>
      </w:r>
      <w:r w:rsidR="001703CE">
        <w:rPr>
          <w:color w:val="auto"/>
        </w:rPr>
        <w:t xml:space="preserve">national cancer </w:t>
      </w:r>
      <w:r w:rsidR="005910EC">
        <w:rPr>
          <w:color w:val="auto"/>
        </w:rPr>
        <w:t xml:space="preserve">prostheses </w:t>
      </w:r>
      <w:r w:rsidR="001703CE">
        <w:rPr>
          <w:color w:val="auto"/>
        </w:rPr>
        <w:t>program</w:t>
      </w:r>
      <w:r w:rsidR="000D12C9">
        <w:rPr>
          <w:color w:val="auto"/>
        </w:rPr>
        <w:t>.</w:t>
      </w:r>
      <w:r w:rsidR="001703CE">
        <w:rPr>
          <w:color w:val="auto"/>
        </w:rPr>
        <w:t xml:space="preserve"> </w:t>
      </w:r>
      <w:r w:rsidR="000D12C9">
        <w:rPr>
          <w:color w:val="auto"/>
        </w:rPr>
        <w:t xml:space="preserve">The inclusion of these </w:t>
      </w:r>
      <w:proofErr w:type="gramStart"/>
      <w:r w:rsidR="000D12C9">
        <w:rPr>
          <w:color w:val="auto"/>
        </w:rPr>
        <w:t>prostheses</w:t>
      </w:r>
      <w:proofErr w:type="gramEnd"/>
      <w:r w:rsidR="000D12C9">
        <w:rPr>
          <w:color w:val="auto"/>
        </w:rPr>
        <w:t xml:space="preserve"> types </w:t>
      </w:r>
      <w:r w:rsidR="001703CE">
        <w:rPr>
          <w:color w:val="auto"/>
        </w:rPr>
        <w:t xml:space="preserve">could be considered by the </w:t>
      </w:r>
      <w:r w:rsidR="000D4462">
        <w:rPr>
          <w:color w:val="auto"/>
        </w:rPr>
        <w:t xml:space="preserve">Government </w:t>
      </w:r>
      <w:r w:rsidR="001703CE">
        <w:rPr>
          <w:color w:val="auto"/>
        </w:rPr>
        <w:t>in future ex</w:t>
      </w:r>
      <w:r w:rsidR="001703CE" w:rsidRPr="00CE3DCC">
        <w:t xml:space="preserve">pansions of </w:t>
      </w:r>
      <w:r w:rsidR="006B55B8" w:rsidRPr="00CE3DCC">
        <w:t>a</w:t>
      </w:r>
      <w:r w:rsidR="000D4462" w:rsidRPr="00CE3DCC">
        <w:t xml:space="preserve"> potential</w:t>
      </w:r>
      <w:r w:rsidR="006B55B8" w:rsidRPr="00CE3DCC">
        <w:t xml:space="preserve"> national program.</w:t>
      </w:r>
    </w:p>
    <w:p w14:paraId="2F2D46C8" w14:textId="17D5DFDC" w:rsidR="007831AE" w:rsidRDefault="007831AE" w:rsidP="00CE3DCC">
      <w:r w:rsidRPr="00CE3DCC">
        <w:t>In acknow</w:t>
      </w:r>
      <w:r>
        <w:t>ledgement that s</w:t>
      </w:r>
      <w:r w:rsidRPr="008D7B04">
        <w:t xml:space="preserve">ignificant disparities in cancer outcomes exist between </w:t>
      </w:r>
      <w:r>
        <w:t>different</w:t>
      </w:r>
      <w:r w:rsidRPr="008D7B04">
        <w:t xml:space="preserve"> population groups </w:t>
      </w:r>
      <w:r>
        <w:t>in</w:t>
      </w:r>
      <w:r w:rsidRPr="008D7B04">
        <w:t xml:space="preserve"> Australia</w:t>
      </w:r>
      <w:r w:rsidR="007B7939">
        <w:rPr>
          <w:rFonts w:ascii="ZWAdobeF" w:hAnsi="ZWAdobeF" w:cs="ZWAdobeF"/>
          <w:color w:val="auto"/>
          <w:sz w:val="2"/>
          <w:szCs w:val="2"/>
        </w:rPr>
        <w:t>8F</w:t>
      </w:r>
      <w:r>
        <w:rPr>
          <w:rStyle w:val="FootnoteReference"/>
        </w:rPr>
        <w:footnoteReference w:id="12"/>
      </w:r>
      <w:r w:rsidR="00365930">
        <w:t>,</w:t>
      </w:r>
      <w:r>
        <w:t xml:space="preserve"> and in alignment with the objectives of the Australian Cancer Plan</w:t>
      </w:r>
      <w:r w:rsidR="007B7939">
        <w:rPr>
          <w:rFonts w:ascii="ZWAdobeF" w:hAnsi="ZWAdobeF" w:cs="ZWAdobeF"/>
          <w:color w:val="auto"/>
          <w:sz w:val="2"/>
          <w:szCs w:val="2"/>
        </w:rPr>
        <w:t>9F</w:t>
      </w:r>
      <w:r>
        <w:rPr>
          <w:rStyle w:val="FootnoteReference"/>
        </w:rPr>
        <w:footnoteReference w:id="13"/>
      </w:r>
      <w:r>
        <w:t xml:space="preserve">, </w:t>
      </w:r>
      <w:r w:rsidR="00953B39" w:rsidRPr="00953B39">
        <w:t>access to prostheses for priority population groups was</w:t>
      </w:r>
      <w:r w:rsidR="00E37404">
        <w:t xml:space="preserve"> considered </w:t>
      </w:r>
      <w:r w:rsidR="00B959A7">
        <w:t>throughout</w:t>
      </w:r>
      <w:r w:rsidR="00CD037D">
        <w:t xml:space="preserve"> the</w:t>
      </w:r>
      <w:r w:rsidR="00953B39" w:rsidRPr="00953B39">
        <w:t xml:space="preserve"> review</w:t>
      </w:r>
      <w:r>
        <w:t xml:space="preserve">. For the purposes of this review, </w:t>
      </w:r>
      <w:r w:rsidR="00B959A7">
        <w:t>the term “</w:t>
      </w:r>
      <w:r>
        <w:t>priority population groups</w:t>
      </w:r>
      <w:r w:rsidR="00B959A7">
        <w:t>”</w:t>
      </w:r>
      <w:r>
        <w:t xml:space="preserve"> </w:t>
      </w:r>
      <w:r w:rsidR="005E0491">
        <w:t>included</w:t>
      </w:r>
      <w:r>
        <w:t>:</w:t>
      </w:r>
    </w:p>
    <w:p w14:paraId="770127EA" w14:textId="13E9A7CB" w:rsidR="007831AE" w:rsidRDefault="007831AE" w:rsidP="002A5F38">
      <w:pPr>
        <w:pStyle w:val="Bullet1stlevel"/>
      </w:pPr>
      <w:r w:rsidRPr="00FC5A76">
        <w:t>Aboriginal and Torres Strait Islander people</w:t>
      </w:r>
      <w:r w:rsidR="002A5F38">
        <w:t>.</w:t>
      </w:r>
    </w:p>
    <w:p w14:paraId="0265443B" w14:textId="05D6C7E7" w:rsidR="007831AE" w:rsidRDefault="007831AE" w:rsidP="002A5F38">
      <w:pPr>
        <w:pStyle w:val="Bullet1stlevel"/>
      </w:pPr>
      <w:r>
        <w:t>P</w:t>
      </w:r>
      <w:r w:rsidRPr="00FC5A76">
        <w:t>atients people living in rural and remote areas</w:t>
      </w:r>
      <w:r w:rsidR="002A5F38">
        <w:t>.</w:t>
      </w:r>
    </w:p>
    <w:p w14:paraId="01F7479B" w14:textId="1BBFA264" w:rsidR="007831AE" w:rsidRDefault="007831AE" w:rsidP="002A5F38">
      <w:pPr>
        <w:pStyle w:val="Bullet1stlevel"/>
      </w:pPr>
      <w:r w:rsidRPr="005F2B2B">
        <w:t xml:space="preserve">Lesbian, Gay, Bisexual, Transgender, Intersex, Queer and Asexual people </w:t>
      </w:r>
      <w:r>
        <w:t>(</w:t>
      </w:r>
      <w:r w:rsidRPr="00FC5A76">
        <w:t>LGBTIQA+</w:t>
      </w:r>
      <w:r>
        <w:t>) people</w:t>
      </w:r>
      <w:r w:rsidR="002A5F38">
        <w:t>.</w:t>
      </w:r>
    </w:p>
    <w:p w14:paraId="0682B352" w14:textId="21C59605" w:rsidR="007831AE" w:rsidRDefault="007831AE" w:rsidP="002A5F38">
      <w:pPr>
        <w:pStyle w:val="Bullet1stlevel"/>
      </w:pPr>
      <w:r>
        <w:t>P</w:t>
      </w:r>
      <w:r w:rsidRPr="00FC5A76">
        <w:t xml:space="preserve">eople from Culturally and Linguistically Diverse </w:t>
      </w:r>
      <w:r>
        <w:t xml:space="preserve">(CALD) </w:t>
      </w:r>
      <w:r w:rsidRPr="00FC5A76">
        <w:t>backgrounds</w:t>
      </w:r>
      <w:r w:rsidR="002A5F38">
        <w:t>.</w:t>
      </w:r>
    </w:p>
    <w:p w14:paraId="5F260921" w14:textId="3419006E" w:rsidR="007831AE" w:rsidRDefault="007831AE" w:rsidP="002A5F38">
      <w:pPr>
        <w:pStyle w:val="Bullet1stlevel"/>
      </w:pPr>
      <w:r>
        <w:t>P</w:t>
      </w:r>
      <w:r w:rsidRPr="00FC5A76">
        <w:t>eople living with disability</w:t>
      </w:r>
      <w:r w:rsidR="002A5F38">
        <w:t>.</w:t>
      </w:r>
    </w:p>
    <w:p w14:paraId="51391FFA" w14:textId="5634D306" w:rsidR="007831AE" w:rsidRDefault="007831AE" w:rsidP="002A5F38">
      <w:pPr>
        <w:pStyle w:val="Bullet1stlevel"/>
      </w:pPr>
      <w:r>
        <w:t>P</w:t>
      </w:r>
      <w:r w:rsidRPr="00FC5A76">
        <w:t>eople in lower socioeconomic groups</w:t>
      </w:r>
      <w:r w:rsidR="002A5F38">
        <w:t>.</w:t>
      </w:r>
    </w:p>
    <w:p w14:paraId="178C9682" w14:textId="43906A77" w:rsidR="007831AE" w:rsidRDefault="007831AE" w:rsidP="002A5F38">
      <w:pPr>
        <w:pStyle w:val="Bullet1stlevel"/>
      </w:pPr>
      <w:r>
        <w:t>P</w:t>
      </w:r>
      <w:r w:rsidRPr="00FC5A76">
        <w:t>eople living with a mental illness</w:t>
      </w:r>
      <w:r w:rsidR="002A5F38">
        <w:t>.</w:t>
      </w:r>
    </w:p>
    <w:p w14:paraId="0776C728" w14:textId="1651368B" w:rsidR="007831AE" w:rsidRDefault="007831AE" w:rsidP="002A5F38">
      <w:pPr>
        <w:pStyle w:val="Bullet1stlevel"/>
      </w:pPr>
      <w:r>
        <w:t xml:space="preserve">Older </w:t>
      </w:r>
      <w:r w:rsidRPr="00FC5A76">
        <w:t>people</w:t>
      </w:r>
      <w:r w:rsidR="002A5F38">
        <w:t>.</w:t>
      </w:r>
    </w:p>
    <w:p w14:paraId="72C2F968" w14:textId="35509007" w:rsidR="007831AE" w:rsidRDefault="007831AE" w:rsidP="002A5F38">
      <w:pPr>
        <w:pStyle w:val="Bullet1stlevel"/>
      </w:pPr>
      <w:r>
        <w:t>A</w:t>
      </w:r>
      <w:r w:rsidRPr="00FC5A76">
        <w:t>dolescent</w:t>
      </w:r>
      <w:r>
        <w:t>s and y</w:t>
      </w:r>
      <w:r w:rsidRPr="00FC5A76">
        <w:t>oung adult</w:t>
      </w:r>
      <w:r>
        <w:t>s</w:t>
      </w:r>
      <w:r w:rsidR="002A5F38">
        <w:t>.</w:t>
      </w:r>
    </w:p>
    <w:p w14:paraId="38B613E6" w14:textId="25254A62" w:rsidR="002A5F38" w:rsidRDefault="007831AE">
      <w:pPr>
        <w:pStyle w:val="Bullet1stlevel"/>
        <w:spacing w:before="0" w:after="160" w:line="259" w:lineRule="auto"/>
      </w:pPr>
      <w:r>
        <w:t>C</w:t>
      </w:r>
      <w:r w:rsidRPr="00FC5A76">
        <w:t>hildren</w:t>
      </w:r>
      <w:r>
        <w:t>.</w:t>
      </w:r>
      <w:r w:rsidR="002A5F38">
        <w:br w:type="page"/>
      </w:r>
    </w:p>
    <w:p w14:paraId="432C9053" w14:textId="299A2C92" w:rsidR="00AA11E6" w:rsidRDefault="00E62C19" w:rsidP="008239ED">
      <w:pPr>
        <w:pStyle w:val="Heading2"/>
      </w:pPr>
      <w:bookmarkStart w:id="38" w:name="_Toc207348735"/>
      <w:r>
        <w:t>Limitations</w:t>
      </w:r>
      <w:r w:rsidR="005742D3">
        <w:t xml:space="preserve"> of this review</w:t>
      </w:r>
      <w:bookmarkEnd w:id="38"/>
    </w:p>
    <w:p w14:paraId="7034FD12" w14:textId="1EDA3B11" w:rsidR="00377D4E" w:rsidRPr="008B474C" w:rsidRDefault="00440258" w:rsidP="008B474C">
      <w:r w:rsidRPr="008B474C">
        <w:t>W</w:t>
      </w:r>
      <w:r w:rsidR="005E0491" w:rsidRPr="008B474C">
        <w:t>hen considering the findings outlined within this report</w:t>
      </w:r>
      <w:r w:rsidR="00377D4E" w:rsidRPr="008B474C">
        <w:t xml:space="preserve">, it is important to note </w:t>
      </w:r>
      <w:r w:rsidR="005E0491" w:rsidRPr="008B474C">
        <w:t>the following</w:t>
      </w:r>
      <w:r w:rsidR="00377D4E" w:rsidRPr="008B474C">
        <w:t xml:space="preserve"> limitations. </w:t>
      </w:r>
    </w:p>
    <w:p w14:paraId="3BDD82CA" w14:textId="41AFBA8C" w:rsidR="00377D4E" w:rsidRPr="00440258" w:rsidRDefault="00377D4E" w:rsidP="002A5F38">
      <w:pPr>
        <w:pStyle w:val="HEading3nonumber"/>
      </w:pPr>
      <w:r w:rsidRPr="00440258">
        <w:t xml:space="preserve">Availability and quality of </w:t>
      </w:r>
      <w:r w:rsidR="00A136D6">
        <w:t>publicly available information</w:t>
      </w:r>
    </w:p>
    <w:p w14:paraId="5138E9DF" w14:textId="3BBD483F" w:rsidR="00A136D6" w:rsidRPr="008B474C" w:rsidRDefault="00377D4E" w:rsidP="008B474C">
      <w:r w:rsidRPr="008B474C">
        <w:t>Th</w:t>
      </w:r>
      <w:r w:rsidR="0039038F" w:rsidRPr="008B474C">
        <w:t>e</w:t>
      </w:r>
      <w:r w:rsidRPr="008B474C">
        <w:t xml:space="preserve"> ability to </w:t>
      </w:r>
      <w:r w:rsidR="009E5389" w:rsidRPr="008B474C">
        <w:t xml:space="preserve">report on </w:t>
      </w:r>
      <w:r w:rsidRPr="008B474C">
        <w:t xml:space="preserve">cancer prostheses </w:t>
      </w:r>
      <w:r w:rsidR="009E5389" w:rsidRPr="008B474C">
        <w:t xml:space="preserve">services, schemes and </w:t>
      </w:r>
      <w:r w:rsidRPr="008B474C">
        <w:t xml:space="preserve">programs </w:t>
      </w:r>
      <w:r w:rsidR="009E5389" w:rsidRPr="008B474C">
        <w:t>currently in place across Australia was limited</w:t>
      </w:r>
      <w:r w:rsidRPr="008B474C">
        <w:t xml:space="preserve"> by the availability and quality of </w:t>
      </w:r>
      <w:r w:rsidR="009E5389" w:rsidRPr="008B474C">
        <w:t>publicly available</w:t>
      </w:r>
      <w:r w:rsidRPr="008B474C">
        <w:t xml:space="preserve"> information. Where </w:t>
      </w:r>
      <w:r w:rsidR="009E5389" w:rsidRPr="008B474C">
        <w:t xml:space="preserve">publicly available information was not </w:t>
      </w:r>
      <w:r w:rsidRPr="008B474C">
        <w:t xml:space="preserve">available or </w:t>
      </w:r>
      <w:r w:rsidR="00A136D6" w:rsidRPr="008B474C">
        <w:t>was</w:t>
      </w:r>
      <w:r w:rsidRPr="008B474C">
        <w:t xml:space="preserve"> incomplete, qualitative insights from stakeholder consultation</w:t>
      </w:r>
      <w:r w:rsidR="009E5389" w:rsidRPr="008B474C">
        <w:t xml:space="preserve"> </w:t>
      </w:r>
      <w:r w:rsidR="00A136D6" w:rsidRPr="008B474C">
        <w:t>were</w:t>
      </w:r>
      <w:r w:rsidR="009E5389" w:rsidRPr="008B474C">
        <w:t xml:space="preserve"> relied on to </w:t>
      </w:r>
      <w:r w:rsidR="00A136D6" w:rsidRPr="008B474C">
        <w:t>supplement documentation. Additionally,</w:t>
      </w:r>
      <w:r w:rsidRPr="008B474C">
        <w:t xml:space="preserve"> the </w:t>
      </w:r>
      <w:r w:rsidR="00A136D6" w:rsidRPr="008B474C">
        <w:t>variability in the delivery and funding</w:t>
      </w:r>
      <w:r w:rsidRPr="008B474C">
        <w:t xml:space="preserve"> of </w:t>
      </w:r>
      <w:r w:rsidR="00A136D6" w:rsidRPr="008B474C">
        <w:t xml:space="preserve">cancer prostheses services, schemes and programs across Australia, both between states and territories and within states and territories, </w:t>
      </w:r>
      <w:r w:rsidR="00805D01" w:rsidRPr="008B474C">
        <w:t>meant that</w:t>
      </w:r>
      <w:r w:rsidR="00A136D6" w:rsidRPr="008B474C">
        <w:t xml:space="preserve"> the availability and nature of documentation and reporting available </w:t>
      </w:r>
      <w:r w:rsidR="00805D01" w:rsidRPr="008B474C">
        <w:t>varied significantly</w:t>
      </w:r>
      <w:r w:rsidR="00A136D6" w:rsidRPr="008B474C">
        <w:t>. This variability limit</w:t>
      </w:r>
      <w:r w:rsidR="00BD37A3" w:rsidRPr="008B474C">
        <w:t>ed</w:t>
      </w:r>
      <w:r w:rsidR="00A136D6" w:rsidRPr="008B474C">
        <w:t xml:space="preserve"> the ability to describe, analyse and / or assess the delivery of cancer prostheses services across each state and territory in a uniform way</w:t>
      </w:r>
      <w:r w:rsidR="00BD37A3" w:rsidRPr="008B474C">
        <w:t>, with stakeholder insights relied on to fill information gaps</w:t>
      </w:r>
      <w:r w:rsidR="00A136D6" w:rsidRPr="008B474C">
        <w:t>.</w:t>
      </w:r>
    </w:p>
    <w:p w14:paraId="380A6159" w14:textId="754B1F78" w:rsidR="00377D4E" w:rsidRPr="00440258" w:rsidRDefault="00377D4E" w:rsidP="002A5F38">
      <w:pPr>
        <w:pStyle w:val="HEading3nonumber"/>
      </w:pPr>
      <w:r w:rsidRPr="00440258">
        <w:t xml:space="preserve">Representativeness of stakeholder </w:t>
      </w:r>
      <w:r w:rsidR="00440258">
        <w:t>views</w:t>
      </w:r>
    </w:p>
    <w:p w14:paraId="697070FE" w14:textId="5931B1D7" w:rsidR="00F765ED" w:rsidRPr="00072FB2" w:rsidRDefault="005C507B" w:rsidP="00072FB2">
      <w:r>
        <w:t>As described above,</w:t>
      </w:r>
      <w:r w:rsidR="00377D4E">
        <w:t xml:space="preserve"> qualitative data collected through consultation with key stakeholder groups</w:t>
      </w:r>
      <w:r>
        <w:t xml:space="preserve"> was relied on to </w:t>
      </w:r>
      <w:r w:rsidRPr="00072FB2">
        <w:t xml:space="preserve">augment the findings from </w:t>
      </w:r>
      <w:r w:rsidR="00F158FE" w:rsidRPr="00072FB2">
        <w:t>the desktop review</w:t>
      </w:r>
      <w:r w:rsidR="00377D4E" w:rsidRPr="00072FB2">
        <w:t xml:space="preserve">. </w:t>
      </w:r>
      <w:r w:rsidR="00F765ED" w:rsidRPr="00072FB2">
        <w:t>Stakeholder perceptions used to inform this report were limited to the stakeholders who were willing and able to attend consultations during the consultation period and may not necessarily represent the diverse views or experiences of all who have an interest in, or interaction with cancer prosthesis programs</w:t>
      </w:r>
      <w:r w:rsidR="0039038F" w:rsidRPr="00072FB2">
        <w:t xml:space="preserve"> or services</w:t>
      </w:r>
      <w:r w:rsidR="00F765ED" w:rsidRPr="00072FB2">
        <w:t>. The views shared by stakeholders reflect</w:t>
      </w:r>
      <w:r w:rsidR="00D360CE" w:rsidRPr="00072FB2">
        <w:t>ed</w:t>
      </w:r>
      <w:r w:rsidR="00F765ED" w:rsidRPr="00072FB2">
        <w:t xml:space="preserve"> their own position, role and experience and may differ from the perspectives of other stakeholders who will not be directly consulted in this review.</w:t>
      </w:r>
    </w:p>
    <w:p w14:paraId="22D90257" w14:textId="5D377A37" w:rsidR="00F765ED" w:rsidRDefault="00F765ED" w:rsidP="00072FB2">
      <w:r w:rsidRPr="00072FB2">
        <w:t xml:space="preserve">The method used to develop this report did not </w:t>
      </w:r>
      <w:r w:rsidR="0039038F" w:rsidRPr="00072FB2">
        <w:t xml:space="preserve">include verification </w:t>
      </w:r>
      <w:r w:rsidRPr="00072FB2">
        <w:t>whether stakeholders’ perceptions aligned with actu</w:t>
      </w:r>
      <w:r>
        <w:t xml:space="preserve">al events or practice. In reading this report, sources of information have been </w:t>
      </w:r>
      <w:r w:rsidR="00B02AE6">
        <w:t>specified,</w:t>
      </w:r>
      <w:r>
        <w:t xml:space="preserve"> and these should be considered in interpreting the findings presented.</w:t>
      </w:r>
    </w:p>
    <w:p w14:paraId="45F326E9" w14:textId="65D6325D" w:rsidR="00377D4E" w:rsidRPr="00440258" w:rsidRDefault="00377D4E" w:rsidP="002A5F38">
      <w:pPr>
        <w:pStyle w:val="HEading3nonumber"/>
      </w:pPr>
      <w:r w:rsidRPr="00E94C9D">
        <w:t>Cost modelling</w:t>
      </w:r>
    </w:p>
    <w:p w14:paraId="58FECDF2" w14:textId="1A1C978E" w:rsidR="00377D4E" w:rsidRPr="008B474C" w:rsidRDefault="00901F63" w:rsidP="008B474C">
      <w:r w:rsidRPr="008B474C">
        <w:t>L</w:t>
      </w:r>
      <w:r w:rsidR="00377D4E" w:rsidRPr="008B474C">
        <w:t xml:space="preserve">imited public quantitative data </w:t>
      </w:r>
      <w:r w:rsidRPr="008B474C">
        <w:t>was</w:t>
      </w:r>
      <w:r w:rsidR="00377D4E" w:rsidRPr="008B474C">
        <w:t xml:space="preserve"> available to support the development of cost estimates, with input from stakeholders relied upon to inform cost modelling. In </w:t>
      </w:r>
      <w:r w:rsidR="009A438D" w:rsidRPr="008B474C">
        <w:t>consider</w:t>
      </w:r>
      <w:r w:rsidR="0082606E" w:rsidRPr="008B474C">
        <w:t>ing</w:t>
      </w:r>
      <w:r w:rsidR="009A438D" w:rsidRPr="008B474C">
        <w:t xml:space="preserve"> the</w:t>
      </w:r>
      <w:r w:rsidR="00377D4E" w:rsidRPr="008B474C">
        <w:t xml:space="preserve"> cost estimates</w:t>
      </w:r>
      <w:r w:rsidR="009A438D" w:rsidRPr="008B474C">
        <w:t xml:space="preserve"> outlined within the report, it is important to note the following</w:t>
      </w:r>
      <w:r w:rsidR="00377D4E" w:rsidRPr="008B474C">
        <w:t>:</w:t>
      </w:r>
    </w:p>
    <w:p w14:paraId="422FA0F2" w14:textId="2E1AC917" w:rsidR="00377D4E" w:rsidRDefault="00166192" w:rsidP="002A5F38">
      <w:pPr>
        <w:pStyle w:val="Bullet1stlevel"/>
      </w:pPr>
      <w:r>
        <w:t xml:space="preserve">Cost inputs were sourced </w:t>
      </w:r>
      <w:r w:rsidR="003D27F6">
        <w:t>through</w:t>
      </w:r>
      <w:r>
        <w:t xml:space="preserve"> stakeholder engagement activities, with no publicly available cost sources identified.</w:t>
      </w:r>
      <w:r w:rsidR="00377D4E">
        <w:t xml:space="preserve"> Accordingly, no assurance regarding the completeness or accuracy of the data supplied by stakeholders can be provided. The cost model and results rely on </w:t>
      </w:r>
      <w:r w:rsidR="00377D4E" w:rsidRPr="00CB42BE">
        <w:t xml:space="preserve">the representations, assertions and data submissions </w:t>
      </w:r>
      <w:r w:rsidR="00EE0AD7">
        <w:t>provided by</w:t>
      </w:r>
      <w:r w:rsidR="00377D4E">
        <w:t xml:space="preserve"> stakeholders</w:t>
      </w:r>
      <w:r w:rsidR="00331063">
        <w:t>.</w:t>
      </w:r>
    </w:p>
    <w:p w14:paraId="383E2A33" w14:textId="75F36E92" w:rsidR="00377D4E" w:rsidRDefault="00164E72" w:rsidP="002A5F38">
      <w:pPr>
        <w:pStyle w:val="Bullet1stlevel"/>
      </w:pPr>
      <w:r>
        <w:t>Noting the data limitations, cost</w:t>
      </w:r>
      <w:r w:rsidR="00377D4E">
        <w:t xml:space="preserve"> estimates should be considered as an approximate order of magnitude estimate</w:t>
      </w:r>
      <w:r w:rsidR="00331063">
        <w:t>.</w:t>
      </w:r>
    </w:p>
    <w:p w14:paraId="43E5A88A" w14:textId="7863527B" w:rsidR="00377D4E" w:rsidRDefault="00377D4E" w:rsidP="002A5F38">
      <w:pPr>
        <w:pStyle w:val="Bullet1stlevel"/>
      </w:pPr>
      <w:r w:rsidRPr="00BB5F9A">
        <w:t xml:space="preserve">The </w:t>
      </w:r>
      <w:r>
        <w:t xml:space="preserve">cost </w:t>
      </w:r>
      <w:r w:rsidRPr="00BB5F9A">
        <w:t xml:space="preserve">model </w:t>
      </w:r>
      <w:r w:rsidR="009A438D">
        <w:t>relies</w:t>
      </w:r>
      <w:r>
        <w:t xml:space="preserve"> on a range of assumptions. Assumptions </w:t>
      </w:r>
      <w:r w:rsidR="009A438D">
        <w:t>have</w:t>
      </w:r>
      <w:r>
        <w:t xml:space="preserve"> be</w:t>
      </w:r>
      <w:r w:rsidR="009A438D">
        <w:t>en</w:t>
      </w:r>
      <w:r>
        <w:t xml:space="preserve"> tested and validated with the Department and stakeholders to ensure they are appropriate</w:t>
      </w:r>
      <w:r w:rsidR="00331063">
        <w:t>.</w:t>
      </w:r>
    </w:p>
    <w:p w14:paraId="5C7F90F2" w14:textId="156022DC" w:rsidR="00377D4E" w:rsidRPr="00BB5F9A" w:rsidRDefault="00377D4E" w:rsidP="002A5F38">
      <w:pPr>
        <w:pStyle w:val="Bullet1stlevel"/>
      </w:pPr>
      <w:r w:rsidRPr="00BB5F9A">
        <w:t>The model estimate</w:t>
      </w:r>
      <w:r w:rsidR="009A438D">
        <w:t>s</w:t>
      </w:r>
      <w:r w:rsidRPr="00BB5F9A">
        <w:t xml:space="preserve"> direct financial impacts to the </w:t>
      </w:r>
      <w:r w:rsidR="009A438D">
        <w:t>Australian</w:t>
      </w:r>
      <w:r>
        <w:t xml:space="preserve"> </w:t>
      </w:r>
      <w:r w:rsidRPr="00BB5F9A">
        <w:t xml:space="preserve">Government only and </w:t>
      </w:r>
      <w:r w:rsidR="009A438D">
        <w:t>does</w:t>
      </w:r>
      <w:r w:rsidRPr="00BB5F9A">
        <w:t xml:space="preserve"> not consider the broader impacts of options (e.g., other service systems, economic impacts, competition and price-related market impacts)</w:t>
      </w:r>
      <w:r w:rsidR="00331063">
        <w:t>.</w:t>
      </w:r>
    </w:p>
    <w:p w14:paraId="24E87373" w14:textId="6F593660" w:rsidR="00377D4E" w:rsidRPr="006568CD" w:rsidRDefault="00377D4E" w:rsidP="002A5F38">
      <w:pPr>
        <w:pStyle w:val="Bullet1stlevel"/>
      </w:pPr>
      <w:r w:rsidRPr="006568CD">
        <w:t xml:space="preserve">The </w:t>
      </w:r>
      <w:r>
        <w:t>cost</w:t>
      </w:r>
      <w:r w:rsidRPr="006568CD">
        <w:t xml:space="preserve"> model </w:t>
      </w:r>
      <w:r w:rsidR="009A438D">
        <w:t>does</w:t>
      </w:r>
      <w:r w:rsidRPr="006568CD">
        <w:t xml:space="preserve"> not consider quality of </w:t>
      </w:r>
      <w:r>
        <w:t>prostheses</w:t>
      </w:r>
      <w:r w:rsidRPr="006568CD">
        <w:t xml:space="preserve"> or outcomes delivered for </w:t>
      </w:r>
      <w:r>
        <w:t>people with cancer</w:t>
      </w:r>
      <w:r w:rsidRPr="006568CD">
        <w:t xml:space="preserve">. </w:t>
      </w:r>
    </w:p>
    <w:p w14:paraId="0D2551EB" w14:textId="00C430AE" w:rsidR="0039038F" w:rsidRPr="008B474C" w:rsidRDefault="00586797" w:rsidP="008B474C">
      <w:r w:rsidRPr="008B474C">
        <w:t xml:space="preserve">Detailed limitations to the cost model are available in Section </w:t>
      </w:r>
      <w:r w:rsidR="00F74684" w:rsidRPr="008B474C">
        <w:fldChar w:fldCharType="begin" w:fldLock="1"/>
      </w:r>
      <w:r w:rsidR="00F74684" w:rsidRPr="008B474C">
        <w:instrText xml:space="preserve"> REF _Ref201769064 \n \h </w:instrText>
      </w:r>
      <w:r w:rsidR="00072FB2" w:rsidRPr="008B474C">
        <w:instrText xml:space="preserve"> \* MERGEFORMAT </w:instrText>
      </w:r>
      <w:r w:rsidR="00F74684" w:rsidRPr="008B474C">
        <w:fldChar w:fldCharType="separate"/>
      </w:r>
      <w:r w:rsidR="00F74684" w:rsidRPr="008B474C">
        <w:t>6.3.1</w:t>
      </w:r>
      <w:r w:rsidR="00F74684" w:rsidRPr="008B474C">
        <w:fldChar w:fldCharType="end"/>
      </w:r>
      <w:r w:rsidR="0035508F" w:rsidRPr="008B474C">
        <w:t xml:space="preserve"> with assumptions and model inputs available in</w:t>
      </w:r>
      <w:r w:rsidR="00F5121B" w:rsidRPr="008B474C">
        <w:t xml:space="preserve"> </w:t>
      </w:r>
      <w:r w:rsidR="00F5121B" w:rsidRPr="008B474C">
        <w:fldChar w:fldCharType="begin"/>
      </w:r>
      <w:r w:rsidR="00F5121B" w:rsidRPr="008B474C">
        <w:instrText xml:space="preserve"> REF _Ref204248929 \w \h </w:instrText>
      </w:r>
      <w:r w:rsidR="00072FB2" w:rsidRPr="008B474C">
        <w:instrText xml:space="preserve"> \* MERGEFORMAT </w:instrText>
      </w:r>
      <w:r w:rsidR="00F5121B" w:rsidRPr="008B474C">
        <w:fldChar w:fldCharType="separate"/>
      </w:r>
      <w:r w:rsidR="00D955D8" w:rsidRPr="008B474C">
        <w:t>Appendix H</w:t>
      </w:r>
      <w:r w:rsidR="00F5121B" w:rsidRPr="008B474C">
        <w:fldChar w:fldCharType="end"/>
      </w:r>
      <w:r w:rsidR="003E2C38" w:rsidRPr="008B474C">
        <w:t>.</w:t>
      </w:r>
      <w:r w:rsidR="0039038F" w:rsidRPr="008B474C">
        <w:br w:type="page"/>
      </w:r>
    </w:p>
    <w:p w14:paraId="6CB80A30" w14:textId="21FDA95E" w:rsidR="000A3610" w:rsidRDefault="00AA11E6" w:rsidP="008239ED">
      <w:pPr>
        <w:pStyle w:val="Heading2"/>
      </w:pPr>
      <w:bookmarkStart w:id="39" w:name="_Toc207348736"/>
      <w:r>
        <w:t>S</w:t>
      </w:r>
      <w:r w:rsidR="000A3610">
        <w:t xml:space="preserve">tructure of this </w:t>
      </w:r>
      <w:r w:rsidR="008E3EB3">
        <w:t>report</w:t>
      </w:r>
      <w:bookmarkEnd w:id="39"/>
      <w:r w:rsidR="000A3610">
        <w:t xml:space="preserve"> </w:t>
      </w:r>
    </w:p>
    <w:p w14:paraId="5893F950" w14:textId="3F633BD7" w:rsidR="000A3610" w:rsidRDefault="000A3610" w:rsidP="00072FB2">
      <w:r>
        <w:t xml:space="preserve">The structure of this </w:t>
      </w:r>
      <w:r w:rsidR="0011098B">
        <w:t>report</w:t>
      </w:r>
      <w:r>
        <w:t xml:space="preserve"> is as follows:</w:t>
      </w:r>
    </w:p>
    <w:p w14:paraId="3FD06647" w14:textId="09A5E508" w:rsidR="000A3610" w:rsidRPr="005E0491" w:rsidRDefault="000A3610" w:rsidP="002A5F38">
      <w:pPr>
        <w:pStyle w:val="Bullet1stlevel"/>
      </w:pPr>
      <w:r w:rsidRPr="0042443F">
        <w:rPr>
          <w:rStyle w:val="Strong"/>
        </w:rPr>
        <w:t>Section 1</w:t>
      </w:r>
      <w:r w:rsidR="00971BE2" w:rsidRPr="0042443F">
        <w:rPr>
          <w:rStyle w:val="Strong"/>
        </w:rPr>
        <w:t>: Introduction</w:t>
      </w:r>
      <w:r w:rsidRPr="005E0491">
        <w:t xml:space="preserve"> (this section) details the </w:t>
      </w:r>
      <w:r w:rsidR="004A3FFF" w:rsidRPr="005E0491">
        <w:t xml:space="preserve">background for the review as well as the </w:t>
      </w:r>
      <w:r w:rsidR="00AC36B1" w:rsidRPr="005E0491">
        <w:t xml:space="preserve">review </w:t>
      </w:r>
      <w:r w:rsidRPr="005E0491">
        <w:t>purpose</w:t>
      </w:r>
      <w:r w:rsidR="00AC36B1" w:rsidRPr="005E0491">
        <w:t>, methodology, scope</w:t>
      </w:r>
      <w:r w:rsidRPr="005E0491">
        <w:t xml:space="preserve"> and </w:t>
      </w:r>
      <w:r w:rsidR="00AC36B1" w:rsidRPr="005E0491">
        <w:t>limitations.</w:t>
      </w:r>
    </w:p>
    <w:p w14:paraId="7D9449C1" w14:textId="3358EB5D" w:rsidR="000A3610" w:rsidRPr="005E0491" w:rsidRDefault="000A3610" w:rsidP="002A5F38">
      <w:pPr>
        <w:pStyle w:val="Bullet1stlevel"/>
      </w:pPr>
      <w:r w:rsidRPr="0042443F">
        <w:rPr>
          <w:rStyle w:val="Strong"/>
        </w:rPr>
        <w:t>Section 2</w:t>
      </w:r>
      <w:r w:rsidR="00971BE2" w:rsidRPr="0042443F">
        <w:rPr>
          <w:rStyle w:val="Strong"/>
        </w:rPr>
        <w:t>: Current prostheses services, programs and schemes</w:t>
      </w:r>
      <w:r w:rsidRPr="0042443F">
        <w:rPr>
          <w:rStyle w:val="Strong"/>
        </w:rPr>
        <w:t xml:space="preserve"> </w:t>
      </w:r>
      <w:r w:rsidR="00C828D4" w:rsidRPr="0042443F">
        <w:rPr>
          <w:rStyle w:val="Strong"/>
        </w:rPr>
        <w:t>in Australia</w:t>
      </w:r>
      <w:r w:rsidRPr="005E0491">
        <w:t xml:space="preserve"> outlines the </w:t>
      </w:r>
      <w:r w:rsidR="002D3E60" w:rsidRPr="005E0491">
        <w:t>review</w:t>
      </w:r>
      <w:r w:rsidRPr="005E0491">
        <w:t xml:space="preserve"> </w:t>
      </w:r>
      <w:r w:rsidR="00AC36B1" w:rsidRPr="005E0491">
        <w:t>findings related to KRQ 1</w:t>
      </w:r>
      <w:r w:rsidR="00C828D4">
        <w:t xml:space="preserve">, KRQ 2 and KRQ 3. </w:t>
      </w:r>
      <w:r w:rsidR="00C828D4" w:rsidRPr="00C828D4">
        <w:t>The findings in this section are presented according to prosthesis type</w:t>
      </w:r>
      <w:r w:rsidR="00C828D4">
        <w:t xml:space="preserve"> including</w:t>
      </w:r>
      <w:r w:rsidR="007174B6">
        <w:t>,</w:t>
      </w:r>
      <w:r w:rsidR="00C828D4">
        <w:t xml:space="preserve"> </w:t>
      </w:r>
      <w:r w:rsidR="00CF2C30">
        <w:t xml:space="preserve">facial prostheses, </w:t>
      </w:r>
      <w:r w:rsidR="00C828D4">
        <w:t>breast</w:t>
      </w:r>
      <w:r w:rsidR="00AC36B1" w:rsidRPr="005E0491">
        <w:t xml:space="preserve"> prostheses</w:t>
      </w:r>
      <w:r w:rsidR="00C828D4">
        <w:t>, limb prostheses, and other prostheses including voice, male reproductive and oral prostheses.</w:t>
      </w:r>
    </w:p>
    <w:p w14:paraId="351E6B2D" w14:textId="754A2B9E" w:rsidR="005824EB" w:rsidRDefault="000A3610" w:rsidP="002A5F38">
      <w:pPr>
        <w:pStyle w:val="Bullet1stlevel"/>
      </w:pPr>
      <w:r w:rsidRPr="0042443F">
        <w:rPr>
          <w:rStyle w:val="Strong"/>
        </w:rPr>
        <w:t xml:space="preserve">Section </w:t>
      </w:r>
      <w:r w:rsidR="00792C48" w:rsidRPr="0042443F">
        <w:rPr>
          <w:rStyle w:val="Strong"/>
        </w:rPr>
        <w:t>3</w:t>
      </w:r>
      <w:r w:rsidR="00C828D4" w:rsidRPr="0042443F">
        <w:rPr>
          <w:rStyle w:val="Strong"/>
        </w:rPr>
        <w:t xml:space="preserve">: </w:t>
      </w:r>
      <w:r w:rsidR="005824EB" w:rsidRPr="0042443F">
        <w:rPr>
          <w:rStyle w:val="Strong"/>
        </w:rPr>
        <w:t>Prostheses services, programs and schemes in other countries</w:t>
      </w:r>
      <w:r w:rsidRPr="005E0491">
        <w:t xml:space="preserve"> outlines the</w:t>
      </w:r>
      <w:r w:rsidR="002D3E60" w:rsidRPr="005E0491">
        <w:t xml:space="preserve"> review</w:t>
      </w:r>
      <w:r w:rsidRPr="005E0491">
        <w:t xml:space="preserve"> </w:t>
      </w:r>
      <w:r w:rsidR="00AC36B1" w:rsidRPr="005E0491">
        <w:t xml:space="preserve">findings related to </w:t>
      </w:r>
      <w:r w:rsidR="005824EB">
        <w:t xml:space="preserve">a </w:t>
      </w:r>
      <w:r w:rsidR="005824EB" w:rsidRPr="005824EB">
        <w:t>sub-question under KRQ 1</w:t>
      </w:r>
      <w:r w:rsidR="005824EB">
        <w:t xml:space="preserve"> regarding how prostheses services, programs and schemes in Australia </w:t>
      </w:r>
      <w:proofErr w:type="gramStart"/>
      <w:r w:rsidR="00E67620">
        <w:t>compare</w:t>
      </w:r>
      <w:proofErr w:type="gramEnd"/>
      <w:r w:rsidR="005824EB">
        <w:t xml:space="preserve"> to those available in other countries. In line with Section 2, the finding in this section </w:t>
      </w:r>
      <w:proofErr w:type="gramStart"/>
      <w:r w:rsidR="005824EB">
        <w:t>are</w:t>
      </w:r>
      <w:proofErr w:type="gramEnd"/>
      <w:r w:rsidR="005824EB">
        <w:t xml:space="preserve"> also presented by prosthesis type.</w:t>
      </w:r>
    </w:p>
    <w:p w14:paraId="3D74592D" w14:textId="2EA37A48" w:rsidR="000A3610" w:rsidRPr="005E0491" w:rsidRDefault="000A3610" w:rsidP="002A5F38">
      <w:pPr>
        <w:pStyle w:val="Bullet1stlevel"/>
      </w:pPr>
      <w:r w:rsidRPr="0042443F">
        <w:rPr>
          <w:rStyle w:val="Strong"/>
        </w:rPr>
        <w:t xml:space="preserve">Section </w:t>
      </w:r>
      <w:r w:rsidR="00792C48" w:rsidRPr="0042443F">
        <w:rPr>
          <w:rStyle w:val="Strong"/>
        </w:rPr>
        <w:t>4</w:t>
      </w:r>
      <w:r w:rsidR="005824EB" w:rsidRPr="0042443F">
        <w:rPr>
          <w:rStyle w:val="Strong"/>
        </w:rPr>
        <w:t>: Equity of access to prostheses for people living with or post a cancer diagnosis in Australia</w:t>
      </w:r>
      <w:r w:rsidRPr="005E0491">
        <w:t xml:space="preserve"> </w:t>
      </w:r>
      <w:r w:rsidR="002D3E60" w:rsidRPr="005E0491">
        <w:t>outlines the review findings related to</w:t>
      </w:r>
      <w:r w:rsidR="005824EB">
        <w:t xml:space="preserve"> KRQ 4, KRQ 5 and KRQ 6. The findings in this section include the barriers identified </w:t>
      </w:r>
      <w:r w:rsidR="00A60D99">
        <w:t>in</w:t>
      </w:r>
      <w:r w:rsidR="005824EB">
        <w:t xml:space="preserve"> accessing prostheses </w:t>
      </w:r>
      <w:r w:rsidR="00A60D99">
        <w:t>for people living with or with lived experience of cancer</w:t>
      </w:r>
      <w:r w:rsidR="00E45081">
        <w:t>,</w:t>
      </w:r>
      <w:r w:rsidR="00A60D99">
        <w:t xml:space="preserve"> as well as issues relating to equitable access.</w:t>
      </w:r>
    </w:p>
    <w:p w14:paraId="27799643" w14:textId="16CAF5D4" w:rsidR="00200D71" w:rsidRPr="005E0491" w:rsidRDefault="00200D71" w:rsidP="002A5F38">
      <w:pPr>
        <w:pStyle w:val="Bullet1stlevel"/>
      </w:pPr>
      <w:r w:rsidRPr="0042443F">
        <w:rPr>
          <w:rStyle w:val="Strong"/>
        </w:rPr>
        <w:t>Section 5</w:t>
      </w:r>
      <w:r w:rsidR="00A60D99" w:rsidRPr="0042443F">
        <w:rPr>
          <w:rStyle w:val="Strong"/>
        </w:rPr>
        <w:t>: Options and considerations for a</w:t>
      </w:r>
      <w:r w:rsidR="001C75C3" w:rsidRPr="0042443F">
        <w:rPr>
          <w:rStyle w:val="Strong"/>
        </w:rPr>
        <w:t xml:space="preserve"> potential</w:t>
      </w:r>
      <w:r w:rsidR="00A60D99" w:rsidRPr="0042443F">
        <w:rPr>
          <w:rStyle w:val="Strong"/>
        </w:rPr>
        <w:t xml:space="preserve"> national cancer prosthes</w:t>
      </w:r>
      <w:r w:rsidR="00E92B7F" w:rsidRPr="0042443F">
        <w:rPr>
          <w:rStyle w:val="Strong"/>
        </w:rPr>
        <w:t>e</w:t>
      </w:r>
      <w:r w:rsidR="00A60D99" w:rsidRPr="0042443F">
        <w:rPr>
          <w:rStyle w:val="Strong"/>
        </w:rPr>
        <w:t>s program</w:t>
      </w:r>
      <w:r w:rsidRPr="005E0491">
        <w:rPr>
          <w:b/>
        </w:rPr>
        <w:t xml:space="preserve"> </w:t>
      </w:r>
      <w:r w:rsidRPr="005E0491">
        <w:t xml:space="preserve">outlines the review findings related </w:t>
      </w:r>
      <w:r w:rsidR="00A60D99">
        <w:t xml:space="preserve">to several sub-questions included under KRQ 4, KRQ 6 and KRQ 7 regarding how a national cancer prostheses program could address barriers and equity </w:t>
      </w:r>
      <w:r w:rsidR="0047158B">
        <w:t xml:space="preserve">issues, as well as the </w:t>
      </w:r>
      <w:r w:rsidR="002976CE">
        <w:t xml:space="preserve">key enablers that should be considered to support the implementation of a </w:t>
      </w:r>
      <w:r w:rsidR="00AA7999">
        <w:t xml:space="preserve">potential future </w:t>
      </w:r>
      <w:r w:rsidR="002976CE">
        <w:t>national program</w:t>
      </w:r>
      <w:r w:rsidR="0047158B">
        <w:t xml:space="preserve">. </w:t>
      </w:r>
    </w:p>
    <w:p w14:paraId="35BE134B" w14:textId="7383B00E" w:rsidR="00AE2027" w:rsidRPr="005E0491" w:rsidRDefault="006A5B80" w:rsidP="002A5F38">
      <w:pPr>
        <w:pStyle w:val="Bullet1stlevel"/>
      </w:pPr>
      <w:r w:rsidRPr="0042443F">
        <w:rPr>
          <w:rStyle w:val="Strong"/>
        </w:rPr>
        <w:t>Section 6</w:t>
      </w:r>
      <w:r w:rsidR="0047158B" w:rsidRPr="0042443F">
        <w:rPr>
          <w:rStyle w:val="Strong"/>
        </w:rPr>
        <w:t xml:space="preserve">: Cost implications of a </w:t>
      </w:r>
      <w:r w:rsidR="00523C62" w:rsidRPr="0042443F">
        <w:rPr>
          <w:rStyle w:val="Strong"/>
        </w:rPr>
        <w:t xml:space="preserve">potential </w:t>
      </w:r>
      <w:r w:rsidR="0047158B" w:rsidRPr="0042443F">
        <w:rPr>
          <w:rStyle w:val="Strong"/>
        </w:rPr>
        <w:t>national cancer prosthes</w:t>
      </w:r>
      <w:r w:rsidR="00E92B7F" w:rsidRPr="0042443F">
        <w:rPr>
          <w:rStyle w:val="Strong"/>
        </w:rPr>
        <w:t>e</w:t>
      </w:r>
      <w:r w:rsidR="0047158B" w:rsidRPr="0042443F">
        <w:rPr>
          <w:rStyle w:val="Strong"/>
        </w:rPr>
        <w:t>s program</w:t>
      </w:r>
      <w:r w:rsidRPr="005E0491">
        <w:rPr>
          <w:b/>
        </w:rPr>
        <w:t xml:space="preserve"> </w:t>
      </w:r>
      <w:proofErr w:type="gramStart"/>
      <w:r w:rsidRPr="005E0491">
        <w:t>outlines</w:t>
      </w:r>
      <w:proofErr w:type="gramEnd"/>
      <w:r w:rsidRPr="005E0491">
        <w:t xml:space="preserve"> the review findings related to </w:t>
      </w:r>
      <w:r w:rsidR="0047158B">
        <w:t>KRQ 7 and includes key cost considerations, the potential market implications of introducing a</w:t>
      </w:r>
      <w:r w:rsidR="00AA7999">
        <w:t xml:space="preserve"> new</w:t>
      </w:r>
      <w:r w:rsidR="0047158B">
        <w:t xml:space="preserve"> national program and the costing of options for a national cancer prosthesis program.</w:t>
      </w:r>
    </w:p>
    <w:p w14:paraId="338DDCEE" w14:textId="30373AE6" w:rsidR="000A3610" w:rsidRPr="005E0491" w:rsidRDefault="000A3610" w:rsidP="002A5F38">
      <w:pPr>
        <w:pStyle w:val="Bullet1stlevel"/>
      </w:pPr>
      <w:r w:rsidRPr="0042443F">
        <w:rPr>
          <w:rStyle w:val="Strong"/>
        </w:rPr>
        <w:t>Appendix A</w:t>
      </w:r>
      <w:r w:rsidR="006C6BD6" w:rsidRPr="0042443F">
        <w:rPr>
          <w:rStyle w:val="Strong"/>
        </w:rPr>
        <w:t xml:space="preserve"> </w:t>
      </w:r>
      <w:r w:rsidR="006C6BD6" w:rsidRPr="005E0491">
        <w:t>details the KRQs</w:t>
      </w:r>
      <w:r w:rsidR="00E45081">
        <w:t>, including the sub-questions and data sources considered for each,</w:t>
      </w:r>
      <w:r w:rsidR="0047158B">
        <w:t xml:space="preserve"> and in which section of the report each KRQ and sub-question is addressed.</w:t>
      </w:r>
    </w:p>
    <w:p w14:paraId="54BB1738" w14:textId="7FBFD948" w:rsidR="006C6BD6" w:rsidRPr="005E0491" w:rsidRDefault="006C6BD6" w:rsidP="002A5F38">
      <w:pPr>
        <w:pStyle w:val="Bullet1stlevel"/>
      </w:pPr>
      <w:r w:rsidRPr="0042443F">
        <w:rPr>
          <w:rStyle w:val="Strong"/>
        </w:rPr>
        <w:t>Appendix B</w:t>
      </w:r>
      <w:r w:rsidRPr="005E0491">
        <w:rPr>
          <w:b/>
        </w:rPr>
        <w:t xml:space="preserve"> </w:t>
      </w:r>
      <w:r w:rsidRPr="005E0491">
        <w:t xml:space="preserve">includes materials related to the various data collection activities undertaken as part of this review, including a list of stakeholders consulted, survey questions and results, the literature scan search protocol and a list of documents reviewed. </w:t>
      </w:r>
    </w:p>
    <w:p w14:paraId="79ADA144" w14:textId="77777777" w:rsidR="00BE50A8" w:rsidRPr="00F04397" w:rsidRDefault="00BE50A8" w:rsidP="002A5F38">
      <w:pPr>
        <w:pStyle w:val="Bullet1stlevel"/>
        <w:rPr>
          <w:bCs/>
        </w:rPr>
      </w:pPr>
      <w:r w:rsidRPr="0042443F">
        <w:rPr>
          <w:rStyle w:val="Strong"/>
        </w:rPr>
        <w:t>Appendix C</w:t>
      </w:r>
      <w:r>
        <w:rPr>
          <w:b/>
        </w:rPr>
        <w:t xml:space="preserve"> </w:t>
      </w:r>
      <w:r>
        <w:rPr>
          <w:bCs/>
        </w:rPr>
        <w:t>provides</w:t>
      </w:r>
      <w:r w:rsidRPr="00F04397">
        <w:rPr>
          <w:bCs/>
        </w:rPr>
        <w:t xml:space="preserve"> additional details regarding the publicly funded facial prostheses services, programs and schemes available via the DVA and in the ACT, QLD, VIC and WA</w:t>
      </w:r>
      <w:r>
        <w:rPr>
          <w:bCs/>
        </w:rPr>
        <w:t>.</w:t>
      </w:r>
    </w:p>
    <w:p w14:paraId="15109ACD" w14:textId="77777777" w:rsidR="00BE50A8" w:rsidRPr="00F04397" w:rsidRDefault="00BE50A8" w:rsidP="002A5F38">
      <w:pPr>
        <w:pStyle w:val="Bullet1stlevel"/>
        <w:rPr>
          <w:bCs/>
        </w:rPr>
      </w:pPr>
      <w:r w:rsidRPr="0042443F">
        <w:rPr>
          <w:rStyle w:val="Strong"/>
        </w:rPr>
        <w:t>Appendix D</w:t>
      </w:r>
      <w:r>
        <w:rPr>
          <w:bCs/>
        </w:rPr>
        <w:t xml:space="preserve"> provides </w:t>
      </w:r>
      <w:r w:rsidRPr="00F04397">
        <w:rPr>
          <w:bCs/>
        </w:rPr>
        <w:t xml:space="preserve">additional </w:t>
      </w:r>
      <w:r>
        <w:t>details regarding external breast prostheses services, programs and schemes available in Australia.</w:t>
      </w:r>
    </w:p>
    <w:p w14:paraId="390F6FEF" w14:textId="77777777" w:rsidR="00BE50A8" w:rsidRPr="00F04397" w:rsidRDefault="00BE50A8" w:rsidP="002A5F38">
      <w:pPr>
        <w:pStyle w:val="Bullet1stlevel"/>
        <w:rPr>
          <w:bCs/>
        </w:rPr>
      </w:pPr>
      <w:r w:rsidRPr="0042443F">
        <w:rPr>
          <w:rStyle w:val="Strong"/>
        </w:rPr>
        <w:t>Appendix E</w:t>
      </w:r>
      <w:r>
        <w:t xml:space="preserve"> provides </w:t>
      </w:r>
      <w:r w:rsidRPr="00F04397">
        <w:rPr>
          <w:bCs/>
        </w:rPr>
        <w:t xml:space="preserve">additional </w:t>
      </w:r>
      <w:r w:rsidRPr="00F04397">
        <w:t>details regarding limb prostheses services, programs and schemes available in Australia.</w:t>
      </w:r>
    </w:p>
    <w:p w14:paraId="2045E5EA" w14:textId="35A67768" w:rsidR="00BE50A8" w:rsidRPr="00F04397" w:rsidRDefault="00BE50A8" w:rsidP="002A5F38">
      <w:pPr>
        <w:pStyle w:val="Bullet1stlevel"/>
        <w:rPr>
          <w:bCs/>
        </w:rPr>
      </w:pPr>
      <w:r w:rsidRPr="0042443F">
        <w:rPr>
          <w:rStyle w:val="Strong"/>
        </w:rPr>
        <w:t>Appendix F</w:t>
      </w:r>
      <w:r w:rsidRPr="00F04397">
        <w:rPr>
          <w:b/>
          <w:bCs/>
        </w:rPr>
        <w:t xml:space="preserve"> </w:t>
      </w:r>
      <w:r w:rsidRPr="00F04397">
        <w:rPr>
          <w:bCs/>
        </w:rPr>
        <w:t xml:space="preserve">provides additional details regarding state and </w:t>
      </w:r>
      <w:r w:rsidR="00E45081">
        <w:rPr>
          <w:bCs/>
        </w:rPr>
        <w:t>territory-accredited</w:t>
      </w:r>
      <w:r w:rsidRPr="00F04397">
        <w:rPr>
          <w:bCs/>
        </w:rPr>
        <w:t xml:space="preserve"> amputee clinics and prosthetic service providers</w:t>
      </w:r>
      <w:r>
        <w:rPr>
          <w:bCs/>
        </w:rPr>
        <w:t>.</w:t>
      </w:r>
    </w:p>
    <w:p w14:paraId="52EAD6DC" w14:textId="33ED9C60" w:rsidR="007D7839" w:rsidRPr="007D7839" w:rsidRDefault="00BE50A8" w:rsidP="002A5F38">
      <w:pPr>
        <w:pStyle w:val="Bullet1stlevel"/>
        <w:rPr>
          <w:bCs/>
        </w:rPr>
      </w:pPr>
      <w:r w:rsidRPr="0042443F">
        <w:rPr>
          <w:rStyle w:val="Strong"/>
        </w:rPr>
        <w:t>Appendix G</w:t>
      </w:r>
      <w:r w:rsidR="007D7839">
        <w:rPr>
          <w:b/>
        </w:rPr>
        <w:t xml:space="preserve"> </w:t>
      </w:r>
      <w:r w:rsidR="007D7839">
        <w:rPr>
          <w:bCs/>
        </w:rPr>
        <w:t xml:space="preserve">provides </w:t>
      </w:r>
      <w:r w:rsidR="00844BBC" w:rsidRPr="00844BBC">
        <w:rPr>
          <w:bCs/>
        </w:rPr>
        <w:t>additional details regarding each equity issue</w:t>
      </w:r>
      <w:r w:rsidR="00844BBC">
        <w:rPr>
          <w:bCs/>
        </w:rPr>
        <w:t xml:space="preserve"> outlined in Section 4</w:t>
      </w:r>
      <w:r w:rsidR="00844BBC" w:rsidRPr="00844BBC">
        <w:rPr>
          <w:bCs/>
        </w:rPr>
        <w:t xml:space="preserve">, as well as case studies </w:t>
      </w:r>
      <w:r w:rsidR="00844BBC">
        <w:rPr>
          <w:bCs/>
        </w:rPr>
        <w:t xml:space="preserve">developed </w:t>
      </w:r>
      <w:r w:rsidR="00E8714C">
        <w:rPr>
          <w:bCs/>
        </w:rPr>
        <w:t>to illustrate equity issues further</w:t>
      </w:r>
      <w:r w:rsidR="00844BBC" w:rsidRPr="00844BBC">
        <w:rPr>
          <w:bCs/>
        </w:rPr>
        <w:t xml:space="preserve">.  </w:t>
      </w:r>
    </w:p>
    <w:p w14:paraId="24FF7EE4" w14:textId="77777777" w:rsidR="00C563C1" w:rsidRPr="00C563C1" w:rsidRDefault="007D7839" w:rsidP="002A5F38">
      <w:pPr>
        <w:pStyle w:val="Bullet1stlevel"/>
      </w:pPr>
      <w:r w:rsidRPr="0042443F">
        <w:rPr>
          <w:rStyle w:val="Strong"/>
        </w:rPr>
        <w:t>Appendix H</w:t>
      </w:r>
      <w:r w:rsidR="00BE50A8" w:rsidRPr="00BE50A8">
        <w:rPr>
          <w:b/>
        </w:rPr>
        <w:t xml:space="preserve"> </w:t>
      </w:r>
      <w:r w:rsidR="00440258" w:rsidRPr="00BE50A8">
        <w:rPr>
          <w:bCs/>
        </w:rPr>
        <w:t xml:space="preserve">details the key inputs used for the cost modelling outlined in Section </w:t>
      </w:r>
      <w:r w:rsidR="00E67620" w:rsidRPr="002A5F38">
        <w:rPr>
          <w:bCs/>
        </w:rPr>
        <w:fldChar w:fldCharType="begin"/>
      </w:r>
      <w:r w:rsidR="00E67620" w:rsidRPr="002A5F38">
        <w:rPr>
          <w:bCs/>
        </w:rPr>
        <w:instrText xml:space="preserve"> REF _Ref201830178 \n \h </w:instrText>
      </w:r>
      <w:r w:rsidR="002A5F38">
        <w:rPr>
          <w:bCs/>
        </w:rPr>
        <w:instrText xml:space="preserve"> \* MERGEFORMAT </w:instrText>
      </w:r>
      <w:r w:rsidR="00E67620" w:rsidRPr="002A5F38">
        <w:rPr>
          <w:bCs/>
        </w:rPr>
      </w:r>
      <w:r w:rsidR="00E67620" w:rsidRPr="002A5F38">
        <w:rPr>
          <w:bCs/>
        </w:rPr>
        <w:fldChar w:fldCharType="separate"/>
      </w:r>
      <w:r w:rsidR="00D955D8" w:rsidRPr="002A5F38">
        <w:rPr>
          <w:bCs/>
        </w:rPr>
        <w:t>6</w:t>
      </w:r>
      <w:r w:rsidR="00E67620" w:rsidRPr="002A5F38">
        <w:rPr>
          <w:bCs/>
        </w:rPr>
        <w:fldChar w:fldCharType="end"/>
      </w:r>
      <w:r w:rsidR="00440258" w:rsidRPr="00BE50A8">
        <w:rPr>
          <w:bCs/>
        </w:rPr>
        <w:t>.</w:t>
      </w:r>
    </w:p>
    <w:p w14:paraId="48F60B1E" w14:textId="27F0234F" w:rsidR="0031498C" w:rsidRPr="0042443F" w:rsidRDefault="00C563C1" w:rsidP="002A5F38">
      <w:pPr>
        <w:pStyle w:val="Bullet1stlevel"/>
        <w:rPr>
          <w:rStyle w:val="Strong"/>
        </w:rPr>
        <w:sectPr w:rsidR="0031498C" w:rsidRPr="0042443F" w:rsidSect="00BD1E34">
          <w:headerReference w:type="default" r:id="rId46"/>
          <w:pgSz w:w="11906" w:h="16838"/>
          <w:pgMar w:top="1418" w:right="851" w:bottom="1418" w:left="851" w:header="567" w:footer="284" w:gutter="0"/>
          <w:cols w:space="708"/>
          <w:docGrid w:linePitch="360"/>
        </w:sectPr>
      </w:pPr>
      <w:r w:rsidRPr="0042443F">
        <w:rPr>
          <w:rStyle w:val="Strong"/>
        </w:rPr>
        <w:t>Appendix I detailed alt text for Figure 5: Overarching review approach.</w:t>
      </w:r>
      <w:r w:rsidR="00440258" w:rsidRPr="0042443F">
        <w:rPr>
          <w:rStyle w:val="Strong"/>
        </w:rPr>
        <w:t xml:space="preserve"> </w:t>
      </w:r>
      <w:r w:rsidR="00473E2A" w:rsidRPr="0042443F">
        <w:rPr>
          <w:rStyle w:val="Strong"/>
        </w:rPr>
        <w:t xml:space="preserve">  </w:t>
      </w:r>
    </w:p>
    <w:p w14:paraId="4E611F63" w14:textId="1C8BEFF2" w:rsidR="00FA1569" w:rsidRDefault="005F3F30" w:rsidP="008B474C">
      <w:r w:rsidRPr="008B474C">
        <w:drawing>
          <wp:anchor distT="0" distB="0" distL="114300" distR="114300" simplePos="0" relativeHeight="251658249" behindDoc="1" locked="1" layoutInCell="1" allowOverlap="1" wp14:anchorId="3F80D601" wp14:editId="09C0929C">
            <wp:simplePos x="0" y="0"/>
            <wp:positionH relativeFrom="page">
              <wp:align>left</wp:align>
            </wp:positionH>
            <wp:positionV relativeFrom="page">
              <wp:align>top</wp:align>
            </wp:positionV>
            <wp:extent cx="7559675" cy="10691495"/>
            <wp:effectExtent l="0" t="0" r="3175" b="0"/>
            <wp:wrapNone/>
            <wp:docPr id="197201672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016728" name="Graphic 1">
                      <a:extLst>
                        <a:ext uri="{C183D7F6-B498-43B3-948B-1728B52AA6E4}">
                          <adec:decorative xmlns:adec="http://schemas.microsoft.com/office/drawing/2017/decorative" val="1"/>
                        </a:ext>
                      </a:extLst>
                    </pic:cNvPr>
                    <pic:cNvPicPr/>
                  </pic:nvPicPr>
                  <pic:blipFill>
                    <a:blip r:embed="rId47">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margin">
              <wp14:pctWidth>0</wp14:pctWidth>
            </wp14:sizeRelH>
            <wp14:sizeRelV relativeFrom="margin">
              <wp14:pctHeight>0</wp14:pctHeight>
            </wp14:sizeRelV>
          </wp:anchor>
        </w:drawing>
      </w:r>
    </w:p>
    <w:p w14:paraId="7EFDF1E7" w14:textId="77777777" w:rsidR="00FA1569" w:rsidRPr="008B474C" w:rsidRDefault="00FA1569" w:rsidP="008B474C">
      <w:pPr>
        <w:sectPr w:rsidR="00FA1569" w:rsidRPr="008B474C" w:rsidSect="003176A8">
          <w:headerReference w:type="even" r:id="rId48"/>
          <w:headerReference w:type="default" r:id="rId49"/>
          <w:headerReference w:type="first" r:id="rId50"/>
          <w:pgSz w:w="11906" w:h="16838"/>
          <w:pgMar w:top="4820" w:right="851" w:bottom="851" w:left="851" w:header="567" w:footer="284" w:gutter="0"/>
          <w:cols w:space="708"/>
          <w:docGrid w:linePitch="360"/>
        </w:sectPr>
      </w:pPr>
    </w:p>
    <w:p w14:paraId="2FC276F2" w14:textId="6A120BB8" w:rsidR="00B12D35" w:rsidRDefault="006A0458" w:rsidP="00B74866">
      <w:pPr>
        <w:pStyle w:val="Heading1"/>
        <w:spacing w:after="360"/>
      </w:pPr>
      <w:bookmarkStart w:id="40" w:name="_Toc207348737"/>
      <w:r>
        <w:t>Current</w:t>
      </w:r>
      <w:r w:rsidR="00BA0E92">
        <w:t xml:space="preserve"> pro</w:t>
      </w:r>
      <w:r w:rsidR="00406123">
        <w:t>s</w:t>
      </w:r>
      <w:r w:rsidR="00BA0E92">
        <w:t>theses services</w:t>
      </w:r>
      <w:r>
        <w:t xml:space="preserve">, programs and </w:t>
      </w:r>
      <w:r w:rsidR="00BA0E92">
        <w:t>schemes</w:t>
      </w:r>
      <w:r w:rsidR="00E70316">
        <w:t xml:space="preserve"> in</w:t>
      </w:r>
      <w:r w:rsidR="00406123">
        <w:t xml:space="preserve"> Australia</w:t>
      </w:r>
      <w:bookmarkEnd w:id="40"/>
    </w:p>
    <w:p w14:paraId="491E5E8F" w14:textId="659F52DE" w:rsidR="00971AB8" w:rsidRDefault="002D75A7" w:rsidP="00072FB2">
      <w:pPr>
        <w:rPr>
          <w:color w:val="auto"/>
        </w:rPr>
      </w:pPr>
      <w:r w:rsidRPr="00460FD0">
        <w:rPr>
          <w:color w:val="auto"/>
        </w:rPr>
        <w:t xml:space="preserve">This section outlines </w:t>
      </w:r>
      <w:r w:rsidR="00644084" w:rsidRPr="00460FD0">
        <w:rPr>
          <w:color w:val="auto"/>
        </w:rPr>
        <w:t>findings related to</w:t>
      </w:r>
      <w:r w:rsidR="00644084">
        <w:rPr>
          <w:color w:val="auto"/>
        </w:rPr>
        <w:t xml:space="preserve"> </w:t>
      </w:r>
      <w:r w:rsidR="00460FD0">
        <w:rPr>
          <w:color w:val="auto"/>
        </w:rPr>
        <w:t>the following review questions</w:t>
      </w:r>
      <w:r w:rsidR="00A85E16">
        <w:rPr>
          <w:color w:val="auto"/>
        </w:rPr>
        <w:t xml:space="preserve">. </w:t>
      </w:r>
      <w:r w:rsidR="00460FD0">
        <w:rPr>
          <w:color w:val="auto"/>
        </w:rPr>
        <w:t xml:space="preserve"> </w:t>
      </w:r>
    </w:p>
    <w:p w14:paraId="275FA9D4" w14:textId="77777777" w:rsidR="002B31FA" w:rsidRDefault="002B31FA" w:rsidP="00D96491">
      <w:pPr>
        <w:pStyle w:val="Callout-Summaryofkeyfindingbullet"/>
      </w:pPr>
      <w:r w:rsidRPr="000F5E4F">
        <w:rPr>
          <w:b/>
          <w:bCs/>
        </w:rPr>
        <w:t>KRQ 1:</w:t>
      </w:r>
      <w:r>
        <w:t xml:space="preserve"> </w:t>
      </w:r>
      <w:r w:rsidRPr="00460FD0">
        <w:t>What prostheses services / schemes are currently available to people living with or who have lived experience of cancer</w:t>
      </w:r>
      <w:r>
        <w:t>?</w:t>
      </w:r>
    </w:p>
    <w:p w14:paraId="1C02EF8D" w14:textId="77777777" w:rsidR="002B31FA" w:rsidRPr="00460FD0" w:rsidRDefault="002B31FA" w:rsidP="00D96491">
      <w:pPr>
        <w:pStyle w:val="Callout-Summaryofkeyfindingbullet"/>
      </w:pPr>
      <w:r w:rsidRPr="000F5E4F">
        <w:rPr>
          <w:b/>
          <w:bCs/>
        </w:rPr>
        <w:t>KRQ 2</w:t>
      </w:r>
      <w:r>
        <w:t xml:space="preserve">: </w:t>
      </w:r>
      <w:r w:rsidRPr="00A85E16">
        <w:t>What role do state, territory and commonwealth governments currently play in providing access to cancer prostheses?</w:t>
      </w:r>
    </w:p>
    <w:p w14:paraId="5CA0FEE6" w14:textId="37ACBD47" w:rsidR="002B31FA" w:rsidRDefault="002B31FA" w:rsidP="00D96491">
      <w:pPr>
        <w:pStyle w:val="Callout-Summaryofkeyfindingbullet"/>
      </w:pPr>
      <w:r w:rsidRPr="000F5E4F">
        <w:rPr>
          <w:b/>
          <w:bCs/>
        </w:rPr>
        <w:t>KRQ 3</w:t>
      </w:r>
      <w:r>
        <w:t xml:space="preserve">: </w:t>
      </w:r>
      <w:r w:rsidRPr="00324C95">
        <w:t>In what health setting/s are people living with or have lived experience of cancer accessing cancer prostheses?</w:t>
      </w:r>
    </w:p>
    <w:p w14:paraId="2C724440" w14:textId="59D778BA" w:rsidR="002D75A7" w:rsidRPr="00324C95" w:rsidRDefault="002D75A7" w:rsidP="00072FB2">
      <w:pPr>
        <w:rPr>
          <w:color w:val="auto"/>
        </w:rPr>
      </w:pPr>
      <w:r w:rsidRPr="00324C95">
        <w:rPr>
          <w:color w:val="auto"/>
        </w:rPr>
        <w:t xml:space="preserve">The findings </w:t>
      </w:r>
      <w:r w:rsidR="00324C95" w:rsidRPr="00324C95">
        <w:rPr>
          <w:color w:val="auto"/>
        </w:rPr>
        <w:t>in</w:t>
      </w:r>
      <w:r w:rsidRPr="00324C95">
        <w:rPr>
          <w:color w:val="auto"/>
        </w:rPr>
        <w:t xml:space="preserve"> this section are </w:t>
      </w:r>
      <w:r w:rsidR="00324C95" w:rsidRPr="00324C95">
        <w:rPr>
          <w:color w:val="auto"/>
        </w:rPr>
        <w:t xml:space="preserve">presented </w:t>
      </w:r>
      <w:r w:rsidR="00324C95">
        <w:rPr>
          <w:color w:val="auto"/>
        </w:rPr>
        <w:t>according to prosthesis type</w:t>
      </w:r>
      <w:r w:rsidR="00593A43">
        <w:rPr>
          <w:color w:val="auto"/>
        </w:rPr>
        <w:t xml:space="preserve">: </w:t>
      </w:r>
    </w:p>
    <w:p w14:paraId="2D05B995" w14:textId="158805D9" w:rsidR="00593A43" w:rsidRPr="00EA3BFE" w:rsidRDefault="00184731" w:rsidP="002A5F38">
      <w:pPr>
        <w:pStyle w:val="Bullet1stlevel"/>
      </w:pPr>
      <w:r w:rsidRPr="00EA3BFE">
        <w:t xml:space="preserve">Section </w:t>
      </w:r>
      <w:r w:rsidRPr="00EA3BFE">
        <w:fldChar w:fldCharType="begin"/>
      </w:r>
      <w:r w:rsidRPr="00EA3BFE">
        <w:instrText xml:space="preserve"> REF _Ref200453547 \n \h </w:instrText>
      </w:r>
      <w:r w:rsidR="00EA3BFE" w:rsidRPr="00EA3BFE">
        <w:instrText xml:space="preserve"> \* MERGEFORMAT </w:instrText>
      </w:r>
      <w:r w:rsidRPr="00EA3BFE">
        <w:fldChar w:fldCharType="separate"/>
      </w:r>
      <w:r w:rsidR="00D955D8">
        <w:t>2.1</w:t>
      </w:r>
      <w:r w:rsidRPr="00EA3BFE">
        <w:fldChar w:fldCharType="end"/>
      </w:r>
      <w:r w:rsidR="00593A43" w:rsidRPr="00EA3BFE">
        <w:t xml:space="preserve">: </w:t>
      </w:r>
      <w:r w:rsidR="000D7CFB">
        <w:t>Facial</w:t>
      </w:r>
      <w:r w:rsidR="00593A43" w:rsidRPr="00EA3BFE">
        <w:t xml:space="preserve"> prostheses </w:t>
      </w:r>
    </w:p>
    <w:p w14:paraId="13E4AD55" w14:textId="3F950A66" w:rsidR="00593A43" w:rsidRPr="00EA3BFE" w:rsidRDefault="00593A43" w:rsidP="002A5F38">
      <w:pPr>
        <w:pStyle w:val="Bullet1stlevel"/>
      </w:pPr>
      <w:r w:rsidRPr="00EA3BFE">
        <w:t xml:space="preserve">Section </w:t>
      </w:r>
      <w:r w:rsidR="00184731" w:rsidRPr="00EA3BFE">
        <w:fldChar w:fldCharType="begin"/>
      </w:r>
      <w:r w:rsidR="00184731" w:rsidRPr="00EA3BFE">
        <w:instrText xml:space="preserve"> REF _Ref200453567 \n \h </w:instrText>
      </w:r>
      <w:r w:rsidR="00EA3BFE" w:rsidRPr="00EA3BFE">
        <w:instrText xml:space="preserve"> \* MERGEFORMAT </w:instrText>
      </w:r>
      <w:r w:rsidR="00184731" w:rsidRPr="00EA3BFE">
        <w:fldChar w:fldCharType="separate"/>
      </w:r>
      <w:r w:rsidR="00D955D8">
        <w:t>2.3</w:t>
      </w:r>
      <w:r w:rsidR="00184731" w:rsidRPr="00EA3BFE">
        <w:fldChar w:fldCharType="end"/>
      </w:r>
      <w:r w:rsidRPr="00EA3BFE">
        <w:t xml:space="preserve">: </w:t>
      </w:r>
      <w:r w:rsidR="000D7CFB">
        <w:t>Breast</w:t>
      </w:r>
      <w:r w:rsidRPr="00EA3BFE">
        <w:t xml:space="preserve"> prostheses </w:t>
      </w:r>
    </w:p>
    <w:p w14:paraId="7A9D8116" w14:textId="091456CF" w:rsidR="00593A43" w:rsidRPr="00EA3BFE" w:rsidRDefault="00593A43" w:rsidP="002A5F38">
      <w:pPr>
        <w:pStyle w:val="Bullet1stlevel"/>
      </w:pPr>
      <w:r w:rsidRPr="00EA3BFE">
        <w:t xml:space="preserve">Section </w:t>
      </w:r>
      <w:r w:rsidR="00184731" w:rsidRPr="00EA3BFE">
        <w:fldChar w:fldCharType="begin"/>
      </w:r>
      <w:r w:rsidR="00184731" w:rsidRPr="00EA3BFE">
        <w:instrText xml:space="preserve"> REF _Ref200453581 \n \h </w:instrText>
      </w:r>
      <w:r w:rsidR="00EA3BFE" w:rsidRPr="00EA3BFE">
        <w:instrText xml:space="preserve"> \* MERGEFORMAT </w:instrText>
      </w:r>
      <w:r w:rsidR="00184731" w:rsidRPr="00EA3BFE">
        <w:fldChar w:fldCharType="separate"/>
      </w:r>
      <w:r w:rsidR="00D955D8">
        <w:t>2.1</w:t>
      </w:r>
      <w:r w:rsidR="00184731" w:rsidRPr="00EA3BFE">
        <w:fldChar w:fldCharType="end"/>
      </w:r>
      <w:r w:rsidRPr="00EA3BFE">
        <w:t xml:space="preserve">: </w:t>
      </w:r>
      <w:r w:rsidR="000D7CFB">
        <w:t>Limb</w:t>
      </w:r>
      <w:r w:rsidRPr="00EA3BFE">
        <w:t xml:space="preserve"> prostheses </w:t>
      </w:r>
    </w:p>
    <w:p w14:paraId="564EC2A9" w14:textId="48CD99FD" w:rsidR="00593A43" w:rsidRPr="00EA3BFE" w:rsidRDefault="00593A43" w:rsidP="002A5F38">
      <w:pPr>
        <w:pStyle w:val="Bullet1stlevel"/>
      </w:pPr>
      <w:r w:rsidRPr="00EA3BFE">
        <w:t xml:space="preserve">Section </w:t>
      </w:r>
      <w:r w:rsidR="00184731" w:rsidRPr="00EA3BFE">
        <w:fldChar w:fldCharType="begin"/>
      </w:r>
      <w:r w:rsidR="00184731" w:rsidRPr="00EA3BFE">
        <w:instrText xml:space="preserve"> REF _Ref200453591 \n \h </w:instrText>
      </w:r>
      <w:r w:rsidR="00EA3BFE" w:rsidRPr="00EA3BFE">
        <w:instrText xml:space="preserve"> \* MERGEFORMAT </w:instrText>
      </w:r>
      <w:r w:rsidR="00184731" w:rsidRPr="00EA3BFE">
        <w:fldChar w:fldCharType="separate"/>
      </w:r>
      <w:r w:rsidR="00D955D8">
        <w:t>2.4</w:t>
      </w:r>
      <w:r w:rsidR="00184731" w:rsidRPr="00EA3BFE">
        <w:fldChar w:fldCharType="end"/>
      </w:r>
      <w:r w:rsidRPr="00EA3BFE">
        <w:t>: Other prostheses</w:t>
      </w:r>
      <w:r w:rsidR="00764739" w:rsidRPr="00EA3BFE">
        <w:t>, including</w:t>
      </w:r>
      <w:r w:rsidRPr="00EA3BFE">
        <w:t xml:space="preserve"> voice prostheses</w:t>
      </w:r>
      <w:r w:rsidR="00764739" w:rsidRPr="00EA3BFE">
        <w:t xml:space="preserve">, </w:t>
      </w:r>
      <w:r w:rsidRPr="00EA3BFE">
        <w:t>male reproductive prostheses</w:t>
      </w:r>
      <w:r w:rsidR="00764739" w:rsidRPr="00EA3BFE">
        <w:t xml:space="preserve"> and oral prostheses</w:t>
      </w:r>
      <w:r w:rsidRPr="00EA3BFE">
        <w:t>.</w:t>
      </w:r>
    </w:p>
    <w:p w14:paraId="074132E3" w14:textId="6314EE79" w:rsidR="00DB47B3" w:rsidRPr="00072FB2" w:rsidRDefault="00DB47B3" w:rsidP="00072FB2">
      <w:r>
        <w:rPr>
          <w:color w:val="auto"/>
        </w:rPr>
        <w:t xml:space="preserve">A summary of the key findings </w:t>
      </w:r>
      <w:r w:rsidR="00943327">
        <w:rPr>
          <w:color w:val="auto"/>
        </w:rPr>
        <w:t>outlined</w:t>
      </w:r>
      <w:r w:rsidR="00B063A2">
        <w:rPr>
          <w:color w:val="auto"/>
        </w:rPr>
        <w:t xml:space="preserve"> within this section is provided below. </w:t>
      </w:r>
    </w:p>
    <w:p w14:paraId="718845D2" w14:textId="13EB8141" w:rsidR="00575765" w:rsidRDefault="00575765" w:rsidP="00FD688B">
      <w:pPr>
        <w:pStyle w:val="Heading2Summaryofkeyfindings"/>
      </w:pPr>
      <w:r w:rsidRPr="00B0047B">
        <w:t xml:space="preserve">Summary of </w:t>
      </w:r>
      <w:r>
        <w:t>findings</w:t>
      </w:r>
    </w:p>
    <w:p w14:paraId="3B43B50A" w14:textId="77777777" w:rsidR="00575765" w:rsidRPr="00905E57" w:rsidRDefault="00575765" w:rsidP="005A6CA2">
      <w:pPr>
        <w:pStyle w:val="Callout-Summaryofkeyfindingbullet"/>
      </w:pPr>
      <w:r>
        <w:t>T</w:t>
      </w:r>
      <w:r w:rsidRPr="00256833">
        <w:t xml:space="preserve">here is no national program </w:t>
      </w:r>
      <w:r>
        <w:t xml:space="preserve">or scheme currently </w:t>
      </w:r>
      <w:r w:rsidRPr="00256833">
        <w:t xml:space="preserve">in place for individuals requiring a facial prosthesis due to cancer or cancer treatment. </w:t>
      </w:r>
      <w:r>
        <w:t>Some p</w:t>
      </w:r>
      <w:r w:rsidRPr="00905E57">
        <w:t xml:space="preserve">ublicly funded </w:t>
      </w:r>
      <w:r w:rsidRPr="00905E57">
        <w:rPr>
          <w:szCs w:val="20"/>
        </w:rPr>
        <w:t xml:space="preserve">facial prostheses </w:t>
      </w:r>
      <w:r w:rsidRPr="00905E57">
        <w:t>services are available in Victoria, Queensland, Western Australia</w:t>
      </w:r>
      <w:r>
        <w:t xml:space="preserve"> and </w:t>
      </w:r>
      <w:r w:rsidRPr="00905E57">
        <w:t xml:space="preserve">the Australian Capital Territory. </w:t>
      </w:r>
      <w:r>
        <w:t>Residents of o</w:t>
      </w:r>
      <w:r w:rsidRPr="00905E57">
        <w:t xml:space="preserve">ther jurisdictions </w:t>
      </w:r>
      <w:r w:rsidRPr="00905E57">
        <w:rPr>
          <w:szCs w:val="20"/>
        </w:rPr>
        <w:t>are reliant</w:t>
      </w:r>
      <w:r w:rsidRPr="00905E57">
        <w:t xml:space="preserve"> on private providers or </w:t>
      </w:r>
      <w:r>
        <w:t xml:space="preserve">are required to travel </w:t>
      </w:r>
      <w:r w:rsidRPr="00905E57">
        <w:t>interstate.</w:t>
      </w:r>
    </w:p>
    <w:p w14:paraId="2F8526E9" w14:textId="77777777" w:rsidR="00575765" w:rsidRDefault="00575765" w:rsidP="005A6CA2">
      <w:pPr>
        <w:pStyle w:val="Callout-Summaryofkeyfindingbullet"/>
      </w:pPr>
      <w:r>
        <w:t>In contrast, p</w:t>
      </w:r>
      <w:r w:rsidRPr="00905E57">
        <w:t xml:space="preserve">eople requiring external breast </w:t>
      </w:r>
      <w:r>
        <w:t>or</w:t>
      </w:r>
      <w:r w:rsidRPr="00905E57">
        <w:t xml:space="preserve"> limb </w:t>
      </w:r>
      <w:r>
        <w:t>prostheses can</w:t>
      </w:r>
      <w:r w:rsidRPr="00EF4876">
        <w:t xml:space="preserve"> access prostheses through national programs funded by the Australian Government. </w:t>
      </w:r>
    </w:p>
    <w:p w14:paraId="2232902A" w14:textId="77777777" w:rsidR="00575765" w:rsidRPr="00EF4876" w:rsidRDefault="00575765" w:rsidP="005A6CA2">
      <w:pPr>
        <w:pStyle w:val="Callout-Summaryofkeyfindingbullet"/>
        <w:rPr>
          <w:szCs w:val="20"/>
        </w:rPr>
      </w:pPr>
      <w:r w:rsidRPr="00905E57">
        <w:t>The primary program for breast prosthes</w:t>
      </w:r>
      <w:r>
        <w:t>e</w:t>
      </w:r>
      <w:r w:rsidRPr="00905E57">
        <w:t>s is the External Breast Prostheses Reimbursement Program (EBPRP)</w:t>
      </w:r>
      <w:r w:rsidRPr="00EC0DC5">
        <w:t xml:space="preserve">. </w:t>
      </w:r>
      <w:r w:rsidRPr="00EF4876">
        <w:rPr>
          <w:szCs w:val="20"/>
        </w:rPr>
        <w:t xml:space="preserve">Additional breast prostheses </w:t>
      </w:r>
      <w:proofErr w:type="gramStart"/>
      <w:r>
        <w:rPr>
          <w:szCs w:val="20"/>
        </w:rPr>
        <w:t>supports</w:t>
      </w:r>
      <w:proofErr w:type="gramEnd"/>
      <w:r w:rsidRPr="00EF4876">
        <w:rPr>
          <w:szCs w:val="20"/>
        </w:rPr>
        <w:t xml:space="preserve"> are provided by non-government organisations (NGOs) in some jurisdictions including Queensland, New South Wales, and South Australia.</w:t>
      </w:r>
    </w:p>
    <w:p w14:paraId="08D154BB" w14:textId="77777777" w:rsidR="00575765" w:rsidRPr="00905E57" w:rsidRDefault="00575765" w:rsidP="005A6CA2">
      <w:pPr>
        <w:pStyle w:val="Callout-Summaryofkeyfindingbullet"/>
      </w:pPr>
      <w:r>
        <w:t>L</w:t>
      </w:r>
      <w:r w:rsidRPr="00256833">
        <w:t xml:space="preserve">imb prostheses can be accessed through the National Disability Insurance Scheme (NDIS). </w:t>
      </w:r>
      <w:r w:rsidRPr="00905E57">
        <w:rPr>
          <w:szCs w:val="20"/>
        </w:rPr>
        <w:t xml:space="preserve">For individuals who are ineligible for the NDIS, state and territory-funded artificial limb schemes are available. These schemes vary significantly by jurisdiction including </w:t>
      </w:r>
      <w:r w:rsidRPr="00905E57">
        <w:t>differences in funding allocation, treatment approaches, prosthetic componentry and consumables provided.</w:t>
      </w:r>
    </w:p>
    <w:p w14:paraId="61AC499F" w14:textId="77777777" w:rsidR="00575765" w:rsidRPr="00905E57" w:rsidRDefault="00575765" w:rsidP="005A6CA2">
      <w:pPr>
        <w:pStyle w:val="Callout-Summaryofkeyfindingbullet"/>
        <w:rPr>
          <w:szCs w:val="20"/>
        </w:rPr>
      </w:pPr>
      <w:r w:rsidRPr="00905E57">
        <w:rPr>
          <w:szCs w:val="20"/>
        </w:rPr>
        <w:t>Most types of prostheses are covered under the Department of Veterans’ Affairs (DVA) for eligible individuals. Some private health insurance policies provide limited coverage for prostheses, however, as external prostheses are not included on the Prescribed List, private health insurers are not required to pay benefits for these items.</w:t>
      </w:r>
    </w:p>
    <w:p w14:paraId="299141BD" w14:textId="77777777" w:rsidR="00575765" w:rsidRPr="00905E57" w:rsidRDefault="00575765" w:rsidP="005A6CA2">
      <w:pPr>
        <w:pStyle w:val="Callout-Summaryofkeyfindingbullet"/>
      </w:pPr>
      <w:r w:rsidRPr="00905E57">
        <w:t>Prostheses providers are typically available through metropolitan-based providers, with some access in regional centres. However, people in rural and remote areas often rely on mobile services, online retailers, or</w:t>
      </w:r>
      <w:r>
        <w:t xml:space="preserve"> are required to</w:t>
      </w:r>
      <w:r w:rsidRPr="00905E57">
        <w:t xml:space="preserve"> travel to access services in metropolitan or interstate locations.</w:t>
      </w:r>
    </w:p>
    <w:p w14:paraId="269B9F87" w14:textId="4493B57E" w:rsidR="00575765" w:rsidRPr="00324C95" w:rsidRDefault="00575765" w:rsidP="005A6CA2">
      <w:pPr>
        <w:pStyle w:val="Callout-Summaryofkeyfindingbullet"/>
        <w:rPr>
          <w:color w:val="auto"/>
        </w:rPr>
      </w:pPr>
      <w:r w:rsidRPr="00905E57">
        <w:t xml:space="preserve">People requiring voice, male reproductive, </w:t>
      </w:r>
      <w:r>
        <w:t>or</w:t>
      </w:r>
      <w:r w:rsidRPr="00905E57">
        <w:t xml:space="preserve"> oral prostheses currently have no access to a national program, except for those eligible for the DVA. Publicly funded support varies significantly across jurisdictions, </w:t>
      </w:r>
      <w:r>
        <w:t>and a</w:t>
      </w:r>
      <w:r w:rsidRPr="00EF4876">
        <w:t>s a result, many individuals are left to cover the full cost of these prostheses out-of-pocket.</w:t>
      </w:r>
    </w:p>
    <w:p w14:paraId="1D10B8E6" w14:textId="77777777" w:rsidR="00691B94" w:rsidRPr="00072FB2" w:rsidRDefault="00691B94" w:rsidP="00072FB2">
      <w:bookmarkStart w:id="41" w:name="_Ref200453581"/>
      <w:bookmarkStart w:id="42" w:name="_Ref200453547"/>
      <w:r>
        <w:br w:type="page"/>
      </w:r>
    </w:p>
    <w:p w14:paraId="36F1C984" w14:textId="77777777" w:rsidR="000D7CFB" w:rsidRDefault="000D7CFB" w:rsidP="008239ED">
      <w:pPr>
        <w:pStyle w:val="Heading2"/>
      </w:pPr>
      <w:bookmarkStart w:id="43" w:name="_Toc207348738"/>
      <w:r>
        <w:t xml:space="preserve">Facial </w:t>
      </w:r>
      <w:r w:rsidRPr="008239ED">
        <w:t>prostheses</w:t>
      </w:r>
      <w:r>
        <w:t xml:space="preserve"> services, programs and schemes</w:t>
      </w:r>
      <w:bookmarkEnd w:id="41"/>
      <w:bookmarkEnd w:id="43"/>
      <w:r>
        <w:t xml:space="preserve"> </w:t>
      </w:r>
    </w:p>
    <w:p w14:paraId="3D9ED003" w14:textId="378BC8FF" w:rsidR="00D3740C" w:rsidRDefault="000D7CFB" w:rsidP="00072FB2">
      <w:pPr>
        <w:rPr>
          <w:color w:val="auto"/>
        </w:rPr>
      </w:pPr>
      <w:r w:rsidRPr="003D17C6">
        <w:rPr>
          <w:color w:val="auto"/>
        </w:rPr>
        <w:t xml:space="preserve">The following </w:t>
      </w:r>
      <w:r w:rsidRPr="000C3314">
        <w:rPr>
          <w:color w:val="auto"/>
        </w:rPr>
        <w:t xml:space="preserve">section outlines </w:t>
      </w:r>
      <w:r>
        <w:rPr>
          <w:color w:val="auto"/>
        </w:rPr>
        <w:t>facial</w:t>
      </w:r>
      <w:r w:rsidRPr="000C3314">
        <w:rPr>
          <w:color w:val="auto"/>
        </w:rPr>
        <w:t xml:space="preserve"> prostheses services, programs and schemes available </w:t>
      </w:r>
      <w:r>
        <w:rPr>
          <w:color w:val="auto"/>
        </w:rPr>
        <w:t>to people in Australia</w:t>
      </w:r>
      <w:r w:rsidRPr="000C3314">
        <w:rPr>
          <w:color w:val="auto"/>
        </w:rPr>
        <w:t>.</w:t>
      </w:r>
      <w:r>
        <w:rPr>
          <w:color w:val="auto"/>
        </w:rPr>
        <w:t xml:space="preserve"> A</w:t>
      </w:r>
      <w:r w:rsidR="005A1F53">
        <w:rPr>
          <w:color w:val="auto"/>
        </w:rPr>
        <w:t> </w:t>
      </w:r>
      <w:r>
        <w:rPr>
          <w:color w:val="auto"/>
        </w:rPr>
        <w:t>summary of the key findings presented within this section is provided below.</w:t>
      </w:r>
    </w:p>
    <w:p w14:paraId="5A1F254B" w14:textId="2156FBB9" w:rsidR="00624B80" w:rsidRDefault="00624B80" w:rsidP="00FD688B">
      <w:pPr>
        <w:pStyle w:val="Heading2Summaryofkeyfindings"/>
      </w:pPr>
      <w:r w:rsidRPr="00624B80">
        <w:t xml:space="preserve">Summary of </w:t>
      </w:r>
      <w:r w:rsidR="00BA1BAA">
        <w:t>facial</w:t>
      </w:r>
      <w:r w:rsidRPr="00624B80">
        <w:t xml:space="preserve"> prostheses services, programs </w:t>
      </w:r>
      <w:r w:rsidRPr="00C535AA">
        <w:t>and</w:t>
      </w:r>
      <w:r w:rsidRPr="00624B80">
        <w:t xml:space="preserve"> schemes</w:t>
      </w:r>
    </w:p>
    <w:p w14:paraId="37869ECC" w14:textId="77777777" w:rsidR="00624B80" w:rsidRPr="00D246C9" w:rsidRDefault="00624B80" w:rsidP="005A6CA2">
      <w:pPr>
        <w:pStyle w:val="Callout-Summaryofkeyfindingbullet"/>
      </w:pPr>
      <w:r w:rsidRPr="00D246C9">
        <w:t>There is no national program or scheme that provides broad coverage for facial prostheses. A small proportion of people may be eligible to receive funding through the DVA or their private health insurance. The NDIS typically does not</w:t>
      </w:r>
      <w:r>
        <w:t xml:space="preserve"> typically</w:t>
      </w:r>
      <w:r w:rsidRPr="00D246C9">
        <w:t xml:space="preserve"> fund facial prostheses as they fall outside the scheme’s criteria.</w:t>
      </w:r>
    </w:p>
    <w:p w14:paraId="4286B7E0" w14:textId="77777777" w:rsidR="00624B80" w:rsidRPr="00D246C9" w:rsidRDefault="00624B80" w:rsidP="005A6CA2">
      <w:pPr>
        <w:pStyle w:val="Callout-Summaryofkeyfindingbullet"/>
      </w:pPr>
      <w:r w:rsidRPr="00D246C9">
        <w:t>There is significant variation across jurisdictions in the availability of publicly funded facial prostheses services. In VIC, QLD and WA, some major public hospitals provide facial prostheses</w:t>
      </w:r>
      <w:r>
        <w:t xml:space="preserve"> services</w:t>
      </w:r>
      <w:r w:rsidRPr="00D246C9">
        <w:t xml:space="preserve">. In the ACT, only ocular prostheses are </w:t>
      </w:r>
      <w:r>
        <w:t xml:space="preserve">available through </w:t>
      </w:r>
      <w:r w:rsidRPr="00D246C9">
        <w:t>publicly funded</w:t>
      </w:r>
      <w:r>
        <w:t xml:space="preserve"> services</w:t>
      </w:r>
      <w:r w:rsidRPr="00D246C9">
        <w:t xml:space="preserve">. In NSW, SA, TAS and NT, there are no publicly funded facial prostheses services and therefore individuals must travel interstate to access prostheses, </w:t>
      </w:r>
      <w:r>
        <w:t xml:space="preserve">where they can </w:t>
      </w:r>
      <w:r w:rsidRPr="00D246C9">
        <w:t>fac</w:t>
      </w:r>
      <w:r>
        <w:t>e</w:t>
      </w:r>
      <w:r w:rsidRPr="00D246C9">
        <w:t xml:space="preserve"> long wait times or incur high out-of-pocket costs for private services.</w:t>
      </w:r>
    </w:p>
    <w:p w14:paraId="4548D5F4" w14:textId="77777777" w:rsidR="00624B80" w:rsidRPr="00D246C9" w:rsidRDefault="00624B80" w:rsidP="005A6CA2">
      <w:pPr>
        <w:pStyle w:val="Callout-Summaryofkeyfindingbullet"/>
      </w:pPr>
      <w:r>
        <w:t>Where available, p</w:t>
      </w:r>
      <w:r w:rsidRPr="00D246C9">
        <w:t xml:space="preserve">ublicly funded facial prostheses services are only </w:t>
      </w:r>
      <w:r>
        <w:t>located</w:t>
      </w:r>
      <w:r w:rsidRPr="00D246C9">
        <w:t xml:space="preserve"> in large public hospitals in metropolitan areas Therefore, people living in </w:t>
      </w:r>
      <w:r>
        <w:t xml:space="preserve">regional, </w:t>
      </w:r>
      <w:r w:rsidRPr="00D246C9">
        <w:t xml:space="preserve">rural and remote areas </w:t>
      </w:r>
      <w:r>
        <w:t xml:space="preserve">are </w:t>
      </w:r>
      <w:r w:rsidRPr="00D246C9">
        <w:t xml:space="preserve">typically </w:t>
      </w:r>
      <w:r>
        <w:t xml:space="preserve">required to </w:t>
      </w:r>
      <w:r w:rsidRPr="00D246C9">
        <w:t xml:space="preserve">travel to metropolitan areas. </w:t>
      </w:r>
    </w:p>
    <w:p w14:paraId="2B86E7C8" w14:textId="77777777" w:rsidR="00DD11F5" w:rsidRDefault="00624B80" w:rsidP="005A6CA2">
      <w:pPr>
        <w:pStyle w:val="Callout-Summaryofkeyfindingbullet"/>
      </w:pPr>
      <w:r w:rsidRPr="00256833">
        <w:t xml:space="preserve">Access to facial prostheses generally requires a prescription or referral from a maxillofacial surgeon, ophthalmologist or </w:t>
      </w:r>
      <w:r>
        <w:t xml:space="preserve">other medical </w:t>
      </w:r>
      <w:r w:rsidRPr="00256833">
        <w:t xml:space="preserve">specialist. The design and fabrication of facial prostheses </w:t>
      </w:r>
      <w:r>
        <w:t>is</w:t>
      </w:r>
      <w:r w:rsidRPr="00256833">
        <w:t xml:space="preserve"> undertaken by anaplastologists, maxillofacial prosthetists, and ocularists.</w:t>
      </w:r>
      <w:r>
        <w:t xml:space="preserve"> </w:t>
      </w:r>
      <w:proofErr w:type="gramStart"/>
      <w:r w:rsidRPr="00256833">
        <w:t>With the exception of</w:t>
      </w:r>
      <w:proofErr w:type="gramEnd"/>
      <w:r w:rsidRPr="00256833">
        <w:t xml:space="preserve"> TAS and the NT, </w:t>
      </w:r>
      <w:r>
        <w:t xml:space="preserve">there is at least </w:t>
      </w:r>
      <w:r w:rsidRPr="00256833">
        <w:t>one ocularist</w:t>
      </w:r>
      <w:r>
        <w:t xml:space="preserve"> currently practising in </w:t>
      </w:r>
      <w:r w:rsidRPr="00256833">
        <w:t>all states and territories</w:t>
      </w:r>
      <w:r>
        <w:t>.</w:t>
      </w:r>
      <w:r w:rsidRPr="00256833">
        <w:t xml:space="preserve"> </w:t>
      </w:r>
      <w:r>
        <w:t xml:space="preserve">In contrast, </w:t>
      </w:r>
      <w:r w:rsidRPr="00256833">
        <w:t xml:space="preserve">maxillofacial prosthetists and anaplastologists are currently </w:t>
      </w:r>
      <w:r>
        <w:t xml:space="preserve">only </w:t>
      </w:r>
      <w:r w:rsidRPr="00256833">
        <w:t>available in NSW, QLD, VIC and WA.</w:t>
      </w:r>
      <w:r w:rsidR="00FE5D82" w:rsidRPr="00FE5D82">
        <w:t xml:space="preserve"> </w:t>
      </w:r>
    </w:p>
    <w:p w14:paraId="504A39BA" w14:textId="1D4C26F6" w:rsidR="00446794" w:rsidRDefault="00DD11F5" w:rsidP="00812736">
      <w:pPr>
        <w:pStyle w:val="Caption"/>
      </w:pPr>
      <w:bookmarkStart w:id="44" w:name="_Toc207348714"/>
      <w:r w:rsidRPr="00CA3D53">
        <w:t xml:space="preserve">Figure </w:t>
      </w:r>
      <w:r w:rsidR="001F48ED">
        <w:fldChar w:fldCharType="begin"/>
      </w:r>
      <w:r w:rsidR="001F48ED">
        <w:instrText xml:space="preserve"> SEQ Figure \* ARABIC </w:instrText>
      </w:r>
      <w:r w:rsidR="001F48ED">
        <w:fldChar w:fldCharType="separate"/>
      </w:r>
      <w:r w:rsidR="001F48ED">
        <w:rPr>
          <w:noProof/>
        </w:rPr>
        <w:t>7</w:t>
      </w:r>
      <w:r w:rsidR="001F48ED">
        <w:rPr>
          <w:noProof/>
        </w:rPr>
        <w:fldChar w:fldCharType="end"/>
      </w:r>
      <w:r w:rsidR="00446794">
        <w:t>: Summary of facial prostheses services, programs and schemes available in Australia</w:t>
      </w:r>
      <w:bookmarkEnd w:id="44"/>
    </w:p>
    <w:p w14:paraId="2C7F60E5" w14:textId="349B606F" w:rsidR="003436BE" w:rsidRPr="003436BE" w:rsidRDefault="006D52D1" w:rsidP="008B474C">
      <w:r w:rsidRPr="008B474C">
        <w:drawing>
          <wp:inline distT="0" distB="0" distL="0" distR="0" wp14:anchorId="47CF4071" wp14:editId="3DC8F9EA">
            <wp:extent cx="5800725" cy="5019675"/>
            <wp:effectExtent l="0" t="0" r="0" b="9525"/>
            <wp:docPr id="850490200" name="Graphic 1" descr="Infographic that summarises the findings outlined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490200" name="Graphic 1" descr="Infographic that summarises the findings outlined above"/>
                    <pic:cNvPicPr/>
                  </pic:nvPicPr>
                  <pic:blipFill>
                    <a:blip r:embed="rId51">
                      <a:extLst>
                        <a:ext uri="{96DAC541-7B7A-43D3-8B79-37D633B846F1}">
                          <asvg:svgBlip xmlns:asvg="http://schemas.microsoft.com/office/drawing/2016/SVG/main" r:embed="rId52"/>
                        </a:ext>
                      </a:extLst>
                    </a:blip>
                    <a:stretch>
                      <a:fillRect/>
                    </a:stretch>
                  </pic:blipFill>
                  <pic:spPr>
                    <a:xfrm>
                      <a:off x="0" y="0"/>
                      <a:ext cx="5800725" cy="5019675"/>
                    </a:xfrm>
                    <a:prstGeom prst="rect">
                      <a:avLst/>
                    </a:prstGeom>
                  </pic:spPr>
                </pic:pic>
              </a:graphicData>
            </a:graphic>
          </wp:inline>
        </w:drawing>
      </w:r>
    </w:p>
    <w:p w14:paraId="48E9C5B8" w14:textId="2C244AEF" w:rsidR="00624B80" w:rsidRPr="00CF30AE" w:rsidRDefault="00FA05C9" w:rsidP="00812736">
      <w:pPr>
        <w:pStyle w:val="Caption-Source"/>
        <w:rPr>
          <w:i/>
          <w:color w:val="auto"/>
          <w:szCs w:val="20"/>
        </w:rPr>
      </w:pPr>
      <w:r w:rsidRPr="00090C3D">
        <w:t xml:space="preserve">Source: </w:t>
      </w:r>
      <w:r w:rsidR="004A6003" w:rsidRPr="004A6003">
        <w:t>Independent reviewer</w:t>
      </w:r>
      <w:r w:rsidRPr="0077318E">
        <w:t xml:space="preserve"> (2025)</w:t>
      </w:r>
    </w:p>
    <w:p w14:paraId="43F2347A" w14:textId="77777777" w:rsidR="000D7CFB" w:rsidRPr="001329A5" w:rsidRDefault="000D7CFB" w:rsidP="000D7CFB">
      <w:pPr>
        <w:pStyle w:val="Heading3"/>
      </w:pPr>
      <w:r>
        <w:t>About facial prostheses</w:t>
      </w:r>
    </w:p>
    <w:p w14:paraId="3DD41179" w14:textId="46E12C39" w:rsidR="000D7CFB" w:rsidRPr="00072FB2" w:rsidRDefault="00D6698F" w:rsidP="00072FB2">
      <w:r>
        <w:rPr>
          <w:color w:val="auto"/>
        </w:rPr>
        <w:t>In Australia</w:t>
      </w:r>
      <w:r w:rsidR="00A40689">
        <w:rPr>
          <w:color w:val="auto"/>
        </w:rPr>
        <w:t xml:space="preserve">, </w:t>
      </w:r>
      <w:r w:rsidR="000D7CFB">
        <w:rPr>
          <w:color w:val="auto"/>
        </w:rPr>
        <w:t xml:space="preserve">more than </w:t>
      </w:r>
      <w:r w:rsidR="00911972">
        <w:rPr>
          <w:color w:val="auto"/>
        </w:rPr>
        <w:t>5</w:t>
      </w:r>
      <w:r w:rsidR="000D7CFB">
        <w:rPr>
          <w:color w:val="auto"/>
        </w:rPr>
        <w:t>,</w:t>
      </w:r>
      <w:r w:rsidR="00911972">
        <w:rPr>
          <w:color w:val="auto"/>
        </w:rPr>
        <w:t>0</w:t>
      </w:r>
      <w:r w:rsidR="000D7CFB">
        <w:rPr>
          <w:color w:val="auto"/>
        </w:rPr>
        <w:t xml:space="preserve">00 people are diagnosed with head and neck cancer </w:t>
      </w:r>
      <w:r w:rsidR="00D60EE0">
        <w:rPr>
          <w:color w:val="auto"/>
        </w:rPr>
        <w:t>each</w:t>
      </w:r>
      <w:r w:rsidR="00A40689">
        <w:rPr>
          <w:color w:val="auto"/>
        </w:rPr>
        <w:t xml:space="preserve"> </w:t>
      </w:r>
      <w:r w:rsidR="000D7CFB">
        <w:rPr>
          <w:color w:val="auto"/>
        </w:rPr>
        <w:t>year</w:t>
      </w:r>
      <w:r w:rsidR="00110524">
        <w:rPr>
          <w:color w:val="auto"/>
        </w:rPr>
        <w:t xml:space="preserve">, </w:t>
      </w:r>
      <w:r w:rsidR="00D60EE0">
        <w:rPr>
          <w:color w:val="auto"/>
        </w:rPr>
        <w:t xml:space="preserve">with </w:t>
      </w:r>
      <w:r w:rsidR="00DB0763">
        <w:rPr>
          <w:color w:val="auto"/>
        </w:rPr>
        <w:t xml:space="preserve">over 17,000 people </w:t>
      </w:r>
      <w:r w:rsidR="00D60EE0">
        <w:rPr>
          <w:color w:val="auto"/>
        </w:rPr>
        <w:t xml:space="preserve">estimated to be </w:t>
      </w:r>
      <w:r w:rsidR="00DB0763">
        <w:rPr>
          <w:color w:val="auto"/>
        </w:rPr>
        <w:t>living with head and neck cancer</w:t>
      </w:r>
      <w:r w:rsidR="00D60EE0">
        <w:rPr>
          <w:rStyle w:val="FootnoteReference"/>
          <w:color w:val="auto"/>
        </w:rPr>
        <w:footnoteReference w:id="14"/>
      </w:r>
      <w:r w:rsidR="000D7CFB">
        <w:rPr>
          <w:color w:val="auto"/>
        </w:rPr>
        <w:t xml:space="preserve">. Treatment </w:t>
      </w:r>
      <w:r w:rsidR="00DB0763">
        <w:rPr>
          <w:color w:val="auto"/>
        </w:rPr>
        <w:t xml:space="preserve">for head and neck cancer </w:t>
      </w:r>
      <w:r w:rsidR="000D7CFB">
        <w:rPr>
          <w:color w:val="auto"/>
        </w:rPr>
        <w:t>often involves a combination of surgery, radiation therapy and chemotherapy, depending on the location and stage of cancer. In some cases, extensive surgery is required, which can result in the removal or disfigurement of facial structures such</w:t>
      </w:r>
      <w:r w:rsidR="000D7CFB" w:rsidRPr="00072FB2">
        <w:t xml:space="preserve"> as the nose, ear, eye (orbit), or jaw, leading to significant functional, psychological and social impacts.75F</w:t>
      </w:r>
      <w:r w:rsidR="000D7CFB" w:rsidRPr="000543B6">
        <w:rPr>
          <w:vertAlign w:val="superscript"/>
        </w:rPr>
        <w:footnoteReference w:id="15"/>
      </w:r>
    </w:p>
    <w:p w14:paraId="0BAF310B" w14:textId="372A4ED4" w:rsidR="000D7CFB" w:rsidRPr="00B94C54" w:rsidRDefault="000D7CFB" w:rsidP="00072FB2">
      <w:pPr>
        <w:rPr>
          <w:color w:val="auto"/>
        </w:rPr>
      </w:pPr>
      <w:r w:rsidRPr="00072FB2">
        <w:t>Facial prostheses are used to restor</w:t>
      </w:r>
      <w:r w:rsidR="004E1AC0" w:rsidRPr="00072FB2">
        <w:t xml:space="preserve">e </w:t>
      </w:r>
      <w:r w:rsidRPr="00072FB2">
        <w:t>both appearance and function when surgical reconstruction is not possible. These custom-made external devices are designed to replicate a missing part of the face and are tailored to match the individual’s skin tone, eye colour and facial contours. Facial prostheses improve not only appearance, but also social</w:t>
      </w:r>
      <w:r>
        <w:rPr>
          <w:color w:val="auto"/>
        </w:rPr>
        <w:t xml:space="preserve"> confidence, comfort and quality of life. </w:t>
      </w:r>
      <w:r w:rsidRPr="00B94C54">
        <w:rPr>
          <w:color w:val="auto"/>
        </w:rPr>
        <w:t>Facial prostheses are typically designed and created by specialised health professionals</w:t>
      </w:r>
      <w:r w:rsidR="009A232E">
        <w:rPr>
          <w:color w:val="auto"/>
        </w:rPr>
        <w:t>,</w:t>
      </w:r>
      <w:r w:rsidRPr="00B94C54">
        <w:rPr>
          <w:color w:val="auto"/>
        </w:rPr>
        <w:t xml:space="preserve"> including</w:t>
      </w:r>
      <w:r w:rsidR="00F478A8">
        <w:rPr>
          <w:color w:val="auto"/>
        </w:rPr>
        <w:t>:</w:t>
      </w:r>
    </w:p>
    <w:p w14:paraId="5AF91D8E" w14:textId="0BB8744A" w:rsidR="000D7CFB" w:rsidRDefault="000D7CFB" w:rsidP="0075763F">
      <w:pPr>
        <w:pStyle w:val="Bullet1stlevel"/>
      </w:pPr>
      <w:r w:rsidRPr="00B94C54">
        <w:t>Anaplastologists</w:t>
      </w:r>
      <w:r w:rsidR="004E1AC0">
        <w:t xml:space="preserve"> who</w:t>
      </w:r>
      <w:r w:rsidRPr="00B94C54">
        <w:t xml:space="preserve"> specialise in the creation of custom external facial prosthetics, including nasal, ear, and orbital prostheses.</w:t>
      </w:r>
      <w:r>
        <w:rPr>
          <w:rStyle w:val="FootnoteReference"/>
          <w:color w:val="auto"/>
        </w:rPr>
        <w:footnoteReference w:id="16"/>
      </w:r>
    </w:p>
    <w:p w14:paraId="21EFB105" w14:textId="19FB8A07" w:rsidR="000D7CFB" w:rsidRDefault="000D7CFB" w:rsidP="0075763F">
      <w:pPr>
        <w:pStyle w:val="Bullet1stlevel"/>
      </w:pPr>
      <w:r>
        <w:t>M</w:t>
      </w:r>
      <w:r w:rsidRPr="00B94C54">
        <w:t>axillofacial</w:t>
      </w:r>
      <w:r>
        <w:t xml:space="preserve"> prosthetists </w:t>
      </w:r>
      <w:r w:rsidR="004E1AC0">
        <w:t xml:space="preserve">who </w:t>
      </w:r>
      <w:r>
        <w:t xml:space="preserve">specialise in the creation of intraoral and extraoral prostheses and work closely with oral and maxillofacial surgeons, dentists, and ear, nose and throat (ENT) specialists. </w:t>
      </w:r>
      <w:r w:rsidRPr="007619EB">
        <w:t>They may produce nasal, ear, orbital, hemifacial, palatal, and dental prostheses and are typically qualified as dental prosthetists or technicians.</w:t>
      </w:r>
      <w:r>
        <w:rPr>
          <w:rFonts w:ascii="ZWAdobeF" w:hAnsi="ZWAdobeF" w:cs="ZWAdobeF"/>
          <w:sz w:val="2"/>
          <w:szCs w:val="2"/>
        </w:rPr>
        <w:t>77F</w:t>
      </w:r>
      <w:r>
        <w:rPr>
          <w:rStyle w:val="FootnoteReference"/>
          <w:color w:val="auto"/>
        </w:rPr>
        <w:footnoteReference w:id="17"/>
      </w:r>
    </w:p>
    <w:p w14:paraId="0366DDE5" w14:textId="7F8AEAE3" w:rsidR="000D7CFB" w:rsidRDefault="000D7CFB" w:rsidP="0075763F">
      <w:pPr>
        <w:pStyle w:val="Bullet1stlevel"/>
      </w:pPr>
      <w:r>
        <w:t xml:space="preserve">Ocularists </w:t>
      </w:r>
      <w:r w:rsidR="004E1AC0">
        <w:t xml:space="preserve">who </w:t>
      </w:r>
      <w:r>
        <w:t>specialise in the creation of prosthetic eyes.</w:t>
      </w:r>
      <w:r>
        <w:rPr>
          <w:rFonts w:ascii="ZWAdobeF" w:hAnsi="ZWAdobeF" w:cs="ZWAdobeF"/>
          <w:sz w:val="2"/>
          <w:szCs w:val="2"/>
        </w:rPr>
        <w:t>78F</w:t>
      </w:r>
      <w:r>
        <w:rPr>
          <w:rStyle w:val="FootnoteReference"/>
          <w:color w:val="auto"/>
        </w:rPr>
        <w:footnoteReference w:id="18"/>
      </w:r>
    </w:p>
    <w:p w14:paraId="1C5B3BD6" w14:textId="71D98AC4" w:rsidR="000D7CFB" w:rsidRPr="00072FB2" w:rsidRDefault="000D7CFB" w:rsidP="00072FB2">
      <w:r w:rsidRPr="00072FB2">
        <w:t xml:space="preserve">See </w:t>
      </w:r>
      <w:r w:rsidRPr="00072FB2">
        <w:fldChar w:fldCharType="begin"/>
      </w:r>
      <w:r w:rsidRPr="00072FB2">
        <w:instrText xml:space="preserve"> REF _Ref201050311 \h </w:instrText>
      </w:r>
      <w:r w:rsidRPr="00072FB2">
        <w:fldChar w:fldCharType="separate"/>
      </w:r>
      <w:r w:rsidR="00FC04B2" w:rsidRPr="00072FB2">
        <w:t>Table 2</w:t>
      </w:r>
      <w:r w:rsidRPr="00072FB2">
        <w:fldChar w:fldCharType="end"/>
      </w:r>
      <w:r w:rsidRPr="00072FB2">
        <w:t xml:space="preserve"> below for more information on </w:t>
      </w:r>
      <w:r w:rsidR="00732A2B" w:rsidRPr="00072FB2">
        <w:t>the different</w:t>
      </w:r>
      <w:r w:rsidRPr="00072FB2">
        <w:t xml:space="preserve"> type</w:t>
      </w:r>
      <w:r w:rsidR="00732A2B" w:rsidRPr="00072FB2">
        <w:t>s</w:t>
      </w:r>
      <w:r w:rsidRPr="00072FB2">
        <w:t xml:space="preserve"> of external facial prosthes</w:t>
      </w:r>
      <w:r w:rsidR="00732A2B" w:rsidRPr="00072FB2">
        <w:t>e</w:t>
      </w:r>
      <w:r w:rsidRPr="00072FB2">
        <w:t>s.</w:t>
      </w:r>
    </w:p>
    <w:p w14:paraId="73134992" w14:textId="5F74B03C" w:rsidR="000D7CFB" w:rsidRDefault="000D7CFB" w:rsidP="000D7CFB">
      <w:pPr>
        <w:pStyle w:val="Caption"/>
      </w:pPr>
      <w:bookmarkStart w:id="45" w:name="_Ref201050311"/>
      <w:bookmarkStart w:id="46" w:name="_Toc207348567"/>
      <w:r>
        <w:t xml:space="preserve">Table </w:t>
      </w:r>
      <w:r w:rsidR="00FC04B2">
        <w:fldChar w:fldCharType="begin"/>
      </w:r>
      <w:r w:rsidR="00FC04B2">
        <w:instrText xml:space="preserve"> SEQ Table \* ARABIC </w:instrText>
      </w:r>
      <w:r w:rsidR="00FC04B2">
        <w:fldChar w:fldCharType="separate"/>
      </w:r>
      <w:r w:rsidR="00FC04B2">
        <w:rPr>
          <w:noProof/>
        </w:rPr>
        <w:t>2</w:t>
      </w:r>
      <w:r w:rsidR="00FC04B2">
        <w:rPr>
          <w:noProof/>
        </w:rPr>
        <w:fldChar w:fldCharType="end"/>
      </w:r>
      <w:bookmarkEnd w:id="45"/>
      <w:r>
        <w:t>: Types of facial prostheses</w:t>
      </w:r>
      <w:bookmarkEnd w:id="46"/>
    </w:p>
    <w:tbl>
      <w:tblPr>
        <w:tblStyle w:val="KPMGTable"/>
        <w:tblW w:w="10201" w:type="dxa"/>
        <w:tblLayout w:type="fixed"/>
        <w:tblLook w:val="04A0" w:firstRow="1" w:lastRow="0" w:firstColumn="1" w:lastColumn="0" w:noHBand="0" w:noVBand="1"/>
      </w:tblPr>
      <w:tblGrid>
        <w:gridCol w:w="1696"/>
        <w:gridCol w:w="6379"/>
        <w:gridCol w:w="2126"/>
      </w:tblGrid>
      <w:tr w:rsidR="00AE1E92" w14:paraId="7F5AA678" w14:textId="77777777" w:rsidTr="00D3740C">
        <w:trPr>
          <w:cnfStyle w:val="100000000000" w:firstRow="1" w:lastRow="0" w:firstColumn="0" w:lastColumn="0" w:oddVBand="0" w:evenVBand="0" w:oddHBand="0"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0" w:type="dxa"/>
          </w:tcPr>
          <w:p w14:paraId="45FA5528" w14:textId="0F61F01E" w:rsidR="000D7CFB" w:rsidRPr="007B154A" w:rsidRDefault="004E1AC0" w:rsidP="00D3740C">
            <w:pPr>
              <w:pStyle w:val="TableHeading"/>
              <w:rPr>
                <w:b w:val="0"/>
                <w:color w:val="FFFFFF" w:themeColor="background1"/>
                <w:szCs w:val="20"/>
              </w:rPr>
            </w:pPr>
            <w:r>
              <w:t>Prosthesis type</w:t>
            </w:r>
          </w:p>
        </w:tc>
        <w:tc>
          <w:tcPr>
            <w:tcW w:w="0" w:type="dxa"/>
          </w:tcPr>
          <w:p w14:paraId="2FA1C7C2" w14:textId="77777777" w:rsidR="000D7CFB" w:rsidRPr="007B154A" w:rsidRDefault="000D7CFB" w:rsidP="00D3740C">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 xml:space="preserve">Description </w:t>
            </w:r>
          </w:p>
        </w:tc>
        <w:tc>
          <w:tcPr>
            <w:tcW w:w="2126" w:type="dxa"/>
          </w:tcPr>
          <w:p w14:paraId="6C792A5A" w14:textId="1896E039" w:rsidR="000D7CFB" w:rsidRPr="007B212D" w:rsidRDefault="000D7CFB" w:rsidP="00D3740C">
            <w:pPr>
              <w:pStyle w:val="TableHeading"/>
              <w:cnfStyle w:val="100000000000" w:firstRow="1" w:lastRow="0" w:firstColumn="0" w:lastColumn="0" w:oddVBand="0" w:evenVBand="0" w:oddHBand="0" w:evenHBand="0" w:firstRowFirstColumn="0" w:firstRowLastColumn="0" w:lastRowFirstColumn="0" w:lastRowLastColumn="0"/>
              <w:rPr>
                <w:color w:val="002669" w:themeColor="text2" w:themeShade="BF"/>
                <w:szCs w:val="20"/>
              </w:rPr>
            </w:pPr>
            <w:r w:rsidRPr="007B212D">
              <w:rPr>
                <w:color w:val="002669" w:themeColor="text2" w:themeShade="BF"/>
              </w:rPr>
              <w:t>Clinician</w:t>
            </w:r>
            <w:r w:rsidR="00317428" w:rsidRPr="007B212D">
              <w:rPr>
                <w:color w:val="002669" w:themeColor="text2" w:themeShade="BF"/>
                <w:szCs w:val="20"/>
              </w:rPr>
              <w:t>s</w:t>
            </w:r>
            <w:r w:rsidRPr="007B212D">
              <w:rPr>
                <w:color w:val="002669" w:themeColor="text2" w:themeShade="BF"/>
                <w:szCs w:val="20"/>
              </w:rPr>
              <w:t xml:space="preserve"> involved</w:t>
            </w:r>
          </w:p>
        </w:tc>
      </w:tr>
      <w:tr w:rsidR="00AE1E92" w:rsidRPr="00D843ED" w14:paraId="43D55E25" w14:textId="77777777" w:rsidTr="00D3740C">
        <w:trPr>
          <w:trHeight w:val="578"/>
        </w:trPr>
        <w:tc>
          <w:tcPr>
            <w:cnfStyle w:val="001000000000" w:firstRow="0" w:lastRow="0" w:firstColumn="1" w:lastColumn="0" w:oddVBand="0" w:evenVBand="0" w:oddHBand="0" w:evenHBand="0" w:firstRowFirstColumn="0" w:firstRowLastColumn="0" w:lastRowFirstColumn="0" w:lastRowLastColumn="0"/>
            <w:tcW w:w="0" w:type="dxa"/>
          </w:tcPr>
          <w:p w14:paraId="53B13976" w14:textId="3B4566DF" w:rsidR="000D7CFB" w:rsidRPr="0042443F" w:rsidRDefault="000D7CFB" w:rsidP="00E768E6">
            <w:pPr>
              <w:pStyle w:val="Tabletextbold"/>
              <w:rPr>
                <w:rStyle w:val="Strong"/>
              </w:rPr>
            </w:pPr>
            <w:r w:rsidRPr="0042443F">
              <w:rPr>
                <w:rStyle w:val="Strong"/>
              </w:rPr>
              <w:t xml:space="preserve">Nasal </w:t>
            </w:r>
            <w:r w:rsidR="004E1AC0" w:rsidRPr="0042443F">
              <w:rPr>
                <w:rStyle w:val="Strong"/>
              </w:rPr>
              <w:t>prosthesis</w:t>
            </w:r>
          </w:p>
        </w:tc>
        <w:tc>
          <w:tcPr>
            <w:tcW w:w="0" w:type="dxa"/>
          </w:tcPr>
          <w:p w14:paraId="50F6450C" w14:textId="77777777" w:rsidR="000D7CFB" w:rsidRDefault="000D7CFB" w:rsidP="00E768E6">
            <w:pPr>
              <w:pStyle w:val="TableBullet1"/>
              <w:cnfStyle w:val="000000000000" w:firstRow="0" w:lastRow="0" w:firstColumn="0" w:lastColumn="0" w:oddVBand="0" w:evenVBand="0" w:oddHBand="0" w:evenHBand="0" w:firstRowFirstColumn="0" w:firstRowLastColumn="0" w:lastRowFirstColumn="0" w:lastRowLastColumn="0"/>
            </w:pPr>
            <w:r>
              <w:t>Replaces whole or part of the nose after surgical removal</w:t>
            </w:r>
          </w:p>
          <w:p w14:paraId="12C3CDC1" w14:textId="1CBD9667" w:rsidR="000D7CFB" w:rsidRDefault="000D7CFB" w:rsidP="00E768E6">
            <w:pPr>
              <w:pStyle w:val="TableBullet1"/>
              <w:cnfStyle w:val="000000000000" w:firstRow="0" w:lastRow="0" w:firstColumn="0" w:lastColumn="0" w:oddVBand="0" w:evenVBand="0" w:oddHBand="0" w:evenHBand="0" w:firstRowFirstColumn="0" w:firstRowLastColumn="0" w:lastRowFirstColumn="0" w:lastRowLastColumn="0"/>
              <w:rPr>
                <w:bCs/>
                <w:szCs w:val="20"/>
              </w:rPr>
            </w:pPr>
            <w:r>
              <w:t>R</w:t>
            </w:r>
            <w:r w:rsidRPr="00DD0055">
              <w:rPr>
                <w:bCs/>
                <w:szCs w:val="20"/>
              </w:rPr>
              <w:t xml:space="preserve">emovable and attached either using spectacles, adhesive glue or </w:t>
            </w:r>
            <w:r w:rsidR="009A232E">
              <w:rPr>
                <w:bCs/>
                <w:szCs w:val="20"/>
              </w:rPr>
              <w:t>bone-anchored</w:t>
            </w:r>
            <w:r w:rsidRPr="00DD0055">
              <w:rPr>
                <w:bCs/>
                <w:szCs w:val="20"/>
              </w:rPr>
              <w:t xml:space="preserve"> implants</w:t>
            </w:r>
          </w:p>
          <w:p w14:paraId="7CB92A45" w14:textId="5A0150AE" w:rsidR="000D7CFB" w:rsidRPr="000C5C33" w:rsidRDefault="000D7CFB" w:rsidP="00E768E6">
            <w:pPr>
              <w:pStyle w:val="TableBullet1"/>
              <w:cnfStyle w:val="000000000000" w:firstRow="0" w:lastRow="0" w:firstColumn="0" w:lastColumn="0" w:oddVBand="0" w:evenVBand="0" w:oddHBand="0" w:evenHBand="0" w:firstRowFirstColumn="0" w:firstRowLastColumn="0" w:lastRowFirstColumn="0" w:lastRowLastColumn="0"/>
              <w:rPr>
                <w:bCs/>
                <w:szCs w:val="20"/>
              </w:rPr>
            </w:pPr>
            <w:r>
              <w:t>T</w:t>
            </w:r>
            <w:r w:rsidRPr="00DD0055">
              <w:rPr>
                <w:bCs/>
                <w:szCs w:val="20"/>
              </w:rPr>
              <w:t xml:space="preserve">ypically made from medical-grade </w:t>
            </w:r>
            <w:r w:rsidR="009A232E">
              <w:rPr>
                <w:bCs/>
                <w:szCs w:val="20"/>
              </w:rPr>
              <w:t>silicone</w:t>
            </w:r>
            <w:r w:rsidRPr="00DD0055">
              <w:rPr>
                <w:bCs/>
                <w:szCs w:val="20"/>
              </w:rPr>
              <w:t xml:space="preserve"> to match skin tone and facial contour</w:t>
            </w:r>
          </w:p>
        </w:tc>
        <w:tc>
          <w:tcPr>
            <w:tcW w:w="2126" w:type="dxa"/>
          </w:tcPr>
          <w:p w14:paraId="66978C01" w14:textId="77777777" w:rsidR="000D7CFB" w:rsidRDefault="000D7CFB" w:rsidP="00E768E6">
            <w:pPr>
              <w:pStyle w:val="TableBullet1"/>
              <w:cnfStyle w:val="000000000000" w:firstRow="0" w:lastRow="0" w:firstColumn="0" w:lastColumn="0" w:oddVBand="0" w:evenVBand="0" w:oddHBand="0" w:evenHBand="0" w:firstRowFirstColumn="0" w:firstRowLastColumn="0" w:lastRowFirstColumn="0" w:lastRowLastColumn="0"/>
            </w:pPr>
            <w:r>
              <w:t>Maxillofacial prosthetist</w:t>
            </w:r>
          </w:p>
          <w:p w14:paraId="5EE2F4C7" w14:textId="77777777" w:rsidR="000D7CFB" w:rsidRPr="00D843ED" w:rsidRDefault="000D7CFB" w:rsidP="00E768E6">
            <w:pPr>
              <w:pStyle w:val="TableBullet1"/>
              <w:cnfStyle w:val="000000000000" w:firstRow="0" w:lastRow="0" w:firstColumn="0" w:lastColumn="0" w:oddVBand="0" w:evenVBand="0" w:oddHBand="0" w:evenHBand="0" w:firstRowFirstColumn="0" w:firstRowLastColumn="0" w:lastRowFirstColumn="0" w:lastRowLastColumn="0"/>
              <w:rPr>
                <w:bCs/>
                <w:szCs w:val="20"/>
              </w:rPr>
            </w:pPr>
            <w:r>
              <w:t xml:space="preserve">Anaplastologist </w:t>
            </w:r>
          </w:p>
        </w:tc>
      </w:tr>
      <w:tr w:rsidR="00AE1E92" w:rsidRPr="000C5C33" w14:paraId="3E95D886" w14:textId="77777777" w:rsidTr="00D3740C">
        <w:trPr>
          <w:trHeight w:val="578"/>
        </w:trPr>
        <w:tc>
          <w:tcPr>
            <w:cnfStyle w:val="001000000000" w:firstRow="0" w:lastRow="0" w:firstColumn="1" w:lastColumn="0" w:oddVBand="0" w:evenVBand="0" w:oddHBand="0" w:evenHBand="0" w:firstRowFirstColumn="0" w:firstRowLastColumn="0" w:lastRowFirstColumn="0" w:lastRowLastColumn="0"/>
            <w:tcW w:w="1696" w:type="dxa"/>
          </w:tcPr>
          <w:p w14:paraId="6B8981D6" w14:textId="37107BB1" w:rsidR="000D7CFB" w:rsidRPr="0042443F" w:rsidRDefault="000D7CFB" w:rsidP="00E768E6">
            <w:pPr>
              <w:pStyle w:val="Tabletextbold"/>
              <w:rPr>
                <w:rStyle w:val="Strong"/>
              </w:rPr>
            </w:pPr>
            <w:r w:rsidRPr="0042443F">
              <w:rPr>
                <w:rStyle w:val="Strong"/>
              </w:rPr>
              <w:t xml:space="preserve">Ocular </w:t>
            </w:r>
            <w:r w:rsidR="004E1AC0" w:rsidRPr="0042443F">
              <w:rPr>
                <w:rStyle w:val="Strong"/>
              </w:rPr>
              <w:t>prosthesis</w:t>
            </w:r>
          </w:p>
        </w:tc>
        <w:tc>
          <w:tcPr>
            <w:tcW w:w="6379" w:type="dxa"/>
          </w:tcPr>
          <w:p w14:paraId="1546EB20" w14:textId="77777777" w:rsidR="000D7CFB" w:rsidRDefault="000D7CFB" w:rsidP="00E768E6">
            <w:pPr>
              <w:pStyle w:val="TableBullet1"/>
              <w:cnfStyle w:val="000000000000" w:firstRow="0" w:lastRow="0" w:firstColumn="0" w:lastColumn="0" w:oddVBand="0" w:evenVBand="0" w:oddHBand="0" w:evenHBand="0" w:firstRowFirstColumn="0" w:firstRowLastColumn="0" w:lastRowFirstColumn="0" w:lastRowLastColumn="0"/>
              <w:rPr>
                <w:bCs/>
                <w:szCs w:val="20"/>
              </w:rPr>
            </w:pPr>
            <w:r>
              <w:t>Used</w:t>
            </w:r>
            <w:r w:rsidRPr="00A26541">
              <w:rPr>
                <w:bCs/>
                <w:szCs w:val="20"/>
              </w:rPr>
              <w:t xml:space="preserve"> when an eyeball has been removed</w:t>
            </w:r>
          </w:p>
          <w:p w14:paraId="5CB6F22E" w14:textId="44648C6C" w:rsidR="000D7CFB" w:rsidRDefault="000D7CFB" w:rsidP="00E768E6">
            <w:pPr>
              <w:pStyle w:val="TableBullet1"/>
              <w:cnfStyle w:val="000000000000" w:firstRow="0" w:lastRow="0" w:firstColumn="0" w:lastColumn="0" w:oddVBand="0" w:evenVBand="0" w:oddHBand="0" w:evenHBand="0" w:firstRowFirstColumn="0" w:firstRowLastColumn="0" w:lastRowFirstColumn="0" w:lastRowLastColumn="0"/>
              <w:rPr>
                <w:bCs/>
                <w:szCs w:val="20"/>
              </w:rPr>
            </w:pPr>
            <w:r>
              <w:t>Removable and made to fit the eye socket, or as a thin shell over an unseeing</w:t>
            </w:r>
            <w:r w:rsidR="009A232E">
              <w:rPr>
                <w:bCs/>
                <w:szCs w:val="20"/>
              </w:rPr>
              <w:t>,</w:t>
            </w:r>
            <w:r>
              <w:rPr>
                <w:bCs/>
                <w:szCs w:val="20"/>
              </w:rPr>
              <w:t xml:space="preserve"> cloudy eye</w:t>
            </w:r>
          </w:p>
          <w:p w14:paraId="7175BA75" w14:textId="77777777" w:rsidR="000D7CFB" w:rsidRPr="000C5C33" w:rsidRDefault="000D7CFB" w:rsidP="00E768E6">
            <w:pPr>
              <w:pStyle w:val="TableBullet1"/>
              <w:cnfStyle w:val="000000000000" w:firstRow="0" w:lastRow="0" w:firstColumn="0" w:lastColumn="0" w:oddVBand="0" w:evenVBand="0" w:oddHBand="0" w:evenHBand="0" w:firstRowFirstColumn="0" w:firstRowLastColumn="0" w:lastRowFirstColumn="0" w:lastRowLastColumn="0"/>
              <w:rPr>
                <w:bCs/>
                <w:szCs w:val="20"/>
              </w:rPr>
            </w:pPr>
            <w:r>
              <w:t>Typically made from acrylic to match the colour of the opposing eye</w:t>
            </w:r>
          </w:p>
        </w:tc>
        <w:tc>
          <w:tcPr>
            <w:tcW w:w="2126" w:type="dxa"/>
          </w:tcPr>
          <w:p w14:paraId="4C7EFBFC" w14:textId="77777777" w:rsidR="000D7CFB" w:rsidRPr="000C5C33" w:rsidRDefault="000D7CFB" w:rsidP="00E768E6">
            <w:pPr>
              <w:pStyle w:val="TableBullet1"/>
              <w:cnfStyle w:val="000000000000" w:firstRow="0" w:lastRow="0" w:firstColumn="0" w:lastColumn="0" w:oddVBand="0" w:evenVBand="0" w:oddHBand="0" w:evenHBand="0" w:firstRowFirstColumn="0" w:firstRowLastColumn="0" w:lastRowFirstColumn="0" w:lastRowLastColumn="0"/>
              <w:rPr>
                <w:bCs/>
                <w:szCs w:val="20"/>
              </w:rPr>
            </w:pPr>
            <w:r>
              <w:t xml:space="preserve">Ocularist </w:t>
            </w:r>
          </w:p>
        </w:tc>
      </w:tr>
      <w:tr w:rsidR="00AE1E92" w:rsidRPr="000C5C33" w14:paraId="42B7EC12" w14:textId="77777777" w:rsidTr="00D3740C">
        <w:trPr>
          <w:trHeight w:val="578"/>
        </w:trPr>
        <w:tc>
          <w:tcPr>
            <w:cnfStyle w:val="001000000000" w:firstRow="0" w:lastRow="0" w:firstColumn="1" w:lastColumn="0" w:oddVBand="0" w:evenVBand="0" w:oddHBand="0" w:evenHBand="0" w:firstRowFirstColumn="0" w:firstRowLastColumn="0" w:lastRowFirstColumn="0" w:lastRowLastColumn="0"/>
            <w:tcW w:w="1696" w:type="dxa"/>
          </w:tcPr>
          <w:p w14:paraId="15A06EB0" w14:textId="0E65F3B8" w:rsidR="000D7CFB" w:rsidRPr="0042443F" w:rsidRDefault="000D7CFB" w:rsidP="00E768E6">
            <w:pPr>
              <w:pStyle w:val="Tabletextbold"/>
              <w:rPr>
                <w:rStyle w:val="Strong"/>
              </w:rPr>
            </w:pPr>
            <w:r w:rsidRPr="0042443F">
              <w:rPr>
                <w:rStyle w:val="Strong"/>
              </w:rPr>
              <w:t xml:space="preserve">Orbital </w:t>
            </w:r>
            <w:r w:rsidR="004E1AC0" w:rsidRPr="0042443F">
              <w:rPr>
                <w:rStyle w:val="Strong"/>
              </w:rPr>
              <w:t xml:space="preserve">prosthesis </w:t>
            </w:r>
          </w:p>
        </w:tc>
        <w:tc>
          <w:tcPr>
            <w:tcW w:w="6379" w:type="dxa"/>
          </w:tcPr>
          <w:p w14:paraId="46C31FE4" w14:textId="000EDD5A" w:rsidR="000D7CFB" w:rsidRDefault="000D7CFB" w:rsidP="00E768E6">
            <w:pPr>
              <w:pStyle w:val="TableBullet1"/>
              <w:cnfStyle w:val="000000000000" w:firstRow="0" w:lastRow="0" w:firstColumn="0" w:lastColumn="0" w:oddVBand="0" w:evenVBand="0" w:oddHBand="0" w:evenHBand="0" w:firstRowFirstColumn="0" w:firstRowLastColumn="0" w:lastRowFirstColumn="0" w:lastRowLastColumn="0"/>
              <w:rPr>
                <w:bCs/>
                <w:szCs w:val="20"/>
              </w:rPr>
            </w:pPr>
            <w:r>
              <w:t xml:space="preserve">Replaces the eye and </w:t>
            </w:r>
            <w:r w:rsidR="009A232E">
              <w:rPr>
                <w:bCs/>
                <w:szCs w:val="20"/>
              </w:rPr>
              <w:t xml:space="preserve">the </w:t>
            </w:r>
            <w:r>
              <w:rPr>
                <w:bCs/>
                <w:szCs w:val="20"/>
              </w:rPr>
              <w:t xml:space="preserve">surrounding eyelid and skin </w:t>
            </w:r>
          </w:p>
          <w:p w14:paraId="46AB5262" w14:textId="77777777" w:rsidR="000D7CFB" w:rsidRDefault="000D7CFB" w:rsidP="00E768E6">
            <w:pPr>
              <w:pStyle w:val="TableBullet1"/>
              <w:cnfStyle w:val="000000000000" w:firstRow="0" w:lastRow="0" w:firstColumn="0" w:lastColumn="0" w:oddVBand="0" w:evenVBand="0" w:oddHBand="0" w:evenHBand="0" w:firstRowFirstColumn="0" w:firstRowLastColumn="0" w:lastRowFirstColumn="0" w:lastRowLastColumn="0"/>
            </w:pPr>
            <w:r>
              <w:t>Removable and includes a prosthetic eye and adjacent facial structures</w:t>
            </w:r>
          </w:p>
          <w:p w14:paraId="35844A4D" w14:textId="77777777" w:rsidR="000D7CFB" w:rsidRPr="002257E8" w:rsidRDefault="000D7CFB" w:rsidP="00E768E6">
            <w:pPr>
              <w:pStyle w:val="TableBullet1"/>
              <w:cnfStyle w:val="000000000000" w:firstRow="0" w:lastRow="0" w:firstColumn="0" w:lastColumn="0" w:oddVBand="0" w:evenVBand="0" w:oddHBand="0" w:evenHBand="0" w:firstRowFirstColumn="0" w:firstRowLastColumn="0" w:lastRowFirstColumn="0" w:lastRowLastColumn="0"/>
              <w:rPr>
                <w:bCs/>
                <w:szCs w:val="20"/>
              </w:rPr>
            </w:pPr>
            <w:r>
              <w:t>Attached using a variety of different methods depending on individual anatomy</w:t>
            </w:r>
          </w:p>
        </w:tc>
        <w:tc>
          <w:tcPr>
            <w:tcW w:w="2126" w:type="dxa"/>
          </w:tcPr>
          <w:p w14:paraId="2F233780" w14:textId="77777777" w:rsidR="000D7CFB" w:rsidRDefault="000D7CFB" w:rsidP="00E768E6">
            <w:pPr>
              <w:pStyle w:val="TableBullet1"/>
              <w:cnfStyle w:val="000000000000" w:firstRow="0" w:lastRow="0" w:firstColumn="0" w:lastColumn="0" w:oddVBand="0" w:evenVBand="0" w:oddHBand="0" w:evenHBand="0" w:firstRowFirstColumn="0" w:firstRowLastColumn="0" w:lastRowFirstColumn="0" w:lastRowLastColumn="0"/>
            </w:pPr>
            <w:r>
              <w:t>Maxillofacial prosthetist</w:t>
            </w:r>
          </w:p>
          <w:p w14:paraId="751506EF" w14:textId="77777777" w:rsidR="000D7CFB" w:rsidRDefault="000D7CFB" w:rsidP="00E768E6">
            <w:pPr>
              <w:pStyle w:val="TableBullet1"/>
              <w:cnfStyle w:val="000000000000" w:firstRow="0" w:lastRow="0" w:firstColumn="0" w:lastColumn="0" w:oddVBand="0" w:evenVBand="0" w:oddHBand="0" w:evenHBand="0" w:firstRowFirstColumn="0" w:firstRowLastColumn="0" w:lastRowFirstColumn="0" w:lastRowLastColumn="0"/>
            </w:pPr>
            <w:r>
              <w:t>Anaplastologist</w:t>
            </w:r>
          </w:p>
        </w:tc>
      </w:tr>
      <w:tr w:rsidR="00AE1E92" w:rsidRPr="000C5C33" w14:paraId="08332CF3" w14:textId="77777777" w:rsidTr="00D3740C">
        <w:trPr>
          <w:trHeight w:val="578"/>
        </w:trPr>
        <w:tc>
          <w:tcPr>
            <w:cnfStyle w:val="001000000000" w:firstRow="0" w:lastRow="0" w:firstColumn="1" w:lastColumn="0" w:oddVBand="0" w:evenVBand="0" w:oddHBand="0" w:evenHBand="0" w:firstRowFirstColumn="0" w:firstRowLastColumn="0" w:lastRowFirstColumn="0" w:lastRowLastColumn="0"/>
            <w:tcW w:w="1696" w:type="dxa"/>
          </w:tcPr>
          <w:p w14:paraId="24E84216" w14:textId="78439915" w:rsidR="000D7CFB" w:rsidRPr="0042443F" w:rsidRDefault="000D7CFB" w:rsidP="00E768E6">
            <w:pPr>
              <w:pStyle w:val="Tabletextbold"/>
              <w:rPr>
                <w:rStyle w:val="Strong"/>
              </w:rPr>
            </w:pPr>
            <w:r w:rsidRPr="0042443F">
              <w:rPr>
                <w:rStyle w:val="Strong"/>
              </w:rPr>
              <w:t xml:space="preserve">Ear </w:t>
            </w:r>
            <w:r w:rsidR="004E1AC0" w:rsidRPr="0042443F">
              <w:rPr>
                <w:rStyle w:val="Strong"/>
              </w:rPr>
              <w:t>prosthesis</w:t>
            </w:r>
          </w:p>
        </w:tc>
        <w:tc>
          <w:tcPr>
            <w:tcW w:w="6379" w:type="dxa"/>
          </w:tcPr>
          <w:p w14:paraId="7D3C0DC5" w14:textId="77777777" w:rsidR="000D7CFB" w:rsidRDefault="000D7CFB" w:rsidP="00E768E6">
            <w:pPr>
              <w:pStyle w:val="TableBullet1"/>
              <w:cnfStyle w:val="000000000000" w:firstRow="0" w:lastRow="0" w:firstColumn="0" w:lastColumn="0" w:oddVBand="0" w:evenVBand="0" w:oddHBand="0" w:evenHBand="0" w:firstRowFirstColumn="0" w:firstRowLastColumn="0" w:lastRowFirstColumn="0" w:lastRowLastColumn="0"/>
            </w:pPr>
            <w:r>
              <w:t>Replaces whole or part of the ear after surgical removal</w:t>
            </w:r>
          </w:p>
          <w:p w14:paraId="03E93F39" w14:textId="2DD3BD77" w:rsidR="000D7CFB" w:rsidRDefault="000D7CFB" w:rsidP="00E768E6">
            <w:pPr>
              <w:pStyle w:val="TableBullet1"/>
              <w:cnfStyle w:val="000000000000" w:firstRow="0" w:lastRow="0" w:firstColumn="0" w:lastColumn="0" w:oddVBand="0" w:evenVBand="0" w:oddHBand="0" w:evenHBand="0" w:firstRowFirstColumn="0" w:firstRowLastColumn="0" w:lastRowFirstColumn="0" w:lastRowLastColumn="0"/>
              <w:rPr>
                <w:bCs/>
                <w:szCs w:val="20"/>
              </w:rPr>
            </w:pPr>
            <w:r>
              <w:t xml:space="preserve">Removable and attached using adhesive glue or </w:t>
            </w:r>
            <w:r w:rsidR="009A232E">
              <w:rPr>
                <w:bCs/>
                <w:szCs w:val="20"/>
              </w:rPr>
              <w:t>bone-anchored</w:t>
            </w:r>
            <w:r>
              <w:rPr>
                <w:bCs/>
                <w:szCs w:val="20"/>
              </w:rPr>
              <w:t xml:space="preserve"> </w:t>
            </w:r>
            <w:r w:rsidR="00D742CC">
              <w:rPr>
                <w:bCs/>
                <w:szCs w:val="20"/>
              </w:rPr>
              <w:t>implants</w:t>
            </w:r>
            <w:r>
              <w:rPr>
                <w:bCs/>
                <w:szCs w:val="20"/>
              </w:rPr>
              <w:t xml:space="preserve"> </w:t>
            </w:r>
          </w:p>
          <w:p w14:paraId="262B1C8A" w14:textId="6AA2182D" w:rsidR="000D7CFB" w:rsidRDefault="000D7CFB" w:rsidP="00E768E6">
            <w:pPr>
              <w:pStyle w:val="TableBullet1"/>
              <w:cnfStyle w:val="000000000000" w:firstRow="0" w:lastRow="0" w:firstColumn="0" w:lastColumn="0" w:oddVBand="0" w:evenVBand="0" w:oddHBand="0" w:evenHBand="0" w:firstRowFirstColumn="0" w:firstRowLastColumn="0" w:lastRowFirstColumn="0" w:lastRowLastColumn="0"/>
              <w:rPr>
                <w:bCs/>
                <w:szCs w:val="20"/>
              </w:rPr>
            </w:pPr>
            <w:r>
              <w:t xml:space="preserve">Typically made from medical-grade </w:t>
            </w:r>
            <w:r w:rsidR="00D742CC">
              <w:rPr>
                <w:bCs/>
                <w:szCs w:val="20"/>
              </w:rPr>
              <w:t>silicone</w:t>
            </w:r>
            <w:r>
              <w:rPr>
                <w:bCs/>
                <w:szCs w:val="20"/>
              </w:rPr>
              <w:t xml:space="preserve"> </w:t>
            </w:r>
          </w:p>
        </w:tc>
        <w:tc>
          <w:tcPr>
            <w:tcW w:w="2126" w:type="dxa"/>
          </w:tcPr>
          <w:p w14:paraId="5EF2A1C3" w14:textId="77777777" w:rsidR="000D7CFB" w:rsidRDefault="000D7CFB" w:rsidP="00E768E6">
            <w:pPr>
              <w:pStyle w:val="TableBullet1"/>
              <w:cnfStyle w:val="000000000000" w:firstRow="0" w:lastRow="0" w:firstColumn="0" w:lastColumn="0" w:oddVBand="0" w:evenVBand="0" w:oddHBand="0" w:evenHBand="0" w:firstRowFirstColumn="0" w:firstRowLastColumn="0" w:lastRowFirstColumn="0" w:lastRowLastColumn="0"/>
            </w:pPr>
            <w:r>
              <w:t>Maxillofacial prosthetist</w:t>
            </w:r>
          </w:p>
          <w:p w14:paraId="1D34A88F" w14:textId="77777777" w:rsidR="000D7CFB" w:rsidRDefault="000D7CFB" w:rsidP="00E768E6">
            <w:pPr>
              <w:pStyle w:val="TableBullet1"/>
              <w:cnfStyle w:val="000000000000" w:firstRow="0" w:lastRow="0" w:firstColumn="0" w:lastColumn="0" w:oddVBand="0" w:evenVBand="0" w:oddHBand="0" w:evenHBand="0" w:firstRowFirstColumn="0" w:firstRowLastColumn="0" w:lastRowFirstColumn="0" w:lastRowLastColumn="0"/>
            </w:pPr>
            <w:r>
              <w:t>Anaplastologist</w:t>
            </w:r>
          </w:p>
        </w:tc>
      </w:tr>
      <w:tr w:rsidR="00AE1E92" w:rsidRPr="000C5C33" w14:paraId="2701A385" w14:textId="77777777" w:rsidTr="00D3740C">
        <w:trPr>
          <w:trHeight w:val="578"/>
        </w:trPr>
        <w:tc>
          <w:tcPr>
            <w:cnfStyle w:val="001000000000" w:firstRow="0" w:lastRow="0" w:firstColumn="1" w:lastColumn="0" w:oddVBand="0" w:evenVBand="0" w:oddHBand="0" w:evenHBand="0" w:firstRowFirstColumn="0" w:firstRowLastColumn="0" w:lastRowFirstColumn="0" w:lastRowLastColumn="0"/>
            <w:tcW w:w="0" w:type="dxa"/>
          </w:tcPr>
          <w:p w14:paraId="2E502631" w14:textId="77777777" w:rsidR="000D7CFB" w:rsidRPr="0042443F" w:rsidRDefault="000D7CFB" w:rsidP="00E768E6">
            <w:pPr>
              <w:pStyle w:val="Tabletextbold"/>
              <w:rPr>
                <w:rStyle w:val="Strong"/>
              </w:rPr>
            </w:pPr>
            <w:r w:rsidRPr="0042443F">
              <w:rPr>
                <w:rStyle w:val="Strong"/>
              </w:rPr>
              <w:t xml:space="preserve">Hemi-facial prosthesis </w:t>
            </w:r>
          </w:p>
        </w:tc>
        <w:tc>
          <w:tcPr>
            <w:tcW w:w="0" w:type="dxa"/>
          </w:tcPr>
          <w:p w14:paraId="53D5FD51" w14:textId="77777777" w:rsidR="000D7CFB" w:rsidRDefault="000D7CFB" w:rsidP="00E768E6">
            <w:pPr>
              <w:pStyle w:val="TableBullet1"/>
              <w:cnfStyle w:val="000000000000" w:firstRow="0" w:lastRow="0" w:firstColumn="0" w:lastColumn="0" w:oddVBand="0" w:evenVBand="0" w:oddHBand="0" w:evenHBand="0" w:firstRowFirstColumn="0" w:firstRowLastColumn="0" w:lastRowFirstColumn="0" w:lastRowLastColumn="0"/>
            </w:pPr>
            <w:r>
              <w:t xml:space="preserve">Combination of different types of external prosthesis such as eye, nose and cheek </w:t>
            </w:r>
          </w:p>
        </w:tc>
        <w:tc>
          <w:tcPr>
            <w:tcW w:w="2126" w:type="dxa"/>
          </w:tcPr>
          <w:p w14:paraId="5363EC42" w14:textId="77777777" w:rsidR="000D7CFB" w:rsidRDefault="000D7CFB" w:rsidP="00E768E6">
            <w:pPr>
              <w:pStyle w:val="TableBullet1"/>
              <w:cnfStyle w:val="000000000000" w:firstRow="0" w:lastRow="0" w:firstColumn="0" w:lastColumn="0" w:oddVBand="0" w:evenVBand="0" w:oddHBand="0" w:evenHBand="0" w:firstRowFirstColumn="0" w:firstRowLastColumn="0" w:lastRowFirstColumn="0" w:lastRowLastColumn="0"/>
            </w:pPr>
            <w:r>
              <w:t>Maxillofacial prosthetist</w:t>
            </w:r>
          </w:p>
          <w:p w14:paraId="3B6B8608" w14:textId="77777777" w:rsidR="000D7CFB" w:rsidRDefault="000D7CFB" w:rsidP="00E768E6">
            <w:pPr>
              <w:pStyle w:val="TableBullet1"/>
              <w:cnfStyle w:val="000000000000" w:firstRow="0" w:lastRow="0" w:firstColumn="0" w:lastColumn="0" w:oddVBand="0" w:evenVBand="0" w:oddHBand="0" w:evenHBand="0" w:firstRowFirstColumn="0" w:firstRowLastColumn="0" w:lastRowFirstColumn="0" w:lastRowLastColumn="0"/>
            </w:pPr>
            <w:r>
              <w:t>Anaplastologist</w:t>
            </w:r>
          </w:p>
        </w:tc>
      </w:tr>
    </w:tbl>
    <w:p w14:paraId="04EAEB27" w14:textId="75E48C2E" w:rsidR="000D7CFB" w:rsidRPr="00AE7880" w:rsidRDefault="000D7CFB" w:rsidP="0075763F">
      <w:pPr>
        <w:pStyle w:val="Caption-Source"/>
        <w:rPr>
          <w:i/>
          <w:color w:val="auto"/>
          <w:szCs w:val="20"/>
        </w:rPr>
      </w:pPr>
      <w:r w:rsidRPr="00AE7880">
        <w:t xml:space="preserve">Source: </w:t>
      </w:r>
      <w:r w:rsidRPr="00E768E6">
        <w:t>Adapted from Head and Neck Cancer Australia (n.d.)</w:t>
      </w:r>
      <w:r w:rsidRPr="00AE7880">
        <w:rPr>
          <w:rStyle w:val="FootnoteReference"/>
          <w:i/>
          <w:color w:val="auto"/>
          <w:szCs w:val="20"/>
        </w:rPr>
        <w:footnoteReference w:id="19"/>
      </w:r>
    </w:p>
    <w:p w14:paraId="383D0449" w14:textId="77777777" w:rsidR="00D60C79" w:rsidRPr="00072FB2" w:rsidRDefault="00D60C79" w:rsidP="00072FB2">
      <w:r>
        <w:br w:type="page"/>
      </w:r>
    </w:p>
    <w:p w14:paraId="434BF5BC" w14:textId="77777777" w:rsidR="000D7CFB" w:rsidRDefault="000D7CFB" w:rsidP="000D7CFB">
      <w:pPr>
        <w:pStyle w:val="Heading3"/>
      </w:pPr>
      <w:r>
        <w:t>National prostheses services, programs and schemes</w:t>
      </w:r>
    </w:p>
    <w:p w14:paraId="541EFA79" w14:textId="3AA9EA47" w:rsidR="000D7CFB" w:rsidRPr="00072FB2" w:rsidRDefault="007B5BE7" w:rsidP="00072FB2">
      <w:r>
        <w:t>T</w:t>
      </w:r>
      <w:r w:rsidR="000D7CFB">
        <w:t xml:space="preserve">here is </w:t>
      </w:r>
      <w:r w:rsidR="00732A2B">
        <w:t xml:space="preserve">currently </w:t>
      </w:r>
      <w:r w:rsidR="000D7CFB">
        <w:t xml:space="preserve">no national program or scheme in place that provides broad coverage for facial prostheses to people across Australia. A small proportion of people may be eligible to receive funding for facial prostheses under the DVA or through their private health insurance. </w:t>
      </w:r>
      <w:r w:rsidR="009D080A">
        <w:t>F</w:t>
      </w:r>
      <w:r w:rsidR="000D7CFB">
        <w:t>urther details regarding coverage for facial</w:t>
      </w:r>
      <w:r w:rsidR="000D7CFB" w:rsidRPr="00E520EE">
        <w:t xml:space="preserve"> prosthes</w:t>
      </w:r>
      <w:r w:rsidR="000D7CFB">
        <w:t>e</w:t>
      </w:r>
      <w:r w:rsidR="000D7CFB" w:rsidRPr="00E520EE">
        <w:t xml:space="preserve">s </w:t>
      </w:r>
      <w:r w:rsidR="000D7CFB">
        <w:t>via the</w:t>
      </w:r>
      <w:r w:rsidR="000D7CFB" w:rsidRPr="00072FB2">
        <w:t>se two pathways</w:t>
      </w:r>
      <w:r w:rsidR="009D080A" w:rsidRPr="00072FB2">
        <w:t xml:space="preserve"> </w:t>
      </w:r>
      <w:r w:rsidR="000A62E6" w:rsidRPr="00072FB2">
        <w:t>are</w:t>
      </w:r>
      <w:r w:rsidR="009D080A" w:rsidRPr="00072FB2">
        <w:t xml:space="preserve"> provided in this section.</w:t>
      </w:r>
    </w:p>
    <w:p w14:paraId="437BD13E" w14:textId="238D83E8" w:rsidR="000D7CFB" w:rsidRPr="00D849EB" w:rsidRDefault="000D7CFB" w:rsidP="00072FB2">
      <w:r w:rsidRPr="00072FB2">
        <w:t xml:space="preserve">The NDIS is often a pathway people living with or who have lived experience of cancer explore </w:t>
      </w:r>
      <w:r w:rsidR="009D080A" w:rsidRPr="00072FB2">
        <w:t>when seeking to</w:t>
      </w:r>
      <w:r w:rsidR="00435256" w:rsidRPr="00072FB2">
        <w:t xml:space="preserve"> </w:t>
      </w:r>
      <w:r w:rsidRPr="00072FB2">
        <w:t>access a facial prosthesis. Facial prostheses are typically not funded under the NDIS</w:t>
      </w:r>
      <w:r w:rsidR="000A62E6" w:rsidRPr="00072FB2">
        <w:t>,</w:t>
      </w:r>
      <w:r w:rsidRPr="00072FB2">
        <w:t xml:space="preserve"> however, as they do not meet the current eligibility criteria for prosthetic supports. This section also</w:t>
      </w:r>
      <w:r w:rsidR="00106FA7" w:rsidRPr="00072FB2">
        <w:t xml:space="preserve"> provides details</w:t>
      </w:r>
      <w:r w:rsidRPr="00072FB2">
        <w:t xml:space="preserve"> regarding NDIS access for fac</w:t>
      </w:r>
      <w:r>
        <w:rPr>
          <w:color w:val="auto"/>
        </w:rPr>
        <w:t>ial prostheses.</w:t>
      </w:r>
    </w:p>
    <w:p w14:paraId="001716D6" w14:textId="77777777" w:rsidR="000D7CFB" w:rsidRPr="00FE302F" w:rsidRDefault="000D7CFB" w:rsidP="00FD54A5">
      <w:pPr>
        <w:pStyle w:val="Heading4"/>
      </w:pPr>
      <w:r>
        <w:t>Department of Veterans’ Affairs</w:t>
      </w:r>
    </w:p>
    <w:p w14:paraId="2DE2BF65" w14:textId="52F6D153" w:rsidR="00D251AD" w:rsidRPr="00072FB2" w:rsidRDefault="000D7CFB" w:rsidP="00072FB2">
      <w:r w:rsidRPr="00CE1834">
        <w:t xml:space="preserve">The DVA </w:t>
      </w:r>
      <w:r>
        <w:t xml:space="preserve">provides funding for facial prostheses to eligible veterans and dependents who have undergone an amputation </w:t>
      </w:r>
      <w:proofErr w:type="gramStart"/>
      <w:r>
        <w:t>as a result of</w:t>
      </w:r>
      <w:proofErr w:type="gramEnd"/>
      <w:r>
        <w:t xml:space="preserve"> cancer. Funding is delivered through the </w:t>
      </w:r>
      <w:r w:rsidR="00106FA7">
        <w:t xml:space="preserve">Rehabilitation Appliances Program (RAP), </w:t>
      </w:r>
      <w:r w:rsidR="00106FA7" w:rsidRPr="00FE76CB">
        <w:t xml:space="preserve">which supplies aids and appliances to support the health and independence of veterans with medical or functional </w:t>
      </w:r>
      <w:r w:rsidR="001762F7">
        <w:t>needs</w:t>
      </w:r>
      <w:r w:rsidR="00106FA7">
        <w:t>.</w:t>
      </w:r>
      <w:r w:rsidR="00834623">
        <w:t xml:space="preserve"> The</w:t>
      </w:r>
      <w:r w:rsidR="00834623" w:rsidRPr="00072FB2">
        <w:t xml:space="preserve"> RAP </w:t>
      </w:r>
      <w:r w:rsidRPr="00072FB2">
        <w:t>covers a range of facial prosthetic supports</w:t>
      </w:r>
      <w:r w:rsidR="001762F7" w:rsidRPr="00072FB2">
        <w:t>,</w:t>
      </w:r>
      <w:r w:rsidRPr="00072FB2">
        <w:t xml:space="preserve"> including ear, eye, and nose prostheses.</w:t>
      </w:r>
    </w:p>
    <w:p w14:paraId="273A09EA" w14:textId="04B69475" w:rsidR="000D7CFB" w:rsidRDefault="000D7CFB" w:rsidP="00072FB2">
      <w:r w:rsidRPr="00072FB2">
        <w:t>To a</w:t>
      </w:r>
      <w:r>
        <w:t>ccess the program, eligible individuals must obtain a prescription or recommendation from a general practitioner or a specialist.</w:t>
      </w:r>
      <w:r w:rsidRPr="0028443E">
        <w:t xml:space="preserve"> </w:t>
      </w:r>
      <w:r w:rsidR="002466F5">
        <w:t xml:space="preserve">The </w:t>
      </w:r>
      <w:r>
        <w:t xml:space="preserve">health professional submits a RAP form to the DVA, including supplier details and a quote. As there are no contracted suppliers for facial prostheses, the prescribing health professional can </w:t>
      </w:r>
      <w:r w:rsidR="001762F7">
        <w:t>select a retailer based on the patient's needs and preferences</w:t>
      </w:r>
      <w:r>
        <w:t xml:space="preserve">. See </w:t>
      </w:r>
      <w:r w:rsidR="007B5BE7">
        <w:fldChar w:fldCharType="begin"/>
      </w:r>
      <w:r w:rsidR="007B5BE7">
        <w:instrText xml:space="preserve"> REF _Ref203123340 \w \h </w:instrText>
      </w:r>
      <w:r w:rsidR="007B5BE7">
        <w:fldChar w:fldCharType="separate"/>
      </w:r>
      <w:r w:rsidR="00D955D8">
        <w:t>Appendix C</w:t>
      </w:r>
      <w:r w:rsidR="007B5BE7">
        <w:fldChar w:fldCharType="end"/>
      </w:r>
      <w:r w:rsidR="007B5BE7" w:rsidRPr="00EB631D">
        <w:rPr>
          <w:b/>
          <w:bCs/>
        </w:rPr>
        <w:t xml:space="preserve"> </w:t>
      </w:r>
      <w:r>
        <w:t>for further details on facial prostheses provided under DVA.</w:t>
      </w:r>
      <w:r>
        <w:rPr>
          <w:rFonts w:ascii="ZWAdobeF" w:hAnsi="ZWAdobeF" w:cs="ZWAdobeF"/>
          <w:color w:val="auto"/>
          <w:sz w:val="2"/>
          <w:szCs w:val="2"/>
        </w:rPr>
        <w:t>80F</w:t>
      </w:r>
      <w:r>
        <w:rPr>
          <w:rStyle w:val="FootnoteReference"/>
        </w:rPr>
        <w:footnoteReference w:id="20"/>
      </w:r>
    </w:p>
    <w:p w14:paraId="6E4C5168" w14:textId="77777777" w:rsidR="000D7CFB" w:rsidRPr="00F12039" w:rsidRDefault="000D7CFB" w:rsidP="00FD54A5">
      <w:pPr>
        <w:pStyle w:val="Heading4"/>
      </w:pPr>
      <w:r>
        <w:t>Private health insurance</w:t>
      </w:r>
    </w:p>
    <w:p w14:paraId="00DBEFBB" w14:textId="61C93797" w:rsidR="000D7CFB" w:rsidRPr="008B474C" w:rsidRDefault="000D7CFB" w:rsidP="008B474C">
      <w:r w:rsidRPr="008B474C">
        <w:t>Coverage for facial prostheses by private health insurers in Australia varies significantly between funds</w:t>
      </w:r>
      <w:r w:rsidR="00F47231" w:rsidRPr="008B474C">
        <w:t>,</w:t>
      </w:r>
      <w:r w:rsidRPr="008B474C">
        <w:t xml:space="preserve"> as facial prostheses are not listed on the Prescribed List82F</w:t>
      </w:r>
      <w:r w:rsidRPr="008B474C">
        <w:rPr>
          <w:vertAlign w:val="superscript"/>
        </w:rPr>
        <w:footnoteReference w:id="21"/>
      </w:r>
      <w:r w:rsidRPr="008B474C">
        <w:t xml:space="preserve">. Therefore, funding is dependent on the level of cover, policy type, and specific fund rules. </w:t>
      </w:r>
      <w:r w:rsidR="00916BBB" w:rsidRPr="008B474C">
        <w:t>W</w:t>
      </w:r>
      <w:r w:rsidRPr="008B474C">
        <w:t>here coverage is available, it typically does not cover the full cost of the prosthesis, leaving individuals to pay a substantial out-of-pocket contribution.</w:t>
      </w:r>
      <w:r w:rsidR="00246A95" w:rsidRPr="008B474C">
        <w:t xml:space="preserve"> As detailed in</w:t>
      </w:r>
      <w:r w:rsidRPr="008B474C">
        <w:t xml:space="preserve"> </w:t>
      </w:r>
      <w:r w:rsidRPr="008B474C">
        <w:rPr>
          <w:highlight w:val="yellow"/>
        </w:rPr>
        <w:fldChar w:fldCharType="begin"/>
      </w:r>
      <w:r w:rsidRPr="008B474C">
        <w:instrText xml:space="preserve"> REF _Ref201842526 \h </w:instrText>
      </w:r>
      <w:r w:rsidRPr="008B474C">
        <w:rPr>
          <w:highlight w:val="yellow"/>
        </w:rPr>
      </w:r>
      <w:r w:rsidR="00072FB2" w:rsidRPr="008B474C">
        <w:rPr>
          <w:highlight w:val="yellow"/>
        </w:rPr>
        <w:instrText xml:space="preserve"> \* MERGEFORMAT </w:instrText>
      </w:r>
      <w:r w:rsidRPr="008B474C">
        <w:rPr>
          <w:highlight w:val="yellow"/>
        </w:rPr>
        <w:fldChar w:fldCharType="separate"/>
      </w:r>
      <w:r w:rsidR="00FC04B2" w:rsidRPr="008B474C">
        <w:t>Table 3</w:t>
      </w:r>
      <w:r w:rsidRPr="008B474C">
        <w:rPr>
          <w:highlight w:val="yellow"/>
        </w:rPr>
        <w:fldChar w:fldCharType="end"/>
      </w:r>
      <w:r w:rsidR="00F47231" w:rsidRPr="008B474C">
        <w:t>, o</w:t>
      </w:r>
      <w:r w:rsidR="00E8714C" w:rsidRPr="008B474C">
        <w:t>f</w:t>
      </w:r>
      <w:r w:rsidR="00031996" w:rsidRPr="008B474C">
        <w:t xml:space="preserve"> </w:t>
      </w:r>
      <w:r w:rsidR="00246A95" w:rsidRPr="008B474C">
        <w:t>a</w:t>
      </w:r>
      <w:r w:rsidRPr="008B474C">
        <w:t xml:space="preserve"> sample of private health insur</w:t>
      </w:r>
      <w:r w:rsidR="00246A95" w:rsidRPr="008B474C">
        <w:t>ers</w:t>
      </w:r>
      <w:r w:rsidR="001E143D" w:rsidRPr="008B474C">
        <w:t xml:space="preserve">, only Bupa’s Super or Top </w:t>
      </w:r>
      <w:r w:rsidR="001762F7" w:rsidRPr="008B474C">
        <w:t>E</w:t>
      </w:r>
      <w:r w:rsidR="001E143D" w:rsidRPr="008B474C">
        <w:t>xtras polic</w:t>
      </w:r>
      <w:r w:rsidR="006D5688" w:rsidRPr="008B474C">
        <w:t>y</w:t>
      </w:r>
      <w:r w:rsidR="001E143D" w:rsidRPr="008B474C">
        <w:t xml:space="preserve"> included coverage for facial prostheses</w:t>
      </w:r>
      <w:r w:rsidR="006D5688" w:rsidRPr="008B474C">
        <w:t xml:space="preserve">, </w:t>
      </w:r>
      <w:r w:rsidR="004075A6" w:rsidRPr="008B474C">
        <w:t xml:space="preserve">up to </w:t>
      </w:r>
      <w:r w:rsidR="001E143D" w:rsidRPr="008B474C">
        <w:t>an annual maximum benefit of $500.</w:t>
      </w:r>
    </w:p>
    <w:p w14:paraId="1088909C" w14:textId="68E614BC" w:rsidR="000D7CFB" w:rsidRDefault="000D7CFB" w:rsidP="00570758">
      <w:pPr>
        <w:pStyle w:val="Caption"/>
        <w:spacing w:after="80"/>
      </w:pPr>
      <w:bookmarkStart w:id="47" w:name="_Ref201842526"/>
      <w:bookmarkStart w:id="48" w:name="_Toc207348568"/>
      <w:r>
        <w:t xml:space="preserve">Table </w:t>
      </w:r>
      <w:r w:rsidR="00FC04B2">
        <w:fldChar w:fldCharType="begin"/>
      </w:r>
      <w:r w:rsidR="00FC04B2">
        <w:instrText xml:space="preserve"> SEQ Table \* ARABIC </w:instrText>
      </w:r>
      <w:r w:rsidR="00FC04B2">
        <w:fldChar w:fldCharType="separate"/>
      </w:r>
      <w:r w:rsidR="00FC04B2">
        <w:rPr>
          <w:noProof/>
        </w:rPr>
        <w:t>3</w:t>
      </w:r>
      <w:r w:rsidR="00FC04B2">
        <w:rPr>
          <w:noProof/>
        </w:rPr>
        <w:fldChar w:fldCharType="end"/>
      </w:r>
      <w:bookmarkEnd w:id="47"/>
      <w:r>
        <w:t>: Facial prostheses coverage by private health fund</w:t>
      </w:r>
      <w:bookmarkEnd w:id="48"/>
    </w:p>
    <w:tbl>
      <w:tblPr>
        <w:tblStyle w:val="KPMGTable"/>
        <w:tblW w:w="10318" w:type="dxa"/>
        <w:tblLook w:val="04A0" w:firstRow="1" w:lastRow="0" w:firstColumn="1" w:lastColumn="0" w:noHBand="0" w:noVBand="1"/>
      </w:tblPr>
      <w:tblGrid>
        <w:gridCol w:w="1897"/>
        <w:gridCol w:w="1403"/>
        <w:gridCol w:w="1404"/>
        <w:gridCol w:w="1403"/>
        <w:gridCol w:w="1404"/>
        <w:gridCol w:w="1403"/>
        <w:gridCol w:w="1404"/>
      </w:tblGrid>
      <w:tr w:rsidR="00210A81" w:rsidRPr="001E143D" w14:paraId="75D4EE7B" w14:textId="77777777" w:rsidTr="000927B9">
        <w:trPr>
          <w:cnfStyle w:val="100000000000" w:firstRow="1" w:lastRow="0" w:firstColumn="0" w:lastColumn="0" w:oddVBand="0" w:evenVBand="0" w:oddHBand="0"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897" w:type="dxa"/>
          </w:tcPr>
          <w:p w14:paraId="1795BE91" w14:textId="77777777" w:rsidR="001E143D" w:rsidRPr="000927B9" w:rsidRDefault="001E143D" w:rsidP="00E768E6">
            <w:pPr>
              <w:pStyle w:val="TableHeading"/>
            </w:pPr>
            <w:r w:rsidRPr="000927B9">
              <w:t xml:space="preserve">Private Health </w:t>
            </w:r>
            <w:r w:rsidRPr="000927B9">
              <w:br/>
              <w:t>Insurer</w:t>
            </w:r>
          </w:p>
        </w:tc>
        <w:tc>
          <w:tcPr>
            <w:tcW w:w="1403" w:type="dxa"/>
          </w:tcPr>
          <w:p w14:paraId="66BC82E9" w14:textId="77777777" w:rsidR="001E143D" w:rsidRPr="000927B9" w:rsidRDefault="001E143D" w:rsidP="00E768E6">
            <w:pPr>
              <w:pStyle w:val="TableHeading"/>
              <w:cnfStyle w:val="100000000000" w:firstRow="1" w:lastRow="0" w:firstColumn="0" w:lastColumn="0" w:oddVBand="0" w:evenVBand="0" w:oddHBand="0" w:evenHBand="0" w:firstRowFirstColumn="0" w:firstRowLastColumn="0" w:lastRowFirstColumn="0" w:lastRowLastColumn="0"/>
            </w:pPr>
            <w:r w:rsidRPr="000927B9">
              <w:t>Level of cover</w:t>
            </w:r>
          </w:p>
        </w:tc>
        <w:tc>
          <w:tcPr>
            <w:tcW w:w="1404" w:type="dxa"/>
          </w:tcPr>
          <w:p w14:paraId="68F7145C" w14:textId="77777777" w:rsidR="001E143D" w:rsidRPr="000927B9" w:rsidRDefault="001E143D" w:rsidP="00E768E6">
            <w:pPr>
              <w:pStyle w:val="TableHeading"/>
              <w:cnfStyle w:val="100000000000" w:firstRow="1" w:lastRow="0" w:firstColumn="0" w:lastColumn="0" w:oddVBand="0" w:evenVBand="0" w:oddHBand="0" w:evenHBand="0" w:firstRowFirstColumn="0" w:firstRowLastColumn="0" w:lastRowFirstColumn="0" w:lastRowLastColumn="0"/>
            </w:pPr>
            <w:r w:rsidRPr="000927B9">
              <w:t>Orbital prosthesis</w:t>
            </w:r>
          </w:p>
        </w:tc>
        <w:tc>
          <w:tcPr>
            <w:tcW w:w="1403" w:type="dxa"/>
          </w:tcPr>
          <w:p w14:paraId="69D506F4" w14:textId="77777777" w:rsidR="001E143D" w:rsidRPr="000927B9" w:rsidRDefault="001E143D" w:rsidP="00E768E6">
            <w:pPr>
              <w:pStyle w:val="TableHeading"/>
              <w:cnfStyle w:val="100000000000" w:firstRow="1" w:lastRow="0" w:firstColumn="0" w:lastColumn="0" w:oddVBand="0" w:evenVBand="0" w:oddHBand="0" w:evenHBand="0" w:firstRowFirstColumn="0" w:firstRowLastColumn="0" w:lastRowFirstColumn="0" w:lastRowLastColumn="0"/>
            </w:pPr>
            <w:r w:rsidRPr="000927B9">
              <w:t>Nose, ear, hemifacial prosthesis</w:t>
            </w:r>
          </w:p>
        </w:tc>
        <w:tc>
          <w:tcPr>
            <w:tcW w:w="1404" w:type="dxa"/>
          </w:tcPr>
          <w:p w14:paraId="2C78B04F" w14:textId="77777777" w:rsidR="001E143D" w:rsidRPr="000927B9" w:rsidRDefault="001E143D" w:rsidP="00E768E6">
            <w:pPr>
              <w:pStyle w:val="TableHeading"/>
              <w:cnfStyle w:val="100000000000" w:firstRow="1" w:lastRow="0" w:firstColumn="0" w:lastColumn="0" w:oddVBand="0" w:evenVBand="0" w:oddHBand="0" w:evenHBand="0" w:firstRowFirstColumn="0" w:firstRowLastColumn="0" w:lastRowFirstColumn="0" w:lastRowLastColumn="0"/>
            </w:pPr>
            <w:r w:rsidRPr="000927B9">
              <w:t>Replacement period</w:t>
            </w:r>
          </w:p>
        </w:tc>
        <w:tc>
          <w:tcPr>
            <w:tcW w:w="1403" w:type="dxa"/>
          </w:tcPr>
          <w:p w14:paraId="2D108F3B" w14:textId="77777777" w:rsidR="001E143D" w:rsidRPr="000927B9" w:rsidRDefault="001E143D" w:rsidP="00E768E6">
            <w:pPr>
              <w:pStyle w:val="TableHeading"/>
              <w:cnfStyle w:val="100000000000" w:firstRow="1" w:lastRow="0" w:firstColumn="0" w:lastColumn="0" w:oddVBand="0" w:evenVBand="0" w:oddHBand="0" w:evenHBand="0" w:firstRowFirstColumn="0" w:firstRowLastColumn="0" w:lastRowFirstColumn="0" w:lastRowLastColumn="0"/>
            </w:pPr>
            <w:r w:rsidRPr="000927B9">
              <w:t>Waiting period</w:t>
            </w:r>
          </w:p>
        </w:tc>
        <w:tc>
          <w:tcPr>
            <w:tcW w:w="1404" w:type="dxa"/>
          </w:tcPr>
          <w:p w14:paraId="6F539DAD" w14:textId="77777777" w:rsidR="001E143D" w:rsidRPr="000927B9" w:rsidRDefault="001E143D" w:rsidP="00E768E6">
            <w:pPr>
              <w:pStyle w:val="TableHeading"/>
              <w:cnfStyle w:val="100000000000" w:firstRow="1" w:lastRow="0" w:firstColumn="0" w:lastColumn="0" w:oddVBand="0" w:evenVBand="0" w:oddHBand="0" w:evenHBand="0" w:firstRowFirstColumn="0" w:firstRowLastColumn="0" w:lastRowFirstColumn="0" w:lastRowLastColumn="0"/>
            </w:pPr>
            <w:r w:rsidRPr="000927B9">
              <w:t xml:space="preserve">Annual benefit limit </w:t>
            </w:r>
          </w:p>
        </w:tc>
      </w:tr>
      <w:tr w:rsidR="00AE1E92" w:rsidRPr="001E143D" w14:paraId="4DF33B4C" w14:textId="77777777" w:rsidTr="000927B9">
        <w:trPr>
          <w:trHeight w:val="680"/>
        </w:trPr>
        <w:tc>
          <w:tcPr>
            <w:cnfStyle w:val="001000000000" w:firstRow="0" w:lastRow="0" w:firstColumn="1" w:lastColumn="0" w:oddVBand="0" w:evenVBand="0" w:oddHBand="0" w:evenHBand="0" w:firstRowFirstColumn="0" w:firstRowLastColumn="0" w:lastRowFirstColumn="0" w:lastRowLastColumn="0"/>
            <w:tcW w:w="1897" w:type="dxa"/>
          </w:tcPr>
          <w:p w14:paraId="04CDCF9C" w14:textId="77777777" w:rsidR="001E143D" w:rsidRPr="001E143D" w:rsidRDefault="001E143D" w:rsidP="00E768E6">
            <w:pPr>
              <w:pStyle w:val="Tabletextbold"/>
              <w:rPr>
                <w:b/>
                <w:szCs w:val="18"/>
              </w:rPr>
            </w:pPr>
            <w:r w:rsidRPr="001E143D">
              <w:rPr>
                <w:b/>
              </w:rPr>
              <w:t>Bupa</w:t>
            </w:r>
            <w:r w:rsidRPr="00EF4876">
              <w:rPr>
                <w:rFonts w:ascii="ZWAdobeF" w:hAnsi="ZWAdobeF" w:cs="ZWAdobeF"/>
                <w:color w:val="auto"/>
                <w:szCs w:val="18"/>
              </w:rPr>
              <w:t>84F</w:t>
            </w:r>
            <w:r w:rsidRPr="001E143D">
              <w:rPr>
                <w:rStyle w:val="FootnoteReference"/>
                <w:szCs w:val="18"/>
              </w:rPr>
              <w:footnoteReference w:id="22"/>
            </w:r>
          </w:p>
        </w:tc>
        <w:tc>
          <w:tcPr>
            <w:tcW w:w="1403" w:type="dxa"/>
          </w:tcPr>
          <w:p w14:paraId="66A24EF0" w14:textId="77777777" w:rsidR="001E143D" w:rsidRPr="001E143D" w:rsidRDefault="001E143D" w:rsidP="00E768E6">
            <w:pPr>
              <w:pStyle w:val="TableText"/>
              <w:cnfStyle w:val="000000000000" w:firstRow="0" w:lastRow="0" w:firstColumn="0" w:lastColumn="0" w:oddVBand="0" w:evenVBand="0" w:oddHBand="0" w:evenHBand="0" w:firstRowFirstColumn="0" w:firstRowLastColumn="0" w:lastRowFirstColumn="0" w:lastRowLastColumn="0"/>
            </w:pPr>
            <w:r w:rsidRPr="001E143D">
              <w:t>Super extras or Top extras</w:t>
            </w:r>
          </w:p>
        </w:tc>
        <w:tc>
          <w:tcPr>
            <w:tcW w:w="1404" w:type="dxa"/>
          </w:tcPr>
          <w:p w14:paraId="7BBB4106" w14:textId="7F08C7D1" w:rsidR="001E143D" w:rsidRPr="00EF4876" w:rsidRDefault="000D23E6" w:rsidP="00E768E6">
            <w:pPr>
              <w:pStyle w:val="TableText"/>
              <w:cnfStyle w:val="000000000000" w:firstRow="0" w:lastRow="0" w:firstColumn="0" w:lastColumn="0" w:oddVBand="0" w:evenVBand="0" w:oddHBand="0" w:evenHBand="0" w:firstRowFirstColumn="0" w:firstRowLastColumn="0" w:lastRowFirstColumn="0" w:lastRowLastColumn="0"/>
              <w:rPr>
                <w:szCs w:val="18"/>
              </w:rPr>
            </w:pPr>
            <w:r>
              <w:t>Yes</w:t>
            </w:r>
          </w:p>
        </w:tc>
        <w:tc>
          <w:tcPr>
            <w:tcW w:w="1403" w:type="dxa"/>
          </w:tcPr>
          <w:p w14:paraId="59BA7C56" w14:textId="3B28BBB9" w:rsidR="001E143D" w:rsidRPr="00EF4876" w:rsidRDefault="000D23E6" w:rsidP="00E768E6">
            <w:pPr>
              <w:pStyle w:val="TableText"/>
              <w:cnfStyle w:val="000000000000" w:firstRow="0" w:lastRow="0" w:firstColumn="0" w:lastColumn="0" w:oddVBand="0" w:evenVBand="0" w:oddHBand="0" w:evenHBand="0" w:firstRowFirstColumn="0" w:firstRowLastColumn="0" w:lastRowFirstColumn="0" w:lastRowLastColumn="0"/>
              <w:rPr>
                <w:szCs w:val="18"/>
              </w:rPr>
            </w:pPr>
            <w:r>
              <w:t>Yes</w:t>
            </w:r>
          </w:p>
        </w:tc>
        <w:tc>
          <w:tcPr>
            <w:tcW w:w="1404" w:type="dxa"/>
          </w:tcPr>
          <w:p w14:paraId="6240E481" w14:textId="308F3D04" w:rsidR="001E143D" w:rsidRPr="001E143D" w:rsidRDefault="001E143D" w:rsidP="00E768E6">
            <w:pPr>
              <w:pStyle w:val="TableText"/>
              <w:cnfStyle w:val="000000000000" w:firstRow="0" w:lastRow="0" w:firstColumn="0" w:lastColumn="0" w:oddVBand="0" w:evenVBand="0" w:oddHBand="0" w:evenHBand="0" w:firstRowFirstColumn="0" w:firstRowLastColumn="0" w:lastRowFirstColumn="0" w:lastRowLastColumn="0"/>
            </w:pPr>
            <w:r w:rsidRPr="001E143D">
              <w:t>Not specified</w:t>
            </w:r>
          </w:p>
        </w:tc>
        <w:tc>
          <w:tcPr>
            <w:tcW w:w="1403" w:type="dxa"/>
          </w:tcPr>
          <w:p w14:paraId="6E8B0CF7" w14:textId="77777777" w:rsidR="001E143D" w:rsidRPr="001E143D" w:rsidRDefault="001E143D" w:rsidP="00E768E6">
            <w:pPr>
              <w:pStyle w:val="TableText"/>
              <w:cnfStyle w:val="000000000000" w:firstRow="0" w:lastRow="0" w:firstColumn="0" w:lastColumn="0" w:oddVBand="0" w:evenVBand="0" w:oddHBand="0" w:evenHBand="0" w:firstRowFirstColumn="0" w:firstRowLastColumn="0" w:lastRowFirstColumn="0" w:lastRowLastColumn="0"/>
            </w:pPr>
            <w:r w:rsidRPr="001E143D">
              <w:t>12 months</w:t>
            </w:r>
          </w:p>
        </w:tc>
        <w:tc>
          <w:tcPr>
            <w:tcW w:w="1404" w:type="dxa"/>
          </w:tcPr>
          <w:p w14:paraId="677D5358" w14:textId="77777777" w:rsidR="001E143D" w:rsidRPr="001E143D" w:rsidRDefault="001E143D" w:rsidP="00E768E6">
            <w:pPr>
              <w:pStyle w:val="TableText"/>
              <w:cnfStyle w:val="000000000000" w:firstRow="0" w:lastRow="0" w:firstColumn="0" w:lastColumn="0" w:oddVBand="0" w:evenVBand="0" w:oddHBand="0" w:evenHBand="0" w:firstRowFirstColumn="0" w:firstRowLastColumn="0" w:lastRowFirstColumn="0" w:lastRowLastColumn="0"/>
            </w:pPr>
            <w:r w:rsidRPr="001E143D">
              <w:t>Up to $500 annual maximum</w:t>
            </w:r>
          </w:p>
        </w:tc>
      </w:tr>
      <w:tr w:rsidR="00AE1E92" w:rsidRPr="001E143D" w14:paraId="00F2AA41" w14:textId="77777777" w:rsidTr="000927B9">
        <w:trPr>
          <w:trHeight w:val="828"/>
        </w:trPr>
        <w:tc>
          <w:tcPr>
            <w:cnfStyle w:val="001000000000" w:firstRow="0" w:lastRow="0" w:firstColumn="1" w:lastColumn="0" w:oddVBand="0" w:evenVBand="0" w:oddHBand="0" w:evenHBand="0" w:firstRowFirstColumn="0" w:firstRowLastColumn="0" w:lastRowFirstColumn="0" w:lastRowLastColumn="0"/>
            <w:tcW w:w="1897" w:type="dxa"/>
          </w:tcPr>
          <w:p w14:paraId="0736B4C5" w14:textId="77777777" w:rsidR="00D771B8" w:rsidRPr="001E143D" w:rsidRDefault="00D771B8" w:rsidP="00E768E6">
            <w:pPr>
              <w:pStyle w:val="Tabletextbold"/>
              <w:rPr>
                <w:b/>
                <w:szCs w:val="18"/>
              </w:rPr>
            </w:pPr>
            <w:r w:rsidRPr="001E143D">
              <w:rPr>
                <w:b/>
              </w:rPr>
              <w:t>Emergency Services Health</w:t>
            </w:r>
            <w:r w:rsidRPr="00EF4876">
              <w:rPr>
                <w:rFonts w:ascii="ZWAdobeF" w:hAnsi="ZWAdobeF" w:cs="ZWAdobeF"/>
                <w:color w:val="auto"/>
                <w:szCs w:val="18"/>
              </w:rPr>
              <w:t>86F</w:t>
            </w:r>
            <w:r w:rsidRPr="001E143D">
              <w:rPr>
                <w:rStyle w:val="FootnoteReference"/>
                <w:szCs w:val="18"/>
              </w:rPr>
              <w:footnoteReference w:id="23"/>
            </w:r>
          </w:p>
        </w:tc>
        <w:tc>
          <w:tcPr>
            <w:tcW w:w="1403" w:type="dxa"/>
          </w:tcPr>
          <w:p w14:paraId="58C19B18" w14:textId="77777777" w:rsidR="00D771B8" w:rsidRPr="0075763F" w:rsidRDefault="00D771B8" w:rsidP="00E768E6">
            <w:pPr>
              <w:pStyle w:val="TableText"/>
              <w:cnfStyle w:val="000000000000" w:firstRow="0" w:lastRow="0" w:firstColumn="0" w:lastColumn="0" w:oddVBand="0" w:evenVBand="0" w:oddHBand="0" w:evenHBand="0" w:firstRowFirstColumn="0" w:firstRowLastColumn="0" w:lastRowFirstColumn="0" w:lastRowLastColumn="0"/>
              <w:rPr>
                <w:color w:val="auto"/>
              </w:rPr>
            </w:pPr>
            <w:r w:rsidRPr="0075763F">
              <w:rPr>
                <w:color w:val="auto"/>
              </w:rPr>
              <w:t>Gold Hospital Cover or Gold Combined Cover</w:t>
            </w:r>
          </w:p>
        </w:tc>
        <w:tc>
          <w:tcPr>
            <w:tcW w:w="1404" w:type="dxa"/>
          </w:tcPr>
          <w:p w14:paraId="1667C409" w14:textId="4F4A76D7" w:rsidR="00D771B8" w:rsidRPr="0075763F" w:rsidRDefault="000D23E6" w:rsidP="00E768E6">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sidRPr="00574B33">
              <w:rPr>
                <w:color w:val="auto"/>
              </w:rPr>
              <w:t>No</w:t>
            </w:r>
          </w:p>
        </w:tc>
        <w:tc>
          <w:tcPr>
            <w:tcW w:w="1403" w:type="dxa"/>
          </w:tcPr>
          <w:p w14:paraId="25D8385B" w14:textId="4BDB4847" w:rsidR="00D771B8" w:rsidRPr="0075763F" w:rsidRDefault="000D23E6" w:rsidP="00E768E6">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sidRPr="00574B33">
              <w:rPr>
                <w:color w:val="auto"/>
              </w:rPr>
              <w:t>No</w:t>
            </w:r>
          </w:p>
        </w:tc>
        <w:tc>
          <w:tcPr>
            <w:tcW w:w="1404" w:type="dxa"/>
          </w:tcPr>
          <w:p w14:paraId="72F6BF8A" w14:textId="27693A37" w:rsidR="00D771B8" w:rsidRPr="0075763F" w:rsidRDefault="00D771B8" w:rsidP="00E768E6">
            <w:pPr>
              <w:pStyle w:val="TableText"/>
              <w:cnfStyle w:val="000000000000" w:firstRow="0" w:lastRow="0" w:firstColumn="0" w:lastColumn="0" w:oddVBand="0" w:evenVBand="0" w:oddHBand="0" w:evenHBand="0" w:firstRowFirstColumn="0" w:firstRowLastColumn="0" w:lastRowFirstColumn="0" w:lastRowLastColumn="0"/>
              <w:rPr>
                <w:color w:val="auto"/>
              </w:rPr>
            </w:pPr>
            <w:r w:rsidRPr="0075763F">
              <w:rPr>
                <w:color w:val="auto"/>
              </w:rPr>
              <w:t>N/A</w:t>
            </w:r>
          </w:p>
        </w:tc>
        <w:tc>
          <w:tcPr>
            <w:tcW w:w="1403" w:type="dxa"/>
          </w:tcPr>
          <w:p w14:paraId="7F1F1215" w14:textId="71F1B872" w:rsidR="00D771B8" w:rsidRPr="0075763F" w:rsidRDefault="00D771B8" w:rsidP="00E768E6">
            <w:pPr>
              <w:pStyle w:val="TableText"/>
              <w:cnfStyle w:val="000000000000" w:firstRow="0" w:lastRow="0" w:firstColumn="0" w:lastColumn="0" w:oddVBand="0" w:evenVBand="0" w:oddHBand="0" w:evenHBand="0" w:firstRowFirstColumn="0" w:firstRowLastColumn="0" w:lastRowFirstColumn="0" w:lastRowLastColumn="0"/>
              <w:rPr>
                <w:color w:val="auto"/>
              </w:rPr>
            </w:pPr>
            <w:r w:rsidRPr="0075763F">
              <w:rPr>
                <w:color w:val="auto"/>
              </w:rPr>
              <w:t>N/A</w:t>
            </w:r>
          </w:p>
        </w:tc>
        <w:tc>
          <w:tcPr>
            <w:tcW w:w="1404" w:type="dxa"/>
          </w:tcPr>
          <w:p w14:paraId="6605A0B2" w14:textId="20E58BBB" w:rsidR="00D771B8" w:rsidRPr="0075763F" w:rsidRDefault="00D771B8" w:rsidP="00E768E6">
            <w:pPr>
              <w:pStyle w:val="TableText"/>
              <w:cnfStyle w:val="000000000000" w:firstRow="0" w:lastRow="0" w:firstColumn="0" w:lastColumn="0" w:oddVBand="0" w:evenVBand="0" w:oddHBand="0" w:evenHBand="0" w:firstRowFirstColumn="0" w:firstRowLastColumn="0" w:lastRowFirstColumn="0" w:lastRowLastColumn="0"/>
              <w:rPr>
                <w:color w:val="auto"/>
              </w:rPr>
            </w:pPr>
            <w:r w:rsidRPr="0075763F">
              <w:rPr>
                <w:color w:val="auto"/>
              </w:rPr>
              <w:t>N/A</w:t>
            </w:r>
          </w:p>
        </w:tc>
      </w:tr>
      <w:tr w:rsidR="00AE1E92" w:rsidRPr="001E143D" w14:paraId="2E1BB9FA" w14:textId="77777777" w:rsidTr="000927B9">
        <w:trPr>
          <w:trHeight w:val="680"/>
        </w:trPr>
        <w:tc>
          <w:tcPr>
            <w:cnfStyle w:val="001000000000" w:firstRow="0" w:lastRow="0" w:firstColumn="1" w:lastColumn="0" w:oddVBand="0" w:evenVBand="0" w:oddHBand="0" w:evenHBand="0" w:firstRowFirstColumn="0" w:firstRowLastColumn="0" w:lastRowFirstColumn="0" w:lastRowLastColumn="0"/>
            <w:tcW w:w="1897" w:type="dxa"/>
          </w:tcPr>
          <w:p w14:paraId="787A2E11" w14:textId="77777777" w:rsidR="00D771B8" w:rsidRPr="001E143D" w:rsidRDefault="00D771B8" w:rsidP="00E768E6">
            <w:pPr>
              <w:pStyle w:val="Tabletextbold"/>
              <w:rPr>
                <w:b/>
                <w:szCs w:val="18"/>
              </w:rPr>
            </w:pPr>
            <w:r w:rsidRPr="001E143D">
              <w:rPr>
                <w:b/>
              </w:rPr>
              <w:t>HIF</w:t>
            </w:r>
            <w:r w:rsidRPr="00EF4876">
              <w:rPr>
                <w:rFonts w:ascii="ZWAdobeF" w:hAnsi="ZWAdobeF" w:cs="ZWAdobeF"/>
                <w:color w:val="auto"/>
                <w:szCs w:val="18"/>
              </w:rPr>
              <w:t>85F</w:t>
            </w:r>
            <w:r w:rsidRPr="001E143D">
              <w:rPr>
                <w:rStyle w:val="FootnoteReference"/>
                <w:szCs w:val="18"/>
              </w:rPr>
              <w:footnoteReference w:id="24"/>
            </w:r>
          </w:p>
        </w:tc>
        <w:tc>
          <w:tcPr>
            <w:tcW w:w="1403" w:type="dxa"/>
          </w:tcPr>
          <w:p w14:paraId="024633B3" w14:textId="77777777" w:rsidR="00D771B8" w:rsidRPr="0075763F" w:rsidRDefault="00D771B8" w:rsidP="00E768E6">
            <w:pPr>
              <w:pStyle w:val="TableText"/>
              <w:cnfStyle w:val="000000000000" w:firstRow="0" w:lastRow="0" w:firstColumn="0" w:lastColumn="0" w:oddVBand="0" w:evenVBand="0" w:oddHBand="0" w:evenHBand="0" w:firstRowFirstColumn="0" w:firstRowLastColumn="0" w:lastRowFirstColumn="0" w:lastRowLastColumn="0"/>
              <w:rPr>
                <w:color w:val="auto"/>
              </w:rPr>
            </w:pPr>
            <w:r w:rsidRPr="0075763F">
              <w:rPr>
                <w:color w:val="auto"/>
              </w:rPr>
              <w:t>Advanced extras or Top extras</w:t>
            </w:r>
          </w:p>
        </w:tc>
        <w:tc>
          <w:tcPr>
            <w:tcW w:w="1404" w:type="dxa"/>
          </w:tcPr>
          <w:p w14:paraId="5A39F9DF" w14:textId="76BDE78D" w:rsidR="00D771B8" w:rsidRPr="0075763F" w:rsidRDefault="000D23E6" w:rsidP="00E768E6">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sidRPr="00574B33">
              <w:rPr>
                <w:color w:val="auto"/>
              </w:rPr>
              <w:t>No</w:t>
            </w:r>
          </w:p>
        </w:tc>
        <w:tc>
          <w:tcPr>
            <w:tcW w:w="1403" w:type="dxa"/>
          </w:tcPr>
          <w:p w14:paraId="7D33C16B" w14:textId="3670A46F" w:rsidR="00D771B8" w:rsidRPr="0075763F" w:rsidRDefault="000D23E6" w:rsidP="00E768E6">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sidRPr="00574B33">
              <w:rPr>
                <w:color w:val="auto"/>
              </w:rPr>
              <w:t>No</w:t>
            </w:r>
          </w:p>
        </w:tc>
        <w:tc>
          <w:tcPr>
            <w:tcW w:w="1404" w:type="dxa"/>
          </w:tcPr>
          <w:p w14:paraId="45901BCF" w14:textId="69840FA5" w:rsidR="00D771B8" w:rsidRPr="0075763F" w:rsidRDefault="00D771B8" w:rsidP="00E768E6">
            <w:pPr>
              <w:pStyle w:val="TableText"/>
              <w:cnfStyle w:val="000000000000" w:firstRow="0" w:lastRow="0" w:firstColumn="0" w:lastColumn="0" w:oddVBand="0" w:evenVBand="0" w:oddHBand="0" w:evenHBand="0" w:firstRowFirstColumn="0" w:firstRowLastColumn="0" w:lastRowFirstColumn="0" w:lastRowLastColumn="0"/>
              <w:rPr>
                <w:color w:val="auto"/>
              </w:rPr>
            </w:pPr>
            <w:r w:rsidRPr="0075763F">
              <w:rPr>
                <w:color w:val="auto"/>
              </w:rPr>
              <w:t>N/A</w:t>
            </w:r>
          </w:p>
        </w:tc>
        <w:tc>
          <w:tcPr>
            <w:tcW w:w="1403" w:type="dxa"/>
          </w:tcPr>
          <w:p w14:paraId="4487AA71" w14:textId="1742F75A" w:rsidR="00D771B8" w:rsidRPr="0075763F" w:rsidRDefault="00D771B8" w:rsidP="00E768E6">
            <w:pPr>
              <w:pStyle w:val="TableText"/>
              <w:cnfStyle w:val="000000000000" w:firstRow="0" w:lastRow="0" w:firstColumn="0" w:lastColumn="0" w:oddVBand="0" w:evenVBand="0" w:oddHBand="0" w:evenHBand="0" w:firstRowFirstColumn="0" w:firstRowLastColumn="0" w:lastRowFirstColumn="0" w:lastRowLastColumn="0"/>
              <w:rPr>
                <w:color w:val="auto"/>
              </w:rPr>
            </w:pPr>
            <w:r w:rsidRPr="0075763F">
              <w:rPr>
                <w:color w:val="auto"/>
              </w:rPr>
              <w:t>N/A</w:t>
            </w:r>
          </w:p>
        </w:tc>
        <w:tc>
          <w:tcPr>
            <w:tcW w:w="1404" w:type="dxa"/>
          </w:tcPr>
          <w:p w14:paraId="23A28D84" w14:textId="7BF3D725" w:rsidR="00D771B8" w:rsidRPr="0075763F" w:rsidRDefault="00D771B8" w:rsidP="00E768E6">
            <w:pPr>
              <w:pStyle w:val="TableText"/>
              <w:cnfStyle w:val="000000000000" w:firstRow="0" w:lastRow="0" w:firstColumn="0" w:lastColumn="0" w:oddVBand="0" w:evenVBand="0" w:oddHBand="0" w:evenHBand="0" w:firstRowFirstColumn="0" w:firstRowLastColumn="0" w:lastRowFirstColumn="0" w:lastRowLastColumn="0"/>
              <w:rPr>
                <w:color w:val="auto"/>
              </w:rPr>
            </w:pPr>
            <w:r w:rsidRPr="0075763F">
              <w:rPr>
                <w:color w:val="auto"/>
              </w:rPr>
              <w:t>N/A</w:t>
            </w:r>
          </w:p>
        </w:tc>
      </w:tr>
      <w:tr w:rsidR="00AE1E92" w:rsidRPr="001E143D" w14:paraId="2D32BD8D" w14:textId="77777777" w:rsidTr="000927B9">
        <w:trPr>
          <w:trHeight w:val="737"/>
        </w:trPr>
        <w:tc>
          <w:tcPr>
            <w:cnfStyle w:val="001000000000" w:firstRow="0" w:lastRow="0" w:firstColumn="1" w:lastColumn="0" w:oddVBand="0" w:evenVBand="0" w:oddHBand="0" w:evenHBand="0" w:firstRowFirstColumn="0" w:firstRowLastColumn="0" w:lastRowFirstColumn="0" w:lastRowLastColumn="0"/>
            <w:tcW w:w="1897" w:type="dxa"/>
          </w:tcPr>
          <w:p w14:paraId="78BA680F" w14:textId="77777777" w:rsidR="00D771B8" w:rsidRPr="001E143D" w:rsidRDefault="00D771B8" w:rsidP="00E768E6">
            <w:pPr>
              <w:pStyle w:val="Tabletextbold"/>
              <w:rPr>
                <w:b/>
                <w:szCs w:val="18"/>
              </w:rPr>
            </w:pPr>
            <w:r w:rsidRPr="001E143D">
              <w:rPr>
                <w:b/>
              </w:rPr>
              <w:t>Medibank</w:t>
            </w:r>
            <w:r w:rsidRPr="00EF4876">
              <w:rPr>
                <w:rFonts w:ascii="ZWAdobeF" w:hAnsi="ZWAdobeF" w:cs="ZWAdobeF"/>
                <w:color w:val="auto"/>
                <w:szCs w:val="18"/>
              </w:rPr>
              <w:t>83F</w:t>
            </w:r>
            <w:r w:rsidRPr="001E143D">
              <w:rPr>
                <w:rStyle w:val="FootnoteReference"/>
                <w:szCs w:val="18"/>
              </w:rPr>
              <w:footnoteReference w:id="25"/>
            </w:r>
          </w:p>
        </w:tc>
        <w:tc>
          <w:tcPr>
            <w:tcW w:w="1403" w:type="dxa"/>
          </w:tcPr>
          <w:p w14:paraId="22370927" w14:textId="77777777" w:rsidR="00D771B8" w:rsidRPr="0075763F" w:rsidRDefault="00D771B8" w:rsidP="00E768E6">
            <w:pPr>
              <w:pStyle w:val="TableText"/>
              <w:cnfStyle w:val="000000000000" w:firstRow="0" w:lastRow="0" w:firstColumn="0" w:lastColumn="0" w:oddVBand="0" w:evenVBand="0" w:oddHBand="0" w:evenHBand="0" w:firstRowFirstColumn="0" w:firstRowLastColumn="0" w:lastRowFirstColumn="0" w:lastRowLastColumn="0"/>
              <w:rPr>
                <w:color w:val="auto"/>
              </w:rPr>
            </w:pPr>
            <w:r w:rsidRPr="0075763F">
              <w:rPr>
                <w:color w:val="auto"/>
              </w:rPr>
              <w:t>Top Extra’s 60/70/75</w:t>
            </w:r>
          </w:p>
        </w:tc>
        <w:tc>
          <w:tcPr>
            <w:tcW w:w="1404" w:type="dxa"/>
          </w:tcPr>
          <w:p w14:paraId="3466E0D4" w14:textId="6E68F711" w:rsidR="00D771B8" w:rsidRPr="0075763F" w:rsidRDefault="000D23E6" w:rsidP="00E768E6">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sidRPr="00574B33">
              <w:rPr>
                <w:color w:val="auto"/>
              </w:rPr>
              <w:t>No</w:t>
            </w:r>
          </w:p>
        </w:tc>
        <w:tc>
          <w:tcPr>
            <w:tcW w:w="1403" w:type="dxa"/>
          </w:tcPr>
          <w:p w14:paraId="69CBFFAD" w14:textId="1A610B98" w:rsidR="00D771B8" w:rsidRPr="0075763F" w:rsidRDefault="000D23E6" w:rsidP="00E768E6">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sidRPr="00574B33">
              <w:rPr>
                <w:color w:val="auto"/>
              </w:rPr>
              <w:t>No</w:t>
            </w:r>
          </w:p>
        </w:tc>
        <w:tc>
          <w:tcPr>
            <w:tcW w:w="1404" w:type="dxa"/>
          </w:tcPr>
          <w:p w14:paraId="521C87CF" w14:textId="71E10333" w:rsidR="00D771B8" w:rsidRPr="0075763F" w:rsidRDefault="00D771B8" w:rsidP="00E768E6">
            <w:pPr>
              <w:pStyle w:val="TableText"/>
              <w:cnfStyle w:val="000000000000" w:firstRow="0" w:lastRow="0" w:firstColumn="0" w:lastColumn="0" w:oddVBand="0" w:evenVBand="0" w:oddHBand="0" w:evenHBand="0" w:firstRowFirstColumn="0" w:firstRowLastColumn="0" w:lastRowFirstColumn="0" w:lastRowLastColumn="0"/>
              <w:rPr>
                <w:color w:val="auto"/>
              </w:rPr>
            </w:pPr>
            <w:r w:rsidRPr="0075763F">
              <w:rPr>
                <w:color w:val="auto"/>
              </w:rPr>
              <w:t>N/A</w:t>
            </w:r>
          </w:p>
        </w:tc>
        <w:tc>
          <w:tcPr>
            <w:tcW w:w="1403" w:type="dxa"/>
          </w:tcPr>
          <w:p w14:paraId="2B92E29F" w14:textId="48FF59F4" w:rsidR="00D771B8" w:rsidRPr="0075763F" w:rsidRDefault="00D771B8" w:rsidP="00E768E6">
            <w:pPr>
              <w:pStyle w:val="TableText"/>
              <w:cnfStyle w:val="000000000000" w:firstRow="0" w:lastRow="0" w:firstColumn="0" w:lastColumn="0" w:oddVBand="0" w:evenVBand="0" w:oddHBand="0" w:evenHBand="0" w:firstRowFirstColumn="0" w:firstRowLastColumn="0" w:lastRowFirstColumn="0" w:lastRowLastColumn="0"/>
              <w:rPr>
                <w:color w:val="auto"/>
              </w:rPr>
            </w:pPr>
            <w:r w:rsidRPr="0075763F">
              <w:rPr>
                <w:color w:val="auto"/>
              </w:rPr>
              <w:t>N/A</w:t>
            </w:r>
          </w:p>
        </w:tc>
        <w:tc>
          <w:tcPr>
            <w:tcW w:w="1404" w:type="dxa"/>
          </w:tcPr>
          <w:p w14:paraId="3D0CC01C" w14:textId="0C5FD61C" w:rsidR="00D771B8" w:rsidRPr="0075763F" w:rsidRDefault="00D771B8" w:rsidP="00E768E6">
            <w:pPr>
              <w:pStyle w:val="TableText"/>
              <w:cnfStyle w:val="000000000000" w:firstRow="0" w:lastRow="0" w:firstColumn="0" w:lastColumn="0" w:oddVBand="0" w:evenVBand="0" w:oddHBand="0" w:evenHBand="0" w:firstRowFirstColumn="0" w:firstRowLastColumn="0" w:lastRowFirstColumn="0" w:lastRowLastColumn="0"/>
              <w:rPr>
                <w:color w:val="auto"/>
              </w:rPr>
            </w:pPr>
            <w:r w:rsidRPr="0075763F">
              <w:rPr>
                <w:color w:val="auto"/>
              </w:rPr>
              <w:t>N/A</w:t>
            </w:r>
          </w:p>
        </w:tc>
      </w:tr>
    </w:tbl>
    <w:p w14:paraId="00841EB7" w14:textId="77777777" w:rsidR="000D7CFB" w:rsidRPr="00E45A96" w:rsidRDefault="000D7CFB" w:rsidP="000D23E6">
      <w:pPr>
        <w:pStyle w:val="Caption-Source"/>
        <w:rPr>
          <w:i/>
          <w:szCs w:val="20"/>
        </w:rPr>
      </w:pPr>
      <w:r w:rsidRPr="00E45A96">
        <w:t>Source: Medibank (2025), Bupa (2025), HIF (2025), Nib (2025). Emergency services health (2023)</w:t>
      </w:r>
    </w:p>
    <w:p w14:paraId="71E25F6F" w14:textId="7F667EE8" w:rsidR="008367DA" w:rsidRPr="00072FB2" w:rsidRDefault="000D7CFB" w:rsidP="00072FB2">
      <w:r w:rsidRPr="007513DF">
        <w:rPr>
          <w:color w:val="auto"/>
        </w:rPr>
        <w:t>Stakeholders consulted as part of this review highlighted</w:t>
      </w:r>
      <w:r>
        <w:rPr>
          <w:color w:val="auto"/>
        </w:rPr>
        <w:t xml:space="preserve"> that </w:t>
      </w:r>
      <w:r w:rsidR="00F47231">
        <w:rPr>
          <w:color w:val="auto"/>
        </w:rPr>
        <w:t>insurers typically classify facial prostheses</w:t>
      </w:r>
      <w:r>
        <w:rPr>
          <w:color w:val="auto"/>
        </w:rPr>
        <w:t xml:space="preserve"> as “cosmetic” rather than </w:t>
      </w:r>
      <w:r w:rsidR="00D02567">
        <w:rPr>
          <w:color w:val="auto"/>
        </w:rPr>
        <w:t>“</w:t>
      </w:r>
      <w:r>
        <w:rPr>
          <w:color w:val="auto"/>
        </w:rPr>
        <w:t>functional</w:t>
      </w:r>
      <w:r w:rsidR="00D02567">
        <w:rPr>
          <w:color w:val="auto"/>
        </w:rPr>
        <w:t>”</w:t>
      </w:r>
      <w:r>
        <w:rPr>
          <w:color w:val="auto"/>
        </w:rPr>
        <w:t xml:space="preserve">. This classification often </w:t>
      </w:r>
      <w:r w:rsidR="00F47231">
        <w:rPr>
          <w:color w:val="auto"/>
        </w:rPr>
        <w:t>results in limited or no reimbursement under private healt</w:t>
      </w:r>
      <w:r w:rsidR="00F47231" w:rsidRPr="00072FB2">
        <w:t>h insurance policies, leaving individuals to cover substantial</w:t>
      </w:r>
      <w:r w:rsidRPr="00072FB2">
        <w:t xml:space="preserve"> out-of-pocket costs.</w:t>
      </w:r>
    </w:p>
    <w:p w14:paraId="26092F13" w14:textId="064088D3" w:rsidR="00AC384D" w:rsidRPr="00072FB2" w:rsidRDefault="008C6F3D" w:rsidP="00072FB2">
      <w:r w:rsidRPr="00072FB2">
        <w:t>The</w:t>
      </w:r>
      <w:r w:rsidR="00AC384D" w:rsidRPr="00072FB2">
        <w:t xml:space="preserve"> </w:t>
      </w:r>
      <w:r w:rsidR="00D02567" w:rsidRPr="00072FB2">
        <w:t>classifi</w:t>
      </w:r>
      <w:r w:rsidRPr="00072FB2">
        <w:t>cation of prostheses</w:t>
      </w:r>
      <w:r w:rsidR="00D02567" w:rsidRPr="00072FB2">
        <w:t xml:space="preserve"> as being either “functional” or “cosmetic”</w:t>
      </w:r>
      <w:r w:rsidRPr="00072FB2">
        <w:t xml:space="preserve"> is typically</w:t>
      </w:r>
      <w:r w:rsidR="00D02567" w:rsidRPr="00072FB2">
        <w:t xml:space="preserve"> </w:t>
      </w:r>
      <w:r w:rsidRPr="00072FB2">
        <w:t xml:space="preserve">made </w:t>
      </w:r>
      <w:r w:rsidR="002E182E" w:rsidRPr="00072FB2">
        <w:t>based on</w:t>
      </w:r>
      <w:r w:rsidR="00D02567" w:rsidRPr="00072FB2">
        <w:t xml:space="preserve"> </w:t>
      </w:r>
      <w:r w:rsidRPr="00072FB2">
        <w:t>the</w:t>
      </w:r>
      <w:r w:rsidR="002E182E" w:rsidRPr="00072FB2">
        <w:t xml:space="preserve"> </w:t>
      </w:r>
      <w:r w:rsidR="00D02567" w:rsidRPr="00072FB2">
        <w:t>primary purpose</w:t>
      </w:r>
      <w:r w:rsidR="002E182E" w:rsidRPr="00072FB2">
        <w:t xml:space="preserve"> of the prosthesis</w:t>
      </w:r>
      <w:r w:rsidR="00D02567" w:rsidRPr="00072FB2">
        <w:t xml:space="preserve">. If the primary purpose of the prosthesis is to </w:t>
      </w:r>
      <w:r w:rsidR="00000A89" w:rsidRPr="00072FB2">
        <w:t>provide a life-like representation of a body part that has been removed, the prosthesis is typically class</w:t>
      </w:r>
      <w:r w:rsidR="00485D1B" w:rsidRPr="00072FB2">
        <w:t>ifi</w:t>
      </w:r>
      <w:r w:rsidR="00000A89" w:rsidRPr="00072FB2">
        <w:t>ed as</w:t>
      </w:r>
      <w:r w:rsidR="00485D1B" w:rsidRPr="00072FB2">
        <w:t xml:space="preserve"> being</w:t>
      </w:r>
      <w:r w:rsidR="00000A89" w:rsidRPr="00072FB2">
        <w:t xml:space="preserve"> “cosmetic” or “passive”. </w:t>
      </w:r>
      <w:r w:rsidR="00FB45CF" w:rsidRPr="00072FB2">
        <w:t xml:space="preserve">If the primary purpose is to replicate </w:t>
      </w:r>
      <w:r w:rsidR="00F233E7" w:rsidRPr="00072FB2">
        <w:t xml:space="preserve">or restore </w:t>
      </w:r>
      <w:r w:rsidR="00FB45CF" w:rsidRPr="00072FB2">
        <w:t xml:space="preserve">function, such as walking, the prosthesis </w:t>
      </w:r>
      <w:r w:rsidR="002E182E" w:rsidRPr="00072FB2">
        <w:t>will likely be</w:t>
      </w:r>
      <w:r w:rsidR="00FB45CF" w:rsidRPr="00072FB2">
        <w:t xml:space="preserve"> classed as “functional”.</w:t>
      </w:r>
      <w:r w:rsidR="00737529" w:rsidRPr="00072FB2">
        <w:footnoteReference w:id="26"/>
      </w:r>
      <w:r w:rsidR="00FB45CF" w:rsidRPr="00072FB2">
        <w:t xml:space="preserve"> </w:t>
      </w:r>
    </w:p>
    <w:p w14:paraId="28F52EB0" w14:textId="1A1F8F6E" w:rsidR="001301A9" w:rsidRDefault="00F233E7" w:rsidP="00072FB2">
      <w:pPr>
        <w:rPr>
          <w:color w:val="auto"/>
        </w:rPr>
      </w:pPr>
      <w:r w:rsidRPr="00072FB2">
        <w:t>S</w:t>
      </w:r>
      <w:r w:rsidR="000D7CFB" w:rsidRPr="00072FB2">
        <w:t>takeholders</w:t>
      </w:r>
      <w:r w:rsidRPr="00072FB2">
        <w:t xml:space="preserve"> consulted as part of this review</w:t>
      </w:r>
      <w:r w:rsidR="000D7CFB" w:rsidRPr="00072FB2">
        <w:t xml:space="preserve"> noted that while </w:t>
      </w:r>
      <w:r w:rsidR="004938DA" w:rsidRPr="00072FB2">
        <w:t xml:space="preserve">the primary purpose of a </w:t>
      </w:r>
      <w:r w:rsidR="000D7CFB" w:rsidRPr="00072FB2">
        <w:t>facial prosthes</w:t>
      </w:r>
      <w:r w:rsidR="00485D1B" w:rsidRPr="00072FB2">
        <w:t>i</w:t>
      </w:r>
      <w:r w:rsidR="000D7CFB" w:rsidRPr="00072FB2">
        <w:t xml:space="preserve">s </w:t>
      </w:r>
      <w:r w:rsidR="004938DA" w:rsidRPr="00072FB2">
        <w:t>is often to</w:t>
      </w:r>
      <w:r w:rsidR="000D7CFB" w:rsidRPr="00072FB2">
        <w:t xml:space="preserve"> restore appearance, they </w:t>
      </w:r>
      <w:r w:rsidR="004075A6" w:rsidRPr="00072FB2">
        <w:t xml:space="preserve">can </w:t>
      </w:r>
      <w:r w:rsidR="000D7CFB" w:rsidRPr="00072FB2">
        <w:t>also serve important functional purposes. For example, without an orbital prosthesis, the e</w:t>
      </w:r>
      <w:r w:rsidR="000D7CFB">
        <w:rPr>
          <w:color w:val="auto"/>
        </w:rPr>
        <w:t>yelid can collapse into the empty socket, causing the eyelashes to rub against the surrounding skin</w:t>
      </w:r>
      <w:r w:rsidR="00695171">
        <w:rPr>
          <w:color w:val="auto"/>
        </w:rPr>
        <w:t>, leading to irritation, abrasions, and further complications,</w:t>
      </w:r>
      <w:r w:rsidR="000D7CFB">
        <w:rPr>
          <w:color w:val="auto"/>
        </w:rPr>
        <w:t xml:space="preserve"> such as infection. Similarly, individuals who use an eye patch instead of an orbital prosthesis may be at </w:t>
      </w:r>
      <w:r w:rsidR="00695171">
        <w:rPr>
          <w:color w:val="auto"/>
        </w:rPr>
        <w:t>a higher risk of developing fungal infections due to poor ventilation and moisture buildup</w:t>
      </w:r>
      <w:r w:rsidR="000D7CFB">
        <w:rPr>
          <w:color w:val="auto"/>
        </w:rPr>
        <w:t>.</w:t>
      </w:r>
    </w:p>
    <w:p w14:paraId="1E012096" w14:textId="0AE25C22" w:rsidR="00386EB6" w:rsidRPr="008B474C" w:rsidRDefault="006B5BA0" w:rsidP="008B474C">
      <w:r w:rsidRPr="008B474C">
        <w:t>Other examples</w:t>
      </w:r>
      <w:r w:rsidR="00A36935" w:rsidRPr="008B474C">
        <w:t xml:space="preserve"> </w:t>
      </w:r>
      <w:r w:rsidR="00993C55" w:rsidRPr="008B474C">
        <w:t xml:space="preserve">stakeholders provided </w:t>
      </w:r>
      <w:r w:rsidR="00A36935" w:rsidRPr="008B474C">
        <w:t xml:space="preserve">of </w:t>
      </w:r>
      <w:r w:rsidR="00993C55" w:rsidRPr="008B474C">
        <w:t xml:space="preserve">the </w:t>
      </w:r>
      <w:r w:rsidR="00A36935" w:rsidRPr="008B474C">
        <w:t>functions</w:t>
      </w:r>
      <w:r w:rsidR="00C75F51" w:rsidRPr="008B474C">
        <w:t xml:space="preserve"> </w:t>
      </w:r>
      <w:r w:rsidR="007B0480" w:rsidRPr="008B474C">
        <w:t xml:space="preserve">that </w:t>
      </w:r>
      <w:r w:rsidR="00A36935" w:rsidRPr="008B474C">
        <w:t xml:space="preserve">facial prostheses </w:t>
      </w:r>
      <w:r w:rsidR="007B0480" w:rsidRPr="008B474C">
        <w:t xml:space="preserve">may serve </w:t>
      </w:r>
      <w:r w:rsidR="0039441A" w:rsidRPr="008B474C">
        <w:t>included</w:t>
      </w:r>
      <w:r w:rsidR="00386EB6" w:rsidRPr="008B474C">
        <w:t>:</w:t>
      </w:r>
    </w:p>
    <w:p w14:paraId="46DB5DA1" w14:textId="0ACE2A95" w:rsidR="00386EB6" w:rsidRDefault="00B75EFC" w:rsidP="000D23E6">
      <w:pPr>
        <w:pStyle w:val="Bullet1stlevel"/>
      </w:pPr>
      <w:r>
        <w:t>Protect</w:t>
      </w:r>
      <w:r w:rsidR="00993C55">
        <w:t>ing</w:t>
      </w:r>
      <w:r>
        <w:t xml:space="preserve"> underlying tissues and reduc</w:t>
      </w:r>
      <w:r w:rsidR="00993C55">
        <w:t>ing the</w:t>
      </w:r>
      <w:r>
        <w:t xml:space="preserve"> risk of infection</w:t>
      </w:r>
      <w:r w:rsidR="000D23E6">
        <w:t>.</w:t>
      </w:r>
    </w:p>
    <w:p w14:paraId="679B086D" w14:textId="3779FA1F" w:rsidR="000D7CFB" w:rsidRDefault="00386EB6" w:rsidP="000D23E6">
      <w:pPr>
        <w:pStyle w:val="Bullet1stlevel"/>
      </w:pPr>
      <w:r>
        <w:t>Helping to secure eyewear (nose and ear prostheses)</w:t>
      </w:r>
      <w:r w:rsidR="000D23E6">
        <w:t>.</w:t>
      </w:r>
    </w:p>
    <w:p w14:paraId="0378CCDB" w14:textId="6C537E2D" w:rsidR="00386EB6" w:rsidRDefault="00386EB6" w:rsidP="000D23E6">
      <w:pPr>
        <w:pStyle w:val="Bullet1stlevel"/>
      </w:pPr>
      <w:r>
        <w:t xml:space="preserve">Helping to </w:t>
      </w:r>
      <w:r w:rsidR="00B75EFC">
        <w:t xml:space="preserve">capture sound by </w:t>
      </w:r>
      <w:r w:rsidR="004C1335">
        <w:t>replacing</w:t>
      </w:r>
      <w:r w:rsidR="00B75EFC">
        <w:t xml:space="preserve"> the lost external ear anatomy (ear prostheses)</w:t>
      </w:r>
      <w:r w:rsidR="001D486D">
        <w:t xml:space="preserve">. </w:t>
      </w:r>
    </w:p>
    <w:p w14:paraId="47702AEE" w14:textId="17785CC5" w:rsidR="001D486D" w:rsidRPr="008B474C" w:rsidRDefault="001A2B33" w:rsidP="008B474C">
      <w:r w:rsidRPr="008B474C">
        <w:t>Many s</w:t>
      </w:r>
      <w:r w:rsidR="008541E0" w:rsidRPr="008B474C">
        <w:t xml:space="preserve">takeholders highlighted that </w:t>
      </w:r>
      <w:r w:rsidR="000D4D87" w:rsidRPr="008B474C">
        <w:t xml:space="preserve">the classification of facial prostheses as “cosmetic” </w:t>
      </w:r>
      <w:r w:rsidR="008541E0" w:rsidRPr="008B474C">
        <w:t xml:space="preserve">fails </w:t>
      </w:r>
      <w:r w:rsidR="000D4D87" w:rsidRPr="008B474C">
        <w:t>not only</w:t>
      </w:r>
      <w:r w:rsidR="00F233E7" w:rsidRPr="008B474C">
        <w:t xml:space="preserve"> to</w:t>
      </w:r>
      <w:r w:rsidR="008541E0" w:rsidRPr="008B474C">
        <w:t xml:space="preserve"> acknowledge the functional</w:t>
      </w:r>
      <w:r w:rsidR="000D4D87" w:rsidRPr="008B474C">
        <w:t xml:space="preserve"> roles </w:t>
      </w:r>
      <w:r w:rsidR="00A8677C" w:rsidRPr="008B474C">
        <w:t>that facial prostheses can serve, but also the critical psychosocial role they can play, such as supporting social participation, mental wellbeing, return to work,</w:t>
      </w:r>
      <w:r w:rsidR="008541E0" w:rsidRPr="008B474C">
        <w:t xml:space="preserve"> and</w:t>
      </w:r>
      <w:r w:rsidR="005047FC" w:rsidRPr="008B474C">
        <w:t xml:space="preserve"> overall</w:t>
      </w:r>
      <w:r w:rsidR="008541E0" w:rsidRPr="008B474C">
        <w:t xml:space="preserve"> quality of life.</w:t>
      </w:r>
    </w:p>
    <w:p w14:paraId="2F90F3C2" w14:textId="60210C31" w:rsidR="000D7CFB" w:rsidRDefault="000D7CFB" w:rsidP="00FD54A5">
      <w:pPr>
        <w:pStyle w:val="Heading4"/>
        <w:rPr>
          <w:color w:val="auto"/>
        </w:rPr>
      </w:pPr>
      <w:r>
        <w:t xml:space="preserve">National Disability Insurance Scheme </w:t>
      </w:r>
    </w:p>
    <w:p w14:paraId="057556CC" w14:textId="15A80E29" w:rsidR="008541E0" w:rsidRPr="00072FB2" w:rsidRDefault="00884519" w:rsidP="00072FB2">
      <w:r w:rsidRPr="00F9411B">
        <w:rPr>
          <w:color w:val="auto"/>
        </w:rPr>
        <w:t xml:space="preserve">The NDIS </w:t>
      </w:r>
      <w:r>
        <w:rPr>
          <w:color w:val="auto"/>
        </w:rPr>
        <w:t xml:space="preserve">is a national program that </w:t>
      </w:r>
      <w:r w:rsidRPr="00F9411B">
        <w:rPr>
          <w:color w:val="auto"/>
        </w:rPr>
        <w:t xml:space="preserve">provides </w:t>
      </w:r>
      <w:r>
        <w:rPr>
          <w:color w:val="auto"/>
        </w:rPr>
        <w:t>funding for reasonable and necessary supports to individuals under the age of 65 who have significant and permanent disabilities</w:t>
      </w:r>
      <w:r w:rsidRPr="00F9411B">
        <w:rPr>
          <w:color w:val="auto"/>
        </w:rPr>
        <w:t>.</w:t>
      </w:r>
      <w:r>
        <w:rPr>
          <w:color w:val="auto"/>
        </w:rPr>
        <w:t xml:space="preserve"> Managed by the NDIA, the scheme was introduced in 20</w:t>
      </w:r>
      <w:r>
        <w:rPr>
          <w:noProof/>
        </w:rPr>
        <w:t>1</w:t>
      </w:r>
      <w:r>
        <w:rPr>
          <w:color w:val="auto"/>
        </w:rPr>
        <w:t xml:space="preserve">3 to deliver individualised funding packages based on a participant’s personal goals and functional needs. </w:t>
      </w:r>
      <w:r w:rsidR="008541E0">
        <w:rPr>
          <w:color w:val="auto"/>
        </w:rPr>
        <w:t>F</w:t>
      </w:r>
      <w:r w:rsidR="000D7CFB">
        <w:rPr>
          <w:color w:val="auto"/>
        </w:rPr>
        <w:t xml:space="preserve">acial prostheses are </w:t>
      </w:r>
      <w:r w:rsidR="008541E0">
        <w:rPr>
          <w:color w:val="auto"/>
        </w:rPr>
        <w:t xml:space="preserve">typically </w:t>
      </w:r>
      <w:r w:rsidR="000D7CFB">
        <w:rPr>
          <w:color w:val="auto"/>
        </w:rPr>
        <w:t>not funded under the NDIS, as they do not meet the current eligibility criteria for pro</w:t>
      </w:r>
      <w:r w:rsidR="000D7CFB" w:rsidRPr="00072FB2">
        <w:t>sthetic supports. Specifically, the NDIS defines eligible prostheses as</w:t>
      </w:r>
      <w:r w:rsidR="000D4D87" w:rsidRPr="00072FB2">
        <w:t>:</w:t>
      </w:r>
    </w:p>
    <w:p w14:paraId="14916128" w14:textId="7F8BB646" w:rsidR="008541E0" w:rsidRPr="00072FB2" w:rsidRDefault="000D7CFB" w:rsidP="00072FB2">
      <w:r w:rsidRPr="00072FB2">
        <w:t>“</w:t>
      </w:r>
      <w:r w:rsidR="004C1335" w:rsidRPr="00072FB2">
        <w:t>A</w:t>
      </w:r>
      <w:r w:rsidRPr="00072FB2">
        <w:t>ssistive products externally applied to replace, wholly or in part</w:t>
      </w:r>
      <w:r w:rsidR="00A8677C" w:rsidRPr="00072FB2">
        <w:t>,</w:t>
      </w:r>
      <w:r w:rsidRPr="00072FB2">
        <w:t xml:space="preserve"> an absent or deficient body segment which assists participant control and functioning of their neuromuscular skeletal systems”.</w:t>
      </w:r>
    </w:p>
    <w:p w14:paraId="733B7EF7" w14:textId="27568B93" w:rsidR="000D7CFB" w:rsidRDefault="000D7CFB" w:rsidP="00072FB2">
      <w:pPr>
        <w:rPr>
          <w:color w:val="auto"/>
        </w:rPr>
      </w:pPr>
      <w:r w:rsidRPr="00072FB2">
        <w:t>Facial pros</w:t>
      </w:r>
      <w:r>
        <w:rPr>
          <w:color w:val="auto"/>
        </w:rPr>
        <w:t xml:space="preserve">theses are often not considered to support neuromuscular or skeletal function and are therefore excluded from this definition. Additionally, stakeholders reported that facial prostheses are frequently classified by the NDIS as being </w:t>
      </w:r>
      <w:r w:rsidR="00EE6093">
        <w:rPr>
          <w:color w:val="auto"/>
        </w:rPr>
        <w:t>“</w:t>
      </w:r>
      <w:r>
        <w:rPr>
          <w:color w:val="auto"/>
        </w:rPr>
        <w:t>cosmetic</w:t>
      </w:r>
      <w:r w:rsidR="00EE6093">
        <w:rPr>
          <w:color w:val="auto"/>
        </w:rPr>
        <w:t>”</w:t>
      </w:r>
      <w:r>
        <w:rPr>
          <w:color w:val="auto"/>
        </w:rPr>
        <w:t xml:space="preserve"> rather than functional, which means:</w:t>
      </w:r>
    </w:p>
    <w:p w14:paraId="4C82C763" w14:textId="77777777" w:rsidR="000D7CFB" w:rsidRDefault="000D7CFB" w:rsidP="000D23E6">
      <w:pPr>
        <w:pStyle w:val="Bullet1stlevel"/>
      </w:pPr>
      <w:r>
        <w:t>They are not included in the NDIS Assistive Technology product list, and</w:t>
      </w:r>
    </w:p>
    <w:p w14:paraId="5027EBF8" w14:textId="0E880320" w:rsidR="000D7CFB" w:rsidRPr="00E46E41" w:rsidRDefault="000D7CFB" w:rsidP="000D23E6">
      <w:pPr>
        <w:pStyle w:val="Bullet1stlevel"/>
      </w:pPr>
      <w:r>
        <w:t>They are not considered essential for improving day-to-day functions as defined by the NDIS Act and therefore fall outside the scope of what the NDIS deems “reasonable and necessary supports”.</w:t>
      </w:r>
      <w:r w:rsidR="00126514">
        <w:rPr>
          <w:rStyle w:val="FootnoteReference"/>
          <w:color w:val="auto"/>
        </w:rPr>
        <w:footnoteReference w:id="27"/>
      </w:r>
    </w:p>
    <w:p w14:paraId="1B4E3EED" w14:textId="6485F84C" w:rsidR="00570758" w:rsidRPr="008B474C" w:rsidRDefault="000D7CFB" w:rsidP="008B474C">
      <w:r w:rsidRPr="008B474C">
        <w:t xml:space="preserve">As a result, it was reported that applications for facial </w:t>
      </w:r>
      <w:r w:rsidR="00CD68BA" w:rsidRPr="008B474C">
        <w:t>prosthesis funding are not typically approved, and individuals are often required to self-fund or seek alternative support</w:t>
      </w:r>
      <w:r w:rsidRPr="008B474C">
        <w:t xml:space="preserve"> through other schemes, if available.</w:t>
      </w:r>
    </w:p>
    <w:p w14:paraId="08C3FD6D" w14:textId="23086972" w:rsidR="000D7CFB" w:rsidRDefault="00AD5A8B" w:rsidP="00EF4876">
      <w:pPr>
        <w:pStyle w:val="Heading3"/>
        <w:spacing w:before="0"/>
      </w:pPr>
      <w:r>
        <w:t xml:space="preserve">Additional </w:t>
      </w:r>
      <w:r w:rsidR="000D7CFB">
        <w:t>prostheses services, programs and schemes</w:t>
      </w:r>
    </w:p>
    <w:p w14:paraId="1888CC81" w14:textId="587C14DB" w:rsidR="000D7CFB" w:rsidRPr="00072FB2" w:rsidRDefault="00E45CCC" w:rsidP="00072FB2">
      <w:r>
        <w:rPr>
          <w:color w:val="auto"/>
        </w:rPr>
        <w:t>In the absence of a national program or scheme, th</w:t>
      </w:r>
      <w:r w:rsidR="00CC2EFA">
        <w:rPr>
          <w:color w:val="auto"/>
        </w:rPr>
        <w:t>ere</w:t>
      </w:r>
      <w:r w:rsidR="00F70FB1">
        <w:rPr>
          <w:color w:val="auto"/>
        </w:rPr>
        <w:t xml:space="preserve"> </w:t>
      </w:r>
      <w:r w:rsidR="00CC2EFA">
        <w:rPr>
          <w:color w:val="auto"/>
        </w:rPr>
        <w:t xml:space="preserve">is </w:t>
      </w:r>
      <w:r>
        <w:rPr>
          <w:color w:val="auto"/>
        </w:rPr>
        <w:t>significant</w:t>
      </w:r>
      <w:r w:rsidR="000D7CFB">
        <w:rPr>
          <w:color w:val="auto"/>
        </w:rPr>
        <w:t xml:space="preserve"> varia</w:t>
      </w:r>
      <w:r>
        <w:rPr>
          <w:color w:val="auto"/>
        </w:rPr>
        <w:t>bility</w:t>
      </w:r>
      <w:r w:rsidR="000D7CFB">
        <w:rPr>
          <w:color w:val="auto"/>
        </w:rPr>
        <w:t xml:space="preserve"> </w:t>
      </w:r>
      <w:r>
        <w:rPr>
          <w:color w:val="auto"/>
        </w:rPr>
        <w:t>in</w:t>
      </w:r>
      <w:r w:rsidR="000D7CFB">
        <w:rPr>
          <w:color w:val="auto"/>
        </w:rPr>
        <w:t xml:space="preserve"> support </w:t>
      </w:r>
      <w:r>
        <w:rPr>
          <w:color w:val="auto"/>
        </w:rPr>
        <w:t xml:space="preserve">available </w:t>
      </w:r>
      <w:r w:rsidR="000D7CFB">
        <w:rPr>
          <w:color w:val="auto"/>
        </w:rPr>
        <w:t>for individuals requiring facial prostheses</w:t>
      </w:r>
      <w:r>
        <w:rPr>
          <w:color w:val="auto"/>
        </w:rPr>
        <w:t xml:space="preserve"> across Australia</w:t>
      </w:r>
      <w:r w:rsidR="000D7CFB">
        <w:rPr>
          <w:color w:val="auto"/>
        </w:rPr>
        <w:t>.</w:t>
      </w:r>
      <w:r w:rsidR="008107BC">
        <w:rPr>
          <w:color w:val="auto"/>
        </w:rPr>
        <w:t xml:space="preserve"> Publicly funded facial prostheses services are </w:t>
      </w:r>
      <w:r w:rsidR="00DD7288">
        <w:rPr>
          <w:color w:val="auto"/>
        </w:rPr>
        <w:t xml:space="preserve">currently </w:t>
      </w:r>
      <w:r w:rsidR="008107BC">
        <w:rPr>
          <w:color w:val="auto"/>
        </w:rPr>
        <w:t>only available in some jurisdictions.</w:t>
      </w:r>
      <w:r w:rsidR="00652809">
        <w:rPr>
          <w:color w:val="auto"/>
        </w:rPr>
        <w:t xml:space="preserve"> </w:t>
      </w:r>
      <w:r w:rsidR="00FC04B2">
        <w:rPr>
          <w:color w:val="auto"/>
        </w:rPr>
        <w:fldChar w:fldCharType="begin"/>
      </w:r>
      <w:r w:rsidR="00FC04B2">
        <w:rPr>
          <w:color w:val="auto"/>
        </w:rPr>
        <w:instrText xml:space="preserve"> REF _Ref207346743 \h </w:instrText>
      </w:r>
      <w:r w:rsidR="00FC04B2">
        <w:rPr>
          <w:color w:val="auto"/>
        </w:rPr>
      </w:r>
      <w:r w:rsidR="00FC04B2">
        <w:rPr>
          <w:color w:val="auto"/>
        </w:rPr>
        <w:fldChar w:fldCharType="separate"/>
      </w:r>
      <w:r w:rsidR="00FC04B2">
        <w:t xml:space="preserve">Table </w:t>
      </w:r>
      <w:r w:rsidR="00FC04B2">
        <w:rPr>
          <w:noProof/>
        </w:rPr>
        <w:t>4</w:t>
      </w:r>
      <w:r w:rsidR="00FC04B2">
        <w:rPr>
          <w:color w:val="auto"/>
        </w:rPr>
        <w:fldChar w:fldCharType="end"/>
      </w:r>
      <w:r w:rsidR="00652809">
        <w:rPr>
          <w:color w:val="auto"/>
        </w:rPr>
        <w:t xml:space="preserve"> </w:t>
      </w:r>
      <w:r w:rsidR="00E768E6">
        <w:rPr>
          <w:color w:val="auto"/>
        </w:rPr>
        <w:t xml:space="preserve">and </w:t>
      </w:r>
      <w:r w:rsidR="00E768E6">
        <w:rPr>
          <w:color w:val="auto"/>
        </w:rPr>
        <w:fldChar w:fldCharType="begin"/>
      </w:r>
      <w:r w:rsidR="00E768E6">
        <w:rPr>
          <w:color w:val="auto"/>
        </w:rPr>
        <w:instrText xml:space="preserve"> REF _Ref207194643 \h </w:instrText>
      </w:r>
      <w:r w:rsidR="00E768E6">
        <w:rPr>
          <w:color w:val="auto"/>
        </w:rPr>
      </w:r>
      <w:r w:rsidR="00E768E6">
        <w:rPr>
          <w:color w:val="auto"/>
        </w:rPr>
        <w:fldChar w:fldCharType="separate"/>
      </w:r>
      <w:r w:rsidR="00E768E6">
        <w:t xml:space="preserve">Table </w:t>
      </w:r>
      <w:r w:rsidR="00E768E6">
        <w:rPr>
          <w:noProof/>
        </w:rPr>
        <w:t>5</w:t>
      </w:r>
      <w:r w:rsidR="00E768E6">
        <w:rPr>
          <w:color w:val="auto"/>
        </w:rPr>
        <w:fldChar w:fldCharType="end"/>
      </w:r>
      <w:r w:rsidR="00652809">
        <w:rPr>
          <w:color w:val="auto"/>
        </w:rPr>
        <w:t xml:space="preserve"> below provides a summary of the facial prostheses available in each state and territory</w:t>
      </w:r>
      <w:r w:rsidR="00D45165">
        <w:rPr>
          <w:color w:val="auto"/>
        </w:rPr>
        <w:t>, including both public and private services</w:t>
      </w:r>
      <w:r w:rsidR="00652809">
        <w:rPr>
          <w:color w:val="auto"/>
        </w:rPr>
        <w:t>.</w:t>
      </w:r>
      <w:r w:rsidR="00D45165">
        <w:rPr>
          <w:color w:val="auto"/>
        </w:rPr>
        <w:t xml:space="preserve"> Further </w:t>
      </w:r>
      <w:r w:rsidR="009A232E">
        <w:rPr>
          <w:color w:val="auto"/>
        </w:rPr>
        <w:t>details regarding the services available in each</w:t>
      </w:r>
      <w:r w:rsidR="009A232E" w:rsidRPr="00072FB2">
        <w:t xml:space="preserve"> jurisdiction are provided in</w:t>
      </w:r>
      <w:r w:rsidR="00D45165" w:rsidRPr="00072FB2">
        <w:t xml:space="preserve"> this section.</w:t>
      </w:r>
    </w:p>
    <w:p w14:paraId="29359101" w14:textId="77777777" w:rsidR="00D60C79" w:rsidRPr="00072FB2" w:rsidRDefault="00D60C79" w:rsidP="00072FB2">
      <w:bookmarkStart w:id="49" w:name="_Ref201157177"/>
      <w:r w:rsidRPr="00072FB2">
        <w:br w:type="page"/>
      </w:r>
    </w:p>
    <w:p w14:paraId="531A1F05" w14:textId="42F9E161" w:rsidR="000D7CFB" w:rsidRDefault="000D7CFB" w:rsidP="000D7CFB">
      <w:pPr>
        <w:pStyle w:val="Caption"/>
      </w:pPr>
      <w:bookmarkStart w:id="50" w:name="_Ref207346743"/>
      <w:bookmarkStart w:id="51" w:name="_Toc207348569"/>
      <w:r>
        <w:t xml:space="preserve">Table </w:t>
      </w:r>
      <w:r w:rsidR="00FC04B2">
        <w:fldChar w:fldCharType="begin"/>
      </w:r>
      <w:r w:rsidR="00FC04B2">
        <w:instrText xml:space="preserve"> SEQ Table \* ARABIC </w:instrText>
      </w:r>
      <w:r w:rsidR="00FC04B2">
        <w:fldChar w:fldCharType="separate"/>
      </w:r>
      <w:r w:rsidR="00FC04B2">
        <w:rPr>
          <w:noProof/>
        </w:rPr>
        <w:t>4</w:t>
      </w:r>
      <w:r w:rsidR="00FC04B2">
        <w:rPr>
          <w:noProof/>
        </w:rPr>
        <w:fldChar w:fldCharType="end"/>
      </w:r>
      <w:bookmarkEnd w:id="49"/>
      <w:bookmarkEnd w:id="50"/>
      <w:r>
        <w:t xml:space="preserve">: Comparison of </w:t>
      </w:r>
      <w:r w:rsidR="00E768E6">
        <w:t xml:space="preserve">ocular </w:t>
      </w:r>
      <w:r>
        <w:t>facial prostheses schemes and services available across jurisdictions</w:t>
      </w:r>
      <w:bookmarkEnd w:id="51"/>
    </w:p>
    <w:tbl>
      <w:tblPr>
        <w:tblStyle w:val="KPMGTable"/>
        <w:tblW w:w="10217" w:type="dxa"/>
        <w:tblLook w:val="04A0" w:firstRow="1" w:lastRow="0" w:firstColumn="1" w:lastColumn="0" w:noHBand="0" w:noVBand="1"/>
      </w:tblPr>
      <w:tblGrid>
        <w:gridCol w:w="3359"/>
        <w:gridCol w:w="3428"/>
        <w:gridCol w:w="3430"/>
      </w:tblGrid>
      <w:tr w:rsidR="00AE1E92" w14:paraId="1958F9C7" w14:textId="77777777" w:rsidTr="002878E5">
        <w:trPr>
          <w:cnfStyle w:val="100000000000" w:firstRow="1" w:lastRow="0" w:firstColumn="0" w:lastColumn="0" w:oddVBand="0" w:evenVBand="0" w:oddHBand="0"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359" w:type="dxa"/>
          </w:tcPr>
          <w:p w14:paraId="2C24D876" w14:textId="1D109FDE" w:rsidR="00023B5B" w:rsidRPr="00E768E6" w:rsidRDefault="00023B5B">
            <w:pPr>
              <w:pStyle w:val="TableHeading"/>
            </w:pPr>
            <w:r w:rsidRPr="00E768E6">
              <w:t>Jurisdiction</w:t>
            </w:r>
          </w:p>
        </w:tc>
        <w:tc>
          <w:tcPr>
            <w:tcW w:w="3428" w:type="dxa"/>
          </w:tcPr>
          <w:p w14:paraId="1C90F1F3" w14:textId="34B1ED89" w:rsidR="00023B5B" w:rsidRPr="00E768E6" w:rsidRDefault="00023B5B">
            <w:pPr>
              <w:pStyle w:val="TableHeading"/>
              <w:cnfStyle w:val="100000000000" w:firstRow="1" w:lastRow="0" w:firstColumn="0" w:lastColumn="0" w:oddVBand="0" w:evenVBand="0" w:oddHBand="0" w:evenHBand="0" w:firstRowFirstColumn="0" w:firstRowLastColumn="0" w:lastRowFirstColumn="0" w:lastRowLastColumn="0"/>
            </w:pPr>
            <w:r w:rsidRPr="00E768E6">
              <w:t>Publicly funded services are available</w:t>
            </w:r>
          </w:p>
        </w:tc>
        <w:tc>
          <w:tcPr>
            <w:tcW w:w="3430" w:type="dxa"/>
          </w:tcPr>
          <w:p w14:paraId="7F9EAAE6" w14:textId="573F6DB4" w:rsidR="00023B5B" w:rsidRPr="00E768E6" w:rsidRDefault="00023B5B">
            <w:pPr>
              <w:pStyle w:val="TableHeading"/>
              <w:cnfStyle w:val="100000000000" w:firstRow="1" w:lastRow="0" w:firstColumn="0" w:lastColumn="0" w:oddVBand="0" w:evenVBand="0" w:oddHBand="0" w:evenHBand="0" w:firstRowFirstColumn="0" w:firstRowLastColumn="0" w:lastRowFirstColumn="0" w:lastRowLastColumn="0"/>
            </w:pPr>
            <w:r w:rsidRPr="00E768E6">
              <w:t>Private services available</w:t>
            </w:r>
          </w:p>
        </w:tc>
      </w:tr>
      <w:tr w:rsidR="00023B5B" w14:paraId="5BBCE5DD" w14:textId="77777777" w:rsidTr="002878E5">
        <w:trPr>
          <w:trHeight w:val="390"/>
        </w:trPr>
        <w:tc>
          <w:tcPr>
            <w:cnfStyle w:val="001000000000" w:firstRow="0" w:lastRow="0" w:firstColumn="1" w:lastColumn="0" w:oddVBand="0" w:evenVBand="0" w:oddHBand="0" w:evenHBand="0" w:firstRowFirstColumn="0" w:firstRowLastColumn="0" w:lastRowFirstColumn="0" w:lastRowLastColumn="0"/>
            <w:tcW w:w="3359" w:type="dxa"/>
          </w:tcPr>
          <w:p w14:paraId="05730C02" w14:textId="77777777" w:rsidR="00023B5B" w:rsidRPr="00307A2A" w:rsidRDefault="00023B5B">
            <w:pPr>
              <w:pStyle w:val="Tabletextbold"/>
              <w:rPr>
                <w:b/>
              </w:rPr>
            </w:pPr>
            <w:r w:rsidRPr="00307A2A">
              <w:rPr>
                <w:b/>
              </w:rPr>
              <w:t>ACT</w:t>
            </w:r>
          </w:p>
        </w:tc>
        <w:tc>
          <w:tcPr>
            <w:tcW w:w="3428" w:type="dxa"/>
          </w:tcPr>
          <w:p w14:paraId="29A04B7F" w14:textId="7D868307" w:rsidR="00023B5B" w:rsidRPr="00307A2A" w:rsidRDefault="00023B5B">
            <w:pPr>
              <w:pStyle w:val="TableText"/>
              <w:cnfStyle w:val="000000000000" w:firstRow="0" w:lastRow="0" w:firstColumn="0" w:lastColumn="0" w:oddVBand="0" w:evenVBand="0" w:oddHBand="0" w:evenHBand="0" w:firstRowFirstColumn="0" w:firstRowLastColumn="0" w:lastRowFirstColumn="0" w:lastRowLastColumn="0"/>
              <w:rPr>
                <w:color w:val="1E49E2" w:themeColor="accent1"/>
                <w:szCs w:val="20"/>
              </w:rPr>
            </w:pPr>
            <w:r>
              <w:rPr>
                <w:lang w:eastAsia="en-AU"/>
              </w:rPr>
              <w:t>Yes</w:t>
            </w:r>
          </w:p>
        </w:tc>
        <w:tc>
          <w:tcPr>
            <w:tcW w:w="3430" w:type="dxa"/>
          </w:tcPr>
          <w:p w14:paraId="057D0568" w14:textId="7FDD0CF9" w:rsidR="00023B5B" w:rsidRPr="00307A2A" w:rsidRDefault="00023B5B">
            <w:pPr>
              <w:pStyle w:val="TableText"/>
              <w:cnfStyle w:val="000000000000" w:firstRow="0" w:lastRow="0" w:firstColumn="0" w:lastColumn="0" w:oddVBand="0" w:evenVBand="0" w:oddHBand="0" w:evenHBand="0" w:firstRowFirstColumn="0" w:firstRowLastColumn="0" w:lastRowFirstColumn="0" w:lastRowLastColumn="0"/>
              <w:rPr>
                <w:color w:val="1E49E2" w:themeColor="accent1"/>
                <w:szCs w:val="20"/>
              </w:rPr>
            </w:pPr>
            <w:r>
              <w:rPr>
                <w:lang w:eastAsia="en-AU"/>
              </w:rPr>
              <w:t>Yes</w:t>
            </w:r>
          </w:p>
        </w:tc>
      </w:tr>
      <w:tr w:rsidR="00023B5B" w14:paraId="72AC9033" w14:textId="77777777" w:rsidTr="002878E5">
        <w:trPr>
          <w:trHeight w:val="390"/>
        </w:trPr>
        <w:tc>
          <w:tcPr>
            <w:cnfStyle w:val="001000000000" w:firstRow="0" w:lastRow="0" w:firstColumn="1" w:lastColumn="0" w:oddVBand="0" w:evenVBand="0" w:oddHBand="0" w:evenHBand="0" w:firstRowFirstColumn="0" w:firstRowLastColumn="0" w:lastRowFirstColumn="0" w:lastRowLastColumn="0"/>
            <w:tcW w:w="3359" w:type="dxa"/>
          </w:tcPr>
          <w:p w14:paraId="78CB3901" w14:textId="77777777" w:rsidR="00023B5B" w:rsidRPr="00307A2A" w:rsidRDefault="00023B5B">
            <w:pPr>
              <w:pStyle w:val="Tabletextbold"/>
              <w:rPr>
                <w:b/>
              </w:rPr>
            </w:pPr>
            <w:r w:rsidRPr="00307A2A">
              <w:rPr>
                <w:b/>
              </w:rPr>
              <w:t>NSW</w:t>
            </w:r>
          </w:p>
        </w:tc>
        <w:tc>
          <w:tcPr>
            <w:tcW w:w="3428" w:type="dxa"/>
          </w:tcPr>
          <w:p w14:paraId="2756E6E2" w14:textId="05769F0F" w:rsidR="00023B5B" w:rsidRDefault="00023B5B">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No</w:t>
            </w:r>
          </w:p>
        </w:tc>
        <w:tc>
          <w:tcPr>
            <w:tcW w:w="3430" w:type="dxa"/>
          </w:tcPr>
          <w:p w14:paraId="4BE427F8" w14:textId="23C07E9C" w:rsidR="00023B5B" w:rsidRDefault="00023B5B">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Yes</w:t>
            </w:r>
          </w:p>
        </w:tc>
      </w:tr>
      <w:tr w:rsidR="00023B5B" w14:paraId="7010476A" w14:textId="77777777" w:rsidTr="002878E5">
        <w:trPr>
          <w:trHeight w:val="390"/>
        </w:trPr>
        <w:tc>
          <w:tcPr>
            <w:cnfStyle w:val="001000000000" w:firstRow="0" w:lastRow="0" w:firstColumn="1" w:lastColumn="0" w:oddVBand="0" w:evenVBand="0" w:oddHBand="0" w:evenHBand="0" w:firstRowFirstColumn="0" w:firstRowLastColumn="0" w:lastRowFirstColumn="0" w:lastRowLastColumn="0"/>
            <w:tcW w:w="3359" w:type="dxa"/>
          </w:tcPr>
          <w:p w14:paraId="3941CE97" w14:textId="5B0970D5" w:rsidR="00023B5B" w:rsidRPr="00307A2A" w:rsidRDefault="00023B5B">
            <w:pPr>
              <w:pStyle w:val="Tabletextbold"/>
              <w:rPr>
                <w:b/>
              </w:rPr>
            </w:pPr>
            <w:r w:rsidRPr="00307A2A">
              <w:rPr>
                <w:b/>
              </w:rPr>
              <w:t>NT</w:t>
            </w:r>
          </w:p>
        </w:tc>
        <w:tc>
          <w:tcPr>
            <w:tcW w:w="3428" w:type="dxa"/>
          </w:tcPr>
          <w:p w14:paraId="2C9F4708" w14:textId="4B209FEE" w:rsidR="00023B5B" w:rsidRPr="005005DD" w:rsidRDefault="00023B5B">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3D14DF">
              <w:rPr>
                <w:szCs w:val="20"/>
              </w:rPr>
              <w:t>No</w:t>
            </w:r>
          </w:p>
        </w:tc>
        <w:tc>
          <w:tcPr>
            <w:tcW w:w="3430" w:type="dxa"/>
          </w:tcPr>
          <w:p w14:paraId="7574BF04" w14:textId="656F42B1" w:rsidR="00023B5B" w:rsidRPr="005005DD" w:rsidRDefault="00023B5B">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3D14DF">
              <w:rPr>
                <w:szCs w:val="20"/>
              </w:rPr>
              <w:t>No</w:t>
            </w:r>
          </w:p>
        </w:tc>
      </w:tr>
      <w:tr w:rsidR="00023B5B" w14:paraId="6467EC8E" w14:textId="77777777" w:rsidTr="002878E5">
        <w:trPr>
          <w:trHeight w:val="390"/>
        </w:trPr>
        <w:tc>
          <w:tcPr>
            <w:cnfStyle w:val="001000000000" w:firstRow="0" w:lastRow="0" w:firstColumn="1" w:lastColumn="0" w:oddVBand="0" w:evenVBand="0" w:oddHBand="0" w:evenHBand="0" w:firstRowFirstColumn="0" w:firstRowLastColumn="0" w:lastRowFirstColumn="0" w:lastRowLastColumn="0"/>
            <w:tcW w:w="3359" w:type="dxa"/>
          </w:tcPr>
          <w:p w14:paraId="6124DBDA" w14:textId="77777777" w:rsidR="00023B5B" w:rsidRPr="00307A2A" w:rsidRDefault="00023B5B">
            <w:pPr>
              <w:pStyle w:val="Tabletextbold"/>
              <w:rPr>
                <w:b/>
              </w:rPr>
            </w:pPr>
            <w:r w:rsidRPr="00307A2A">
              <w:rPr>
                <w:b/>
              </w:rPr>
              <w:t>QLD</w:t>
            </w:r>
          </w:p>
        </w:tc>
        <w:tc>
          <w:tcPr>
            <w:tcW w:w="3428" w:type="dxa"/>
          </w:tcPr>
          <w:p w14:paraId="5E13269D" w14:textId="323D7DC0" w:rsidR="00023B5B" w:rsidRPr="00307A2A" w:rsidRDefault="00023B5B">
            <w:pPr>
              <w:pStyle w:val="TableText"/>
              <w:cnfStyle w:val="000000000000" w:firstRow="0" w:lastRow="0" w:firstColumn="0" w:lastColumn="0" w:oddVBand="0" w:evenVBand="0" w:oddHBand="0" w:evenHBand="0" w:firstRowFirstColumn="0" w:firstRowLastColumn="0" w:lastRowFirstColumn="0" w:lastRowLastColumn="0"/>
              <w:rPr>
                <w:color w:val="1E49E2" w:themeColor="accent1"/>
                <w:szCs w:val="20"/>
              </w:rPr>
            </w:pPr>
            <w:r w:rsidRPr="00FE64F2">
              <w:rPr>
                <w:lang w:eastAsia="en-AU"/>
              </w:rPr>
              <w:t>Yes</w:t>
            </w:r>
          </w:p>
        </w:tc>
        <w:tc>
          <w:tcPr>
            <w:tcW w:w="3430" w:type="dxa"/>
          </w:tcPr>
          <w:p w14:paraId="1FBD4EDF" w14:textId="3E58BDF7" w:rsidR="00023B5B" w:rsidRDefault="00023B5B">
            <w:pPr>
              <w:pStyle w:val="TableText"/>
              <w:cnfStyle w:val="000000000000" w:firstRow="0" w:lastRow="0" w:firstColumn="0" w:lastColumn="0" w:oddVBand="0" w:evenVBand="0" w:oddHBand="0" w:evenHBand="0" w:firstRowFirstColumn="0" w:firstRowLastColumn="0" w:lastRowFirstColumn="0" w:lastRowLastColumn="0"/>
              <w:rPr>
                <w:szCs w:val="20"/>
              </w:rPr>
            </w:pPr>
            <w:r w:rsidRPr="00FE64F2">
              <w:rPr>
                <w:lang w:eastAsia="en-AU"/>
              </w:rPr>
              <w:t>Yes</w:t>
            </w:r>
          </w:p>
        </w:tc>
      </w:tr>
      <w:tr w:rsidR="00023B5B" w14:paraId="1DA0CCAB" w14:textId="77777777" w:rsidTr="002878E5">
        <w:trPr>
          <w:trHeight w:val="390"/>
        </w:trPr>
        <w:tc>
          <w:tcPr>
            <w:cnfStyle w:val="001000000000" w:firstRow="0" w:lastRow="0" w:firstColumn="1" w:lastColumn="0" w:oddVBand="0" w:evenVBand="0" w:oddHBand="0" w:evenHBand="0" w:firstRowFirstColumn="0" w:firstRowLastColumn="0" w:lastRowFirstColumn="0" w:lastRowLastColumn="0"/>
            <w:tcW w:w="3359" w:type="dxa"/>
          </w:tcPr>
          <w:p w14:paraId="1908970D" w14:textId="585D6826" w:rsidR="00023B5B" w:rsidRPr="00307A2A" w:rsidRDefault="00023B5B">
            <w:pPr>
              <w:pStyle w:val="Tabletextbold"/>
              <w:rPr>
                <w:b/>
              </w:rPr>
            </w:pPr>
            <w:r w:rsidRPr="00307A2A">
              <w:rPr>
                <w:b/>
              </w:rPr>
              <w:t>SA</w:t>
            </w:r>
          </w:p>
        </w:tc>
        <w:tc>
          <w:tcPr>
            <w:tcW w:w="3428" w:type="dxa"/>
          </w:tcPr>
          <w:p w14:paraId="79978385" w14:textId="7752D83E" w:rsidR="00023B5B" w:rsidRPr="005005DD" w:rsidRDefault="00023B5B">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2112E1">
              <w:rPr>
                <w:szCs w:val="20"/>
              </w:rPr>
              <w:t>No</w:t>
            </w:r>
          </w:p>
        </w:tc>
        <w:tc>
          <w:tcPr>
            <w:tcW w:w="3430" w:type="dxa"/>
          </w:tcPr>
          <w:p w14:paraId="449D6F31" w14:textId="23AD0F1D" w:rsidR="00023B5B" w:rsidRPr="005005DD" w:rsidRDefault="00023B5B">
            <w:pPr>
              <w:pStyle w:val="TableText"/>
              <w:cnfStyle w:val="000000000000" w:firstRow="0" w:lastRow="0" w:firstColumn="0" w:lastColumn="0" w:oddVBand="0" w:evenVBand="0" w:oddHBand="0" w:evenHBand="0" w:firstRowFirstColumn="0" w:firstRowLastColumn="0" w:lastRowFirstColumn="0" w:lastRowLastColumn="0"/>
              <w:rPr>
                <w:lang w:eastAsia="en-AU"/>
              </w:rPr>
            </w:pPr>
            <w:r>
              <w:rPr>
                <w:lang w:eastAsia="en-AU"/>
              </w:rPr>
              <w:t>Yes</w:t>
            </w:r>
          </w:p>
        </w:tc>
      </w:tr>
      <w:tr w:rsidR="00023B5B" w14:paraId="6BEE7D96" w14:textId="77777777" w:rsidTr="002878E5">
        <w:trPr>
          <w:trHeight w:val="390"/>
        </w:trPr>
        <w:tc>
          <w:tcPr>
            <w:cnfStyle w:val="001000000000" w:firstRow="0" w:lastRow="0" w:firstColumn="1" w:lastColumn="0" w:oddVBand="0" w:evenVBand="0" w:oddHBand="0" w:evenHBand="0" w:firstRowFirstColumn="0" w:firstRowLastColumn="0" w:lastRowFirstColumn="0" w:lastRowLastColumn="0"/>
            <w:tcW w:w="3359" w:type="dxa"/>
          </w:tcPr>
          <w:p w14:paraId="061D56C1" w14:textId="727F69EE" w:rsidR="00023B5B" w:rsidRPr="00307A2A" w:rsidRDefault="00023B5B">
            <w:pPr>
              <w:pStyle w:val="Tabletextbold"/>
              <w:rPr>
                <w:b/>
              </w:rPr>
            </w:pPr>
            <w:r w:rsidRPr="00307A2A">
              <w:rPr>
                <w:b/>
              </w:rPr>
              <w:t>TAS</w:t>
            </w:r>
          </w:p>
        </w:tc>
        <w:tc>
          <w:tcPr>
            <w:tcW w:w="3428" w:type="dxa"/>
          </w:tcPr>
          <w:p w14:paraId="2E95D460" w14:textId="401AC9D7" w:rsidR="00023B5B" w:rsidRPr="005005DD" w:rsidRDefault="00023B5B">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2112E1">
              <w:rPr>
                <w:szCs w:val="20"/>
              </w:rPr>
              <w:t>No</w:t>
            </w:r>
          </w:p>
        </w:tc>
        <w:tc>
          <w:tcPr>
            <w:tcW w:w="3430" w:type="dxa"/>
          </w:tcPr>
          <w:p w14:paraId="45012B6F" w14:textId="5E153F91" w:rsidR="00023B5B" w:rsidRPr="005005DD" w:rsidRDefault="00023B5B">
            <w:pPr>
              <w:pStyle w:val="TableText"/>
              <w:cnfStyle w:val="000000000000" w:firstRow="0" w:lastRow="0" w:firstColumn="0" w:lastColumn="0" w:oddVBand="0" w:evenVBand="0" w:oddHBand="0" w:evenHBand="0" w:firstRowFirstColumn="0" w:firstRowLastColumn="0" w:lastRowFirstColumn="0" w:lastRowLastColumn="0"/>
              <w:rPr>
                <w:lang w:eastAsia="en-AU"/>
              </w:rPr>
            </w:pPr>
            <w:r w:rsidRPr="006F788B">
              <w:rPr>
                <w:szCs w:val="20"/>
              </w:rPr>
              <w:t>No</w:t>
            </w:r>
          </w:p>
        </w:tc>
      </w:tr>
      <w:tr w:rsidR="00023B5B" w14:paraId="1B02437D" w14:textId="77777777" w:rsidTr="002878E5">
        <w:trPr>
          <w:trHeight w:val="390"/>
        </w:trPr>
        <w:tc>
          <w:tcPr>
            <w:cnfStyle w:val="001000000000" w:firstRow="0" w:lastRow="0" w:firstColumn="1" w:lastColumn="0" w:oddVBand="0" w:evenVBand="0" w:oddHBand="0" w:evenHBand="0" w:firstRowFirstColumn="0" w:firstRowLastColumn="0" w:lastRowFirstColumn="0" w:lastRowLastColumn="0"/>
            <w:tcW w:w="3359" w:type="dxa"/>
          </w:tcPr>
          <w:p w14:paraId="01EAEE23" w14:textId="77777777" w:rsidR="00023B5B" w:rsidRPr="00307A2A" w:rsidRDefault="00023B5B">
            <w:pPr>
              <w:pStyle w:val="Tabletextbold"/>
              <w:rPr>
                <w:b/>
              </w:rPr>
            </w:pPr>
            <w:r w:rsidRPr="00307A2A">
              <w:rPr>
                <w:b/>
              </w:rPr>
              <w:t>VIC</w:t>
            </w:r>
          </w:p>
        </w:tc>
        <w:tc>
          <w:tcPr>
            <w:tcW w:w="3428" w:type="dxa"/>
          </w:tcPr>
          <w:p w14:paraId="2CBE736E" w14:textId="2C98EF5D" w:rsidR="00023B5B" w:rsidRPr="00307A2A" w:rsidRDefault="00023B5B">
            <w:pPr>
              <w:pStyle w:val="TableText"/>
              <w:cnfStyle w:val="000000000000" w:firstRow="0" w:lastRow="0" w:firstColumn="0" w:lastColumn="0" w:oddVBand="0" w:evenVBand="0" w:oddHBand="0" w:evenHBand="0" w:firstRowFirstColumn="0" w:firstRowLastColumn="0" w:lastRowFirstColumn="0" w:lastRowLastColumn="0"/>
              <w:rPr>
                <w:color w:val="1E49E2" w:themeColor="accent1"/>
                <w:szCs w:val="20"/>
              </w:rPr>
            </w:pPr>
            <w:r w:rsidRPr="006314AD">
              <w:rPr>
                <w:lang w:eastAsia="en-AU"/>
              </w:rPr>
              <w:t>Yes</w:t>
            </w:r>
          </w:p>
        </w:tc>
        <w:tc>
          <w:tcPr>
            <w:tcW w:w="3430" w:type="dxa"/>
          </w:tcPr>
          <w:p w14:paraId="215F1E14" w14:textId="07E5ADDC" w:rsidR="00023B5B" w:rsidRDefault="00023B5B">
            <w:pPr>
              <w:pStyle w:val="TableText"/>
              <w:cnfStyle w:val="000000000000" w:firstRow="0" w:lastRow="0" w:firstColumn="0" w:lastColumn="0" w:oddVBand="0" w:evenVBand="0" w:oddHBand="0" w:evenHBand="0" w:firstRowFirstColumn="0" w:firstRowLastColumn="0" w:lastRowFirstColumn="0" w:lastRowLastColumn="0"/>
              <w:rPr>
                <w:szCs w:val="20"/>
              </w:rPr>
            </w:pPr>
            <w:r w:rsidRPr="006314AD">
              <w:rPr>
                <w:lang w:eastAsia="en-AU"/>
              </w:rPr>
              <w:t>Yes</w:t>
            </w:r>
          </w:p>
        </w:tc>
      </w:tr>
      <w:tr w:rsidR="00023B5B" w14:paraId="4A551A1E" w14:textId="77777777" w:rsidTr="002878E5">
        <w:trPr>
          <w:trHeight w:val="390"/>
        </w:trPr>
        <w:tc>
          <w:tcPr>
            <w:cnfStyle w:val="001000000000" w:firstRow="0" w:lastRow="0" w:firstColumn="1" w:lastColumn="0" w:oddVBand="0" w:evenVBand="0" w:oddHBand="0" w:evenHBand="0" w:firstRowFirstColumn="0" w:firstRowLastColumn="0" w:lastRowFirstColumn="0" w:lastRowLastColumn="0"/>
            <w:tcW w:w="3359" w:type="dxa"/>
          </w:tcPr>
          <w:p w14:paraId="1800212E" w14:textId="77777777" w:rsidR="00023B5B" w:rsidRPr="00307A2A" w:rsidRDefault="00023B5B">
            <w:pPr>
              <w:pStyle w:val="Tabletextbold"/>
              <w:rPr>
                <w:b/>
              </w:rPr>
            </w:pPr>
            <w:r w:rsidRPr="00307A2A">
              <w:rPr>
                <w:b/>
              </w:rPr>
              <w:t>WA</w:t>
            </w:r>
          </w:p>
        </w:tc>
        <w:tc>
          <w:tcPr>
            <w:tcW w:w="3428" w:type="dxa"/>
          </w:tcPr>
          <w:p w14:paraId="58059EC7" w14:textId="2A22C479" w:rsidR="00023B5B" w:rsidRDefault="00023B5B">
            <w:pPr>
              <w:pStyle w:val="TableText"/>
              <w:cnfStyle w:val="000000000000" w:firstRow="0" w:lastRow="0" w:firstColumn="0" w:lastColumn="0" w:oddVBand="0" w:evenVBand="0" w:oddHBand="0" w:evenHBand="0" w:firstRowFirstColumn="0" w:firstRowLastColumn="0" w:lastRowFirstColumn="0" w:lastRowLastColumn="0"/>
              <w:rPr>
                <w:szCs w:val="20"/>
              </w:rPr>
            </w:pPr>
            <w:r w:rsidRPr="006314AD">
              <w:rPr>
                <w:lang w:eastAsia="en-AU"/>
              </w:rPr>
              <w:t>Yes</w:t>
            </w:r>
          </w:p>
        </w:tc>
        <w:tc>
          <w:tcPr>
            <w:tcW w:w="3430" w:type="dxa"/>
          </w:tcPr>
          <w:p w14:paraId="6AA9138E" w14:textId="1B64D4BC" w:rsidR="00023B5B" w:rsidRDefault="00023B5B">
            <w:pPr>
              <w:pStyle w:val="TableText"/>
              <w:cnfStyle w:val="000000000000" w:firstRow="0" w:lastRow="0" w:firstColumn="0" w:lastColumn="0" w:oddVBand="0" w:evenVBand="0" w:oddHBand="0" w:evenHBand="0" w:firstRowFirstColumn="0" w:firstRowLastColumn="0" w:lastRowFirstColumn="0" w:lastRowLastColumn="0"/>
              <w:rPr>
                <w:szCs w:val="20"/>
              </w:rPr>
            </w:pPr>
            <w:r w:rsidRPr="006314AD">
              <w:rPr>
                <w:lang w:eastAsia="en-AU"/>
              </w:rPr>
              <w:t>Yes</w:t>
            </w:r>
          </w:p>
        </w:tc>
      </w:tr>
    </w:tbl>
    <w:p w14:paraId="5FC261CA" w14:textId="653CCBA6" w:rsidR="000D7CFB" w:rsidRDefault="000D7CFB" w:rsidP="00721F63">
      <w:pPr>
        <w:pStyle w:val="Caption-Source"/>
        <w:rPr>
          <w:rFonts w:ascii="ZWAdobeF" w:hAnsi="ZWAdobeF" w:cs="ZWAdobeF"/>
          <w:color w:val="auto"/>
          <w:sz w:val="2"/>
          <w:szCs w:val="2"/>
        </w:rPr>
      </w:pPr>
      <w:r w:rsidRPr="00B027FB">
        <w:t xml:space="preserve">Source: </w:t>
      </w:r>
      <w:r w:rsidR="004A6003" w:rsidRPr="004A6003">
        <w:t>Independent reviewer</w:t>
      </w:r>
      <w:r w:rsidR="004A6003">
        <w:t>,</w:t>
      </w:r>
      <w:r w:rsidRPr="00B027FB">
        <w:t xml:space="preserve"> using information from Canberra Health Services (2023)</w:t>
      </w:r>
      <w:r w:rsidRPr="00B027FB">
        <w:rPr>
          <w:rStyle w:val="FootnoteReference"/>
          <w:i/>
          <w:szCs w:val="20"/>
        </w:rPr>
        <w:footnoteReference w:id="28"/>
      </w:r>
      <w:r w:rsidRPr="00E768E6">
        <w:t>Royal Brisbane and Women’s Hospital (2022)</w:t>
      </w:r>
      <w:r w:rsidRPr="00B027FB">
        <w:rPr>
          <w:rStyle w:val="FootnoteReference"/>
          <w:i/>
          <w:szCs w:val="20"/>
        </w:rPr>
        <w:footnoteReference w:id="29"/>
      </w:r>
      <w:r w:rsidRPr="00B027FB">
        <w:rPr>
          <w:i/>
          <w:szCs w:val="20"/>
        </w:rPr>
        <w:t xml:space="preserve">, </w:t>
      </w:r>
      <w:r w:rsidRPr="00E768E6">
        <w:t>The Royal Melbourne Hospital (2023).</w:t>
      </w:r>
      <w:r w:rsidRPr="00B027FB">
        <w:rPr>
          <w:rStyle w:val="FootnoteReference"/>
          <w:i/>
          <w:szCs w:val="20"/>
        </w:rPr>
        <w:footnoteReference w:id="30"/>
      </w:r>
    </w:p>
    <w:p w14:paraId="1692384E" w14:textId="669CAD0C" w:rsidR="00E768E6" w:rsidRDefault="00E768E6" w:rsidP="00E768E6">
      <w:pPr>
        <w:pStyle w:val="Caption"/>
      </w:pPr>
      <w:bookmarkStart w:id="52" w:name="_Ref207194643"/>
      <w:bookmarkStart w:id="53" w:name="_Toc207348570"/>
      <w:r>
        <w:t xml:space="preserve">Table </w:t>
      </w:r>
      <w:r>
        <w:fldChar w:fldCharType="begin"/>
      </w:r>
      <w:r>
        <w:instrText xml:space="preserve"> SEQ Table \* ARABIC </w:instrText>
      </w:r>
      <w:r>
        <w:fldChar w:fldCharType="separate"/>
      </w:r>
      <w:r>
        <w:rPr>
          <w:noProof/>
        </w:rPr>
        <w:t>5</w:t>
      </w:r>
      <w:r>
        <w:rPr>
          <w:noProof/>
        </w:rPr>
        <w:fldChar w:fldCharType="end"/>
      </w:r>
      <w:bookmarkEnd w:id="52"/>
      <w:r>
        <w:t>: Comparison of ear, nasal and hemi-facial prostheses schemes and services available across jurisdictions</w:t>
      </w:r>
      <w:bookmarkEnd w:id="53"/>
    </w:p>
    <w:tbl>
      <w:tblPr>
        <w:tblStyle w:val="KPMGTable"/>
        <w:tblW w:w="10257" w:type="dxa"/>
        <w:tblLook w:val="04A0" w:firstRow="1" w:lastRow="0" w:firstColumn="1" w:lastColumn="0" w:noHBand="0" w:noVBand="1"/>
      </w:tblPr>
      <w:tblGrid>
        <w:gridCol w:w="3371"/>
        <w:gridCol w:w="3443"/>
        <w:gridCol w:w="3443"/>
      </w:tblGrid>
      <w:tr w:rsidR="003202A8" w14:paraId="01F68D95" w14:textId="77777777" w:rsidTr="00023B5B">
        <w:trPr>
          <w:cnfStyle w:val="100000000000" w:firstRow="1" w:lastRow="0" w:firstColumn="0" w:lastColumn="0" w:oddVBand="0" w:evenVBand="0" w:oddHBand="0"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3371" w:type="dxa"/>
          </w:tcPr>
          <w:p w14:paraId="3353E1C0" w14:textId="5FFE5171" w:rsidR="00E768E6" w:rsidRPr="00E768E6" w:rsidRDefault="00E768E6" w:rsidP="00E768E6">
            <w:pPr>
              <w:pStyle w:val="TableHeading"/>
            </w:pPr>
            <w:r w:rsidRPr="00E768E6">
              <w:t>Jurisdiction</w:t>
            </w:r>
          </w:p>
        </w:tc>
        <w:tc>
          <w:tcPr>
            <w:tcW w:w="3443" w:type="dxa"/>
          </w:tcPr>
          <w:p w14:paraId="008F1F2B" w14:textId="77777777" w:rsidR="00E768E6" w:rsidRPr="00E768E6" w:rsidRDefault="00E768E6" w:rsidP="00E768E6">
            <w:pPr>
              <w:pStyle w:val="TableHeading"/>
              <w:cnfStyle w:val="100000000000" w:firstRow="1" w:lastRow="0" w:firstColumn="0" w:lastColumn="0" w:oddVBand="0" w:evenVBand="0" w:oddHBand="0" w:evenHBand="0" w:firstRowFirstColumn="0" w:firstRowLastColumn="0" w:lastRowFirstColumn="0" w:lastRowLastColumn="0"/>
            </w:pPr>
            <w:r w:rsidRPr="00E768E6">
              <w:t>Publicly funded services are available</w:t>
            </w:r>
          </w:p>
        </w:tc>
        <w:tc>
          <w:tcPr>
            <w:tcW w:w="3443" w:type="dxa"/>
          </w:tcPr>
          <w:p w14:paraId="0DAB5C09" w14:textId="77777777" w:rsidR="00E768E6" w:rsidRPr="00E768E6" w:rsidRDefault="00E768E6" w:rsidP="00E768E6">
            <w:pPr>
              <w:pStyle w:val="TableHeading"/>
              <w:cnfStyle w:val="100000000000" w:firstRow="1" w:lastRow="0" w:firstColumn="0" w:lastColumn="0" w:oddVBand="0" w:evenVBand="0" w:oddHBand="0" w:evenHBand="0" w:firstRowFirstColumn="0" w:firstRowLastColumn="0" w:lastRowFirstColumn="0" w:lastRowLastColumn="0"/>
            </w:pPr>
            <w:r w:rsidRPr="00E768E6">
              <w:t>Private services available</w:t>
            </w:r>
          </w:p>
        </w:tc>
      </w:tr>
      <w:tr w:rsidR="00BC4FBB" w14:paraId="2F7FA5E8" w14:textId="77777777" w:rsidTr="00023B5B">
        <w:trPr>
          <w:trHeight w:val="311"/>
        </w:trPr>
        <w:tc>
          <w:tcPr>
            <w:cnfStyle w:val="001000000000" w:firstRow="0" w:lastRow="0" w:firstColumn="1" w:lastColumn="0" w:oddVBand="0" w:evenVBand="0" w:oddHBand="0" w:evenHBand="0" w:firstRowFirstColumn="0" w:firstRowLastColumn="0" w:lastRowFirstColumn="0" w:lastRowLastColumn="0"/>
            <w:tcW w:w="3371" w:type="dxa"/>
          </w:tcPr>
          <w:p w14:paraId="6AA2309B" w14:textId="77777777" w:rsidR="00E768E6" w:rsidRPr="00307A2A" w:rsidRDefault="00E768E6" w:rsidP="00E768E6">
            <w:pPr>
              <w:pStyle w:val="Tabletextbold"/>
              <w:rPr>
                <w:b/>
              </w:rPr>
            </w:pPr>
            <w:r w:rsidRPr="00307A2A">
              <w:rPr>
                <w:b/>
              </w:rPr>
              <w:t>ACT</w:t>
            </w:r>
          </w:p>
        </w:tc>
        <w:tc>
          <w:tcPr>
            <w:tcW w:w="3443" w:type="dxa"/>
          </w:tcPr>
          <w:p w14:paraId="34DEBBD9" w14:textId="77777777" w:rsidR="00E768E6" w:rsidRPr="00EF4876" w:rsidRDefault="00E768E6" w:rsidP="00E768E6">
            <w:pPr>
              <w:pStyle w:val="TableText"/>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9F5C5C">
              <w:t>No</w:t>
            </w:r>
          </w:p>
        </w:tc>
        <w:tc>
          <w:tcPr>
            <w:tcW w:w="3443" w:type="dxa"/>
          </w:tcPr>
          <w:p w14:paraId="5FD95430" w14:textId="77777777" w:rsidR="00E768E6" w:rsidRPr="00307A2A" w:rsidRDefault="00E768E6" w:rsidP="00E768E6">
            <w:pPr>
              <w:pStyle w:val="TableText"/>
              <w:cnfStyle w:val="000000000000" w:firstRow="0" w:lastRow="0" w:firstColumn="0" w:lastColumn="0" w:oddVBand="0" w:evenVBand="0" w:oddHBand="0" w:evenHBand="0" w:firstRowFirstColumn="0" w:firstRowLastColumn="0" w:lastRowFirstColumn="0" w:lastRowLastColumn="0"/>
              <w:rPr>
                <w:color w:val="BFBFBF" w:themeColor="background1" w:themeShade="BF"/>
              </w:rPr>
            </w:pPr>
            <w:r w:rsidRPr="009F5C5C">
              <w:t>No</w:t>
            </w:r>
          </w:p>
        </w:tc>
      </w:tr>
      <w:tr w:rsidR="00BC4FBB" w14:paraId="2A0F64D4" w14:textId="77777777" w:rsidTr="00023B5B">
        <w:trPr>
          <w:trHeight w:val="311"/>
        </w:trPr>
        <w:tc>
          <w:tcPr>
            <w:cnfStyle w:val="001000000000" w:firstRow="0" w:lastRow="0" w:firstColumn="1" w:lastColumn="0" w:oddVBand="0" w:evenVBand="0" w:oddHBand="0" w:evenHBand="0" w:firstRowFirstColumn="0" w:firstRowLastColumn="0" w:lastRowFirstColumn="0" w:lastRowLastColumn="0"/>
            <w:tcW w:w="3371" w:type="dxa"/>
          </w:tcPr>
          <w:p w14:paraId="4F0C8168" w14:textId="77777777" w:rsidR="00E768E6" w:rsidRPr="00307A2A" w:rsidRDefault="00E768E6" w:rsidP="00E768E6">
            <w:pPr>
              <w:pStyle w:val="Tabletextbold"/>
              <w:rPr>
                <w:b/>
              </w:rPr>
            </w:pPr>
            <w:r w:rsidRPr="00307A2A">
              <w:rPr>
                <w:b/>
              </w:rPr>
              <w:t>NSW</w:t>
            </w:r>
          </w:p>
        </w:tc>
        <w:tc>
          <w:tcPr>
            <w:tcW w:w="3443" w:type="dxa"/>
          </w:tcPr>
          <w:p w14:paraId="403BEA1A" w14:textId="77777777" w:rsidR="00E768E6" w:rsidRPr="00EF4876" w:rsidRDefault="00E768E6" w:rsidP="00E768E6">
            <w:pPr>
              <w:pStyle w:val="TableText"/>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t>No</w:t>
            </w:r>
          </w:p>
        </w:tc>
        <w:tc>
          <w:tcPr>
            <w:tcW w:w="3443" w:type="dxa"/>
          </w:tcPr>
          <w:p w14:paraId="5590AB7B" w14:textId="77777777" w:rsidR="00E768E6" w:rsidRDefault="00E768E6" w:rsidP="00E768E6">
            <w:pPr>
              <w:pStyle w:val="TableText"/>
              <w:cnfStyle w:val="000000000000" w:firstRow="0" w:lastRow="0" w:firstColumn="0" w:lastColumn="0" w:oddVBand="0" w:evenVBand="0" w:oddHBand="0" w:evenHBand="0" w:firstRowFirstColumn="0" w:firstRowLastColumn="0" w:lastRowFirstColumn="0" w:lastRowLastColumn="0"/>
            </w:pPr>
            <w:r>
              <w:rPr>
                <w:rFonts w:eastAsia="Times New Roman" w:cstheme="minorHAnsi"/>
                <w:kern w:val="24"/>
                <w:szCs w:val="18"/>
                <w:lang w:eastAsia="en-AU"/>
              </w:rPr>
              <w:t>Yes</w:t>
            </w:r>
          </w:p>
        </w:tc>
      </w:tr>
      <w:tr w:rsidR="00BC4FBB" w14:paraId="0D23FEED" w14:textId="77777777" w:rsidTr="00023B5B">
        <w:trPr>
          <w:trHeight w:val="311"/>
        </w:trPr>
        <w:tc>
          <w:tcPr>
            <w:cnfStyle w:val="001000000000" w:firstRow="0" w:lastRow="0" w:firstColumn="1" w:lastColumn="0" w:oddVBand="0" w:evenVBand="0" w:oddHBand="0" w:evenHBand="0" w:firstRowFirstColumn="0" w:firstRowLastColumn="0" w:lastRowFirstColumn="0" w:lastRowLastColumn="0"/>
            <w:tcW w:w="3371" w:type="dxa"/>
          </w:tcPr>
          <w:p w14:paraId="2B9BD602" w14:textId="77777777" w:rsidR="00E768E6" w:rsidRPr="00307A2A" w:rsidRDefault="00E768E6" w:rsidP="00E768E6">
            <w:pPr>
              <w:pStyle w:val="Tabletextbold"/>
              <w:rPr>
                <w:b/>
              </w:rPr>
            </w:pPr>
            <w:r w:rsidRPr="00307A2A">
              <w:rPr>
                <w:b/>
              </w:rPr>
              <w:t>NT</w:t>
            </w:r>
          </w:p>
        </w:tc>
        <w:tc>
          <w:tcPr>
            <w:tcW w:w="3443" w:type="dxa"/>
          </w:tcPr>
          <w:p w14:paraId="7EB073CF" w14:textId="77777777" w:rsidR="00E768E6" w:rsidRPr="005005DD" w:rsidRDefault="00E768E6" w:rsidP="00E768E6">
            <w:pPr>
              <w:pStyle w:val="TableText"/>
              <w:cnfStyle w:val="000000000000" w:firstRow="0" w:lastRow="0" w:firstColumn="0" w:lastColumn="0" w:oddVBand="0" w:evenVBand="0" w:oddHBand="0" w:evenHBand="0" w:firstRowFirstColumn="0" w:firstRowLastColumn="0" w:lastRowFirstColumn="0" w:lastRowLastColumn="0"/>
              <w:rPr>
                <w:rFonts w:eastAsia="Times New Roman" w:cstheme="minorHAnsi"/>
                <w:kern w:val="24"/>
                <w:szCs w:val="18"/>
                <w:lang w:eastAsia="en-AU"/>
              </w:rPr>
            </w:pPr>
            <w:r w:rsidRPr="003D14DF">
              <w:t>No</w:t>
            </w:r>
          </w:p>
        </w:tc>
        <w:tc>
          <w:tcPr>
            <w:tcW w:w="3443" w:type="dxa"/>
          </w:tcPr>
          <w:p w14:paraId="5257CB6D" w14:textId="77777777" w:rsidR="00E768E6" w:rsidRPr="005005DD" w:rsidRDefault="00E768E6" w:rsidP="00E768E6">
            <w:pPr>
              <w:pStyle w:val="TableText"/>
              <w:cnfStyle w:val="000000000000" w:firstRow="0" w:lastRow="0" w:firstColumn="0" w:lastColumn="0" w:oddVBand="0" w:evenVBand="0" w:oddHBand="0" w:evenHBand="0" w:firstRowFirstColumn="0" w:firstRowLastColumn="0" w:lastRowFirstColumn="0" w:lastRowLastColumn="0"/>
              <w:rPr>
                <w:rFonts w:eastAsia="Times New Roman" w:cstheme="minorHAnsi"/>
                <w:kern w:val="24"/>
                <w:szCs w:val="18"/>
                <w:lang w:eastAsia="en-AU"/>
              </w:rPr>
            </w:pPr>
            <w:r w:rsidRPr="003D14DF">
              <w:t>No</w:t>
            </w:r>
          </w:p>
        </w:tc>
      </w:tr>
      <w:tr w:rsidR="00BC4FBB" w14:paraId="0C15732B" w14:textId="77777777" w:rsidTr="00023B5B">
        <w:trPr>
          <w:trHeight w:val="311"/>
        </w:trPr>
        <w:tc>
          <w:tcPr>
            <w:cnfStyle w:val="001000000000" w:firstRow="0" w:lastRow="0" w:firstColumn="1" w:lastColumn="0" w:oddVBand="0" w:evenVBand="0" w:oddHBand="0" w:evenHBand="0" w:firstRowFirstColumn="0" w:firstRowLastColumn="0" w:lastRowFirstColumn="0" w:lastRowLastColumn="0"/>
            <w:tcW w:w="3371" w:type="dxa"/>
          </w:tcPr>
          <w:p w14:paraId="38F773E9" w14:textId="77777777" w:rsidR="00E768E6" w:rsidRPr="00307A2A" w:rsidRDefault="00E768E6" w:rsidP="00E768E6">
            <w:pPr>
              <w:pStyle w:val="Tabletextbold"/>
              <w:rPr>
                <w:b/>
              </w:rPr>
            </w:pPr>
            <w:r w:rsidRPr="00307A2A">
              <w:rPr>
                <w:b/>
              </w:rPr>
              <w:t>QLD</w:t>
            </w:r>
          </w:p>
        </w:tc>
        <w:tc>
          <w:tcPr>
            <w:tcW w:w="3443" w:type="dxa"/>
          </w:tcPr>
          <w:p w14:paraId="07D21D51" w14:textId="77777777" w:rsidR="00E768E6" w:rsidRDefault="00E768E6" w:rsidP="00E768E6">
            <w:pPr>
              <w:pStyle w:val="TableText"/>
              <w:cnfStyle w:val="000000000000" w:firstRow="0" w:lastRow="0" w:firstColumn="0" w:lastColumn="0" w:oddVBand="0" w:evenVBand="0" w:oddHBand="0" w:evenHBand="0" w:firstRowFirstColumn="0" w:firstRowLastColumn="0" w:lastRowFirstColumn="0" w:lastRowLastColumn="0"/>
            </w:pPr>
            <w:r w:rsidRPr="00FE64F2">
              <w:rPr>
                <w:rFonts w:eastAsia="Times New Roman" w:cstheme="minorHAnsi"/>
                <w:kern w:val="24"/>
                <w:szCs w:val="18"/>
                <w:lang w:eastAsia="en-AU"/>
              </w:rPr>
              <w:t>Yes</w:t>
            </w:r>
          </w:p>
        </w:tc>
        <w:tc>
          <w:tcPr>
            <w:tcW w:w="3443" w:type="dxa"/>
          </w:tcPr>
          <w:p w14:paraId="22BB721C" w14:textId="77777777" w:rsidR="00E768E6" w:rsidRDefault="00E768E6" w:rsidP="00E768E6">
            <w:pPr>
              <w:pStyle w:val="TableText"/>
              <w:cnfStyle w:val="000000000000" w:firstRow="0" w:lastRow="0" w:firstColumn="0" w:lastColumn="0" w:oddVBand="0" w:evenVBand="0" w:oddHBand="0" w:evenHBand="0" w:firstRowFirstColumn="0" w:firstRowLastColumn="0" w:lastRowFirstColumn="0" w:lastRowLastColumn="0"/>
            </w:pPr>
            <w:r w:rsidRPr="00FE64F2">
              <w:rPr>
                <w:rFonts w:eastAsia="Times New Roman" w:cstheme="minorHAnsi"/>
                <w:kern w:val="24"/>
                <w:szCs w:val="18"/>
                <w:lang w:eastAsia="en-AU"/>
              </w:rPr>
              <w:t>Ye</w:t>
            </w:r>
            <w:r>
              <w:rPr>
                <w:rFonts w:eastAsia="Times New Roman" w:cstheme="minorHAnsi"/>
                <w:kern w:val="24"/>
                <w:szCs w:val="18"/>
                <w:lang w:eastAsia="en-AU"/>
              </w:rPr>
              <w:t>s</w:t>
            </w:r>
          </w:p>
        </w:tc>
      </w:tr>
      <w:tr w:rsidR="00BC4FBB" w14:paraId="384878AC" w14:textId="77777777" w:rsidTr="00023B5B">
        <w:trPr>
          <w:trHeight w:val="311"/>
        </w:trPr>
        <w:tc>
          <w:tcPr>
            <w:cnfStyle w:val="001000000000" w:firstRow="0" w:lastRow="0" w:firstColumn="1" w:lastColumn="0" w:oddVBand="0" w:evenVBand="0" w:oddHBand="0" w:evenHBand="0" w:firstRowFirstColumn="0" w:firstRowLastColumn="0" w:lastRowFirstColumn="0" w:lastRowLastColumn="0"/>
            <w:tcW w:w="3371" w:type="dxa"/>
          </w:tcPr>
          <w:p w14:paraId="2DEFE7AD" w14:textId="77777777" w:rsidR="00E768E6" w:rsidRPr="00307A2A" w:rsidRDefault="00E768E6" w:rsidP="00E768E6">
            <w:pPr>
              <w:pStyle w:val="Tabletextbold"/>
              <w:rPr>
                <w:b/>
              </w:rPr>
            </w:pPr>
            <w:r w:rsidRPr="00307A2A">
              <w:rPr>
                <w:b/>
              </w:rPr>
              <w:t>SA</w:t>
            </w:r>
          </w:p>
        </w:tc>
        <w:tc>
          <w:tcPr>
            <w:tcW w:w="3443" w:type="dxa"/>
          </w:tcPr>
          <w:p w14:paraId="2E54E420" w14:textId="77777777" w:rsidR="00E768E6" w:rsidRPr="005005DD" w:rsidRDefault="00E768E6" w:rsidP="00E768E6">
            <w:pPr>
              <w:pStyle w:val="TableText"/>
              <w:cnfStyle w:val="000000000000" w:firstRow="0" w:lastRow="0" w:firstColumn="0" w:lastColumn="0" w:oddVBand="0" w:evenVBand="0" w:oddHBand="0" w:evenHBand="0" w:firstRowFirstColumn="0" w:firstRowLastColumn="0" w:lastRowFirstColumn="0" w:lastRowLastColumn="0"/>
              <w:rPr>
                <w:rFonts w:eastAsia="Times New Roman" w:cstheme="minorHAnsi"/>
                <w:kern w:val="24"/>
                <w:szCs w:val="18"/>
                <w:lang w:eastAsia="en-AU"/>
              </w:rPr>
            </w:pPr>
            <w:r w:rsidRPr="00EC116E">
              <w:t>No</w:t>
            </w:r>
          </w:p>
        </w:tc>
        <w:tc>
          <w:tcPr>
            <w:tcW w:w="3443" w:type="dxa"/>
          </w:tcPr>
          <w:p w14:paraId="09C07B57" w14:textId="77777777" w:rsidR="00E768E6" w:rsidRPr="005005DD" w:rsidRDefault="00E768E6" w:rsidP="00E768E6">
            <w:pPr>
              <w:pStyle w:val="TableText"/>
              <w:cnfStyle w:val="000000000000" w:firstRow="0" w:lastRow="0" w:firstColumn="0" w:lastColumn="0" w:oddVBand="0" w:evenVBand="0" w:oddHBand="0" w:evenHBand="0" w:firstRowFirstColumn="0" w:firstRowLastColumn="0" w:lastRowFirstColumn="0" w:lastRowLastColumn="0"/>
              <w:rPr>
                <w:rFonts w:eastAsia="Times New Roman" w:cstheme="minorHAnsi"/>
                <w:kern w:val="24"/>
                <w:szCs w:val="18"/>
                <w:lang w:eastAsia="en-AU"/>
              </w:rPr>
            </w:pPr>
            <w:r w:rsidRPr="00EC116E">
              <w:t>No</w:t>
            </w:r>
          </w:p>
        </w:tc>
      </w:tr>
      <w:tr w:rsidR="00BC4FBB" w14:paraId="2B3DC03F" w14:textId="77777777" w:rsidTr="00023B5B">
        <w:trPr>
          <w:trHeight w:val="311"/>
        </w:trPr>
        <w:tc>
          <w:tcPr>
            <w:cnfStyle w:val="001000000000" w:firstRow="0" w:lastRow="0" w:firstColumn="1" w:lastColumn="0" w:oddVBand="0" w:evenVBand="0" w:oddHBand="0" w:evenHBand="0" w:firstRowFirstColumn="0" w:firstRowLastColumn="0" w:lastRowFirstColumn="0" w:lastRowLastColumn="0"/>
            <w:tcW w:w="3371" w:type="dxa"/>
          </w:tcPr>
          <w:p w14:paraId="4F4A1D93" w14:textId="77777777" w:rsidR="00E768E6" w:rsidRPr="00307A2A" w:rsidRDefault="00E768E6" w:rsidP="00E768E6">
            <w:pPr>
              <w:pStyle w:val="Tabletextbold"/>
              <w:rPr>
                <w:b/>
              </w:rPr>
            </w:pPr>
            <w:r w:rsidRPr="00307A2A">
              <w:rPr>
                <w:b/>
              </w:rPr>
              <w:t>TAS</w:t>
            </w:r>
          </w:p>
        </w:tc>
        <w:tc>
          <w:tcPr>
            <w:tcW w:w="3443" w:type="dxa"/>
          </w:tcPr>
          <w:p w14:paraId="159E54D6" w14:textId="77777777" w:rsidR="00E768E6" w:rsidRPr="005005DD" w:rsidRDefault="00E768E6" w:rsidP="00E768E6">
            <w:pPr>
              <w:pStyle w:val="TableText"/>
              <w:cnfStyle w:val="000000000000" w:firstRow="0" w:lastRow="0" w:firstColumn="0" w:lastColumn="0" w:oddVBand="0" w:evenVBand="0" w:oddHBand="0" w:evenHBand="0" w:firstRowFirstColumn="0" w:firstRowLastColumn="0" w:lastRowFirstColumn="0" w:lastRowLastColumn="0"/>
              <w:rPr>
                <w:rFonts w:eastAsia="Times New Roman" w:cstheme="minorHAnsi"/>
                <w:kern w:val="24"/>
                <w:szCs w:val="18"/>
                <w:lang w:eastAsia="en-AU"/>
              </w:rPr>
            </w:pPr>
            <w:r w:rsidRPr="006F788B">
              <w:t>No</w:t>
            </w:r>
          </w:p>
        </w:tc>
        <w:tc>
          <w:tcPr>
            <w:tcW w:w="3443" w:type="dxa"/>
          </w:tcPr>
          <w:p w14:paraId="762958BA" w14:textId="77777777" w:rsidR="00E768E6" w:rsidRPr="005005DD" w:rsidRDefault="00E768E6" w:rsidP="00E768E6">
            <w:pPr>
              <w:pStyle w:val="TableText"/>
              <w:cnfStyle w:val="000000000000" w:firstRow="0" w:lastRow="0" w:firstColumn="0" w:lastColumn="0" w:oddVBand="0" w:evenVBand="0" w:oddHBand="0" w:evenHBand="0" w:firstRowFirstColumn="0" w:firstRowLastColumn="0" w:lastRowFirstColumn="0" w:lastRowLastColumn="0"/>
              <w:rPr>
                <w:rFonts w:eastAsia="Times New Roman" w:cstheme="minorHAnsi"/>
                <w:kern w:val="24"/>
                <w:szCs w:val="18"/>
                <w:lang w:eastAsia="en-AU"/>
              </w:rPr>
            </w:pPr>
            <w:r w:rsidRPr="006F788B">
              <w:t>No</w:t>
            </w:r>
          </w:p>
        </w:tc>
      </w:tr>
      <w:tr w:rsidR="00BC4FBB" w14:paraId="56FEA3FE" w14:textId="77777777" w:rsidTr="00023B5B">
        <w:trPr>
          <w:trHeight w:val="311"/>
        </w:trPr>
        <w:tc>
          <w:tcPr>
            <w:cnfStyle w:val="001000000000" w:firstRow="0" w:lastRow="0" w:firstColumn="1" w:lastColumn="0" w:oddVBand="0" w:evenVBand="0" w:oddHBand="0" w:evenHBand="0" w:firstRowFirstColumn="0" w:firstRowLastColumn="0" w:lastRowFirstColumn="0" w:lastRowLastColumn="0"/>
            <w:tcW w:w="3371" w:type="dxa"/>
          </w:tcPr>
          <w:p w14:paraId="7B050148" w14:textId="77777777" w:rsidR="00E768E6" w:rsidRPr="00307A2A" w:rsidRDefault="00E768E6" w:rsidP="00E768E6">
            <w:pPr>
              <w:pStyle w:val="Tabletextbold"/>
              <w:rPr>
                <w:b/>
              </w:rPr>
            </w:pPr>
            <w:r w:rsidRPr="00307A2A">
              <w:rPr>
                <w:b/>
              </w:rPr>
              <w:t>VIC</w:t>
            </w:r>
          </w:p>
        </w:tc>
        <w:tc>
          <w:tcPr>
            <w:tcW w:w="3443" w:type="dxa"/>
          </w:tcPr>
          <w:p w14:paraId="1D6647B0" w14:textId="77777777" w:rsidR="00E768E6" w:rsidRDefault="00E768E6" w:rsidP="00E768E6">
            <w:pPr>
              <w:pStyle w:val="TableText"/>
              <w:cnfStyle w:val="000000000000" w:firstRow="0" w:lastRow="0" w:firstColumn="0" w:lastColumn="0" w:oddVBand="0" w:evenVBand="0" w:oddHBand="0" w:evenHBand="0" w:firstRowFirstColumn="0" w:firstRowLastColumn="0" w:lastRowFirstColumn="0" w:lastRowLastColumn="0"/>
            </w:pPr>
            <w:r w:rsidRPr="006314AD">
              <w:rPr>
                <w:rFonts w:eastAsia="Times New Roman" w:cstheme="minorHAnsi"/>
                <w:kern w:val="24"/>
                <w:szCs w:val="18"/>
                <w:lang w:eastAsia="en-AU"/>
              </w:rPr>
              <w:t>Yes</w:t>
            </w:r>
          </w:p>
        </w:tc>
        <w:tc>
          <w:tcPr>
            <w:tcW w:w="3443" w:type="dxa"/>
          </w:tcPr>
          <w:p w14:paraId="77D8E60E" w14:textId="77777777" w:rsidR="00E768E6" w:rsidRDefault="00E768E6" w:rsidP="00E768E6">
            <w:pPr>
              <w:pStyle w:val="TableText"/>
              <w:cnfStyle w:val="000000000000" w:firstRow="0" w:lastRow="0" w:firstColumn="0" w:lastColumn="0" w:oddVBand="0" w:evenVBand="0" w:oddHBand="0" w:evenHBand="0" w:firstRowFirstColumn="0" w:firstRowLastColumn="0" w:lastRowFirstColumn="0" w:lastRowLastColumn="0"/>
            </w:pPr>
            <w:r w:rsidRPr="006314AD">
              <w:rPr>
                <w:rFonts w:eastAsia="Times New Roman" w:cstheme="minorHAnsi"/>
                <w:kern w:val="24"/>
                <w:szCs w:val="18"/>
                <w:lang w:eastAsia="en-AU"/>
              </w:rPr>
              <w:t>Yes</w:t>
            </w:r>
          </w:p>
        </w:tc>
      </w:tr>
      <w:tr w:rsidR="00BC4FBB" w14:paraId="5355B72A" w14:textId="77777777" w:rsidTr="00023B5B">
        <w:trPr>
          <w:trHeight w:val="311"/>
        </w:trPr>
        <w:tc>
          <w:tcPr>
            <w:cnfStyle w:val="001000000000" w:firstRow="0" w:lastRow="0" w:firstColumn="1" w:lastColumn="0" w:oddVBand="0" w:evenVBand="0" w:oddHBand="0" w:evenHBand="0" w:firstRowFirstColumn="0" w:firstRowLastColumn="0" w:lastRowFirstColumn="0" w:lastRowLastColumn="0"/>
            <w:tcW w:w="3371" w:type="dxa"/>
          </w:tcPr>
          <w:p w14:paraId="01E61953" w14:textId="77777777" w:rsidR="00E768E6" w:rsidRPr="00307A2A" w:rsidRDefault="00E768E6" w:rsidP="00E768E6">
            <w:pPr>
              <w:pStyle w:val="Tabletextbold"/>
              <w:rPr>
                <w:b/>
              </w:rPr>
            </w:pPr>
            <w:r w:rsidRPr="00307A2A">
              <w:rPr>
                <w:b/>
              </w:rPr>
              <w:t>WA</w:t>
            </w:r>
          </w:p>
        </w:tc>
        <w:tc>
          <w:tcPr>
            <w:tcW w:w="3443" w:type="dxa"/>
          </w:tcPr>
          <w:p w14:paraId="79710B14" w14:textId="77777777" w:rsidR="00E768E6" w:rsidRDefault="00E768E6" w:rsidP="00E768E6">
            <w:pPr>
              <w:pStyle w:val="TableText"/>
              <w:cnfStyle w:val="000000000000" w:firstRow="0" w:lastRow="0" w:firstColumn="0" w:lastColumn="0" w:oddVBand="0" w:evenVBand="0" w:oddHBand="0" w:evenHBand="0" w:firstRowFirstColumn="0" w:firstRowLastColumn="0" w:lastRowFirstColumn="0" w:lastRowLastColumn="0"/>
            </w:pPr>
            <w:r w:rsidRPr="006314AD">
              <w:rPr>
                <w:rFonts w:eastAsia="Times New Roman" w:cstheme="minorHAnsi"/>
                <w:kern w:val="24"/>
                <w:szCs w:val="18"/>
                <w:lang w:eastAsia="en-AU"/>
              </w:rPr>
              <w:t>Yes</w:t>
            </w:r>
          </w:p>
        </w:tc>
        <w:tc>
          <w:tcPr>
            <w:tcW w:w="3443" w:type="dxa"/>
          </w:tcPr>
          <w:p w14:paraId="00C2FC4D" w14:textId="77777777" w:rsidR="00E768E6" w:rsidRDefault="00E768E6" w:rsidP="00E768E6">
            <w:pPr>
              <w:pStyle w:val="TableText"/>
              <w:cnfStyle w:val="000000000000" w:firstRow="0" w:lastRow="0" w:firstColumn="0" w:lastColumn="0" w:oddVBand="0" w:evenVBand="0" w:oddHBand="0" w:evenHBand="0" w:firstRowFirstColumn="0" w:firstRowLastColumn="0" w:lastRowFirstColumn="0" w:lastRowLastColumn="0"/>
            </w:pPr>
            <w:r w:rsidRPr="006314AD">
              <w:rPr>
                <w:rFonts w:eastAsia="Times New Roman" w:cstheme="minorHAnsi"/>
                <w:kern w:val="24"/>
                <w:szCs w:val="18"/>
                <w:lang w:eastAsia="en-AU"/>
              </w:rPr>
              <w:t>Yes</w:t>
            </w:r>
          </w:p>
        </w:tc>
      </w:tr>
    </w:tbl>
    <w:p w14:paraId="4921956D" w14:textId="08F5040E" w:rsidR="00E768E6" w:rsidRDefault="00E768E6" w:rsidP="00023B5B">
      <w:pPr>
        <w:pStyle w:val="Caption-Source"/>
        <w:rPr>
          <w:rFonts w:ascii="ZWAdobeF" w:hAnsi="ZWAdobeF" w:cs="ZWAdobeF"/>
          <w:color w:val="auto"/>
          <w:sz w:val="2"/>
          <w:szCs w:val="2"/>
        </w:rPr>
      </w:pPr>
      <w:r w:rsidRPr="00E768E6">
        <w:t xml:space="preserve">Source: </w:t>
      </w:r>
      <w:r w:rsidR="004A6003" w:rsidRPr="004A6003">
        <w:t>Independent reviewer</w:t>
      </w:r>
      <w:r w:rsidR="004A6003">
        <w:t>,</w:t>
      </w:r>
      <w:r w:rsidRPr="00E768E6">
        <w:t xml:space="preserve"> using information from Canberra Health Services (2023)</w:t>
      </w:r>
      <w:r w:rsidRPr="00B027FB">
        <w:rPr>
          <w:rStyle w:val="FootnoteReference"/>
          <w:i/>
          <w:szCs w:val="20"/>
        </w:rPr>
        <w:footnoteReference w:id="31"/>
      </w:r>
      <w:r w:rsidR="00060A54">
        <w:t xml:space="preserve">, </w:t>
      </w:r>
      <w:r w:rsidRPr="00E768E6">
        <w:t>Royal Brisbane and Women’s Hospital (2022)</w:t>
      </w:r>
      <w:r w:rsidRPr="00B027FB">
        <w:rPr>
          <w:rStyle w:val="FootnoteReference"/>
          <w:i/>
          <w:szCs w:val="20"/>
        </w:rPr>
        <w:footnoteReference w:id="32"/>
      </w:r>
      <w:r w:rsidRPr="00B027FB">
        <w:rPr>
          <w:i/>
          <w:szCs w:val="20"/>
        </w:rPr>
        <w:t xml:space="preserve">, </w:t>
      </w:r>
      <w:r w:rsidRPr="00E768E6">
        <w:t>The Royal Melbourne Hospital (2023).</w:t>
      </w:r>
      <w:r w:rsidRPr="00B027FB">
        <w:rPr>
          <w:rStyle w:val="FootnoteReference"/>
          <w:i/>
          <w:szCs w:val="20"/>
        </w:rPr>
        <w:footnoteReference w:id="33"/>
      </w:r>
    </w:p>
    <w:p w14:paraId="433A955F" w14:textId="44312921" w:rsidR="00D45165" w:rsidRPr="00B027FB" w:rsidRDefault="00670150" w:rsidP="00072FB2">
      <w:pPr>
        <w:rPr>
          <w:i/>
          <w:sz w:val="18"/>
          <w:szCs w:val="20"/>
        </w:rPr>
      </w:pPr>
      <w:r>
        <w:rPr>
          <w:color w:val="auto"/>
        </w:rPr>
        <w:t>Stakeholders consulted as part of this review noted that i</w:t>
      </w:r>
      <w:r w:rsidR="00D45165">
        <w:rPr>
          <w:color w:val="auto"/>
        </w:rPr>
        <w:t>n most cases where publicly</w:t>
      </w:r>
      <w:r w:rsidR="00BF122D">
        <w:rPr>
          <w:color w:val="auto"/>
        </w:rPr>
        <w:t xml:space="preserve"> </w:t>
      </w:r>
      <w:r w:rsidR="00D45165">
        <w:rPr>
          <w:color w:val="auto"/>
        </w:rPr>
        <w:t xml:space="preserve">funded facial prostheses are available, the service is not delivered through a dedicated or structured </w:t>
      </w:r>
      <w:r w:rsidR="00A670DB">
        <w:rPr>
          <w:color w:val="auto"/>
        </w:rPr>
        <w:t xml:space="preserve">state-wide </w:t>
      </w:r>
      <w:r w:rsidR="00D45165">
        <w:rPr>
          <w:color w:val="auto"/>
        </w:rPr>
        <w:t xml:space="preserve">program. Instead, services are often clinician-led and hospital-dependent, relying on the initiative of an individual clinician or local health service to advocate and secure funding for the service. Without a formalised </w:t>
      </w:r>
      <w:r>
        <w:rPr>
          <w:color w:val="auto"/>
        </w:rPr>
        <w:t xml:space="preserve">program or </w:t>
      </w:r>
      <w:r w:rsidR="00D45165">
        <w:rPr>
          <w:color w:val="auto"/>
        </w:rPr>
        <w:t>scheme</w:t>
      </w:r>
      <w:r>
        <w:rPr>
          <w:color w:val="auto"/>
        </w:rPr>
        <w:t xml:space="preserve"> in place</w:t>
      </w:r>
      <w:r w:rsidR="00D45165">
        <w:rPr>
          <w:color w:val="auto"/>
        </w:rPr>
        <w:t>, funding is vulnerable to changes in hospital budgets</w:t>
      </w:r>
      <w:r w:rsidR="00840425">
        <w:rPr>
          <w:color w:val="auto"/>
        </w:rPr>
        <w:t xml:space="preserve"> </w:t>
      </w:r>
      <w:r w:rsidR="00D94DA4">
        <w:rPr>
          <w:color w:val="auto"/>
        </w:rPr>
        <w:t>or service priorities, leading to concerns regarding service sustainability for both clinicians and people with living or lived experience of cancer.</w:t>
      </w:r>
    </w:p>
    <w:p w14:paraId="3F2E72B3" w14:textId="53435434" w:rsidR="000D7CFB" w:rsidRDefault="000D7CFB" w:rsidP="00FD54A5">
      <w:pPr>
        <w:pStyle w:val="Heading4"/>
      </w:pPr>
      <w:r>
        <w:t>Australian Capital Territory</w:t>
      </w:r>
    </w:p>
    <w:p w14:paraId="6BE22245" w14:textId="02937A18" w:rsidR="00383A80" w:rsidRDefault="000D7CFB" w:rsidP="00072FB2">
      <w:r>
        <w:t xml:space="preserve">In the ACT, orbital prostheses are publicly funded through </w:t>
      </w:r>
      <w:r w:rsidR="00977490">
        <w:t>the Canberra Health Service (CHS)</w:t>
      </w:r>
      <w:r w:rsidR="00B80DAE">
        <w:t>. A</w:t>
      </w:r>
      <w:r>
        <w:t>ll other facial prostheses</w:t>
      </w:r>
      <w:r w:rsidR="00F65EA2">
        <w:t>, including ear, nose, and hemifacial prostheses,</w:t>
      </w:r>
      <w:r>
        <w:t xml:space="preserve"> are not currently covere</w:t>
      </w:r>
      <w:r w:rsidR="00B80DAE">
        <w:t xml:space="preserve">d, with </w:t>
      </w:r>
      <w:r w:rsidR="00383A80">
        <w:t xml:space="preserve">no maxillofacial prosthetists or anaplastologists currently based in the ACT. </w:t>
      </w:r>
      <w:r w:rsidR="00383A80" w:rsidRPr="00664C34">
        <w:t>Stakeholders consulted as part of this review highlighted that, as a result, individuals requiring facial prostheses</w:t>
      </w:r>
      <w:r w:rsidR="00383A80">
        <w:t>, excluding orbital prostheses,</w:t>
      </w:r>
      <w:r w:rsidR="00383A80" w:rsidRPr="00664C34">
        <w:t xml:space="preserve"> are typically referred </w:t>
      </w:r>
      <w:r w:rsidR="00383A80">
        <w:t xml:space="preserve">to </w:t>
      </w:r>
      <w:r w:rsidR="00383A80" w:rsidRPr="00664C34">
        <w:t>interstate</w:t>
      </w:r>
      <w:r w:rsidR="00383A80">
        <w:t xml:space="preserve"> services</w:t>
      </w:r>
      <w:r w:rsidR="00383A80" w:rsidRPr="00664C34">
        <w:t>.</w:t>
      </w:r>
    </w:p>
    <w:p w14:paraId="568A8D9E" w14:textId="6EBF8F35" w:rsidR="000D7CFB" w:rsidRPr="000543B6" w:rsidRDefault="006C0DA9" w:rsidP="000543B6">
      <w:r>
        <w:fldChar w:fldCharType="begin"/>
      </w:r>
      <w:r>
        <w:instrText xml:space="preserve"> REF _Ref203124118 \h </w:instrText>
      </w:r>
      <w:r>
        <w:fldChar w:fldCharType="separate"/>
      </w:r>
      <w:r w:rsidR="00D955D8">
        <w:t xml:space="preserve">Table </w:t>
      </w:r>
      <w:r w:rsidR="00D955D8">
        <w:rPr>
          <w:noProof/>
        </w:rPr>
        <w:t>6</w:t>
      </w:r>
      <w:r>
        <w:fldChar w:fldCharType="end"/>
      </w:r>
      <w:r>
        <w:t xml:space="preserve"> on Page </w:t>
      </w:r>
      <w:r>
        <w:fldChar w:fldCharType="begin"/>
      </w:r>
      <w:r>
        <w:instrText xml:space="preserve"> PAGEREF _Ref203124131 \h </w:instrText>
      </w:r>
      <w:r>
        <w:fldChar w:fldCharType="separate"/>
      </w:r>
      <w:r w:rsidR="00D941F5">
        <w:rPr>
          <w:noProof/>
        </w:rPr>
        <w:t>29</w:t>
      </w:r>
      <w:r>
        <w:fldChar w:fldCharType="end"/>
      </w:r>
      <w:r>
        <w:t xml:space="preserve"> and </w:t>
      </w:r>
      <w:r>
        <w:fldChar w:fldCharType="begin"/>
      </w:r>
      <w:r>
        <w:instrText xml:space="preserve"> REF _Ref203123340 \w \h </w:instrText>
      </w:r>
      <w:r>
        <w:fldChar w:fldCharType="separate"/>
      </w:r>
      <w:r w:rsidR="00D955D8">
        <w:t>Appendix C</w:t>
      </w:r>
      <w:r>
        <w:fldChar w:fldCharType="end"/>
      </w:r>
      <w:r>
        <w:t xml:space="preserve"> </w:t>
      </w:r>
      <w:r w:rsidR="000D7CFB">
        <w:t xml:space="preserve">provide further details regarding the CHS Prosthetic Eye Scheme, including eligibility criteria. Under the prosthetic eye scheme, </w:t>
      </w:r>
      <w:r w:rsidR="00977490">
        <w:t xml:space="preserve">the </w:t>
      </w:r>
      <w:r w:rsidR="000D7CFB">
        <w:t>CHS funds the initial purchase of a prosthetic eye (or eyes, if required bilaterally). Replacement prostheses are also covered if the eye is over five years old or deemed clinically unsatisfactory, for example, if it causes irritation or does not fit properly. Individuals may choose their preferred ocularist, although additional expenses for services provided outside the ACT</w:t>
      </w:r>
      <w:r w:rsidR="00A015CB">
        <w:t>, such as travel and accommodation,</w:t>
      </w:r>
      <w:r w:rsidR="000D7CFB">
        <w:t xml:space="preserve"> </w:t>
      </w:r>
      <w:r w:rsidR="007824B8">
        <w:t xml:space="preserve">are </w:t>
      </w:r>
      <w:r w:rsidR="000D7CFB">
        <w:t>not funded by</w:t>
      </w:r>
      <w:r w:rsidR="00D6367C">
        <w:t xml:space="preserve"> the</w:t>
      </w:r>
      <w:r w:rsidR="000D7CFB">
        <w:t xml:space="preserve"> CHS.</w:t>
      </w:r>
      <w:r w:rsidR="000D7CFB">
        <w:rPr>
          <w:rFonts w:ascii="ZWAdobeF" w:hAnsi="ZWAdobeF" w:cs="ZWAdobeF"/>
          <w:color w:val="auto"/>
          <w:sz w:val="2"/>
          <w:szCs w:val="2"/>
        </w:rPr>
        <w:t>90F</w:t>
      </w:r>
      <w:r w:rsidR="000D7CFB">
        <w:rPr>
          <w:rStyle w:val="FootnoteReference"/>
        </w:rPr>
        <w:footnoteReference w:id="34"/>
      </w:r>
      <w:r w:rsidR="000D7CFB">
        <w:t xml:space="preserve"> Currently, only one ocularist service is available in metropolitan Canberra, as listed by Artificial Eyes. </w:t>
      </w:r>
      <w:r w:rsidR="000D7CFB" w:rsidRPr="00ED4C08">
        <w:t xml:space="preserve">As a result, individuals living outside the metropolitan ACT region must travel </w:t>
      </w:r>
      <w:r w:rsidR="000D7CFB" w:rsidRPr="00072FB2">
        <w:t>to Canberra to access</w:t>
      </w:r>
      <w:r w:rsidR="000D7CFB" w:rsidRPr="00ED4C08">
        <w:t xml:space="preserve"> these services</w:t>
      </w:r>
      <w:r w:rsidR="000D7CFB">
        <w:t>.</w:t>
      </w:r>
      <w:r w:rsidR="000D7CFB">
        <w:rPr>
          <w:rFonts w:ascii="ZWAdobeF" w:hAnsi="ZWAdobeF" w:cs="ZWAdobeF"/>
          <w:color w:val="auto"/>
          <w:sz w:val="2"/>
          <w:szCs w:val="2"/>
        </w:rPr>
        <w:t>91F</w:t>
      </w:r>
      <w:r w:rsidR="000D7CFB">
        <w:rPr>
          <w:rStyle w:val="FootnoteReference"/>
        </w:rPr>
        <w:footnoteReference w:id="35"/>
      </w:r>
    </w:p>
    <w:p w14:paraId="6C70D892" w14:textId="77777777" w:rsidR="000D7CFB" w:rsidRDefault="000D7CFB" w:rsidP="00FD54A5">
      <w:pPr>
        <w:pStyle w:val="Heading4"/>
      </w:pPr>
      <w:r>
        <w:t>New South Wales</w:t>
      </w:r>
    </w:p>
    <w:p w14:paraId="3C87BBE5" w14:textId="057999A7" w:rsidR="000D7CFB" w:rsidRPr="00072FB2" w:rsidRDefault="000D7CFB" w:rsidP="000543B6">
      <w:r>
        <w:t>In NSW, there are currently no publicly funded facial prosthesis services, schemes, or dedicated programs available. As a result, individuals requiring a facial prosthesis must either travel interstate to access publicly funded services in VIC or QLD, or seek private treatment, which is typically self-funded</w:t>
      </w:r>
      <w:r w:rsidR="00A015CB">
        <w:t xml:space="preserve"> and involves</w:t>
      </w:r>
      <w:r>
        <w:t xml:space="preserve"> significant out-of-pocket costs.</w:t>
      </w:r>
      <w:r w:rsidR="00F71C8F">
        <w:t xml:space="preserve"> </w:t>
      </w:r>
      <w:r w:rsidRPr="00833E1A">
        <w:t>Stakeholders consulted as part of this review noted that a small number of individuals</w:t>
      </w:r>
      <w:r>
        <w:t xml:space="preserve"> living in NSW</w:t>
      </w:r>
      <w:r w:rsidRPr="00833E1A">
        <w:t xml:space="preserve"> have received one-off funding from philanthropic or charitable organisations to help cover the out-of-pocket costs of facial prostheses. However, </w:t>
      </w:r>
      <w:r>
        <w:t>p</w:t>
      </w:r>
      <w:r w:rsidRPr="00072FB2">
        <w:t>ublicly available information on these funding sources and their availability is limited.</w:t>
      </w:r>
    </w:p>
    <w:p w14:paraId="3A702AE2" w14:textId="5AE6763E" w:rsidR="000D7CFB" w:rsidRPr="00ED62EB" w:rsidRDefault="000D7CFB" w:rsidP="000543B6">
      <w:r w:rsidRPr="00072FB2">
        <w:t>Currently, there is only one anaplastologist operating privately in NSW, located in Alstonville. The anaplastologist has a visiting clinic at the Chri</w:t>
      </w:r>
      <w:r>
        <w:t xml:space="preserve">s O’Brien Lifehouse, as well as in Brisbane and Newcastle. While this service provides access to specialised care within the state, it is limited in capacity and not publicly funded, requiring individuals to pay </w:t>
      </w:r>
      <w:r w:rsidR="00A015CB">
        <w:t>out of pocket</w:t>
      </w:r>
      <w:r>
        <w:t>. Additionally, there are currently five privately operated ocularist services available in metropolitan Sydney, Newcastle and Orange</w:t>
      </w:r>
      <w:r>
        <w:rPr>
          <w:rFonts w:ascii="ZWAdobeF" w:hAnsi="ZWAdobeF" w:cs="ZWAdobeF"/>
          <w:color w:val="auto"/>
          <w:sz w:val="2"/>
          <w:szCs w:val="2"/>
        </w:rPr>
        <w:t>93F</w:t>
      </w:r>
      <w:r>
        <w:rPr>
          <w:rStyle w:val="FootnoteReference"/>
        </w:rPr>
        <w:footnoteReference w:id="36"/>
      </w:r>
      <w:r>
        <w:t xml:space="preserve">. </w:t>
      </w:r>
      <w:r w:rsidRPr="00031A0E">
        <w:t>Individuals living outside these areas are typically required to travel to access these services.</w:t>
      </w:r>
    </w:p>
    <w:p w14:paraId="0564694E" w14:textId="77777777" w:rsidR="007464FD" w:rsidRDefault="007464FD" w:rsidP="00FD54A5">
      <w:pPr>
        <w:pStyle w:val="Heading4"/>
      </w:pPr>
      <w:r>
        <w:t>Northern Territory</w:t>
      </w:r>
    </w:p>
    <w:p w14:paraId="7828977F" w14:textId="41F3B45D" w:rsidR="007464FD" w:rsidRPr="00072FB2" w:rsidRDefault="007464FD" w:rsidP="000543B6">
      <w:r>
        <w:t xml:space="preserve">In the Northern Territory, there are currently no publicly funded facial prosthesis services, schemes, or dedicated programs available. As a result, individuals requiring a facial prosthesis must either travel interstate to access publicly funded services in VIC or WA, or seek private treatment, which is typically self-funded. Additionally, there are no anaplastologists or maxillofacial </w:t>
      </w:r>
      <w:r w:rsidR="00A015CB">
        <w:t>prosthetists currently operating in the NT, and therefore individuals must also travel inte</w:t>
      </w:r>
      <w:r w:rsidR="00A015CB" w:rsidRPr="00072FB2">
        <w:t>rstate to access</w:t>
      </w:r>
      <w:r w:rsidRPr="00072FB2">
        <w:t xml:space="preserve"> these services privately.</w:t>
      </w:r>
    </w:p>
    <w:p w14:paraId="4848CBE3" w14:textId="2EC0EEAA" w:rsidR="007464FD" w:rsidRPr="00143819" w:rsidRDefault="007464FD" w:rsidP="00072FB2">
      <w:r w:rsidRPr="00072FB2">
        <w:t>There is current</w:t>
      </w:r>
      <w:r w:rsidRPr="00143819">
        <w:t xml:space="preserve">ly </w:t>
      </w:r>
      <w:r>
        <w:t>no permanent</w:t>
      </w:r>
      <w:r w:rsidRPr="00143819">
        <w:t xml:space="preserve"> ocularist service</w:t>
      </w:r>
      <w:r>
        <w:t xml:space="preserve"> operating in the NT</w:t>
      </w:r>
      <w:r w:rsidRPr="00143819">
        <w:t>.</w:t>
      </w:r>
      <w:r>
        <w:rPr>
          <w:rFonts w:ascii="ZWAdobeF" w:hAnsi="ZWAdobeF" w:cs="ZWAdobeF"/>
          <w:color w:val="auto"/>
          <w:sz w:val="2"/>
          <w:szCs w:val="2"/>
        </w:rPr>
        <w:t>103F</w:t>
      </w:r>
      <w:r w:rsidRPr="00143819">
        <w:rPr>
          <w:rStyle w:val="FootnoteReference"/>
        </w:rPr>
        <w:footnoteReference w:id="37"/>
      </w:r>
      <w:r>
        <w:t xml:space="preserve"> However, stakeholders consulted as part of this review noted that an ocularist business based in Perth conducts a mobile clinic in Darwin three to four times per year. This service is reported to meet the demand and needs of most individuals requiring ocular prostheses in the NT</w:t>
      </w:r>
      <w:r w:rsidRPr="00143819">
        <w:t xml:space="preserve">. However, this service is privately run and not publicly funded, </w:t>
      </w:r>
      <w:r>
        <w:t>meaning</w:t>
      </w:r>
      <w:r w:rsidRPr="00143819">
        <w:t xml:space="preserve"> individuals m</w:t>
      </w:r>
      <w:r>
        <w:t>u</w:t>
      </w:r>
      <w:r w:rsidRPr="00143819">
        <w:t xml:space="preserve">st cover the full cost </w:t>
      </w:r>
      <w:r w:rsidR="00A015CB">
        <w:t>out of pocket</w:t>
      </w:r>
      <w:r w:rsidRPr="00143819">
        <w:t>.</w:t>
      </w:r>
    </w:p>
    <w:p w14:paraId="7C29F451" w14:textId="77777777" w:rsidR="000D7CFB" w:rsidRDefault="000D7CFB" w:rsidP="00FD54A5">
      <w:pPr>
        <w:pStyle w:val="Heading4"/>
      </w:pPr>
      <w:r>
        <w:t>Queensland</w:t>
      </w:r>
    </w:p>
    <w:p w14:paraId="708ECDEB" w14:textId="3D5B2F93" w:rsidR="000D7CFB" w:rsidRPr="00072FB2" w:rsidRDefault="000D7CFB" w:rsidP="00072FB2">
      <w:r>
        <w:t xml:space="preserve">In Queensland, there is a publicly funded service that provides facial prosthesis at the Royal Brisbane and Women’s Hospital. </w:t>
      </w:r>
      <w:r w:rsidR="004C76D0">
        <w:fldChar w:fldCharType="begin"/>
      </w:r>
      <w:r w:rsidR="004C76D0">
        <w:instrText xml:space="preserve"> REF _Ref203124118 \h </w:instrText>
      </w:r>
      <w:r w:rsidR="004C76D0">
        <w:fldChar w:fldCharType="separate"/>
      </w:r>
      <w:r w:rsidR="00D955D8">
        <w:t xml:space="preserve">Table </w:t>
      </w:r>
      <w:r w:rsidR="00D955D8">
        <w:rPr>
          <w:noProof/>
        </w:rPr>
        <w:t>6</w:t>
      </w:r>
      <w:r w:rsidR="004C76D0">
        <w:fldChar w:fldCharType="end"/>
      </w:r>
      <w:r w:rsidR="004C76D0">
        <w:t xml:space="preserve"> on Page </w:t>
      </w:r>
      <w:r w:rsidR="004C76D0">
        <w:fldChar w:fldCharType="begin"/>
      </w:r>
      <w:r w:rsidR="004C76D0">
        <w:instrText xml:space="preserve"> PAGEREF _Ref203124131 \h </w:instrText>
      </w:r>
      <w:r w:rsidR="004C76D0">
        <w:fldChar w:fldCharType="separate"/>
      </w:r>
      <w:r w:rsidR="00D955D8">
        <w:rPr>
          <w:noProof/>
        </w:rPr>
        <w:t>29</w:t>
      </w:r>
      <w:r w:rsidR="004C76D0">
        <w:fldChar w:fldCharType="end"/>
      </w:r>
      <w:r w:rsidR="004C76D0">
        <w:t xml:space="preserve"> and </w:t>
      </w:r>
      <w:r w:rsidR="004C76D0">
        <w:fldChar w:fldCharType="begin"/>
      </w:r>
      <w:r w:rsidR="004C76D0">
        <w:instrText xml:space="preserve"> REF _Ref203123340 \w \h </w:instrText>
      </w:r>
      <w:r w:rsidR="004C76D0">
        <w:fldChar w:fldCharType="separate"/>
      </w:r>
      <w:r w:rsidR="00D955D8">
        <w:t>Appendix C</w:t>
      </w:r>
      <w:r w:rsidR="004C76D0">
        <w:fldChar w:fldCharType="end"/>
      </w:r>
      <w:r w:rsidR="004C76D0">
        <w:t xml:space="preserve"> provide </w:t>
      </w:r>
      <w:r>
        <w:t>further details regarding this facial prosthesis service</w:t>
      </w:r>
      <w:r w:rsidR="00A015CB">
        <w:t>,</w:t>
      </w:r>
      <w:r>
        <w:t xml:space="preserve"> which provides comprehensive coverage for a range of facial prostheses</w:t>
      </w:r>
      <w:r w:rsidR="00A015CB">
        <w:t>,</w:t>
      </w:r>
      <w:r>
        <w:t xml:space="preserve"> including ocular, orbital, ear, nasal and h</w:t>
      </w:r>
      <w:r w:rsidRPr="00072FB2">
        <w:t>emifacial prostheses.94F</w:t>
      </w:r>
      <w:r w:rsidRPr="000543B6">
        <w:rPr>
          <w:vertAlign w:val="superscript"/>
        </w:rPr>
        <w:footnoteReference w:id="38"/>
      </w:r>
    </w:p>
    <w:p w14:paraId="7CB567E9" w14:textId="2AD484B8" w:rsidR="000D7CFB" w:rsidRPr="00072FB2" w:rsidRDefault="000D7CFB" w:rsidP="00072FB2">
      <w:r w:rsidRPr="00072FB2">
        <w:t xml:space="preserve">The Royal Brisbane and Women’s Hospital is based in metropolitan Brisbane, </w:t>
      </w:r>
      <w:r w:rsidR="00F71C8F" w:rsidRPr="00072FB2">
        <w:t xml:space="preserve">meaning </w:t>
      </w:r>
      <w:r w:rsidRPr="00072FB2">
        <w:t xml:space="preserve">individuals living in regional or remote areas of </w:t>
      </w:r>
      <w:r w:rsidR="00A015CB" w:rsidRPr="00072FB2">
        <w:t>Queensland</w:t>
      </w:r>
      <w:r w:rsidRPr="00072FB2">
        <w:t xml:space="preserve"> must travel to Brisbane to access treatment and fittings. Stakeholders consulted as part of this review noted that due to limited service capacity, wait times of over a year</w:t>
      </w:r>
      <w:r w:rsidR="00F71C8F" w:rsidRPr="00072FB2">
        <w:t xml:space="preserve"> to receive a prosthesis are commonly experienced</w:t>
      </w:r>
      <w:r w:rsidRPr="00072FB2">
        <w:t>. Specifically for ocular prostheses, stakeholders noted that the current waitlist is comprised of over 200 people, and it can take up to 12 months to secure an initial appointment.</w:t>
      </w:r>
    </w:p>
    <w:p w14:paraId="56604656" w14:textId="77777777" w:rsidR="000D7CFB" w:rsidRDefault="000D7CFB" w:rsidP="00072FB2">
      <w:r w:rsidRPr="00072FB2">
        <w:t>In addition to the publicly funded services at the Royal Brisbane and Women’s Hospital service, there is currently one privately operating ocularist service in Brisbane.96F</w:t>
      </w:r>
      <w:r w:rsidRPr="000543B6">
        <w:rPr>
          <w:vertAlign w:val="superscript"/>
        </w:rPr>
        <w:footnoteReference w:id="39"/>
      </w:r>
      <w:r w:rsidRPr="00072FB2">
        <w:t xml:space="preserve"> A privately operating anaplastologist based in New South Wales also offers a mobile clinic in Brisbane. As these services are privately run and not publicly funded, individuals mu</w:t>
      </w:r>
      <w:r>
        <w:t xml:space="preserve">st cover the full cost </w:t>
      </w:r>
      <w:r w:rsidRPr="00632775">
        <w:t>of</w:t>
      </w:r>
      <w:r>
        <w:t xml:space="preserve"> their prosthesis</w:t>
      </w:r>
      <w:r w:rsidRPr="00632775">
        <w:t>.</w:t>
      </w:r>
    </w:p>
    <w:p w14:paraId="6B29CC10" w14:textId="77777777" w:rsidR="007464FD" w:rsidRDefault="007464FD" w:rsidP="00FD54A5">
      <w:pPr>
        <w:pStyle w:val="Heading4"/>
      </w:pPr>
      <w:r>
        <w:t>South Australia</w:t>
      </w:r>
    </w:p>
    <w:p w14:paraId="3D8663E5" w14:textId="6E3CE16F" w:rsidR="007464FD" w:rsidRPr="00072FB2" w:rsidRDefault="007464FD" w:rsidP="00072FB2">
      <w:r>
        <w:t>In South Australia, there are currently no publicly funded facial prosthesis services, schemes, or dedicated programs available. As a result, individuals requiring a facial prosthesis must either travel interstate to access publicly funde</w:t>
      </w:r>
      <w:r w:rsidRPr="00072FB2">
        <w:t>d services in VIC or QLD, or seek private treatment, which is typically self-funded.</w:t>
      </w:r>
    </w:p>
    <w:p w14:paraId="5CDA2DD6" w14:textId="70F1DE38" w:rsidR="007464FD" w:rsidRDefault="007464FD" w:rsidP="00072FB2">
      <w:r w:rsidRPr="00072FB2">
        <w:t>There is currently one ocularist service in metropolitan Adelaide100F</w:t>
      </w:r>
      <w:r w:rsidRPr="00072FB2">
        <w:footnoteReference w:id="40"/>
      </w:r>
      <w:r w:rsidRPr="00072FB2">
        <w:t>. This service also offers a mobile clinic in Mt Gambier twice</w:t>
      </w:r>
      <w:r>
        <w:t xml:space="preserve"> a year</w:t>
      </w:r>
      <w:r w:rsidRPr="00143819">
        <w:t xml:space="preserve"> to </w:t>
      </w:r>
      <w:r>
        <w:t>support individuals living in southern SA.</w:t>
      </w:r>
      <w:r w:rsidRPr="00143819">
        <w:t xml:space="preserve"> However, this service is privately run, </w:t>
      </w:r>
      <w:r>
        <w:t>meaning</w:t>
      </w:r>
      <w:r w:rsidRPr="00143819">
        <w:t xml:space="preserve"> individuals m</w:t>
      </w:r>
      <w:r>
        <w:t>u</w:t>
      </w:r>
      <w:r w:rsidRPr="00143819">
        <w:t xml:space="preserve">st cover the full cost </w:t>
      </w:r>
      <w:r w:rsidR="00B55679">
        <w:t>out of pocket</w:t>
      </w:r>
      <w:r w:rsidRPr="00143819">
        <w:t>.</w:t>
      </w:r>
      <w:r w:rsidR="00F71C8F">
        <w:t xml:space="preserve"> In contrast, t</w:t>
      </w:r>
      <w:r>
        <w:t xml:space="preserve">here are no private maxillofacial prosthetists or anaplastologists currently based in SA. </w:t>
      </w:r>
      <w:r w:rsidRPr="00664C34">
        <w:t xml:space="preserve">Stakeholders </w:t>
      </w:r>
      <w:r>
        <w:t xml:space="preserve">reported that </w:t>
      </w:r>
      <w:r w:rsidRPr="00664C34">
        <w:t xml:space="preserve">as a result, individuals are typically referred </w:t>
      </w:r>
      <w:r>
        <w:t xml:space="preserve">to </w:t>
      </w:r>
      <w:r w:rsidRPr="00664C34">
        <w:t>interstate</w:t>
      </w:r>
      <w:r>
        <w:t xml:space="preserve"> services, </w:t>
      </w:r>
      <w:r w:rsidRPr="00664C34">
        <w:t xml:space="preserve">most commonly </w:t>
      </w:r>
      <w:r w:rsidR="00F71C8F">
        <w:t>to the Royal Melbourne Hospital in Victoria</w:t>
      </w:r>
      <w:r w:rsidR="00BB767D">
        <w:t>.</w:t>
      </w:r>
    </w:p>
    <w:p w14:paraId="7189E9B7" w14:textId="77777777" w:rsidR="0079454C" w:rsidRPr="001409B7" w:rsidRDefault="0079454C" w:rsidP="00FD54A5">
      <w:pPr>
        <w:pStyle w:val="Heading4"/>
      </w:pPr>
      <w:r>
        <w:t>Tasmania</w:t>
      </w:r>
    </w:p>
    <w:p w14:paraId="38759044" w14:textId="0DCCA876" w:rsidR="0079454C" w:rsidRPr="000543B6" w:rsidRDefault="0079454C" w:rsidP="000543B6">
      <w:r>
        <w:t xml:space="preserve">In Tasmania, there are currently no publicly funded facial prosthesis services, schemes, or dedicated programs available. As a result, individuals requiring a facial prosthesis must either travel interstate to access publicly funded services in VIC or seek private treatment, which is typically self-funded. Additionally, there are </w:t>
      </w:r>
      <w:r w:rsidR="004743CE">
        <w:t>currently no anaplas</w:t>
      </w:r>
      <w:r w:rsidR="004743CE" w:rsidRPr="00072FB2">
        <w:t>tologists, maxillofacial prosthetists, or ocularists operating in Tasmania; therefore,</w:t>
      </w:r>
      <w:r w:rsidRPr="00072FB2">
        <w:t xml:space="preserve"> individuals must also travel interstate to </w:t>
      </w:r>
      <w:r w:rsidR="00B55679" w:rsidRPr="00072FB2">
        <w:t>access</w:t>
      </w:r>
      <w:r w:rsidRPr="00072FB2">
        <w:t xml:space="preserve"> these services privately</w:t>
      </w:r>
      <w:r w:rsidR="004743CE" w:rsidRPr="00072FB2">
        <w:t>.</w:t>
      </w:r>
    </w:p>
    <w:p w14:paraId="46773246" w14:textId="77777777" w:rsidR="000D7CFB" w:rsidRDefault="000D7CFB" w:rsidP="00FD54A5">
      <w:pPr>
        <w:pStyle w:val="Heading4"/>
      </w:pPr>
      <w:r>
        <w:t>Victoria</w:t>
      </w:r>
    </w:p>
    <w:p w14:paraId="65D089E2" w14:textId="15136CAE" w:rsidR="000D7CFB" w:rsidRPr="00072FB2" w:rsidRDefault="000D7CFB" w:rsidP="00072FB2">
      <w:r>
        <w:t xml:space="preserve">In Victoria, </w:t>
      </w:r>
      <w:r w:rsidR="004743CE">
        <w:t xml:space="preserve">a publicly funded facial prosthesis service is available </w:t>
      </w:r>
      <w:r>
        <w:t xml:space="preserve">at the Royal Melbourne Hospital. </w:t>
      </w:r>
      <w:r w:rsidR="004C76D0">
        <w:fldChar w:fldCharType="begin"/>
      </w:r>
      <w:r w:rsidR="004C76D0">
        <w:instrText xml:space="preserve"> REF _Ref203124118 \h </w:instrText>
      </w:r>
      <w:r w:rsidR="004C76D0">
        <w:fldChar w:fldCharType="separate"/>
      </w:r>
      <w:r w:rsidR="00D955D8">
        <w:t xml:space="preserve">Table </w:t>
      </w:r>
      <w:r w:rsidR="00D955D8">
        <w:rPr>
          <w:noProof/>
        </w:rPr>
        <w:t>6</w:t>
      </w:r>
      <w:r w:rsidR="004C76D0">
        <w:fldChar w:fldCharType="end"/>
      </w:r>
      <w:r w:rsidR="004C76D0">
        <w:t xml:space="preserve"> o</w:t>
      </w:r>
      <w:r w:rsidR="00F71C8F">
        <w:t xml:space="preserve">ver page </w:t>
      </w:r>
      <w:r w:rsidR="004C76D0">
        <w:t xml:space="preserve">and </w:t>
      </w:r>
      <w:r w:rsidR="004C76D0">
        <w:fldChar w:fldCharType="begin"/>
      </w:r>
      <w:r w:rsidR="004C76D0">
        <w:instrText xml:space="preserve"> REF _Ref203123340 \w \h </w:instrText>
      </w:r>
      <w:r w:rsidR="004C76D0">
        <w:fldChar w:fldCharType="separate"/>
      </w:r>
      <w:r w:rsidR="00D955D8">
        <w:t>Appendix C</w:t>
      </w:r>
      <w:r w:rsidR="004C76D0">
        <w:fldChar w:fldCharType="end"/>
      </w:r>
      <w:r w:rsidR="004C76D0">
        <w:t xml:space="preserve"> </w:t>
      </w:r>
      <w:r w:rsidR="00F71C8F">
        <w:t xml:space="preserve">provide </w:t>
      </w:r>
      <w:r>
        <w:t>further details regarding the service</w:t>
      </w:r>
      <w:r w:rsidR="004743CE">
        <w:t>,</w:t>
      </w:r>
      <w:r>
        <w:t xml:space="preserve"> which </w:t>
      </w:r>
      <w:r w:rsidR="004743CE">
        <w:t>offer</w:t>
      </w:r>
      <w:r>
        <w:t>s comprehensive coverage for a range of fa</w:t>
      </w:r>
      <w:r w:rsidRPr="00072FB2">
        <w:t>cial prostheses</w:t>
      </w:r>
      <w:r w:rsidR="004743CE" w:rsidRPr="00072FB2">
        <w:t>,</w:t>
      </w:r>
      <w:r w:rsidRPr="00072FB2">
        <w:t xml:space="preserve"> including ocular, orbital, ear, nasal and hemifacial prostheses</w:t>
      </w:r>
      <w:r w:rsidR="004743CE" w:rsidRPr="00072FB2">
        <w:t>.</w:t>
      </w:r>
      <w:r w:rsidRPr="00072FB2">
        <w:t>97F</w:t>
      </w:r>
      <w:r w:rsidRPr="00072FB2">
        <w:rPr>
          <w:vertAlign w:val="superscript"/>
        </w:rPr>
        <w:footnoteReference w:id="41"/>
      </w:r>
    </w:p>
    <w:p w14:paraId="05A70184" w14:textId="30A140A8" w:rsidR="000D7CFB" w:rsidRPr="00072FB2" w:rsidRDefault="000D7CFB" w:rsidP="00072FB2">
      <w:r w:rsidRPr="00072FB2">
        <w:t xml:space="preserve">The Royal Melbourne Hospital is based in metropolitan Melbourne, </w:t>
      </w:r>
      <w:r w:rsidR="00D90552" w:rsidRPr="00072FB2">
        <w:t>meaning</w:t>
      </w:r>
      <w:r w:rsidRPr="00072FB2">
        <w:t xml:space="preserve"> individuals living in regional or remote areas of V</w:t>
      </w:r>
      <w:r w:rsidR="00D90552" w:rsidRPr="00072FB2">
        <w:t>ictoria</w:t>
      </w:r>
      <w:r w:rsidRPr="00072FB2">
        <w:t xml:space="preserve"> must travel to Melbourne to access treatment and fittings. Stakeholders consulted as part of this review noted that funding for facial prostheses at the Royal Melbourne Hospital is drawn from the Prosthetics and Orthotics department and other internal hospital funding sources. As such, access to funding is dependent on the availability and prioritisation of resources from other services within the hospital.</w:t>
      </w:r>
    </w:p>
    <w:p w14:paraId="72F1E8AF" w14:textId="6295F967" w:rsidR="000D7CFB" w:rsidRDefault="000D7CFB" w:rsidP="00072FB2">
      <w:r w:rsidRPr="00072FB2">
        <w:t>In addition</w:t>
      </w:r>
      <w:r w:rsidRPr="00632775">
        <w:t xml:space="preserve"> to th</w:t>
      </w:r>
      <w:r>
        <w:t>e publicly funded services at the</w:t>
      </w:r>
      <w:r w:rsidRPr="00632775">
        <w:t xml:space="preserve"> </w:t>
      </w:r>
      <w:r>
        <w:t>Royal Melbourne Hospital</w:t>
      </w:r>
      <w:r w:rsidRPr="00632775">
        <w:t xml:space="preserve">, there </w:t>
      </w:r>
      <w:r>
        <w:t>is one</w:t>
      </w:r>
      <w:r w:rsidRPr="00632775">
        <w:t xml:space="preserve"> </w:t>
      </w:r>
      <w:r>
        <w:t xml:space="preserve">private </w:t>
      </w:r>
      <w:r w:rsidRPr="00632775">
        <w:t xml:space="preserve">ocularist </w:t>
      </w:r>
      <w:r>
        <w:t xml:space="preserve">service </w:t>
      </w:r>
      <w:r w:rsidRPr="00632775">
        <w:t xml:space="preserve">in </w:t>
      </w:r>
      <w:r>
        <w:t>Melbourne</w:t>
      </w:r>
      <w:r w:rsidRPr="00632775">
        <w:t>.</w:t>
      </w:r>
      <w:r>
        <w:rPr>
          <w:rFonts w:ascii="ZWAdobeF" w:hAnsi="ZWAdobeF" w:cs="ZWAdobeF"/>
          <w:color w:val="auto"/>
          <w:sz w:val="2"/>
          <w:szCs w:val="2"/>
        </w:rPr>
        <w:t>99F</w:t>
      </w:r>
      <w:r>
        <w:rPr>
          <w:rStyle w:val="FootnoteReference"/>
        </w:rPr>
        <w:footnoteReference w:id="42"/>
      </w:r>
      <w:r w:rsidRPr="00A0265C">
        <w:t xml:space="preserve"> </w:t>
      </w:r>
      <w:r w:rsidRPr="00632775">
        <w:t xml:space="preserve"> </w:t>
      </w:r>
      <w:r>
        <w:t>As</w:t>
      </w:r>
      <w:r w:rsidRPr="00632775">
        <w:t xml:space="preserve"> </w:t>
      </w:r>
      <w:r>
        <w:t>this</w:t>
      </w:r>
      <w:r w:rsidRPr="00632775">
        <w:t xml:space="preserve"> </w:t>
      </w:r>
      <w:r>
        <w:t xml:space="preserve">service is privately operated, individuals </w:t>
      </w:r>
      <w:r w:rsidR="004743CE">
        <w:t>are responsible for covering</w:t>
      </w:r>
      <w:r>
        <w:t xml:space="preserve"> the full cost </w:t>
      </w:r>
      <w:r w:rsidRPr="00632775">
        <w:t>of</w:t>
      </w:r>
      <w:r>
        <w:t xml:space="preserve"> their prosthesis</w:t>
      </w:r>
      <w:r w:rsidRPr="00632775">
        <w:t>.</w:t>
      </w:r>
    </w:p>
    <w:p w14:paraId="4CF121BE" w14:textId="77777777" w:rsidR="000D7CFB" w:rsidRDefault="000D7CFB" w:rsidP="00FD54A5">
      <w:pPr>
        <w:pStyle w:val="Heading4"/>
      </w:pPr>
      <w:r>
        <w:t>Western Australia</w:t>
      </w:r>
    </w:p>
    <w:p w14:paraId="59A843DF" w14:textId="353A4513" w:rsidR="000D7CFB" w:rsidRDefault="000D7CFB" w:rsidP="00E46064">
      <w:r>
        <w:t xml:space="preserve">In Western Australia, </w:t>
      </w:r>
      <w:r w:rsidR="004743CE">
        <w:t xml:space="preserve">a publicly funded facial prostheses service is </w:t>
      </w:r>
      <w:r>
        <w:t xml:space="preserve">delivered through Fiona Stanley Hospital. </w:t>
      </w:r>
      <w:r w:rsidR="00F71C8F">
        <w:fldChar w:fldCharType="begin"/>
      </w:r>
      <w:r w:rsidR="00F71C8F">
        <w:instrText xml:space="preserve"> REF _Ref203124118 \h </w:instrText>
      </w:r>
      <w:r w:rsidR="00F71C8F">
        <w:fldChar w:fldCharType="separate"/>
      </w:r>
      <w:r w:rsidR="00D955D8">
        <w:t>Table</w:t>
      </w:r>
      <w:r w:rsidR="00D941F5">
        <w:t> </w:t>
      </w:r>
      <w:r w:rsidR="00D955D8">
        <w:rPr>
          <w:noProof/>
        </w:rPr>
        <w:t>6</w:t>
      </w:r>
      <w:r w:rsidR="00F71C8F">
        <w:fldChar w:fldCharType="end"/>
      </w:r>
      <w:r w:rsidR="00F71C8F">
        <w:t xml:space="preserve"> over page and </w:t>
      </w:r>
      <w:r w:rsidR="00F71C8F">
        <w:fldChar w:fldCharType="begin"/>
      </w:r>
      <w:r w:rsidR="00F71C8F">
        <w:instrText xml:space="preserve"> REF _Ref203123340 \w \h </w:instrText>
      </w:r>
      <w:r w:rsidR="00F71C8F">
        <w:fldChar w:fldCharType="separate"/>
      </w:r>
      <w:r w:rsidR="00D955D8">
        <w:t>Appendix C</w:t>
      </w:r>
      <w:r w:rsidR="00F71C8F">
        <w:fldChar w:fldCharType="end"/>
      </w:r>
      <w:r w:rsidR="00F71C8F">
        <w:t xml:space="preserve"> provide </w:t>
      </w:r>
      <w:r>
        <w:t>further details regarding the facial prosthesis service available in WA. While publicly available information is limited, stakeholders consulted as part of this review reported that this service provides comprehensive coverage for a range of facial prostheses</w:t>
      </w:r>
      <w:r w:rsidR="004743CE">
        <w:t>,</w:t>
      </w:r>
      <w:r>
        <w:t xml:space="preserve"> including ocular, orbital, ear, nasal and hemifacial prostheses.</w:t>
      </w:r>
      <w:r>
        <w:rPr>
          <w:rFonts w:ascii="ZWAdobeF" w:hAnsi="ZWAdobeF" w:cs="ZWAdobeF"/>
          <w:color w:val="auto"/>
          <w:sz w:val="2"/>
          <w:szCs w:val="2"/>
        </w:rPr>
        <w:t>101F</w:t>
      </w:r>
      <w:r>
        <w:rPr>
          <w:rStyle w:val="FootnoteReference"/>
        </w:rPr>
        <w:footnoteReference w:id="43"/>
      </w:r>
    </w:p>
    <w:p w14:paraId="003273CB" w14:textId="281A472B" w:rsidR="000D7CFB" w:rsidRDefault="000D7CFB" w:rsidP="00E46064">
      <w:r>
        <w:t xml:space="preserve">The Fiona Stanley Hospital is based in metropolitan Perth, </w:t>
      </w:r>
      <w:r w:rsidRPr="00A0265C">
        <w:t xml:space="preserve">which means individuals living in regional or remote areas of </w:t>
      </w:r>
      <w:r>
        <w:t>WA</w:t>
      </w:r>
      <w:r w:rsidRPr="00A0265C">
        <w:t xml:space="preserve"> must travel to </w:t>
      </w:r>
      <w:r>
        <w:t>Perth</w:t>
      </w:r>
      <w:r w:rsidRPr="00A0265C">
        <w:t xml:space="preserve"> to access treatment and fittings. </w:t>
      </w:r>
      <w:r w:rsidRPr="00632775">
        <w:t>In addition to th</w:t>
      </w:r>
      <w:r>
        <w:t>e publicly funded services at the</w:t>
      </w:r>
      <w:r w:rsidRPr="00632775">
        <w:t xml:space="preserve"> </w:t>
      </w:r>
      <w:r>
        <w:t>Fiona Stanley Hospital</w:t>
      </w:r>
      <w:r w:rsidRPr="00632775">
        <w:t xml:space="preserve">, there </w:t>
      </w:r>
      <w:r>
        <w:t xml:space="preserve">is currently one </w:t>
      </w:r>
      <w:r w:rsidRPr="00632775">
        <w:t xml:space="preserve">privately operating ocularist </w:t>
      </w:r>
      <w:r>
        <w:t>service</w:t>
      </w:r>
      <w:r w:rsidRPr="00632775">
        <w:t xml:space="preserve"> in </w:t>
      </w:r>
      <w:r>
        <w:t>Perth</w:t>
      </w:r>
      <w:r w:rsidRPr="00632775">
        <w:t>.</w:t>
      </w:r>
      <w:r>
        <w:rPr>
          <w:rFonts w:ascii="ZWAdobeF" w:hAnsi="ZWAdobeF" w:cs="ZWAdobeF"/>
          <w:color w:val="auto"/>
          <w:sz w:val="2"/>
          <w:szCs w:val="2"/>
        </w:rPr>
        <w:t>102F</w:t>
      </w:r>
      <w:r>
        <w:rPr>
          <w:rStyle w:val="FootnoteReference"/>
        </w:rPr>
        <w:footnoteReference w:id="44"/>
      </w:r>
      <w:r w:rsidRPr="00A0265C">
        <w:t xml:space="preserve"> </w:t>
      </w:r>
      <w:r>
        <w:t>H</w:t>
      </w:r>
      <w:r w:rsidRPr="00632775">
        <w:t xml:space="preserve">owever, </w:t>
      </w:r>
      <w:r>
        <w:t>as the</w:t>
      </w:r>
      <w:r w:rsidRPr="00632775">
        <w:t xml:space="preserve"> service</w:t>
      </w:r>
      <w:r>
        <w:t xml:space="preserve"> is privately run and not publicly funded, individuals must cover the full cost </w:t>
      </w:r>
      <w:r w:rsidR="00501281">
        <w:t>out of pocket</w:t>
      </w:r>
      <w:r w:rsidRPr="00632775">
        <w:t>.</w:t>
      </w:r>
    </w:p>
    <w:p w14:paraId="2B81F8FD" w14:textId="69560832" w:rsidR="00A670DB" w:rsidRPr="008B474C" w:rsidRDefault="00A670DB" w:rsidP="008B474C">
      <w:pPr>
        <w:sectPr w:rsidR="00A670DB" w:rsidRPr="008B474C" w:rsidSect="00B23E44">
          <w:headerReference w:type="even" r:id="rId53"/>
          <w:headerReference w:type="default" r:id="rId54"/>
          <w:headerReference w:type="first" r:id="rId55"/>
          <w:pgSz w:w="11906" w:h="16838"/>
          <w:pgMar w:top="1418" w:right="851" w:bottom="851" w:left="851" w:header="567" w:footer="284" w:gutter="0"/>
          <w:cols w:space="708"/>
          <w:docGrid w:linePitch="360"/>
        </w:sectPr>
      </w:pPr>
    </w:p>
    <w:p w14:paraId="670BFA32" w14:textId="5606D80A" w:rsidR="004C76D0" w:rsidRDefault="004C76D0" w:rsidP="004C76D0">
      <w:pPr>
        <w:pStyle w:val="Caption"/>
      </w:pPr>
      <w:bookmarkStart w:id="54" w:name="_Ref203124118"/>
      <w:bookmarkStart w:id="55" w:name="_Ref203124131"/>
      <w:bookmarkStart w:id="56" w:name="_Toc207348571"/>
      <w:r>
        <w:t xml:space="preserve">Table </w:t>
      </w:r>
      <w:r w:rsidR="00D955D8">
        <w:fldChar w:fldCharType="begin"/>
      </w:r>
      <w:r w:rsidR="00D955D8">
        <w:instrText xml:space="preserve"> SEQ Table \* ARABIC </w:instrText>
      </w:r>
      <w:r w:rsidR="00D955D8">
        <w:fldChar w:fldCharType="separate"/>
      </w:r>
      <w:r w:rsidR="00D955D8">
        <w:rPr>
          <w:noProof/>
        </w:rPr>
        <w:t>6</w:t>
      </w:r>
      <w:r w:rsidR="00D955D8">
        <w:rPr>
          <w:noProof/>
        </w:rPr>
        <w:fldChar w:fldCharType="end"/>
      </w:r>
      <w:bookmarkEnd w:id="54"/>
      <w:r>
        <w:t>: Facial prostheses services</w:t>
      </w:r>
      <w:r w:rsidDel="00BC347F">
        <w:t xml:space="preserve"> </w:t>
      </w:r>
      <w:r>
        <w:t>available in each Australian state / territory</w:t>
      </w:r>
      <w:bookmarkEnd w:id="55"/>
      <w:bookmarkEnd w:id="56"/>
    </w:p>
    <w:tbl>
      <w:tblPr>
        <w:tblStyle w:val="KPMGTable"/>
        <w:tblW w:w="15126" w:type="dxa"/>
        <w:tblLayout w:type="fixed"/>
        <w:tblLook w:val="04A0" w:firstRow="1" w:lastRow="0" w:firstColumn="1" w:lastColumn="0" w:noHBand="0" w:noVBand="1"/>
      </w:tblPr>
      <w:tblGrid>
        <w:gridCol w:w="1525"/>
        <w:gridCol w:w="1700"/>
        <w:gridCol w:w="1700"/>
        <w:gridCol w:w="1700"/>
        <w:gridCol w:w="1700"/>
        <w:gridCol w:w="1700"/>
        <w:gridCol w:w="1700"/>
        <w:gridCol w:w="1700"/>
        <w:gridCol w:w="1701"/>
      </w:tblGrid>
      <w:tr w:rsidR="00210A81" w:rsidRPr="007B154A" w14:paraId="45C3A55A" w14:textId="77777777" w:rsidTr="00BA7CF1">
        <w:trPr>
          <w:cnfStyle w:val="100000000000" w:firstRow="1" w:lastRow="0" w:firstColumn="0" w:lastColumn="0" w:oddVBand="0" w:evenVBand="0" w:oddHBand="0"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1525" w:type="dxa"/>
          </w:tcPr>
          <w:p w14:paraId="75C74736" w14:textId="105EA95B" w:rsidR="00687EAA" w:rsidRDefault="00687EAA" w:rsidP="009138F7">
            <w:pPr>
              <w:pStyle w:val="TableHeading"/>
              <w:rPr>
                <w:b w:val="0"/>
                <w:color w:val="FFFFFF" w:themeColor="background1"/>
                <w:szCs w:val="18"/>
              </w:rPr>
            </w:pPr>
            <w:r w:rsidRPr="00FE11D7">
              <w:t>Details</w:t>
            </w:r>
          </w:p>
        </w:tc>
        <w:tc>
          <w:tcPr>
            <w:tcW w:w="1700" w:type="dxa"/>
          </w:tcPr>
          <w:p w14:paraId="7903E24B" w14:textId="31DF6303" w:rsidR="00687EAA" w:rsidRPr="00C10C27" w:rsidRDefault="00687EAA" w:rsidP="009138F7">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FE11D7">
              <w:t>ACT</w:t>
            </w:r>
          </w:p>
        </w:tc>
        <w:tc>
          <w:tcPr>
            <w:tcW w:w="1700" w:type="dxa"/>
          </w:tcPr>
          <w:p w14:paraId="572CC890" w14:textId="4675D979" w:rsidR="00687EAA" w:rsidRDefault="00687EAA" w:rsidP="009138F7">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FE11D7">
              <w:t>NSW</w:t>
            </w:r>
          </w:p>
        </w:tc>
        <w:tc>
          <w:tcPr>
            <w:tcW w:w="1700" w:type="dxa"/>
          </w:tcPr>
          <w:p w14:paraId="183F1AD0" w14:textId="438C7910" w:rsidR="00687EAA" w:rsidRDefault="00687EAA" w:rsidP="009138F7">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FE11D7">
              <w:t>NT</w:t>
            </w:r>
          </w:p>
        </w:tc>
        <w:tc>
          <w:tcPr>
            <w:tcW w:w="1700" w:type="dxa"/>
          </w:tcPr>
          <w:p w14:paraId="6E5601A3" w14:textId="6805FD1C" w:rsidR="00687EAA" w:rsidRDefault="00687EAA" w:rsidP="009138F7">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FE11D7">
              <w:t>QLD</w:t>
            </w:r>
          </w:p>
        </w:tc>
        <w:tc>
          <w:tcPr>
            <w:tcW w:w="1700" w:type="dxa"/>
          </w:tcPr>
          <w:p w14:paraId="250D44DE" w14:textId="432ED411" w:rsidR="00687EAA" w:rsidRPr="00C10C27" w:rsidRDefault="00687EAA" w:rsidP="009138F7">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FE11D7">
              <w:t>SA</w:t>
            </w:r>
          </w:p>
        </w:tc>
        <w:tc>
          <w:tcPr>
            <w:tcW w:w="1700" w:type="dxa"/>
          </w:tcPr>
          <w:p w14:paraId="0917C89A" w14:textId="7816F7C3" w:rsidR="00687EAA" w:rsidRPr="00C10C27" w:rsidRDefault="00687EAA" w:rsidP="009138F7">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FE11D7">
              <w:t>TAS</w:t>
            </w:r>
          </w:p>
        </w:tc>
        <w:tc>
          <w:tcPr>
            <w:tcW w:w="1700" w:type="dxa"/>
          </w:tcPr>
          <w:p w14:paraId="70776826" w14:textId="2817E259" w:rsidR="00687EAA" w:rsidRPr="00C10C27" w:rsidRDefault="00687EAA" w:rsidP="009138F7">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FE11D7">
              <w:t>VIC</w:t>
            </w:r>
          </w:p>
        </w:tc>
        <w:tc>
          <w:tcPr>
            <w:tcW w:w="1701" w:type="dxa"/>
          </w:tcPr>
          <w:p w14:paraId="2FE38074" w14:textId="2F9F7981" w:rsidR="00687EAA" w:rsidRPr="00C10C27" w:rsidRDefault="00687EAA" w:rsidP="009138F7">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FE11D7">
              <w:t>WA</w:t>
            </w:r>
          </w:p>
        </w:tc>
      </w:tr>
      <w:tr w:rsidR="00AE1E92" w:rsidRPr="00FA30FA" w14:paraId="7DF84E51" w14:textId="77777777" w:rsidTr="00BA7CF1">
        <w:trPr>
          <w:trHeight w:val="514"/>
        </w:trPr>
        <w:tc>
          <w:tcPr>
            <w:cnfStyle w:val="001000000000" w:firstRow="0" w:lastRow="0" w:firstColumn="1" w:lastColumn="0" w:oddVBand="0" w:evenVBand="0" w:oddHBand="0" w:evenHBand="0" w:firstRowFirstColumn="0" w:firstRowLastColumn="0" w:lastRowFirstColumn="0" w:lastRowLastColumn="0"/>
            <w:tcW w:w="1525" w:type="dxa"/>
          </w:tcPr>
          <w:p w14:paraId="67E26178" w14:textId="77777777" w:rsidR="00BD32DE" w:rsidRPr="000A4D7E" w:rsidRDefault="00BD32DE" w:rsidP="009138F7">
            <w:pPr>
              <w:pStyle w:val="Tabletextbold"/>
              <w:rPr>
                <w:b/>
                <w:szCs w:val="18"/>
              </w:rPr>
            </w:pPr>
            <w:r>
              <w:t>Eligibility criteria</w:t>
            </w:r>
          </w:p>
        </w:tc>
        <w:tc>
          <w:tcPr>
            <w:tcW w:w="1700" w:type="dxa"/>
          </w:tcPr>
          <w:p w14:paraId="16C36AC8" w14:textId="5F26DD8E" w:rsidR="00BD32DE" w:rsidRDefault="00BD32DE" w:rsidP="00721F63">
            <w:pPr>
              <w:pStyle w:val="TableText"/>
              <w:cnfStyle w:val="000000000000" w:firstRow="0" w:lastRow="0" w:firstColumn="0" w:lastColumn="0" w:oddVBand="0" w:evenVBand="0" w:oddHBand="0" w:evenHBand="0" w:firstRowFirstColumn="0" w:firstRowLastColumn="0" w:lastRowFirstColumn="0" w:lastRowLastColumn="0"/>
              <w:rPr>
                <w:bCs/>
                <w:szCs w:val="20"/>
              </w:rPr>
            </w:pPr>
            <w:r w:rsidRPr="00721F63">
              <w:rPr>
                <w:color w:val="auto"/>
              </w:rPr>
              <w:t xml:space="preserve">ACT </w:t>
            </w:r>
            <w:r>
              <w:rPr>
                <w:bCs/>
                <w:szCs w:val="20"/>
              </w:rPr>
              <w:t>resident</w:t>
            </w:r>
          </w:p>
          <w:p w14:paraId="18244BAD" w14:textId="6323F6DF" w:rsidR="00BD32DE" w:rsidRPr="00161851" w:rsidRDefault="00BD32DE" w:rsidP="00721F63">
            <w:pPr>
              <w:pStyle w:val="TableText"/>
              <w:cnfStyle w:val="000000000000" w:firstRow="0" w:lastRow="0" w:firstColumn="0" w:lastColumn="0" w:oddVBand="0" w:evenVBand="0" w:oddHBand="0" w:evenHBand="0" w:firstRowFirstColumn="0" w:firstRowLastColumn="0" w:lastRowFirstColumn="0" w:lastRowLastColumn="0"/>
              <w:rPr>
                <w:bCs/>
                <w:szCs w:val="20"/>
              </w:rPr>
            </w:pPr>
            <w:r w:rsidRPr="00721F63">
              <w:rPr>
                <w:color w:val="auto"/>
              </w:rPr>
              <w:t>Ophthalmologist referral</w:t>
            </w:r>
          </w:p>
          <w:p w14:paraId="72C21894" w14:textId="3D6DBB98" w:rsidR="00BD32DE" w:rsidRPr="00C10C27" w:rsidRDefault="00501281" w:rsidP="00721F63">
            <w:pPr>
              <w:pStyle w:val="TableText"/>
              <w:cnfStyle w:val="000000000000" w:firstRow="0" w:lastRow="0" w:firstColumn="0" w:lastColumn="0" w:oddVBand="0" w:evenVBand="0" w:oddHBand="0" w:evenHBand="0" w:firstRowFirstColumn="0" w:firstRowLastColumn="0" w:lastRowFirstColumn="0" w:lastRowLastColumn="0"/>
              <w:rPr>
                <w:szCs w:val="18"/>
              </w:rPr>
            </w:pPr>
            <w:r w:rsidRPr="00721F63">
              <w:rPr>
                <w:color w:val="auto"/>
              </w:rPr>
              <w:t>The remaining</w:t>
            </w:r>
            <w:r w:rsidR="00BD32DE">
              <w:rPr>
                <w:bCs/>
                <w:szCs w:val="20"/>
              </w:rPr>
              <w:t xml:space="preserve"> eye </w:t>
            </w:r>
            <w:r w:rsidR="00BD32DE" w:rsidRPr="00161851">
              <w:rPr>
                <w:bCs/>
                <w:szCs w:val="20"/>
              </w:rPr>
              <w:t>(if present)</w:t>
            </w:r>
            <w:r w:rsidR="00BD32DE">
              <w:rPr>
                <w:bCs/>
                <w:szCs w:val="20"/>
              </w:rPr>
              <w:t xml:space="preserve"> examined within the last two years </w:t>
            </w:r>
          </w:p>
        </w:tc>
        <w:tc>
          <w:tcPr>
            <w:tcW w:w="1700" w:type="dxa"/>
          </w:tcPr>
          <w:p w14:paraId="725F2FE3" w14:textId="498A93F5" w:rsidR="00BD32DE" w:rsidRPr="00A865BD" w:rsidRDefault="00BD32DE" w:rsidP="00721F63">
            <w:pPr>
              <w:pStyle w:val="TableText"/>
              <w:cnfStyle w:val="000000000000" w:firstRow="0" w:lastRow="0" w:firstColumn="0" w:lastColumn="0" w:oddVBand="0" w:evenVBand="0" w:oddHBand="0" w:evenHBand="0" w:firstRowFirstColumn="0" w:firstRowLastColumn="0" w:lastRowFirstColumn="0" w:lastRowLastColumn="0"/>
              <w:rPr>
                <w:color w:val="A6A6A6" w:themeColor="background1" w:themeShade="A6"/>
                <w:szCs w:val="18"/>
              </w:rPr>
            </w:pPr>
            <w:r w:rsidRPr="00721F63">
              <w:rPr>
                <w:color w:val="auto"/>
                <w:szCs w:val="18"/>
              </w:rPr>
              <w:t>N/A</w:t>
            </w:r>
          </w:p>
        </w:tc>
        <w:tc>
          <w:tcPr>
            <w:tcW w:w="1700" w:type="dxa"/>
          </w:tcPr>
          <w:p w14:paraId="144EFACF" w14:textId="3F7A30F0" w:rsidR="00BD32DE" w:rsidRPr="00A865BD" w:rsidRDefault="00BD32DE" w:rsidP="00721F63">
            <w:pPr>
              <w:pStyle w:val="TableText"/>
              <w:cnfStyle w:val="000000000000" w:firstRow="0" w:lastRow="0" w:firstColumn="0" w:lastColumn="0" w:oddVBand="0" w:evenVBand="0" w:oddHBand="0" w:evenHBand="0" w:firstRowFirstColumn="0" w:firstRowLastColumn="0" w:lastRowFirstColumn="0" w:lastRowLastColumn="0"/>
              <w:rPr>
                <w:color w:val="A6A6A6" w:themeColor="background1" w:themeShade="A6"/>
                <w:szCs w:val="18"/>
              </w:rPr>
            </w:pPr>
            <w:r w:rsidRPr="00721F63">
              <w:rPr>
                <w:color w:val="auto"/>
                <w:szCs w:val="18"/>
              </w:rPr>
              <w:t>N/A</w:t>
            </w:r>
          </w:p>
        </w:tc>
        <w:tc>
          <w:tcPr>
            <w:tcW w:w="1700" w:type="dxa"/>
          </w:tcPr>
          <w:p w14:paraId="6D87E3C3" w14:textId="2497CE25" w:rsidR="00BD32DE" w:rsidRPr="00C10C27" w:rsidRDefault="00BD32DE" w:rsidP="00721F63">
            <w:pPr>
              <w:pStyle w:val="TableText"/>
              <w:cnfStyle w:val="000000000000" w:firstRow="0" w:lastRow="0" w:firstColumn="0" w:lastColumn="0" w:oddVBand="0" w:evenVBand="0" w:oddHBand="0" w:evenHBand="0" w:firstRowFirstColumn="0" w:firstRowLastColumn="0" w:lastRowFirstColumn="0" w:lastRowLastColumn="0"/>
              <w:rPr>
                <w:szCs w:val="18"/>
              </w:rPr>
            </w:pPr>
            <w:r w:rsidRPr="00721F63">
              <w:rPr>
                <w:color w:val="auto"/>
              </w:rPr>
              <w:t>Medicare card</w:t>
            </w:r>
          </w:p>
        </w:tc>
        <w:tc>
          <w:tcPr>
            <w:tcW w:w="1700" w:type="dxa"/>
          </w:tcPr>
          <w:p w14:paraId="1B35CA66" w14:textId="4785A6A0" w:rsidR="00BD32DE" w:rsidRPr="00A865BD" w:rsidRDefault="00BD32DE" w:rsidP="00721F63">
            <w:pPr>
              <w:pStyle w:val="TableText"/>
              <w:cnfStyle w:val="000000000000" w:firstRow="0" w:lastRow="0" w:firstColumn="0" w:lastColumn="0" w:oddVBand="0" w:evenVBand="0" w:oddHBand="0" w:evenHBand="0" w:firstRowFirstColumn="0" w:firstRowLastColumn="0" w:lastRowFirstColumn="0" w:lastRowLastColumn="0"/>
              <w:rPr>
                <w:color w:val="A6A6A6" w:themeColor="background1" w:themeShade="A6"/>
                <w:szCs w:val="18"/>
              </w:rPr>
            </w:pPr>
            <w:r w:rsidRPr="00721F63">
              <w:rPr>
                <w:color w:val="auto"/>
                <w:szCs w:val="18"/>
              </w:rPr>
              <w:t>N/A</w:t>
            </w:r>
          </w:p>
        </w:tc>
        <w:tc>
          <w:tcPr>
            <w:tcW w:w="1700" w:type="dxa"/>
          </w:tcPr>
          <w:p w14:paraId="79A25C6E" w14:textId="07C1DCFD" w:rsidR="00BD32DE" w:rsidRPr="00A865BD" w:rsidRDefault="00BD32DE" w:rsidP="00721F63">
            <w:pPr>
              <w:pStyle w:val="TableText"/>
              <w:cnfStyle w:val="000000000000" w:firstRow="0" w:lastRow="0" w:firstColumn="0" w:lastColumn="0" w:oddVBand="0" w:evenVBand="0" w:oddHBand="0" w:evenHBand="0" w:firstRowFirstColumn="0" w:firstRowLastColumn="0" w:lastRowFirstColumn="0" w:lastRowLastColumn="0"/>
              <w:rPr>
                <w:color w:val="A6A6A6" w:themeColor="background1" w:themeShade="A6"/>
                <w:szCs w:val="18"/>
              </w:rPr>
            </w:pPr>
            <w:r w:rsidRPr="00721F63">
              <w:rPr>
                <w:color w:val="auto"/>
                <w:szCs w:val="18"/>
              </w:rPr>
              <w:t>N/A</w:t>
            </w:r>
          </w:p>
        </w:tc>
        <w:tc>
          <w:tcPr>
            <w:tcW w:w="1700" w:type="dxa"/>
          </w:tcPr>
          <w:p w14:paraId="64C0DCB3" w14:textId="6A5DB8ED" w:rsidR="00BD32DE" w:rsidRPr="00C10C27" w:rsidRDefault="00BD32DE" w:rsidP="00721F63">
            <w:pPr>
              <w:pStyle w:val="TableText"/>
              <w:cnfStyle w:val="000000000000" w:firstRow="0" w:lastRow="0" w:firstColumn="0" w:lastColumn="0" w:oddVBand="0" w:evenVBand="0" w:oddHBand="0" w:evenHBand="0" w:firstRowFirstColumn="0" w:firstRowLastColumn="0" w:lastRowFirstColumn="0" w:lastRowLastColumn="0"/>
              <w:rPr>
                <w:szCs w:val="18"/>
              </w:rPr>
            </w:pPr>
            <w:r w:rsidRPr="00721F63">
              <w:rPr>
                <w:color w:val="auto"/>
              </w:rPr>
              <w:t>Medicare card</w:t>
            </w:r>
          </w:p>
        </w:tc>
        <w:tc>
          <w:tcPr>
            <w:tcW w:w="1701" w:type="dxa"/>
          </w:tcPr>
          <w:p w14:paraId="35BE62B2" w14:textId="77777777" w:rsidR="00BD32DE" w:rsidRDefault="00BD32DE" w:rsidP="00721F63">
            <w:pPr>
              <w:pStyle w:val="TableText"/>
              <w:cnfStyle w:val="000000000000" w:firstRow="0" w:lastRow="0" w:firstColumn="0" w:lastColumn="0" w:oddVBand="0" w:evenVBand="0" w:oddHBand="0" w:evenHBand="0" w:firstRowFirstColumn="0" w:firstRowLastColumn="0" w:lastRowFirstColumn="0" w:lastRowLastColumn="0"/>
              <w:rPr>
                <w:bCs/>
                <w:szCs w:val="20"/>
              </w:rPr>
            </w:pPr>
            <w:r w:rsidRPr="00721F63">
              <w:rPr>
                <w:color w:val="auto"/>
              </w:rPr>
              <w:t>Medicare card</w:t>
            </w:r>
          </w:p>
          <w:p w14:paraId="55DF98DE" w14:textId="39354654" w:rsidR="00BE1C95" w:rsidRPr="00BE1C95" w:rsidRDefault="00BE1C95" w:rsidP="00721F63">
            <w:pPr>
              <w:pStyle w:val="TableText"/>
              <w:cnfStyle w:val="000000000000" w:firstRow="0" w:lastRow="0" w:firstColumn="0" w:lastColumn="0" w:oddVBand="0" w:evenVBand="0" w:oddHBand="0" w:evenHBand="0" w:firstRowFirstColumn="0" w:firstRowLastColumn="0" w:lastRowFirstColumn="0" w:lastRowLastColumn="0"/>
              <w:rPr>
                <w:bCs/>
                <w:szCs w:val="20"/>
              </w:rPr>
            </w:pPr>
            <w:r w:rsidRPr="00721F63">
              <w:rPr>
                <w:color w:val="auto"/>
              </w:rPr>
              <w:t>C</w:t>
            </w:r>
            <w:r w:rsidRPr="00BE1C95">
              <w:rPr>
                <w:bCs/>
                <w:szCs w:val="20"/>
              </w:rPr>
              <w:t xml:space="preserve">ustom-made prosthesis </w:t>
            </w:r>
            <w:r>
              <w:rPr>
                <w:bCs/>
                <w:szCs w:val="20"/>
              </w:rPr>
              <w:t xml:space="preserve">required </w:t>
            </w:r>
            <w:r w:rsidRPr="00BE1C95">
              <w:rPr>
                <w:bCs/>
                <w:szCs w:val="20"/>
              </w:rPr>
              <w:t>as an external substitute for a partially or totally absent facial part</w:t>
            </w:r>
          </w:p>
        </w:tc>
      </w:tr>
      <w:tr w:rsidR="00AE1E92" w:rsidRPr="00FA30FA" w14:paraId="35996AF2" w14:textId="77777777" w:rsidTr="00BA7CF1">
        <w:trPr>
          <w:trHeight w:val="1329"/>
        </w:trPr>
        <w:tc>
          <w:tcPr>
            <w:cnfStyle w:val="001000000000" w:firstRow="0" w:lastRow="0" w:firstColumn="1" w:lastColumn="0" w:oddVBand="0" w:evenVBand="0" w:oddHBand="0" w:evenHBand="0" w:firstRowFirstColumn="0" w:firstRowLastColumn="0" w:lastRowFirstColumn="0" w:lastRowLastColumn="0"/>
            <w:tcW w:w="1525" w:type="dxa"/>
          </w:tcPr>
          <w:p w14:paraId="39E1792E" w14:textId="77777777" w:rsidR="00BD32DE" w:rsidRPr="00C10C27" w:rsidRDefault="00BD32DE" w:rsidP="009138F7">
            <w:pPr>
              <w:pStyle w:val="Tabletextbold"/>
              <w:rPr>
                <w:b/>
                <w:szCs w:val="18"/>
              </w:rPr>
            </w:pPr>
            <w:r w:rsidRPr="000A4D7E">
              <w:t>Products</w:t>
            </w:r>
            <w:r>
              <w:rPr>
                <w:szCs w:val="18"/>
              </w:rPr>
              <w:t xml:space="preserve"> and s</w:t>
            </w:r>
            <w:r w:rsidRPr="000A4D7E">
              <w:rPr>
                <w:szCs w:val="18"/>
              </w:rPr>
              <w:t xml:space="preserve">ervices </w:t>
            </w:r>
            <w:r>
              <w:rPr>
                <w:szCs w:val="18"/>
              </w:rPr>
              <w:t>i</w:t>
            </w:r>
            <w:r w:rsidRPr="000A4D7E">
              <w:rPr>
                <w:szCs w:val="18"/>
              </w:rPr>
              <w:t>ncluded</w:t>
            </w:r>
          </w:p>
        </w:tc>
        <w:tc>
          <w:tcPr>
            <w:tcW w:w="1700" w:type="dxa"/>
          </w:tcPr>
          <w:p w14:paraId="19F2A803" w14:textId="04A603E0" w:rsidR="00BD32DE" w:rsidRPr="003F2AD3" w:rsidRDefault="00BD32DE" w:rsidP="00721F63">
            <w:pPr>
              <w:pStyle w:val="TableText"/>
              <w:cnfStyle w:val="000000000000" w:firstRow="0" w:lastRow="0" w:firstColumn="0" w:lastColumn="0" w:oddVBand="0" w:evenVBand="0" w:oddHBand="0" w:evenHBand="0" w:firstRowFirstColumn="0" w:firstRowLastColumn="0" w:lastRowFirstColumn="0" w:lastRowLastColumn="0"/>
              <w:rPr>
                <w:szCs w:val="18"/>
              </w:rPr>
            </w:pPr>
            <w:r w:rsidRPr="00721F63">
              <w:rPr>
                <w:color w:val="auto"/>
              </w:rPr>
              <w:t>Ocular prostheses only</w:t>
            </w:r>
          </w:p>
        </w:tc>
        <w:tc>
          <w:tcPr>
            <w:tcW w:w="1700" w:type="dxa"/>
          </w:tcPr>
          <w:p w14:paraId="1967E615" w14:textId="33D220E8" w:rsidR="00BD32DE" w:rsidRPr="00A865BD" w:rsidRDefault="00BD32DE" w:rsidP="00721F63">
            <w:pPr>
              <w:pStyle w:val="TableText"/>
              <w:cnfStyle w:val="000000000000" w:firstRow="0" w:lastRow="0" w:firstColumn="0" w:lastColumn="0" w:oddVBand="0" w:evenVBand="0" w:oddHBand="0" w:evenHBand="0" w:firstRowFirstColumn="0" w:firstRowLastColumn="0" w:lastRowFirstColumn="0" w:lastRowLastColumn="0"/>
              <w:rPr>
                <w:color w:val="A6A6A6" w:themeColor="background1" w:themeShade="A6"/>
                <w:szCs w:val="18"/>
              </w:rPr>
            </w:pPr>
            <w:r w:rsidRPr="00721F63">
              <w:rPr>
                <w:color w:val="auto"/>
                <w:szCs w:val="18"/>
              </w:rPr>
              <w:t>Nil</w:t>
            </w:r>
          </w:p>
        </w:tc>
        <w:tc>
          <w:tcPr>
            <w:tcW w:w="1700" w:type="dxa"/>
          </w:tcPr>
          <w:p w14:paraId="4A567629" w14:textId="4DB43D21" w:rsidR="00BD32DE" w:rsidRPr="00A865BD" w:rsidRDefault="00BD32DE" w:rsidP="00721F63">
            <w:pPr>
              <w:pStyle w:val="TableText"/>
              <w:cnfStyle w:val="000000000000" w:firstRow="0" w:lastRow="0" w:firstColumn="0" w:lastColumn="0" w:oddVBand="0" w:evenVBand="0" w:oddHBand="0" w:evenHBand="0" w:firstRowFirstColumn="0" w:firstRowLastColumn="0" w:lastRowFirstColumn="0" w:lastRowLastColumn="0"/>
              <w:rPr>
                <w:color w:val="A6A6A6" w:themeColor="background1" w:themeShade="A6"/>
                <w:szCs w:val="18"/>
              </w:rPr>
            </w:pPr>
            <w:r w:rsidRPr="00721F63">
              <w:rPr>
                <w:color w:val="auto"/>
                <w:szCs w:val="18"/>
              </w:rPr>
              <w:t>Nil</w:t>
            </w:r>
          </w:p>
        </w:tc>
        <w:tc>
          <w:tcPr>
            <w:tcW w:w="1700" w:type="dxa"/>
          </w:tcPr>
          <w:p w14:paraId="736D886E" w14:textId="7057470F" w:rsidR="00BD32DE" w:rsidRPr="003F2AD3" w:rsidRDefault="00BD32DE" w:rsidP="00721F63">
            <w:pPr>
              <w:pStyle w:val="TableText"/>
              <w:cnfStyle w:val="000000000000" w:firstRow="0" w:lastRow="0" w:firstColumn="0" w:lastColumn="0" w:oddVBand="0" w:evenVBand="0" w:oddHBand="0" w:evenHBand="0" w:firstRowFirstColumn="0" w:firstRowLastColumn="0" w:lastRowFirstColumn="0" w:lastRowLastColumn="0"/>
              <w:rPr>
                <w:szCs w:val="18"/>
              </w:rPr>
            </w:pPr>
            <w:r w:rsidRPr="00721F63">
              <w:rPr>
                <w:color w:val="auto"/>
              </w:rPr>
              <w:t xml:space="preserve">Ocular, orbital, ear, hemifacial and nasal prostheses </w:t>
            </w:r>
          </w:p>
        </w:tc>
        <w:tc>
          <w:tcPr>
            <w:tcW w:w="1700" w:type="dxa"/>
          </w:tcPr>
          <w:p w14:paraId="691510FC" w14:textId="6D561C6B" w:rsidR="00BD32DE" w:rsidRPr="00A865BD" w:rsidRDefault="00BD32DE" w:rsidP="00721F63">
            <w:pPr>
              <w:pStyle w:val="TableText"/>
              <w:cnfStyle w:val="000000000000" w:firstRow="0" w:lastRow="0" w:firstColumn="0" w:lastColumn="0" w:oddVBand="0" w:evenVBand="0" w:oddHBand="0" w:evenHBand="0" w:firstRowFirstColumn="0" w:firstRowLastColumn="0" w:lastRowFirstColumn="0" w:lastRowLastColumn="0"/>
              <w:rPr>
                <w:color w:val="A6A6A6" w:themeColor="background1" w:themeShade="A6"/>
                <w:szCs w:val="18"/>
              </w:rPr>
            </w:pPr>
            <w:r w:rsidRPr="00721F63">
              <w:rPr>
                <w:color w:val="auto"/>
                <w:szCs w:val="18"/>
              </w:rPr>
              <w:t>Nil</w:t>
            </w:r>
          </w:p>
        </w:tc>
        <w:tc>
          <w:tcPr>
            <w:tcW w:w="1700" w:type="dxa"/>
          </w:tcPr>
          <w:p w14:paraId="68397AF2" w14:textId="33478138" w:rsidR="00BD32DE" w:rsidRPr="00A865BD" w:rsidRDefault="00BD32DE" w:rsidP="00721F63">
            <w:pPr>
              <w:pStyle w:val="TableText"/>
              <w:cnfStyle w:val="000000000000" w:firstRow="0" w:lastRow="0" w:firstColumn="0" w:lastColumn="0" w:oddVBand="0" w:evenVBand="0" w:oddHBand="0" w:evenHBand="0" w:firstRowFirstColumn="0" w:firstRowLastColumn="0" w:lastRowFirstColumn="0" w:lastRowLastColumn="0"/>
              <w:rPr>
                <w:color w:val="A6A6A6" w:themeColor="background1" w:themeShade="A6"/>
                <w:szCs w:val="18"/>
              </w:rPr>
            </w:pPr>
            <w:r w:rsidRPr="00721F63">
              <w:rPr>
                <w:color w:val="auto"/>
                <w:szCs w:val="18"/>
              </w:rPr>
              <w:t>Nil</w:t>
            </w:r>
          </w:p>
        </w:tc>
        <w:tc>
          <w:tcPr>
            <w:tcW w:w="1700" w:type="dxa"/>
          </w:tcPr>
          <w:p w14:paraId="5E4F6B3C" w14:textId="5EA04B71" w:rsidR="00BD32DE" w:rsidRPr="00C10C27" w:rsidRDefault="00BD32DE" w:rsidP="00721F63">
            <w:pPr>
              <w:pStyle w:val="TableText"/>
              <w:cnfStyle w:val="000000000000" w:firstRow="0" w:lastRow="0" w:firstColumn="0" w:lastColumn="0" w:oddVBand="0" w:evenVBand="0" w:oddHBand="0" w:evenHBand="0" w:firstRowFirstColumn="0" w:firstRowLastColumn="0" w:lastRowFirstColumn="0" w:lastRowLastColumn="0"/>
              <w:rPr>
                <w:szCs w:val="18"/>
              </w:rPr>
            </w:pPr>
            <w:r w:rsidRPr="00721F63">
              <w:rPr>
                <w:color w:val="auto"/>
              </w:rPr>
              <w:t>Ocular, orbital, ear, hemifacial and nasal prostheses</w:t>
            </w:r>
          </w:p>
        </w:tc>
        <w:tc>
          <w:tcPr>
            <w:tcW w:w="1701" w:type="dxa"/>
          </w:tcPr>
          <w:p w14:paraId="27D1C5AE" w14:textId="5D482017" w:rsidR="00BD32DE" w:rsidRPr="00927649" w:rsidRDefault="00BD32DE" w:rsidP="00721F63">
            <w:pPr>
              <w:pStyle w:val="TableText"/>
              <w:cnfStyle w:val="000000000000" w:firstRow="0" w:lastRow="0" w:firstColumn="0" w:lastColumn="0" w:oddVBand="0" w:evenVBand="0" w:oddHBand="0" w:evenHBand="0" w:firstRowFirstColumn="0" w:firstRowLastColumn="0" w:lastRowFirstColumn="0" w:lastRowLastColumn="0"/>
              <w:rPr>
                <w:szCs w:val="18"/>
              </w:rPr>
            </w:pPr>
            <w:r w:rsidRPr="00721F63">
              <w:rPr>
                <w:color w:val="auto"/>
              </w:rPr>
              <w:t>Ocular, orbital, ear, hemifacial and nasal prostheses</w:t>
            </w:r>
          </w:p>
        </w:tc>
      </w:tr>
      <w:tr w:rsidR="00AE1E92" w:rsidRPr="00FA30FA" w14:paraId="273D902B" w14:textId="77777777" w:rsidTr="00BA7CF1">
        <w:trPr>
          <w:trHeight w:val="986"/>
        </w:trPr>
        <w:tc>
          <w:tcPr>
            <w:cnfStyle w:val="001000000000" w:firstRow="0" w:lastRow="0" w:firstColumn="1" w:lastColumn="0" w:oddVBand="0" w:evenVBand="0" w:oddHBand="0" w:evenHBand="0" w:firstRowFirstColumn="0" w:firstRowLastColumn="0" w:lastRowFirstColumn="0" w:lastRowLastColumn="0"/>
            <w:tcW w:w="1525" w:type="dxa"/>
          </w:tcPr>
          <w:p w14:paraId="6A169868" w14:textId="4214AD33" w:rsidR="00BD32DE" w:rsidRDefault="00BD32DE" w:rsidP="009138F7">
            <w:pPr>
              <w:pStyle w:val="Tabletextbold"/>
              <w:rPr>
                <w:b/>
                <w:szCs w:val="18"/>
              </w:rPr>
            </w:pPr>
            <w:r>
              <w:t>Settings where prostheses may be accessed</w:t>
            </w:r>
          </w:p>
        </w:tc>
        <w:tc>
          <w:tcPr>
            <w:tcW w:w="1700" w:type="dxa"/>
          </w:tcPr>
          <w:p w14:paraId="7FE1CFDA" w14:textId="1DFF2E9F" w:rsidR="00BD32DE" w:rsidRPr="00C10C27" w:rsidRDefault="00BD32DE" w:rsidP="00721F63">
            <w:pPr>
              <w:pStyle w:val="TableText"/>
              <w:cnfStyle w:val="000000000000" w:firstRow="0" w:lastRow="0" w:firstColumn="0" w:lastColumn="0" w:oddVBand="0" w:evenVBand="0" w:oddHBand="0" w:evenHBand="0" w:firstRowFirstColumn="0" w:firstRowLastColumn="0" w:lastRowFirstColumn="0" w:lastRowLastColumn="0"/>
              <w:rPr>
                <w:szCs w:val="18"/>
              </w:rPr>
            </w:pPr>
            <w:r w:rsidRPr="00721F63">
              <w:rPr>
                <w:color w:val="auto"/>
              </w:rPr>
              <w:t xml:space="preserve">Ocularist of the individual’s choice </w:t>
            </w:r>
          </w:p>
        </w:tc>
        <w:tc>
          <w:tcPr>
            <w:tcW w:w="1700" w:type="dxa"/>
          </w:tcPr>
          <w:p w14:paraId="42D86EAB" w14:textId="39FB23A8" w:rsidR="00BD32DE" w:rsidRPr="00A865BD" w:rsidRDefault="00BD32DE" w:rsidP="00721F63">
            <w:pPr>
              <w:pStyle w:val="TableText"/>
              <w:cnfStyle w:val="000000000000" w:firstRow="0" w:lastRow="0" w:firstColumn="0" w:lastColumn="0" w:oddVBand="0" w:evenVBand="0" w:oddHBand="0" w:evenHBand="0" w:firstRowFirstColumn="0" w:firstRowLastColumn="0" w:lastRowFirstColumn="0" w:lastRowLastColumn="0"/>
              <w:rPr>
                <w:color w:val="A6A6A6" w:themeColor="background1" w:themeShade="A6"/>
                <w:szCs w:val="18"/>
              </w:rPr>
            </w:pPr>
            <w:r w:rsidRPr="00721F63">
              <w:rPr>
                <w:color w:val="auto"/>
                <w:szCs w:val="18"/>
              </w:rPr>
              <w:t>N/A</w:t>
            </w:r>
          </w:p>
        </w:tc>
        <w:tc>
          <w:tcPr>
            <w:tcW w:w="1700" w:type="dxa"/>
          </w:tcPr>
          <w:p w14:paraId="7F9CB88A" w14:textId="169A01F1" w:rsidR="00BD32DE" w:rsidRPr="00A865BD" w:rsidRDefault="00BD32DE" w:rsidP="00721F63">
            <w:pPr>
              <w:pStyle w:val="TableText"/>
              <w:cnfStyle w:val="000000000000" w:firstRow="0" w:lastRow="0" w:firstColumn="0" w:lastColumn="0" w:oddVBand="0" w:evenVBand="0" w:oddHBand="0" w:evenHBand="0" w:firstRowFirstColumn="0" w:firstRowLastColumn="0" w:lastRowFirstColumn="0" w:lastRowLastColumn="0"/>
              <w:rPr>
                <w:color w:val="A6A6A6" w:themeColor="background1" w:themeShade="A6"/>
                <w:szCs w:val="18"/>
              </w:rPr>
            </w:pPr>
            <w:r w:rsidRPr="00721F63">
              <w:rPr>
                <w:color w:val="auto"/>
                <w:szCs w:val="18"/>
              </w:rPr>
              <w:t>N/A</w:t>
            </w:r>
          </w:p>
        </w:tc>
        <w:tc>
          <w:tcPr>
            <w:tcW w:w="1700" w:type="dxa"/>
          </w:tcPr>
          <w:p w14:paraId="1189073F" w14:textId="7300B2CF" w:rsidR="00BD32DE" w:rsidRPr="00C10C27" w:rsidRDefault="00BD32DE" w:rsidP="00721F63">
            <w:pPr>
              <w:pStyle w:val="TableText"/>
              <w:cnfStyle w:val="000000000000" w:firstRow="0" w:lastRow="0" w:firstColumn="0" w:lastColumn="0" w:oddVBand="0" w:evenVBand="0" w:oddHBand="0" w:evenHBand="0" w:firstRowFirstColumn="0" w:firstRowLastColumn="0" w:lastRowFirstColumn="0" w:lastRowLastColumn="0"/>
              <w:rPr>
                <w:szCs w:val="18"/>
              </w:rPr>
            </w:pPr>
            <w:r w:rsidRPr="00721F63">
              <w:rPr>
                <w:color w:val="auto"/>
                <w:szCs w:val="18"/>
              </w:rPr>
              <w:t>Royal Brisbane and Women’s Hospital</w:t>
            </w:r>
            <w:r>
              <w:rPr>
                <w:szCs w:val="18"/>
              </w:rPr>
              <w:t xml:space="preserve"> (RBWH)</w:t>
            </w:r>
          </w:p>
        </w:tc>
        <w:tc>
          <w:tcPr>
            <w:tcW w:w="1700" w:type="dxa"/>
          </w:tcPr>
          <w:p w14:paraId="14EFEAFD" w14:textId="1B8D1BFA" w:rsidR="00BD32DE" w:rsidRPr="00A865BD" w:rsidRDefault="00BD32DE" w:rsidP="00721F63">
            <w:pPr>
              <w:pStyle w:val="TableText"/>
              <w:cnfStyle w:val="000000000000" w:firstRow="0" w:lastRow="0" w:firstColumn="0" w:lastColumn="0" w:oddVBand="0" w:evenVBand="0" w:oddHBand="0" w:evenHBand="0" w:firstRowFirstColumn="0" w:firstRowLastColumn="0" w:lastRowFirstColumn="0" w:lastRowLastColumn="0"/>
              <w:rPr>
                <w:color w:val="A6A6A6" w:themeColor="background1" w:themeShade="A6"/>
                <w:szCs w:val="18"/>
              </w:rPr>
            </w:pPr>
            <w:r w:rsidRPr="00721F63">
              <w:rPr>
                <w:color w:val="auto"/>
                <w:szCs w:val="18"/>
              </w:rPr>
              <w:t>N/A</w:t>
            </w:r>
          </w:p>
        </w:tc>
        <w:tc>
          <w:tcPr>
            <w:tcW w:w="1700" w:type="dxa"/>
          </w:tcPr>
          <w:p w14:paraId="5316AB13" w14:textId="59351ABB" w:rsidR="00BD32DE" w:rsidRPr="00A865BD" w:rsidRDefault="00BD32DE" w:rsidP="00721F63">
            <w:pPr>
              <w:pStyle w:val="TableText"/>
              <w:cnfStyle w:val="000000000000" w:firstRow="0" w:lastRow="0" w:firstColumn="0" w:lastColumn="0" w:oddVBand="0" w:evenVBand="0" w:oddHBand="0" w:evenHBand="0" w:firstRowFirstColumn="0" w:firstRowLastColumn="0" w:lastRowFirstColumn="0" w:lastRowLastColumn="0"/>
              <w:rPr>
                <w:color w:val="A6A6A6" w:themeColor="background1" w:themeShade="A6"/>
                <w:szCs w:val="18"/>
              </w:rPr>
            </w:pPr>
            <w:r w:rsidRPr="00721F63">
              <w:rPr>
                <w:color w:val="auto"/>
                <w:szCs w:val="18"/>
              </w:rPr>
              <w:t>N/A</w:t>
            </w:r>
          </w:p>
        </w:tc>
        <w:tc>
          <w:tcPr>
            <w:tcW w:w="1700" w:type="dxa"/>
          </w:tcPr>
          <w:p w14:paraId="27ADD677" w14:textId="00C33119" w:rsidR="00BD32DE" w:rsidRPr="00C10C27" w:rsidRDefault="00BD32DE" w:rsidP="00721F63">
            <w:pPr>
              <w:pStyle w:val="TableText"/>
              <w:cnfStyle w:val="000000000000" w:firstRow="0" w:lastRow="0" w:firstColumn="0" w:lastColumn="0" w:oddVBand="0" w:evenVBand="0" w:oddHBand="0" w:evenHBand="0" w:firstRowFirstColumn="0" w:firstRowLastColumn="0" w:lastRowFirstColumn="0" w:lastRowLastColumn="0"/>
              <w:rPr>
                <w:szCs w:val="18"/>
              </w:rPr>
            </w:pPr>
            <w:r w:rsidRPr="00721F63">
              <w:rPr>
                <w:color w:val="auto"/>
                <w:szCs w:val="18"/>
              </w:rPr>
              <w:t>Royal Melbourne Hospital</w:t>
            </w:r>
            <w:r>
              <w:rPr>
                <w:szCs w:val="18"/>
              </w:rPr>
              <w:t xml:space="preserve"> (RMH)</w:t>
            </w:r>
          </w:p>
        </w:tc>
        <w:tc>
          <w:tcPr>
            <w:tcW w:w="1701" w:type="dxa"/>
          </w:tcPr>
          <w:p w14:paraId="53094F8C" w14:textId="27D79A39" w:rsidR="00BD32DE" w:rsidRPr="00C10C27" w:rsidRDefault="00BD32DE" w:rsidP="00721F63">
            <w:pPr>
              <w:pStyle w:val="TableText"/>
              <w:cnfStyle w:val="000000000000" w:firstRow="0" w:lastRow="0" w:firstColumn="0" w:lastColumn="0" w:oddVBand="0" w:evenVBand="0" w:oddHBand="0" w:evenHBand="0" w:firstRowFirstColumn="0" w:firstRowLastColumn="0" w:lastRowFirstColumn="0" w:lastRowLastColumn="0"/>
              <w:rPr>
                <w:szCs w:val="18"/>
              </w:rPr>
            </w:pPr>
            <w:r w:rsidRPr="00721F63">
              <w:rPr>
                <w:color w:val="auto"/>
                <w:szCs w:val="18"/>
              </w:rPr>
              <w:t>Fiona Stanley Hospital</w:t>
            </w:r>
          </w:p>
        </w:tc>
      </w:tr>
      <w:tr w:rsidR="00AE1E92" w:rsidRPr="00FA30FA" w14:paraId="74504814" w14:textId="77777777" w:rsidTr="00BA7CF1">
        <w:trPr>
          <w:trHeight w:val="986"/>
        </w:trPr>
        <w:tc>
          <w:tcPr>
            <w:cnfStyle w:val="001000000000" w:firstRow="0" w:lastRow="0" w:firstColumn="1" w:lastColumn="0" w:oddVBand="0" w:evenVBand="0" w:oddHBand="0" w:evenHBand="0" w:firstRowFirstColumn="0" w:firstRowLastColumn="0" w:lastRowFirstColumn="0" w:lastRowLastColumn="0"/>
            <w:tcW w:w="1525" w:type="dxa"/>
          </w:tcPr>
          <w:p w14:paraId="59A88B5F" w14:textId="77777777" w:rsidR="00BD32DE" w:rsidRDefault="00BD32DE" w:rsidP="009138F7">
            <w:pPr>
              <w:pStyle w:val="Tabletextbold"/>
              <w:rPr>
                <w:b/>
                <w:szCs w:val="18"/>
              </w:rPr>
            </w:pPr>
            <w:r>
              <w:t>Funding source</w:t>
            </w:r>
          </w:p>
        </w:tc>
        <w:tc>
          <w:tcPr>
            <w:tcW w:w="1700" w:type="dxa"/>
          </w:tcPr>
          <w:p w14:paraId="31F7A3F7" w14:textId="46E04468" w:rsidR="00BD32DE" w:rsidRPr="00C10C27" w:rsidRDefault="00BD32DE" w:rsidP="00721F63">
            <w:pPr>
              <w:pStyle w:val="TableText"/>
              <w:cnfStyle w:val="000000000000" w:firstRow="0" w:lastRow="0" w:firstColumn="0" w:lastColumn="0" w:oddVBand="0" w:evenVBand="0" w:oddHBand="0" w:evenHBand="0" w:firstRowFirstColumn="0" w:firstRowLastColumn="0" w:lastRowFirstColumn="0" w:lastRowLastColumn="0"/>
              <w:rPr>
                <w:szCs w:val="18"/>
              </w:rPr>
            </w:pPr>
            <w:r w:rsidRPr="00721F63">
              <w:rPr>
                <w:color w:val="auto"/>
              </w:rPr>
              <w:t>ACT Government</w:t>
            </w:r>
          </w:p>
        </w:tc>
        <w:tc>
          <w:tcPr>
            <w:tcW w:w="1700" w:type="dxa"/>
          </w:tcPr>
          <w:p w14:paraId="1E14AFA1" w14:textId="288F51B3" w:rsidR="00BD32DE" w:rsidRPr="00A865BD" w:rsidRDefault="00BD32DE" w:rsidP="00721F63">
            <w:pPr>
              <w:pStyle w:val="TableText"/>
              <w:cnfStyle w:val="000000000000" w:firstRow="0" w:lastRow="0" w:firstColumn="0" w:lastColumn="0" w:oddVBand="0" w:evenVBand="0" w:oddHBand="0" w:evenHBand="0" w:firstRowFirstColumn="0" w:firstRowLastColumn="0" w:lastRowFirstColumn="0" w:lastRowLastColumn="0"/>
              <w:rPr>
                <w:color w:val="A6A6A6" w:themeColor="background1" w:themeShade="A6"/>
                <w:szCs w:val="18"/>
              </w:rPr>
            </w:pPr>
            <w:r w:rsidRPr="00721F63">
              <w:rPr>
                <w:color w:val="auto"/>
                <w:szCs w:val="18"/>
              </w:rPr>
              <w:t>N/A</w:t>
            </w:r>
          </w:p>
        </w:tc>
        <w:tc>
          <w:tcPr>
            <w:tcW w:w="1700" w:type="dxa"/>
          </w:tcPr>
          <w:p w14:paraId="402C9F59" w14:textId="2D49440F" w:rsidR="00BD32DE" w:rsidRPr="00A865BD" w:rsidRDefault="00BD32DE" w:rsidP="00721F63">
            <w:pPr>
              <w:pStyle w:val="TableText"/>
              <w:cnfStyle w:val="000000000000" w:firstRow="0" w:lastRow="0" w:firstColumn="0" w:lastColumn="0" w:oddVBand="0" w:evenVBand="0" w:oddHBand="0" w:evenHBand="0" w:firstRowFirstColumn="0" w:firstRowLastColumn="0" w:lastRowFirstColumn="0" w:lastRowLastColumn="0"/>
              <w:rPr>
                <w:color w:val="A6A6A6" w:themeColor="background1" w:themeShade="A6"/>
                <w:szCs w:val="18"/>
              </w:rPr>
            </w:pPr>
            <w:r w:rsidRPr="00721F63">
              <w:rPr>
                <w:color w:val="auto"/>
                <w:szCs w:val="18"/>
              </w:rPr>
              <w:t>N/A</w:t>
            </w:r>
          </w:p>
        </w:tc>
        <w:tc>
          <w:tcPr>
            <w:tcW w:w="1700" w:type="dxa"/>
          </w:tcPr>
          <w:p w14:paraId="22637D02" w14:textId="222E90D7" w:rsidR="00BD32DE" w:rsidRPr="00C10C27" w:rsidRDefault="00BD32DE" w:rsidP="00721F63">
            <w:pPr>
              <w:pStyle w:val="TableText"/>
              <w:cnfStyle w:val="000000000000" w:firstRow="0" w:lastRow="0" w:firstColumn="0" w:lastColumn="0" w:oddVBand="0" w:evenVBand="0" w:oddHBand="0" w:evenHBand="0" w:firstRowFirstColumn="0" w:firstRowLastColumn="0" w:lastRowFirstColumn="0" w:lastRowLastColumn="0"/>
              <w:rPr>
                <w:szCs w:val="18"/>
              </w:rPr>
            </w:pPr>
            <w:r w:rsidRPr="00721F63">
              <w:rPr>
                <w:color w:val="auto"/>
                <w:szCs w:val="18"/>
              </w:rPr>
              <w:t>QLD Government</w:t>
            </w:r>
          </w:p>
        </w:tc>
        <w:tc>
          <w:tcPr>
            <w:tcW w:w="1700" w:type="dxa"/>
          </w:tcPr>
          <w:p w14:paraId="0459F627" w14:textId="0F76F6E7" w:rsidR="00BD32DE" w:rsidRPr="00A865BD" w:rsidRDefault="00BD32DE" w:rsidP="00721F63">
            <w:pPr>
              <w:pStyle w:val="TableText"/>
              <w:cnfStyle w:val="000000000000" w:firstRow="0" w:lastRow="0" w:firstColumn="0" w:lastColumn="0" w:oddVBand="0" w:evenVBand="0" w:oddHBand="0" w:evenHBand="0" w:firstRowFirstColumn="0" w:firstRowLastColumn="0" w:lastRowFirstColumn="0" w:lastRowLastColumn="0"/>
              <w:rPr>
                <w:color w:val="A6A6A6" w:themeColor="background1" w:themeShade="A6"/>
                <w:szCs w:val="18"/>
              </w:rPr>
            </w:pPr>
            <w:r w:rsidRPr="00721F63">
              <w:rPr>
                <w:color w:val="auto"/>
                <w:szCs w:val="18"/>
              </w:rPr>
              <w:t>N/A</w:t>
            </w:r>
          </w:p>
        </w:tc>
        <w:tc>
          <w:tcPr>
            <w:tcW w:w="1700" w:type="dxa"/>
          </w:tcPr>
          <w:p w14:paraId="0A44EB39" w14:textId="654F6C85" w:rsidR="00BD32DE" w:rsidRPr="00A865BD" w:rsidRDefault="00BD32DE" w:rsidP="00721F63">
            <w:pPr>
              <w:pStyle w:val="TableText"/>
              <w:cnfStyle w:val="000000000000" w:firstRow="0" w:lastRow="0" w:firstColumn="0" w:lastColumn="0" w:oddVBand="0" w:evenVBand="0" w:oddHBand="0" w:evenHBand="0" w:firstRowFirstColumn="0" w:firstRowLastColumn="0" w:lastRowFirstColumn="0" w:lastRowLastColumn="0"/>
              <w:rPr>
                <w:color w:val="A6A6A6" w:themeColor="background1" w:themeShade="A6"/>
                <w:szCs w:val="18"/>
              </w:rPr>
            </w:pPr>
            <w:r w:rsidRPr="00721F63">
              <w:rPr>
                <w:color w:val="auto"/>
                <w:szCs w:val="18"/>
              </w:rPr>
              <w:t>N/A</w:t>
            </w:r>
          </w:p>
        </w:tc>
        <w:tc>
          <w:tcPr>
            <w:tcW w:w="1700" w:type="dxa"/>
          </w:tcPr>
          <w:p w14:paraId="11008DE7" w14:textId="28DCB9B0" w:rsidR="00BD32DE" w:rsidRPr="00C10C27" w:rsidRDefault="00BD32DE" w:rsidP="00721F63">
            <w:pPr>
              <w:pStyle w:val="TableText"/>
              <w:cnfStyle w:val="000000000000" w:firstRow="0" w:lastRow="0" w:firstColumn="0" w:lastColumn="0" w:oddVBand="0" w:evenVBand="0" w:oddHBand="0" w:evenHBand="0" w:firstRowFirstColumn="0" w:firstRowLastColumn="0" w:lastRowFirstColumn="0" w:lastRowLastColumn="0"/>
              <w:rPr>
                <w:szCs w:val="18"/>
              </w:rPr>
            </w:pPr>
            <w:r w:rsidRPr="00721F63">
              <w:rPr>
                <w:color w:val="auto"/>
                <w:szCs w:val="18"/>
              </w:rPr>
              <w:t>VIC Government</w:t>
            </w:r>
          </w:p>
        </w:tc>
        <w:tc>
          <w:tcPr>
            <w:tcW w:w="1701" w:type="dxa"/>
          </w:tcPr>
          <w:p w14:paraId="5D508021" w14:textId="4D7AE005" w:rsidR="00BD32DE" w:rsidRPr="00C10C27" w:rsidRDefault="00BD32DE" w:rsidP="00721F63">
            <w:pPr>
              <w:pStyle w:val="TableText"/>
              <w:cnfStyle w:val="000000000000" w:firstRow="0" w:lastRow="0" w:firstColumn="0" w:lastColumn="0" w:oddVBand="0" w:evenVBand="0" w:oddHBand="0" w:evenHBand="0" w:firstRowFirstColumn="0" w:firstRowLastColumn="0" w:lastRowFirstColumn="0" w:lastRowLastColumn="0"/>
              <w:rPr>
                <w:szCs w:val="18"/>
              </w:rPr>
            </w:pPr>
            <w:r w:rsidRPr="00721F63">
              <w:rPr>
                <w:color w:val="auto"/>
                <w:szCs w:val="18"/>
              </w:rPr>
              <w:t>WA Government</w:t>
            </w:r>
          </w:p>
        </w:tc>
      </w:tr>
      <w:tr w:rsidR="00AE1E92" w:rsidRPr="00FA30FA" w14:paraId="60DD0BA4" w14:textId="77777777" w:rsidTr="00BA7CF1">
        <w:trPr>
          <w:trHeight w:val="728"/>
        </w:trPr>
        <w:tc>
          <w:tcPr>
            <w:cnfStyle w:val="001000000000" w:firstRow="0" w:lastRow="0" w:firstColumn="1" w:lastColumn="0" w:oddVBand="0" w:evenVBand="0" w:oddHBand="0" w:evenHBand="0" w:firstRowFirstColumn="0" w:firstRowLastColumn="0" w:lastRowFirstColumn="0" w:lastRowLastColumn="0"/>
            <w:tcW w:w="1525" w:type="dxa"/>
          </w:tcPr>
          <w:p w14:paraId="46EA1C27" w14:textId="37842F1C" w:rsidR="00BD32DE" w:rsidRDefault="00BD32DE" w:rsidP="009138F7">
            <w:pPr>
              <w:pStyle w:val="Tabletextbold"/>
              <w:rPr>
                <w:b/>
                <w:szCs w:val="18"/>
              </w:rPr>
            </w:pPr>
            <w:r>
              <w:t xml:space="preserve">Role of Australian </w:t>
            </w:r>
            <w:r>
              <w:rPr>
                <w:szCs w:val="18"/>
              </w:rPr>
              <w:t>Government</w:t>
            </w:r>
          </w:p>
        </w:tc>
        <w:tc>
          <w:tcPr>
            <w:tcW w:w="1700" w:type="dxa"/>
          </w:tcPr>
          <w:p w14:paraId="1E46EBCC" w14:textId="24AD1636" w:rsidR="00BD32DE" w:rsidRDefault="00BD32DE" w:rsidP="00721F63">
            <w:pPr>
              <w:pStyle w:val="TableText"/>
              <w:cnfStyle w:val="000000000000" w:firstRow="0" w:lastRow="0" w:firstColumn="0" w:lastColumn="0" w:oddVBand="0" w:evenVBand="0" w:oddHBand="0" w:evenHBand="0" w:firstRowFirstColumn="0" w:firstRowLastColumn="0" w:lastRowFirstColumn="0" w:lastRowLastColumn="0"/>
              <w:rPr>
                <w:szCs w:val="18"/>
              </w:rPr>
            </w:pPr>
            <w:r w:rsidRPr="00721F63">
              <w:rPr>
                <w:color w:val="auto"/>
              </w:rPr>
              <w:t>None</w:t>
            </w:r>
          </w:p>
        </w:tc>
        <w:tc>
          <w:tcPr>
            <w:tcW w:w="1700" w:type="dxa"/>
          </w:tcPr>
          <w:p w14:paraId="0E44BC20" w14:textId="330100EA" w:rsidR="00BD32DE" w:rsidRPr="00A865BD" w:rsidRDefault="00BD32DE" w:rsidP="00721F63">
            <w:pPr>
              <w:pStyle w:val="TableText"/>
              <w:cnfStyle w:val="000000000000" w:firstRow="0" w:lastRow="0" w:firstColumn="0" w:lastColumn="0" w:oddVBand="0" w:evenVBand="0" w:oddHBand="0" w:evenHBand="0" w:firstRowFirstColumn="0" w:firstRowLastColumn="0" w:lastRowFirstColumn="0" w:lastRowLastColumn="0"/>
              <w:rPr>
                <w:color w:val="A6A6A6" w:themeColor="background1" w:themeShade="A6"/>
                <w:szCs w:val="18"/>
              </w:rPr>
            </w:pPr>
            <w:r w:rsidRPr="00721F63">
              <w:rPr>
                <w:color w:val="auto"/>
                <w:szCs w:val="18"/>
              </w:rPr>
              <w:t>N/A</w:t>
            </w:r>
          </w:p>
        </w:tc>
        <w:tc>
          <w:tcPr>
            <w:tcW w:w="1700" w:type="dxa"/>
          </w:tcPr>
          <w:p w14:paraId="596D4CD2" w14:textId="6EC4AE31" w:rsidR="00BD32DE" w:rsidRPr="00A865BD" w:rsidRDefault="00BD32DE" w:rsidP="00721F63">
            <w:pPr>
              <w:pStyle w:val="TableText"/>
              <w:cnfStyle w:val="000000000000" w:firstRow="0" w:lastRow="0" w:firstColumn="0" w:lastColumn="0" w:oddVBand="0" w:evenVBand="0" w:oddHBand="0" w:evenHBand="0" w:firstRowFirstColumn="0" w:firstRowLastColumn="0" w:lastRowFirstColumn="0" w:lastRowLastColumn="0"/>
              <w:rPr>
                <w:color w:val="A6A6A6" w:themeColor="background1" w:themeShade="A6"/>
                <w:szCs w:val="18"/>
              </w:rPr>
            </w:pPr>
            <w:r w:rsidRPr="00721F63">
              <w:rPr>
                <w:color w:val="auto"/>
                <w:szCs w:val="18"/>
              </w:rPr>
              <w:t>N/A</w:t>
            </w:r>
          </w:p>
        </w:tc>
        <w:tc>
          <w:tcPr>
            <w:tcW w:w="1700" w:type="dxa"/>
          </w:tcPr>
          <w:p w14:paraId="67318131" w14:textId="11A6B151" w:rsidR="00BD32DE" w:rsidRPr="00AF77BC" w:rsidRDefault="00BD32DE" w:rsidP="00721F63">
            <w:pPr>
              <w:pStyle w:val="TableText"/>
              <w:cnfStyle w:val="000000000000" w:firstRow="0" w:lastRow="0" w:firstColumn="0" w:lastColumn="0" w:oddVBand="0" w:evenVBand="0" w:oddHBand="0" w:evenHBand="0" w:firstRowFirstColumn="0" w:firstRowLastColumn="0" w:lastRowFirstColumn="0" w:lastRowLastColumn="0"/>
              <w:rPr>
                <w:szCs w:val="18"/>
              </w:rPr>
            </w:pPr>
            <w:r w:rsidRPr="00721F63">
              <w:rPr>
                <w:color w:val="auto"/>
                <w:szCs w:val="18"/>
              </w:rPr>
              <w:t>None</w:t>
            </w:r>
          </w:p>
        </w:tc>
        <w:tc>
          <w:tcPr>
            <w:tcW w:w="1700" w:type="dxa"/>
          </w:tcPr>
          <w:p w14:paraId="21D0AC9B" w14:textId="61EAAE6B" w:rsidR="00BD32DE" w:rsidRPr="00A865BD" w:rsidRDefault="00BD32DE" w:rsidP="00721F63">
            <w:pPr>
              <w:pStyle w:val="TableText"/>
              <w:cnfStyle w:val="000000000000" w:firstRow="0" w:lastRow="0" w:firstColumn="0" w:lastColumn="0" w:oddVBand="0" w:evenVBand="0" w:oddHBand="0" w:evenHBand="0" w:firstRowFirstColumn="0" w:firstRowLastColumn="0" w:lastRowFirstColumn="0" w:lastRowLastColumn="0"/>
              <w:rPr>
                <w:color w:val="A6A6A6" w:themeColor="background1" w:themeShade="A6"/>
                <w:szCs w:val="18"/>
              </w:rPr>
            </w:pPr>
            <w:r w:rsidRPr="00721F63">
              <w:rPr>
                <w:color w:val="auto"/>
                <w:szCs w:val="18"/>
              </w:rPr>
              <w:t>N/A</w:t>
            </w:r>
          </w:p>
        </w:tc>
        <w:tc>
          <w:tcPr>
            <w:tcW w:w="1700" w:type="dxa"/>
          </w:tcPr>
          <w:p w14:paraId="5D7A7253" w14:textId="33031C6F" w:rsidR="00BD32DE" w:rsidRPr="00A865BD" w:rsidRDefault="00BD32DE" w:rsidP="00721F63">
            <w:pPr>
              <w:pStyle w:val="TableText"/>
              <w:cnfStyle w:val="000000000000" w:firstRow="0" w:lastRow="0" w:firstColumn="0" w:lastColumn="0" w:oddVBand="0" w:evenVBand="0" w:oddHBand="0" w:evenHBand="0" w:firstRowFirstColumn="0" w:firstRowLastColumn="0" w:lastRowFirstColumn="0" w:lastRowLastColumn="0"/>
              <w:rPr>
                <w:color w:val="A6A6A6" w:themeColor="background1" w:themeShade="A6"/>
                <w:szCs w:val="18"/>
              </w:rPr>
            </w:pPr>
            <w:r w:rsidRPr="00721F63">
              <w:rPr>
                <w:color w:val="auto"/>
                <w:szCs w:val="18"/>
              </w:rPr>
              <w:t>N/A</w:t>
            </w:r>
          </w:p>
        </w:tc>
        <w:tc>
          <w:tcPr>
            <w:tcW w:w="1700" w:type="dxa"/>
          </w:tcPr>
          <w:p w14:paraId="3D80C6F3" w14:textId="38CE59A1" w:rsidR="00BD32DE" w:rsidRPr="00AF77BC" w:rsidRDefault="00BD32DE" w:rsidP="00721F63">
            <w:pPr>
              <w:pStyle w:val="TableText"/>
              <w:cnfStyle w:val="000000000000" w:firstRow="0" w:lastRow="0" w:firstColumn="0" w:lastColumn="0" w:oddVBand="0" w:evenVBand="0" w:oddHBand="0" w:evenHBand="0" w:firstRowFirstColumn="0" w:firstRowLastColumn="0" w:lastRowFirstColumn="0" w:lastRowLastColumn="0"/>
              <w:rPr>
                <w:szCs w:val="18"/>
              </w:rPr>
            </w:pPr>
            <w:r w:rsidRPr="00721F63">
              <w:rPr>
                <w:color w:val="auto"/>
                <w:szCs w:val="18"/>
              </w:rPr>
              <w:t>None</w:t>
            </w:r>
          </w:p>
        </w:tc>
        <w:tc>
          <w:tcPr>
            <w:tcW w:w="1701" w:type="dxa"/>
          </w:tcPr>
          <w:p w14:paraId="105D283B" w14:textId="415F4318" w:rsidR="00BD32DE" w:rsidRPr="00AF77BC" w:rsidRDefault="00BD32DE" w:rsidP="00721F63">
            <w:pPr>
              <w:pStyle w:val="TableText"/>
              <w:cnfStyle w:val="000000000000" w:firstRow="0" w:lastRow="0" w:firstColumn="0" w:lastColumn="0" w:oddVBand="0" w:evenVBand="0" w:oddHBand="0" w:evenHBand="0" w:firstRowFirstColumn="0" w:firstRowLastColumn="0" w:lastRowFirstColumn="0" w:lastRowLastColumn="0"/>
              <w:rPr>
                <w:szCs w:val="18"/>
              </w:rPr>
            </w:pPr>
            <w:r w:rsidRPr="00721F63">
              <w:rPr>
                <w:color w:val="auto"/>
                <w:szCs w:val="18"/>
              </w:rPr>
              <w:t>None</w:t>
            </w:r>
          </w:p>
        </w:tc>
      </w:tr>
      <w:tr w:rsidR="00AE1E92" w:rsidRPr="00FA30FA" w14:paraId="7679E5CF" w14:textId="77777777" w:rsidTr="00BA7CF1">
        <w:trPr>
          <w:trHeight w:val="73"/>
        </w:trPr>
        <w:tc>
          <w:tcPr>
            <w:cnfStyle w:val="001000000000" w:firstRow="0" w:lastRow="0" w:firstColumn="1" w:lastColumn="0" w:oddVBand="0" w:evenVBand="0" w:oddHBand="0" w:evenHBand="0" w:firstRowFirstColumn="0" w:firstRowLastColumn="0" w:lastRowFirstColumn="0" w:lastRowLastColumn="0"/>
            <w:tcW w:w="1525" w:type="dxa"/>
          </w:tcPr>
          <w:p w14:paraId="7A874B6B" w14:textId="458A7662" w:rsidR="00BD32DE" w:rsidRPr="00C10C27" w:rsidRDefault="00BD32DE" w:rsidP="009138F7">
            <w:pPr>
              <w:pStyle w:val="Tabletextbold"/>
              <w:rPr>
                <w:b/>
                <w:szCs w:val="18"/>
              </w:rPr>
            </w:pPr>
            <w:r>
              <w:t>Role of jurisdictional government</w:t>
            </w:r>
          </w:p>
        </w:tc>
        <w:tc>
          <w:tcPr>
            <w:tcW w:w="1700" w:type="dxa"/>
          </w:tcPr>
          <w:p w14:paraId="33653E7C" w14:textId="5A2D6E33" w:rsidR="00BD32DE" w:rsidRPr="00824B67" w:rsidRDefault="00BD32DE" w:rsidP="00721F63">
            <w:pPr>
              <w:pStyle w:val="TableText"/>
              <w:cnfStyle w:val="000000000000" w:firstRow="0" w:lastRow="0" w:firstColumn="0" w:lastColumn="0" w:oddVBand="0" w:evenVBand="0" w:oddHBand="0" w:evenHBand="0" w:firstRowFirstColumn="0" w:firstRowLastColumn="0" w:lastRowFirstColumn="0" w:lastRowLastColumn="0"/>
              <w:rPr>
                <w:szCs w:val="18"/>
              </w:rPr>
            </w:pPr>
            <w:r w:rsidRPr="00721F63">
              <w:rPr>
                <w:color w:val="auto"/>
              </w:rPr>
              <w:t xml:space="preserve">Provides funding and administers the prosthetic eye scheme through CHS </w:t>
            </w:r>
          </w:p>
        </w:tc>
        <w:tc>
          <w:tcPr>
            <w:tcW w:w="1700" w:type="dxa"/>
          </w:tcPr>
          <w:p w14:paraId="1118FF50" w14:textId="75CC25C7" w:rsidR="00BD32DE" w:rsidRPr="00A865BD" w:rsidRDefault="00BD32DE" w:rsidP="00721F63">
            <w:pPr>
              <w:pStyle w:val="TableText"/>
              <w:cnfStyle w:val="000000000000" w:firstRow="0" w:lastRow="0" w:firstColumn="0" w:lastColumn="0" w:oddVBand="0" w:evenVBand="0" w:oddHBand="0" w:evenHBand="0" w:firstRowFirstColumn="0" w:firstRowLastColumn="0" w:lastRowFirstColumn="0" w:lastRowLastColumn="0"/>
              <w:rPr>
                <w:color w:val="A6A6A6" w:themeColor="background1" w:themeShade="A6"/>
                <w:szCs w:val="18"/>
              </w:rPr>
            </w:pPr>
            <w:r w:rsidRPr="00721F63">
              <w:rPr>
                <w:color w:val="auto"/>
                <w:szCs w:val="18"/>
              </w:rPr>
              <w:t>N/A</w:t>
            </w:r>
          </w:p>
        </w:tc>
        <w:tc>
          <w:tcPr>
            <w:tcW w:w="1700" w:type="dxa"/>
          </w:tcPr>
          <w:p w14:paraId="231657B4" w14:textId="0A5B773A" w:rsidR="00BD32DE" w:rsidRPr="00A865BD" w:rsidRDefault="00BD32DE" w:rsidP="00721F63">
            <w:pPr>
              <w:pStyle w:val="TableText"/>
              <w:cnfStyle w:val="000000000000" w:firstRow="0" w:lastRow="0" w:firstColumn="0" w:lastColumn="0" w:oddVBand="0" w:evenVBand="0" w:oddHBand="0" w:evenHBand="0" w:firstRowFirstColumn="0" w:firstRowLastColumn="0" w:lastRowFirstColumn="0" w:lastRowLastColumn="0"/>
              <w:rPr>
                <w:color w:val="A6A6A6" w:themeColor="background1" w:themeShade="A6"/>
                <w:szCs w:val="18"/>
              </w:rPr>
            </w:pPr>
            <w:r w:rsidRPr="00721F63">
              <w:rPr>
                <w:color w:val="auto"/>
                <w:szCs w:val="18"/>
              </w:rPr>
              <w:t>N/A</w:t>
            </w:r>
          </w:p>
        </w:tc>
        <w:tc>
          <w:tcPr>
            <w:tcW w:w="1700" w:type="dxa"/>
          </w:tcPr>
          <w:p w14:paraId="0ABB2C67" w14:textId="71CEDC1A" w:rsidR="00BD32DE" w:rsidRPr="00824B67" w:rsidRDefault="00BD32DE" w:rsidP="00721F63">
            <w:pPr>
              <w:pStyle w:val="TableText"/>
              <w:cnfStyle w:val="000000000000" w:firstRow="0" w:lastRow="0" w:firstColumn="0" w:lastColumn="0" w:oddVBand="0" w:evenVBand="0" w:oddHBand="0" w:evenHBand="0" w:firstRowFirstColumn="0" w:firstRowLastColumn="0" w:lastRowFirstColumn="0" w:lastRowLastColumn="0"/>
              <w:rPr>
                <w:szCs w:val="18"/>
              </w:rPr>
            </w:pPr>
            <w:r w:rsidRPr="00721F63">
              <w:rPr>
                <w:color w:val="auto"/>
              </w:rPr>
              <w:t>Provides funding to RBWH</w:t>
            </w:r>
          </w:p>
        </w:tc>
        <w:tc>
          <w:tcPr>
            <w:tcW w:w="1700" w:type="dxa"/>
          </w:tcPr>
          <w:p w14:paraId="4E1AE334" w14:textId="0332290C" w:rsidR="00BD32DE" w:rsidRPr="00A865BD" w:rsidRDefault="00BD32DE" w:rsidP="00721F63">
            <w:pPr>
              <w:pStyle w:val="TableText"/>
              <w:cnfStyle w:val="000000000000" w:firstRow="0" w:lastRow="0" w:firstColumn="0" w:lastColumn="0" w:oddVBand="0" w:evenVBand="0" w:oddHBand="0" w:evenHBand="0" w:firstRowFirstColumn="0" w:firstRowLastColumn="0" w:lastRowFirstColumn="0" w:lastRowLastColumn="0"/>
              <w:rPr>
                <w:color w:val="A6A6A6" w:themeColor="background1" w:themeShade="A6"/>
                <w:szCs w:val="18"/>
              </w:rPr>
            </w:pPr>
            <w:r w:rsidRPr="00721F63">
              <w:rPr>
                <w:color w:val="auto"/>
                <w:szCs w:val="18"/>
              </w:rPr>
              <w:t>N/A</w:t>
            </w:r>
          </w:p>
        </w:tc>
        <w:tc>
          <w:tcPr>
            <w:tcW w:w="1700" w:type="dxa"/>
          </w:tcPr>
          <w:p w14:paraId="788B18A8" w14:textId="19669A4E" w:rsidR="00BD32DE" w:rsidRPr="00A865BD" w:rsidRDefault="00BD32DE" w:rsidP="00721F63">
            <w:pPr>
              <w:pStyle w:val="TableText"/>
              <w:cnfStyle w:val="000000000000" w:firstRow="0" w:lastRow="0" w:firstColumn="0" w:lastColumn="0" w:oddVBand="0" w:evenVBand="0" w:oddHBand="0" w:evenHBand="0" w:firstRowFirstColumn="0" w:firstRowLastColumn="0" w:lastRowFirstColumn="0" w:lastRowLastColumn="0"/>
              <w:rPr>
                <w:color w:val="A6A6A6" w:themeColor="background1" w:themeShade="A6"/>
                <w:szCs w:val="18"/>
              </w:rPr>
            </w:pPr>
            <w:r w:rsidRPr="00721F63">
              <w:rPr>
                <w:color w:val="auto"/>
                <w:szCs w:val="18"/>
              </w:rPr>
              <w:t>N/A</w:t>
            </w:r>
          </w:p>
        </w:tc>
        <w:tc>
          <w:tcPr>
            <w:tcW w:w="1700" w:type="dxa"/>
          </w:tcPr>
          <w:p w14:paraId="0B3DCBE9" w14:textId="305283B4" w:rsidR="00BD32DE" w:rsidRPr="00824B67" w:rsidRDefault="00BD32DE" w:rsidP="00721F63">
            <w:pPr>
              <w:pStyle w:val="TableText"/>
              <w:cnfStyle w:val="000000000000" w:firstRow="0" w:lastRow="0" w:firstColumn="0" w:lastColumn="0" w:oddVBand="0" w:evenVBand="0" w:oddHBand="0" w:evenHBand="0" w:firstRowFirstColumn="0" w:firstRowLastColumn="0" w:lastRowFirstColumn="0" w:lastRowLastColumn="0"/>
              <w:rPr>
                <w:szCs w:val="18"/>
              </w:rPr>
            </w:pPr>
            <w:r w:rsidRPr="00721F63">
              <w:rPr>
                <w:color w:val="auto"/>
              </w:rPr>
              <w:t>Provides funding to RMH</w:t>
            </w:r>
          </w:p>
        </w:tc>
        <w:tc>
          <w:tcPr>
            <w:tcW w:w="1701" w:type="dxa"/>
          </w:tcPr>
          <w:p w14:paraId="5CC46C41" w14:textId="5FB9FDF5" w:rsidR="00BD32DE" w:rsidRPr="00824B67" w:rsidRDefault="00BD32DE" w:rsidP="00721F63">
            <w:pPr>
              <w:pStyle w:val="TableText"/>
              <w:cnfStyle w:val="000000000000" w:firstRow="0" w:lastRow="0" w:firstColumn="0" w:lastColumn="0" w:oddVBand="0" w:evenVBand="0" w:oddHBand="0" w:evenHBand="0" w:firstRowFirstColumn="0" w:firstRowLastColumn="0" w:lastRowFirstColumn="0" w:lastRowLastColumn="0"/>
              <w:rPr>
                <w:szCs w:val="18"/>
              </w:rPr>
            </w:pPr>
            <w:r w:rsidRPr="00721F63">
              <w:rPr>
                <w:color w:val="auto"/>
                <w:szCs w:val="18"/>
              </w:rPr>
              <w:t xml:space="preserve">Provides funding to Fiona </w:t>
            </w:r>
            <w:r w:rsidR="00714743">
              <w:rPr>
                <w:szCs w:val="18"/>
              </w:rPr>
              <w:t>Stanley</w:t>
            </w:r>
            <w:r>
              <w:rPr>
                <w:szCs w:val="18"/>
              </w:rPr>
              <w:t xml:space="preserve"> Hospital</w:t>
            </w:r>
          </w:p>
        </w:tc>
      </w:tr>
    </w:tbl>
    <w:p w14:paraId="36D59A81" w14:textId="5F047EF2" w:rsidR="003C799B" w:rsidRPr="00D9634F" w:rsidRDefault="003C799B" w:rsidP="00721F63">
      <w:pPr>
        <w:pStyle w:val="Caption-Source"/>
        <w:rPr>
          <w:i/>
          <w:szCs w:val="20"/>
        </w:rPr>
      </w:pPr>
      <w:r w:rsidRPr="00D9634F">
        <w:t xml:space="preserve">Source: </w:t>
      </w:r>
      <w:r w:rsidR="004A6003" w:rsidRPr="004A6003">
        <w:t>Independent reviewer</w:t>
      </w:r>
      <w:r w:rsidRPr="00D9634F">
        <w:t xml:space="preserve"> (2025) </w:t>
      </w:r>
    </w:p>
    <w:p w14:paraId="693EC10C" w14:textId="77777777" w:rsidR="003C799B" w:rsidRPr="003C799B" w:rsidRDefault="003C799B" w:rsidP="00721F63">
      <w:pPr>
        <w:pStyle w:val="Caption-Source"/>
        <w:sectPr w:rsidR="003C799B" w:rsidRPr="003C799B" w:rsidSect="00FD54A5">
          <w:pgSz w:w="16838" w:h="11906" w:orient="landscape"/>
          <w:pgMar w:top="1418" w:right="851" w:bottom="1418" w:left="851" w:header="567" w:footer="284" w:gutter="0"/>
          <w:cols w:space="708"/>
          <w:docGrid w:linePitch="360"/>
        </w:sectPr>
      </w:pPr>
    </w:p>
    <w:p w14:paraId="42190A14" w14:textId="59CB8CFB" w:rsidR="00AF1727" w:rsidRDefault="009835E8" w:rsidP="008239ED">
      <w:pPr>
        <w:pStyle w:val="Heading2"/>
      </w:pPr>
      <w:bookmarkStart w:id="57" w:name="_Toc207348739"/>
      <w:r>
        <w:t>Breast prostheses services</w:t>
      </w:r>
      <w:r w:rsidR="0068590F">
        <w:t>, programs and schemes</w:t>
      </w:r>
      <w:bookmarkEnd w:id="42"/>
      <w:bookmarkEnd w:id="57"/>
      <w:r>
        <w:t xml:space="preserve"> </w:t>
      </w:r>
    </w:p>
    <w:p w14:paraId="19C02CB0" w14:textId="4FBEB6F9" w:rsidR="00C73943" w:rsidRDefault="00C73943" w:rsidP="00E46064">
      <w:pPr>
        <w:rPr>
          <w:color w:val="auto"/>
        </w:rPr>
      </w:pPr>
      <w:r w:rsidRPr="000C3314">
        <w:rPr>
          <w:color w:val="auto"/>
        </w:rPr>
        <w:t xml:space="preserve">The following section outlines breast prostheses services, programs and schemes available </w:t>
      </w:r>
      <w:r w:rsidR="00097BA2">
        <w:rPr>
          <w:color w:val="auto"/>
        </w:rPr>
        <w:t>to people</w:t>
      </w:r>
      <w:r w:rsidR="008B616D">
        <w:rPr>
          <w:color w:val="auto"/>
        </w:rPr>
        <w:t xml:space="preserve"> in </w:t>
      </w:r>
      <w:r>
        <w:rPr>
          <w:color w:val="auto"/>
        </w:rPr>
        <w:t>Australia</w:t>
      </w:r>
      <w:r w:rsidRPr="000C3314">
        <w:rPr>
          <w:color w:val="auto"/>
        </w:rPr>
        <w:t>.</w:t>
      </w:r>
      <w:r>
        <w:rPr>
          <w:color w:val="auto"/>
        </w:rPr>
        <w:t xml:space="preserve"> A summary of the key findings presented within this section is provided below. </w:t>
      </w:r>
    </w:p>
    <w:p w14:paraId="238F6865" w14:textId="3F5B031D" w:rsidR="00E768E6" w:rsidRDefault="00E768E6" w:rsidP="00FD688B">
      <w:pPr>
        <w:pStyle w:val="Heading2Summaryofkeyfindings"/>
      </w:pPr>
      <w:r w:rsidRPr="00E768E6">
        <w:t>Summary of breast prostheses services, programs and schemes</w:t>
      </w:r>
    </w:p>
    <w:p w14:paraId="0CCC336D" w14:textId="77777777" w:rsidR="00E768E6" w:rsidRPr="00EF4876" w:rsidRDefault="00E768E6" w:rsidP="005A6CA2">
      <w:pPr>
        <w:pStyle w:val="Callout-Summaryofkeyfindingbullet"/>
      </w:pPr>
      <w:r w:rsidRPr="00EF4876">
        <w:t xml:space="preserve">People requiring external breast prosthesis due to cancer or cancer treatment </w:t>
      </w:r>
      <w:r>
        <w:t>can</w:t>
      </w:r>
      <w:r w:rsidRPr="00EF4876">
        <w:t xml:space="preserve"> access interim and definitive prostheses through national programs and schemes</w:t>
      </w:r>
      <w:r>
        <w:t>,</w:t>
      </w:r>
      <w:r w:rsidRPr="00EF4876">
        <w:t xml:space="preserve"> including the EBPRP funded by the Australian Government and the My Care Kit program delivered by Breast Cancer Network Australia and </w:t>
      </w:r>
      <w:proofErr w:type="spellStart"/>
      <w:r w:rsidRPr="00EF4876">
        <w:t>Berlei</w:t>
      </w:r>
      <w:proofErr w:type="spellEnd"/>
      <w:r w:rsidRPr="00EF4876">
        <w:t>.</w:t>
      </w:r>
    </w:p>
    <w:p w14:paraId="10DD8F67" w14:textId="77777777" w:rsidR="00E768E6" w:rsidRPr="00EF4876" w:rsidRDefault="00E768E6" w:rsidP="005A6CA2">
      <w:pPr>
        <w:pStyle w:val="Callout-Summaryofkeyfindingbullet"/>
      </w:pPr>
      <w:r w:rsidRPr="00EF4876">
        <w:t>In some states and territories</w:t>
      </w:r>
      <w:r>
        <w:t>,</w:t>
      </w:r>
      <w:r w:rsidRPr="00EF4876">
        <w:t xml:space="preserve"> additional supports are available through NGOs, including financial assistance for the up-front payment required under the EBPRP. </w:t>
      </w:r>
    </w:p>
    <w:p w14:paraId="1ED31BBE" w14:textId="77777777" w:rsidR="00E768E6" w:rsidRPr="00EF4876" w:rsidRDefault="00E768E6" w:rsidP="005A6CA2">
      <w:pPr>
        <w:pStyle w:val="Callout-Summaryofkeyfindingbullet"/>
      </w:pPr>
      <w:r w:rsidRPr="00EF4876">
        <w:t>External breast prostheses are typically accessed through specialist external breast prostheses retailers. These retailers are widely available in metropolitan and some regional areas</w:t>
      </w:r>
      <w:r>
        <w:t>;</w:t>
      </w:r>
      <w:r w:rsidRPr="00EF4876">
        <w:t xml:space="preserve"> however, people living in rural and remote areas are typically reliant on online retailers. </w:t>
      </w:r>
    </w:p>
    <w:p w14:paraId="53CD79F3" w14:textId="23DBF9C7" w:rsidR="00E768E6" w:rsidRDefault="00E768E6" w:rsidP="005A6CA2">
      <w:pPr>
        <w:pStyle w:val="Callout-Summaryofkeyfindingbullet"/>
      </w:pPr>
      <w:r w:rsidRPr="00EF4876">
        <w:t xml:space="preserve">A prescription or referral from a medical practitioner is not required to receive an external breast prosthesis. Trained external breast prostheses fitters, </w:t>
      </w:r>
      <w:r>
        <w:t>such as breast care nurses, will typically assist with measuring and fitting the prosthesis. However</w:t>
      </w:r>
      <w:r w:rsidRPr="00EF4876">
        <w:t>, prostheses can also be ordered online without support from a trained fitter.</w:t>
      </w:r>
    </w:p>
    <w:p w14:paraId="33339B50" w14:textId="358458BB" w:rsidR="00737A72" w:rsidRDefault="00737A72" w:rsidP="00737A72">
      <w:pPr>
        <w:pStyle w:val="Caption"/>
      </w:pPr>
      <w:bookmarkStart w:id="58" w:name="_Toc207348715"/>
      <w:r>
        <w:t xml:space="preserve">Figure </w:t>
      </w:r>
      <w:r>
        <w:fldChar w:fldCharType="begin"/>
      </w:r>
      <w:r>
        <w:instrText xml:space="preserve"> SEQ Figure \* ARABIC </w:instrText>
      </w:r>
      <w:r>
        <w:fldChar w:fldCharType="separate"/>
      </w:r>
      <w:r>
        <w:rPr>
          <w:noProof/>
        </w:rPr>
        <w:t>8</w:t>
      </w:r>
      <w:r>
        <w:rPr>
          <w:noProof/>
        </w:rPr>
        <w:fldChar w:fldCharType="end"/>
      </w:r>
      <w:r>
        <w:t xml:space="preserve">: </w:t>
      </w:r>
      <w:r w:rsidRPr="00B12816">
        <w:t xml:space="preserve">Summary of </w:t>
      </w:r>
      <w:r w:rsidR="00FB4EC2">
        <w:t>breast</w:t>
      </w:r>
      <w:r w:rsidRPr="00B12816">
        <w:t xml:space="preserve"> prostheses services, programs and schemes available in Australia</w:t>
      </w:r>
      <w:bookmarkEnd w:id="58"/>
    </w:p>
    <w:p w14:paraId="641CB9B9" w14:textId="7DD09244" w:rsidR="00F145B6" w:rsidRPr="00F145B6" w:rsidRDefault="00F145B6" w:rsidP="008B474C">
      <w:r w:rsidRPr="008B474C">
        <w:drawing>
          <wp:inline distT="0" distB="0" distL="0" distR="0" wp14:anchorId="45882FF7" wp14:editId="13EDD196">
            <wp:extent cx="5791200" cy="5133975"/>
            <wp:effectExtent l="0" t="0" r="0" b="9525"/>
            <wp:docPr id="1241930076" name="Graphic 1" descr="Infographic that summarises the findings outlined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930076" name="Graphic 1" descr="Infographic that summarises the findings outlined above"/>
                    <pic:cNvPicPr/>
                  </pic:nvPicPr>
                  <pic:blipFill>
                    <a:blip r:embed="rId56">
                      <a:extLst>
                        <a:ext uri="{96DAC541-7B7A-43D3-8B79-37D633B846F1}">
                          <asvg:svgBlip xmlns:asvg="http://schemas.microsoft.com/office/drawing/2016/SVG/main" r:embed="rId57"/>
                        </a:ext>
                      </a:extLst>
                    </a:blip>
                    <a:stretch>
                      <a:fillRect/>
                    </a:stretch>
                  </pic:blipFill>
                  <pic:spPr>
                    <a:xfrm>
                      <a:off x="0" y="0"/>
                      <a:ext cx="5791200" cy="5133975"/>
                    </a:xfrm>
                    <a:prstGeom prst="rect">
                      <a:avLst/>
                    </a:prstGeom>
                  </pic:spPr>
                </pic:pic>
              </a:graphicData>
            </a:graphic>
          </wp:inline>
        </w:drawing>
      </w:r>
    </w:p>
    <w:p w14:paraId="7C2FB34F" w14:textId="797CA6D5" w:rsidR="00F145B6" w:rsidRDefault="008B616D" w:rsidP="00774B85">
      <w:pPr>
        <w:pStyle w:val="Caption-Source"/>
      </w:pPr>
      <w:r w:rsidRPr="008B616D">
        <w:t xml:space="preserve">Source: </w:t>
      </w:r>
      <w:r w:rsidR="004A6003" w:rsidRPr="004A6003">
        <w:t>Independent reviewer</w:t>
      </w:r>
      <w:r w:rsidR="00584D02" w:rsidRPr="00CD3106">
        <w:t xml:space="preserve"> (</w:t>
      </w:r>
      <w:r w:rsidRPr="00CD3106">
        <w:t>2025</w:t>
      </w:r>
      <w:r w:rsidR="00584D02" w:rsidRPr="00CD3106">
        <w:t>)</w:t>
      </w:r>
      <w:r w:rsidR="00F145B6">
        <w:br w:type="page"/>
      </w:r>
    </w:p>
    <w:p w14:paraId="3C0D77B1" w14:textId="6EF541A7" w:rsidR="00097BA2" w:rsidRPr="001329A5" w:rsidRDefault="00097BA2" w:rsidP="000B1060">
      <w:pPr>
        <w:pStyle w:val="Heading3"/>
      </w:pPr>
      <w:r>
        <w:t>About external breast prostheses</w:t>
      </w:r>
    </w:p>
    <w:p w14:paraId="55A46A18" w14:textId="1778ADCA" w:rsidR="00AF1727" w:rsidRPr="00E46064" w:rsidRDefault="00DF1882" w:rsidP="00E46064">
      <w:r w:rsidRPr="00DF1882">
        <w:t xml:space="preserve">Breast cancer is the </w:t>
      </w:r>
      <w:proofErr w:type="gramStart"/>
      <w:r w:rsidRPr="00DF1882">
        <w:t>most commonly diagnosed</w:t>
      </w:r>
      <w:proofErr w:type="gramEnd"/>
      <w:r w:rsidRPr="00DF1882">
        <w:t xml:space="preserve"> cancer among Australian women, accounting for approximately 28% of all new cancer cases. </w:t>
      </w:r>
      <w:r w:rsidR="004E67FE">
        <w:t xml:space="preserve">One in seven Australian women </w:t>
      </w:r>
      <w:r w:rsidR="00A21FB4">
        <w:t>are</w:t>
      </w:r>
      <w:r w:rsidR="004E67FE">
        <w:t xml:space="preserve"> diagnosed with breast cancer over a lifeti</w:t>
      </w:r>
      <w:r w:rsidR="00A07251">
        <w:t xml:space="preserve">me, compared to </w:t>
      </w:r>
      <w:r w:rsidR="008E02F7">
        <w:t>one</w:t>
      </w:r>
      <w:r w:rsidR="00AF1727">
        <w:t xml:space="preserve"> in 556 men. </w:t>
      </w:r>
      <w:r w:rsidR="0026098D">
        <w:t>Breast cancer</w:t>
      </w:r>
      <w:r w:rsidR="00AF1727">
        <w:t xml:space="preserve"> risk increases with age, with the average age </w:t>
      </w:r>
      <w:r w:rsidR="00871364">
        <w:t>at</w:t>
      </w:r>
      <w:r w:rsidR="00AF1727">
        <w:t xml:space="preserve"> diagnosis being 62 </w:t>
      </w:r>
      <w:r w:rsidR="00AF1727" w:rsidRPr="00E46064">
        <w:t xml:space="preserve">years, </w:t>
      </w:r>
      <w:r w:rsidR="0026098D" w:rsidRPr="00E46064">
        <w:t>with</w:t>
      </w:r>
      <w:r w:rsidR="00AF1727" w:rsidRPr="00E46064">
        <w:t xml:space="preserve"> around 80 </w:t>
      </w:r>
      <w:r w:rsidR="00A21FB4" w:rsidRPr="00E46064">
        <w:t>per cent</w:t>
      </w:r>
      <w:r w:rsidR="00AF1727" w:rsidRPr="00E46064">
        <w:t xml:space="preserve"> of new </w:t>
      </w:r>
      <w:r w:rsidR="0024363B" w:rsidRPr="00E46064">
        <w:t>diagnoses</w:t>
      </w:r>
      <w:r w:rsidR="00AF1727" w:rsidRPr="00E46064">
        <w:t xml:space="preserve"> occur</w:t>
      </w:r>
      <w:r w:rsidR="0026098D" w:rsidRPr="00E46064">
        <w:t>ring</w:t>
      </w:r>
      <w:r w:rsidR="00AF1727" w:rsidRPr="00E46064">
        <w:t xml:space="preserve"> </w:t>
      </w:r>
      <w:r w:rsidR="0024363B" w:rsidRPr="00E46064">
        <w:t>after the age of</w:t>
      </w:r>
      <w:r w:rsidR="00AF1727" w:rsidRPr="00E46064">
        <w:t xml:space="preserve"> 50.</w:t>
      </w:r>
      <w:r w:rsidR="007B7939" w:rsidRPr="00E46064">
        <w:t>10F</w:t>
      </w:r>
      <w:r w:rsidR="00AF1727" w:rsidRPr="000543B6">
        <w:rPr>
          <w:vertAlign w:val="superscript"/>
        </w:rPr>
        <w:footnoteReference w:id="45"/>
      </w:r>
    </w:p>
    <w:p w14:paraId="423D8402" w14:textId="10F0C8A3" w:rsidR="00097BA2" w:rsidRDefault="00AF1727" w:rsidP="00E46064">
      <w:r w:rsidRPr="00E46064">
        <w:t>Approximately</w:t>
      </w:r>
      <w:r w:rsidR="0024363B" w:rsidRPr="00E46064">
        <w:t xml:space="preserve"> </w:t>
      </w:r>
      <w:r w:rsidRPr="00E46064">
        <w:t xml:space="preserve">40 </w:t>
      </w:r>
      <w:r w:rsidR="00A21FB4" w:rsidRPr="00E46064">
        <w:t xml:space="preserve">per cent of </w:t>
      </w:r>
      <w:r w:rsidRPr="00E46064">
        <w:t>women diagnosed with breast cancer will undergo a mastectomy</w:t>
      </w:r>
      <w:r w:rsidR="00C71F42" w:rsidRPr="00E46064">
        <w:t>, a</w:t>
      </w:r>
      <w:r w:rsidRPr="00E46064">
        <w:t xml:space="preserve"> surgical </w:t>
      </w:r>
      <w:r w:rsidR="00C71F42" w:rsidRPr="00E46064">
        <w:t>p</w:t>
      </w:r>
      <w:r w:rsidR="00C71F42">
        <w:t>rocedure to remove one (unilateral) or both (</w:t>
      </w:r>
      <w:r w:rsidR="00C87328">
        <w:t>bilateral) breast</w:t>
      </w:r>
      <w:r w:rsidR="0026098D">
        <w:t>s</w:t>
      </w:r>
      <w:r w:rsidR="00C87328">
        <w:t xml:space="preserve"> t</w:t>
      </w:r>
      <w:r>
        <w:t xml:space="preserve">o eliminate or prevent the spread of breast cancer. Following a mastectomy, an external breast prosthesis is </w:t>
      </w:r>
      <w:r w:rsidR="00C87328">
        <w:t>one</w:t>
      </w:r>
      <w:r>
        <w:t xml:space="preserve"> option available for post-operative care. </w:t>
      </w:r>
      <w:r w:rsidR="00380F06">
        <w:t>These prostheses are artificial breast forms designed to be wor</w:t>
      </w:r>
      <w:r w:rsidR="008A1558">
        <w:t>n</w:t>
      </w:r>
      <w:r w:rsidR="00380F06">
        <w:t xml:space="preserve"> inside </w:t>
      </w:r>
      <w:r w:rsidRPr="000C11C1">
        <w:t>mastectomy bra</w:t>
      </w:r>
      <w:r w:rsidR="00380F06">
        <w:t>s,</w:t>
      </w:r>
      <w:r w:rsidRPr="000C11C1">
        <w:t xml:space="preserve"> </w:t>
      </w:r>
      <w:r w:rsidR="00380F06">
        <w:t xml:space="preserve">specialised </w:t>
      </w:r>
      <w:r w:rsidR="000C324A" w:rsidRPr="000C11C1">
        <w:t>swimsuit</w:t>
      </w:r>
      <w:r w:rsidR="00380F06">
        <w:t>s</w:t>
      </w:r>
      <w:r w:rsidR="000C324A">
        <w:t xml:space="preserve"> or</w:t>
      </w:r>
      <w:r w:rsidR="00A244F6">
        <w:t xml:space="preserve"> attached directly to </w:t>
      </w:r>
      <w:r w:rsidR="00380F06">
        <w:t xml:space="preserve">the </w:t>
      </w:r>
      <w:r w:rsidR="00A244F6">
        <w:t>skin</w:t>
      </w:r>
      <w:r w:rsidRPr="000C11C1">
        <w:t>.</w:t>
      </w:r>
      <w:r w:rsidR="007B7939">
        <w:rPr>
          <w:rFonts w:ascii="ZWAdobeF" w:hAnsi="ZWAdobeF" w:cs="ZWAdobeF"/>
          <w:color w:val="auto"/>
          <w:sz w:val="2"/>
          <w:szCs w:val="2"/>
        </w:rPr>
        <w:t>11F</w:t>
      </w:r>
      <w:r>
        <w:rPr>
          <w:rStyle w:val="FootnoteReference"/>
        </w:rPr>
        <w:footnoteReference w:id="46"/>
      </w:r>
      <w:r w:rsidR="001D6184">
        <w:t xml:space="preserve"> </w:t>
      </w:r>
    </w:p>
    <w:p w14:paraId="58D389E3" w14:textId="0BAFE797" w:rsidR="00F76D0B" w:rsidRDefault="00852D91" w:rsidP="00E46064">
      <w:pPr>
        <w:rPr>
          <w:color w:val="auto"/>
        </w:rPr>
      </w:pPr>
      <w:r>
        <w:t>External breast prostheses</w:t>
      </w:r>
      <w:r w:rsidR="001D6184">
        <w:t xml:space="preserve"> </w:t>
      </w:r>
      <w:r w:rsidR="008B511E">
        <w:t>are available</w:t>
      </w:r>
      <w:r w:rsidR="001D6184">
        <w:t xml:space="preserve"> in </w:t>
      </w:r>
      <w:r w:rsidR="00380F06">
        <w:t>a range of</w:t>
      </w:r>
      <w:r w:rsidR="001D6184">
        <w:t xml:space="preserve"> materials and styles, depend</w:t>
      </w:r>
      <w:r w:rsidR="00380F06">
        <w:t>ing</w:t>
      </w:r>
      <w:r w:rsidR="001D6184">
        <w:t xml:space="preserve"> on the type of surgery, </w:t>
      </w:r>
      <w:r w:rsidR="00380F06">
        <w:t xml:space="preserve">stage of </w:t>
      </w:r>
      <w:r w:rsidR="001D6184">
        <w:t>recovery and personal preference</w:t>
      </w:r>
      <w:r w:rsidR="000C324A">
        <w:t xml:space="preserve">. </w:t>
      </w:r>
      <w:r w:rsidR="008D10EC">
        <w:t>To obtain a prosthes</w:t>
      </w:r>
      <w:r w:rsidR="00B36C1E">
        <w:t>i</w:t>
      </w:r>
      <w:r w:rsidR="008D10EC">
        <w:t>s</w:t>
      </w:r>
      <w:r w:rsidR="001E6DD8">
        <w:t xml:space="preserve">, it is recommended </w:t>
      </w:r>
      <w:r w:rsidR="006B7DD0">
        <w:t>that women</w:t>
      </w:r>
      <w:r w:rsidR="009907AC">
        <w:t xml:space="preserve"> </w:t>
      </w:r>
      <w:r w:rsidR="00C12DAF">
        <w:t>consult</w:t>
      </w:r>
      <w:r w:rsidR="00793D4D">
        <w:t xml:space="preserve"> a trained </w:t>
      </w:r>
      <w:r w:rsidR="006B7DD0">
        <w:t>prosthes</w:t>
      </w:r>
      <w:r w:rsidR="0016581B">
        <w:t>e</w:t>
      </w:r>
      <w:r w:rsidR="006B7DD0">
        <w:t xml:space="preserve">s </w:t>
      </w:r>
      <w:r w:rsidR="00793D4D">
        <w:t>fitter to help find the right prosthes</w:t>
      </w:r>
      <w:r w:rsidR="00C12DAF">
        <w:t>i</w:t>
      </w:r>
      <w:r w:rsidR="00793D4D">
        <w:t xml:space="preserve">s that suits </w:t>
      </w:r>
      <w:r w:rsidR="00597CD4" w:rsidRPr="000C3314">
        <w:rPr>
          <w:color w:val="auto"/>
        </w:rPr>
        <w:t>the</w:t>
      </w:r>
      <w:r w:rsidR="00C12DAF">
        <w:rPr>
          <w:color w:val="auto"/>
        </w:rPr>
        <w:t xml:space="preserve">ir </w:t>
      </w:r>
      <w:r w:rsidR="00597CD4" w:rsidRPr="000C3314">
        <w:rPr>
          <w:color w:val="auto"/>
        </w:rPr>
        <w:t>body shape and frame.</w:t>
      </w:r>
      <w:r w:rsidR="00DD2DF7" w:rsidRPr="000C3314">
        <w:rPr>
          <w:color w:val="auto"/>
        </w:rPr>
        <w:t xml:space="preserve"> </w:t>
      </w:r>
      <w:r w:rsidR="006B7DD0">
        <w:rPr>
          <w:color w:val="auto"/>
        </w:rPr>
        <w:t>External breast prostheses</w:t>
      </w:r>
      <w:r w:rsidR="00DD2DF7" w:rsidRPr="000C3314">
        <w:rPr>
          <w:color w:val="auto"/>
        </w:rPr>
        <w:t xml:space="preserve"> can be </w:t>
      </w:r>
      <w:r w:rsidR="006B7DD0">
        <w:rPr>
          <w:color w:val="auto"/>
        </w:rPr>
        <w:t>purchased</w:t>
      </w:r>
      <w:r w:rsidR="00DD2DF7" w:rsidRPr="000C3314">
        <w:rPr>
          <w:color w:val="auto"/>
        </w:rPr>
        <w:t xml:space="preserve"> from specialist stores that sell only breast prostheses and related products, </w:t>
      </w:r>
      <w:r>
        <w:rPr>
          <w:color w:val="auto"/>
        </w:rPr>
        <w:t xml:space="preserve">the </w:t>
      </w:r>
      <w:r w:rsidR="004055F8">
        <w:rPr>
          <w:color w:val="auto"/>
        </w:rPr>
        <w:t>undergarment</w:t>
      </w:r>
      <w:r w:rsidR="00DD2DF7" w:rsidRPr="000C3314">
        <w:rPr>
          <w:color w:val="auto"/>
        </w:rPr>
        <w:t xml:space="preserve"> section of some major department stores, and some boutiques. </w:t>
      </w:r>
      <w:r>
        <w:rPr>
          <w:color w:val="auto"/>
        </w:rPr>
        <w:t xml:space="preserve">External breast prostheses can also be </w:t>
      </w:r>
      <w:r w:rsidR="00C12DAF">
        <w:rPr>
          <w:color w:val="auto"/>
        </w:rPr>
        <w:t>purchased</w:t>
      </w:r>
      <w:r w:rsidR="00441148">
        <w:rPr>
          <w:color w:val="auto"/>
        </w:rPr>
        <w:t xml:space="preserve"> from online retailers and mailed to the </w:t>
      </w:r>
      <w:r w:rsidR="00C12DAF">
        <w:rPr>
          <w:color w:val="auto"/>
        </w:rPr>
        <w:t>individual’s</w:t>
      </w:r>
      <w:r w:rsidR="00441148">
        <w:rPr>
          <w:color w:val="auto"/>
        </w:rPr>
        <w:t xml:space="preserve"> house.</w:t>
      </w:r>
    </w:p>
    <w:p w14:paraId="1A913EE5" w14:textId="3CA674AB" w:rsidR="00AF1727" w:rsidRDefault="00AF1727" w:rsidP="00E948ED">
      <w:pPr>
        <w:pStyle w:val="Heading3"/>
      </w:pPr>
      <w:bookmarkStart w:id="59" w:name="_Ref198823039"/>
      <w:bookmarkStart w:id="60" w:name="_Ref200567424"/>
      <w:r w:rsidRPr="00555918">
        <w:t>National</w:t>
      </w:r>
      <w:r>
        <w:t xml:space="preserve"> </w:t>
      </w:r>
      <w:r w:rsidR="000B1060">
        <w:t xml:space="preserve">external breast </w:t>
      </w:r>
      <w:r>
        <w:t>prostheses services</w:t>
      </w:r>
      <w:r w:rsidR="00B45602">
        <w:t xml:space="preserve">, programs and </w:t>
      </w:r>
      <w:r>
        <w:t>scheme</w:t>
      </w:r>
      <w:bookmarkEnd w:id="59"/>
      <w:r w:rsidR="00B45602">
        <w:t>s</w:t>
      </w:r>
      <w:bookmarkEnd w:id="60"/>
      <w:r>
        <w:t xml:space="preserve"> </w:t>
      </w:r>
    </w:p>
    <w:p w14:paraId="66548CAB" w14:textId="76545116" w:rsidR="00E520EE" w:rsidRPr="000543B6" w:rsidRDefault="00E520EE" w:rsidP="000543B6">
      <w:r w:rsidRPr="00E520EE">
        <w:t xml:space="preserve">This section outlines </w:t>
      </w:r>
      <w:r w:rsidR="006F4E34">
        <w:t>the</w:t>
      </w:r>
      <w:r w:rsidRPr="00E520EE">
        <w:t xml:space="preserve"> </w:t>
      </w:r>
      <w:r w:rsidR="00D849EB">
        <w:t xml:space="preserve">external </w:t>
      </w:r>
      <w:r w:rsidRPr="00E520EE">
        <w:t>breast prosthes</w:t>
      </w:r>
      <w:r w:rsidR="00D849EB">
        <w:t>e</w:t>
      </w:r>
      <w:r w:rsidRPr="00E520EE">
        <w:t>s services</w:t>
      </w:r>
      <w:r w:rsidR="00097BA2">
        <w:t>, programs</w:t>
      </w:r>
      <w:r w:rsidR="00C12DAF">
        <w:t xml:space="preserve">, and schemes </w:t>
      </w:r>
      <w:r w:rsidRPr="00E520EE">
        <w:t xml:space="preserve">available </w:t>
      </w:r>
      <w:r w:rsidR="006F4E34">
        <w:t xml:space="preserve">nationally </w:t>
      </w:r>
      <w:r w:rsidRPr="00E520EE">
        <w:t xml:space="preserve">to people </w:t>
      </w:r>
      <w:r w:rsidR="000B1060">
        <w:t>across</w:t>
      </w:r>
      <w:r w:rsidRPr="00E520EE">
        <w:t xml:space="preserve"> Australia. These include</w:t>
      </w:r>
      <w:r w:rsidR="007E29F5">
        <w:t>:</w:t>
      </w:r>
    </w:p>
    <w:p w14:paraId="4A401CAE" w14:textId="5026C7D1" w:rsidR="007E29F5" w:rsidRPr="00D849EB" w:rsidRDefault="006F4E34" w:rsidP="00774B85">
      <w:pPr>
        <w:pStyle w:val="Bullet1stlevel"/>
      </w:pPr>
      <w:r w:rsidRPr="00D849EB">
        <w:t xml:space="preserve">External Breast Prostheses Reimbursement Program </w:t>
      </w:r>
    </w:p>
    <w:p w14:paraId="7589C53C" w14:textId="37FEA5C4" w:rsidR="006F4E34" w:rsidRPr="00D849EB" w:rsidRDefault="006F4E34" w:rsidP="00774B85">
      <w:pPr>
        <w:pStyle w:val="Bullet1stlevel"/>
      </w:pPr>
      <w:r w:rsidRPr="00D849EB">
        <w:rPr>
          <w:bCs/>
        </w:rPr>
        <w:t xml:space="preserve">My Care Kit </w:t>
      </w:r>
    </w:p>
    <w:p w14:paraId="03D26CA8" w14:textId="5B059DEB" w:rsidR="006F4E34" w:rsidRPr="00D849EB" w:rsidRDefault="00143409" w:rsidP="00774B85">
      <w:pPr>
        <w:pStyle w:val="Bullet1stlevel"/>
      </w:pPr>
      <w:r w:rsidRPr="00D849EB">
        <w:t>Knitted Knockers Australia</w:t>
      </w:r>
    </w:p>
    <w:p w14:paraId="10F051DE" w14:textId="77777777" w:rsidR="00143409" w:rsidRPr="00D849EB" w:rsidRDefault="00143409" w:rsidP="00774B85">
      <w:pPr>
        <w:pStyle w:val="Bullet1stlevel"/>
      </w:pPr>
      <w:r w:rsidRPr="00D849EB">
        <w:t>Department of Veterans Affairs</w:t>
      </w:r>
    </w:p>
    <w:p w14:paraId="60F0CCDE" w14:textId="21043B43" w:rsidR="00143409" w:rsidRPr="00D849EB" w:rsidRDefault="00143409" w:rsidP="00774B85">
      <w:pPr>
        <w:pStyle w:val="Bullet1stlevel"/>
      </w:pPr>
      <w:r w:rsidRPr="00D849EB">
        <w:t xml:space="preserve">Private health insurance. </w:t>
      </w:r>
    </w:p>
    <w:p w14:paraId="40675B38" w14:textId="38E12139" w:rsidR="006F4E34" w:rsidRPr="001329A5" w:rsidRDefault="006F4E34" w:rsidP="00FD54A5">
      <w:pPr>
        <w:pStyle w:val="Heading4"/>
      </w:pPr>
      <w:r w:rsidRPr="001329A5">
        <w:t>External Breast Prostheses Reimbursement Program</w:t>
      </w:r>
    </w:p>
    <w:p w14:paraId="4976BAC1" w14:textId="2A5E41E7" w:rsidR="001A2E9E" w:rsidRDefault="006F4E34" w:rsidP="000543B6">
      <w:r>
        <w:t xml:space="preserve">The External Breast Prostheses Reimbursement Program </w:t>
      </w:r>
      <w:r w:rsidR="005F311C">
        <w:t>(EBPRP)</w:t>
      </w:r>
      <w:r>
        <w:t xml:space="preserve"> was established in 2008 </w:t>
      </w:r>
      <w:r w:rsidR="00D849EB">
        <w:t>by the Australian Government</w:t>
      </w:r>
      <w:r>
        <w:t xml:space="preserve"> to provide financial support for women who have undergone breast surgery due to breast cancer</w:t>
      </w:r>
      <w:r w:rsidR="00D849EB">
        <w:t xml:space="preserve"> to access external prostheses</w:t>
      </w:r>
      <w:r>
        <w:t xml:space="preserve">. The </w:t>
      </w:r>
      <w:r w:rsidRPr="00044188">
        <w:t>program</w:t>
      </w:r>
      <w:r>
        <w:t xml:space="preserve"> </w:t>
      </w:r>
      <w:r w:rsidR="000E738E">
        <w:t>operates as</w:t>
      </w:r>
      <w:r>
        <w:t xml:space="preserve"> a reimbursement model</w:t>
      </w:r>
      <w:r w:rsidRPr="00044188">
        <w:t xml:space="preserve">, </w:t>
      </w:r>
      <w:r>
        <w:t xml:space="preserve">where </w:t>
      </w:r>
      <w:r w:rsidR="0068763D">
        <w:t xml:space="preserve">individuals purchase an external breast prosthesis from their preferred retailer and then submit a claim through Medicare to receive </w:t>
      </w:r>
      <w:r w:rsidR="00FF4AEA">
        <w:t>reimbursement</w:t>
      </w:r>
      <w:r w:rsidRPr="00044188">
        <w:t>.</w:t>
      </w:r>
      <w:r>
        <w:t xml:space="preserve"> </w:t>
      </w:r>
      <w:r w:rsidR="007B7939">
        <w:rPr>
          <w:rFonts w:ascii="ZWAdobeF" w:hAnsi="ZWAdobeF" w:cs="ZWAdobeF"/>
          <w:color w:val="auto"/>
          <w:sz w:val="2"/>
          <w:szCs w:val="2"/>
        </w:rPr>
        <w:t>12F</w:t>
      </w:r>
      <w:r w:rsidR="005F311C">
        <w:rPr>
          <w:rStyle w:val="FootnoteReference"/>
        </w:rPr>
        <w:footnoteReference w:id="47"/>
      </w:r>
    </w:p>
    <w:p w14:paraId="19DD2A8D" w14:textId="1BB7B2E7" w:rsidR="00B7548D" w:rsidRPr="000543B6" w:rsidRDefault="00DC7881" w:rsidP="000543B6">
      <w:r>
        <w:rPr>
          <w:bCs/>
        </w:rPr>
        <w:fldChar w:fldCharType="begin"/>
      </w:r>
      <w:r>
        <w:rPr>
          <w:bCs/>
        </w:rPr>
        <w:instrText xml:space="preserve"> REF _Ref203125216 \w \h </w:instrText>
      </w:r>
      <w:r>
        <w:rPr>
          <w:bCs/>
        </w:rPr>
      </w:r>
      <w:r>
        <w:rPr>
          <w:bCs/>
        </w:rPr>
        <w:fldChar w:fldCharType="separate"/>
      </w:r>
      <w:r w:rsidR="00D955D8">
        <w:rPr>
          <w:bCs/>
        </w:rPr>
        <w:t>Appendix D</w:t>
      </w:r>
      <w:r>
        <w:rPr>
          <w:bCs/>
        </w:rPr>
        <w:fldChar w:fldCharType="end"/>
      </w:r>
      <w:r w:rsidR="001A2E9E" w:rsidRPr="001A2E9E">
        <w:rPr>
          <w:bCs/>
        </w:rPr>
        <w:t xml:space="preserve"> provides</w:t>
      </w:r>
      <w:r w:rsidR="001A2E9E">
        <w:t xml:space="preserve"> further details regarding</w:t>
      </w:r>
      <w:r w:rsidR="00FF4AEA">
        <w:t xml:space="preserve"> </w:t>
      </w:r>
      <w:r w:rsidR="006F4E34" w:rsidRPr="00044188">
        <w:t xml:space="preserve">the </w:t>
      </w:r>
      <w:r w:rsidR="001A2E9E">
        <w:t>EBPRP, including eligibility criteria.</w:t>
      </w:r>
      <w:r w:rsidR="006F4E34">
        <w:t xml:space="preserve"> </w:t>
      </w:r>
      <w:r w:rsidR="00FF4AEA" w:rsidRPr="002A1F33">
        <w:t>The EBPRP covers all types and styles of external breast prostheses.</w:t>
      </w:r>
      <w:r w:rsidR="00C50BDB">
        <w:t xml:space="preserve"> </w:t>
      </w:r>
      <w:r w:rsidR="006F4E34" w:rsidRPr="002A1F33">
        <w:t xml:space="preserve">Reimbursement </w:t>
      </w:r>
      <w:r w:rsidR="00C50BDB">
        <w:t xml:space="preserve">can be claimed </w:t>
      </w:r>
      <w:r w:rsidR="00C50BDB" w:rsidRPr="00F35243">
        <w:t xml:space="preserve">once </w:t>
      </w:r>
      <w:r w:rsidR="00C50BDB">
        <w:t>every two years</w:t>
      </w:r>
      <w:r w:rsidR="00C50BDB" w:rsidRPr="002A1F33">
        <w:t xml:space="preserve"> </w:t>
      </w:r>
      <w:r w:rsidR="00C50BDB">
        <w:t xml:space="preserve">and </w:t>
      </w:r>
      <w:r w:rsidR="006F4E34" w:rsidRPr="002A1F33">
        <w:t xml:space="preserve">is </w:t>
      </w:r>
      <w:r w:rsidR="00C50BDB">
        <w:t>capped</w:t>
      </w:r>
      <w:r w:rsidR="006F4E34" w:rsidRPr="002A1F33">
        <w:t xml:space="preserve"> </w:t>
      </w:r>
      <w:r w:rsidR="00702352">
        <w:t>at</w:t>
      </w:r>
      <w:r w:rsidR="006F4E34" w:rsidRPr="002A1F33">
        <w:t xml:space="preserve"> $400 for a unilateral mastectomy and $800 for a bilateral mastectomy.</w:t>
      </w:r>
      <w:r w:rsidR="006F4E34">
        <w:t xml:space="preserve"> The program is funded by the </w:t>
      </w:r>
      <w:r w:rsidR="00617C3D">
        <w:t>Australian Government</w:t>
      </w:r>
      <w:r w:rsidR="006F4E34">
        <w:t xml:space="preserve"> and is </w:t>
      </w:r>
      <w:r w:rsidR="00617C3D">
        <w:t>administered</w:t>
      </w:r>
      <w:r w:rsidR="006F4E34">
        <w:t xml:space="preserve"> </w:t>
      </w:r>
      <w:r w:rsidR="00702352">
        <w:t>through</w:t>
      </w:r>
      <w:r w:rsidR="006F4E34">
        <w:t xml:space="preserve"> Services Australia.</w:t>
      </w:r>
    </w:p>
    <w:p w14:paraId="47897EAE" w14:textId="5AFFF283" w:rsidR="00FC66E4" w:rsidRPr="000543B6" w:rsidRDefault="000E738E" w:rsidP="000543B6">
      <w:r w:rsidRPr="002A1F33">
        <w:t xml:space="preserve">For those with </w:t>
      </w:r>
      <w:r w:rsidR="00B7548D">
        <w:t xml:space="preserve">coverage for external breast prostheses under their </w:t>
      </w:r>
      <w:r w:rsidRPr="002A1F33">
        <w:t xml:space="preserve">private health insurance, Services Australia </w:t>
      </w:r>
      <w:r w:rsidR="00B7548D">
        <w:t>will</w:t>
      </w:r>
      <w:r w:rsidRPr="002A1F33">
        <w:t xml:space="preserve"> reimburse any remaining out-of-pocket costs not covered by </w:t>
      </w:r>
      <w:r>
        <w:t>private health</w:t>
      </w:r>
      <w:r w:rsidRPr="002A1F33">
        <w:t xml:space="preserve"> insur</w:t>
      </w:r>
      <w:r>
        <w:t>ance</w:t>
      </w:r>
      <w:r w:rsidRPr="002A1F33">
        <w:t xml:space="preserve"> up to the </w:t>
      </w:r>
      <w:r w:rsidR="00BB72E5">
        <w:t>reimbursement cap</w:t>
      </w:r>
      <w:r w:rsidRPr="002A1F33">
        <w:t>.</w:t>
      </w:r>
      <w:r>
        <w:t xml:space="preserve"> Further details regarding coverage through private health insurance for external breast prostheses is provided on Page </w:t>
      </w:r>
      <w:r>
        <w:fldChar w:fldCharType="begin"/>
      </w:r>
      <w:r>
        <w:instrText xml:space="preserve"> PAGEREF _Ref200459271 \h </w:instrText>
      </w:r>
      <w:r>
        <w:fldChar w:fldCharType="separate"/>
      </w:r>
      <w:r w:rsidR="00D955D8">
        <w:rPr>
          <w:noProof/>
        </w:rPr>
        <w:t>33</w:t>
      </w:r>
      <w:r>
        <w:fldChar w:fldCharType="end"/>
      </w:r>
      <w:r>
        <w:t xml:space="preserve">. </w:t>
      </w:r>
      <w:r w:rsidR="00FC66E4">
        <w:br w:type="page"/>
      </w:r>
    </w:p>
    <w:p w14:paraId="26B2DD9D" w14:textId="693F96CF" w:rsidR="00841DAC" w:rsidRDefault="00895247" w:rsidP="000543B6">
      <w:r>
        <w:t xml:space="preserve">In February 2024, an </w:t>
      </w:r>
      <w:r w:rsidR="00F2633D">
        <w:t xml:space="preserve">independent </w:t>
      </w:r>
      <w:r>
        <w:t xml:space="preserve">evaluation of the EBPRP was </w:t>
      </w:r>
      <w:r w:rsidR="00F2633D">
        <w:t>undertaken</w:t>
      </w:r>
      <w:r>
        <w:t xml:space="preserve"> to assess the program’s effectiveness </w:t>
      </w:r>
      <w:r w:rsidR="006F4E34">
        <w:t xml:space="preserve">and </w:t>
      </w:r>
      <w:r>
        <w:t xml:space="preserve">accessibility, particularly for priority populations. </w:t>
      </w:r>
      <w:r w:rsidR="002F4E9E">
        <w:t>It was identified through this</w:t>
      </w:r>
      <w:r>
        <w:t xml:space="preserve"> evaluation </w:t>
      </w:r>
      <w:r w:rsidRPr="00641CF1">
        <w:t xml:space="preserve">that the </w:t>
      </w:r>
      <w:r>
        <w:t>reimbursement model</w:t>
      </w:r>
      <w:r w:rsidR="00253629">
        <w:t>,</w:t>
      </w:r>
      <w:r>
        <w:t xml:space="preserve"> which </w:t>
      </w:r>
      <w:r w:rsidRPr="00641CF1">
        <w:t>require</w:t>
      </w:r>
      <w:r>
        <w:t>s</w:t>
      </w:r>
      <w:r w:rsidRPr="00641CF1">
        <w:t xml:space="preserve"> </w:t>
      </w:r>
      <w:r w:rsidR="00FA0FC3">
        <w:t>program participants to make an</w:t>
      </w:r>
      <w:r w:rsidRPr="00641CF1">
        <w:t xml:space="preserve"> upfront payment</w:t>
      </w:r>
      <w:r w:rsidR="00253629">
        <w:t>,</w:t>
      </w:r>
      <w:r w:rsidRPr="00641CF1">
        <w:t xml:space="preserve"> </w:t>
      </w:r>
      <w:r w:rsidR="002F4E9E">
        <w:t>presents</w:t>
      </w:r>
      <w:r w:rsidRPr="00641CF1">
        <w:t xml:space="preserve"> a </w:t>
      </w:r>
      <w:r w:rsidR="00117FA5">
        <w:t xml:space="preserve">significant </w:t>
      </w:r>
      <w:r w:rsidRPr="00641CF1">
        <w:t>barrier to access</w:t>
      </w:r>
      <w:r w:rsidR="00837687">
        <w:t xml:space="preserve"> for many people</w:t>
      </w:r>
      <w:r w:rsidRPr="00641CF1">
        <w:t>.</w:t>
      </w:r>
      <w:r w:rsidR="007B7939">
        <w:rPr>
          <w:rFonts w:ascii="ZWAdobeF" w:hAnsi="ZWAdobeF" w:cs="ZWAdobeF"/>
          <w:color w:val="auto"/>
          <w:sz w:val="2"/>
          <w:szCs w:val="2"/>
        </w:rPr>
        <w:t>14F</w:t>
      </w:r>
      <w:r>
        <w:rPr>
          <w:rStyle w:val="FootnoteReference"/>
        </w:rPr>
        <w:footnoteReference w:id="48"/>
      </w:r>
      <w:r w:rsidR="005578F9">
        <w:t xml:space="preserve"> </w:t>
      </w:r>
      <w:r w:rsidR="00841DAC" w:rsidRPr="00AE0930">
        <w:t xml:space="preserve">While </w:t>
      </w:r>
      <w:r w:rsidR="00606627">
        <w:t>some people, such as those</w:t>
      </w:r>
      <w:r w:rsidR="00841DAC" w:rsidRPr="00AE0930">
        <w:t xml:space="preserve"> receiving Centrelink payments</w:t>
      </w:r>
      <w:r w:rsidR="00606627">
        <w:t>,</w:t>
      </w:r>
      <w:r w:rsidR="00841DAC" w:rsidRPr="00AE0930">
        <w:t xml:space="preserve"> may be eligible for an advance payment to help offset the </w:t>
      </w:r>
      <w:r w:rsidR="00841DAC">
        <w:t xml:space="preserve">upfront out-of-pocket </w:t>
      </w:r>
      <w:r w:rsidR="00841DAC" w:rsidRPr="00AE0930">
        <w:t xml:space="preserve">cost, this support </w:t>
      </w:r>
      <w:r w:rsidR="00841DAC">
        <w:t>is reportedly</w:t>
      </w:r>
      <w:r w:rsidR="00841DAC" w:rsidRPr="00AE0930">
        <w:t xml:space="preserve"> not </w:t>
      </w:r>
      <w:r w:rsidR="00841DAC">
        <w:t>widely promoted</w:t>
      </w:r>
      <w:r w:rsidR="00A74DF9">
        <w:t xml:space="preserve"> or </w:t>
      </w:r>
      <w:r w:rsidR="00AE486A">
        <w:t>accessed</w:t>
      </w:r>
      <w:r w:rsidR="00841DAC">
        <w:t>.</w:t>
      </w:r>
      <w:r w:rsidR="007B7939">
        <w:rPr>
          <w:rFonts w:ascii="ZWAdobeF" w:hAnsi="ZWAdobeF" w:cs="ZWAdobeF"/>
          <w:color w:val="auto"/>
          <w:sz w:val="2"/>
          <w:szCs w:val="2"/>
        </w:rPr>
        <w:t>15F</w:t>
      </w:r>
      <w:r w:rsidR="00841DAC">
        <w:rPr>
          <w:rStyle w:val="FootnoteReference"/>
        </w:rPr>
        <w:footnoteReference w:id="49"/>
      </w:r>
    </w:p>
    <w:p w14:paraId="76D6494A" w14:textId="3EE50296" w:rsidR="005022F8" w:rsidRPr="000543B6" w:rsidRDefault="00C9021F" w:rsidP="000543B6">
      <w:r>
        <w:t>Stakeholders</w:t>
      </w:r>
      <w:r w:rsidR="005578F9">
        <w:t xml:space="preserve"> consulted as part of this review</w:t>
      </w:r>
      <w:r>
        <w:t xml:space="preserve"> </w:t>
      </w:r>
      <w:r w:rsidR="00253629">
        <w:t>also</w:t>
      </w:r>
      <w:r w:rsidR="005578F9">
        <w:t xml:space="preserve"> </w:t>
      </w:r>
      <w:r w:rsidR="005578F9" w:rsidRPr="00930CC0">
        <w:t xml:space="preserve">highlighted </w:t>
      </w:r>
      <w:r w:rsidR="00253629">
        <w:t>th</w:t>
      </w:r>
      <w:r w:rsidR="00CB5403">
        <w:t xml:space="preserve">at </w:t>
      </w:r>
      <w:r w:rsidR="00253629">
        <w:t xml:space="preserve">the reimbursement model </w:t>
      </w:r>
      <w:r w:rsidR="00837687">
        <w:t xml:space="preserve">creates </w:t>
      </w:r>
      <w:r w:rsidR="00AE5846">
        <w:t>a</w:t>
      </w:r>
      <w:r w:rsidR="00253629">
        <w:t xml:space="preserve"> </w:t>
      </w:r>
      <w:r w:rsidR="00CB5403">
        <w:t>barrier to access</w:t>
      </w:r>
      <w:r w:rsidR="00253629">
        <w:t xml:space="preserve">, </w:t>
      </w:r>
      <w:r w:rsidR="005022F8">
        <w:t>as well as</w:t>
      </w:r>
      <w:r w:rsidR="005022F8" w:rsidRPr="006B24EB">
        <w:t xml:space="preserve"> low awareness of the program</w:t>
      </w:r>
      <w:r w:rsidR="005022F8">
        <w:t xml:space="preserve"> and access to in-person fittings. Barriers to access are further detailed in </w:t>
      </w:r>
      <w:r w:rsidR="005022F8" w:rsidRPr="0030799D">
        <w:t xml:space="preserve">Section </w:t>
      </w:r>
      <w:r w:rsidR="005022F8" w:rsidRPr="0030799D">
        <w:fldChar w:fldCharType="begin"/>
      </w:r>
      <w:r w:rsidR="005022F8" w:rsidRPr="0030799D">
        <w:instrText xml:space="preserve"> REF _Ref201910748 \r \h </w:instrText>
      </w:r>
      <w:r w:rsidR="00190C25" w:rsidRPr="0030799D">
        <w:instrText xml:space="preserve"> \* MERGEFORMAT </w:instrText>
      </w:r>
      <w:r w:rsidR="005022F8" w:rsidRPr="0030799D">
        <w:fldChar w:fldCharType="separate"/>
      </w:r>
      <w:r w:rsidR="005022F8" w:rsidRPr="0030799D">
        <w:fldChar w:fldCharType="end"/>
      </w:r>
      <w:r w:rsidR="005022F8">
        <w:t xml:space="preserve"> of this report.</w:t>
      </w:r>
    </w:p>
    <w:p w14:paraId="47455BBA" w14:textId="72A10377" w:rsidR="003313DD" w:rsidRPr="000543B6" w:rsidRDefault="00867FE7" w:rsidP="000543B6">
      <w:r>
        <w:fldChar w:fldCharType="begin" w:fldLock="1"/>
      </w:r>
      <w:r>
        <w:instrText xml:space="preserve"> REF _Ref201925220 \h </w:instrText>
      </w:r>
      <w:r w:rsidR="005022F8">
        <w:instrText xml:space="preserve"> \* MERGEFORMAT </w:instrText>
      </w:r>
      <w:r>
        <w:fldChar w:fldCharType="separate"/>
      </w:r>
      <w:r>
        <w:t xml:space="preserve">Figure </w:t>
      </w:r>
      <w:r>
        <w:rPr>
          <w:noProof/>
        </w:rPr>
        <w:t>9</w:t>
      </w:r>
      <w:r>
        <w:fldChar w:fldCharType="end"/>
      </w:r>
      <w:r w:rsidR="001A136B">
        <w:t xml:space="preserve"> shows the locations of external breast prosthesis retailers across Australia. </w:t>
      </w:r>
      <w:r w:rsidR="004E0ED5">
        <w:t xml:space="preserve">The information presented is based on services listed on the </w:t>
      </w:r>
      <w:r w:rsidR="001D7024">
        <w:t>Breast Cancer Network Australia (</w:t>
      </w:r>
      <w:r w:rsidR="004E0ED5">
        <w:t>BCNA</w:t>
      </w:r>
      <w:r w:rsidR="001D7024">
        <w:t>)</w:t>
      </w:r>
      <w:r w:rsidR="004E0ED5">
        <w:t xml:space="preserve"> service register.</w:t>
      </w:r>
      <w:r w:rsidR="007B7939">
        <w:rPr>
          <w:rFonts w:ascii="ZWAdobeF" w:hAnsi="ZWAdobeF" w:cs="ZWAdobeF"/>
          <w:color w:val="auto"/>
          <w:sz w:val="2"/>
          <w:szCs w:val="2"/>
        </w:rPr>
        <w:t>16F</w:t>
      </w:r>
      <w:r w:rsidR="004E0ED5">
        <w:rPr>
          <w:rStyle w:val="FootnoteReference"/>
        </w:rPr>
        <w:footnoteReference w:id="50"/>
      </w:r>
      <w:r w:rsidR="005022F8">
        <w:rPr>
          <w:rFonts w:ascii="ZWAdobeF" w:hAnsi="ZWAdobeF" w:cs="ZWAdobeF"/>
          <w:color w:val="auto"/>
          <w:sz w:val="2"/>
          <w:szCs w:val="2"/>
        </w:rPr>
        <w:t xml:space="preserve">  </w:t>
      </w:r>
      <w:r w:rsidR="003313DD">
        <w:rPr>
          <w:szCs w:val="20"/>
        </w:rPr>
        <w:t>In-person external breast prosthesis retailers are available across Australia</w:t>
      </w:r>
      <w:r w:rsidR="00403BDF">
        <w:rPr>
          <w:szCs w:val="20"/>
        </w:rPr>
        <w:t>; however,</w:t>
      </w:r>
      <w:r w:rsidR="003313DD">
        <w:rPr>
          <w:szCs w:val="20"/>
        </w:rPr>
        <w:t xml:space="preserve"> access varies significantly </w:t>
      </w:r>
      <w:r w:rsidR="00DA4021">
        <w:rPr>
          <w:szCs w:val="20"/>
        </w:rPr>
        <w:t>both between</w:t>
      </w:r>
      <w:r w:rsidR="003313DD">
        <w:rPr>
          <w:szCs w:val="20"/>
        </w:rPr>
        <w:t xml:space="preserve"> and </w:t>
      </w:r>
      <w:r w:rsidR="00DA4021">
        <w:rPr>
          <w:szCs w:val="20"/>
        </w:rPr>
        <w:t>within states</w:t>
      </w:r>
      <w:r w:rsidR="00AF08E3">
        <w:rPr>
          <w:szCs w:val="20"/>
        </w:rPr>
        <w:t xml:space="preserve"> and </w:t>
      </w:r>
      <w:r w:rsidR="00DA4021">
        <w:rPr>
          <w:szCs w:val="20"/>
        </w:rPr>
        <w:t>territories</w:t>
      </w:r>
      <w:r w:rsidR="00FD7C4B" w:rsidRPr="00FD7C4B">
        <w:rPr>
          <w:szCs w:val="20"/>
        </w:rPr>
        <w:t>.</w:t>
      </w:r>
    </w:p>
    <w:p w14:paraId="413D9AD5" w14:textId="09899812" w:rsidR="00FC66E4" w:rsidRPr="00E3036E" w:rsidRDefault="00FC66E4" w:rsidP="00FC66E4">
      <w:pPr>
        <w:pStyle w:val="Caption"/>
        <w:rPr>
          <w:noProof/>
          <w:color w:val="000000" w:themeColor="text1"/>
          <w:sz w:val="20"/>
          <w:szCs w:val="22"/>
        </w:rPr>
      </w:pPr>
      <w:bookmarkStart w:id="61" w:name="_Ref201925220"/>
      <w:bookmarkStart w:id="62" w:name="_Toc207348716"/>
      <w:r>
        <w:t xml:space="preserve">Figure </w:t>
      </w:r>
      <w:r w:rsidR="00FC1C2B">
        <w:fldChar w:fldCharType="begin"/>
      </w:r>
      <w:r w:rsidR="00FC1C2B">
        <w:instrText xml:space="preserve"> SEQ Figure \* ARABIC </w:instrText>
      </w:r>
      <w:r w:rsidR="00FC1C2B">
        <w:fldChar w:fldCharType="separate"/>
      </w:r>
      <w:r w:rsidR="00FC1C2B">
        <w:rPr>
          <w:noProof/>
        </w:rPr>
        <w:t>9</w:t>
      </w:r>
      <w:r w:rsidR="00FC1C2B">
        <w:rPr>
          <w:noProof/>
        </w:rPr>
        <w:fldChar w:fldCharType="end"/>
      </w:r>
      <w:bookmarkEnd w:id="61"/>
      <w:r>
        <w:t>: Locations of external breast prostheses retailers across Australia</w:t>
      </w:r>
      <w:bookmarkEnd w:id="62"/>
    </w:p>
    <w:p w14:paraId="692C1454" w14:textId="6E29EB7C" w:rsidR="00FC66E4" w:rsidRDefault="00B307C3" w:rsidP="005022F8">
      <w:pPr>
        <w:spacing w:after="120"/>
        <w:jc w:val="both"/>
        <w:rPr>
          <w:b/>
          <w:i/>
          <w:szCs w:val="20"/>
        </w:rPr>
      </w:pPr>
      <w:r>
        <w:rPr>
          <w:b/>
          <w:i/>
          <w:noProof/>
          <w:szCs w:val="20"/>
        </w:rPr>
        <w:drawing>
          <wp:inline distT="0" distB="0" distL="0" distR="0" wp14:anchorId="6E4BB9A7" wp14:editId="4ACE56CD">
            <wp:extent cx="3110380" cy="2937141"/>
            <wp:effectExtent l="0" t="0" r="0" b="0"/>
            <wp:docPr id="496353449" name="Picture 2" descr="Map of Australia showing locations of external breast prostheses retailer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353449" name="Picture 2" descr="Map of Australia showing locations of external breast prostheses retailers">
                      <a:extLst>
                        <a:ext uri="{C183D7F6-B498-43B3-948B-1728B52AA6E4}">
                          <adec:decorative xmlns:adec="http://schemas.microsoft.com/office/drawing/2017/decorative" val="0"/>
                        </a:ext>
                      </a:extLst>
                    </pic:cNvPr>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10380" cy="2937141"/>
                    </a:xfrm>
                    <a:prstGeom prst="rect">
                      <a:avLst/>
                    </a:prstGeom>
                    <a:noFill/>
                  </pic:spPr>
                </pic:pic>
              </a:graphicData>
            </a:graphic>
          </wp:inline>
        </w:drawing>
      </w:r>
    </w:p>
    <w:p w14:paraId="05188B10" w14:textId="42C81482" w:rsidR="00FC66E4" w:rsidRPr="00F6799D" w:rsidRDefault="00FC66E4" w:rsidP="00774B85">
      <w:pPr>
        <w:pStyle w:val="Caption-Source"/>
        <w:rPr>
          <w:b/>
          <w:color w:val="000000" w:themeColor="text1"/>
        </w:rPr>
      </w:pPr>
      <w:r w:rsidRPr="00F6799D">
        <w:t xml:space="preserve">Source: </w:t>
      </w:r>
      <w:r w:rsidR="00120620" w:rsidRPr="00120620">
        <w:t>Independent reviewer</w:t>
      </w:r>
      <w:r w:rsidR="00120620">
        <w:t>,</w:t>
      </w:r>
      <w:r w:rsidRPr="00F6799D">
        <w:t xml:space="preserve"> using information from BCNA, 2025</w:t>
      </w:r>
    </w:p>
    <w:p w14:paraId="16ED83D9" w14:textId="5E2B39B8" w:rsidR="00827E27" w:rsidRPr="000543B6" w:rsidRDefault="00132E0A" w:rsidP="000543B6">
      <w:r>
        <w:rPr>
          <w:bCs/>
        </w:rPr>
        <w:fldChar w:fldCharType="begin"/>
      </w:r>
      <w:r>
        <w:rPr>
          <w:bCs/>
        </w:rPr>
        <w:instrText xml:space="preserve"> REF _Ref203125216 \w \h </w:instrText>
      </w:r>
      <w:r w:rsidR="005022F8">
        <w:rPr>
          <w:bCs/>
        </w:rPr>
        <w:instrText xml:space="preserve"> \* MERGEFORMAT </w:instrText>
      </w:r>
      <w:r>
        <w:rPr>
          <w:bCs/>
        </w:rPr>
      </w:r>
      <w:r>
        <w:rPr>
          <w:bCs/>
        </w:rPr>
        <w:fldChar w:fldCharType="separate"/>
      </w:r>
      <w:r w:rsidR="00D955D8">
        <w:rPr>
          <w:bCs/>
        </w:rPr>
        <w:t>Appendix D</w:t>
      </w:r>
      <w:r>
        <w:rPr>
          <w:bCs/>
        </w:rPr>
        <w:fldChar w:fldCharType="end"/>
      </w:r>
      <w:r w:rsidR="00827E27">
        <w:t xml:space="preserve"> outlines the locations of retailers by jurisdiction. The Modified Monash Model (MMM) Classification </w:t>
      </w:r>
      <w:r w:rsidR="00DA4021">
        <w:t>is also provided for each location, indicating the availability of retailers across metropolitan areas (MM1), major regional centres (MM2)</w:t>
      </w:r>
      <w:r w:rsidR="00B27471">
        <w:t xml:space="preserve">, large rural towns </w:t>
      </w:r>
      <w:r w:rsidR="003766C3">
        <w:t>and medium rural towns</w:t>
      </w:r>
      <w:r w:rsidR="00B27471">
        <w:t xml:space="preserve"> (MM3</w:t>
      </w:r>
      <w:r w:rsidR="003766C3">
        <w:t xml:space="preserve"> to MM4</w:t>
      </w:r>
      <w:r w:rsidR="00DA4021">
        <w:t xml:space="preserve">) and </w:t>
      </w:r>
      <w:r w:rsidR="00B27471">
        <w:t xml:space="preserve">small </w:t>
      </w:r>
      <w:r w:rsidR="00DA4021">
        <w:t>rural and remote areas (</w:t>
      </w:r>
      <w:r w:rsidR="00B27471">
        <w:t>MM</w:t>
      </w:r>
      <w:r w:rsidR="003766C3">
        <w:t>5</w:t>
      </w:r>
      <w:r w:rsidR="00DA4021">
        <w:t xml:space="preserve"> to 7).</w:t>
      </w:r>
    </w:p>
    <w:p w14:paraId="71F5FB9F" w14:textId="276180D3" w:rsidR="00DA4021" w:rsidRPr="008B474C" w:rsidRDefault="00DA4021" w:rsidP="008B474C">
      <w:r w:rsidRPr="008B474C">
        <w:t>All capital cities, including Brisbane, Melbourne, Sydney, Adelaide, Perth, Hobart, Darwin and Canberra, have at least one in-person retailer offering in-person fittings for external breast prostheses. Retailers are also located in some regional centres in New South Wales</w:t>
      </w:r>
      <w:r w:rsidR="00096F03" w:rsidRPr="008B474C">
        <w:t>,</w:t>
      </w:r>
      <w:r w:rsidRPr="008B474C">
        <w:t xml:space="preserve"> Queensland</w:t>
      </w:r>
      <w:r w:rsidR="00096F03" w:rsidRPr="008B474C">
        <w:t>,</w:t>
      </w:r>
      <w:r w:rsidRPr="008B474C">
        <w:t xml:space="preserve"> Victoria</w:t>
      </w:r>
      <w:r w:rsidR="001F66B2" w:rsidRPr="008B474C">
        <w:t xml:space="preserve"> </w:t>
      </w:r>
      <w:r w:rsidRPr="008B474C">
        <w:t>and Tasmania. People living in rural and remote areas across Australia</w:t>
      </w:r>
      <w:r w:rsidR="00403BDF" w:rsidRPr="008B474C">
        <w:t>, however,</w:t>
      </w:r>
      <w:r w:rsidRPr="008B474C">
        <w:t xml:space="preserve"> have limited access to in-person retailers and often rely on online services to </w:t>
      </w:r>
      <w:r w:rsidR="00104870" w:rsidRPr="008B474C">
        <w:t>order</w:t>
      </w:r>
      <w:r w:rsidRPr="008B474C">
        <w:t xml:space="preserve"> external breast prostheses and related products.</w:t>
      </w:r>
    </w:p>
    <w:p w14:paraId="7589C1FB" w14:textId="0F4BCE7B" w:rsidR="00161E14" w:rsidRPr="000543B6" w:rsidRDefault="004248E1" w:rsidP="000543B6">
      <w:r>
        <w:t xml:space="preserve">In </w:t>
      </w:r>
      <w:r w:rsidR="00104870">
        <w:t xml:space="preserve">some states, mobile fitting services </w:t>
      </w:r>
      <w:r w:rsidR="00B52D3D">
        <w:t>are available</w:t>
      </w:r>
      <w:r w:rsidR="00104870">
        <w:t>.</w:t>
      </w:r>
      <w:r w:rsidRPr="009F29CD">
        <w:t xml:space="preserve"> </w:t>
      </w:r>
      <w:r w:rsidR="00AA1FDF">
        <w:t xml:space="preserve">In </w:t>
      </w:r>
      <w:r w:rsidRPr="009F29CD">
        <w:t xml:space="preserve">Far North </w:t>
      </w:r>
      <w:r w:rsidR="001F66B2">
        <w:t>Q</w:t>
      </w:r>
      <w:r w:rsidR="00096F03">
        <w:t>ueensland</w:t>
      </w:r>
      <w:r w:rsidR="00AA1FDF">
        <w:t>,</w:t>
      </w:r>
      <w:r w:rsidR="00994062">
        <w:t xml:space="preserve"> </w:t>
      </w:r>
      <w:r w:rsidRPr="009F29CD">
        <w:t>Figgers Mobile Service</w:t>
      </w:r>
      <w:r w:rsidR="00994062">
        <w:t xml:space="preserve"> </w:t>
      </w:r>
      <w:r w:rsidRPr="009F29CD">
        <w:t xml:space="preserve">provides in-home fittings for mastectomy bras, prostheses, and swimwear in the Cairns area. Meanwhile, Tracey G Prosthetics and Lingerie </w:t>
      </w:r>
      <w:proofErr w:type="gramStart"/>
      <w:r w:rsidRPr="009F29CD">
        <w:t>offers</w:t>
      </w:r>
      <w:proofErr w:type="gramEnd"/>
      <w:r w:rsidRPr="009F29CD">
        <w:t xml:space="preserve"> a mobile fitting service covering Toowoomba and surrounding areas, allowing </w:t>
      </w:r>
      <w:r w:rsidR="00AA1FDF">
        <w:t>people</w:t>
      </w:r>
      <w:r w:rsidRPr="009F29CD">
        <w:t xml:space="preserve"> to be fitted in the comfort of their own homes.</w:t>
      </w:r>
      <w:r w:rsidRPr="00FE7493">
        <w:t xml:space="preserve"> </w:t>
      </w:r>
      <w:r>
        <w:t xml:space="preserve">Individuals in more remote and rural parts of </w:t>
      </w:r>
      <w:r w:rsidR="00096F03">
        <w:t>Queensland</w:t>
      </w:r>
      <w:r>
        <w:t xml:space="preserve"> do not have access to in-person external breast </w:t>
      </w:r>
      <w:r w:rsidR="00403BDF">
        <w:t>prosthesis retailers; however, they</w:t>
      </w:r>
      <w:r>
        <w:t xml:space="preserve"> </w:t>
      </w:r>
      <w:r w:rsidR="00104870">
        <w:t>are reliant</w:t>
      </w:r>
      <w:r>
        <w:t xml:space="preserve"> on online retailers.</w:t>
      </w:r>
    </w:p>
    <w:p w14:paraId="7C5B0F28" w14:textId="294112B7" w:rsidR="00161E14" w:rsidRDefault="00161E14" w:rsidP="000543B6">
      <w:r>
        <w:t>Similarly, in Western Australia, mobile fitting service</w:t>
      </w:r>
      <w:r w:rsidRPr="008C384C">
        <w:t xml:space="preserve"> </w:t>
      </w:r>
      <w:r w:rsidRPr="008C384C">
        <w:rPr>
          <w:bCs/>
        </w:rPr>
        <w:t>Papillon Lingerie</w:t>
      </w:r>
      <w:r>
        <w:t xml:space="preserve"> supports people in the southwest region</w:t>
      </w:r>
      <w:r w:rsidR="000062AC">
        <w:t>, operating out of Busselton. H</w:t>
      </w:r>
      <w:r w:rsidRPr="008C384C">
        <w:t>owever, coverage remains limited across the broader state, particularly in remote areas</w:t>
      </w:r>
      <w:r w:rsidR="00E24FE8">
        <w:t>.</w:t>
      </w:r>
      <w:r w:rsidR="00FC1FA3">
        <w:t xml:space="preserve"> In South Australia</w:t>
      </w:r>
      <w:r w:rsidR="00096F03">
        <w:t xml:space="preserve">, </w:t>
      </w:r>
      <w:r w:rsidR="00FC6216">
        <w:t>remote areas rely on mobile services</w:t>
      </w:r>
      <w:r w:rsidR="00403BDF">
        <w:t>, such as South Australia Mobile Breast Care, which provides occasional visits to Broken Hill, Port Pirie, and Murray Bridge; however,</w:t>
      </w:r>
      <w:r w:rsidR="00FC1FA3" w:rsidRPr="00A74889">
        <w:t xml:space="preserve"> service coverage and frequency are </w:t>
      </w:r>
      <w:r w:rsidR="00FC1FA3">
        <w:t>limited</w:t>
      </w:r>
      <w:r w:rsidR="00FC1FA3" w:rsidRPr="00A74889">
        <w:t xml:space="preserve">. </w:t>
      </w:r>
    </w:p>
    <w:p w14:paraId="70AB61E0" w14:textId="166875AE" w:rsidR="00E10056" w:rsidRPr="00774B85" w:rsidRDefault="007401D0" w:rsidP="000543B6">
      <w:r>
        <w:t>In Victoria, r</w:t>
      </w:r>
      <w:r w:rsidR="004248E1" w:rsidRPr="00897492">
        <w:t xml:space="preserve">etailers offering in-person fittings are available in Melbourne, Geelong, and regional centres such as Mornington, Warrnambool, Sale, Gippsland, and Bendigo. </w:t>
      </w:r>
      <w:r w:rsidR="00B7232D" w:rsidRPr="00B7232D">
        <w:t>Tasmania</w:t>
      </w:r>
      <w:r w:rsidR="00096F03">
        <w:t xml:space="preserve"> </w:t>
      </w:r>
      <w:r w:rsidR="00B7232D" w:rsidRPr="00B7232D">
        <w:t xml:space="preserve">has limited in-person services, with fittings available only in Launceston and Hobart. </w:t>
      </w:r>
      <w:r w:rsidR="00BA1EEF">
        <w:t xml:space="preserve">Similarly, in the </w:t>
      </w:r>
      <w:r w:rsidR="00A5401D">
        <w:t>Australian Capital Territory</w:t>
      </w:r>
      <w:r w:rsidR="00BA1EEF">
        <w:t xml:space="preserve">, the only in-person </w:t>
      </w:r>
      <w:r w:rsidR="00403BDF">
        <w:t>retailer of breast prostheses</w:t>
      </w:r>
      <w:r w:rsidR="00BA1EEF">
        <w:t xml:space="preserve"> </w:t>
      </w:r>
      <w:proofErr w:type="gramStart"/>
      <w:r w:rsidR="00BA1EEF">
        <w:t>is located in</w:t>
      </w:r>
      <w:proofErr w:type="gramEnd"/>
      <w:r w:rsidR="00BA1EEF">
        <w:t xml:space="preserve"> Canberra. </w:t>
      </w:r>
      <w:r w:rsidR="00B7232D" w:rsidRPr="00B7232D">
        <w:t xml:space="preserve">In the Northern Territory, access is particularly limited, with just one in-person retailer operating in Darwin and no other in-person </w:t>
      </w:r>
      <w:r w:rsidR="0019668C">
        <w:t xml:space="preserve">or mobile </w:t>
      </w:r>
      <w:r w:rsidR="00B7232D" w:rsidRPr="00B7232D">
        <w:t>services available in regional or remote areas.</w:t>
      </w:r>
    </w:p>
    <w:p w14:paraId="51269D19" w14:textId="23723D6E" w:rsidR="00AF1727" w:rsidRPr="001329A5" w:rsidRDefault="00AF1727" w:rsidP="00FD54A5">
      <w:pPr>
        <w:pStyle w:val="Heading4"/>
      </w:pPr>
      <w:r w:rsidRPr="001329A5">
        <w:t>My Care Kit</w:t>
      </w:r>
      <w:r w:rsidR="00065AF3">
        <w:t xml:space="preserve"> </w:t>
      </w:r>
    </w:p>
    <w:p w14:paraId="3C1FCE4C" w14:textId="5777DC1B" w:rsidR="001C6668" w:rsidRDefault="00AF1727" w:rsidP="000543B6">
      <w:r w:rsidRPr="00065AF3">
        <w:rPr>
          <w:i/>
          <w:iCs/>
        </w:rPr>
        <w:t>My Care Kit</w:t>
      </w:r>
      <w:r>
        <w:t xml:space="preserve"> </w:t>
      </w:r>
      <w:r w:rsidR="00E520EE">
        <w:t xml:space="preserve">is a national service provided by </w:t>
      </w:r>
      <w:r w:rsidR="00065AF3">
        <w:t>BCNA</w:t>
      </w:r>
      <w:r w:rsidR="00776F70">
        <w:t>,</w:t>
      </w:r>
      <w:r w:rsidR="00065AF3">
        <w:t xml:space="preserve"> </w:t>
      </w:r>
      <w:r w:rsidR="00B63CED" w:rsidRPr="00B63CED">
        <w:t xml:space="preserve">in partnership with </w:t>
      </w:r>
      <w:proofErr w:type="spellStart"/>
      <w:r w:rsidR="00B63CED" w:rsidRPr="00B63CED">
        <w:t>Berlei</w:t>
      </w:r>
      <w:proofErr w:type="spellEnd"/>
      <w:r w:rsidR="00B63CED" w:rsidRPr="00B63CED">
        <w:t xml:space="preserve">. </w:t>
      </w:r>
      <w:r w:rsidR="00EF755E">
        <w:t xml:space="preserve">The </w:t>
      </w:r>
      <w:r w:rsidR="001D5CBC">
        <w:t>kit includes an</w:t>
      </w:r>
      <w:r w:rsidR="006F745B">
        <w:t xml:space="preserve"> interim</w:t>
      </w:r>
      <w:r w:rsidR="00B63CED" w:rsidRPr="00B63CED">
        <w:t xml:space="preserve"> breast prosthes</w:t>
      </w:r>
      <w:r w:rsidR="002B7D08">
        <w:t>i</w:t>
      </w:r>
      <w:r w:rsidR="00B63CED" w:rsidRPr="00B63CED">
        <w:t xml:space="preserve">s and </w:t>
      </w:r>
      <w:r w:rsidR="002B7D08">
        <w:t xml:space="preserve">a </w:t>
      </w:r>
      <w:r w:rsidR="00B63CED" w:rsidRPr="00B63CED">
        <w:t xml:space="preserve">specially designed post-surgery bra </w:t>
      </w:r>
      <w:r w:rsidR="003E7408">
        <w:t>for</w:t>
      </w:r>
      <w:r w:rsidR="00B63CED" w:rsidRPr="00B63CED">
        <w:t xml:space="preserve"> women who have recently undergone breast cancer surgery.</w:t>
      </w:r>
      <w:r w:rsidR="003E7408">
        <w:t xml:space="preserve"> The </w:t>
      </w:r>
      <w:r w:rsidR="002C0519">
        <w:t>interim</w:t>
      </w:r>
      <w:r w:rsidR="003E7408">
        <w:t xml:space="preserve"> prosthesis</w:t>
      </w:r>
      <w:r w:rsidR="00D72B47">
        <w:t xml:space="preserve"> provided through </w:t>
      </w:r>
      <w:r w:rsidR="00D72B47" w:rsidRPr="00D72B47">
        <w:rPr>
          <w:i/>
          <w:iCs/>
        </w:rPr>
        <w:t xml:space="preserve">My Care Kit </w:t>
      </w:r>
      <w:r w:rsidR="001C6668">
        <w:t>is</w:t>
      </w:r>
      <w:r w:rsidR="00C14826">
        <w:t xml:space="preserve"> </w:t>
      </w:r>
      <w:r w:rsidR="00E87569">
        <w:t>light</w:t>
      </w:r>
      <w:r w:rsidR="001C6668">
        <w:t>weight</w:t>
      </w:r>
      <w:r w:rsidR="00D72B47">
        <w:t xml:space="preserve"> </w:t>
      </w:r>
      <w:r w:rsidR="005574DF">
        <w:t>and</w:t>
      </w:r>
      <w:r w:rsidR="00E87569">
        <w:t xml:space="preserve"> </w:t>
      </w:r>
      <w:r w:rsidR="001C6668">
        <w:t>can be used</w:t>
      </w:r>
      <w:r w:rsidR="003E7408">
        <w:t xml:space="preserve"> immediately after surgery</w:t>
      </w:r>
      <w:r w:rsidR="00877E08">
        <w:t xml:space="preserve"> </w:t>
      </w:r>
      <w:r w:rsidR="00393AEA">
        <w:t>or radiation treatment</w:t>
      </w:r>
      <w:r w:rsidR="00CD535F">
        <w:t xml:space="preserve">. </w:t>
      </w:r>
      <w:r w:rsidR="00691ECC">
        <w:t xml:space="preserve">This prosthesis is designed to be used for </w:t>
      </w:r>
      <w:r w:rsidR="003E7408">
        <w:t xml:space="preserve">up to 12 </w:t>
      </w:r>
      <w:r w:rsidR="005B5189">
        <w:t>weeks</w:t>
      </w:r>
      <w:r w:rsidR="001C6668">
        <w:t xml:space="preserve">, after which </w:t>
      </w:r>
      <w:r w:rsidR="00D13EA3">
        <w:t xml:space="preserve">a </w:t>
      </w:r>
      <w:r w:rsidR="00691ECC">
        <w:t>definitive</w:t>
      </w:r>
      <w:r w:rsidR="003E4AFC">
        <w:t xml:space="preserve"> prosthesis</w:t>
      </w:r>
      <w:r w:rsidR="00D13EA3">
        <w:t xml:space="preserve"> </w:t>
      </w:r>
      <w:r w:rsidR="002B7D08">
        <w:t>can</w:t>
      </w:r>
      <w:r w:rsidR="001C6668">
        <w:t xml:space="preserve"> be fitted</w:t>
      </w:r>
      <w:r w:rsidR="003E7408">
        <w:t>.</w:t>
      </w:r>
      <w:r w:rsidR="007B7939">
        <w:rPr>
          <w:rFonts w:ascii="ZWAdobeF" w:hAnsi="ZWAdobeF" w:cs="ZWAdobeF"/>
          <w:color w:val="auto"/>
          <w:sz w:val="2"/>
          <w:szCs w:val="2"/>
        </w:rPr>
        <w:t>17F</w:t>
      </w:r>
      <w:r w:rsidR="003E7408">
        <w:rPr>
          <w:rStyle w:val="FootnoteReference"/>
        </w:rPr>
        <w:footnoteReference w:id="51"/>
      </w:r>
      <w:r w:rsidR="003E7408">
        <w:t xml:space="preserve"> </w:t>
      </w:r>
    </w:p>
    <w:p w14:paraId="74E39078" w14:textId="2C5201F1" w:rsidR="00BA0EFB" w:rsidRDefault="00D9579E" w:rsidP="000543B6">
      <w:r>
        <w:t>M</w:t>
      </w:r>
      <w:r w:rsidR="003E7408">
        <w:t xml:space="preserve">easurements </w:t>
      </w:r>
      <w:r w:rsidR="00393AEA">
        <w:t xml:space="preserve">for the </w:t>
      </w:r>
      <w:r>
        <w:t>interim prosthesis</w:t>
      </w:r>
      <w:r w:rsidR="00393AEA">
        <w:t xml:space="preserve"> and post-surgery bra </w:t>
      </w:r>
      <w:r w:rsidR="001C6668">
        <w:t xml:space="preserve">are typically taken </w:t>
      </w:r>
      <w:r w:rsidR="0078392E">
        <w:t>by</w:t>
      </w:r>
      <w:r w:rsidR="0006139D">
        <w:t xml:space="preserve"> </w:t>
      </w:r>
      <w:r>
        <w:t>a clinician</w:t>
      </w:r>
      <w:r w:rsidR="002B7D08">
        <w:t>,</w:t>
      </w:r>
      <w:r w:rsidR="003E7408">
        <w:t xml:space="preserve"> </w:t>
      </w:r>
      <w:r>
        <w:t>such as a</w:t>
      </w:r>
      <w:r w:rsidR="00177781">
        <w:t xml:space="preserve"> breast care nurse, </w:t>
      </w:r>
      <w:r w:rsidR="00285879">
        <w:t xml:space="preserve">who then </w:t>
      </w:r>
      <w:r w:rsidR="001C6668">
        <w:t xml:space="preserve">places </w:t>
      </w:r>
      <w:r>
        <w:t>an</w:t>
      </w:r>
      <w:r w:rsidR="001C6668">
        <w:t xml:space="preserve"> order </w:t>
      </w:r>
      <w:r>
        <w:t>on behalf of the</w:t>
      </w:r>
      <w:r w:rsidR="00DF2A75">
        <w:t xml:space="preserve">ir patient </w:t>
      </w:r>
      <w:r w:rsidR="001C6668">
        <w:t>through the BCNA website. The kit</w:t>
      </w:r>
      <w:r w:rsidR="00285879">
        <w:t xml:space="preserve"> can either be delivered to the </w:t>
      </w:r>
      <w:r w:rsidR="00936D40">
        <w:t xml:space="preserve">healthcare professional </w:t>
      </w:r>
      <w:r w:rsidR="00DF2A75">
        <w:t xml:space="preserve">who placed the order </w:t>
      </w:r>
      <w:r w:rsidR="00936D40">
        <w:t xml:space="preserve">or </w:t>
      </w:r>
      <w:r w:rsidR="00510BDB">
        <w:t>directly to</w:t>
      </w:r>
      <w:r w:rsidR="00936D40">
        <w:t xml:space="preserve"> the </w:t>
      </w:r>
      <w:r w:rsidR="00753DCB">
        <w:t>person’s</w:t>
      </w:r>
      <w:r w:rsidR="00936D40">
        <w:t xml:space="preserve"> home</w:t>
      </w:r>
      <w:r w:rsidR="00510BDB">
        <w:t xml:space="preserve">. </w:t>
      </w:r>
      <w:r w:rsidR="001C6668">
        <w:t>Each person is eligible for one kit</w:t>
      </w:r>
      <w:r w:rsidR="002B7D08">
        <w:t xml:space="preserve"> under the program</w:t>
      </w:r>
      <w:r w:rsidR="001C6668">
        <w:t>.</w:t>
      </w:r>
      <w:r w:rsidR="00510BDB">
        <w:t xml:space="preserve"> </w:t>
      </w:r>
      <w:r w:rsidR="00B63CED" w:rsidRPr="00B11051">
        <w:t xml:space="preserve">See </w:t>
      </w:r>
      <w:r w:rsidR="00652100">
        <w:rPr>
          <w:bCs/>
        </w:rPr>
        <w:fldChar w:fldCharType="begin"/>
      </w:r>
      <w:r w:rsidR="00652100">
        <w:rPr>
          <w:bCs/>
        </w:rPr>
        <w:instrText xml:space="preserve"> REF _Ref203125216 \w \h  \* MERGEFORMAT </w:instrText>
      </w:r>
      <w:r w:rsidR="00652100">
        <w:rPr>
          <w:bCs/>
        </w:rPr>
      </w:r>
      <w:r w:rsidR="00652100">
        <w:rPr>
          <w:bCs/>
        </w:rPr>
        <w:fldChar w:fldCharType="separate"/>
      </w:r>
      <w:r w:rsidR="00D955D8">
        <w:rPr>
          <w:bCs/>
        </w:rPr>
        <w:t>Appendix D</w:t>
      </w:r>
      <w:r w:rsidR="00652100">
        <w:rPr>
          <w:bCs/>
        </w:rPr>
        <w:fldChar w:fldCharType="end"/>
      </w:r>
      <w:r w:rsidR="00B63CED">
        <w:t xml:space="preserve"> for </w:t>
      </w:r>
      <w:r w:rsidR="002B7D08">
        <w:t>additional</w:t>
      </w:r>
      <w:r w:rsidR="00B63CED">
        <w:t xml:space="preserve"> details</w:t>
      </w:r>
      <w:r w:rsidR="00236D70">
        <w:t xml:space="preserve"> on </w:t>
      </w:r>
      <w:r w:rsidR="00236D70" w:rsidRPr="002B7D08">
        <w:rPr>
          <w:i/>
        </w:rPr>
        <w:t>My Care Kit</w:t>
      </w:r>
      <w:r w:rsidR="00B63CED">
        <w:t>.</w:t>
      </w:r>
    </w:p>
    <w:p w14:paraId="395A4C37" w14:textId="4948C16B" w:rsidR="00021207" w:rsidRDefault="00021207" w:rsidP="00FD54A5">
      <w:pPr>
        <w:pStyle w:val="Heading4"/>
      </w:pPr>
      <w:r>
        <w:t>Knitted Knockers Australia</w:t>
      </w:r>
      <w:r w:rsidR="006B79B7">
        <w:t xml:space="preserve"> </w:t>
      </w:r>
    </w:p>
    <w:p w14:paraId="276315F0" w14:textId="5658F60F" w:rsidR="0074624E" w:rsidRDefault="008F7C3D" w:rsidP="000543B6">
      <w:r w:rsidRPr="008F7C3D">
        <w:t xml:space="preserve">Knitted Knockers Australia, </w:t>
      </w:r>
      <w:r w:rsidR="00BD7D23">
        <w:t>delivered</w:t>
      </w:r>
      <w:r w:rsidRPr="008F7C3D">
        <w:t xml:space="preserve"> by not-for-profit organisation Burwood Neighbourhood House</w:t>
      </w:r>
      <w:r w:rsidR="00E85DEC">
        <w:t>,</w:t>
      </w:r>
      <w:r w:rsidRPr="008F7C3D">
        <w:t xml:space="preserve"> provides knitted cotton breast prostheses </w:t>
      </w:r>
      <w:r w:rsidR="000D4A1B">
        <w:t>free of charge</w:t>
      </w:r>
      <w:r w:rsidRPr="008F7C3D">
        <w:t xml:space="preserve"> to </w:t>
      </w:r>
      <w:r w:rsidR="00984998">
        <w:t>people</w:t>
      </w:r>
      <w:r w:rsidRPr="008F7C3D">
        <w:t xml:space="preserve"> who have undergone a mastectomy due to breast cancer. </w:t>
      </w:r>
      <w:r w:rsidR="0074624E" w:rsidRPr="0074624E">
        <w:t xml:space="preserve">The prostheses are handmade by volunteers and can be ordered online via the organisation’s website based on the </w:t>
      </w:r>
      <w:r w:rsidR="000D4A1B">
        <w:t>person's</w:t>
      </w:r>
      <w:r w:rsidR="0074624E" w:rsidRPr="0074624E">
        <w:t xml:space="preserve"> bra cup size. They can be delivered directly to the </w:t>
      </w:r>
      <w:r w:rsidR="00F14492">
        <w:t>person's</w:t>
      </w:r>
      <w:r w:rsidR="0074624E" w:rsidRPr="0074624E">
        <w:t xml:space="preserve"> home or collected from a local branch.</w:t>
      </w:r>
      <w:r w:rsidR="00273181">
        <w:t xml:space="preserve"> Knitted Knocker</w:t>
      </w:r>
      <w:r w:rsidR="00BF32B5">
        <w:t>s has a</w:t>
      </w:r>
      <w:r w:rsidR="00273181">
        <w:t xml:space="preserve"> branch</w:t>
      </w:r>
      <w:r w:rsidR="009873BF">
        <w:t xml:space="preserve"> </w:t>
      </w:r>
      <w:r w:rsidR="00273181">
        <w:t>in every state and territory</w:t>
      </w:r>
      <w:r w:rsidR="00F14492">
        <w:t>,</w:t>
      </w:r>
      <w:r w:rsidR="007E7823">
        <w:t xml:space="preserve"> </w:t>
      </w:r>
      <w:r w:rsidR="004A731A">
        <w:t>with most</w:t>
      </w:r>
      <w:r w:rsidR="007E7823">
        <w:t xml:space="preserve"> located in metropolitan or large regional centres such as </w:t>
      </w:r>
      <w:r w:rsidR="00CC4049">
        <w:t>Goo</w:t>
      </w:r>
      <w:r w:rsidR="00CC4049" w:rsidRPr="000543B6">
        <w:t>lwa in SA</w:t>
      </w:r>
      <w:r w:rsidR="004A731A" w:rsidRPr="000543B6">
        <w:t>,</w:t>
      </w:r>
      <w:r w:rsidR="00CC4049" w:rsidRPr="000543B6">
        <w:t xml:space="preserve"> Geraldton and Al</w:t>
      </w:r>
      <w:r w:rsidR="004A731A" w:rsidRPr="000543B6">
        <w:t>b</w:t>
      </w:r>
      <w:r w:rsidR="00CC4049" w:rsidRPr="000543B6">
        <w:t>any in WA, Lismore and Grafton in NSW, and Mildura and Horsham in VIC</w:t>
      </w:r>
      <w:r w:rsidR="004A731A" w:rsidRPr="000543B6">
        <w:t xml:space="preserve">. </w:t>
      </w:r>
      <w:r w:rsidR="00E71F88" w:rsidRPr="000543B6">
        <w:t>However, the</w:t>
      </w:r>
      <w:r w:rsidR="004A731A" w:rsidRPr="000543B6">
        <w:t xml:space="preserve"> availability of branches </w:t>
      </w:r>
      <w:r w:rsidR="00604EE7" w:rsidRPr="000543B6">
        <w:t>decreases</w:t>
      </w:r>
      <w:r w:rsidR="00E71F88" w:rsidRPr="000543B6">
        <w:t xml:space="preserve"> in rural and remote locations</w:t>
      </w:r>
      <w:r w:rsidR="00604EE7" w:rsidRPr="000543B6">
        <w:t>, where access to services may be more limited</w:t>
      </w:r>
      <w:r w:rsidR="00E71F88" w:rsidRPr="000543B6">
        <w:t>.</w:t>
      </w:r>
    </w:p>
    <w:p w14:paraId="00C8FB38" w14:textId="2DE47AB3" w:rsidR="00021207" w:rsidRDefault="00217079" w:rsidP="000543B6">
      <w:r w:rsidRPr="00217079">
        <w:t xml:space="preserve">Stakeholders noted that while Knitted Knockers are valuable for restoring the appearance of a breast, they are not weighted. As a result, </w:t>
      </w:r>
      <w:r w:rsidR="00A66A2E">
        <w:t xml:space="preserve">it was reported </w:t>
      </w:r>
      <w:r w:rsidR="00F14492">
        <w:t xml:space="preserve">that </w:t>
      </w:r>
      <w:r w:rsidR="00CD5FFF">
        <w:t>knitted breast prostheses</w:t>
      </w:r>
      <w:r w:rsidR="00403218">
        <w:t xml:space="preserve"> are not </w:t>
      </w:r>
      <w:r w:rsidR="00A65A58">
        <w:t>recommended for long-term use</w:t>
      </w:r>
      <w:r w:rsidR="00CD5FFF">
        <w:t xml:space="preserve"> due to the risk of</w:t>
      </w:r>
      <w:r w:rsidRPr="00217079">
        <w:t xml:space="preserve"> </w:t>
      </w:r>
      <w:r w:rsidR="00207CBC">
        <w:t xml:space="preserve">musculoskeletal </w:t>
      </w:r>
      <w:r w:rsidR="00355A98">
        <w:t>issues</w:t>
      </w:r>
      <w:r w:rsidR="00CD5FFF">
        <w:t>, particularly for women who have undergone a partial or unilateral mastectomy</w:t>
      </w:r>
      <w:r w:rsidRPr="00217079">
        <w:t>.</w:t>
      </w:r>
      <w:r w:rsidR="000042B6">
        <w:t xml:space="preserve"> </w:t>
      </w:r>
      <w:r w:rsidR="00652100">
        <w:rPr>
          <w:bCs/>
        </w:rPr>
        <w:fldChar w:fldCharType="begin"/>
      </w:r>
      <w:r w:rsidR="00652100">
        <w:rPr>
          <w:bCs/>
        </w:rPr>
        <w:instrText xml:space="preserve"> REF _Ref203125216 \w \h  \* MERGEFORMAT </w:instrText>
      </w:r>
      <w:r w:rsidR="00652100">
        <w:rPr>
          <w:bCs/>
        </w:rPr>
      </w:r>
      <w:r w:rsidR="00652100">
        <w:rPr>
          <w:bCs/>
        </w:rPr>
        <w:fldChar w:fldCharType="separate"/>
      </w:r>
      <w:r w:rsidR="00D955D8">
        <w:rPr>
          <w:bCs/>
        </w:rPr>
        <w:t>Appendix D</w:t>
      </w:r>
      <w:r w:rsidR="00652100">
        <w:rPr>
          <w:bCs/>
        </w:rPr>
        <w:fldChar w:fldCharType="end"/>
      </w:r>
      <w:r w:rsidR="00652100">
        <w:t xml:space="preserve"> </w:t>
      </w:r>
      <w:r w:rsidR="00CC2FB5">
        <w:t>outlines</w:t>
      </w:r>
      <w:r w:rsidR="000042B6" w:rsidRPr="002B7D08">
        <w:t xml:space="preserve"> </w:t>
      </w:r>
      <w:r w:rsidR="00CC2FB5">
        <w:t>further</w:t>
      </w:r>
      <w:r w:rsidR="000042B6">
        <w:t xml:space="preserve"> details on the Knitted Knockers Australia </w:t>
      </w:r>
      <w:r w:rsidR="008F7C3D">
        <w:t>program</w:t>
      </w:r>
      <w:r w:rsidR="000042B6">
        <w:t>.</w:t>
      </w:r>
    </w:p>
    <w:p w14:paraId="1C9D5E29" w14:textId="6A3CFAB4" w:rsidR="00AF1727" w:rsidRPr="007D1C44" w:rsidRDefault="00AF1727" w:rsidP="00FD54A5">
      <w:pPr>
        <w:pStyle w:val="Heading4"/>
      </w:pPr>
      <w:bookmarkStart w:id="63" w:name="_Ref200567404"/>
      <w:r w:rsidRPr="008F1000">
        <w:t>D</w:t>
      </w:r>
      <w:r w:rsidR="003E37F0" w:rsidRPr="008F1000">
        <w:t xml:space="preserve">epartment of </w:t>
      </w:r>
      <w:r w:rsidRPr="008F1000">
        <w:t>V</w:t>
      </w:r>
      <w:r w:rsidR="003E37F0" w:rsidRPr="008F1000">
        <w:t>eterans</w:t>
      </w:r>
      <w:r w:rsidR="008F1000" w:rsidRPr="008F1000">
        <w:t>’</w:t>
      </w:r>
      <w:r w:rsidR="003E37F0" w:rsidRPr="008F1000">
        <w:t xml:space="preserve"> </w:t>
      </w:r>
      <w:r w:rsidRPr="008F1000">
        <w:t>A</w:t>
      </w:r>
      <w:r w:rsidR="003E37F0" w:rsidRPr="008F1000">
        <w:t>ffairs</w:t>
      </w:r>
      <w:bookmarkEnd w:id="63"/>
    </w:p>
    <w:p w14:paraId="5C2AC6CB" w14:textId="160319F0" w:rsidR="00573416" w:rsidRPr="000543B6" w:rsidRDefault="00AF1727" w:rsidP="000543B6">
      <w:r w:rsidRPr="00CE1834">
        <w:t xml:space="preserve">The DVA </w:t>
      </w:r>
      <w:r w:rsidR="00FE76CB">
        <w:t xml:space="preserve">provides </w:t>
      </w:r>
      <w:r w:rsidR="00DF7A36">
        <w:t>funding for</w:t>
      </w:r>
      <w:r w:rsidR="00FE76CB">
        <w:t xml:space="preserve"> external breast prostheses </w:t>
      </w:r>
      <w:r w:rsidR="00DF7A36">
        <w:t>to</w:t>
      </w:r>
      <w:r w:rsidR="00FE76CB">
        <w:t xml:space="preserve"> eligible veterans and dependents who have undergone a mastectomy</w:t>
      </w:r>
      <w:r>
        <w:t>.</w:t>
      </w:r>
      <w:r w:rsidR="007B7939">
        <w:rPr>
          <w:rFonts w:ascii="ZWAdobeF" w:hAnsi="ZWAdobeF" w:cs="ZWAdobeF"/>
          <w:color w:val="auto"/>
          <w:sz w:val="2"/>
          <w:szCs w:val="2"/>
        </w:rPr>
        <w:t>20F</w:t>
      </w:r>
      <w:r>
        <w:rPr>
          <w:rStyle w:val="FootnoteReference"/>
        </w:rPr>
        <w:footnoteReference w:id="52"/>
      </w:r>
      <w:r>
        <w:t xml:space="preserve"> </w:t>
      </w:r>
      <w:r w:rsidR="00FE76CB">
        <w:t xml:space="preserve">Prostheses are available through the </w:t>
      </w:r>
      <w:r w:rsidR="00FB2C2B">
        <w:t xml:space="preserve">Rehabilitation Appliances Program </w:t>
      </w:r>
      <w:r w:rsidR="001002D1">
        <w:t>(RAP)</w:t>
      </w:r>
      <w:r w:rsidR="00FE76CB">
        <w:t xml:space="preserve">, </w:t>
      </w:r>
      <w:r w:rsidR="00FE76CB" w:rsidRPr="00FE76CB">
        <w:t>which supplies aids and appliances to support the health and independe</w:t>
      </w:r>
      <w:r w:rsidR="00FE76CB" w:rsidRPr="000543B6">
        <w:t>nce of v</w:t>
      </w:r>
      <w:r w:rsidR="00FE76CB" w:rsidRPr="00FE76CB">
        <w:t xml:space="preserve">eterans with medical or functional </w:t>
      </w:r>
      <w:r w:rsidR="00F14492">
        <w:t>needs</w:t>
      </w:r>
      <w:r w:rsidR="00FE76CB">
        <w:t xml:space="preserve">. </w:t>
      </w:r>
    </w:p>
    <w:p w14:paraId="455B5E72" w14:textId="7257284B" w:rsidR="00D9672F" w:rsidRDefault="003E4AFC" w:rsidP="000543B6">
      <w:r w:rsidRPr="000543B6">
        <w:t>The RAP covers</w:t>
      </w:r>
      <w:r w:rsidR="00121A45" w:rsidRPr="000543B6">
        <w:t xml:space="preserve"> external breast prostheses and accessories</w:t>
      </w:r>
      <w:r w:rsidR="00F14492" w:rsidRPr="000543B6">
        <w:t>,</w:t>
      </w:r>
      <w:r w:rsidR="00121A45" w:rsidRPr="000543B6">
        <w:t xml:space="preserve"> including mastectomy bras</w:t>
      </w:r>
      <w:r w:rsidR="00121A45">
        <w:t>.</w:t>
      </w:r>
      <w:r w:rsidR="00114380" w:rsidRPr="00114380">
        <w:t xml:space="preserve"> </w:t>
      </w:r>
      <w:r w:rsidR="00114380">
        <w:t xml:space="preserve">To access the program, eligible individuals must obtain a prescription or recommendation from a </w:t>
      </w:r>
      <w:r w:rsidR="00F76883">
        <w:t>medical</w:t>
      </w:r>
      <w:r w:rsidR="00114380">
        <w:t xml:space="preserve"> practitioner or registered nurse. The health professional submits a RAP form to the DVA, including supplier details and a quote. As there are no contracted suppliers for breast prostheses, the prescribing health professional</w:t>
      </w:r>
      <w:r w:rsidR="00D736AA">
        <w:t xml:space="preserve"> can choose a retailer </w:t>
      </w:r>
      <w:r w:rsidR="00114380">
        <w:t xml:space="preserve">based on </w:t>
      </w:r>
      <w:r w:rsidR="00D736AA">
        <w:t xml:space="preserve">the </w:t>
      </w:r>
      <w:r w:rsidR="00F14492">
        <w:t>patient's needs and preferences</w:t>
      </w:r>
      <w:r w:rsidR="00114380">
        <w:t xml:space="preserve">. </w:t>
      </w:r>
      <w:r w:rsidR="008B4F14">
        <w:t>Individuals</w:t>
      </w:r>
      <w:r w:rsidR="000A0B85" w:rsidRPr="000A0B85">
        <w:t xml:space="preserve"> are eligible to receive a breast prosthesis every two years and up to four mastectomy bras per year, with no out-of-pocket costs.</w:t>
      </w:r>
      <w:r w:rsidR="004465DA" w:rsidRPr="004465DA">
        <w:t xml:space="preserve"> </w:t>
      </w:r>
      <w:r w:rsidR="004465DA">
        <w:t xml:space="preserve">See </w:t>
      </w:r>
      <w:r w:rsidR="00652100">
        <w:rPr>
          <w:bCs/>
        </w:rPr>
        <w:fldChar w:fldCharType="begin"/>
      </w:r>
      <w:r w:rsidR="00652100">
        <w:rPr>
          <w:bCs/>
        </w:rPr>
        <w:instrText xml:space="preserve"> REF _Ref203125216 \w \h  \* MERGEFORMAT </w:instrText>
      </w:r>
      <w:r w:rsidR="00652100">
        <w:rPr>
          <w:bCs/>
        </w:rPr>
      </w:r>
      <w:r w:rsidR="00652100">
        <w:rPr>
          <w:bCs/>
        </w:rPr>
        <w:fldChar w:fldCharType="separate"/>
      </w:r>
      <w:r w:rsidR="00D955D8">
        <w:rPr>
          <w:bCs/>
        </w:rPr>
        <w:t>Appendix D</w:t>
      </w:r>
      <w:r w:rsidR="00652100">
        <w:rPr>
          <w:bCs/>
        </w:rPr>
        <w:fldChar w:fldCharType="end"/>
      </w:r>
      <w:r w:rsidR="00652100">
        <w:t xml:space="preserve"> </w:t>
      </w:r>
      <w:r w:rsidR="004465DA">
        <w:t xml:space="preserve">for </w:t>
      </w:r>
      <w:r w:rsidR="00D736AA">
        <w:t>further</w:t>
      </w:r>
      <w:r w:rsidR="004465DA">
        <w:t xml:space="preserve"> details on breast prostheses </w:t>
      </w:r>
      <w:r w:rsidR="00617CC8">
        <w:t>prov</w:t>
      </w:r>
      <w:r w:rsidR="00617CC8" w:rsidRPr="000543B6">
        <w:t xml:space="preserve">ided under </w:t>
      </w:r>
      <w:r w:rsidR="004465DA" w:rsidRPr="000543B6">
        <w:t>DVA.</w:t>
      </w:r>
    </w:p>
    <w:p w14:paraId="5C473BC1" w14:textId="77777777" w:rsidR="00EE503E" w:rsidRPr="00F12039" w:rsidRDefault="00EE503E" w:rsidP="00FD54A5">
      <w:pPr>
        <w:pStyle w:val="Heading4"/>
      </w:pPr>
      <w:bookmarkStart w:id="64" w:name="_Ref200459271"/>
      <w:r>
        <w:t>Private health insurance</w:t>
      </w:r>
    </w:p>
    <w:p w14:paraId="3DD2ABFA" w14:textId="13B1F7A6" w:rsidR="00100E29" w:rsidRPr="008B474C" w:rsidRDefault="00617CC8" w:rsidP="008B474C">
      <w:r w:rsidRPr="008B474C">
        <w:t>C</w:t>
      </w:r>
      <w:r w:rsidR="00EE503E" w:rsidRPr="008B474C">
        <w:t xml:space="preserve">overage for external breast prostheses </w:t>
      </w:r>
      <w:r w:rsidRPr="008B474C">
        <w:t>by private health insurers</w:t>
      </w:r>
      <w:r w:rsidR="00EE503E" w:rsidRPr="008B474C">
        <w:t xml:space="preserve"> in Australia varies significantly between funds and </w:t>
      </w:r>
      <w:r w:rsidR="00D43730" w:rsidRPr="008B474C">
        <w:t>is dependent</w:t>
      </w:r>
      <w:r w:rsidR="00EE503E" w:rsidRPr="008B474C">
        <w:t xml:space="preserve"> on the level of cover, policy type, and specific fund rules. </w:t>
      </w:r>
      <w:r w:rsidR="00100E29" w:rsidRPr="008B474C">
        <w:t>If covered under</w:t>
      </w:r>
      <w:r w:rsidR="00EE503E" w:rsidRPr="008B474C">
        <w:t xml:space="preserve"> the </w:t>
      </w:r>
      <w:r w:rsidR="00100E29" w:rsidRPr="008B474C">
        <w:t>policy, f</w:t>
      </w:r>
      <w:r w:rsidR="00EE503E" w:rsidRPr="008B474C">
        <w:t>unds will generally pay a percentage of the cost of an external breast prosthesis</w:t>
      </w:r>
      <w:r w:rsidR="00100E29" w:rsidRPr="008B474C">
        <w:t xml:space="preserve"> up to </w:t>
      </w:r>
      <w:r w:rsidR="00EE503E" w:rsidRPr="008B474C">
        <w:t xml:space="preserve">a maximum benefit per </w:t>
      </w:r>
      <w:r w:rsidR="00F14492" w:rsidRPr="008B474C">
        <w:t>prosthesis</w:t>
      </w:r>
      <w:r w:rsidR="00EE503E" w:rsidRPr="008B474C">
        <w:t>. If the private health insurance does not cover the full cost of the external breast prosthes</w:t>
      </w:r>
      <w:r w:rsidR="00981FF6" w:rsidRPr="008B474C">
        <w:t>i</w:t>
      </w:r>
      <w:r w:rsidR="00EE503E" w:rsidRPr="008B474C">
        <w:t xml:space="preserve">s, the </w:t>
      </w:r>
      <w:r w:rsidR="006D545E" w:rsidRPr="008B474C">
        <w:t xml:space="preserve">gap </w:t>
      </w:r>
      <w:r w:rsidR="00981FF6" w:rsidRPr="008B474C">
        <w:t>can</w:t>
      </w:r>
      <w:r w:rsidR="003127F5" w:rsidRPr="008B474C">
        <w:t xml:space="preserve"> be</w:t>
      </w:r>
      <w:r w:rsidR="00EE503E" w:rsidRPr="008B474C">
        <w:t xml:space="preserve"> claim</w:t>
      </w:r>
      <w:r w:rsidR="00F42121" w:rsidRPr="008B474C">
        <w:t>ed</w:t>
      </w:r>
      <w:r w:rsidR="00EE503E" w:rsidRPr="008B474C">
        <w:t xml:space="preserve"> </w:t>
      </w:r>
      <w:r w:rsidR="00F42121" w:rsidRPr="008B474C">
        <w:t>under</w:t>
      </w:r>
      <w:r w:rsidR="00EE503E" w:rsidRPr="008B474C">
        <w:t xml:space="preserve"> the </w:t>
      </w:r>
      <w:r w:rsidR="00770354" w:rsidRPr="008B474C">
        <w:t>EBPRP</w:t>
      </w:r>
      <w:r w:rsidR="00EE503E" w:rsidRPr="008B474C">
        <w:t xml:space="preserve">. </w:t>
      </w:r>
    </w:p>
    <w:p w14:paraId="33CC4ECE" w14:textId="1EA23FDE" w:rsidR="00EE503E" w:rsidRPr="000543B6" w:rsidRDefault="001645C2" w:rsidP="000543B6">
      <w:r w:rsidRPr="000543B6">
        <w:rPr>
          <w:highlight w:val="yellow"/>
        </w:rPr>
        <w:fldChar w:fldCharType="begin"/>
      </w:r>
      <w:r w:rsidRPr="000543B6">
        <w:instrText xml:space="preserve"> REF _Ref201832102 \h </w:instrText>
      </w:r>
      <w:r w:rsidRPr="000543B6">
        <w:rPr>
          <w:highlight w:val="yellow"/>
        </w:rPr>
      </w:r>
      <w:r w:rsidR="000543B6">
        <w:rPr>
          <w:highlight w:val="yellow"/>
        </w:rPr>
        <w:instrText xml:space="preserve"> \* MERGEFORMAT </w:instrText>
      </w:r>
      <w:r w:rsidRPr="000543B6">
        <w:rPr>
          <w:highlight w:val="yellow"/>
        </w:rPr>
        <w:fldChar w:fldCharType="separate"/>
      </w:r>
      <w:r w:rsidR="00D955D8" w:rsidRPr="000543B6">
        <w:t>Table 7</w:t>
      </w:r>
      <w:r w:rsidRPr="000543B6">
        <w:rPr>
          <w:highlight w:val="yellow"/>
        </w:rPr>
        <w:fldChar w:fldCharType="end"/>
      </w:r>
      <w:r w:rsidR="00190C25" w:rsidRPr="000543B6">
        <w:t xml:space="preserve"> over page</w:t>
      </w:r>
      <w:r w:rsidR="00EE503E" w:rsidRPr="000543B6">
        <w:t xml:space="preserve"> </w:t>
      </w:r>
      <w:r w:rsidR="00EB003C" w:rsidRPr="000543B6">
        <w:t xml:space="preserve">provides a </w:t>
      </w:r>
      <w:r w:rsidR="006C57DC" w:rsidRPr="000543B6">
        <w:t>comparison of a sample of private health insurance policies that include</w:t>
      </w:r>
      <w:r w:rsidR="00D63DCD" w:rsidRPr="000543B6">
        <w:t xml:space="preserve"> coverage for external breast prostheses.</w:t>
      </w:r>
      <w:r w:rsidR="00EE503E" w:rsidRPr="000543B6">
        <w:t xml:space="preserve"> </w:t>
      </w:r>
    </w:p>
    <w:p w14:paraId="3FF7F9B2" w14:textId="79C4BF2F" w:rsidR="00EE503E" w:rsidRDefault="00EE503E" w:rsidP="00EE503E">
      <w:pPr>
        <w:pStyle w:val="Caption"/>
      </w:pPr>
      <w:bookmarkStart w:id="65" w:name="_Ref201832102"/>
      <w:bookmarkStart w:id="66" w:name="_Toc207348572"/>
      <w:r>
        <w:t xml:space="preserve">Table </w:t>
      </w:r>
      <w:r w:rsidR="00D955D8">
        <w:fldChar w:fldCharType="begin"/>
      </w:r>
      <w:r w:rsidR="00D955D8">
        <w:instrText xml:space="preserve"> SEQ Table \* ARABIC </w:instrText>
      </w:r>
      <w:r w:rsidR="00D955D8">
        <w:fldChar w:fldCharType="separate"/>
      </w:r>
      <w:r w:rsidR="00D955D8">
        <w:rPr>
          <w:noProof/>
        </w:rPr>
        <w:t>7</w:t>
      </w:r>
      <w:r w:rsidR="00D955D8">
        <w:rPr>
          <w:noProof/>
        </w:rPr>
        <w:fldChar w:fldCharType="end"/>
      </w:r>
      <w:bookmarkEnd w:id="65"/>
      <w:r>
        <w:t>: External Breast Prostheses coverage by private health fund</w:t>
      </w:r>
      <w:bookmarkEnd w:id="66"/>
    </w:p>
    <w:tbl>
      <w:tblPr>
        <w:tblStyle w:val="KPMGTable"/>
        <w:tblW w:w="10005" w:type="dxa"/>
        <w:tblLook w:val="04A0" w:firstRow="1" w:lastRow="0" w:firstColumn="1" w:lastColumn="0" w:noHBand="0" w:noVBand="1"/>
      </w:tblPr>
      <w:tblGrid>
        <w:gridCol w:w="1831"/>
        <w:gridCol w:w="1210"/>
        <w:gridCol w:w="1449"/>
        <w:gridCol w:w="1268"/>
        <w:gridCol w:w="1344"/>
        <w:gridCol w:w="1214"/>
        <w:gridCol w:w="1689"/>
      </w:tblGrid>
      <w:tr w:rsidR="00210A81" w:rsidRPr="0037067F" w14:paraId="06720C2C" w14:textId="77777777" w:rsidTr="009A5D4A">
        <w:trPr>
          <w:cnfStyle w:val="100000000000" w:firstRow="1" w:lastRow="0" w:firstColumn="0" w:lastColumn="0" w:oddVBand="0" w:evenVBand="0" w:oddHBand="0" w:evenHBand="0" w:firstRowFirstColumn="0" w:firstRowLastColumn="0" w:lastRowFirstColumn="0" w:lastRowLastColumn="0"/>
          <w:trHeight w:val="796"/>
        </w:trPr>
        <w:tc>
          <w:tcPr>
            <w:cnfStyle w:val="001000000000" w:firstRow="0" w:lastRow="0" w:firstColumn="1" w:lastColumn="0" w:oddVBand="0" w:evenVBand="0" w:oddHBand="0" w:evenHBand="0" w:firstRowFirstColumn="0" w:firstRowLastColumn="0" w:lastRowFirstColumn="0" w:lastRowLastColumn="0"/>
            <w:tcW w:w="1831" w:type="dxa"/>
          </w:tcPr>
          <w:p w14:paraId="2732F8BC" w14:textId="0F7A098E" w:rsidR="00EE503E" w:rsidRPr="00E37843" w:rsidRDefault="00EE503E" w:rsidP="00E37843">
            <w:pPr>
              <w:pStyle w:val="TableHeading"/>
            </w:pPr>
            <w:r w:rsidRPr="00E37843">
              <w:t xml:space="preserve">Private Health </w:t>
            </w:r>
            <w:r w:rsidR="00723786" w:rsidRPr="00E37843">
              <w:t>Insurer</w:t>
            </w:r>
          </w:p>
        </w:tc>
        <w:tc>
          <w:tcPr>
            <w:tcW w:w="1210" w:type="dxa"/>
          </w:tcPr>
          <w:p w14:paraId="697CFA51" w14:textId="05577FDD" w:rsidR="00EE503E" w:rsidRPr="00E37843" w:rsidRDefault="00723786" w:rsidP="00E37843">
            <w:pPr>
              <w:pStyle w:val="TableHeading"/>
              <w:cnfStyle w:val="100000000000" w:firstRow="1" w:lastRow="0" w:firstColumn="0" w:lastColumn="0" w:oddVBand="0" w:evenVBand="0" w:oddHBand="0" w:evenHBand="0" w:firstRowFirstColumn="0" w:firstRowLastColumn="0" w:lastRowFirstColumn="0" w:lastRowLastColumn="0"/>
            </w:pPr>
            <w:r w:rsidRPr="00E37843">
              <w:t>Level of cover</w:t>
            </w:r>
          </w:p>
        </w:tc>
        <w:tc>
          <w:tcPr>
            <w:tcW w:w="1449" w:type="dxa"/>
          </w:tcPr>
          <w:p w14:paraId="546C383E" w14:textId="61709C62" w:rsidR="00723786" w:rsidRPr="00E37843" w:rsidRDefault="00723786" w:rsidP="00E37843">
            <w:pPr>
              <w:pStyle w:val="TableHeading"/>
              <w:cnfStyle w:val="100000000000" w:firstRow="1" w:lastRow="0" w:firstColumn="0" w:lastColumn="0" w:oddVBand="0" w:evenVBand="0" w:oddHBand="0" w:evenHBand="0" w:firstRowFirstColumn="0" w:firstRowLastColumn="0" w:lastRowFirstColumn="0" w:lastRowLastColumn="0"/>
            </w:pPr>
            <w:r w:rsidRPr="00E37843">
              <w:t>External breast prostheses</w:t>
            </w:r>
          </w:p>
        </w:tc>
        <w:tc>
          <w:tcPr>
            <w:tcW w:w="1268" w:type="dxa"/>
          </w:tcPr>
          <w:p w14:paraId="7A9BF434" w14:textId="2323C1E1" w:rsidR="00EE503E" w:rsidRPr="00E37843" w:rsidRDefault="00723786" w:rsidP="00E37843">
            <w:pPr>
              <w:pStyle w:val="TableHeading"/>
              <w:cnfStyle w:val="100000000000" w:firstRow="1" w:lastRow="0" w:firstColumn="0" w:lastColumn="0" w:oddVBand="0" w:evenVBand="0" w:oddHBand="0" w:evenHBand="0" w:firstRowFirstColumn="0" w:firstRowLastColumn="0" w:lastRowFirstColumn="0" w:lastRowLastColumn="0"/>
            </w:pPr>
            <w:r w:rsidRPr="00E37843">
              <w:t>Post-mastectomy bra</w:t>
            </w:r>
          </w:p>
        </w:tc>
        <w:tc>
          <w:tcPr>
            <w:tcW w:w="1344" w:type="dxa"/>
          </w:tcPr>
          <w:p w14:paraId="4BF4559E" w14:textId="77777777" w:rsidR="00EE503E" w:rsidRPr="00E37843" w:rsidRDefault="00EE503E" w:rsidP="00E37843">
            <w:pPr>
              <w:pStyle w:val="TableHeading"/>
              <w:cnfStyle w:val="100000000000" w:firstRow="1" w:lastRow="0" w:firstColumn="0" w:lastColumn="0" w:oddVBand="0" w:evenVBand="0" w:oddHBand="0" w:evenHBand="0" w:firstRowFirstColumn="0" w:firstRowLastColumn="0" w:lastRowFirstColumn="0" w:lastRowLastColumn="0"/>
            </w:pPr>
            <w:r w:rsidRPr="00E37843">
              <w:t>Replacement period</w:t>
            </w:r>
          </w:p>
        </w:tc>
        <w:tc>
          <w:tcPr>
            <w:tcW w:w="1214" w:type="dxa"/>
          </w:tcPr>
          <w:p w14:paraId="7785696F" w14:textId="77777777" w:rsidR="00EE503E" w:rsidRPr="00E37843" w:rsidRDefault="00EE503E" w:rsidP="00E37843">
            <w:pPr>
              <w:pStyle w:val="TableHeading"/>
              <w:cnfStyle w:val="100000000000" w:firstRow="1" w:lastRow="0" w:firstColumn="0" w:lastColumn="0" w:oddVBand="0" w:evenVBand="0" w:oddHBand="0" w:evenHBand="0" w:firstRowFirstColumn="0" w:firstRowLastColumn="0" w:lastRowFirstColumn="0" w:lastRowLastColumn="0"/>
            </w:pPr>
            <w:r w:rsidRPr="00E37843">
              <w:t>Waiting period</w:t>
            </w:r>
          </w:p>
        </w:tc>
        <w:tc>
          <w:tcPr>
            <w:tcW w:w="1689" w:type="dxa"/>
          </w:tcPr>
          <w:p w14:paraId="542ABBC3" w14:textId="77777777" w:rsidR="00EE503E" w:rsidRPr="00E37843" w:rsidRDefault="00EE503E" w:rsidP="00E37843">
            <w:pPr>
              <w:pStyle w:val="TableHeading"/>
              <w:cnfStyle w:val="100000000000" w:firstRow="1" w:lastRow="0" w:firstColumn="0" w:lastColumn="0" w:oddVBand="0" w:evenVBand="0" w:oddHBand="0" w:evenHBand="0" w:firstRowFirstColumn="0" w:firstRowLastColumn="0" w:lastRowFirstColumn="0" w:lastRowLastColumn="0"/>
            </w:pPr>
            <w:r w:rsidRPr="00E37843">
              <w:t xml:space="preserve">Annual benefit limit </w:t>
            </w:r>
          </w:p>
        </w:tc>
      </w:tr>
      <w:tr w:rsidR="00AE1E92" w:rsidRPr="0037067F" w14:paraId="1296A345" w14:textId="77777777" w:rsidTr="009A5D4A">
        <w:trPr>
          <w:trHeight w:val="505"/>
        </w:trPr>
        <w:tc>
          <w:tcPr>
            <w:cnfStyle w:val="001000000000" w:firstRow="0" w:lastRow="0" w:firstColumn="1" w:lastColumn="0" w:oddVBand="0" w:evenVBand="0" w:oddHBand="0" w:evenHBand="0" w:firstRowFirstColumn="0" w:firstRowLastColumn="0" w:lastRowFirstColumn="0" w:lastRowLastColumn="0"/>
            <w:tcW w:w="1831" w:type="dxa"/>
          </w:tcPr>
          <w:p w14:paraId="223CB316" w14:textId="022CC8E3" w:rsidR="004D5035" w:rsidRPr="0062504B" w:rsidRDefault="004D5035" w:rsidP="002B2F3B">
            <w:pPr>
              <w:pStyle w:val="Tabletextbold"/>
            </w:pPr>
            <w:r w:rsidRPr="0062504B">
              <w:t>Medibank</w:t>
            </w:r>
            <w:r w:rsidR="007B7939">
              <w:rPr>
                <w:rFonts w:ascii="ZWAdobeF" w:hAnsi="ZWAdobeF" w:cs="ZWAdobeF"/>
                <w:color w:val="auto"/>
                <w:sz w:val="2"/>
                <w:szCs w:val="2"/>
              </w:rPr>
              <w:t>22F</w:t>
            </w:r>
            <w:r w:rsidRPr="0037067F">
              <w:rPr>
                <w:rStyle w:val="FootnoteReference"/>
                <w:szCs w:val="20"/>
              </w:rPr>
              <w:footnoteReference w:id="53"/>
            </w:r>
          </w:p>
        </w:tc>
        <w:tc>
          <w:tcPr>
            <w:tcW w:w="1210" w:type="dxa"/>
          </w:tcPr>
          <w:p w14:paraId="0DAF2245" w14:textId="0D73E9AF" w:rsidR="004D5035" w:rsidRPr="0037067F" w:rsidRDefault="004D5035" w:rsidP="00300508">
            <w:pPr>
              <w:pStyle w:val="TableText"/>
              <w:cnfStyle w:val="000000000000" w:firstRow="0" w:lastRow="0" w:firstColumn="0" w:lastColumn="0" w:oddVBand="0" w:evenVBand="0" w:oddHBand="0" w:evenHBand="0" w:firstRowFirstColumn="0" w:firstRowLastColumn="0" w:lastRowFirstColumn="0" w:lastRowLastColumn="0"/>
            </w:pPr>
            <w:r w:rsidRPr="0037067F">
              <w:t>Top Extra’s</w:t>
            </w:r>
            <w:r>
              <w:t xml:space="preserve"> </w:t>
            </w:r>
            <w:r w:rsidRPr="0037067F">
              <w:t>60/70/75</w:t>
            </w:r>
          </w:p>
        </w:tc>
        <w:tc>
          <w:tcPr>
            <w:tcW w:w="1449" w:type="dxa"/>
          </w:tcPr>
          <w:p w14:paraId="12C26B4A" w14:textId="42F48D7C" w:rsidR="004D5035" w:rsidRPr="00EB003C" w:rsidRDefault="00300508" w:rsidP="00300508">
            <w:pPr>
              <w:pStyle w:val="TableText"/>
              <w:cnfStyle w:val="000000000000" w:firstRow="0" w:lastRow="0" w:firstColumn="0" w:lastColumn="0" w:oddVBand="0" w:evenVBand="0" w:oddHBand="0" w:evenHBand="0" w:firstRowFirstColumn="0" w:firstRowLastColumn="0" w:lastRowFirstColumn="0" w:lastRowLastColumn="0"/>
            </w:pPr>
            <w:r>
              <w:t>Yes</w:t>
            </w:r>
          </w:p>
        </w:tc>
        <w:tc>
          <w:tcPr>
            <w:tcW w:w="1268" w:type="dxa"/>
          </w:tcPr>
          <w:p w14:paraId="479AAE87" w14:textId="4FC76455" w:rsidR="004D5035" w:rsidRPr="0037067F" w:rsidRDefault="00300508" w:rsidP="00300508">
            <w:pPr>
              <w:pStyle w:val="TableText"/>
              <w:cnfStyle w:val="000000000000" w:firstRow="0" w:lastRow="0" w:firstColumn="0" w:lastColumn="0" w:oddVBand="0" w:evenVBand="0" w:oddHBand="0" w:evenHBand="0" w:firstRowFirstColumn="0" w:firstRowLastColumn="0" w:lastRowFirstColumn="0" w:lastRowLastColumn="0"/>
            </w:pPr>
            <w:r>
              <w:t>Yes</w:t>
            </w:r>
          </w:p>
        </w:tc>
        <w:tc>
          <w:tcPr>
            <w:tcW w:w="1344" w:type="dxa"/>
          </w:tcPr>
          <w:p w14:paraId="1426572C" w14:textId="77777777" w:rsidR="004D5035" w:rsidRPr="0037067F" w:rsidRDefault="004D5035" w:rsidP="00300508">
            <w:pPr>
              <w:pStyle w:val="TableText"/>
              <w:cnfStyle w:val="000000000000" w:firstRow="0" w:lastRow="0" w:firstColumn="0" w:lastColumn="0" w:oddVBand="0" w:evenVBand="0" w:oddHBand="0" w:evenHBand="0" w:firstRowFirstColumn="0" w:firstRowLastColumn="0" w:lastRowFirstColumn="0" w:lastRowLastColumn="0"/>
            </w:pPr>
            <w:r w:rsidRPr="0037067F">
              <w:t>24 months</w:t>
            </w:r>
          </w:p>
        </w:tc>
        <w:tc>
          <w:tcPr>
            <w:tcW w:w="1214" w:type="dxa"/>
          </w:tcPr>
          <w:p w14:paraId="1DEAFC91" w14:textId="77777777" w:rsidR="004D5035" w:rsidRPr="0037067F" w:rsidRDefault="004D5035" w:rsidP="00300508">
            <w:pPr>
              <w:pStyle w:val="TableText"/>
              <w:cnfStyle w:val="000000000000" w:firstRow="0" w:lastRow="0" w:firstColumn="0" w:lastColumn="0" w:oddVBand="0" w:evenVBand="0" w:oddHBand="0" w:evenHBand="0" w:firstRowFirstColumn="0" w:firstRowLastColumn="0" w:lastRowFirstColumn="0" w:lastRowLastColumn="0"/>
            </w:pPr>
            <w:r w:rsidRPr="0037067F">
              <w:t>Two months</w:t>
            </w:r>
          </w:p>
        </w:tc>
        <w:tc>
          <w:tcPr>
            <w:tcW w:w="1689" w:type="dxa"/>
          </w:tcPr>
          <w:p w14:paraId="5AE80863" w14:textId="77777777" w:rsidR="004D5035" w:rsidRPr="0037067F" w:rsidRDefault="004D5035" w:rsidP="00300508">
            <w:pPr>
              <w:pStyle w:val="TableText"/>
              <w:cnfStyle w:val="000000000000" w:firstRow="0" w:lastRow="0" w:firstColumn="0" w:lastColumn="0" w:oddVBand="0" w:evenVBand="0" w:oddHBand="0" w:evenHBand="0" w:firstRowFirstColumn="0" w:firstRowLastColumn="0" w:lastRowFirstColumn="0" w:lastRowLastColumn="0"/>
            </w:pPr>
            <w:r w:rsidRPr="0037067F">
              <w:t xml:space="preserve">Up to $500 </w:t>
            </w:r>
          </w:p>
        </w:tc>
      </w:tr>
      <w:tr w:rsidR="00AE1E92" w:rsidRPr="0037067F" w14:paraId="76FF23DC" w14:textId="77777777" w:rsidTr="009A5D4A">
        <w:trPr>
          <w:trHeight w:val="505"/>
        </w:trPr>
        <w:tc>
          <w:tcPr>
            <w:cnfStyle w:val="001000000000" w:firstRow="0" w:lastRow="0" w:firstColumn="1" w:lastColumn="0" w:oddVBand="0" w:evenVBand="0" w:oddHBand="0" w:evenHBand="0" w:firstRowFirstColumn="0" w:firstRowLastColumn="0" w:lastRowFirstColumn="0" w:lastRowLastColumn="0"/>
            <w:tcW w:w="1831" w:type="dxa"/>
          </w:tcPr>
          <w:p w14:paraId="380257B9" w14:textId="0B2366EA" w:rsidR="004D5035" w:rsidRPr="0062504B" w:rsidRDefault="004D5035" w:rsidP="002B2F3B">
            <w:pPr>
              <w:pStyle w:val="Tabletextbold"/>
            </w:pPr>
            <w:r w:rsidRPr="0062504B">
              <w:t>Bupa</w:t>
            </w:r>
            <w:r w:rsidR="007B7939">
              <w:rPr>
                <w:rFonts w:ascii="ZWAdobeF" w:hAnsi="ZWAdobeF" w:cs="ZWAdobeF"/>
                <w:color w:val="auto"/>
                <w:sz w:val="2"/>
                <w:szCs w:val="2"/>
              </w:rPr>
              <w:t>23F</w:t>
            </w:r>
            <w:r w:rsidRPr="0062504B">
              <w:rPr>
                <w:rStyle w:val="FootnoteReference"/>
                <w:szCs w:val="20"/>
              </w:rPr>
              <w:footnoteReference w:id="54"/>
            </w:r>
          </w:p>
        </w:tc>
        <w:tc>
          <w:tcPr>
            <w:tcW w:w="1210" w:type="dxa"/>
          </w:tcPr>
          <w:p w14:paraId="4CEC1CE3" w14:textId="77777777" w:rsidR="004D5035" w:rsidRPr="0037067F" w:rsidRDefault="004D5035" w:rsidP="00300508">
            <w:pPr>
              <w:pStyle w:val="TableText"/>
              <w:cnfStyle w:val="000000000000" w:firstRow="0" w:lastRow="0" w:firstColumn="0" w:lastColumn="0" w:oddVBand="0" w:evenVBand="0" w:oddHBand="0" w:evenHBand="0" w:firstRowFirstColumn="0" w:firstRowLastColumn="0" w:lastRowFirstColumn="0" w:lastRowLastColumn="0"/>
            </w:pPr>
            <w:r w:rsidRPr="0037067F">
              <w:t>Super extras or Top extras</w:t>
            </w:r>
          </w:p>
        </w:tc>
        <w:tc>
          <w:tcPr>
            <w:tcW w:w="1449" w:type="dxa"/>
          </w:tcPr>
          <w:p w14:paraId="191D11A6" w14:textId="70432A0F" w:rsidR="004D5035" w:rsidRPr="00EB003C" w:rsidRDefault="00300508" w:rsidP="00300508">
            <w:pPr>
              <w:pStyle w:val="TableText"/>
              <w:cnfStyle w:val="000000000000" w:firstRow="0" w:lastRow="0" w:firstColumn="0" w:lastColumn="0" w:oddVBand="0" w:evenVBand="0" w:oddHBand="0" w:evenHBand="0" w:firstRowFirstColumn="0" w:firstRowLastColumn="0" w:lastRowFirstColumn="0" w:lastRowLastColumn="0"/>
            </w:pPr>
            <w:r>
              <w:t>Yes</w:t>
            </w:r>
          </w:p>
        </w:tc>
        <w:tc>
          <w:tcPr>
            <w:tcW w:w="1268" w:type="dxa"/>
          </w:tcPr>
          <w:p w14:paraId="0B3AD756" w14:textId="3FAB688A" w:rsidR="004D5035" w:rsidRPr="00AE07F3" w:rsidRDefault="00300508" w:rsidP="00300508">
            <w:pPr>
              <w:pStyle w:val="TableText"/>
              <w:cnfStyle w:val="000000000000" w:firstRow="0" w:lastRow="0" w:firstColumn="0" w:lastColumn="0" w:oddVBand="0" w:evenVBand="0" w:oddHBand="0" w:evenHBand="0" w:firstRowFirstColumn="0" w:firstRowLastColumn="0" w:lastRowFirstColumn="0" w:lastRowLastColumn="0"/>
            </w:pPr>
            <w:r>
              <w:rPr>
                <w:szCs w:val="28"/>
              </w:rPr>
              <w:t>No</w:t>
            </w:r>
          </w:p>
        </w:tc>
        <w:tc>
          <w:tcPr>
            <w:tcW w:w="1344" w:type="dxa"/>
          </w:tcPr>
          <w:p w14:paraId="6B63C366" w14:textId="77777777" w:rsidR="004D5035" w:rsidRPr="0037067F" w:rsidRDefault="004D5035" w:rsidP="00300508">
            <w:pPr>
              <w:pStyle w:val="TableText"/>
              <w:cnfStyle w:val="000000000000" w:firstRow="0" w:lastRow="0" w:firstColumn="0" w:lastColumn="0" w:oddVBand="0" w:evenVBand="0" w:oddHBand="0" w:evenHBand="0" w:firstRowFirstColumn="0" w:firstRowLastColumn="0" w:lastRowFirstColumn="0" w:lastRowLastColumn="0"/>
            </w:pPr>
            <w:r w:rsidRPr="0037067F">
              <w:t xml:space="preserve">Not specified </w:t>
            </w:r>
          </w:p>
        </w:tc>
        <w:tc>
          <w:tcPr>
            <w:tcW w:w="1214" w:type="dxa"/>
          </w:tcPr>
          <w:p w14:paraId="6D4C12FE" w14:textId="77777777" w:rsidR="004D5035" w:rsidRPr="0037067F" w:rsidRDefault="004D5035" w:rsidP="00300508">
            <w:pPr>
              <w:pStyle w:val="TableText"/>
              <w:cnfStyle w:val="000000000000" w:firstRow="0" w:lastRow="0" w:firstColumn="0" w:lastColumn="0" w:oddVBand="0" w:evenVBand="0" w:oddHBand="0" w:evenHBand="0" w:firstRowFirstColumn="0" w:firstRowLastColumn="0" w:lastRowFirstColumn="0" w:lastRowLastColumn="0"/>
            </w:pPr>
            <w:r w:rsidRPr="0037067F">
              <w:t>12 months</w:t>
            </w:r>
          </w:p>
        </w:tc>
        <w:tc>
          <w:tcPr>
            <w:tcW w:w="1689" w:type="dxa"/>
          </w:tcPr>
          <w:p w14:paraId="1A818CB1" w14:textId="77777777" w:rsidR="004D5035" w:rsidRPr="0037067F" w:rsidRDefault="004D5035" w:rsidP="00300508">
            <w:pPr>
              <w:pStyle w:val="TableText"/>
              <w:cnfStyle w:val="000000000000" w:firstRow="0" w:lastRow="0" w:firstColumn="0" w:lastColumn="0" w:oddVBand="0" w:evenVBand="0" w:oddHBand="0" w:evenHBand="0" w:firstRowFirstColumn="0" w:firstRowLastColumn="0" w:lastRowFirstColumn="0" w:lastRowLastColumn="0"/>
            </w:pPr>
            <w:r w:rsidRPr="0037067F">
              <w:t xml:space="preserve">Up to $500 </w:t>
            </w:r>
            <w:r>
              <w:t xml:space="preserve">or </w:t>
            </w:r>
            <w:r w:rsidRPr="0037067F">
              <w:t>up to 70% of the charge</w:t>
            </w:r>
          </w:p>
        </w:tc>
      </w:tr>
      <w:tr w:rsidR="00AE1E92" w:rsidRPr="0037067F" w14:paraId="7A104633" w14:textId="77777777" w:rsidTr="009A5D4A">
        <w:trPr>
          <w:trHeight w:val="505"/>
        </w:trPr>
        <w:tc>
          <w:tcPr>
            <w:cnfStyle w:val="001000000000" w:firstRow="0" w:lastRow="0" w:firstColumn="1" w:lastColumn="0" w:oddVBand="0" w:evenVBand="0" w:oddHBand="0" w:evenHBand="0" w:firstRowFirstColumn="0" w:firstRowLastColumn="0" w:lastRowFirstColumn="0" w:lastRowLastColumn="0"/>
            <w:tcW w:w="1831" w:type="dxa"/>
          </w:tcPr>
          <w:p w14:paraId="3CF0A211" w14:textId="682FC632" w:rsidR="004D5035" w:rsidRPr="0062504B" w:rsidRDefault="004D5035" w:rsidP="002B2F3B">
            <w:pPr>
              <w:pStyle w:val="Tabletextbold"/>
            </w:pPr>
            <w:r w:rsidRPr="0062504B">
              <w:t>HIF</w:t>
            </w:r>
            <w:r w:rsidR="007B7939">
              <w:rPr>
                <w:rFonts w:ascii="ZWAdobeF" w:hAnsi="ZWAdobeF" w:cs="ZWAdobeF"/>
                <w:color w:val="auto"/>
                <w:sz w:val="2"/>
                <w:szCs w:val="2"/>
              </w:rPr>
              <w:t>24F</w:t>
            </w:r>
            <w:r w:rsidRPr="0062504B">
              <w:rPr>
                <w:rStyle w:val="FootnoteReference"/>
                <w:szCs w:val="20"/>
              </w:rPr>
              <w:footnoteReference w:id="55"/>
            </w:r>
          </w:p>
        </w:tc>
        <w:tc>
          <w:tcPr>
            <w:tcW w:w="1210" w:type="dxa"/>
          </w:tcPr>
          <w:p w14:paraId="76864734" w14:textId="77777777" w:rsidR="004D5035" w:rsidRPr="0037067F" w:rsidRDefault="004D5035" w:rsidP="00300508">
            <w:pPr>
              <w:pStyle w:val="TableText"/>
              <w:cnfStyle w:val="000000000000" w:firstRow="0" w:lastRow="0" w:firstColumn="0" w:lastColumn="0" w:oddVBand="0" w:evenVBand="0" w:oddHBand="0" w:evenHBand="0" w:firstRowFirstColumn="0" w:firstRowLastColumn="0" w:lastRowFirstColumn="0" w:lastRowLastColumn="0"/>
            </w:pPr>
            <w:r w:rsidRPr="0037067F">
              <w:t>Advanced extras or Top extras</w:t>
            </w:r>
          </w:p>
        </w:tc>
        <w:tc>
          <w:tcPr>
            <w:tcW w:w="1449" w:type="dxa"/>
          </w:tcPr>
          <w:p w14:paraId="18669EB6" w14:textId="40553D0B" w:rsidR="004D5035" w:rsidRPr="00EB003C" w:rsidRDefault="00300508" w:rsidP="00300508">
            <w:pPr>
              <w:pStyle w:val="TableText"/>
              <w:cnfStyle w:val="000000000000" w:firstRow="0" w:lastRow="0" w:firstColumn="0" w:lastColumn="0" w:oddVBand="0" w:evenVBand="0" w:oddHBand="0" w:evenHBand="0" w:firstRowFirstColumn="0" w:firstRowLastColumn="0" w:lastRowFirstColumn="0" w:lastRowLastColumn="0"/>
            </w:pPr>
            <w:r>
              <w:t>Yes</w:t>
            </w:r>
          </w:p>
        </w:tc>
        <w:tc>
          <w:tcPr>
            <w:tcW w:w="1268" w:type="dxa"/>
          </w:tcPr>
          <w:p w14:paraId="33E379AB" w14:textId="7AA4868A" w:rsidR="004D5035" w:rsidRPr="00AE07F3" w:rsidRDefault="00300508" w:rsidP="00300508">
            <w:pPr>
              <w:pStyle w:val="TableText"/>
              <w:cnfStyle w:val="000000000000" w:firstRow="0" w:lastRow="0" w:firstColumn="0" w:lastColumn="0" w:oddVBand="0" w:evenVBand="0" w:oddHBand="0" w:evenHBand="0" w:firstRowFirstColumn="0" w:firstRowLastColumn="0" w:lastRowFirstColumn="0" w:lastRowLastColumn="0"/>
            </w:pPr>
            <w:r w:rsidRPr="00300508">
              <w:t>No</w:t>
            </w:r>
          </w:p>
        </w:tc>
        <w:tc>
          <w:tcPr>
            <w:tcW w:w="1344" w:type="dxa"/>
          </w:tcPr>
          <w:p w14:paraId="38BF6EE3" w14:textId="77777777" w:rsidR="004D5035" w:rsidRPr="0037067F" w:rsidRDefault="004D5035" w:rsidP="00300508">
            <w:pPr>
              <w:pStyle w:val="TableText"/>
              <w:cnfStyle w:val="000000000000" w:firstRow="0" w:lastRow="0" w:firstColumn="0" w:lastColumn="0" w:oddVBand="0" w:evenVBand="0" w:oddHBand="0" w:evenHBand="0" w:firstRowFirstColumn="0" w:firstRowLastColumn="0" w:lastRowFirstColumn="0" w:lastRowLastColumn="0"/>
            </w:pPr>
            <w:r w:rsidRPr="0037067F">
              <w:t>Not specified</w:t>
            </w:r>
          </w:p>
        </w:tc>
        <w:tc>
          <w:tcPr>
            <w:tcW w:w="1214" w:type="dxa"/>
          </w:tcPr>
          <w:p w14:paraId="230DC52C" w14:textId="77777777" w:rsidR="004D5035" w:rsidRPr="0037067F" w:rsidRDefault="004D5035" w:rsidP="00300508">
            <w:pPr>
              <w:pStyle w:val="TableText"/>
              <w:cnfStyle w:val="000000000000" w:firstRow="0" w:lastRow="0" w:firstColumn="0" w:lastColumn="0" w:oddVBand="0" w:evenVBand="0" w:oddHBand="0" w:evenHBand="0" w:firstRowFirstColumn="0" w:firstRowLastColumn="0" w:lastRowFirstColumn="0" w:lastRowLastColumn="0"/>
            </w:pPr>
            <w:r w:rsidRPr="0037067F">
              <w:t xml:space="preserve">12 months </w:t>
            </w:r>
          </w:p>
        </w:tc>
        <w:tc>
          <w:tcPr>
            <w:tcW w:w="1689" w:type="dxa"/>
          </w:tcPr>
          <w:p w14:paraId="6251E021" w14:textId="77777777" w:rsidR="004D5035" w:rsidRPr="0037067F" w:rsidRDefault="004D5035" w:rsidP="00300508">
            <w:pPr>
              <w:pStyle w:val="TableText"/>
              <w:cnfStyle w:val="000000000000" w:firstRow="0" w:lastRow="0" w:firstColumn="0" w:lastColumn="0" w:oddVBand="0" w:evenVBand="0" w:oddHBand="0" w:evenHBand="0" w:firstRowFirstColumn="0" w:firstRowLastColumn="0" w:lastRowFirstColumn="0" w:lastRowLastColumn="0"/>
            </w:pPr>
            <w:r w:rsidRPr="0037067F">
              <w:t xml:space="preserve">Up to $800 </w:t>
            </w:r>
            <w:r>
              <w:t xml:space="preserve">or </w:t>
            </w:r>
            <w:r w:rsidRPr="0037067F">
              <w:t>up to 75% of the charge</w:t>
            </w:r>
          </w:p>
        </w:tc>
      </w:tr>
      <w:tr w:rsidR="00AE1E92" w:rsidRPr="0037067F" w14:paraId="5518F306" w14:textId="77777777" w:rsidTr="009A5D4A">
        <w:trPr>
          <w:trHeight w:val="540"/>
        </w:trPr>
        <w:tc>
          <w:tcPr>
            <w:cnfStyle w:val="001000000000" w:firstRow="0" w:lastRow="0" w:firstColumn="1" w:lastColumn="0" w:oddVBand="0" w:evenVBand="0" w:oddHBand="0" w:evenHBand="0" w:firstRowFirstColumn="0" w:firstRowLastColumn="0" w:lastRowFirstColumn="0" w:lastRowLastColumn="0"/>
            <w:tcW w:w="1831" w:type="dxa"/>
          </w:tcPr>
          <w:p w14:paraId="421EF3E7" w14:textId="0BD35CED" w:rsidR="004D5035" w:rsidRPr="0062504B" w:rsidRDefault="004D5035" w:rsidP="002B2F3B">
            <w:pPr>
              <w:pStyle w:val="Tabletextbold"/>
            </w:pPr>
            <w:r w:rsidRPr="0062504B">
              <w:t>Emergency Services Health</w:t>
            </w:r>
            <w:r w:rsidR="007B7939">
              <w:rPr>
                <w:rFonts w:ascii="ZWAdobeF" w:hAnsi="ZWAdobeF" w:cs="ZWAdobeF"/>
                <w:color w:val="auto"/>
                <w:sz w:val="2"/>
                <w:szCs w:val="2"/>
              </w:rPr>
              <w:t>25F</w:t>
            </w:r>
            <w:r w:rsidRPr="0062504B">
              <w:rPr>
                <w:rStyle w:val="FootnoteReference"/>
                <w:szCs w:val="20"/>
              </w:rPr>
              <w:footnoteReference w:id="56"/>
            </w:r>
          </w:p>
        </w:tc>
        <w:tc>
          <w:tcPr>
            <w:tcW w:w="1210" w:type="dxa"/>
          </w:tcPr>
          <w:p w14:paraId="387FB132" w14:textId="77777777" w:rsidR="004D5035" w:rsidRPr="0037067F" w:rsidRDefault="004D5035" w:rsidP="00300508">
            <w:pPr>
              <w:pStyle w:val="TableText"/>
              <w:cnfStyle w:val="000000000000" w:firstRow="0" w:lastRow="0" w:firstColumn="0" w:lastColumn="0" w:oddVBand="0" w:evenVBand="0" w:oddHBand="0" w:evenHBand="0" w:firstRowFirstColumn="0" w:firstRowLastColumn="0" w:lastRowFirstColumn="0" w:lastRowLastColumn="0"/>
            </w:pPr>
            <w:r w:rsidRPr="0037067F">
              <w:t>Gold Hospital Cover or Gold Combined Cover</w:t>
            </w:r>
          </w:p>
        </w:tc>
        <w:tc>
          <w:tcPr>
            <w:tcW w:w="1449" w:type="dxa"/>
          </w:tcPr>
          <w:p w14:paraId="15BDA18F" w14:textId="0A100D9E" w:rsidR="004D5035" w:rsidRPr="00EB003C" w:rsidRDefault="00300508" w:rsidP="00300508">
            <w:pPr>
              <w:pStyle w:val="TableText"/>
              <w:cnfStyle w:val="000000000000" w:firstRow="0" w:lastRow="0" w:firstColumn="0" w:lastColumn="0" w:oddVBand="0" w:evenVBand="0" w:oddHBand="0" w:evenHBand="0" w:firstRowFirstColumn="0" w:firstRowLastColumn="0" w:lastRowFirstColumn="0" w:lastRowLastColumn="0"/>
            </w:pPr>
            <w:r>
              <w:t>Yes</w:t>
            </w:r>
          </w:p>
        </w:tc>
        <w:tc>
          <w:tcPr>
            <w:tcW w:w="1268" w:type="dxa"/>
          </w:tcPr>
          <w:p w14:paraId="3AA4D0B0" w14:textId="271320F5" w:rsidR="004D5035" w:rsidRPr="0037067F" w:rsidRDefault="00300508" w:rsidP="00300508">
            <w:pPr>
              <w:pStyle w:val="TableText"/>
              <w:cnfStyle w:val="000000000000" w:firstRow="0" w:lastRow="0" w:firstColumn="0" w:lastColumn="0" w:oddVBand="0" w:evenVBand="0" w:oddHBand="0" w:evenHBand="0" w:firstRowFirstColumn="0" w:firstRowLastColumn="0" w:lastRowFirstColumn="0" w:lastRowLastColumn="0"/>
            </w:pPr>
            <w:r>
              <w:t>Yes</w:t>
            </w:r>
          </w:p>
        </w:tc>
        <w:tc>
          <w:tcPr>
            <w:tcW w:w="1344" w:type="dxa"/>
          </w:tcPr>
          <w:p w14:paraId="5FE6D34A" w14:textId="77777777" w:rsidR="004D5035" w:rsidRPr="0037067F" w:rsidRDefault="004D5035" w:rsidP="00300508">
            <w:pPr>
              <w:pStyle w:val="TableText"/>
              <w:cnfStyle w:val="000000000000" w:firstRow="0" w:lastRow="0" w:firstColumn="0" w:lastColumn="0" w:oddVBand="0" w:evenVBand="0" w:oddHBand="0" w:evenHBand="0" w:firstRowFirstColumn="0" w:firstRowLastColumn="0" w:lastRowFirstColumn="0" w:lastRowLastColumn="0"/>
            </w:pPr>
            <w:r w:rsidRPr="0037067F">
              <w:t>24 months</w:t>
            </w:r>
          </w:p>
        </w:tc>
        <w:tc>
          <w:tcPr>
            <w:tcW w:w="1214" w:type="dxa"/>
          </w:tcPr>
          <w:p w14:paraId="3544B88B" w14:textId="77777777" w:rsidR="004D5035" w:rsidRPr="0037067F" w:rsidRDefault="004D5035" w:rsidP="00300508">
            <w:pPr>
              <w:pStyle w:val="TableText"/>
              <w:cnfStyle w:val="000000000000" w:firstRow="0" w:lastRow="0" w:firstColumn="0" w:lastColumn="0" w:oddVBand="0" w:evenVBand="0" w:oddHBand="0" w:evenHBand="0" w:firstRowFirstColumn="0" w:firstRowLastColumn="0" w:lastRowFirstColumn="0" w:lastRowLastColumn="0"/>
            </w:pPr>
            <w:r w:rsidRPr="0037067F">
              <w:t xml:space="preserve">12 months </w:t>
            </w:r>
          </w:p>
        </w:tc>
        <w:tc>
          <w:tcPr>
            <w:tcW w:w="1689" w:type="dxa"/>
          </w:tcPr>
          <w:p w14:paraId="28686D3C" w14:textId="77777777" w:rsidR="004D5035" w:rsidRPr="0037067F" w:rsidRDefault="004D5035" w:rsidP="00300508">
            <w:pPr>
              <w:pStyle w:val="TableText"/>
              <w:cnfStyle w:val="000000000000" w:firstRow="0" w:lastRow="0" w:firstColumn="0" w:lastColumn="0" w:oddVBand="0" w:evenVBand="0" w:oddHBand="0" w:evenHBand="0" w:firstRowFirstColumn="0" w:firstRowLastColumn="0" w:lastRowFirstColumn="0" w:lastRowLastColumn="0"/>
              <w:rPr>
                <w:szCs w:val="20"/>
              </w:rPr>
            </w:pPr>
            <w:r w:rsidRPr="0037067F">
              <w:t xml:space="preserve">Up to $300 for prostheses </w:t>
            </w:r>
            <w:r>
              <w:rPr>
                <w:szCs w:val="20"/>
              </w:rPr>
              <w:t xml:space="preserve">or </w:t>
            </w:r>
            <w:r w:rsidRPr="0037067F">
              <w:rPr>
                <w:szCs w:val="20"/>
              </w:rPr>
              <w:t xml:space="preserve">up to 80% of the charge </w:t>
            </w:r>
          </w:p>
          <w:p w14:paraId="49336E3D" w14:textId="301210CF" w:rsidR="004D5035" w:rsidRPr="0037067F" w:rsidRDefault="004D5035" w:rsidP="00300508">
            <w:pPr>
              <w:pStyle w:val="TableText"/>
              <w:cnfStyle w:val="000000000000" w:firstRow="0" w:lastRow="0" w:firstColumn="0" w:lastColumn="0" w:oddVBand="0" w:evenVBand="0" w:oddHBand="0" w:evenHBand="0" w:firstRowFirstColumn="0" w:firstRowLastColumn="0" w:lastRowFirstColumn="0" w:lastRowLastColumn="0"/>
            </w:pPr>
            <w:r w:rsidRPr="0037067F">
              <w:t>Up to $100 for</w:t>
            </w:r>
            <w:r w:rsidR="00981FF6">
              <w:t xml:space="preserve"> a</w:t>
            </w:r>
            <w:r w:rsidRPr="0037067F">
              <w:t xml:space="preserve"> bra (up to 80% of charge)</w:t>
            </w:r>
          </w:p>
        </w:tc>
      </w:tr>
    </w:tbl>
    <w:p w14:paraId="3930175B" w14:textId="77777777" w:rsidR="00EE503E" w:rsidRPr="00090D0A" w:rsidRDefault="00EE503E" w:rsidP="00090D0A">
      <w:pPr>
        <w:pStyle w:val="Caption-Source"/>
      </w:pPr>
      <w:r w:rsidRPr="00090D0A">
        <w:t>Source: Medibank (2025), Bupa (2025), HIF (2025), Nib (2025). Emergency services health (2023).</w:t>
      </w:r>
    </w:p>
    <w:p w14:paraId="724ED925" w14:textId="0A441497" w:rsidR="00AF1727" w:rsidRDefault="00AD5A8B" w:rsidP="0008727C">
      <w:pPr>
        <w:pStyle w:val="Heading3"/>
      </w:pPr>
      <w:bookmarkStart w:id="67" w:name="_Ref200470071"/>
      <w:bookmarkEnd w:id="64"/>
      <w:r>
        <w:t xml:space="preserve">Additional </w:t>
      </w:r>
      <w:r w:rsidR="000B1060">
        <w:t xml:space="preserve">external breast </w:t>
      </w:r>
      <w:r w:rsidR="00AF1727">
        <w:t xml:space="preserve">prostheses </w:t>
      </w:r>
      <w:r w:rsidR="007D513D">
        <w:t xml:space="preserve">programs, </w:t>
      </w:r>
      <w:r w:rsidR="00AF1727">
        <w:t>services</w:t>
      </w:r>
      <w:r w:rsidR="00CB71A1">
        <w:t xml:space="preserve"> </w:t>
      </w:r>
      <w:r w:rsidR="007D513D">
        <w:t>and</w:t>
      </w:r>
      <w:r w:rsidR="00CB71A1">
        <w:t xml:space="preserve"> </w:t>
      </w:r>
      <w:r w:rsidR="00AF1727">
        <w:t>scheme</w:t>
      </w:r>
      <w:r w:rsidR="00CB71A1">
        <w:t>s</w:t>
      </w:r>
      <w:bookmarkEnd w:id="67"/>
      <w:r w:rsidR="007D513D">
        <w:t xml:space="preserve"> </w:t>
      </w:r>
    </w:p>
    <w:p w14:paraId="6DA4E0C5" w14:textId="77777777" w:rsidR="00A80877" w:rsidRDefault="00B205C9" w:rsidP="00E04FA3">
      <w:pPr>
        <w:spacing w:after="120"/>
      </w:pPr>
      <w:r>
        <w:t xml:space="preserve">Prior to </w:t>
      </w:r>
      <w:r w:rsidR="00AF1727" w:rsidRPr="006B52BD">
        <w:t xml:space="preserve">the </w:t>
      </w:r>
      <w:r>
        <w:t>establishment of</w:t>
      </w:r>
      <w:r w:rsidR="00AF1727" w:rsidRPr="006B52BD">
        <w:t xml:space="preserve"> the </w:t>
      </w:r>
      <w:r w:rsidR="00770354">
        <w:t>EBPRP</w:t>
      </w:r>
      <w:r w:rsidR="00AF1727" w:rsidRPr="006B52BD">
        <w:t xml:space="preserve"> in 2008, </w:t>
      </w:r>
      <w:r w:rsidR="00873EC3">
        <w:t>reimbursement</w:t>
      </w:r>
      <w:r w:rsidR="00AF1727" w:rsidRPr="006B52BD">
        <w:t xml:space="preserve"> for external breast prostheses was managed </w:t>
      </w:r>
      <w:r w:rsidR="00331085">
        <w:t>independently</w:t>
      </w:r>
      <w:r w:rsidR="00AF1727" w:rsidRPr="006B52BD">
        <w:t xml:space="preserve"> by each </w:t>
      </w:r>
      <w:r>
        <w:t>s</w:t>
      </w:r>
      <w:r w:rsidR="00AF1727" w:rsidRPr="006B52BD">
        <w:t xml:space="preserve">tate and </w:t>
      </w:r>
      <w:r>
        <w:t>t</w:t>
      </w:r>
      <w:r w:rsidR="00AF1727" w:rsidRPr="006B52BD">
        <w:t xml:space="preserve">erritory. These programs were phased out with the introduction of the </w:t>
      </w:r>
      <w:r w:rsidR="00770354">
        <w:t>EBPRP</w:t>
      </w:r>
      <w:r w:rsidR="00AF1727" w:rsidRPr="006B52BD">
        <w:t xml:space="preserve">, </w:t>
      </w:r>
      <w:r w:rsidR="00AF1727" w:rsidRPr="0079377C">
        <w:t xml:space="preserve">which </w:t>
      </w:r>
      <w:r w:rsidR="000B1060">
        <w:t>was implemented to ensure</w:t>
      </w:r>
      <w:r w:rsidR="00AF1727" w:rsidRPr="0079377C">
        <w:t xml:space="preserve"> a consistent, national approach to the claims process a</w:t>
      </w:r>
      <w:r w:rsidR="000B1060">
        <w:t xml:space="preserve">nd reimbursements </w:t>
      </w:r>
      <w:r w:rsidR="000B1060" w:rsidRPr="000543B6">
        <w:t>pro</w:t>
      </w:r>
      <w:r w:rsidR="000B1060">
        <w:t xml:space="preserve">vided </w:t>
      </w:r>
      <w:r w:rsidR="00AF1727" w:rsidRPr="0079377C">
        <w:t>across Australia.</w:t>
      </w:r>
      <w:r w:rsidR="007B7939">
        <w:rPr>
          <w:rFonts w:ascii="ZWAdobeF" w:hAnsi="ZWAdobeF" w:cs="ZWAdobeF"/>
          <w:color w:val="auto"/>
          <w:sz w:val="2"/>
          <w:szCs w:val="2"/>
        </w:rPr>
        <w:t>26F</w:t>
      </w:r>
      <w:r w:rsidR="00AF1727" w:rsidRPr="0079377C">
        <w:rPr>
          <w:rStyle w:val="FootnoteReference"/>
        </w:rPr>
        <w:footnoteReference w:id="57"/>
      </w:r>
      <w:r w:rsidR="00AF1727" w:rsidRPr="0079377C">
        <w:t xml:space="preserve"> </w:t>
      </w:r>
    </w:p>
    <w:p w14:paraId="3486327D" w14:textId="2C32B0CD" w:rsidR="00D16B78" w:rsidRDefault="001C748F" w:rsidP="00E04FA3">
      <w:pPr>
        <w:spacing w:after="120"/>
      </w:pPr>
      <w:r w:rsidRPr="000543B6">
        <w:t xml:space="preserve">Despite this, </w:t>
      </w:r>
      <w:r w:rsidR="000B1060" w:rsidRPr="000543B6">
        <w:t xml:space="preserve">additional </w:t>
      </w:r>
      <w:r w:rsidRPr="000543B6">
        <w:t xml:space="preserve">services remain available in </w:t>
      </w:r>
      <w:r w:rsidR="00F37D00" w:rsidRPr="000543B6">
        <w:t>some</w:t>
      </w:r>
      <w:r w:rsidRPr="000543B6">
        <w:t xml:space="preserve"> </w:t>
      </w:r>
      <w:r w:rsidR="000B1060" w:rsidRPr="000543B6">
        <w:t>s</w:t>
      </w:r>
      <w:r w:rsidRPr="000543B6">
        <w:t xml:space="preserve">tates and </w:t>
      </w:r>
      <w:r w:rsidR="000B1060" w:rsidRPr="000543B6">
        <w:t>t</w:t>
      </w:r>
      <w:r w:rsidRPr="000543B6">
        <w:t>erritories</w:t>
      </w:r>
      <w:r w:rsidR="00F37D00" w:rsidRPr="000543B6">
        <w:t>,</w:t>
      </w:r>
      <w:r w:rsidRPr="000543B6">
        <w:t xml:space="preserve"> delivered </w:t>
      </w:r>
      <w:r w:rsidR="000B1060" w:rsidRPr="000543B6">
        <w:t>through</w:t>
      </w:r>
      <w:r w:rsidRPr="000543B6">
        <w:t xml:space="preserve"> not-for-profit organis</w:t>
      </w:r>
      <w:r w:rsidRPr="001C748F">
        <w:t>ations and charities.</w:t>
      </w:r>
      <w:r>
        <w:t xml:space="preserve"> </w:t>
      </w:r>
      <w:r w:rsidR="00683C89">
        <w:t xml:space="preserve">This section outlines the </w:t>
      </w:r>
      <w:r w:rsidR="008609BA">
        <w:t xml:space="preserve">availability of </w:t>
      </w:r>
      <w:r w:rsidR="009C4A92">
        <w:t xml:space="preserve">additional services </w:t>
      </w:r>
      <w:r w:rsidR="004E0ED5">
        <w:t>in each jurisdiction</w:t>
      </w:r>
      <w:r w:rsidR="008609BA">
        <w:t>.</w:t>
      </w:r>
      <w:r w:rsidR="00683C89">
        <w:t xml:space="preserve"> </w:t>
      </w:r>
    </w:p>
    <w:p w14:paraId="70A6E17E" w14:textId="0859A453" w:rsidR="005069E9" w:rsidRDefault="005069E9" w:rsidP="00FD54A5">
      <w:pPr>
        <w:pStyle w:val="Heading4"/>
      </w:pPr>
      <w:r>
        <w:t>New South Wales</w:t>
      </w:r>
    </w:p>
    <w:p w14:paraId="3D4D827E" w14:textId="3EE519A2" w:rsidR="00D77125" w:rsidRPr="000543B6" w:rsidRDefault="00292131" w:rsidP="008B474C">
      <w:r>
        <w:t>Access to breast prostheses i</w:t>
      </w:r>
      <w:r w:rsidR="00937939">
        <w:t>n</w:t>
      </w:r>
      <w:r w:rsidR="00BB43D3">
        <w:t xml:space="preserve"> </w:t>
      </w:r>
      <w:r w:rsidR="00A1412D">
        <w:t>N</w:t>
      </w:r>
      <w:r w:rsidR="00A52F7B">
        <w:t>ew South Wales</w:t>
      </w:r>
      <w:r>
        <w:t xml:space="preserve"> is supported </w:t>
      </w:r>
      <w:r w:rsidR="00D77125">
        <w:t>by a mix o</w:t>
      </w:r>
      <w:r>
        <w:t>f local services and community-led outreach initiatives</w:t>
      </w:r>
      <w:r w:rsidR="00054BF9">
        <w:t>, in addition to the national programs outline</w:t>
      </w:r>
      <w:r w:rsidR="00D33882">
        <w:t>d</w:t>
      </w:r>
      <w:r w:rsidR="00054BF9">
        <w:t xml:space="preserve"> </w:t>
      </w:r>
      <w:r w:rsidR="00054BF9" w:rsidRPr="0030799D">
        <w:t xml:space="preserve">in Section </w:t>
      </w:r>
      <w:r w:rsidR="00054BF9" w:rsidRPr="0030799D">
        <w:fldChar w:fldCharType="begin"/>
      </w:r>
      <w:r w:rsidR="00054BF9" w:rsidRPr="0030799D">
        <w:instrText xml:space="preserve"> REF _Ref198823039 \r \h  \* MERGEFORMAT </w:instrText>
      </w:r>
      <w:r w:rsidR="00054BF9" w:rsidRPr="0030799D">
        <w:fldChar w:fldCharType="separate"/>
      </w:r>
      <w:r w:rsidR="00D955D8">
        <w:t>2.2.2</w:t>
      </w:r>
      <w:r w:rsidR="00054BF9" w:rsidRPr="0030799D">
        <w:fldChar w:fldCharType="end"/>
      </w:r>
      <w:r w:rsidR="00054BF9">
        <w:rPr>
          <w:b/>
          <w:bCs/>
        </w:rPr>
        <w:t>.</w:t>
      </w:r>
      <w:r>
        <w:t xml:space="preserve"> </w:t>
      </w:r>
      <w:r w:rsidR="00D77125">
        <w:t>Charities providing free external bre</w:t>
      </w:r>
      <w:r w:rsidR="00D77125" w:rsidRPr="000543B6">
        <w:t>ast prostheses include:</w:t>
      </w:r>
    </w:p>
    <w:p w14:paraId="2F4F3CB9" w14:textId="2FB569F6" w:rsidR="00AF7D14" w:rsidRDefault="00370CFC" w:rsidP="00300508">
      <w:pPr>
        <w:pStyle w:val="Bullet1stlevel"/>
      </w:pPr>
      <w:r>
        <w:t>Pink Angels,</w:t>
      </w:r>
      <w:r w:rsidR="0002563C">
        <w:t xml:space="preserve"> a </w:t>
      </w:r>
      <w:r w:rsidR="00BC03AC">
        <w:t>not-for-profit</w:t>
      </w:r>
      <w:r w:rsidR="0002563C">
        <w:t xml:space="preserve"> organisation</w:t>
      </w:r>
      <w:r w:rsidR="00AF7D14">
        <w:t xml:space="preserve"> based in Dubbo</w:t>
      </w:r>
      <w:r w:rsidR="0002563C">
        <w:t>,</w:t>
      </w:r>
      <w:r>
        <w:t xml:space="preserve"> </w:t>
      </w:r>
      <w:r w:rsidR="00D33882">
        <w:t xml:space="preserve">which </w:t>
      </w:r>
      <w:r>
        <w:t>provides free support</w:t>
      </w:r>
      <w:r w:rsidR="00CE6B6F">
        <w:t xml:space="preserve"> to</w:t>
      </w:r>
      <w:r>
        <w:t xml:space="preserve"> women undergoing </w:t>
      </w:r>
      <w:r w:rsidR="00B05DA7">
        <w:t>breast cancer treatment</w:t>
      </w:r>
      <w:r w:rsidR="009C4A92">
        <w:t>,</w:t>
      </w:r>
      <w:r w:rsidR="00B05DA7">
        <w:t xml:space="preserve"> </w:t>
      </w:r>
      <w:r w:rsidR="00CE6B6F">
        <w:t>includ</w:t>
      </w:r>
      <w:r w:rsidR="00AF7D14">
        <w:t>ing</w:t>
      </w:r>
      <w:r w:rsidR="00CE6B6F">
        <w:t xml:space="preserve"> breast care packs,</w:t>
      </w:r>
      <w:r w:rsidR="00EC1227">
        <w:t xml:space="preserve"> </w:t>
      </w:r>
      <w:r w:rsidR="00E60810">
        <w:t>external breast prostheses</w:t>
      </w:r>
      <w:r w:rsidR="00EC1227">
        <w:t>, post-operative garments,</w:t>
      </w:r>
      <w:r w:rsidR="00CE6B6F">
        <w:t xml:space="preserve"> </w:t>
      </w:r>
      <w:r w:rsidR="00BC03AC">
        <w:t xml:space="preserve">fuel </w:t>
      </w:r>
      <w:r w:rsidR="00AF7D14">
        <w:t xml:space="preserve">and meal </w:t>
      </w:r>
      <w:r w:rsidR="00BC03AC">
        <w:t xml:space="preserve">vouchers, accommodation, and travel </w:t>
      </w:r>
      <w:r w:rsidR="00E60810">
        <w:t>assistance</w:t>
      </w:r>
      <w:r w:rsidR="007B7939">
        <w:rPr>
          <w:rFonts w:ascii="ZWAdobeF" w:hAnsi="ZWAdobeF" w:cs="ZWAdobeF"/>
          <w:color w:val="auto"/>
          <w:sz w:val="2"/>
          <w:szCs w:val="2"/>
        </w:rPr>
        <w:t>27F</w:t>
      </w:r>
      <w:r w:rsidR="00200A93">
        <w:rPr>
          <w:rStyle w:val="FootnoteReference"/>
        </w:rPr>
        <w:footnoteReference w:id="58"/>
      </w:r>
      <w:r w:rsidR="00BC03AC">
        <w:t>.</w:t>
      </w:r>
      <w:r w:rsidR="00AF7D14">
        <w:t xml:space="preserve"> Their service area includes Wellington, Narromine, Trangie, Warren, </w:t>
      </w:r>
      <w:r w:rsidR="00AF7D14" w:rsidRPr="004A5491">
        <w:t>Nevertire, Nyngan, Girilambone, Cobar, Brewarrina, Bourke, Lightning Ridge, Coonamble, Coonabarabran, Gilgandra and Gulargambone</w:t>
      </w:r>
      <w:r w:rsidR="00AF7D14">
        <w:t>.</w:t>
      </w:r>
    </w:p>
    <w:p w14:paraId="4CFE3A0E" w14:textId="00A5CFDD" w:rsidR="00454CC1" w:rsidRDefault="00B5178C" w:rsidP="00300508">
      <w:pPr>
        <w:pStyle w:val="Bullet1stlevel"/>
      </w:pPr>
      <w:r>
        <w:t>Hun</w:t>
      </w:r>
      <w:r w:rsidR="00EE3CB6">
        <w:t>t</w:t>
      </w:r>
      <w:r>
        <w:t xml:space="preserve">er Breast Cancer Foundation </w:t>
      </w:r>
      <w:r w:rsidR="00EC2733">
        <w:t>(HBCF)</w:t>
      </w:r>
      <w:r w:rsidR="00E25C7A">
        <w:t xml:space="preserve"> </w:t>
      </w:r>
      <w:r w:rsidR="003C5589">
        <w:t xml:space="preserve">supports </w:t>
      </w:r>
      <w:r w:rsidR="00AF7D14">
        <w:t>individuals</w:t>
      </w:r>
      <w:r w:rsidR="009F6785">
        <w:t xml:space="preserve"> in Newcastle, </w:t>
      </w:r>
      <w:r w:rsidR="009C4A92">
        <w:t>Lake</w:t>
      </w:r>
      <w:r w:rsidR="009F6785">
        <w:t xml:space="preserve"> Macquarie, and </w:t>
      </w:r>
      <w:r w:rsidR="00F701F6">
        <w:t xml:space="preserve">the broader </w:t>
      </w:r>
      <w:r w:rsidR="009F6785">
        <w:t>Hunter region</w:t>
      </w:r>
      <w:r w:rsidR="00F701F6">
        <w:t>. HBCF</w:t>
      </w:r>
      <w:r w:rsidR="00754222">
        <w:t xml:space="preserve"> </w:t>
      </w:r>
      <w:r w:rsidR="00605C77">
        <w:t>provides</w:t>
      </w:r>
      <w:r w:rsidR="009F6785">
        <w:t xml:space="preserve"> mastectomy bra fittings, transport to treatment and </w:t>
      </w:r>
      <w:r w:rsidR="00371F98">
        <w:t xml:space="preserve">financial </w:t>
      </w:r>
      <w:r w:rsidR="0029437D">
        <w:t>assistance for prosthes</w:t>
      </w:r>
      <w:r w:rsidR="009C4A92">
        <w:t>e</w:t>
      </w:r>
      <w:r w:rsidR="0029437D">
        <w:t>s</w:t>
      </w:r>
      <w:r w:rsidR="00371F98">
        <w:t>.</w:t>
      </w:r>
      <w:r w:rsidR="00EC2733">
        <w:t xml:space="preserve"> </w:t>
      </w:r>
      <w:r w:rsidR="00605C77">
        <w:t>Notably, HBCF</w:t>
      </w:r>
      <w:r w:rsidR="00EC2733">
        <w:t xml:space="preserve"> </w:t>
      </w:r>
      <w:r w:rsidR="007C6739" w:rsidRPr="007C6739">
        <w:t xml:space="preserve">covers the up-front cost of prostheses, allowing </w:t>
      </w:r>
      <w:r w:rsidR="00B11CBF">
        <w:t>individuals</w:t>
      </w:r>
      <w:r w:rsidR="007C6739" w:rsidRPr="007C6739">
        <w:t xml:space="preserve"> to claim </w:t>
      </w:r>
      <w:r w:rsidR="008F6AC7">
        <w:t>reimbursement through the</w:t>
      </w:r>
      <w:r w:rsidR="007C6739" w:rsidRPr="007C6739">
        <w:t xml:space="preserve"> </w:t>
      </w:r>
      <w:r w:rsidR="00770354">
        <w:t>EBPRP</w:t>
      </w:r>
      <w:r w:rsidR="007C6739" w:rsidRPr="007C6739">
        <w:t xml:space="preserve"> and </w:t>
      </w:r>
      <w:r w:rsidR="008F6AC7">
        <w:t>then repay</w:t>
      </w:r>
      <w:r w:rsidR="007C6739" w:rsidRPr="007C6739">
        <w:t xml:space="preserve"> the foundation once they receive the rebate. This approach </w:t>
      </w:r>
      <w:r w:rsidR="009C4A92">
        <w:t>eliminates the initial financial barrier of paying out of pocket</w:t>
      </w:r>
      <w:r w:rsidR="007C6739">
        <w:t xml:space="preserve">, </w:t>
      </w:r>
      <w:r w:rsidR="007C6739" w:rsidRPr="007C6739">
        <w:t xml:space="preserve">a common challenge faced by those using the </w:t>
      </w:r>
      <w:r w:rsidR="00770354">
        <w:t>EBPRP</w:t>
      </w:r>
      <w:r w:rsidR="007C6739" w:rsidRPr="007C6739">
        <w:t>.</w:t>
      </w:r>
      <w:r w:rsidR="00EB09A5">
        <w:t xml:space="preserve"> The</w:t>
      </w:r>
      <w:r w:rsidR="007C6739" w:rsidRPr="007C6739">
        <w:t xml:space="preserve"> HBCF </w:t>
      </w:r>
      <w:r w:rsidR="00EB09A5">
        <w:t xml:space="preserve">also </w:t>
      </w:r>
      <w:r w:rsidR="007C6739" w:rsidRPr="007C6739">
        <w:t xml:space="preserve">contribute up to $100 toward the purchase of swimwear </w:t>
      </w:r>
      <w:r w:rsidR="007C6739" w:rsidRPr="00A25269">
        <w:t>prostheses</w:t>
      </w:r>
      <w:r w:rsidR="007B7939">
        <w:rPr>
          <w:rFonts w:ascii="ZWAdobeF" w:hAnsi="ZWAdobeF" w:cs="ZWAdobeF"/>
          <w:color w:val="auto"/>
          <w:sz w:val="2"/>
          <w:szCs w:val="2"/>
        </w:rPr>
        <w:t>28F</w:t>
      </w:r>
      <w:r w:rsidR="00694B09" w:rsidRPr="00A25269">
        <w:rPr>
          <w:rStyle w:val="FootnoteReference"/>
        </w:rPr>
        <w:footnoteReference w:id="59"/>
      </w:r>
      <w:r w:rsidR="00694B09" w:rsidRPr="00A25269">
        <w:t>.</w:t>
      </w:r>
      <w:r w:rsidR="00054BF9" w:rsidRPr="00A25269">
        <w:t xml:space="preserve"> </w:t>
      </w:r>
    </w:p>
    <w:p w14:paraId="038569D5" w14:textId="16B6FADF" w:rsidR="005069E9" w:rsidRDefault="005069E9" w:rsidP="00FD54A5">
      <w:pPr>
        <w:pStyle w:val="Heading4"/>
      </w:pPr>
      <w:r>
        <w:t xml:space="preserve">Queensland </w:t>
      </w:r>
    </w:p>
    <w:p w14:paraId="36ADEDCC" w14:textId="742405F5" w:rsidR="00FF2E20" w:rsidRDefault="00B110CE" w:rsidP="008B474C">
      <w:r>
        <w:t xml:space="preserve">In </w:t>
      </w:r>
      <w:r w:rsidR="00A1412D">
        <w:t>Q</w:t>
      </w:r>
      <w:r w:rsidR="00A52F7B">
        <w:t>uee</w:t>
      </w:r>
      <w:r w:rsidR="00A52F7B" w:rsidRPr="000543B6">
        <w:t>nsland</w:t>
      </w:r>
      <w:r w:rsidRPr="000543B6">
        <w:t xml:space="preserve">, </w:t>
      </w:r>
      <w:r w:rsidR="004156DF" w:rsidRPr="000543B6">
        <w:t xml:space="preserve">Be Uplifted Inc. is the only </w:t>
      </w:r>
      <w:r w:rsidR="00D72CD5" w:rsidRPr="000543B6">
        <w:t xml:space="preserve">known provider of </w:t>
      </w:r>
      <w:r w:rsidR="00D33882" w:rsidRPr="000543B6">
        <w:t>additional</w:t>
      </w:r>
      <w:r w:rsidR="00D72CD5" w:rsidRPr="000543B6">
        <w:t xml:space="preserve"> </w:t>
      </w:r>
      <w:r w:rsidR="00D33882" w:rsidRPr="000543B6">
        <w:t>services</w:t>
      </w:r>
      <w:r w:rsidR="00D72CD5" w:rsidRPr="000543B6">
        <w:t xml:space="preserve"> </w:t>
      </w:r>
      <w:r w:rsidR="00D33882" w:rsidRPr="000543B6">
        <w:t>related to</w:t>
      </w:r>
      <w:r w:rsidR="00D72CD5" w:rsidRPr="000543B6">
        <w:t xml:space="preserve"> </w:t>
      </w:r>
      <w:r w:rsidR="00C86D27" w:rsidRPr="000543B6">
        <w:t>external breast prostheses</w:t>
      </w:r>
      <w:r w:rsidR="00923861" w:rsidRPr="000543B6">
        <w:t xml:space="preserve"> </w:t>
      </w:r>
      <w:r w:rsidR="00C86D27" w:rsidRPr="000543B6">
        <w:t xml:space="preserve">beyond the national programs outlined in Section </w:t>
      </w:r>
      <w:r w:rsidR="00C86D27" w:rsidRPr="000543B6">
        <w:fldChar w:fldCharType="begin"/>
      </w:r>
      <w:r w:rsidR="00C86D27" w:rsidRPr="000543B6">
        <w:rPr>
          <w:highlight w:val="yellow"/>
        </w:rPr>
        <w:instrText xml:space="preserve"> REF _Ref198823039 \r \h  \* MERGEFORMAT </w:instrText>
      </w:r>
      <w:r w:rsidR="00C86D27" w:rsidRPr="000543B6">
        <w:fldChar w:fldCharType="separate"/>
      </w:r>
      <w:r w:rsidR="00D955D8" w:rsidRPr="000543B6">
        <w:t>2.2.2</w:t>
      </w:r>
      <w:r w:rsidR="00C86D27" w:rsidRPr="000543B6">
        <w:fldChar w:fldCharType="end"/>
      </w:r>
      <w:r w:rsidR="00C86D27" w:rsidRPr="000543B6">
        <w:t xml:space="preserve">. </w:t>
      </w:r>
      <w:r w:rsidR="00B75CE7" w:rsidRPr="000543B6">
        <w:t>This</w:t>
      </w:r>
      <w:r w:rsidR="00C86D27" w:rsidRPr="000543B6">
        <w:t xml:space="preserve"> Brisbane-based breast cancer charity </w:t>
      </w:r>
      <w:r w:rsidR="00B75CE7" w:rsidRPr="000543B6">
        <w:t>provides</w:t>
      </w:r>
      <w:r w:rsidR="00C86D27" w:rsidRPr="000543B6">
        <w:t xml:space="preserve"> free crocheted breast pr</w:t>
      </w:r>
      <w:r w:rsidR="00C86D27">
        <w:t xml:space="preserve">ostheses, </w:t>
      </w:r>
      <w:r w:rsidR="00367947">
        <w:t>through its</w:t>
      </w:r>
      <w:r w:rsidR="00C86D27">
        <w:t xml:space="preserve"> Boondall and Gympie opportunity shops, market stalls, or online </w:t>
      </w:r>
      <w:r w:rsidR="00367947">
        <w:t>store</w:t>
      </w:r>
      <w:r w:rsidR="009C4A92">
        <w:t>,</w:t>
      </w:r>
      <w:r w:rsidR="00367947">
        <w:t xml:space="preserve"> </w:t>
      </w:r>
      <w:r w:rsidR="00C86D27">
        <w:t xml:space="preserve">which will be sent by mail, with postage as the only </w:t>
      </w:r>
      <w:r w:rsidR="00C86D27" w:rsidRPr="00A25269">
        <w:t>cost</w:t>
      </w:r>
      <w:r w:rsidR="007B7939">
        <w:rPr>
          <w:rFonts w:ascii="ZWAdobeF" w:hAnsi="ZWAdobeF" w:cs="ZWAdobeF"/>
          <w:color w:val="auto"/>
          <w:sz w:val="2"/>
          <w:szCs w:val="2"/>
        </w:rPr>
        <w:t>29F</w:t>
      </w:r>
      <w:r w:rsidR="006258EC" w:rsidRPr="00A25269">
        <w:rPr>
          <w:rStyle w:val="FootnoteReference"/>
        </w:rPr>
        <w:footnoteReference w:id="60"/>
      </w:r>
      <w:r w:rsidR="00FF2E20" w:rsidRPr="00A25269">
        <w:t>.</w:t>
      </w:r>
      <w:r w:rsidR="00C05AFA">
        <w:t xml:space="preserve"> </w:t>
      </w:r>
      <w:r w:rsidR="00BE1B0F" w:rsidRPr="00BE1B0F">
        <w:t xml:space="preserve">The organisation also provides financial assistance for household expenses, transport, and medical costs for </w:t>
      </w:r>
      <w:r w:rsidR="0014246D">
        <w:t>people</w:t>
      </w:r>
      <w:r w:rsidR="00476B96">
        <w:t xml:space="preserve"> living</w:t>
      </w:r>
      <w:r w:rsidR="00BE1B0F" w:rsidRPr="00BE1B0F">
        <w:t xml:space="preserve"> in</w:t>
      </w:r>
      <w:r w:rsidR="00476B96">
        <w:t xml:space="preserve"> north</w:t>
      </w:r>
      <w:r w:rsidR="00BE1B0F" w:rsidRPr="00BE1B0F">
        <w:t xml:space="preserve"> Brisbane</w:t>
      </w:r>
      <w:r w:rsidR="004156DF">
        <w:t>.</w:t>
      </w:r>
      <w:r w:rsidR="00B75CE7">
        <w:t xml:space="preserve"> </w:t>
      </w:r>
    </w:p>
    <w:p w14:paraId="0DDDF47C" w14:textId="649AA9BF" w:rsidR="00AF1727" w:rsidRDefault="00AF1727" w:rsidP="00FD54A5">
      <w:pPr>
        <w:pStyle w:val="Heading4"/>
      </w:pPr>
      <w:r>
        <w:t xml:space="preserve">South Australia </w:t>
      </w:r>
    </w:p>
    <w:p w14:paraId="40C8C470" w14:textId="05D25ABE" w:rsidR="004A19AE" w:rsidRDefault="00A92A22" w:rsidP="000543B6">
      <w:r>
        <w:t xml:space="preserve">In </w:t>
      </w:r>
      <w:r w:rsidR="00A1412D">
        <w:t>S</w:t>
      </w:r>
      <w:r w:rsidR="00A52F7B">
        <w:t xml:space="preserve">outh </w:t>
      </w:r>
      <w:r w:rsidR="00A1412D">
        <w:t>A</w:t>
      </w:r>
      <w:r w:rsidR="00A52F7B">
        <w:t>ustralia</w:t>
      </w:r>
      <w:r>
        <w:t>,</w:t>
      </w:r>
      <w:r w:rsidR="00AF1727">
        <w:t xml:space="preserve"> Cancer Council </w:t>
      </w:r>
      <w:r>
        <w:t>SA</w:t>
      </w:r>
      <w:r w:rsidR="00AF1727">
        <w:t xml:space="preserve"> </w:t>
      </w:r>
      <w:r w:rsidR="00897492">
        <w:t>runs</w:t>
      </w:r>
      <w:r>
        <w:t xml:space="preserve"> </w:t>
      </w:r>
      <w:r w:rsidR="00AF1727">
        <w:t>a Breast Prosthesis Volunteer Program</w:t>
      </w:r>
      <w:r w:rsidR="009C4A92">
        <w:t>,</w:t>
      </w:r>
      <w:r>
        <w:t xml:space="preserve"> which provides </w:t>
      </w:r>
      <w:r w:rsidR="00AF1727">
        <w:t>free, temporary breast prostheses to women with breast cancer who have had a mastectomy.</w:t>
      </w:r>
      <w:r w:rsidR="00A75E63">
        <w:t xml:space="preserve"> However, ther</w:t>
      </w:r>
      <w:r w:rsidR="00E31653">
        <w:t>e is limited</w:t>
      </w:r>
      <w:r w:rsidR="009C4A92">
        <w:t xml:space="preserve"> public</w:t>
      </w:r>
      <w:r w:rsidR="00E31653">
        <w:t xml:space="preserve"> information on the eligibility criteria </w:t>
      </w:r>
      <w:r w:rsidR="003626A9">
        <w:t xml:space="preserve">for this program </w:t>
      </w:r>
      <w:r w:rsidR="00E31653">
        <w:t>or how to access th</w:t>
      </w:r>
      <w:r w:rsidR="00A75E63">
        <w:t>is service</w:t>
      </w:r>
      <w:r w:rsidR="00E31653">
        <w:t>.</w:t>
      </w:r>
      <w:r w:rsidR="007B7939">
        <w:rPr>
          <w:rFonts w:ascii="ZWAdobeF" w:hAnsi="ZWAdobeF" w:cs="ZWAdobeF"/>
          <w:color w:val="auto"/>
          <w:sz w:val="2"/>
          <w:szCs w:val="2"/>
        </w:rPr>
        <w:t>30F</w:t>
      </w:r>
      <w:r w:rsidR="00AF1727">
        <w:rPr>
          <w:rStyle w:val="FootnoteReference"/>
        </w:rPr>
        <w:footnoteReference w:id="61"/>
      </w:r>
      <w:r w:rsidR="00821FF5" w:rsidRPr="00821FF5">
        <w:t xml:space="preserve"> </w:t>
      </w:r>
    </w:p>
    <w:p w14:paraId="0F4F24C0" w14:textId="79B5952A" w:rsidR="00E04FA3" w:rsidRDefault="00E04FA3" w:rsidP="00FD54A5">
      <w:pPr>
        <w:pStyle w:val="Heading4"/>
      </w:pPr>
      <w:r>
        <w:t>ACT, Victoria, Western Australia, Northern Territory and Tasmania</w:t>
      </w:r>
    </w:p>
    <w:p w14:paraId="2BE5E126" w14:textId="58A219C0" w:rsidR="00E04FA3" w:rsidRPr="008B474C" w:rsidRDefault="00E04FA3" w:rsidP="008B474C">
      <w:r w:rsidRPr="008B474C">
        <w:t xml:space="preserve">There are no additional programs for external breast prostheses, beyond the national programs outlined in Section </w:t>
      </w:r>
      <w:r w:rsidRPr="008B474C">
        <w:fldChar w:fldCharType="begin"/>
      </w:r>
      <w:r w:rsidRPr="008B474C">
        <w:rPr>
          <w:highlight w:val="yellow"/>
        </w:rPr>
        <w:instrText xml:space="preserve"> REF _Ref198823039 \r \h  \* MERGEFORMAT </w:instrText>
      </w:r>
      <w:r w:rsidRPr="008B474C">
        <w:fldChar w:fldCharType="separate"/>
      </w:r>
      <w:r w:rsidR="00D955D8" w:rsidRPr="008B474C">
        <w:t>2.2.2</w:t>
      </w:r>
      <w:r w:rsidRPr="008B474C">
        <w:fldChar w:fldCharType="end"/>
      </w:r>
      <w:r w:rsidRPr="008B474C">
        <w:t xml:space="preserve"> in the ACT, V</w:t>
      </w:r>
      <w:r w:rsidR="00190C25" w:rsidRPr="008B474C">
        <w:t>ictoria</w:t>
      </w:r>
      <w:r w:rsidRPr="008B474C">
        <w:t>, W</w:t>
      </w:r>
      <w:r w:rsidR="00190C25" w:rsidRPr="008B474C">
        <w:t xml:space="preserve">estern </w:t>
      </w:r>
      <w:r w:rsidRPr="008B474C">
        <w:t>A</w:t>
      </w:r>
      <w:r w:rsidR="00190C25" w:rsidRPr="008B474C">
        <w:t>ustralia</w:t>
      </w:r>
      <w:r w:rsidRPr="008B474C">
        <w:t>, the NT or T</w:t>
      </w:r>
      <w:r w:rsidR="00190C25" w:rsidRPr="008B474C">
        <w:t>asmania</w:t>
      </w:r>
      <w:r w:rsidRPr="008B474C">
        <w:t xml:space="preserve">. </w:t>
      </w:r>
    </w:p>
    <w:p w14:paraId="6F517516" w14:textId="4F6FE8CB" w:rsidR="0062504B" w:rsidRPr="008B474C" w:rsidRDefault="0062504B" w:rsidP="008B474C">
      <w:r w:rsidRPr="00F12039">
        <w:rPr>
          <w:i/>
          <w:iCs/>
          <w:sz w:val="16"/>
          <w:szCs w:val="18"/>
        </w:rPr>
        <w:br w:type="page"/>
      </w:r>
    </w:p>
    <w:p w14:paraId="15EB1B67" w14:textId="30F500CF" w:rsidR="00D81694" w:rsidRDefault="00D81694" w:rsidP="008239ED">
      <w:pPr>
        <w:pStyle w:val="Heading2"/>
      </w:pPr>
      <w:bookmarkStart w:id="68" w:name="_Ref200453567"/>
      <w:bookmarkStart w:id="69" w:name="_Toc207348740"/>
      <w:r>
        <w:t xml:space="preserve">Limb </w:t>
      </w:r>
      <w:r w:rsidR="00C737E1">
        <w:t>prostheses services</w:t>
      </w:r>
      <w:r w:rsidR="0068590F">
        <w:t xml:space="preserve">, programs and </w:t>
      </w:r>
      <w:r w:rsidR="00C737E1">
        <w:t>schemes</w:t>
      </w:r>
      <w:bookmarkEnd w:id="68"/>
      <w:bookmarkEnd w:id="69"/>
      <w:r w:rsidR="00C737E1">
        <w:t xml:space="preserve"> </w:t>
      </w:r>
    </w:p>
    <w:p w14:paraId="6D88A4A9" w14:textId="04129D01" w:rsidR="00260AB7" w:rsidRDefault="00260AB7" w:rsidP="008B474C">
      <w:pPr>
        <w:rPr>
          <w:color w:val="auto"/>
        </w:rPr>
      </w:pPr>
      <w:r w:rsidRPr="000C3314">
        <w:rPr>
          <w:color w:val="auto"/>
        </w:rPr>
        <w:t xml:space="preserve">The following section outlines </w:t>
      </w:r>
      <w:r>
        <w:rPr>
          <w:color w:val="auto"/>
        </w:rPr>
        <w:t>limb</w:t>
      </w:r>
      <w:r w:rsidRPr="000C3314">
        <w:rPr>
          <w:color w:val="auto"/>
        </w:rPr>
        <w:t xml:space="preserve"> prostheses services, programs and schemes available </w:t>
      </w:r>
      <w:r>
        <w:rPr>
          <w:color w:val="auto"/>
        </w:rPr>
        <w:t>to people in Australia</w:t>
      </w:r>
      <w:r w:rsidRPr="000C3314">
        <w:rPr>
          <w:color w:val="auto"/>
        </w:rPr>
        <w:t>.</w:t>
      </w:r>
      <w:r>
        <w:rPr>
          <w:color w:val="auto"/>
        </w:rPr>
        <w:t xml:space="preserve"> A summary </w:t>
      </w:r>
      <w:r w:rsidRPr="000543B6">
        <w:t>of the key findings</w:t>
      </w:r>
      <w:r>
        <w:rPr>
          <w:color w:val="auto"/>
        </w:rPr>
        <w:t xml:space="preserve"> presented within this section is provided below.</w:t>
      </w:r>
    </w:p>
    <w:p w14:paraId="3C210AA5" w14:textId="3A5DFE9F" w:rsidR="00AE07F3" w:rsidRDefault="00AE07F3" w:rsidP="00FD688B">
      <w:pPr>
        <w:pStyle w:val="Heading2Summaryofkeyfindings"/>
      </w:pPr>
      <w:r w:rsidRPr="00AE07F3">
        <w:t>Summary of limb prostheses services, programs and schemes</w:t>
      </w:r>
    </w:p>
    <w:p w14:paraId="7FBF5D32" w14:textId="30BA3E94" w:rsidR="00AE07F3" w:rsidRPr="00AE07F3" w:rsidRDefault="00AE07F3" w:rsidP="005A6CA2">
      <w:pPr>
        <w:pStyle w:val="Callout-Summaryofkeyfindingbullet"/>
      </w:pPr>
      <w:r w:rsidRPr="00AE07F3">
        <w:t xml:space="preserve">Eligible people requiring a limb prosthesis due to cancer or cancer treatment can access prostheses through national programs and schemes including the NDIS and DVA, which both fund a wide range of limb prostheses including high grade prostheses and componentry. </w:t>
      </w:r>
    </w:p>
    <w:p w14:paraId="6B674378" w14:textId="2C3ED81F" w:rsidR="00AE07F3" w:rsidRPr="00AE07F3" w:rsidRDefault="00AE07F3" w:rsidP="005A6CA2">
      <w:pPr>
        <w:pStyle w:val="Callout-Summaryofkeyfindingbullet"/>
      </w:pPr>
      <w:r w:rsidRPr="00AE07F3">
        <w:t xml:space="preserve">Individuals excluded from the NDIS (including all people aged 65 years and older) are reliant on jurisdiction-based limb schemes. There is considerable variation between jurisdictional schemes, including differences in funding allocation, treatment approaches, prosthetic componentry and consumables provided. </w:t>
      </w:r>
      <w:proofErr w:type="gramStart"/>
      <w:r w:rsidRPr="00AE07F3">
        <w:t>With the exception of</w:t>
      </w:r>
      <w:proofErr w:type="gramEnd"/>
      <w:r w:rsidRPr="00AE07F3">
        <w:t xml:space="preserve"> NSW, high-grade prostheses and componentry are not funded through jurisdictional limb schemes</w:t>
      </w:r>
    </w:p>
    <w:p w14:paraId="7394399E" w14:textId="5374795C" w:rsidR="00AE07F3" w:rsidRPr="00AE07F3" w:rsidRDefault="00AE07F3" w:rsidP="005A6CA2">
      <w:pPr>
        <w:pStyle w:val="Callout-Summaryofkeyfindingbullet"/>
      </w:pPr>
      <w:r w:rsidRPr="00AE07F3">
        <w:t>Access to limb prostheses requires a prescription or referral from a rehabilitation physician or specialist. A prosthetist is responsible for ensuring the limb fits correctly and meets the individual's functional needs. Physiotherapists play a key role in supporting mobility, gait training, and rehabilitation throughout the prosthetic fitting and adjustment process.</w:t>
      </w:r>
    </w:p>
    <w:p w14:paraId="67BDC249" w14:textId="18735950" w:rsidR="00AE07F3" w:rsidRDefault="00AE07F3" w:rsidP="005A6CA2">
      <w:pPr>
        <w:pStyle w:val="Callout-Summaryofkeyfindingbullet"/>
      </w:pPr>
      <w:r w:rsidRPr="00AE07F3">
        <w:t>Interim prostheses are generally accessed through public hospital amputee clinics and rehabilitation centres. Definitive prostheses are fitted either through an associated prosthetic service provider or through the public hospital rehabilitation centres. Prosthetic service providers are widely available in metropolitan and some regional areas; however, people living in rural and remote areas are typically reliant on mobile clinics or are required to travel to metropolitan areas.</w:t>
      </w:r>
    </w:p>
    <w:p w14:paraId="62F6C65E" w14:textId="76AF6B27" w:rsidR="00FB4EC2" w:rsidRDefault="00FB4EC2" w:rsidP="00FB4EC2">
      <w:pPr>
        <w:pStyle w:val="Caption"/>
      </w:pPr>
      <w:bookmarkStart w:id="70" w:name="_Toc207348717"/>
      <w:r>
        <w:t xml:space="preserve">Figure </w:t>
      </w:r>
      <w:r>
        <w:fldChar w:fldCharType="begin"/>
      </w:r>
      <w:r>
        <w:instrText xml:space="preserve"> SEQ Figure \* ARABIC </w:instrText>
      </w:r>
      <w:r>
        <w:fldChar w:fldCharType="separate"/>
      </w:r>
      <w:r>
        <w:rPr>
          <w:noProof/>
        </w:rPr>
        <w:t>10</w:t>
      </w:r>
      <w:r>
        <w:rPr>
          <w:noProof/>
        </w:rPr>
        <w:fldChar w:fldCharType="end"/>
      </w:r>
      <w:r>
        <w:t xml:space="preserve">: </w:t>
      </w:r>
      <w:r w:rsidRPr="003B7DDC">
        <w:t xml:space="preserve">Summary of </w:t>
      </w:r>
      <w:r>
        <w:t>limb</w:t>
      </w:r>
      <w:r w:rsidRPr="003B7DDC">
        <w:t xml:space="preserve"> prostheses services, programs and schemes available in Australia</w:t>
      </w:r>
      <w:bookmarkEnd w:id="70"/>
    </w:p>
    <w:p w14:paraId="145543B3" w14:textId="0124B83A" w:rsidR="006A29C8" w:rsidRPr="006A29C8" w:rsidRDefault="006A29C8" w:rsidP="008B474C">
      <w:r w:rsidRPr="008B474C">
        <w:drawing>
          <wp:inline distT="0" distB="0" distL="0" distR="0" wp14:anchorId="78BC3C78" wp14:editId="78D9082D">
            <wp:extent cx="5590887" cy="4945075"/>
            <wp:effectExtent l="0" t="0" r="0" b="8255"/>
            <wp:docPr id="29695879" name="Graphic 1" descr="Infographic that summarises the findings outlined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5879" name="Graphic 1" descr="Infographic that summarises the findings outlined above"/>
                    <pic:cNvPicPr/>
                  </pic:nvPicPr>
                  <pic:blipFill>
                    <a:blip r:embed="rId59">
                      <a:extLst>
                        <a:ext uri="{96DAC541-7B7A-43D3-8B79-37D633B846F1}">
                          <asvg:svgBlip xmlns:asvg="http://schemas.microsoft.com/office/drawing/2016/SVG/main" r:embed="rId60"/>
                        </a:ext>
                      </a:extLst>
                    </a:blip>
                    <a:stretch>
                      <a:fillRect/>
                    </a:stretch>
                  </pic:blipFill>
                  <pic:spPr>
                    <a:xfrm>
                      <a:off x="0" y="0"/>
                      <a:ext cx="5592565" cy="4946559"/>
                    </a:xfrm>
                    <a:prstGeom prst="rect">
                      <a:avLst/>
                    </a:prstGeom>
                  </pic:spPr>
                </pic:pic>
              </a:graphicData>
            </a:graphic>
          </wp:inline>
        </w:drawing>
      </w:r>
    </w:p>
    <w:p w14:paraId="181C8540" w14:textId="52C5A9E6" w:rsidR="005A3D83" w:rsidRPr="00CD3106" w:rsidRDefault="005A3D83" w:rsidP="004E5707">
      <w:pPr>
        <w:pStyle w:val="Caption-Source"/>
        <w:spacing w:after="0"/>
      </w:pPr>
      <w:r w:rsidRPr="00005529">
        <w:t xml:space="preserve">Source: </w:t>
      </w:r>
      <w:r w:rsidR="00120620" w:rsidRPr="00120620">
        <w:t>Independent reviewer</w:t>
      </w:r>
      <w:r w:rsidR="00584D02" w:rsidRPr="00CD3106">
        <w:t xml:space="preserve"> (</w:t>
      </w:r>
      <w:r w:rsidRPr="00CD3106">
        <w:t>2025</w:t>
      </w:r>
      <w:r w:rsidR="00584D02" w:rsidRPr="00CD3106">
        <w:t>)</w:t>
      </w:r>
    </w:p>
    <w:p w14:paraId="2440519E" w14:textId="6F0623BC" w:rsidR="00F13FB0" w:rsidRPr="001329A5" w:rsidRDefault="00F13FB0" w:rsidP="00F13FB0">
      <w:pPr>
        <w:pStyle w:val="Heading3"/>
      </w:pPr>
      <w:r>
        <w:t>About limb prostheses</w:t>
      </w:r>
    </w:p>
    <w:p w14:paraId="5A9964B0" w14:textId="0EC173DE" w:rsidR="00B162FA" w:rsidRPr="008B474C" w:rsidRDefault="007B6E06" w:rsidP="008B474C">
      <w:r w:rsidRPr="008B474C">
        <w:t>A l</w:t>
      </w:r>
      <w:r w:rsidR="002C44E5" w:rsidRPr="008B474C">
        <w:t>imb prosthes</w:t>
      </w:r>
      <w:r w:rsidRPr="008B474C">
        <w:t xml:space="preserve">is is an artificial limb that replaces </w:t>
      </w:r>
      <w:r w:rsidR="00BD6B8D" w:rsidRPr="008B474C">
        <w:t>a limb, such as an arm, leg, hand, foot,</w:t>
      </w:r>
      <w:r w:rsidR="003E225F" w:rsidRPr="008B474C">
        <w:t xml:space="preserve"> or digit, helping to restore function and improve mobility and quality of life</w:t>
      </w:r>
      <w:r w:rsidR="00243F3F" w:rsidRPr="008B474C">
        <w:t xml:space="preserve">. </w:t>
      </w:r>
      <w:r w:rsidR="003E225F" w:rsidRPr="008B474C">
        <w:t xml:space="preserve">Cancers that may lead to </w:t>
      </w:r>
      <w:r w:rsidR="00333573" w:rsidRPr="008B474C">
        <w:t xml:space="preserve">a limb </w:t>
      </w:r>
      <w:r w:rsidR="003E225F" w:rsidRPr="008B474C">
        <w:t xml:space="preserve">amputation and subsequent prosthesis use include bone cancers such as osteosarcoma and </w:t>
      </w:r>
      <w:r w:rsidR="00FC4CCF" w:rsidRPr="008B474C">
        <w:t xml:space="preserve">Ewing sarcoma, </w:t>
      </w:r>
      <w:r w:rsidR="00333573" w:rsidRPr="008B474C">
        <w:t>as well as</w:t>
      </w:r>
      <w:r w:rsidR="00FC4CCF" w:rsidRPr="008B474C">
        <w:t xml:space="preserve"> soft tissue sarcomas.</w:t>
      </w:r>
      <w:r w:rsidR="007B7939" w:rsidRPr="008B474C">
        <w:t>31F</w:t>
      </w:r>
      <w:r w:rsidR="007E5235" w:rsidRPr="008B474C">
        <w:rPr>
          <w:vertAlign w:val="superscript"/>
        </w:rPr>
        <w:footnoteReference w:id="62"/>
      </w:r>
      <w:r w:rsidR="00FC4CCF" w:rsidRPr="008B474C">
        <w:t xml:space="preserve"> </w:t>
      </w:r>
      <w:r w:rsidR="00B162FA" w:rsidRPr="008B474C">
        <w:t xml:space="preserve"> </w:t>
      </w:r>
    </w:p>
    <w:p w14:paraId="298D13E0" w14:textId="53436B1D" w:rsidR="00F13FB0" w:rsidRPr="008B474C" w:rsidRDefault="009A635E" w:rsidP="008B474C">
      <w:r w:rsidRPr="008B474C">
        <w:t>People who experience an amputation</w:t>
      </w:r>
      <w:r w:rsidR="002C4C9C" w:rsidRPr="008B474C">
        <w:t xml:space="preserve"> due to cancer</w:t>
      </w:r>
      <w:r w:rsidRPr="008B474C">
        <w:t xml:space="preserve"> often spend </w:t>
      </w:r>
      <w:proofErr w:type="gramStart"/>
      <w:r w:rsidRPr="008B474C">
        <w:t>a period of time</w:t>
      </w:r>
      <w:proofErr w:type="gramEnd"/>
      <w:r w:rsidRPr="008B474C">
        <w:t xml:space="preserve"> in acute hospital settings recovering from the </w:t>
      </w:r>
      <w:r w:rsidR="00BD6B8D" w:rsidRPr="008B474C">
        <w:t>surgery</w:t>
      </w:r>
      <w:r w:rsidRPr="008B474C">
        <w:t xml:space="preserve">, after which, in most cases, they are transferred to rehabilitation facilities to learn to adjust to the loss of the limb. </w:t>
      </w:r>
      <w:r w:rsidR="002C4C9C" w:rsidRPr="008B474C">
        <w:t xml:space="preserve">The rehabilitation team may include a surgeon, </w:t>
      </w:r>
      <w:r w:rsidR="00BD6B8D" w:rsidRPr="008B474C">
        <w:t xml:space="preserve">a prosthetist, a physiotherapist, and an </w:t>
      </w:r>
      <w:r w:rsidR="002C4C9C" w:rsidRPr="008B474C">
        <w:t xml:space="preserve">occupational therapist. </w:t>
      </w:r>
    </w:p>
    <w:p w14:paraId="550E8F81" w14:textId="7F922F48" w:rsidR="00FA5B68" w:rsidRPr="000543B6" w:rsidRDefault="00FA5B68" w:rsidP="000543B6">
      <w:r>
        <w:t>People are usually first fitted with an interim prosthesis, which is a temporary prosthesis used during the initial stages of recovery. This allows for early mobility, helps shape and prepare the residual limb, and accommodates changes in limb size as swelling reduces and muscles adapt. After healing and stabilisation, a definitive prosthesis is custom-made for long-term u</w:t>
      </w:r>
      <w:r w:rsidR="00496604">
        <w:t>se</w:t>
      </w:r>
      <w:r w:rsidR="0016483E">
        <w:t>.</w:t>
      </w:r>
      <w:r>
        <w:t xml:space="preserve"> </w:t>
      </w:r>
      <w:r w:rsidR="0016483E">
        <w:t>Assessment and fittings are personalised, with the type of prosthesis depending o</w:t>
      </w:r>
      <w:r w:rsidR="0016483E" w:rsidRPr="000543B6">
        <w:t>n the level of amputation, functional goals and lifestyle needs.</w:t>
      </w:r>
      <w:r w:rsidR="007B7939" w:rsidRPr="000543B6">
        <w:t>32F</w:t>
      </w:r>
      <w:r w:rsidR="0016483E" w:rsidRPr="000543B6">
        <w:rPr>
          <w:vertAlign w:val="superscript"/>
        </w:rPr>
        <w:footnoteReference w:id="63"/>
      </w:r>
    </w:p>
    <w:p w14:paraId="3235074D" w14:textId="2912AA84" w:rsidR="00E40A7E" w:rsidRDefault="00E078A4" w:rsidP="000543B6">
      <w:r w:rsidRPr="000543B6">
        <w:t>As o</w:t>
      </w:r>
      <w:r>
        <w:t xml:space="preserve">utlined in </w:t>
      </w:r>
      <w:r>
        <w:fldChar w:fldCharType="begin"/>
      </w:r>
      <w:r>
        <w:instrText xml:space="preserve"> REF _Ref200556498 \h </w:instrText>
      </w:r>
      <w:r>
        <w:fldChar w:fldCharType="separate"/>
      </w:r>
      <w:r w:rsidR="00D955D8">
        <w:t xml:space="preserve">Table </w:t>
      </w:r>
      <w:r w:rsidR="00D955D8">
        <w:rPr>
          <w:noProof/>
        </w:rPr>
        <w:t>8</w:t>
      </w:r>
      <w:r>
        <w:fldChar w:fldCharType="end"/>
      </w:r>
      <w:r>
        <w:t xml:space="preserve"> below, l</w:t>
      </w:r>
      <w:r w:rsidR="00244AD3">
        <w:t>ower limb prostheses</w:t>
      </w:r>
      <w:r w:rsidR="00C93230">
        <w:t xml:space="preserve"> </w:t>
      </w:r>
      <w:r w:rsidR="00BD6B8D">
        <w:t xml:space="preserve">are </w:t>
      </w:r>
      <w:r>
        <w:t>classified via</w:t>
      </w:r>
      <w:r w:rsidR="00C93230">
        <w:t xml:space="preserve"> a grading system</w:t>
      </w:r>
      <w:r w:rsidR="00D57372">
        <w:t xml:space="preserve">, the K-level classification, which </w:t>
      </w:r>
      <w:r w:rsidR="00AF240D">
        <w:t>is</w:t>
      </w:r>
      <w:r w:rsidR="00C93230">
        <w:t xml:space="preserve"> based on mobility and activity. </w:t>
      </w:r>
      <w:r w:rsidR="00AF240D">
        <w:t xml:space="preserve">The system </w:t>
      </w:r>
      <w:r w:rsidR="00BD6B8D">
        <w:t>u</w:t>
      </w:r>
      <w:r w:rsidR="00AF240D">
        <w:t>s</w:t>
      </w:r>
      <w:r w:rsidR="00BD6B8D">
        <w:t>es</w:t>
      </w:r>
      <w:r w:rsidR="00AF240D">
        <w:t xml:space="preserve"> a rating scale </w:t>
      </w:r>
      <w:r w:rsidR="00BD6B8D">
        <w:t>ranging from 0 to 4, indicating</w:t>
      </w:r>
      <w:r w:rsidR="00AF240D">
        <w:t xml:space="preserve"> a person’s ability to use a lower limb prosthetic device.</w:t>
      </w:r>
      <w:r w:rsidR="007B7939">
        <w:rPr>
          <w:rFonts w:ascii="ZWAdobeF" w:hAnsi="ZWAdobeF" w:cs="ZWAdobeF"/>
          <w:color w:val="auto"/>
          <w:sz w:val="2"/>
          <w:szCs w:val="2"/>
        </w:rPr>
        <w:t>33F</w:t>
      </w:r>
      <w:r w:rsidR="005F1140">
        <w:rPr>
          <w:rStyle w:val="FootnoteReference"/>
        </w:rPr>
        <w:footnoteReference w:id="64"/>
      </w:r>
      <w:r w:rsidR="00AF240D">
        <w:t xml:space="preserve"> </w:t>
      </w:r>
    </w:p>
    <w:p w14:paraId="766558F6" w14:textId="192A4B90" w:rsidR="00244AD3" w:rsidRDefault="00244AD3" w:rsidP="00244AD3">
      <w:pPr>
        <w:pStyle w:val="Caption"/>
      </w:pPr>
      <w:bookmarkStart w:id="71" w:name="_Ref200556498"/>
      <w:bookmarkStart w:id="72" w:name="_Toc207348573"/>
      <w:r>
        <w:t xml:space="preserve">Table </w:t>
      </w:r>
      <w:r w:rsidR="00D955D8">
        <w:fldChar w:fldCharType="begin"/>
      </w:r>
      <w:r w:rsidR="00D955D8">
        <w:instrText xml:space="preserve"> SEQ Table \* ARABIC </w:instrText>
      </w:r>
      <w:r w:rsidR="00D955D8">
        <w:fldChar w:fldCharType="separate"/>
      </w:r>
      <w:r w:rsidR="00D955D8">
        <w:rPr>
          <w:noProof/>
        </w:rPr>
        <w:t>8</w:t>
      </w:r>
      <w:r w:rsidR="00D955D8">
        <w:rPr>
          <w:noProof/>
        </w:rPr>
        <w:fldChar w:fldCharType="end"/>
      </w:r>
      <w:bookmarkEnd w:id="71"/>
      <w:r>
        <w:t>: K- level classification for lower limb prostheses</w:t>
      </w:r>
      <w:bookmarkEnd w:id="72"/>
    </w:p>
    <w:tbl>
      <w:tblPr>
        <w:tblStyle w:val="KPMGTable"/>
        <w:tblW w:w="10204" w:type="dxa"/>
        <w:tblLook w:val="04A0" w:firstRow="1" w:lastRow="0" w:firstColumn="1" w:lastColumn="0" w:noHBand="0" w:noVBand="1"/>
      </w:tblPr>
      <w:tblGrid>
        <w:gridCol w:w="851"/>
        <w:gridCol w:w="5528"/>
        <w:gridCol w:w="3825"/>
      </w:tblGrid>
      <w:tr w:rsidR="00AE1E92" w:rsidRPr="007B154A" w14:paraId="31718620" w14:textId="34988985" w:rsidTr="00FE11D7">
        <w:trPr>
          <w:cnfStyle w:val="100000000000" w:firstRow="1" w:lastRow="0" w:firstColumn="0" w:lastColumn="0" w:oddVBand="0" w:evenVBand="0" w:oddHBand="0"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851" w:type="dxa"/>
          </w:tcPr>
          <w:p w14:paraId="1E40730A" w14:textId="32E3138A" w:rsidR="00476291" w:rsidRPr="007B154A" w:rsidRDefault="00476291" w:rsidP="002B18C1">
            <w:pPr>
              <w:pStyle w:val="TableHeading"/>
              <w:rPr>
                <w:b w:val="0"/>
                <w:color w:val="FFFFFF" w:themeColor="background1"/>
                <w:szCs w:val="20"/>
              </w:rPr>
            </w:pPr>
            <w:r w:rsidRPr="00FE11D7">
              <w:t>Grade</w:t>
            </w:r>
          </w:p>
        </w:tc>
        <w:tc>
          <w:tcPr>
            <w:tcW w:w="5528" w:type="dxa"/>
          </w:tcPr>
          <w:p w14:paraId="298A15C2" w14:textId="77777777" w:rsidR="00476291" w:rsidRPr="007B154A" w:rsidRDefault="00476291" w:rsidP="002B18C1">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rsidRPr="00FE11D7">
              <w:t xml:space="preserve">Description </w:t>
            </w:r>
          </w:p>
        </w:tc>
        <w:tc>
          <w:tcPr>
            <w:tcW w:w="3825" w:type="dxa"/>
          </w:tcPr>
          <w:p w14:paraId="5AE094A6" w14:textId="34FEED55" w:rsidR="00476291" w:rsidRDefault="00476291" w:rsidP="002B18C1">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rsidRPr="00FE11D7">
              <w:t>Types of typical prostheses</w:t>
            </w:r>
          </w:p>
        </w:tc>
      </w:tr>
      <w:tr w:rsidR="00AE1E92" w:rsidRPr="009C1931" w14:paraId="4D9479CA" w14:textId="0C9E91BD" w:rsidTr="00FE11D7">
        <w:trPr>
          <w:trHeight w:val="578"/>
        </w:trPr>
        <w:tc>
          <w:tcPr>
            <w:cnfStyle w:val="001000000000" w:firstRow="0" w:lastRow="0" w:firstColumn="1" w:lastColumn="0" w:oddVBand="0" w:evenVBand="0" w:oddHBand="0" w:evenHBand="0" w:firstRowFirstColumn="0" w:firstRowLastColumn="0" w:lastRowFirstColumn="0" w:lastRowLastColumn="0"/>
            <w:tcW w:w="851" w:type="dxa"/>
          </w:tcPr>
          <w:p w14:paraId="29709655" w14:textId="7F95D10B" w:rsidR="00476291" w:rsidRDefault="00476291" w:rsidP="002B18C1">
            <w:pPr>
              <w:pStyle w:val="Tabletextbold"/>
              <w:rPr>
                <w:b/>
                <w:szCs w:val="20"/>
              </w:rPr>
            </w:pPr>
            <w:r>
              <w:rPr>
                <w:b/>
              </w:rPr>
              <w:t>K0</w:t>
            </w:r>
          </w:p>
        </w:tc>
        <w:tc>
          <w:tcPr>
            <w:tcW w:w="5528" w:type="dxa"/>
          </w:tcPr>
          <w:p w14:paraId="5F43F82B" w14:textId="748962AA" w:rsidR="00476291" w:rsidRPr="002B18C1" w:rsidRDefault="00476291" w:rsidP="00300508">
            <w:pPr>
              <w:pStyle w:val="TableText"/>
              <w:cnfStyle w:val="000000000000" w:firstRow="0" w:lastRow="0" w:firstColumn="0" w:lastColumn="0" w:oddVBand="0" w:evenVBand="0" w:oddHBand="0" w:evenHBand="0" w:firstRowFirstColumn="0" w:firstRowLastColumn="0" w:lastRowFirstColumn="0" w:lastRowLastColumn="0"/>
            </w:pPr>
            <w:r w:rsidRPr="00D843ED">
              <w:t xml:space="preserve">Does not have the ability or potential to </w:t>
            </w:r>
            <w:r w:rsidRPr="002B18C1">
              <w:t>ambulate or transfer safely with or without assistance and a prosthesis does not enhance their quality of life or mobility.</w:t>
            </w:r>
          </w:p>
        </w:tc>
        <w:tc>
          <w:tcPr>
            <w:tcW w:w="3825" w:type="dxa"/>
          </w:tcPr>
          <w:p w14:paraId="3A49A520" w14:textId="383854BC" w:rsidR="00476291" w:rsidRPr="00D843ED" w:rsidRDefault="00B61FD6" w:rsidP="00300508">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 xml:space="preserve">A cosmetic limb </w:t>
            </w:r>
          </w:p>
        </w:tc>
      </w:tr>
      <w:tr w:rsidR="00AE1E92" w:rsidRPr="009C1931" w14:paraId="29BB414C" w14:textId="6EAB7D5D" w:rsidTr="00FE11D7">
        <w:trPr>
          <w:trHeight w:val="578"/>
        </w:trPr>
        <w:tc>
          <w:tcPr>
            <w:cnfStyle w:val="001000000000" w:firstRow="0" w:lastRow="0" w:firstColumn="1" w:lastColumn="0" w:oddVBand="0" w:evenVBand="0" w:oddHBand="0" w:evenHBand="0" w:firstRowFirstColumn="0" w:firstRowLastColumn="0" w:lastRowFirstColumn="0" w:lastRowLastColumn="0"/>
            <w:tcW w:w="851" w:type="dxa"/>
          </w:tcPr>
          <w:p w14:paraId="28F38055" w14:textId="2E0101CE" w:rsidR="00476291" w:rsidRDefault="00476291" w:rsidP="002B18C1">
            <w:pPr>
              <w:pStyle w:val="Tabletextbold"/>
              <w:rPr>
                <w:b/>
                <w:szCs w:val="20"/>
              </w:rPr>
            </w:pPr>
            <w:r>
              <w:rPr>
                <w:b/>
              </w:rPr>
              <w:t>K1</w:t>
            </w:r>
          </w:p>
        </w:tc>
        <w:tc>
          <w:tcPr>
            <w:tcW w:w="5528" w:type="dxa"/>
          </w:tcPr>
          <w:p w14:paraId="208F04E3" w14:textId="77AF0A82" w:rsidR="00476291" w:rsidRPr="002B18C1" w:rsidRDefault="00476291" w:rsidP="00300508">
            <w:pPr>
              <w:pStyle w:val="TableText"/>
              <w:cnfStyle w:val="000000000000" w:firstRow="0" w:lastRow="0" w:firstColumn="0" w:lastColumn="0" w:oddVBand="0" w:evenVBand="0" w:oddHBand="0" w:evenHBand="0" w:firstRowFirstColumn="0" w:firstRowLastColumn="0" w:lastRowFirstColumn="0" w:lastRowLastColumn="0"/>
            </w:pPr>
            <w:r w:rsidRPr="000C5C33">
              <w:t>Suitable for use on level surfaces at steady speed</w:t>
            </w:r>
            <w:r w:rsidRPr="002B18C1">
              <w:t>s e.g. someone who only walks indoors.</w:t>
            </w:r>
          </w:p>
        </w:tc>
        <w:tc>
          <w:tcPr>
            <w:tcW w:w="3825" w:type="dxa"/>
          </w:tcPr>
          <w:p w14:paraId="6697CBA7" w14:textId="77777777" w:rsidR="00B61FD6" w:rsidRDefault="00B61FD6" w:rsidP="00300508">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Mechanical knee</w:t>
            </w:r>
          </w:p>
          <w:p w14:paraId="53B91A0A" w14:textId="5C5D43C1" w:rsidR="00B61FD6" w:rsidRDefault="00B61FD6" w:rsidP="00300508">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Basic socket designs</w:t>
            </w:r>
          </w:p>
          <w:p w14:paraId="211FC4E2" w14:textId="255DAF69" w:rsidR="0011568D" w:rsidRDefault="0011568D" w:rsidP="00300508">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Single-axis ankle</w:t>
            </w:r>
          </w:p>
          <w:p w14:paraId="43F55145" w14:textId="65530378" w:rsidR="00476291" w:rsidRPr="000C5C33" w:rsidRDefault="00B61FD6" w:rsidP="00300508">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Basic prosthetic foot (e.g., solid ankle cushion heel</w:t>
            </w:r>
            <w:r w:rsidR="0011568D">
              <w:rPr>
                <w:bCs/>
                <w:szCs w:val="20"/>
              </w:rPr>
              <w:t xml:space="preserve"> (SACH)</w:t>
            </w:r>
            <w:r>
              <w:rPr>
                <w:bCs/>
                <w:szCs w:val="20"/>
              </w:rPr>
              <w:t>)</w:t>
            </w:r>
          </w:p>
        </w:tc>
      </w:tr>
      <w:tr w:rsidR="00AE1E92" w:rsidRPr="009C1931" w14:paraId="6F178AB6" w14:textId="38505BA8" w:rsidTr="00FE11D7">
        <w:trPr>
          <w:trHeight w:val="794"/>
        </w:trPr>
        <w:tc>
          <w:tcPr>
            <w:cnfStyle w:val="001000000000" w:firstRow="0" w:lastRow="0" w:firstColumn="1" w:lastColumn="0" w:oddVBand="0" w:evenVBand="0" w:oddHBand="0" w:evenHBand="0" w:firstRowFirstColumn="0" w:firstRowLastColumn="0" w:lastRowFirstColumn="0" w:lastRowLastColumn="0"/>
            <w:tcW w:w="851" w:type="dxa"/>
          </w:tcPr>
          <w:p w14:paraId="59BA9884" w14:textId="038A42D1" w:rsidR="00476291" w:rsidRDefault="00476291" w:rsidP="002B18C1">
            <w:pPr>
              <w:pStyle w:val="Tabletextbold"/>
              <w:rPr>
                <w:b/>
                <w:szCs w:val="20"/>
              </w:rPr>
            </w:pPr>
            <w:r>
              <w:rPr>
                <w:b/>
              </w:rPr>
              <w:t>K2</w:t>
            </w:r>
          </w:p>
        </w:tc>
        <w:tc>
          <w:tcPr>
            <w:tcW w:w="5528" w:type="dxa"/>
          </w:tcPr>
          <w:p w14:paraId="6679F0CB" w14:textId="09E2054A" w:rsidR="00476291" w:rsidRPr="002B18C1" w:rsidRDefault="00476291" w:rsidP="00300508">
            <w:pPr>
              <w:pStyle w:val="TableText"/>
              <w:cnfStyle w:val="000000000000" w:firstRow="0" w:lastRow="0" w:firstColumn="0" w:lastColumn="0" w:oddVBand="0" w:evenVBand="0" w:oddHBand="0" w:evenHBand="0" w:firstRowFirstColumn="0" w:firstRowLastColumn="0" w:lastRowFirstColumn="0" w:lastRowLastColumn="0"/>
            </w:pPr>
            <w:r>
              <w:t xml:space="preserve">Suitable for outdoor use but at a low activity level e.g., someone who manages steps and </w:t>
            </w:r>
            <w:r w:rsidR="005D1DF7" w:rsidRPr="002B18C1">
              <w:t>slopes,</w:t>
            </w:r>
            <w:r w:rsidRPr="002B18C1">
              <w:t xml:space="preserve"> but walks limited distances and may use a stick or other gait aid</w:t>
            </w:r>
          </w:p>
        </w:tc>
        <w:tc>
          <w:tcPr>
            <w:tcW w:w="3825" w:type="dxa"/>
          </w:tcPr>
          <w:p w14:paraId="2BAF3435" w14:textId="5B123A4A" w:rsidR="00476291" w:rsidRDefault="00FF2E94" w:rsidP="00300508">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Hydraulic and pneumatic knee</w:t>
            </w:r>
          </w:p>
          <w:p w14:paraId="20CB6809" w14:textId="77777777" w:rsidR="00FF2E94" w:rsidRDefault="00FF2E94" w:rsidP="00300508">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 xml:space="preserve">Multiaxial foot </w:t>
            </w:r>
          </w:p>
          <w:p w14:paraId="7DD9193D" w14:textId="2DBACFD7" w:rsidR="00FF2E94" w:rsidRDefault="00FF2E94" w:rsidP="00300508">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Hydraulic ankle</w:t>
            </w:r>
          </w:p>
        </w:tc>
      </w:tr>
      <w:tr w:rsidR="00AE1E92" w:rsidRPr="009C1931" w14:paraId="3B0B7065" w14:textId="73BAD9F3" w:rsidTr="00FE11D7">
        <w:trPr>
          <w:trHeight w:val="81"/>
        </w:trPr>
        <w:tc>
          <w:tcPr>
            <w:cnfStyle w:val="001000000000" w:firstRow="0" w:lastRow="0" w:firstColumn="1" w:lastColumn="0" w:oddVBand="0" w:evenVBand="0" w:oddHBand="0" w:evenHBand="0" w:firstRowFirstColumn="0" w:firstRowLastColumn="0" w:lastRowFirstColumn="0" w:lastRowLastColumn="0"/>
            <w:tcW w:w="851" w:type="dxa"/>
          </w:tcPr>
          <w:p w14:paraId="214E1662" w14:textId="3EFA8D4C" w:rsidR="00476291" w:rsidRDefault="00476291" w:rsidP="002B18C1">
            <w:pPr>
              <w:pStyle w:val="Tabletextbold"/>
              <w:rPr>
                <w:b/>
                <w:szCs w:val="20"/>
              </w:rPr>
            </w:pPr>
            <w:r>
              <w:rPr>
                <w:b/>
              </w:rPr>
              <w:t>K3</w:t>
            </w:r>
          </w:p>
        </w:tc>
        <w:tc>
          <w:tcPr>
            <w:tcW w:w="5528" w:type="dxa"/>
          </w:tcPr>
          <w:p w14:paraId="4BBD5FA7" w14:textId="2792BC51" w:rsidR="00476291" w:rsidRPr="002B18C1" w:rsidRDefault="00476291" w:rsidP="00300508">
            <w:pPr>
              <w:pStyle w:val="TableText"/>
              <w:cnfStyle w:val="000000000000" w:firstRow="0" w:lastRow="0" w:firstColumn="0" w:lastColumn="0" w:oddVBand="0" w:evenVBand="0" w:oddHBand="0" w:evenHBand="0" w:firstRowFirstColumn="0" w:firstRowLastColumn="0" w:lastRowFirstColumn="0" w:lastRowLastColumn="0"/>
            </w:pPr>
            <w:r>
              <w:t xml:space="preserve">Suitable for general outdoor use but not including sports and other high impact activities e.g., someone who walks in most encountered environments, at varying speeds, long </w:t>
            </w:r>
            <w:r w:rsidRPr="002B18C1">
              <w:t>distances when required and usually without a gait aid.</w:t>
            </w:r>
          </w:p>
        </w:tc>
        <w:tc>
          <w:tcPr>
            <w:tcW w:w="3825" w:type="dxa"/>
          </w:tcPr>
          <w:p w14:paraId="302C6EA8" w14:textId="77777777" w:rsidR="00476291" w:rsidRDefault="00FF2E94" w:rsidP="00300508">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Energy-storing feet</w:t>
            </w:r>
          </w:p>
          <w:p w14:paraId="62482866" w14:textId="704485F5" w:rsidR="00FE7576" w:rsidRPr="00FE7576" w:rsidRDefault="00FF2E94" w:rsidP="00300508">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Microprocessor-</w:t>
            </w:r>
            <w:r w:rsidR="00FE7576">
              <w:rPr>
                <w:bCs/>
                <w:szCs w:val="20"/>
              </w:rPr>
              <w:t xml:space="preserve">controlled and fluid-controlled knees </w:t>
            </w:r>
          </w:p>
        </w:tc>
      </w:tr>
      <w:tr w:rsidR="00AE1E92" w:rsidRPr="009C1931" w14:paraId="37867CEC" w14:textId="40057C71" w:rsidTr="00FE11D7">
        <w:trPr>
          <w:trHeight w:val="77"/>
        </w:trPr>
        <w:tc>
          <w:tcPr>
            <w:cnfStyle w:val="001000000000" w:firstRow="0" w:lastRow="0" w:firstColumn="1" w:lastColumn="0" w:oddVBand="0" w:evenVBand="0" w:oddHBand="0" w:evenHBand="0" w:firstRowFirstColumn="0" w:firstRowLastColumn="0" w:lastRowFirstColumn="0" w:lastRowLastColumn="0"/>
            <w:tcW w:w="851" w:type="dxa"/>
          </w:tcPr>
          <w:p w14:paraId="371CA3D8" w14:textId="0B8C5DB7" w:rsidR="00476291" w:rsidRDefault="00476291" w:rsidP="002B18C1">
            <w:pPr>
              <w:pStyle w:val="Tabletextbold"/>
              <w:rPr>
                <w:b/>
                <w:szCs w:val="20"/>
              </w:rPr>
            </w:pPr>
            <w:r>
              <w:rPr>
                <w:b/>
              </w:rPr>
              <w:t>K4</w:t>
            </w:r>
          </w:p>
        </w:tc>
        <w:tc>
          <w:tcPr>
            <w:tcW w:w="5528" w:type="dxa"/>
          </w:tcPr>
          <w:p w14:paraId="60C66E68" w14:textId="2B03F532" w:rsidR="00476291" w:rsidRPr="002B18C1" w:rsidRDefault="00476291" w:rsidP="00300508">
            <w:pPr>
              <w:pStyle w:val="TableText"/>
              <w:cnfStyle w:val="000000000000" w:firstRow="0" w:lastRow="0" w:firstColumn="0" w:lastColumn="0" w:oddVBand="0" w:evenVBand="0" w:oddHBand="0" w:evenHBand="0" w:firstRowFirstColumn="0" w:firstRowLastColumn="0" w:lastRowFirstColumn="0" w:lastRowLastColumn="0"/>
            </w:pPr>
            <w:r>
              <w:t xml:space="preserve">Suitable for </w:t>
            </w:r>
            <w:r w:rsidR="00BD6B8D" w:rsidRPr="002B18C1">
              <w:t>high-impact</w:t>
            </w:r>
            <w:r w:rsidRPr="002B18C1">
              <w:t xml:space="preserve"> use. For those people who have unrestricted mobility and may impose higher than usual forces on their prosthesis e.g., someone involved in sports, manual work. </w:t>
            </w:r>
          </w:p>
        </w:tc>
        <w:tc>
          <w:tcPr>
            <w:tcW w:w="3825" w:type="dxa"/>
          </w:tcPr>
          <w:p w14:paraId="4CA89AEB" w14:textId="77777777" w:rsidR="00476291" w:rsidRDefault="00FE7576" w:rsidP="00300508">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Advanced dynamic response feet</w:t>
            </w:r>
          </w:p>
          <w:p w14:paraId="2287381D" w14:textId="77777777" w:rsidR="00FE7576" w:rsidRDefault="00FE7576" w:rsidP="00300508">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High performance knees (computerised</w:t>
            </w:r>
            <w:r w:rsidR="005F1140">
              <w:rPr>
                <w:bCs/>
                <w:szCs w:val="20"/>
              </w:rPr>
              <w:t>)</w:t>
            </w:r>
          </w:p>
          <w:p w14:paraId="2D83D1BF" w14:textId="06A00289" w:rsidR="005F1140" w:rsidRDefault="005F1140" w:rsidP="00300508">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Sports-specific prosthetics</w:t>
            </w:r>
          </w:p>
        </w:tc>
      </w:tr>
    </w:tbl>
    <w:p w14:paraId="12CABA6F" w14:textId="77777777" w:rsidR="00AE58ED" w:rsidRDefault="001B304A" w:rsidP="00AE58ED">
      <w:pPr>
        <w:pStyle w:val="Caption-Source"/>
        <w:rPr>
          <w:i/>
          <w:szCs w:val="20"/>
        </w:rPr>
      </w:pPr>
      <w:r w:rsidRPr="00BA785B">
        <w:t>Source</w:t>
      </w:r>
      <w:r w:rsidRPr="00C86CB0">
        <w:t xml:space="preserve">: </w:t>
      </w:r>
      <w:r w:rsidR="001E2A1B" w:rsidRPr="00C86CB0">
        <w:t xml:space="preserve">Adapted from </w:t>
      </w:r>
      <w:r w:rsidRPr="00C86CB0">
        <w:t>Limbs for Life</w:t>
      </w:r>
      <w:r w:rsidR="001E2A1B" w:rsidRPr="00C86CB0">
        <w:rPr>
          <w:rStyle w:val="FootnoteReference"/>
          <w:szCs w:val="20"/>
        </w:rPr>
        <w:footnoteReference w:id="65"/>
      </w:r>
      <w:r w:rsidR="007B7939">
        <w:rPr>
          <w:rFonts w:ascii="ZWAdobeF" w:hAnsi="ZWAdobeF" w:cs="ZWAdobeF"/>
          <w:color w:val="auto"/>
          <w:sz w:val="2"/>
          <w:szCs w:val="2"/>
        </w:rPr>
        <w:t>35F</w:t>
      </w:r>
      <w:r w:rsidR="005F1140" w:rsidRPr="00BA785B">
        <w:rPr>
          <w:rStyle w:val="FootnoteReference"/>
          <w:i/>
          <w:szCs w:val="20"/>
        </w:rPr>
        <w:footnoteReference w:id="66"/>
      </w:r>
      <w:r w:rsidR="001E2A1B" w:rsidRPr="00BA785B">
        <w:rPr>
          <w:i/>
          <w:szCs w:val="20"/>
        </w:rPr>
        <w:t xml:space="preserve"> </w:t>
      </w:r>
    </w:p>
    <w:p w14:paraId="08FA7876" w14:textId="77777777" w:rsidR="00465507" w:rsidRPr="000543B6" w:rsidRDefault="00465507" w:rsidP="000543B6">
      <w:r>
        <w:br w:type="page"/>
      </w:r>
    </w:p>
    <w:p w14:paraId="5533950E" w14:textId="7160E558" w:rsidR="0030151A" w:rsidRPr="008B474C" w:rsidRDefault="00225099" w:rsidP="008B474C">
      <w:r w:rsidRPr="008B474C">
        <w:t xml:space="preserve">People with upper limb amputations may decide </w:t>
      </w:r>
      <w:r w:rsidR="00BD6B8D" w:rsidRPr="008B474C">
        <w:t>not to</w:t>
      </w:r>
      <w:r w:rsidRPr="008B474C">
        <w:t xml:space="preserve"> use a prosthesis at </w:t>
      </w:r>
      <w:r w:rsidR="0030151A" w:rsidRPr="008B474C">
        <w:t>all or</w:t>
      </w:r>
      <w:r w:rsidRPr="008B474C">
        <w:t xml:space="preserve"> may only wear a prosthesis for certain activities such as driving a car, work</w:t>
      </w:r>
      <w:r w:rsidR="00E078A4" w:rsidRPr="008B474C">
        <w:t>ing</w:t>
      </w:r>
      <w:r w:rsidRPr="008B474C">
        <w:t xml:space="preserve"> around the home, or riding a bike.</w:t>
      </w:r>
      <w:r w:rsidR="0030151A" w:rsidRPr="008B474C">
        <w:t xml:space="preserve"> </w:t>
      </w:r>
      <w:r w:rsidR="008631EB" w:rsidRPr="008B474C">
        <w:t>There are four types of upper limb prostheses</w:t>
      </w:r>
      <w:r w:rsidR="00E078A4" w:rsidRPr="008B474C">
        <w:t>, classified according to</w:t>
      </w:r>
      <w:r w:rsidR="00EB5618" w:rsidRPr="008B474C">
        <w:t xml:space="preserve"> how movement of the prostheses is controlled:</w:t>
      </w:r>
    </w:p>
    <w:p w14:paraId="3091B018" w14:textId="28AA68DE" w:rsidR="00EB5618" w:rsidRDefault="00EB5618" w:rsidP="00300508">
      <w:pPr>
        <w:pStyle w:val="Bullet1stlevel"/>
      </w:pPr>
      <w:r w:rsidRPr="0042443F">
        <w:rPr>
          <w:rStyle w:val="Strong"/>
        </w:rPr>
        <w:t>Passive prosthesis:</w:t>
      </w:r>
      <w:r>
        <w:t xml:space="preserve"> </w:t>
      </w:r>
      <w:r w:rsidR="00E078A4">
        <w:t xml:space="preserve">These upper limb prostheses </w:t>
      </w:r>
      <w:r>
        <w:t>do not provide any active movement but are life-like in appearance</w:t>
      </w:r>
      <w:r w:rsidR="00301386">
        <w:t>.</w:t>
      </w:r>
    </w:p>
    <w:p w14:paraId="6B0E2CE1" w14:textId="2C85D388" w:rsidR="00EB5618" w:rsidRDefault="00EB5618" w:rsidP="00300508">
      <w:pPr>
        <w:pStyle w:val="Bullet1stlevel"/>
      </w:pPr>
      <w:r w:rsidRPr="0042443F">
        <w:rPr>
          <w:rStyle w:val="Strong"/>
        </w:rPr>
        <w:t>Body powered</w:t>
      </w:r>
      <w:r w:rsidR="00EF5B40" w:rsidRPr="0042443F">
        <w:rPr>
          <w:rStyle w:val="Strong"/>
        </w:rPr>
        <w:t xml:space="preserve"> prosthesis:</w:t>
      </w:r>
      <w:r w:rsidR="00EF5B40">
        <w:t xml:space="preserve"> </w:t>
      </w:r>
      <w:r w:rsidR="00E078A4">
        <w:t xml:space="preserve">These prostheses </w:t>
      </w:r>
      <w:r w:rsidR="00EF5B40">
        <w:t xml:space="preserve">use of a harness around the shoulder to capture upper body movement and translate </w:t>
      </w:r>
      <w:r w:rsidR="003B434E">
        <w:t>the movement through a cable to a terminal device</w:t>
      </w:r>
      <w:r w:rsidR="00301386">
        <w:t>.</w:t>
      </w:r>
    </w:p>
    <w:p w14:paraId="4EB984A1" w14:textId="12CD27AF" w:rsidR="00EB5618" w:rsidRDefault="00EB5618" w:rsidP="00300508">
      <w:pPr>
        <w:pStyle w:val="Bullet1stlevel"/>
      </w:pPr>
      <w:r w:rsidRPr="0042443F">
        <w:rPr>
          <w:rStyle w:val="Strong"/>
        </w:rPr>
        <w:t>Externally powered</w:t>
      </w:r>
      <w:r w:rsidR="003B434E" w:rsidRPr="0042443F">
        <w:rPr>
          <w:rStyle w:val="Strong"/>
        </w:rPr>
        <w:t xml:space="preserve"> prosthesis:</w:t>
      </w:r>
      <w:r w:rsidR="003B434E">
        <w:t xml:space="preserve"> </w:t>
      </w:r>
      <w:r w:rsidR="00E078A4">
        <w:t xml:space="preserve">These prostheses </w:t>
      </w:r>
      <w:r w:rsidR="007947CF">
        <w:t xml:space="preserve">have components that are moved by motors and powered by batteries. The system is controlled by a microprocessor that </w:t>
      </w:r>
      <w:r w:rsidR="006D592E">
        <w:t>receives signals from the body to determine the prosthesis's actions</w:t>
      </w:r>
      <w:r w:rsidR="007947CF">
        <w:t>.</w:t>
      </w:r>
      <w:r w:rsidR="00D03AD0">
        <w:t xml:space="preserve"> Signal</w:t>
      </w:r>
      <w:r w:rsidR="006D592E">
        <w:t>s</w:t>
      </w:r>
      <w:r w:rsidR="00D03AD0">
        <w:t xml:space="preserve"> can be generated by body movement, or by electric signals generated by the </w:t>
      </w:r>
      <w:r w:rsidR="006D592E">
        <w:t>person's</w:t>
      </w:r>
      <w:r w:rsidR="00D03AD0">
        <w:t xml:space="preserve"> muscles (myoelectric prostheses)</w:t>
      </w:r>
      <w:r w:rsidR="00301386">
        <w:t>.</w:t>
      </w:r>
    </w:p>
    <w:p w14:paraId="350E6A57" w14:textId="6046F10D" w:rsidR="00EB5618" w:rsidRPr="00225099" w:rsidRDefault="00EB5618" w:rsidP="00300508">
      <w:pPr>
        <w:pStyle w:val="Bullet1stlevel"/>
      </w:pPr>
      <w:r w:rsidRPr="0042443F">
        <w:rPr>
          <w:rStyle w:val="Strong"/>
        </w:rPr>
        <w:t xml:space="preserve">Hybrid </w:t>
      </w:r>
      <w:r w:rsidR="008567CC" w:rsidRPr="0042443F">
        <w:rPr>
          <w:rStyle w:val="Strong"/>
        </w:rPr>
        <w:t>prosthesis</w:t>
      </w:r>
      <w:r w:rsidR="00E078A4" w:rsidRPr="0042443F">
        <w:rPr>
          <w:rStyle w:val="Strong"/>
        </w:rPr>
        <w:t>:</w:t>
      </w:r>
      <w:r w:rsidR="00E078A4">
        <w:t xml:space="preserve"> These prostheses</w:t>
      </w:r>
      <w:r w:rsidR="008567CC">
        <w:t xml:space="preserve"> use the features of both body-powered and externally powered</w:t>
      </w:r>
      <w:r w:rsidR="00221A3B">
        <w:t> </w:t>
      </w:r>
      <w:r w:rsidR="006D592E">
        <w:t>prostheses</w:t>
      </w:r>
      <w:r w:rsidR="008567CC">
        <w:t>.</w:t>
      </w:r>
      <w:r w:rsidR="007B7939">
        <w:rPr>
          <w:rFonts w:ascii="ZWAdobeF" w:hAnsi="ZWAdobeF" w:cs="ZWAdobeF"/>
          <w:color w:val="auto"/>
          <w:sz w:val="2"/>
          <w:szCs w:val="2"/>
        </w:rPr>
        <w:t>36F</w:t>
      </w:r>
      <w:r w:rsidR="008567CC">
        <w:rPr>
          <w:rStyle w:val="FootnoteReference"/>
        </w:rPr>
        <w:footnoteReference w:id="67"/>
      </w:r>
      <w:r w:rsidR="008567CC">
        <w:t xml:space="preserve"> </w:t>
      </w:r>
    </w:p>
    <w:p w14:paraId="73B74D87" w14:textId="688B0CD2" w:rsidR="00C737E1" w:rsidRDefault="00C737E1" w:rsidP="0036372F">
      <w:pPr>
        <w:pStyle w:val="Heading3"/>
      </w:pPr>
      <w:bookmarkStart w:id="73" w:name="_Ref201063579"/>
      <w:r>
        <w:t xml:space="preserve">National </w:t>
      </w:r>
      <w:r w:rsidR="00FA3AFC">
        <w:t>prostheses services</w:t>
      </w:r>
      <w:r w:rsidR="00E9408E">
        <w:t xml:space="preserve">, programs and </w:t>
      </w:r>
      <w:r w:rsidR="00FA3AFC">
        <w:t>scheme</w:t>
      </w:r>
      <w:r w:rsidR="001409B7">
        <w:t>s</w:t>
      </w:r>
      <w:bookmarkEnd w:id="73"/>
    </w:p>
    <w:p w14:paraId="065A22AA" w14:textId="5073C335" w:rsidR="00F13FB0" w:rsidRPr="008B474C" w:rsidRDefault="006D592E" w:rsidP="008B474C">
      <w:r w:rsidRPr="008B474C">
        <w:t>Several</w:t>
      </w:r>
      <w:r w:rsidR="00B3719C" w:rsidRPr="008B474C">
        <w:t xml:space="preserve"> programs, services and schemes were identified through which people living with or who have lived experience of cancer may access limb</w:t>
      </w:r>
      <w:r w:rsidR="00B7264B" w:rsidRPr="008B474C">
        <w:t xml:space="preserve"> prostheses.</w:t>
      </w:r>
      <w:r w:rsidR="00B3719C" w:rsidRPr="008B474C">
        <w:t xml:space="preserve"> </w:t>
      </w:r>
      <w:r w:rsidR="00F13FB0" w:rsidRPr="008B474C">
        <w:t xml:space="preserve">This section outlines the </w:t>
      </w:r>
      <w:r w:rsidR="00484163" w:rsidRPr="008B474C">
        <w:t>limb</w:t>
      </w:r>
      <w:r w:rsidR="00F13FB0" w:rsidRPr="008B474C">
        <w:t xml:space="preserve"> prostheses services, programs and schemes that are available nationally to people across Australia</w:t>
      </w:r>
      <w:r w:rsidR="00B3719C" w:rsidRPr="008B474C">
        <w:t>, including</w:t>
      </w:r>
      <w:r w:rsidR="00F13FB0" w:rsidRPr="008B474C">
        <w:t xml:space="preserve">: </w:t>
      </w:r>
    </w:p>
    <w:p w14:paraId="4ACD93D6" w14:textId="637820BD" w:rsidR="00F13FB0" w:rsidRPr="00D849EB" w:rsidRDefault="00484163" w:rsidP="00301386">
      <w:pPr>
        <w:pStyle w:val="Bullet1stlevel"/>
      </w:pPr>
      <w:r>
        <w:t>National Disability Insurance Scheme</w:t>
      </w:r>
      <w:r w:rsidR="00301386">
        <w:t>.</w:t>
      </w:r>
      <w:r>
        <w:t xml:space="preserve"> </w:t>
      </w:r>
    </w:p>
    <w:p w14:paraId="4BAD4565" w14:textId="079B3361" w:rsidR="00F13FB0" w:rsidRPr="00D849EB" w:rsidRDefault="00F13FB0" w:rsidP="00301386">
      <w:pPr>
        <w:pStyle w:val="Bullet1stlevel"/>
      </w:pPr>
      <w:r w:rsidRPr="00D849EB">
        <w:t>Department of Veterans Affairs</w:t>
      </w:r>
      <w:r w:rsidR="00301386">
        <w:t>.</w:t>
      </w:r>
    </w:p>
    <w:p w14:paraId="514C0690" w14:textId="77777777" w:rsidR="00F13FB0" w:rsidRPr="00D849EB" w:rsidRDefault="00F13FB0" w:rsidP="00301386">
      <w:pPr>
        <w:pStyle w:val="Bullet1stlevel"/>
      </w:pPr>
      <w:r w:rsidRPr="00D849EB">
        <w:t xml:space="preserve">Private health insurance. </w:t>
      </w:r>
    </w:p>
    <w:p w14:paraId="1BC0435C" w14:textId="4C76D6A2" w:rsidR="003B77CE" w:rsidRDefault="003B77CE" w:rsidP="00FD54A5">
      <w:pPr>
        <w:pStyle w:val="Heading4"/>
      </w:pPr>
      <w:bookmarkStart w:id="74" w:name="_Ref201063551"/>
      <w:r w:rsidRPr="00497DCC">
        <w:t>N</w:t>
      </w:r>
      <w:r w:rsidR="00477B7A" w:rsidRPr="00497DCC">
        <w:t>ational Disability Insurance Scheme</w:t>
      </w:r>
      <w:r w:rsidRPr="00497DCC">
        <w:t xml:space="preserve"> </w:t>
      </w:r>
      <w:bookmarkEnd w:id="74"/>
    </w:p>
    <w:p w14:paraId="4CA04F34" w14:textId="23F66BC7" w:rsidR="007E077E" w:rsidRPr="008B474C" w:rsidRDefault="00E16139" w:rsidP="008B474C">
      <w:r w:rsidRPr="008B474C">
        <w:t xml:space="preserve">As described in Section </w:t>
      </w:r>
      <w:r w:rsidRPr="008B474C">
        <w:fldChar w:fldCharType="begin"/>
      </w:r>
      <w:r w:rsidRPr="008B474C">
        <w:instrText xml:space="preserve"> REF _Ref200453581 \r \h </w:instrText>
      </w:r>
      <w:r w:rsidR="008B474C">
        <w:instrText xml:space="preserve"> \* MERGEFORMAT </w:instrText>
      </w:r>
      <w:r w:rsidRPr="008B474C">
        <w:fldChar w:fldCharType="separate"/>
      </w:r>
      <w:r w:rsidR="00D955D8" w:rsidRPr="008B474C">
        <w:t>2.1</w:t>
      </w:r>
      <w:r w:rsidRPr="008B474C">
        <w:fldChar w:fldCharType="end"/>
      </w:r>
      <w:r w:rsidRPr="008B474C">
        <w:t>, the NDIS</w:t>
      </w:r>
      <w:r w:rsidR="005829C3" w:rsidRPr="008B474C">
        <w:t xml:space="preserve"> </w:t>
      </w:r>
      <w:r w:rsidR="00915B3E" w:rsidRPr="008B474C">
        <w:t xml:space="preserve">provides </w:t>
      </w:r>
      <w:r w:rsidR="002611DC" w:rsidRPr="008B474C">
        <w:t>funding for reasonable and necessary supports to individuals</w:t>
      </w:r>
      <w:r w:rsidR="00CD5B77" w:rsidRPr="008B474C">
        <w:t xml:space="preserve"> under the age of 65 who have</w:t>
      </w:r>
      <w:r w:rsidR="002611DC" w:rsidRPr="008B474C">
        <w:t xml:space="preserve"> significant and permanent disabilities</w:t>
      </w:r>
      <w:r w:rsidR="00915B3E" w:rsidRPr="008B474C">
        <w:t xml:space="preserve">. </w:t>
      </w:r>
      <w:r w:rsidR="007E077E" w:rsidRPr="008B474C">
        <w:t xml:space="preserve">Individuals who have experienced limb loss </w:t>
      </w:r>
      <w:proofErr w:type="gramStart"/>
      <w:r w:rsidR="007E077E" w:rsidRPr="008B474C">
        <w:t>as a result of</w:t>
      </w:r>
      <w:proofErr w:type="gramEnd"/>
      <w:r w:rsidR="007E077E" w:rsidRPr="008B474C">
        <w:t xml:space="preserve"> cancer typically </w:t>
      </w:r>
      <w:r w:rsidR="00DF53AA" w:rsidRPr="008B474C">
        <w:t xml:space="preserve">meet the </w:t>
      </w:r>
      <w:r w:rsidR="007E077E" w:rsidRPr="008B474C">
        <w:t xml:space="preserve">NDIS </w:t>
      </w:r>
      <w:r w:rsidR="00DF53AA" w:rsidRPr="008B474C">
        <w:t xml:space="preserve">eligibility criteria due to the permanent and substantial impact on their functional capacity. </w:t>
      </w:r>
      <w:r w:rsidR="00B3719C" w:rsidRPr="008B474C">
        <w:t>The k</w:t>
      </w:r>
      <w:r w:rsidR="00DF53AA" w:rsidRPr="008B474C">
        <w:t xml:space="preserve">ey reasons </w:t>
      </w:r>
      <w:r w:rsidR="00B3719C" w:rsidRPr="008B474C">
        <w:t xml:space="preserve">for this </w:t>
      </w:r>
      <w:r w:rsidR="00DF53AA" w:rsidRPr="008B474C">
        <w:t>include</w:t>
      </w:r>
      <w:r w:rsidR="007E077E" w:rsidRPr="008B474C">
        <w:t>:</w:t>
      </w:r>
    </w:p>
    <w:p w14:paraId="49056672" w14:textId="230D969A" w:rsidR="007E077E" w:rsidRDefault="00155CF3" w:rsidP="00301386">
      <w:pPr>
        <w:pStyle w:val="Bullet1stlevel"/>
      </w:pPr>
      <w:r>
        <w:t>Limb loss due</w:t>
      </w:r>
      <w:r w:rsidR="007E077E">
        <w:t xml:space="preserve"> to cancer results in a permanent physical impairment that substantially reduces functional capacity in mobility, self-care, and participation in community life</w:t>
      </w:r>
    </w:p>
    <w:p w14:paraId="66F1DCED" w14:textId="22BC0833" w:rsidR="007E077E" w:rsidRDefault="007E077E" w:rsidP="00301386">
      <w:pPr>
        <w:pStyle w:val="Bullet1stlevel"/>
      </w:pPr>
      <w:r>
        <w:t>Most people with limb loss require ongoing disability-specific supports such as prosthetic limbs, rehabilitation, and assistive devices to complete daily activities</w:t>
      </w:r>
    </w:p>
    <w:p w14:paraId="69EE513F" w14:textId="155141A4" w:rsidR="007E077E" w:rsidRDefault="007E077E" w:rsidP="00301386">
      <w:pPr>
        <w:pStyle w:val="Bullet1stlevel"/>
      </w:pPr>
      <w:r>
        <w:t xml:space="preserve">The permanent nature of limb loss and the associated functional limitations directly satisfy the NDIS eligibility requirements for a physical disability. </w:t>
      </w:r>
    </w:p>
    <w:p w14:paraId="56EF145F" w14:textId="15B43597" w:rsidR="00FB0EE3" w:rsidRPr="008B474C" w:rsidRDefault="00155CF3" w:rsidP="008B474C">
      <w:r w:rsidRPr="008B474C">
        <w:t xml:space="preserve">Under the NDIS, limb prostheses are funded as part of assistive technology </w:t>
      </w:r>
      <w:r w:rsidR="00D23950" w:rsidRPr="008B474C">
        <w:t>where they are considered “reasonable and necessary” and represent “value for money”. The scheme defines eligible prosthetic items as</w:t>
      </w:r>
      <w:r w:rsidR="00770EC5" w:rsidRPr="008B474C">
        <w:t xml:space="preserve"> “assistive products externally applied to replace, wholly or in part</w:t>
      </w:r>
      <w:r w:rsidR="005A151E" w:rsidRPr="008B474C">
        <w:t>,</w:t>
      </w:r>
      <w:r w:rsidR="00770EC5" w:rsidRPr="008B474C">
        <w:t xml:space="preserve"> an absent or deficient body segment which assists participant control and functioning of their neuromuscular skeletal syste</w:t>
      </w:r>
      <w:r w:rsidR="007F4579" w:rsidRPr="008B474C">
        <w:t>m</w:t>
      </w:r>
      <w:r w:rsidR="00770EC5" w:rsidRPr="008B474C">
        <w:t>”</w:t>
      </w:r>
      <w:r w:rsidR="007F4579" w:rsidRPr="008B474C">
        <w:t>.</w:t>
      </w:r>
      <w:r w:rsidR="00770EC5" w:rsidRPr="008B474C">
        <w:t xml:space="preserve"> This includes the design, </w:t>
      </w:r>
      <w:r w:rsidR="00EF1DD5" w:rsidRPr="008B474C">
        <w:t>manufacture</w:t>
      </w:r>
      <w:r w:rsidR="00770EC5" w:rsidRPr="008B474C">
        <w:t xml:space="preserve"> and fit of customised functional </w:t>
      </w:r>
      <w:r w:rsidR="00542E5B" w:rsidRPr="008B474C">
        <w:t>prostheses</w:t>
      </w:r>
      <w:r w:rsidR="00EF1DD5" w:rsidRPr="008B474C">
        <w:t>.</w:t>
      </w:r>
      <w:r w:rsidR="007B7939" w:rsidRPr="008B474C">
        <w:t>37F</w:t>
      </w:r>
      <w:r w:rsidR="00EF1DD5" w:rsidRPr="008B474C">
        <w:rPr>
          <w:vertAlign w:val="superscript"/>
        </w:rPr>
        <w:footnoteReference w:id="68"/>
      </w:r>
      <w:r w:rsidR="00D540B4" w:rsidRPr="008B474C">
        <w:t xml:space="preserve"> </w:t>
      </w:r>
    </w:p>
    <w:p w14:paraId="3A361DA3" w14:textId="4373EDB5" w:rsidR="006F0640" w:rsidRPr="000543B6" w:rsidRDefault="006F0640" w:rsidP="000543B6">
      <w:r>
        <w:t xml:space="preserve">The NDIS considers </w:t>
      </w:r>
      <w:r w:rsidR="00D23950">
        <w:t>several</w:t>
      </w:r>
      <w:r>
        <w:t xml:space="preserve"> factors when </w:t>
      </w:r>
      <w:r w:rsidR="008A504B">
        <w:t xml:space="preserve">determining the level of funding for </w:t>
      </w:r>
      <w:r>
        <w:t>prosthe</w:t>
      </w:r>
      <w:r w:rsidR="00EB6843">
        <w:t>ses including t</w:t>
      </w:r>
      <w:r>
        <w:rPr>
          <w:color w:val="auto"/>
        </w:rPr>
        <w:t>he persons weight</w:t>
      </w:r>
      <w:r w:rsidR="00EB6843">
        <w:rPr>
          <w:color w:val="auto"/>
        </w:rPr>
        <w:t>, g</w:t>
      </w:r>
      <w:r>
        <w:rPr>
          <w:color w:val="auto"/>
        </w:rPr>
        <w:t>oals and aspirations</w:t>
      </w:r>
      <w:r w:rsidR="00EB6843">
        <w:rPr>
          <w:color w:val="auto"/>
        </w:rPr>
        <w:t>, t</w:t>
      </w:r>
      <w:r>
        <w:rPr>
          <w:color w:val="auto"/>
        </w:rPr>
        <w:t>he</w:t>
      </w:r>
      <w:r w:rsidR="00EB6843">
        <w:rPr>
          <w:color w:val="auto"/>
        </w:rPr>
        <w:t>ir</w:t>
      </w:r>
      <w:r>
        <w:rPr>
          <w:color w:val="auto"/>
        </w:rPr>
        <w:t xml:space="preserve"> ability to use, put on and remove the </w:t>
      </w:r>
      <w:r w:rsidR="00542E5B">
        <w:rPr>
          <w:color w:val="auto"/>
        </w:rPr>
        <w:t>prosthes</w:t>
      </w:r>
      <w:r w:rsidR="00EB6843">
        <w:rPr>
          <w:color w:val="auto"/>
        </w:rPr>
        <w:t>i</w:t>
      </w:r>
      <w:r w:rsidR="00542E5B">
        <w:rPr>
          <w:color w:val="auto"/>
        </w:rPr>
        <w:t>s</w:t>
      </w:r>
      <w:r w:rsidR="00EB6843">
        <w:rPr>
          <w:color w:val="auto"/>
        </w:rPr>
        <w:t>, their</w:t>
      </w:r>
      <w:r>
        <w:rPr>
          <w:color w:val="auto"/>
        </w:rPr>
        <w:t xml:space="preserve"> ability to care for the </w:t>
      </w:r>
      <w:r w:rsidR="00542E5B">
        <w:rPr>
          <w:color w:val="auto"/>
        </w:rPr>
        <w:t>prosthes</w:t>
      </w:r>
      <w:r w:rsidR="00EB6843">
        <w:rPr>
          <w:color w:val="auto"/>
        </w:rPr>
        <w:t xml:space="preserve">is and their </w:t>
      </w:r>
      <w:r>
        <w:rPr>
          <w:color w:val="auto"/>
        </w:rPr>
        <w:t xml:space="preserve">medical needs, that is, residual limb shape, fixed deformity to be accommodated, skin integrity </w:t>
      </w:r>
      <w:r w:rsidRPr="000543B6">
        <w:t xml:space="preserve">and alignment-relevant co-morbidities. </w:t>
      </w:r>
    </w:p>
    <w:p w14:paraId="63E267C6" w14:textId="77777777" w:rsidR="00465507" w:rsidRDefault="00BC2F0A" w:rsidP="000543B6">
      <w:r w:rsidRPr="000543B6">
        <w:t>T</w:t>
      </w:r>
      <w:r>
        <w:t>he</w:t>
      </w:r>
      <w:r w:rsidR="005A54F5" w:rsidRPr="00E40A7E">
        <w:t xml:space="preserve"> NDIA </w:t>
      </w:r>
      <w:r>
        <w:t>typically f</w:t>
      </w:r>
      <w:r w:rsidR="005A54F5" w:rsidRPr="00E40A7E">
        <w:t>und</w:t>
      </w:r>
      <w:r>
        <w:t>s</w:t>
      </w:r>
      <w:r w:rsidR="00C57F3C">
        <w:t xml:space="preserve"> a range of limb prostheses tailored to a person’s functional classification</w:t>
      </w:r>
      <w:r>
        <w:t xml:space="preserve"> (K-level)</w:t>
      </w:r>
      <w:r w:rsidR="00C57F3C">
        <w:t xml:space="preserve"> and clinical need. </w:t>
      </w:r>
      <w:r w:rsidR="00FE0984">
        <w:t xml:space="preserve">The </w:t>
      </w:r>
      <w:r>
        <w:t>prostheses</w:t>
      </w:r>
      <w:r w:rsidR="00FE0984">
        <w:t xml:space="preserve"> must be prescribed by a health professional who </w:t>
      </w:r>
      <w:r w:rsidR="00542E5B">
        <w:t>is</w:t>
      </w:r>
      <w:r w:rsidR="00FE0984">
        <w:t xml:space="preserve"> designated and accredited by the artificial limb scheme in the state or territory where the person resides.</w:t>
      </w:r>
      <w:r w:rsidR="00465507">
        <w:br w:type="page"/>
      </w:r>
    </w:p>
    <w:p w14:paraId="1CBD5485" w14:textId="7A38F830" w:rsidR="00CF79F4" w:rsidRPr="000543B6" w:rsidRDefault="007C08BB" w:rsidP="000543B6">
      <w:r w:rsidRPr="000543B6">
        <w:t>The types of prostheses funded</w:t>
      </w:r>
      <w:r w:rsidR="00C57F3C" w:rsidRPr="000543B6">
        <w:t xml:space="preserve"> include</w:t>
      </w:r>
      <w:r w:rsidR="00CF79F4" w:rsidRPr="000543B6">
        <w:t>:</w:t>
      </w:r>
    </w:p>
    <w:p w14:paraId="498E099B" w14:textId="5207F544" w:rsidR="00CF79F4" w:rsidRDefault="00351DBD" w:rsidP="00301386">
      <w:pPr>
        <w:pStyle w:val="Bullet1stlevel"/>
      </w:pPr>
      <w:r>
        <w:t>Entry-level</w:t>
      </w:r>
      <w:r w:rsidR="005A54F5" w:rsidRPr="00E40A7E">
        <w:t xml:space="preserve"> or </w:t>
      </w:r>
      <w:r w:rsidR="003D1149">
        <w:t>standard-grade</w:t>
      </w:r>
      <w:r w:rsidR="005A54F5" w:rsidRPr="00E40A7E">
        <w:t xml:space="preserve"> prostheses for participants up to K2 classification</w:t>
      </w:r>
    </w:p>
    <w:p w14:paraId="698C95A1" w14:textId="5777A90D" w:rsidR="00CF79F4" w:rsidRDefault="00CF79F4" w:rsidP="00301386">
      <w:pPr>
        <w:pStyle w:val="Bullet1stlevel"/>
      </w:pPr>
      <w:r>
        <w:t>H</w:t>
      </w:r>
      <w:r w:rsidR="00A4511F">
        <w:t xml:space="preserve">igher </w:t>
      </w:r>
      <w:r w:rsidR="00672FEC">
        <w:t xml:space="preserve">grade </w:t>
      </w:r>
      <w:r w:rsidR="00D32981">
        <w:t xml:space="preserve">prostheses </w:t>
      </w:r>
      <w:r w:rsidR="005A54F5" w:rsidRPr="00E40A7E">
        <w:t>for people up to K3 and K4 classification</w:t>
      </w:r>
      <w:r w:rsidR="00D32981">
        <w:t>, where functional benefits justify the cost</w:t>
      </w:r>
      <w:r>
        <w:t xml:space="preserve">. </w:t>
      </w:r>
      <w:r w:rsidR="00A4511F">
        <w:t>This includes m</w:t>
      </w:r>
      <w:r w:rsidR="000458A5" w:rsidRPr="00106F1A">
        <w:t>icroprocessor joint</w:t>
      </w:r>
      <w:r w:rsidR="00D32981">
        <w:t>s</w:t>
      </w:r>
      <w:r w:rsidR="000458A5" w:rsidRPr="00106F1A">
        <w:t xml:space="preserve"> and computerised components </w:t>
      </w:r>
      <w:r w:rsidR="00D32981">
        <w:t>for people with a K4 classification, if no other means can deliver equivalent benefits</w:t>
      </w:r>
      <w:r w:rsidR="00A4511F">
        <w:t>.</w:t>
      </w:r>
      <w:r w:rsidR="000B3091">
        <w:t xml:space="preserve"> </w:t>
      </w:r>
      <w:r w:rsidR="00A7660F">
        <w:t xml:space="preserve">Stakeholders consulted as part of this review </w:t>
      </w:r>
      <w:r w:rsidR="00A7660F" w:rsidRPr="00930CC0">
        <w:t xml:space="preserve">highlighted </w:t>
      </w:r>
      <w:r w:rsidR="000763BE">
        <w:t xml:space="preserve">that these </w:t>
      </w:r>
      <w:r w:rsidR="002462BB">
        <w:t>limbs</w:t>
      </w:r>
      <w:r w:rsidR="000763BE">
        <w:t xml:space="preserve"> cost upwards of $2</w:t>
      </w:r>
      <w:r w:rsidR="00992B75">
        <w:t>0</w:t>
      </w:r>
      <w:r w:rsidR="000763BE">
        <w:t>0,000</w:t>
      </w:r>
      <w:r w:rsidR="003D1149">
        <w:t>; however, they</w:t>
      </w:r>
      <w:r w:rsidR="00992B75">
        <w:t xml:space="preserve"> provide significant benefits to </w:t>
      </w:r>
      <w:r w:rsidR="007647D8">
        <w:t xml:space="preserve">both </w:t>
      </w:r>
      <w:r w:rsidR="00992B75">
        <w:t>function and quality of</w:t>
      </w:r>
      <w:r w:rsidR="00221A3B">
        <w:t> </w:t>
      </w:r>
      <w:r w:rsidR="00992B75">
        <w:t>life</w:t>
      </w:r>
      <w:r w:rsidR="000763BE">
        <w:t>.</w:t>
      </w:r>
      <w:r w:rsidR="00A4511F" w:rsidRPr="00A4511F">
        <w:t xml:space="preserve"> </w:t>
      </w:r>
    </w:p>
    <w:p w14:paraId="62D6A418" w14:textId="4DE34C06" w:rsidR="00CF79F4" w:rsidRDefault="00CF79F4" w:rsidP="00301386">
      <w:pPr>
        <w:pStyle w:val="Bullet1stlevel"/>
      </w:pPr>
      <w:r>
        <w:t>A</w:t>
      </w:r>
      <w:r w:rsidR="00A4511F" w:rsidRPr="00A4511F">
        <w:t>ncillary costs related to prosthetic use, such as residual limb socks and sheath</w:t>
      </w:r>
      <w:r w:rsidR="007D27E0">
        <w:t>s</w:t>
      </w:r>
      <w:r w:rsidR="00A4511F" w:rsidRPr="00A4511F">
        <w:t xml:space="preserve">, as well as prosthetic limbs external to </w:t>
      </w:r>
      <w:proofErr w:type="spellStart"/>
      <w:r w:rsidR="003D1149">
        <w:t>osseointegrated</w:t>
      </w:r>
      <w:proofErr w:type="spellEnd"/>
      <w:r w:rsidR="00A4511F" w:rsidRPr="00A4511F">
        <w:t xml:space="preserve"> implants. </w:t>
      </w:r>
    </w:p>
    <w:p w14:paraId="1E3384E3" w14:textId="4B7BD685" w:rsidR="00CF79F4" w:rsidRDefault="00CF79F4" w:rsidP="00301386">
      <w:pPr>
        <w:pStyle w:val="Bullet1stlevel"/>
      </w:pPr>
      <w:r>
        <w:t>U</w:t>
      </w:r>
      <w:r w:rsidR="00A4511F" w:rsidRPr="00A4511F">
        <w:t>pper limb myoelectric prostheses may be funded for bilateral amputees or individuals with contralateral overuse syndrome, provided there is demonstrated commitment and success in using a training device</w:t>
      </w:r>
      <w:r w:rsidR="005A54F5" w:rsidRPr="00E40A7E">
        <w:t>.</w:t>
      </w:r>
      <w:r w:rsidR="00E703A3" w:rsidRPr="00E703A3">
        <w:rPr>
          <w:rStyle w:val="FootnoteReference"/>
        </w:rPr>
        <w:t xml:space="preserve"> </w:t>
      </w:r>
      <w:r w:rsidR="007B7939">
        <w:rPr>
          <w:rFonts w:ascii="ZWAdobeF" w:hAnsi="ZWAdobeF" w:cs="ZWAdobeF"/>
          <w:color w:val="auto"/>
          <w:sz w:val="2"/>
          <w:szCs w:val="2"/>
        </w:rPr>
        <w:t>38F</w:t>
      </w:r>
      <w:r w:rsidR="00E703A3" w:rsidRPr="006D3A65">
        <w:rPr>
          <w:rStyle w:val="FootnoteReference"/>
        </w:rPr>
        <w:footnoteReference w:id="69"/>
      </w:r>
      <w:r w:rsidR="00A4511F">
        <w:t xml:space="preserve"> </w:t>
      </w:r>
    </w:p>
    <w:p w14:paraId="5A641751" w14:textId="3D8FAC1C" w:rsidR="00C96E6B" w:rsidRPr="008B474C" w:rsidRDefault="006E12C1" w:rsidP="008B474C">
      <w:r w:rsidRPr="008B474C">
        <w:fldChar w:fldCharType="begin"/>
      </w:r>
      <w:r w:rsidRPr="008B474C">
        <w:instrText xml:space="preserve"> REF _Ref203126956 \w \h </w:instrText>
      </w:r>
      <w:r w:rsidR="008B474C">
        <w:instrText xml:space="preserve"> \* MERGEFORMAT </w:instrText>
      </w:r>
      <w:r w:rsidRPr="008B474C">
        <w:fldChar w:fldCharType="separate"/>
      </w:r>
      <w:r w:rsidR="00D955D8" w:rsidRPr="008B474C">
        <w:t>Appendix E</w:t>
      </w:r>
      <w:r w:rsidRPr="008B474C">
        <w:fldChar w:fldCharType="end"/>
      </w:r>
      <w:r w:rsidRPr="008B474C">
        <w:t xml:space="preserve"> outlines </w:t>
      </w:r>
      <w:r w:rsidR="005D2C94" w:rsidRPr="008B474C">
        <w:t xml:space="preserve">the </w:t>
      </w:r>
      <w:r w:rsidR="00862CE0" w:rsidRPr="008B474C">
        <w:t xml:space="preserve">limb prostheses listed on the </w:t>
      </w:r>
      <w:r w:rsidR="00BB4E60" w:rsidRPr="008B474C">
        <w:t xml:space="preserve">Assistive Technology Guide, </w:t>
      </w:r>
      <w:r w:rsidRPr="008B474C">
        <w:t>including the</w:t>
      </w:r>
      <w:r w:rsidR="00BB4E60" w:rsidRPr="008B474C">
        <w:t xml:space="preserve"> supports commonly funded under participant plans</w:t>
      </w:r>
      <w:r w:rsidRPr="008B474C">
        <w:t>, as well as additional details regarding the NDIS</w:t>
      </w:r>
      <w:r w:rsidR="0042111E" w:rsidRPr="008B474C">
        <w:t>,</w:t>
      </w:r>
      <w:r w:rsidRPr="008B474C">
        <w:t xml:space="preserve"> including </w:t>
      </w:r>
      <w:r w:rsidR="00C96E6B" w:rsidRPr="008B474C">
        <w:t>eligibility</w:t>
      </w:r>
      <w:r w:rsidR="00221A3B" w:rsidRPr="008B474C">
        <w:t> </w:t>
      </w:r>
      <w:r w:rsidR="00C96E6B" w:rsidRPr="008B474C">
        <w:t>criteria.</w:t>
      </w:r>
    </w:p>
    <w:p w14:paraId="138EBC03" w14:textId="6A6F25C3" w:rsidR="00651472" w:rsidRPr="008B474C" w:rsidRDefault="00A7660F" w:rsidP="008B474C">
      <w:r w:rsidRPr="008B474C">
        <w:t xml:space="preserve">Stakeholders consulted as part of this review highlighted </w:t>
      </w:r>
      <w:r w:rsidR="008B489A" w:rsidRPr="008B474C">
        <w:t xml:space="preserve">several key </w:t>
      </w:r>
      <w:r w:rsidR="007513DF" w:rsidRPr="008B474C">
        <w:t>challenges</w:t>
      </w:r>
      <w:r w:rsidR="008B489A" w:rsidRPr="008B474C">
        <w:t xml:space="preserve"> related to accessing limb prostheses through the NDIS. </w:t>
      </w:r>
      <w:r w:rsidR="002F0F75" w:rsidRPr="008B474C">
        <w:t>A significant</w:t>
      </w:r>
      <w:r w:rsidR="00C56EC8" w:rsidRPr="008B474C">
        <w:t xml:space="preserve"> barrier</w:t>
      </w:r>
      <w:r w:rsidR="002F0F75" w:rsidRPr="008B474C">
        <w:t xml:space="preserve"> to access identified by this review is </w:t>
      </w:r>
      <w:r w:rsidR="00D47979" w:rsidRPr="008B474C">
        <w:t>the age-related eligibility criteria</w:t>
      </w:r>
      <w:r w:rsidR="0042111E" w:rsidRPr="008B474C">
        <w:t>,</w:t>
      </w:r>
      <w:r w:rsidR="00717919" w:rsidRPr="008B474C">
        <w:t xml:space="preserve"> which</w:t>
      </w:r>
      <w:r w:rsidR="00AE3631" w:rsidRPr="008B474C">
        <w:t xml:space="preserve"> exclude</w:t>
      </w:r>
      <w:r w:rsidR="003447D4" w:rsidRPr="008B474C">
        <w:t>s</w:t>
      </w:r>
      <w:r w:rsidR="00AE3631" w:rsidRPr="008B474C">
        <w:t xml:space="preserve"> individuals aged 65 years and over from accessing the NDIS</w:t>
      </w:r>
      <w:r w:rsidR="00D47979" w:rsidRPr="008B474C">
        <w:t xml:space="preserve">. </w:t>
      </w:r>
      <w:r w:rsidR="00107866" w:rsidRPr="008B474C">
        <w:t>As a result, older adults must typically rely</w:t>
      </w:r>
      <w:r w:rsidR="00D47979" w:rsidRPr="008B474C">
        <w:t xml:space="preserve"> on state-based artificial limb schemes to access </w:t>
      </w:r>
      <w:r w:rsidR="00717919" w:rsidRPr="008B474C">
        <w:t xml:space="preserve">limb </w:t>
      </w:r>
      <w:r w:rsidR="00107866" w:rsidRPr="008B474C">
        <w:t>prostheses</w:t>
      </w:r>
      <w:r w:rsidR="00755730" w:rsidRPr="008B474C">
        <w:t xml:space="preserve"> (further described in Section </w:t>
      </w:r>
      <w:r w:rsidR="00755730" w:rsidRPr="008B474C">
        <w:fldChar w:fldCharType="begin"/>
      </w:r>
      <w:r w:rsidR="00755730" w:rsidRPr="008B474C">
        <w:instrText xml:space="preserve"> REF _Ref201569800 \r \h  \* MERGEFORMAT </w:instrText>
      </w:r>
      <w:r w:rsidR="00755730" w:rsidRPr="008B474C">
        <w:fldChar w:fldCharType="separate"/>
      </w:r>
      <w:r w:rsidR="00D955D8" w:rsidRPr="008B474C">
        <w:t>2.3.3</w:t>
      </w:r>
      <w:r w:rsidR="00755730" w:rsidRPr="008B474C">
        <w:fldChar w:fldCharType="end"/>
      </w:r>
      <w:r w:rsidR="00755730" w:rsidRPr="008B474C">
        <w:t>)</w:t>
      </w:r>
      <w:r w:rsidR="00D47979" w:rsidRPr="008B474C">
        <w:t xml:space="preserve">. </w:t>
      </w:r>
    </w:p>
    <w:p w14:paraId="6FEF1E81" w14:textId="1E946266" w:rsidR="002F0F75" w:rsidRPr="008B474C" w:rsidRDefault="00717919" w:rsidP="008B474C">
      <w:r w:rsidRPr="008B474C">
        <w:t>Additional barriers</w:t>
      </w:r>
      <w:r w:rsidR="00507DBA" w:rsidRPr="008B474C">
        <w:t xml:space="preserve"> reported by stakeholders related to accessing limb prostheses via the NDIS</w:t>
      </w:r>
      <w:r w:rsidRPr="008B474C">
        <w:t xml:space="preserve"> </w:t>
      </w:r>
      <w:r w:rsidR="002F0F75" w:rsidRPr="008B474C">
        <w:t xml:space="preserve">are further explored in Section </w:t>
      </w:r>
      <w:r w:rsidR="002F0F75" w:rsidRPr="008B474C">
        <w:fldChar w:fldCharType="begin"/>
      </w:r>
      <w:r w:rsidR="002F0F75" w:rsidRPr="008B474C">
        <w:instrText xml:space="preserve"> REF _Ref201910748 \r \h  \* MERGEFORMAT </w:instrText>
      </w:r>
      <w:r w:rsidR="002F0F75" w:rsidRPr="008B474C">
        <w:fldChar w:fldCharType="separate"/>
      </w:r>
      <w:r w:rsidR="00D955D8" w:rsidRPr="008B474C">
        <w:t>4</w:t>
      </w:r>
      <w:r w:rsidR="002F0F75" w:rsidRPr="008B474C">
        <w:fldChar w:fldCharType="end"/>
      </w:r>
      <w:r w:rsidR="00507DBA" w:rsidRPr="008B474C">
        <w:t xml:space="preserve">. These barriers </w:t>
      </w:r>
      <w:r w:rsidR="002F0F75" w:rsidRPr="008B474C">
        <w:t>include:</w:t>
      </w:r>
    </w:p>
    <w:p w14:paraId="082B84C3" w14:textId="02481D6F" w:rsidR="002F0F75" w:rsidRPr="002F0F75" w:rsidRDefault="002F0F75" w:rsidP="00301386">
      <w:pPr>
        <w:pStyle w:val="Bullet1stlevel"/>
      </w:pPr>
      <w:r>
        <w:t xml:space="preserve">The </w:t>
      </w:r>
      <w:r w:rsidR="00C56EC8" w:rsidRPr="002F0F75">
        <w:t>complexity of the NDIS</w:t>
      </w:r>
      <w:r w:rsidR="00507DBA">
        <w:t xml:space="preserve"> application and</w:t>
      </w:r>
      <w:r w:rsidR="00C56EC8" w:rsidRPr="002F0F75">
        <w:t xml:space="preserve"> approval process</w:t>
      </w:r>
    </w:p>
    <w:p w14:paraId="552198BA" w14:textId="77777777" w:rsidR="002F0F75" w:rsidRPr="002F0F75" w:rsidRDefault="007513DF" w:rsidP="00301386">
      <w:pPr>
        <w:pStyle w:val="Bullet1stlevel"/>
      </w:pPr>
      <w:r w:rsidRPr="002F0F75">
        <w:t>Long wait times for plan approval and funding allocation</w:t>
      </w:r>
    </w:p>
    <w:p w14:paraId="54889DF1" w14:textId="56A90D1F" w:rsidR="002F0F75" w:rsidRDefault="002F0F75" w:rsidP="00301386">
      <w:pPr>
        <w:pStyle w:val="Bullet1stlevel"/>
      </w:pPr>
      <w:r>
        <w:t>L</w:t>
      </w:r>
      <w:r w:rsidR="00D91482">
        <w:t xml:space="preserve">imited access to </w:t>
      </w:r>
      <w:r w:rsidR="005936F2">
        <w:t xml:space="preserve">accredited </w:t>
      </w:r>
      <w:r w:rsidR="00D91482">
        <w:t>prosthetists, especially in rural and remote areas</w:t>
      </w:r>
      <w:r>
        <w:t xml:space="preserve">. </w:t>
      </w:r>
    </w:p>
    <w:p w14:paraId="4F15D792" w14:textId="773625D1" w:rsidR="005A54F5" w:rsidRDefault="00287410" w:rsidP="00FD54A5">
      <w:pPr>
        <w:pStyle w:val="Heading4"/>
      </w:pPr>
      <w:r>
        <w:t>Department of Veteran</w:t>
      </w:r>
      <w:r w:rsidR="004A65E5">
        <w:t>s</w:t>
      </w:r>
      <w:r w:rsidR="00C560D6">
        <w:t>’</w:t>
      </w:r>
      <w:r>
        <w:t xml:space="preserve"> Affairs</w:t>
      </w:r>
    </w:p>
    <w:p w14:paraId="185CAC51" w14:textId="02940EDA" w:rsidR="004B231B" w:rsidRPr="008B474C" w:rsidRDefault="0087621C" w:rsidP="008B474C">
      <w:r w:rsidRPr="008B474C">
        <w:t xml:space="preserve">The DVA provides funding for limb prostheses to eligible veterans and dependents who have undergone an amputation </w:t>
      </w:r>
      <w:proofErr w:type="gramStart"/>
      <w:r w:rsidRPr="008B474C">
        <w:t>as a result of</w:t>
      </w:r>
      <w:proofErr w:type="gramEnd"/>
      <w:r w:rsidRPr="008B474C">
        <w:t xml:space="preserve"> cancer.</w:t>
      </w:r>
      <w:r w:rsidR="004B231B" w:rsidRPr="008B474C">
        <w:t xml:space="preserve"> </w:t>
      </w:r>
      <w:r w:rsidR="0096653A" w:rsidRPr="008B474C">
        <w:t>Funding is delivered through the</w:t>
      </w:r>
      <w:r w:rsidRPr="008B474C">
        <w:t xml:space="preserve"> RAP</w:t>
      </w:r>
      <w:r w:rsidR="0096653A" w:rsidRPr="008B474C">
        <w:t xml:space="preserve">, which </w:t>
      </w:r>
      <w:r w:rsidRPr="008B474C">
        <w:t xml:space="preserve">covers </w:t>
      </w:r>
      <w:r w:rsidR="0096653A" w:rsidRPr="008B474C">
        <w:t>a range of limb prosthetic supports</w:t>
      </w:r>
      <w:r w:rsidR="0042111E" w:rsidRPr="008B474C">
        <w:t>, including everyday prostheses, stump socks, silicone liners, and silicone</w:t>
      </w:r>
      <w:r w:rsidR="00FC32A5" w:rsidRPr="008B474C">
        <w:t xml:space="preserve"> knee sleeves. </w:t>
      </w:r>
      <w:r w:rsidR="00FE53C1" w:rsidRPr="008B474C">
        <w:t>A secondary prosthesis</w:t>
      </w:r>
      <w:r w:rsidR="00EC0FD4" w:rsidRPr="008B474C">
        <w:t>,</w:t>
      </w:r>
      <w:r w:rsidR="00FE53C1" w:rsidRPr="008B474C">
        <w:t xml:space="preserve"> such as a shower leg, water arm or leg, sports leg, occupational limb or cosmetic limb, may be provided </w:t>
      </w:r>
      <w:r w:rsidR="0096653A" w:rsidRPr="008B474C">
        <w:t>when</w:t>
      </w:r>
      <w:r w:rsidR="00FE53C1" w:rsidRPr="008B474C">
        <w:t xml:space="preserve"> the primary limb is for occupational purposes. </w:t>
      </w:r>
      <w:r w:rsidR="0096653A" w:rsidRPr="008B474C">
        <w:t xml:space="preserve">Additionally, DVA will fund footwear if it is deemed an essential component of the prosthetic limb, with </w:t>
      </w:r>
      <w:r w:rsidR="00EC0FD4" w:rsidRPr="008B474C">
        <w:t>a maximum of</w:t>
      </w:r>
      <w:r w:rsidR="0096653A" w:rsidRPr="008B474C">
        <w:t xml:space="preserve"> two pairs of shoes funded at any one time.</w:t>
      </w:r>
      <w:r w:rsidR="0016149A" w:rsidRPr="008B474C">
        <w:t xml:space="preserve"> </w:t>
      </w:r>
      <w:r w:rsidR="007B7939" w:rsidRPr="008B474C">
        <w:t>49F</w:t>
      </w:r>
      <w:r w:rsidR="0016149A" w:rsidRPr="008B474C">
        <w:rPr>
          <w:vertAlign w:val="superscript"/>
        </w:rPr>
        <w:footnoteReference w:id="70"/>
      </w:r>
    </w:p>
    <w:p w14:paraId="3987D99F" w14:textId="7C202DD5" w:rsidR="0087621C" w:rsidRPr="008B474C" w:rsidRDefault="0096653A" w:rsidP="008B474C">
      <w:r w:rsidRPr="008B474C">
        <w:t xml:space="preserve">Accessing the program requires a clinical assessment by a multidisciplinary prosthetic team, typically supported by an amputee clinic or specialist. The application must include clearly defined functional goals, evidence of clinical appropriateness, and a prosthetic evaluation and review. </w:t>
      </w:r>
      <w:r w:rsidR="0000124B" w:rsidRPr="008B474C">
        <w:t xml:space="preserve">As outlined in Section </w:t>
      </w:r>
      <w:r w:rsidR="0000124B" w:rsidRPr="008B474C">
        <w:fldChar w:fldCharType="begin"/>
      </w:r>
      <w:r w:rsidR="0000124B" w:rsidRPr="008B474C">
        <w:instrText xml:space="preserve"> PAGEREF _Ref200567404 \h </w:instrText>
      </w:r>
      <w:r w:rsidR="0000124B" w:rsidRPr="008B474C">
        <w:fldChar w:fldCharType="separate"/>
      </w:r>
      <w:r w:rsidR="0000124B" w:rsidRPr="008B474C">
        <w:fldChar w:fldCharType="end"/>
      </w:r>
      <w:r w:rsidR="0000124B" w:rsidRPr="008B474C">
        <w:t xml:space="preserve">.1.2, </w:t>
      </w:r>
      <w:r w:rsidR="008150C7" w:rsidRPr="008B474C">
        <w:t xml:space="preserve">the prescribing clinician is responsible for submitting a RAP form to DVA, which must include supplier details and a cost quotation. Since there are no contracted suppliers for limb prostheses under the DVA, health professionals are free to select a supplier that best meets the needs and preferences of their </w:t>
      </w:r>
      <w:r w:rsidR="00EC0FD4" w:rsidRPr="008B474C">
        <w:t>patients</w:t>
      </w:r>
      <w:r w:rsidR="008150C7" w:rsidRPr="008B474C">
        <w:t xml:space="preserve">. </w:t>
      </w:r>
      <w:r w:rsidR="0087621C" w:rsidRPr="008B474C">
        <w:t xml:space="preserve">See </w:t>
      </w:r>
      <w:r w:rsidR="00786BC7" w:rsidRPr="008B474C">
        <w:fldChar w:fldCharType="begin"/>
      </w:r>
      <w:r w:rsidR="00786BC7" w:rsidRPr="008B474C">
        <w:instrText xml:space="preserve"> REF _Ref203126956 \w \h </w:instrText>
      </w:r>
      <w:r w:rsidR="00786BC7" w:rsidRPr="008B474C">
        <w:fldChar w:fldCharType="separate"/>
      </w:r>
      <w:r w:rsidR="00D955D8" w:rsidRPr="008B474C">
        <w:t>Appendix E</w:t>
      </w:r>
      <w:r w:rsidR="00786BC7" w:rsidRPr="008B474C">
        <w:fldChar w:fldCharType="end"/>
      </w:r>
      <w:r w:rsidR="0087621C" w:rsidRPr="008B474C">
        <w:t xml:space="preserve"> for further details on </w:t>
      </w:r>
      <w:r w:rsidR="008150C7" w:rsidRPr="008B474C">
        <w:t>limb</w:t>
      </w:r>
      <w:r w:rsidR="0087621C" w:rsidRPr="008B474C">
        <w:t xml:space="preserve"> prostheses provided under DVA.</w:t>
      </w:r>
      <w:r w:rsidR="007B7939" w:rsidRPr="008B474C">
        <w:t>50F</w:t>
      </w:r>
      <w:r w:rsidR="008150C7" w:rsidRPr="008B474C">
        <w:rPr>
          <w:vertAlign w:val="superscript"/>
        </w:rPr>
        <w:footnoteReference w:id="71"/>
      </w:r>
    </w:p>
    <w:p w14:paraId="6D29422B" w14:textId="77777777" w:rsidR="00C26966" w:rsidRPr="00F12039" w:rsidRDefault="00C26966" w:rsidP="00FD54A5">
      <w:pPr>
        <w:pStyle w:val="Heading4"/>
      </w:pPr>
      <w:r>
        <w:t>Private health insurance</w:t>
      </w:r>
    </w:p>
    <w:p w14:paraId="38A0A356" w14:textId="7870E880" w:rsidR="00C26966" w:rsidRPr="008B474C" w:rsidRDefault="00C26966" w:rsidP="008B474C">
      <w:r w:rsidRPr="008B474C">
        <w:t xml:space="preserve">Coverage for </w:t>
      </w:r>
      <w:r w:rsidR="001A02C3" w:rsidRPr="008B474C">
        <w:t>limb</w:t>
      </w:r>
      <w:r w:rsidRPr="008B474C">
        <w:t xml:space="preserve"> prostheses by private health insurers in Australia varies significantly between funds </w:t>
      </w:r>
      <w:r w:rsidR="00D674D4" w:rsidRPr="008B474C">
        <w:t>as limb prostheses are not listed on the Prescribed list</w:t>
      </w:r>
      <w:r w:rsidR="007B7939" w:rsidRPr="008B474C">
        <w:t>52F</w:t>
      </w:r>
      <w:r w:rsidR="00D674D4" w:rsidRPr="008B474C">
        <w:rPr>
          <w:vertAlign w:val="superscript"/>
        </w:rPr>
        <w:footnoteReference w:id="72"/>
      </w:r>
      <w:r w:rsidR="00D674D4" w:rsidRPr="008B474C">
        <w:t>. Therefore, funding</w:t>
      </w:r>
      <w:r w:rsidRPr="008B474C">
        <w:t xml:space="preserve"> is dependent on the level of cover, policy type, and specific fund rules. </w:t>
      </w:r>
      <w:r w:rsidR="008F702F" w:rsidRPr="008B474C">
        <w:rPr>
          <w:highlight w:val="yellow"/>
        </w:rPr>
        <w:fldChar w:fldCharType="begin"/>
      </w:r>
      <w:r w:rsidR="008F702F" w:rsidRPr="008B474C">
        <w:instrText xml:space="preserve"> REF _Ref200568831 \h </w:instrText>
      </w:r>
      <w:r w:rsidR="008F702F" w:rsidRPr="008B474C">
        <w:rPr>
          <w:highlight w:val="yellow"/>
        </w:rPr>
      </w:r>
      <w:r w:rsidR="008B474C" w:rsidRPr="008B474C">
        <w:rPr>
          <w:highlight w:val="yellow"/>
        </w:rPr>
        <w:instrText xml:space="preserve"> \* MERGEFORMAT </w:instrText>
      </w:r>
      <w:r w:rsidR="008F702F" w:rsidRPr="008B474C">
        <w:rPr>
          <w:highlight w:val="yellow"/>
        </w:rPr>
        <w:fldChar w:fldCharType="separate"/>
      </w:r>
      <w:r w:rsidR="00D955D8" w:rsidRPr="008B474C">
        <w:t>Table 9</w:t>
      </w:r>
      <w:r w:rsidR="008F702F" w:rsidRPr="008B474C">
        <w:rPr>
          <w:highlight w:val="yellow"/>
        </w:rPr>
        <w:fldChar w:fldCharType="end"/>
      </w:r>
      <w:r w:rsidR="008F702F" w:rsidRPr="008B474C">
        <w:t xml:space="preserve"> </w:t>
      </w:r>
      <w:r w:rsidRPr="008B474C">
        <w:t xml:space="preserve">provides a comparison of a sample of private health insurance policies that include coverage for </w:t>
      </w:r>
      <w:r w:rsidR="008F702F" w:rsidRPr="008B474C">
        <w:t>limb</w:t>
      </w:r>
      <w:r w:rsidRPr="008B474C">
        <w:t xml:space="preserve"> prostheses. </w:t>
      </w:r>
      <w:r w:rsidR="00B12DEB" w:rsidRPr="008B474C">
        <w:t>Of the three insurers identified that provide coverage for prosthetic limbs, the annual benefits are</w:t>
      </w:r>
      <w:r w:rsidR="00037BB7" w:rsidRPr="008B474C">
        <w:t xml:space="preserve"> notably small </w:t>
      </w:r>
      <w:r w:rsidR="00EC0FD4" w:rsidRPr="008B474C">
        <w:t>in proportion to</w:t>
      </w:r>
      <w:r w:rsidR="00037BB7" w:rsidRPr="008B474C">
        <w:t xml:space="preserve"> the likely cost of a prosthesis. </w:t>
      </w:r>
    </w:p>
    <w:p w14:paraId="05A6DE22" w14:textId="5242BF6D" w:rsidR="00C26966" w:rsidRDefault="00C26966" w:rsidP="00C26966">
      <w:pPr>
        <w:pStyle w:val="Caption"/>
      </w:pPr>
      <w:bookmarkStart w:id="75" w:name="_Ref200568831"/>
      <w:bookmarkStart w:id="76" w:name="_Toc207348574"/>
      <w:r>
        <w:t xml:space="preserve">Table </w:t>
      </w:r>
      <w:r w:rsidR="00D955D8">
        <w:fldChar w:fldCharType="begin"/>
      </w:r>
      <w:r w:rsidR="00D955D8">
        <w:instrText xml:space="preserve"> SEQ Table \* ARABIC </w:instrText>
      </w:r>
      <w:r w:rsidR="00D955D8">
        <w:fldChar w:fldCharType="separate"/>
      </w:r>
      <w:r w:rsidR="00D955D8">
        <w:rPr>
          <w:noProof/>
        </w:rPr>
        <w:t>9</w:t>
      </w:r>
      <w:r w:rsidR="00D955D8">
        <w:rPr>
          <w:noProof/>
        </w:rPr>
        <w:fldChar w:fldCharType="end"/>
      </w:r>
      <w:bookmarkEnd w:id="75"/>
      <w:r>
        <w:t xml:space="preserve">: </w:t>
      </w:r>
      <w:r w:rsidR="008F702F">
        <w:t>Limb p</w:t>
      </w:r>
      <w:r>
        <w:t>rostheses coverage by private health fund</w:t>
      </w:r>
      <w:bookmarkEnd w:id="76"/>
    </w:p>
    <w:tbl>
      <w:tblPr>
        <w:tblStyle w:val="KPMGTable"/>
        <w:tblW w:w="10201" w:type="dxa"/>
        <w:tblLook w:val="04A0" w:firstRow="1" w:lastRow="0" w:firstColumn="1" w:lastColumn="0" w:noHBand="0" w:noVBand="1"/>
      </w:tblPr>
      <w:tblGrid>
        <w:gridCol w:w="1691"/>
        <w:gridCol w:w="1551"/>
        <w:gridCol w:w="1456"/>
        <w:gridCol w:w="1357"/>
        <w:gridCol w:w="1377"/>
        <w:gridCol w:w="1226"/>
        <w:gridCol w:w="1543"/>
      </w:tblGrid>
      <w:tr w:rsidR="00210A81" w:rsidRPr="0037067F" w14:paraId="5DF5FADE" w14:textId="77777777" w:rsidTr="00AC6C76">
        <w:trPr>
          <w:cnfStyle w:val="100000000000" w:firstRow="1" w:lastRow="0" w:firstColumn="0" w:lastColumn="0" w:oddVBand="0" w:evenVBand="0" w:oddHBand="0" w:evenHBand="0" w:firstRowFirstColumn="0" w:firstRowLastColumn="0" w:lastRowFirstColumn="0" w:lastRowLastColumn="0"/>
          <w:trHeight w:val="681"/>
          <w:tblHeader/>
        </w:trPr>
        <w:tc>
          <w:tcPr>
            <w:cnfStyle w:val="001000000000" w:firstRow="0" w:lastRow="0" w:firstColumn="1" w:lastColumn="0" w:oddVBand="0" w:evenVBand="0" w:oddHBand="0" w:evenHBand="0" w:firstRowFirstColumn="0" w:firstRowLastColumn="0" w:lastRowFirstColumn="0" w:lastRowLastColumn="0"/>
            <w:tcW w:w="1691" w:type="dxa"/>
          </w:tcPr>
          <w:p w14:paraId="6DA46131" w14:textId="77777777" w:rsidR="00C26966" w:rsidRPr="008B474C" w:rsidRDefault="00C26966" w:rsidP="008B474C">
            <w:pPr>
              <w:pStyle w:val="TableHeading"/>
            </w:pPr>
            <w:r w:rsidRPr="008B474C">
              <w:t>Private Health Insurer</w:t>
            </w:r>
          </w:p>
        </w:tc>
        <w:tc>
          <w:tcPr>
            <w:tcW w:w="1551" w:type="dxa"/>
          </w:tcPr>
          <w:p w14:paraId="56318066" w14:textId="77777777" w:rsidR="00C26966" w:rsidRPr="008B474C" w:rsidRDefault="00C26966" w:rsidP="008B474C">
            <w:pPr>
              <w:pStyle w:val="TableHeading"/>
              <w:cnfStyle w:val="100000000000" w:firstRow="1" w:lastRow="0" w:firstColumn="0" w:lastColumn="0" w:oddVBand="0" w:evenVBand="0" w:oddHBand="0" w:evenHBand="0" w:firstRowFirstColumn="0" w:firstRowLastColumn="0" w:lastRowFirstColumn="0" w:lastRowLastColumn="0"/>
            </w:pPr>
            <w:r w:rsidRPr="008B474C">
              <w:t>Level of cover</w:t>
            </w:r>
          </w:p>
        </w:tc>
        <w:tc>
          <w:tcPr>
            <w:tcW w:w="1456" w:type="dxa"/>
          </w:tcPr>
          <w:p w14:paraId="44179C9A" w14:textId="369FE1AB" w:rsidR="00C26966" w:rsidRPr="008B474C" w:rsidRDefault="008F702F" w:rsidP="008B474C">
            <w:pPr>
              <w:pStyle w:val="TableHeading"/>
              <w:cnfStyle w:val="100000000000" w:firstRow="1" w:lastRow="0" w:firstColumn="0" w:lastColumn="0" w:oddVBand="0" w:evenVBand="0" w:oddHBand="0" w:evenHBand="0" w:firstRowFirstColumn="0" w:firstRowLastColumn="0" w:lastRowFirstColumn="0" w:lastRowLastColumn="0"/>
            </w:pPr>
            <w:r w:rsidRPr="008B474C">
              <w:t>Limb prosthesis</w:t>
            </w:r>
          </w:p>
        </w:tc>
        <w:tc>
          <w:tcPr>
            <w:tcW w:w="1357" w:type="dxa"/>
          </w:tcPr>
          <w:p w14:paraId="58DF87BA" w14:textId="659C0420" w:rsidR="00C26966" w:rsidRPr="008B474C" w:rsidRDefault="008F702F" w:rsidP="008B474C">
            <w:pPr>
              <w:pStyle w:val="TableHeading"/>
              <w:cnfStyle w:val="100000000000" w:firstRow="1" w:lastRow="0" w:firstColumn="0" w:lastColumn="0" w:oddVBand="0" w:evenVBand="0" w:oddHBand="0" w:evenHBand="0" w:firstRowFirstColumn="0" w:firstRowLastColumn="0" w:lastRowFirstColumn="0" w:lastRowLastColumn="0"/>
            </w:pPr>
            <w:r w:rsidRPr="008B474C">
              <w:t>Additional componentry</w:t>
            </w:r>
          </w:p>
        </w:tc>
        <w:tc>
          <w:tcPr>
            <w:tcW w:w="1377" w:type="dxa"/>
          </w:tcPr>
          <w:p w14:paraId="1266C4DD" w14:textId="77777777" w:rsidR="00C26966" w:rsidRPr="008B474C" w:rsidRDefault="00C26966" w:rsidP="008B474C">
            <w:pPr>
              <w:pStyle w:val="TableHeading"/>
              <w:cnfStyle w:val="100000000000" w:firstRow="1" w:lastRow="0" w:firstColumn="0" w:lastColumn="0" w:oddVBand="0" w:evenVBand="0" w:oddHBand="0" w:evenHBand="0" w:firstRowFirstColumn="0" w:firstRowLastColumn="0" w:lastRowFirstColumn="0" w:lastRowLastColumn="0"/>
            </w:pPr>
            <w:r w:rsidRPr="008B474C">
              <w:t>Replacement period</w:t>
            </w:r>
          </w:p>
        </w:tc>
        <w:tc>
          <w:tcPr>
            <w:tcW w:w="1226" w:type="dxa"/>
          </w:tcPr>
          <w:p w14:paraId="0B9B010B" w14:textId="77777777" w:rsidR="00C26966" w:rsidRPr="008B474C" w:rsidRDefault="00C26966" w:rsidP="008B474C">
            <w:pPr>
              <w:pStyle w:val="TableHeading"/>
              <w:cnfStyle w:val="100000000000" w:firstRow="1" w:lastRow="0" w:firstColumn="0" w:lastColumn="0" w:oddVBand="0" w:evenVBand="0" w:oddHBand="0" w:evenHBand="0" w:firstRowFirstColumn="0" w:firstRowLastColumn="0" w:lastRowFirstColumn="0" w:lastRowLastColumn="0"/>
            </w:pPr>
            <w:r w:rsidRPr="008B474C">
              <w:t>Waiting period</w:t>
            </w:r>
          </w:p>
        </w:tc>
        <w:tc>
          <w:tcPr>
            <w:tcW w:w="1543" w:type="dxa"/>
          </w:tcPr>
          <w:p w14:paraId="5483C3A9" w14:textId="77777777" w:rsidR="00C26966" w:rsidRPr="008B474C" w:rsidRDefault="00C26966" w:rsidP="008B474C">
            <w:pPr>
              <w:pStyle w:val="TableHeading"/>
              <w:cnfStyle w:val="100000000000" w:firstRow="1" w:lastRow="0" w:firstColumn="0" w:lastColumn="0" w:oddVBand="0" w:evenVBand="0" w:oddHBand="0" w:evenHBand="0" w:firstRowFirstColumn="0" w:firstRowLastColumn="0" w:lastRowFirstColumn="0" w:lastRowLastColumn="0"/>
            </w:pPr>
            <w:r w:rsidRPr="008B474C">
              <w:t xml:space="preserve">Annual benefit limit </w:t>
            </w:r>
          </w:p>
        </w:tc>
      </w:tr>
      <w:tr w:rsidR="00AE1E92" w:rsidRPr="0037067F" w14:paraId="70D5D96D" w14:textId="77777777" w:rsidTr="00C86CB0">
        <w:trPr>
          <w:trHeight w:val="692"/>
        </w:trPr>
        <w:tc>
          <w:tcPr>
            <w:cnfStyle w:val="001000000000" w:firstRow="0" w:lastRow="0" w:firstColumn="1" w:lastColumn="0" w:oddVBand="0" w:evenVBand="0" w:oddHBand="0" w:evenHBand="0" w:firstRowFirstColumn="0" w:firstRowLastColumn="0" w:lastRowFirstColumn="0" w:lastRowLastColumn="0"/>
            <w:tcW w:w="1691" w:type="dxa"/>
          </w:tcPr>
          <w:p w14:paraId="40A5F3A2" w14:textId="63545958" w:rsidR="00264CE2" w:rsidRPr="0062504B" w:rsidRDefault="00264CE2" w:rsidP="00301386">
            <w:pPr>
              <w:pStyle w:val="Tabletextbold"/>
            </w:pPr>
            <w:r w:rsidRPr="0062504B">
              <w:t>Medibank</w:t>
            </w:r>
            <w:r>
              <w:rPr>
                <w:rFonts w:ascii="ZWAdobeF" w:hAnsi="ZWAdobeF" w:cs="ZWAdobeF"/>
                <w:color w:val="auto"/>
                <w:sz w:val="2"/>
                <w:szCs w:val="2"/>
              </w:rPr>
              <w:t>53F</w:t>
            </w:r>
            <w:r w:rsidRPr="0037067F">
              <w:rPr>
                <w:rStyle w:val="FootnoteReference"/>
                <w:szCs w:val="20"/>
              </w:rPr>
              <w:footnoteReference w:id="73"/>
            </w:r>
          </w:p>
        </w:tc>
        <w:tc>
          <w:tcPr>
            <w:tcW w:w="1551" w:type="dxa"/>
          </w:tcPr>
          <w:p w14:paraId="398077A7" w14:textId="7545368E" w:rsidR="00264CE2" w:rsidRPr="00301386" w:rsidRDefault="00264CE2" w:rsidP="00301386">
            <w:pPr>
              <w:pStyle w:val="TableText"/>
              <w:cnfStyle w:val="000000000000" w:firstRow="0" w:lastRow="0" w:firstColumn="0" w:lastColumn="0" w:oddVBand="0" w:evenVBand="0" w:oddHBand="0" w:evenHBand="0" w:firstRowFirstColumn="0" w:firstRowLastColumn="0" w:lastRowFirstColumn="0" w:lastRowLastColumn="0"/>
              <w:rPr>
                <w:szCs w:val="18"/>
              </w:rPr>
            </w:pPr>
            <w:r w:rsidRPr="00301386">
              <w:rPr>
                <w:szCs w:val="18"/>
              </w:rPr>
              <w:t>Top Extra’s 60/70/75</w:t>
            </w:r>
          </w:p>
        </w:tc>
        <w:tc>
          <w:tcPr>
            <w:tcW w:w="1456" w:type="dxa"/>
          </w:tcPr>
          <w:p w14:paraId="107B076E" w14:textId="35208C7D" w:rsidR="00264CE2" w:rsidRPr="00301386" w:rsidRDefault="00301386" w:rsidP="00301386">
            <w:pPr>
              <w:pStyle w:val="TableText"/>
              <w:cnfStyle w:val="000000000000" w:firstRow="0" w:lastRow="0" w:firstColumn="0" w:lastColumn="0" w:oddVBand="0" w:evenVBand="0" w:oddHBand="0" w:evenHBand="0" w:firstRowFirstColumn="0" w:firstRowLastColumn="0" w:lastRowFirstColumn="0" w:lastRowLastColumn="0"/>
              <w:rPr>
                <w:szCs w:val="18"/>
              </w:rPr>
            </w:pPr>
            <w:r w:rsidRPr="00301386">
              <w:rPr>
                <w:szCs w:val="18"/>
              </w:rPr>
              <w:t>No</w:t>
            </w:r>
          </w:p>
        </w:tc>
        <w:tc>
          <w:tcPr>
            <w:tcW w:w="1357" w:type="dxa"/>
          </w:tcPr>
          <w:p w14:paraId="5AD8BE8E" w14:textId="1A0E871B" w:rsidR="00264CE2" w:rsidRPr="00301386" w:rsidRDefault="00301386" w:rsidP="00301386">
            <w:pPr>
              <w:pStyle w:val="TableText"/>
              <w:cnfStyle w:val="000000000000" w:firstRow="0" w:lastRow="0" w:firstColumn="0" w:lastColumn="0" w:oddVBand="0" w:evenVBand="0" w:oddHBand="0" w:evenHBand="0" w:firstRowFirstColumn="0" w:firstRowLastColumn="0" w:lastRowFirstColumn="0" w:lastRowLastColumn="0"/>
              <w:rPr>
                <w:szCs w:val="18"/>
              </w:rPr>
            </w:pPr>
            <w:r w:rsidRPr="00301386">
              <w:rPr>
                <w:szCs w:val="18"/>
              </w:rPr>
              <w:t>No</w:t>
            </w:r>
          </w:p>
        </w:tc>
        <w:tc>
          <w:tcPr>
            <w:tcW w:w="1377" w:type="dxa"/>
          </w:tcPr>
          <w:p w14:paraId="4813453F" w14:textId="63C6707C" w:rsidR="00264CE2" w:rsidRPr="00301386" w:rsidRDefault="00264CE2" w:rsidP="00301386">
            <w:pPr>
              <w:pStyle w:val="TableText"/>
              <w:cnfStyle w:val="000000000000" w:firstRow="0" w:lastRow="0" w:firstColumn="0" w:lastColumn="0" w:oddVBand="0" w:evenVBand="0" w:oddHBand="0" w:evenHBand="0" w:firstRowFirstColumn="0" w:firstRowLastColumn="0" w:lastRowFirstColumn="0" w:lastRowLastColumn="0"/>
              <w:rPr>
                <w:szCs w:val="18"/>
              </w:rPr>
            </w:pPr>
            <w:r w:rsidRPr="00301386">
              <w:rPr>
                <w:szCs w:val="18"/>
              </w:rPr>
              <w:t>N/A</w:t>
            </w:r>
          </w:p>
        </w:tc>
        <w:tc>
          <w:tcPr>
            <w:tcW w:w="1226" w:type="dxa"/>
          </w:tcPr>
          <w:p w14:paraId="26545ECD" w14:textId="71909E2A" w:rsidR="00264CE2" w:rsidRPr="00301386" w:rsidRDefault="00264CE2" w:rsidP="00301386">
            <w:pPr>
              <w:pStyle w:val="TableText"/>
              <w:cnfStyle w:val="000000000000" w:firstRow="0" w:lastRow="0" w:firstColumn="0" w:lastColumn="0" w:oddVBand="0" w:evenVBand="0" w:oddHBand="0" w:evenHBand="0" w:firstRowFirstColumn="0" w:firstRowLastColumn="0" w:lastRowFirstColumn="0" w:lastRowLastColumn="0"/>
              <w:rPr>
                <w:szCs w:val="18"/>
              </w:rPr>
            </w:pPr>
            <w:r w:rsidRPr="00301386">
              <w:rPr>
                <w:szCs w:val="18"/>
              </w:rPr>
              <w:t>N/A</w:t>
            </w:r>
          </w:p>
        </w:tc>
        <w:tc>
          <w:tcPr>
            <w:tcW w:w="1543" w:type="dxa"/>
          </w:tcPr>
          <w:p w14:paraId="0DC59AF1" w14:textId="20608303" w:rsidR="00264CE2" w:rsidRPr="00301386" w:rsidRDefault="00264CE2" w:rsidP="00301386">
            <w:pPr>
              <w:pStyle w:val="TableText"/>
              <w:cnfStyle w:val="000000000000" w:firstRow="0" w:lastRow="0" w:firstColumn="0" w:lastColumn="0" w:oddVBand="0" w:evenVBand="0" w:oddHBand="0" w:evenHBand="0" w:firstRowFirstColumn="0" w:firstRowLastColumn="0" w:lastRowFirstColumn="0" w:lastRowLastColumn="0"/>
              <w:rPr>
                <w:szCs w:val="18"/>
              </w:rPr>
            </w:pPr>
            <w:r w:rsidRPr="00301386">
              <w:rPr>
                <w:szCs w:val="18"/>
              </w:rPr>
              <w:t>N/A</w:t>
            </w:r>
          </w:p>
        </w:tc>
      </w:tr>
      <w:tr w:rsidR="00AE1E92" w:rsidRPr="0037067F" w14:paraId="489F33A0" w14:textId="77777777" w:rsidTr="00C86CB0">
        <w:trPr>
          <w:trHeight w:val="488"/>
        </w:trPr>
        <w:tc>
          <w:tcPr>
            <w:cnfStyle w:val="001000000000" w:firstRow="0" w:lastRow="0" w:firstColumn="1" w:lastColumn="0" w:oddVBand="0" w:evenVBand="0" w:oddHBand="0" w:evenHBand="0" w:firstRowFirstColumn="0" w:firstRowLastColumn="0" w:lastRowFirstColumn="0" w:lastRowLastColumn="0"/>
            <w:tcW w:w="1691" w:type="dxa"/>
          </w:tcPr>
          <w:p w14:paraId="57032E8C" w14:textId="35F4810D" w:rsidR="007E13EA" w:rsidRPr="0062504B" w:rsidRDefault="007E13EA" w:rsidP="00301386">
            <w:pPr>
              <w:pStyle w:val="Tabletextbold"/>
            </w:pPr>
            <w:r w:rsidRPr="0062504B">
              <w:t>Bupa</w:t>
            </w:r>
            <w:r w:rsidR="007B7939">
              <w:rPr>
                <w:rFonts w:ascii="ZWAdobeF" w:hAnsi="ZWAdobeF" w:cs="ZWAdobeF"/>
                <w:color w:val="auto"/>
                <w:sz w:val="2"/>
                <w:szCs w:val="2"/>
              </w:rPr>
              <w:t>54F</w:t>
            </w:r>
            <w:r w:rsidRPr="0062504B">
              <w:rPr>
                <w:rStyle w:val="FootnoteReference"/>
                <w:b/>
                <w:szCs w:val="20"/>
              </w:rPr>
              <w:footnoteReference w:id="74"/>
            </w:r>
          </w:p>
        </w:tc>
        <w:tc>
          <w:tcPr>
            <w:tcW w:w="1551" w:type="dxa"/>
          </w:tcPr>
          <w:p w14:paraId="301D85C1" w14:textId="263518E0" w:rsidR="007E13EA" w:rsidRPr="00301386" w:rsidRDefault="007E13EA" w:rsidP="00301386">
            <w:pPr>
              <w:pStyle w:val="TableText"/>
              <w:cnfStyle w:val="000000000000" w:firstRow="0" w:lastRow="0" w:firstColumn="0" w:lastColumn="0" w:oddVBand="0" w:evenVBand="0" w:oddHBand="0" w:evenHBand="0" w:firstRowFirstColumn="0" w:firstRowLastColumn="0" w:lastRowFirstColumn="0" w:lastRowLastColumn="0"/>
              <w:rPr>
                <w:szCs w:val="18"/>
              </w:rPr>
            </w:pPr>
            <w:r w:rsidRPr="00301386">
              <w:rPr>
                <w:szCs w:val="18"/>
              </w:rPr>
              <w:t>Super extras or Top extras</w:t>
            </w:r>
          </w:p>
        </w:tc>
        <w:tc>
          <w:tcPr>
            <w:tcW w:w="1456" w:type="dxa"/>
          </w:tcPr>
          <w:p w14:paraId="77A10F3B" w14:textId="26F0DF55" w:rsidR="007E13EA" w:rsidRPr="00EB003C" w:rsidRDefault="00301386" w:rsidP="00301386">
            <w:pPr>
              <w:pStyle w:val="TableText"/>
              <w:cnfStyle w:val="000000000000" w:firstRow="0" w:lastRow="0" w:firstColumn="0" w:lastColumn="0" w:oddVBand="0" w:evenVBand="0" w:oddHBand="0" w:evenHBand="0" w:firstRowFirstColumn="0" w:firstRowLastColumn="0" w:lastRowFirstColumn="0" w:lastRowLastColumn="0"/>
            </w:pPr>
            <w:r w:rsidRPr="00301386">
              <w:rPr>
                <w:szCs w:val="18"/>
              </w:rPr>
              <w:t>Yes</w:t>
            </w:r>
          </w:p>
        </w:tc>
        <w:tc>
          <w:tcPr>
            <w:tcW w:w="1357" w:type="dxa"/>
          </w:tcPr>
          <w:p w14:paraId="78D24DA1" w14:textId="20ACB8A6" w:rsidR="007E13EA" w:rsidRPr="00301386" w:rsidRDefault="00301386" w:rsidP="00301386">
            <w:pPr>
              <w:pStyle w:val="TableText"/>
              <w:cnfStyle w:val="000000000000" w:firstRow="0" w:lastRow="0" w:firstColumn="0" w:lastColumn="0" w:oddVBand="0" w:evenVBand="0" w:oddHBand="0" w:evenHBand="0" w:firstRowFirstColumn="0" w:firstRowLastColumn="0" w:lastRowFirstColumn="0" w:lastRowLastColumn="0"/>
              <w:rPr>
                <w:szCs w:val="18"/>
              </w:rPr>
            </w:pPr>
            <w:r w:rsidRPr="00301386">
              <w:rPr>
                <w:szCs w:val="18"/>
              </w:rPr>
              <w:t>Yes</w:t>
            </w:r>
          </w:p>
        </w:tc>
        <w:tc>
          <w:tcPr>
            <w:tcW w:w="1377" w:type="dxa"/>
          </w:tcPr>
          <w:p w14:paraId="36F91BCA" w14:textId="7852F120" w:rsidR="007E13EA" w:rsidRPr="00301386" w:rsidRDefault="007E13EA" w:rsidP="00301386">
            <w:pPr>
              <w:pStyle w:val="TableText"/>
              <w:cnfStyle w:val="000000000000" w:firstRow="0" w:lastRow="0" w:firstColumn="0" w:lastColumn="0" w:oddVBand="0" w:evenVBand="0" w:oddHBand="0" w:evenHBand="0" w:firstRowFirstColumn="0" w:firstRowLastColumn="0" w:lastRowFirstColumn="0" w:lastRowLastColumn="0"/>
              <w:rPr>
                <w:szCs w:val="18"/>
              </w:rPr>
            </w:pPr>
            <w:r w:rsidRPr="00301386">
              <w:rPr>
                <w:szCs w:val="18"/>
              </w:rPr>
              <w:t xml:space="preserve">Not specified </w:t>
            </w:r>
          </w:p>
        </w:tc>
        <w:tc>
          <w:tcPr>
            <w:tcW w:w="1226" w:type="dxa"/>
          </w:tcPr>
          <w:p w14:paraId="0DABE96E" w14:textId="20F94CEA" w:rsidR="007E13EA" w:rsidRPr="00301386" w:rsidRDefault="007E13EA" w:rsidP="00301386">
            <w:pPr>
              <w:pStyle w:val="TableText"/>
              <w:cnfStyle w:val="000000000000" w:firstRow="0" w:lastRow="0" w:firstColumn="0" w:lastColumn="0" w:oddVBand="0" w:evenVBand="0" w:oddHBand="0" w:evenHBand="0" w:firstRowFirstColumn="0" w:firstRowLastColumn="0" w:lastRowFirstColumn="0" w:lastRowLastColumn="0"/>
              <w:rPr>
                <w:szCs w:val="18"/>
              </w:rPr>
            </w:pPr>
            <w:r w:rsidRPr="00301386">
              <w:rPr>
                <w:szCs w:val="18"/>
              </w:rPr>
              <w:t>12 months</w:t>
            </w:r>
          </w:p>
        </w:tc>
        <w:tc>
          <w:tcPr>
            <w:tcW w:w="1543" w:type="dxa"/>
          </w:tcPr>
          <w:p w14:paraId="1726DAA9" w14:textId="17088341" w:rsidR="007E13EA" w:rsidRPr="00301386" w:rsidRDefault="007E13EA" w:rsidP="00301386">
            <w:pPr>
              <w:pStyle w:val="TableText"/>
              <w:cnfStyle w:val="000000000000" w:firstRow="0" w:lastRow="0" w:firstColumn="0" w:lastColumn="0" w:oddVBand="0" w:evenVBand="0" w:oddHBand="0" w:evenHBand="0" w:firstRowFirstColumn="0" w:firstRowLastColumn="0" w:lastRowFirstColumn="0" w:lastRowLastColumn="0"/>
              <w:rPr>
                <w:szCs w:val="18"/>
              </w:rPr>
            </w:pPr>
            <w:r w:rsidRPr="00301386">
              <w:rPr>
                <w:szCs w:val="18"/>
              </w:rPr>
              <w:t>Up to $500 annual maximum</w:t>
            </w:r>
          </w:p>
        </w:tc>
      </w:tr>
      <w:tr w:rsidR="00AE1E92" w:rsidRPr="0037067F" w14:paraId="0F49E64A" w14:textId="77777777" w:rsidTr="00C86CB0">
        <w:trPr>
          <w:trHeight w:val="488"/>
        </w:trPr>
        <w:tc>
          <w:tcPr>
            <w:cnfStyle w:val="001000000000" w:firstRow="0" w:lastRow="0" w:firstColumn="1" w:lastColumn="0" w:oddVBand="0" w:evenVBand="0" w:oddHBand="0" w:evenHBand="0" w:firstRowFirstColumn="0" w:firstRowLastColumn="0" w:lastRowFirstColumn="0" w:lastRowLastColumn="0"/>
            <w:tcW w:w="1691" w:type="dxa"/>
          </w:tcPr>
          <w:p w14:paraId="1E8C5DBD" w14:textId="0007A1C6" w:rsidR="00EB2B5E" w:rsidRPr="0062504B" w:rsidRDefault="00EB2B5E" w:rsidP="00301386">
            <w:pPr>
              <w:pStyle w:val="Tabletextbold"/>
            </w:pPr>
            <w:r w:rsidRPr="0062504B">
              <w:t>HIF</w:t>
            </w:r>
            <w:r w:rsidR="007B7939">
              <w:rPr>
                <w:rFonts w:ascii="ZWAdobeF" w:hAnsi="ZWAdobeF" w:cs="ZWAdobeF"/>
                <w:color w:val="auto"/>
                <w:sz w:val="2"/>
                <w:szCs w:val="2"/>
              </w:rPr>
              <w:t>55F</w:t>
            </w:r>
            <w:r w:rsidRPr="0062504B">
              <w:rPr>
                <w:rStyle w:val="FootnoteReference"/>
                <w:b/>
                <w:szCs w:val="20"/>
              </w:rPr>
              <w:footnoteReference w:id="75"/>
            </w:r>
          </w:p>
        </w:tc>
        <w:tc>
          <w:tcPr>
            <w:tcW w:w="1551" w:type="dxa"/>
          </w:tcPr>
          <w:p w14:paraId="09F4E29F" w14:textId="3AEE2032" w:rsidR="00EB2B5E" w:rsidRPr="00301386" w:rsidRDefault="00EB2B5E" w:rsidP="00301386">
            <w:pPr>
              <w:pStyle w:val="TableText"/>
              <w:cnfStyle w:val="000000000000" w:firstRow="0" w:lastRow="0" w:firstColumn="0" w:lastColumn="0" w:oddVBand="0" w:evenVBand="0" w:oddHBand="0" w:evenHBand="0" w:firstRowFirstColumn="0" w:firstRowLastColumn="0" w:lastRowFirstColumn="0" w:lastRowLastColumn="0"/>
              <w:rPr>
                <w:szCs w:val="18"/>
              </w:rPr>
            </w:pPr>
            <w:r w:rsidRPr="00301386">
              <w:rPr>
                <w:szCs w:val="18"/>
              </w:rPr>
              <w:t>Advanced extras or Top extras</w:t>
            </w:r>
          </w:p>
        </w:tc>
        <w:tc>
          <w:tcPr>
            <w:tcW w:w="1456" w:type="dxa"/>
          </w:tcPr>
          <w:p w14:paraId="12A6A1C4" w14:textId="4F97B459" w:rsidR="00EB2B5E" w:rsidRPr="00EB003C" w:rsidRDefault="00301386" w:rsidP="00301386">
            <w:pPr>
              <w:pStyle w:val="TableText"/>
              <w:cnfStyle w:val="000000000000" w:firstRow="0" w:lastRow="0" w:firstColumn="0" w:lastColumn="0" w:oddVBand="0" w:evenVBand="0" w:oddHBand="0" w:evenHBand="0" w:firstRowFirstColumn="0" w:firstRowLastColumn="0" w:lastRowFirstColumn="0" w:lastRowLastColumn="0"/>
            </w:pPr>
            <w:r w:rsidRPr="00301386">
              <w:rPr>
                <w:szCs w:val="18"/>
              </w:rPr>
              <w:t>Yes</w:t>
            </w:r>
          </w:p>
        </w:tc>
        <w:tc>
          <w:tcPr>
            <w:tcW w:w="1357" w:type="dxa"/>
          </w:tcPr>
          <w:p w14:paraId="1D9891EE" w14:textId="7AFA640C" w:rsidR="00EB2B5E" w:rsidRPr="00301386" w:rsidRDefault="00301386" w:rsidP="00301386">
            <w:pPr>
              <w:pStyle w:val="TableText"/>
              <w:cnfStyle w:val="000000000000" w:firstRow="0" w:lastRow="0" w:firstColumn="0" w:lastColumn="0" w:oddVBand="0" w:evenVBand="0" w:oddHBand="0" w:evenHBand="0" w:firstRowFirstColumn="0" w:firstRowLastColumn="0" w:lastRowFirstColumn="0" w:lastRowLastColumn="0"/>
              <w:rPr>
                <w:szCs w:val="18"/>
              </w:rPr>
            </w:pPr>
            <w:r w:rsidRPr="00301386">
              <w:rPr>
                <w:szCs w:val="18"/>
              </w:rPr>
              <w:t>No</w:t>
            </w:r>
          </w:p>
        </w:tc>
        <w:tc>
          <w:tcPr>
            <w:tcW w:w="1377" w:type="dxa"/>
          </w:tcPr>
          <w:p w14:paraId="01231402" w14:textId="4A56C301" w:rsidR="00EB2B5E" w:rsidRPr="00301386" w:rsidRDefault="00EB2B5E" w:rsidP="00301386">
            <w:pPr>
              <w:pStyle w:val="TableText"/>
              <w:cnfStyle w:val="000000000000" w:firstRow="0" w:lastRow="0" w:firstColumn="0" w:lastColumn="0" w:oddVBand="0" w:evenVBand="0" w:oddHBand="0" w:evenHBand="0" w:firstRowFirstColumn="0" w:firstRowLastColumn="0" w:lastRowFirstColumn="0" w:lastRowLastColumn="0"/>
              <w:rPr>
                <w:szCs w:val="18"/>
              </w:rPr>
            </w:pPr>
            <w:r w:rsidRPr="00301386">
              <w:rPr>
                <w:szCs w:val="18"/>
              </w:rPr>
              <w:t>Not specified</w:t>
            </w:r>
          </w:p>
        </w:tc>
        <w:tc>
          <w:tcPr>
            <w:tcW w:w="1226" w:type="dxa"/>
          </w:tcPr>
          <w:p w14:paraId="39C33B36" w14:textId="6609FC04" w:rsidR="00EB2B5E" w:rsidRPr="00301386" w:rsidRDefault="00EB2B5E" w:rsidP="00301386">
            <w:pPr>
              <w:pStyle w:val="TableText"/>
              <w:cnfStyle w:val="000000000000" w:firstRow="0" w:lastRow="0" w:firstColumn="0" w:lastColumn="0" w:oddVBand="0" w:evenVBand="0" w:oddHBand="0" w:evenHBand="0" w:firstRowFirstColumn="0" w:firstRowLastColumn="0" w:lastRowFirstColumn="0" w:lastRowLastColumn="0"/>
              <w:rPr>
                <w:szCs w:val="18"/>
              </w:rPr>
            </w:pPr>
            <w:r w:rsidRPr="00301386">
              <w:rPr>
                <w:szCs w:val="18"/>
              </w:rPr>
              <w:t>12 months</w:t>
            </w:r>
          </w:p>
        </w:tc>
        <w:tc>
          <w:tcPr>
            <w:tcW w:w="1543" w:type="dxa"/>
          </w:tcPr>
          <w:p w14:paraId="11C36016" w14:textId="2025577B" w:rsidR="00EB2B5E" w:rsidRPr="00301386" w:rsidRDefault="00EB2B5E" w:rsidP="00301386">
            <w:pPr>
              <w:pStyle w:val="TableText"/>
              <w:cnfStyle w:val="000000000000" w:firstRow="0" w:lastRow="0" w:firstColumn="0" w:lastColumn="0" w:oddVBand="0" w:evenVBand="0" w:oddHBand="0" w:evenHBand="0" w:firstRowFirstColumn="0" w:firstRowLastColumn="0" w:lastRowFirstColumn="0" w:lastRowLastColumn="0"/>
              <w:rPr>
                <w:szCs w:val="18"/>
              </w:rPr>
            </w:pPr>
            <w:r w:rsidRPr="00301386">
              <w:rPr>
                <w:szCs w:val="18"/>
              </w:rPr>
              <w:t>Up to $800 annual maximum</w:t>
            </w:r>
          </w:p>
        </w:tc>
      </w:tr>
      <w:tr w:rsidR="00AE1E92" w:rsidRPr="0037067F" w14:paraId="2D296189" w14:textId="77777777" w:rsidTr="00C86CB0">
        <w:trPr>
          <w:trHeight w:val="521"/>
        </w:trPr>
        <w:tc>
          <w:tcPr>
            <w:cnfStyle w:val="001000000000" w:firstRow="0" w:lastRow="0" w:firstColumn="1" w:lastColumn="0" w:oddVBand="0" w:evenVBand="0" w:oddHBand="0" w:evenHBand="0" w:firstRowFirstColumn="0" w:firstRowLastColumn="0" w:lastRowFirstColumn="0" w:lastRowLastColumn="0"/>
            <w:tcW w:w="1691" w:type="dxa"/>
          </w:tcPr>
          <w:p w14:paraId="21146480" w14:textId="3FD5D86F" w:rsidR="00264CE2" w:rsidRPr="0062504B" w:rsidRDefault="00264CE2" w:rsidP="00301386">
            <w:pPr>
              <w:pStyle w:val="Tabletextbold"/>
            </w:pPr>
            <w:r w:rsidRPr="0062504B">
              <w:t>Emergency Services Health</w:t>
            </w:r>
            <w:r>
              <w:rPr>
                <w:rFonts w:ascii="ZWAdobeF" w:hAnsi="ZWAdobeF" w:cs="ZWAdobeF"/>
                <w:color w:val="auto"/>
                <w:sz w:val="2"/>
                <w:szCs w:val="2"/>
              </w:rPr>
              <w:t>56F</w:t>
            </w:r>
            <w:r w:rsidRPr="0062504B">
              <w:rPr>
                <w:rStyle w:val="FootnoteReference"/>
                <w:b/>
                <w:szCs w:val="20"/>
              </w:rPr>
              <w:footnoteReference w:id="76"/>
            </w:r>
          </w:p>
        </w:tc>
        <w:tc>
          <w:tcPr>
            <w:tcW w:w="1551" w:type="dxa"/>
          </w:tcPr>
          <w:p w14:paraId="26603E25" w14:textId="5C55EDD0" w:rsidR="00264CE2" w:rsidRPr="00301386" w:rsidRDefault="00264CE2" w:rsidP="00301386">
            <w:pPr>
              <w:pStyle w:val="TableText"/>
              <w:cnfStyle w:val="000000000000" w:firstRow="0" w:lastRow="0" w:firstColumn="0" w:lastColumn="0" w:oddVBand="0" w:evenVBand="0" w:oddHBand="0" w:evenHBand="0" w:firstRowFirstColumn="0" w:firstRowLastColumn="0" w:lastRowFirstColumn="0" w:lastRowLastColumn="0"/>
              <w:rPr>
                <w:szCs w:val="18"/>
              </w:rPr>
            </w:pPr>
            <w:r w:rsidRPr="00301386">
              <w:rPr>
                <w:szCs w:val="18"/>
              </w:rPr>
              <w:t>Gold Hospital Cover or Gold Combined Cover</w:t>
            </w:r>
          </w:p>
        </w:tc>
        <w:tc>
          <w:tcPr>
            <w:tcW w:w="1456" w:type="dxa"/>
          </w:tcPr>
          <w:p w14:paraId="553CDB65" w14:textId="10D01B74" w:rsidR="00264CE2" w:rsidRPr="00301386" w:rsidRDefault="00301386" w:rsidP="00301386">
            <w:pPr>
              <w:pStyle w:val="TableText"/>
              <w:cnfStyle w:val="000000000000" w:firstRow="0" w:lastRow="0" w:firstColumn="0" w:lastColumn="0" w:oddVBand="0" w:evenVBand="0" w:oddHBand="0" w:evenHBand="0" w:firstRowFirstColumn="0" w:firstRowLastColumn="0" w:lastRowFirstColumn="0" w:lastRowLastColumn="0"/>
              <w:rPr>
                <w:szCs w:val="18"/>
              </w:rPr>
            </w:pPr>
            <w:r w:rsidRPr="00301386">
              <w:rPr>
                <w:szCs w:val="18"/>
              </w:rPr>
              <w:t>Yes</w:t>
            </w:r>
          </w:p>
        </w:tc>
        <w:tc>
          <w:tcPr>
            <w:tcW w:w="1357" w:type="dxa"/>
          </w:tcPr>
          <w:p w14:paraId="1AB9963F" w14:textId="58E092E8" w:rsidR="00264CE2" w:rsidRPr="00301386" w:rsidRDefault="00301386" w:rsidP="00301386">
            <w:pPr>
              <w:pStyle w:val="TableText"/>
              <w:cnfStyle w:val="000000000000" w:firstRow="0" w:lastRow="0" w:firstColumn="0" w:lastColumn="0" w:oddVBand="0" w:evenVBand="0" w:oddHBand="0" w:evenHBand="0" w:firstRowFirstColumn="0" w:firstRowLastColumn="0" w:lastRowFirstColumn="0" w:lastRowLastColumn="0"/>
              <w:rPr>
                <w:szCs w:val="18"/>
              </w:rPr>
            </w:pPr>
            <w:r w:rsidRPr="00301386">
              <w:rPr>
                <w:szCs w:val="18"/>
              </w:rPr>
              <w:t>No</w:t>
            </w:r>
          </w:p>
        </w:tc>
        <w:tc>
          <w:tcPr>
            <w:tcW w:w="1377" w:type="dxa"/>
          </w:tcPr>
          <w:p w14:paraId="5CC5BF95" w14:textId="0CEA24E1" w:rsidR="00264CE2" w:rsidRPr="00301386" w:rsidRDefault="00264CE2" w:rsidP="00301386">
            <w:pPr>
              <w:pStyle w:val="TableText"/>
              <w:cnfStyle w:val="000000000000" w:firstRow="0" w:lastRow="0" w:firstColumn="0" w:lastColumn="0" w:oddVBand="0" w:evenVBand="0" w:oddHBand="0" w:evenHBand="0" w:firstRowFirstColumn="0" w:firstRowLastColumn="0" w:lastRowFirstColumn="0" w:lastRowLastColumn="0"/>
              <w:rPr>
                <w:szCs w:val="18"/>
              </w:rPr>
            </w:pPr>
            <w:r w:rsidRPr="00301386">
              <w:rPr>
                <w:szCs w:val="18"/>
              </w:rPr>
              <w:t>N/A</w:t>
            </w:r>
          </w:p>
        </w:tc>
        <w:tc>
          <w:tcPr>
            <w:tcW w:w="1226" w:type="dxa"/>
          </w:tcPr>
          <w:p w14:paraId="2953A906" w14:textId="3DB97612" w:rsidR="00264CE2" w:rsidRPr="00301386" w:rsidRDefault="00264CE2" w:rsidP="00301386">
            <w:pPr>
              <w:pStyle w:val="TableText"/>
              <w:cnfStyle w:val="000000000000" w:firstRow="0" w:lastRow="0" w:firstColumn="0" w:lastColumn="0" w:oddVBand="0" w:evenVBand="0" w:oddHBand="0" w:evenHBand="0" w:firstRowFirstColumn="0" w:firstRowLastColumn="0" w:lastRowFirstColumn="0" w:lastRowLastColumn="0"/>
              <w:rPr>
                <w:szCs w:val="18"/>
              </w:rPr>
            </w:pPr>
            <w:r w:rsidRPr="00301386">
              <w:rPr>
                <w:szCs w:val="18"/>
              </w:rPr>
              <w:t>N/A</w:t>
            </w:r>
          </w:p>
        </w:tc>
        <w:tc>
          <w:tcPr>
            <w:tcW w:w="1543" w:type="dxa"/>
          </w:tcPr>
          <w:p w14:paraId="41CB3E7F" w14:textId="2CB1EC7D" w:rsidR="00264CE2" w:rsidRPr="00301386" w:rsidRDefault="00264CE2" w:rsidP="00301386">
            <w:pPr>
              <w:pStyle w:val="TableText"/>
              <w:cnfStyle w:val="000000000000" w:firstRow="0" w:lastRow="0" w:firstColumn="0" w:lastColumn="0" w:oddVBand="0" w:evenVBand="0" w:oddHBand="0" w:evenHBand="0" w:firstRowFirstColumn="0" w:firstRowLastColumn="0" w:lastRowFirstColumn="0" w:lastRowLastColumn="0"/>
              <w:rPr>
                <w:szCs w:val="18"/>
              </w:rPr>
            </w:pPr>
            <w:r w:rsidRPr="00301386">
              <w:rPr>
                <w:szCs w:val="18"/>
              </w:rPr>
              <w:t>N/A</w:t>
            </w:r>
          </w:p>
        </w:tc>
      </w:tr>
      <w:tr w:rsidR="00AE1E92" w:rsidRPr="0037067F" w14:paraId="4EADE9F1" w14:textId="77777777" w:rsidTr="00C86CB0">
        <w:trPr>
          <w:trHeight w:val="521"/>
        </w:trPr>
        <w:tc>
          <w:tcPr>
            <w:cnfStyle w:val="001000000000" w:firstRow="0" w:lastRow="0" w:firstColumn="1" w:lastColumn="0" w:oddVBand="0" w:evenVBand="0" w:oddHBand="0" w:evenHBand="0" w:firstRowFirstColumn="0" w:firstRowLastColumn="0" w:lastRowFirstColumn="0" w:lastRowLastColumn="0"/>
            <w:tcW w:w="1691" w:type="dxa"/>
          </w:tcPr>
          <w:p w14:paraId="2E397364" w14:textId="09DCFA50" w:rsidR="00343A03" w:rsidRPr="0062504B" w:rsidRDefault="00343A03" w:rsidP="00301386">
            <w:pPr>
              <w:pStyle w:val="Tabletextbold"/>
            </w:pPr>
            <w:r>
              <w:t>Australian Unity</w:t>
            </w:r>
            <w:r w:rsidR="007B7939">
              <w:rPr>
                <w:rFonts w:ascii="ZWAdobeF" w:hAnsi="ZWAdobeF" w:cs="ZWAdobeF"/>
                <w:color w:val="auto"/>
                <w:sz w:val="2"/>
                <w:szCs w:val="2"/>
              </w:rPr>
              <w:t>57F</w:t>
            </w:r>
            <w:r w:rsidR="00734F7B">
              <w:rPr>
                <w:rStyle w:val="FootnoteReference"/>
                <w:b/>
                <w:szCs w:val="20"/>
              </w:rPr>
              <w:footnoteReference w:id="77"/>
            </w:r>
          </w:p>
        </w:tc>
        <w:tc>
          <w:tcPr>
            <w:tcW w:w="1551" w:type="dxa"/>
          </w:tcPr>
          <w:p w14:paraId="6D0C9260" w14:textId="009676F0" w:rsidR="00343A03" w:rsidRPr="00301386" w:rsidRDefault="00343A03" w:rsidP="00301386">
            <w:pPr>
              <w:pStyle w:val="TableText"/>
              <w:cnfStyle w:val="000000000000" w:firstRow="0" w:lastRow="0" w:firstColumn="0" w:lastColumn="0" w:oddVBand="0" w:evenVBand="0" w:oddHBand="0" w:evenHBand="0" w:firstRowFirstColumn="0" w:firstRowLastColumn="0" w:lastRowFirstColumn="0" w:lastRowLastColumn="0"/>
              <w:rPr>
                <w:szCs w:val="18"/>
              </w:rPr>
            </w:pPr>
            <w:r w:rsidRPr="00301386">
              <w:rPr>
                <w:szCs w:val="18"/>
              </w:rPr>
              <w:t>Top extras</w:t>
            </w:r>
          </w:p>
        </w:tc>
        <w:tc>
          <w:tcPr>
            <w:tcW w:w="1456" w:type="dxa"/>
          </w:tcPr>
          <w:p w14:paraId="16585EEB" w14:textId="05939301" w:rsidR="00343A03" w:rsidRPr="00301386" w:rsidRDefault="00301386" w:rsidP="00301386">
            <w:pPr>
              <w:pStyle w:val="TableText"/>
              <w:cnfStyle w:val="000000000000" w:firstRow="0" w:lastRow="0" w:firstColumn="0" w:lastColumn="0" w:oddVBand="0" w:evenVBand="0" w:oddHBand="0" w:evenHBand="0" w:firstRowFirstColumn="0" w:firstRowLastColumn="0" w:lastRowFirstColumn="0" w:lastRowLastColumn="0"/>
              <w:rPr>
                <w:szCs w:val="18"/>
              </w:rPr>
            </w:pPr>
            <w:r w:rsidRPr="00301386">
              <w:rPr>
                <w:szCs w:val="18"/>
              </w:rPr>
              <w:t>Yes</w:t>
            </w:r>
          </w:p>
        </w:tc>
        <w:tc>
          <w:tcPr>
            <w:tcW w:w="1357" w:type="dxa"/>
          </w:tcPr>
          <w:p w14:paraId="573E2287" w14:textId="0986406F" w:rsidR="00343A03" w:rsidRPr="00301386" w:rsidRDefault="00301386" w:rsidP="00301386">
            <w:pPr>
              <w:pStyle w:val="TableText"/>
              <w:cnfStyle w:val="000000000000" w:firstRow="0" w:lastRow="0" w:firstColumn="0" w:lastColumn="0" w:oddVBand="0" w:evenVBand="0" w:oddHBand="0" w:evenHBand="0" w:firstRowFirstColumn="0" w:firstRowLastColumn="0" w:lastRowFirstColumn="0" w:lastRowLastColumn="0"/>
              <w:rPr>
                <w:szCs w:val="18"/>
              </w:rPr>
            </w:pPr>
            <w:r w:rsidRPr="00301386">
              <w:rPr>
                <w:szCs w:val="18"/>
              </w:rPr>
              <w:t>No</w:t>
            </w:r>
          </w:p>
        </w:tc>
        <w:tc>
          <w:tcPr>
            <w:tcW w:w="1377" w:type="dxa"/>
          </w:tcPr>
          <w:p w14:paraId="05BF87FD" w14:textId="304E014B" w:rsidR="00343A03" w:rsidRPr="00301386" w:rsidRDefault="00343A03" w:rsidP="00301386">
            <w:pPr>
              <w:pStyle w:val="TableText"/>
              <w:cnfStyle w:val="000000000000" w:firstRow="0" w:lastRow="0" w:firstColumn="0" w:lastColumn="0" w:oddVBand="0" w:evenVBand="0" w:oddHBand="0" w:evenHBand="0" w:firstRowFirstColumn="0" w:firstRowLastColumn="0" w:lastRowFirstColumn="0" w:lastRowLastColumn="0"/>
              <w:rPr>
                <w:szCs w:val="18"/>
              </w:rPr>
            </w:pPr>
            <w:r w:rsidRPr="00301386">
              <w:rPr>
                <w:szCs w:val="18"/>
              </w:rPr>
              <w:t>2 years</w:t>
            </w:r>
          </w:p>
        </w:tc>
        <w:tc>
          <w:tcPr>
            <w:tcW w:w="1226" w:type="dxa"/>
          </w:tcPr>
          <w:p w14:paraId="1FD09A74" w14:textId="6418D8A2" w:rsidR="00343A03" w:rsidRPr="00301386" w:rsidRDefault="00343A03" w:rsidP="00301386">
            <w:pPr>
              <w:pStyle w:val="TableText"/>
              <w:cnfStyle w:val="000000000000" w:firstRow="0" w:lastRow="0" w:firstColumn="0" w:lastColumn="0" w:oddVBand="0" w:evenVBand="0" w:oddHBand="0" w:evenHBand="0" w:firstRowFirstColumn="0" w:firstRowLastColumn="0" w:lastRowFirstColumn="0" w:lastRowLastColumn="0"/>
              <w:rPr>
                <w:szCs w:val="18"/>
              </w:rPr>
            </w:pPr>
            <w:r w:rsidRPr="00301386">
              <w:rPr>
                <w:szCs w:val="18"/>
              </w:rPr>
              <w:t>12 months</w:t>
            </w:r>
          </w:p>
        </w:tc>
        <w:tc>
          <w:tcPr>
            <w:tcW w:w="1543" w:type="dxa"/>
          </w:tcPr>
          <w:p w14:paraId="20C207B2" w14:textId="181D96FE" w:rsidR="00343A03" w:rsidRPr="00301386" w:rsidRDefault="00343A03" w:rsidP="00301386">
            <w:pPr>
              <w:pStyle w:val="TableText"/>
              <w:cnfStyle w:val="000000000000" w:firstRow="0" w:lastRow="0" w:firstColumn="0" w:lastColumn="0" w:oddVBand="0" w:evenVBand="0" w:oddHBand="0" w:evenHBand="0" w:firstRowFirstColumn="0" w:firstRowLastColumn="0" w:lastRowFirstColumn="0" w:lastRowLastColumn="0"/>
              <w:rPr>
                <w:szCs w:val="18"/>
              </w:rPr>
            </w:pPr>
            <w:r w:rsidRPr="00301386">
              <w:rPr>
                <w:szCs w:val="18"/>
              </w:rPr>
              <w:t xml:space="preserve">Up to $500 annual maximum </w:t>
            </w:r>
          </w:p>
        </w:tc>
      </w:tr>
    </w:tbl>
    <w:p w14:paraId="61E94379" w14:textId="243E8FA7" w:rsidR="000D1FC7" w:rsidRPr="00090D0A" w:rsidRDefault="00C26966" w:rsidP="00090D0A">
      <w:pPr>
        <w:pStyle w:val="Caption-Source"/>
      </w:pPr>
      <w:r w:rsidRPr="00090D0A">
        <w:t xml:space="preserve">Source: </w:t>
      </w:r>
      <w:r w:rsidR="00DB7505" w:rsidRPr="00090D0A">
        <w:t xml:space="preserve">Medibank </w:t>
      </w:r>
      <w:r w:rsidR="000D1FC7" w:rsidRPr="00090D0A">
        <w:t>(2025), Bupa (2025), HIF (2025), Nib (2025). Emergency services health (2023). Australian Unity (2024)</w:t>
      </w:r>
    </w:p>
    <w:p w14:paraId="2D82C22F" w14:textId="6A416F69" w:rsidR="00C737E1" w:rsidRDefault="00122769" w:rsidP="00943CC3">
      <w:pPr>
        <w:pStyle w:val="Heading3"/>
      </w:pPr>
      <w:bookmarkStart w:id="77" w:name="_Ref200712149"/>
      <w:bookmarkStart w:id="78" w:name="_Ref201569800"/>
      <w:r>
        <w:t xml:space="preserve">Additional </w:t>
      </w:r>
      <w:r w:rsidR="001409B7">
        <w:t>prostheses services</w:t>
      </w:r>
      <w:r w:rsidR="00E9408E">
        <w:t xml:space="preserve">, programs and </w:t>
      </w:r>
      <w:r w:rsidR="001409B7">
        <w:t>schemes</w:t>
      </w:r>
      <w:bookmarkEnd w:id="77"/>
      <w:bookmarkEnd w:id="78"/>
    </w:p>
    <w:p w14:paraId="32DE5DD6" w14:textId="1AAD6CDF" w:rsidR="00B503F5" w:rsidRPr="000543B6" w:rsidRDefault="00ED7744" w:rsidP="000543B6">
      <w:r w:rsidRPr="000543B6">
        <w:t xml:space="preserve">In all </w:t>
      </w:r>
      <w:r w:rsidR="008956FA" w:rsidRPr="000543B6">
        <w:t>s</w:t>
      </w:r>
      <w:r w:rsidRPr="000543B6">
        <w:t xml:space="preserve">tates and </w:t>
      </w:r>
      <w:r w:rsidR="008956FA" w:rsidRPr="000543B6">
        <w:t>t</w:t>
      </w:r>
      <w:r w:rsidRPr="000543B6">
        <w:t xml:space="preserve">erritories, funding for the provision of </w:t>
      </w:r>
      <w:r w:rsidR="00D65E6E" w:rsidRPr="000543B6">
        <w:t>limb prostheses</w:t>
      </w:r>
      <w:r w:rsidRPr="000543B6">
        <w:t xml:space="preserve"> is </w:t>
      </w:r>
      <w:r w:rsidR="000634FF" w:rsidRPr="000543B6">
        <w:t>either managed</w:t>
      </w:r>
      <w:r w:rsidRPr="000543B6">
        <w:t xml:space="preserve"> by an Artificial Limb Scheme</w:t>
      </w:r>
      <w:r w:rsidR="00BC68BD" w:rsidRPr="000543B6">
        <w:t xml:space="preserve"> </w:t>
      </w:r>
      <w:r w:rsidRPr="000543B6">
        <w:t xml:space="preserve">funding </w:t>
      </w:r>
      <w:r w:rsidR="00EC0FD4" w:rsidRPr="000543B6">
        <w:t>manager</w:t>
      </w:r>
      <w:r w:rsidR="000634FF" w:rsidRPr="000543B6">
        <w:t xml:space="preserve"> or </w:t>
      </w:r>
      <w:r w:rsidR="00CB67F6" w:rsidRPr="000543B6">
        <w:t>by hospital departments</w:t>
      </w:r>
      <w:r w:rsidR="006D0C8A" w:rsidRPr="000543B6">
        <w:t>. Individuals who experience limb loss due to cancer or cancer treatment</w:t>
      </w:r>
      <w:r w:rsidR="008F1736" w:rsidRPr="000543B6">
        <w:t xml:space="preserve"> and </w:t>
      </w:r>
      <w:r w:rsidR="005F095F" w:rsidRPr="000543B6">
        <w:t xml:space="preserve">are excluded from the NDIS, typically due to the age eligibility criteria, are generally reliant on </w:t>
      </w:r>
      <w:r w:rsidR="008F1736" w:rsidRPr="000543B6">
        <w:t xml:space="preserve">these </w:t>
      </w:r>
      <w:r w:rsidR="005F095F" w:rsidRPr="000543B6">
        <w:t>state-based artificial limb schemes to access</w:t>
      </w:r>
      <w:r w:rsidR="008F1736" w:rsidRPr="000543B6">
        <w:t xml:space="preserve"> limb </w:t>
      </w:r>
      <w:r w:rsidR="005F095F" w:rsidRPr="000543B6">
        <w:t xml:space="preserve">prostheses. </w:t>
      </w:r>
      <w:r w:rsidR="00922061" w:rsidRPr="000543B6">
        <w:t xml:space="preserve">While funding for each state and territory's scheme </w:t>
      </w:r>
      <w:r w:rsidR="009942B4" w:rsidRPr="000543B6">
        <w:t>is</w:t>
      </w:r>
      <w:r w:rsidR="00922061" w:rsidRPr="000543B6">
        <w:t xml:space="preserve"> provided by the </w:t>
      </w:r>
      <w:r w:rsidR="004245E7" w:rsidRPr="000543B6">
        <w:t>Australian</w:t>
      </w:r>
      <w:r w:rsidR="00922061" w:rsidRPr="000543B6">
        <w:t xml:space="preserve"> </w:t>
      </w:r>
      <w:r w:rsidR="004245E7" w:rsidRPr="000543B6">
        <w:t>G</w:t>
      </w:r>
      <w:r w:rsidR="00922061" w:rsidRPr="000543B6">
        <w:t xml:space="preserve">overnment, the funding allocation per person, treatment approaches, and supply of prosthetic componentry and associated consumables </w:t>
      </w:r>
      <w:r w:rsidR="00EC0FD4" w:rsidRPr="000543B6">
        <w:t>differ</w:t>
      </w:r>
      <w:r w:rsidR="00922061" w:rsidRPr="000543B6">
        <w:t xml:space="preserve"> between jurisdictions</w:t>
      </w:r>
      <w:r w:rsidR="00BC68BD" w:rsidRPr="000543B6">
        <w:t xml:space="preserve">. </w:t>
      </w:r>
      <w:r w:rsidR="00210329" w:rsidRPr="000543B6">
        <w:fldChar w:fldCharType="begin"/>
      </w:r>
      <w:r w:rsidR="00210329" w:rsidRPr="000543B6">
        <w:instrText xml:space="preserve"> REF _Ref200982431 \h </w:instrText>
      </w:r>
      <w:r w:rsidR="000543B6">
        <w:instrText xml:space="preserve"> \* MERGEFORMAT </w:instrText>
      </w:r>
      <w:r w:rsidR="00210329" w:rsidRPr="000543B6">
        <w:fldChar w:fldCharType="separate"/>
      </w:r>
      <w:r w:rsidR="00D955D8" w:rsidRPr="000543B6">
        <w:t>Table 10</w:t>
      </w:r>
      <w:r w:rsidR="00210329" w:rsidRPr="000543B6">
        <w:fldChar w:fldCharType="end"/>
      </w:r>
      <w:r w:rsidR="00210329" w:rsidRPr="000543B6">
        <w:t xml:space="preserve"> </w:t>
      </w:r>
      <w:r w:rsidR="00B503F5" w:rsidRPr="000543B6">
        <w:t xml:space="preserve">over page </w:t>
      </w:r>
      <w:r w:rsidR="008956FA" w:rsidRPr="000543B6">
        <w:t>provides a summary of the features of each jurisdiction</w:t>
      </w:r>
      <w:r w:rsidR="00A20EDF" w:rsidRPr="000543B6">
        <w:t>al</w:t>
      </w:r>
      <w:r w:rsidR="008956FA" w:rsidRPr="000543B6">
        <w:t xml:space="preserve"> limb service, with further details by jurisdiction provided </w:t>
      </w:r>
      <w:r w:rsidR="00A20EDF" w:rsidRPr="000543B6">
        <w:t>within this section</w:t>
      </w:r>
      <w:r w:rsidR="008956FA" w:rsidRPr="000543B6">
        <w:t>.</w:t>
      </w:r>
      <w:bookmarkStart w:id="79" w:name="_Ref200982431"/>
    </w:p>
    <w:p w14:paraId="2166304D" w14:textId="7D2020B9" w:rsidR="00210329" w:rsidRDefault="00210329" w:rsidP="00210329">
      <w:pPr>
        <w:pStyle w:val="Caption"/>
      </w:pPr>
      <w:bookmarkStart w:id="80" w:name="_Toc207348575"/>
      <w:r>
        <w:t xml:space="preserve">Table </w:t>
      </w:r>
      <w:r w:rsidR="00D955D8">
        <w:fldChar w:fldCharType="begin"/>
      </w:r>
      <w:r w:rsidR="00D955D8">
        <w:instrText xml:space="preserve"> SEQ Table \* ARABIC </w:instrText>
      </w:r>
      <w:r w:rsidR="00D955D8">
        <w:fldChar w:fldCharType="separate"/>
      </w:r>
      <w:r w:rsidR="00D955D8">
        <w:rPr>
          <w:noProof/>
        </w:rPr>
        <w:t>10</w:t>
      </w:r>
      <w:r w:rsidR="00D955D8">
        <w:rPr>
          <w:noProof/>
        </w:rPr>
        <w:fldChar w:fldCharType="end"/>
      </w:r>
      <w:bookmarkEnd w:id="79"/>
      <w:r>
        <w:t>: Comparison of limb prostheses schemes and services available across jurisdictions</w:t>
      </w:r>
      <w:bookmarkEnd w:id="80"/>
    </w:p>
    <w:tbl>
      <w:tblPr>
        <w:tblStyle w:val="KPMGTable"/>
        <w:tblW w:w="10258" w:type="dxa"/>
        <w:tblLook w:val="04A0" w:firstRow="1" w:lastRow="0" w:firstColumn="1" w:lastColumn="0" w:noHBand="0" w:noVBand="1"/>
      </w:tblPr>
      <w:tblGrid>
        <w:gridCol w:w="1243"/>
        <w:gridCol w:w="1549"/>
        <w:gridCol w:w="1549"/>
        <w:gridCol w:w="1550"/>
        <w:gridCol w:w="1549"/>
        <w:gridCol w:w="1549"/>
        <w:gridCol w:w="1269"/>
      </w:tblGrid>
      <w:tr w:rsidR="00210A81" w14:paraId="20168A89" w14:textId="77777777" w:rsidTr="008B474C">
        <w:trPr>
          <w:cnfStyle w:val="100000000000" w:firstRow="1" w:lastRow="0" w:firstColumn="0" w:lastColumn="0" w:oddVBand="0" w:evenVBand="0" w:oddHBand="0" w:evenHBand="0" w:firstRowFirstColumn="0" w:firstRowLastColumn="0" w:lastRowFirstColumn="0" w:lastRowLastColumn="0"/>
          <w:trHeight w:val="75"/>
          <w:tblHeader/>
        </w:trPr>
        <w:tc>
          <w:tcPr>
            <w:cnfStyle w:val="001000000000" w:firstRow="0" w:lastRow="0" w:firstColumn="1" w:lastColumn="0" w:oddVBand="0" w:evenVBand="0" w:oddHBand="0" w:evenHBand="0" w:firstRowFirstColumn="0" w:firstRowLastColumn="0" w:lastRowFirstColumn="0" w:lastRowLastColumn="0"/>
            <w:tcW w:w="1243" w:type="dxa"/>
          </w:tcPr>
          <w:p w14:paraId="00E56438" w14:textId="77777777" w:rsidR="00B669CA" w:rsidRPr="00FE11D7" w:rsidRDefault="00B669CA" w:rsidP="00803F3C">
            <w:pPr>
              <w:pStyle w:val="TableHeading"/>
              <w:jc w:val="center"/>
              <w:rPr>
                <w:szCs w:val="20"/>
              </w:rPr>
            </w:pPr>
            <w:r w:rsidRPr="00FE11D7">
              <w:rPr>
                <w:szCs w:val="20"/>
              </w:rPr>
              <w:t>Jurisdiction</w:t>
            </w:r>
          </w:p>
        </w:tc>
        <w:tc>
          <w:tcPr>
            <w:tcW w:w="1549" w:type="dxa"/>
          </w:tcPr>
          <w:p w14:paraId="7B427748" w14:textId="677AD938" w:rsidR="00B669CA" w:rsidRPr="00FE11D7" w:rsidRDefault="00B669CA" w:rsidP="00803F3C">
            <w:pPr>
              <w:pStyle w:val="TableHeading"/>
              <w:jc w:val="center"/>
              <w:cnfStyle w:val="100000000000" w:firstRow="1" w:lastRow="0" w:firstColumn="0" w:lastColumn="0" w:oddVBand="0" w:evenVBand="0" w:oddHBand="0" w:evenHBand="0" w:firstRowFirstColumn="0" w:firstRowLastColumn="0" w:lastRowFirstColumn="0" w:lastRowLastColumn="0"/>
              <w:rPr>
                <w:szCs w:val="20"/>
              </w:rPr>
            </w:pPr>
            <w:r w:rsidRPr="00FE11D7">
              <w:rPr>
                <w:szCs w:val="20"/>
              </w:rPr>
              <w:t xml:space="preserve">Dedicated </w:t>
            </w:r>
            <w:r w:rsidR="008956FA" w:rsidRPr="00FE11D7">
              <w:rPr>
                <w:szCs w:val="20"/>
              </w:rPr>
              <w:t>limb program</w:t>
            </w:r>
          </w:p>
        </w:tc>
        <w:tc>
          <w:tcPr>
            <w:tcW w:w="1549" w:type="dxa"/>
          </w:tcPr>
          <w:p w14:paraId="3FE6F52D" w14:textId="739CED3E" w:rsidR="00B669CA" w:rsidRPr="00FE11D7" w:rsidRDefault="008956FA" w:rsidP="00803F3C">
            <w:pPr>
              <w:pStyle w:val="TableHeading"/>
              <w:jc w:val="center"/>
              <w:cnfStyle w:val="100000000000" w:firstRow="1" w:lastRow="0" w:firstColumn="0" w:lastColumn="0" w:oddVBand="0" w:evenVBand="0" w:oddHBand="0" w:evenHBand="0" w:firstRowFirstColumn="0" w:firstRowLastColumn="0" w:lastRowFirstColumn="0" w:lastRowLastColumn="0"/>
              <w:rPr>
                <w:szCs w:val="20"/>
              </w:rPr>
            </w:pPr>
            <w:r w:rsidRPr="00FE11D7">
              <w:rPr>
                <w:szCs w:val="20"/>
              </w:rPr>
              <w:t>Upper and lower limbs covered</w:t>
            </w:r>
          </w:p>
        </w:tc>
        <w:tc>
          <w:tcPr>
            <w:tcW w:w="1550" w:type="dxa"/>
          </w:tcPr>
          <w:p w14:paraId="50343871" w14:textId="72D4955F" w:rsidR="00D35AD8" w:rsidRPr="00FE11D7" w:rsidRDefault="00D35AD8" w:rsidP="00D35AD8">
            <w:pPr>
              <w:pStyle w:val="TableHeading"/>
              <w:jc w:val="center"/>
              <w:cnfStyle w:val="100000000000" w:firstRow="1" w:lastRow="0" w:firstColumn="0" w:lastColumn="0" w:oddVBand="0" w:evenVBand="0" w:oddHBand="0" w:evenHBand="0" w:firstRowFirstColumn="0" w:firstRowLastColumn="0" w:lastRowFirstColumn="0" w:lastRowLastColumn="0"/>
              <w:rPr>
                <w:szCs w:val="20"/>
              </w:rPr>
            </w:pPr>
            <w:r w:rsidRPr="00FE11D7">
              <w:rPr>
                <w:szCs w:val="20"/>
              </w:rPr>
              <w:t>Digits covered</w:t>
            </w:r>
          </w:p>
        </w:tc>
        <w:tc>
          <w:tcPr>
            <w:tcW w:w="1549" w:type="dxa"/>
          </w:tcPr>
          <w:p w14:paraId="1A5893A5" w14:textId="3161D6E0" w:rsidR="00B669CA" w:rsidRPr="00FE11D7" w:rsidRDefault="008956FA" w:rsidP="00803F3C">
            <w:pPr>
              <w:pStyle w:val="TableHeading"/>
              <w:jc w:val="center"/>
              <w:cnfStyle w:val="100000000000" w:firstRow="1" w:lastRow="0" w:firstColumn="0" w:lastColumn="0" w:oddVBand="0" w:evenVBand="0" w:oddHBand="0" w:evenHBand="0" w:firstRowFirstColumn="0" w:firstRowLastColumn="0" w:lastRowFirstColumn="0" w:lastRowLastColumn="0"/>
              <w:rPr>
                <w:szCs w:val="20"/>
              </w:rPr>
            </w:pPr>
            <w:r w:rsidRPr="00FE11D7">
              <w:rPr>
                <w:szCs w:val="20"/>
              </w:rPr>
              <w:t>Advanced componentry covered</w:t>
            </w:r>
          </w:p>
        </w:tc>
        <w:tc>
          <w:tcPr>
            <w:tcW w:w="1549" w:type="dxa"/>
          </w:tcPr>
          <w:p w14:paraId="5324E1AE" w14:textId="46208E84" w:rsidR="00B669CA" w:rsidRPr="00FE11D7" w:rsidRDefault="00B669CA" w:rsidP="00803F3C">
            <w:pPr>
              <w:pStyle w:val="TableHeading"/>
              <w:jc w:val="center"/>
              <w:cnfStyle w:val="100000000000" w:firstRow="1" w:lastRow="0" w:firstColumn="0" w:lastColumn="0" w:oddVBand="0" w:evenVBand="0" w:oddHBand="0" w:evenHBand="0" w:firstRowFirstColumn="0" w:firstRowLastColumn="0" w:lastRowFirstColumn="0" w:lastRowLastColumn="0"/>
              <w:rPr>
                <w:szCs w:val="20"/>
              </w:rPr>
            </w:pPr>
            <w:r w:rsidRPr="00FE11D7">
              <w:rPr>
                <w:szCs w:val="20"/>
              </w:rPr>
              <w:t>Rural and remote access</w:t>
            </w:r>
          </w:p>
        </w:tc>
        <w:tc>
          <w:tcPr>
            <w:tcW w:w="1269" w:type="dxa"/>
          </w:tcPr>
          <w:p w14:paraId="48F2A7A7" w14:textId="08BA1F22" w:rsidR="00B669CA" w:rsidRPr="00FE11D7" w:rsidRDefault="00B669CA" w:rsidP="00803F3C">
            <w:pPr>
              <w:pStyle w:val="TableHeading"/>
              <w:jc w:val="center"/>
              <w:cnfStyle w:val="100000000000" w:firstRow="1" w:lastRow="0" w:firstColumn="0" w:lastColumn="0" w:oddVBand="0" w:evenVBand="0" w:oddHBand="0" w:evenHBand="0" w:firstRowFirstColumn="0" w:firstRowLastColumn="0" w:lastRowFirstColumn="0" w:lastRowLastColumn="0"/>
              <w:rPr>
                <w:szCs w:val="20"/>
              </w:rPr>
            </w:pPr>
            <w:r w:rsidRPr="00FE11D7">
              <w:rPr>
                <w:szCs w:val="20"/>
              </w:rPr>
              <w:t xml:space="preserve">Outreach </w:t>
            </w:r>
            <w:r w:rsidR="008956FA" w:rsidRPr="00FE11D7">
              <w:rPr>
                <w:szCs w:val="20"/>
              </w:rPr>
              <w:t>services</w:t>
            </w:r>
          </w:p>
        </w:tc>
      </w:tr>
      <w:tr w:rsidR="00AE1E92" w14:paraId="109AA8BA" w14:textId="77777777" w:rsidTr="001D5857">
        <w:trPr>
          <w:trHeight w:val="101"/>
        </w:trPr>
        <w:tc>
          <w:tcPr>
            <w:cnfStyle w:val="001000000000" w:firstRow="0" w:lastRow="0" w:firstColumn="1" w:lastColumn="0" w:oddVBand="0" w:evenVBand="0" w:oddHBand="0" w:evenHBand="0" w:firstRowFirstColumn="0" w:firstRowLastColumn="0" w:lastRowFirstColumn="0" w:lastRowLastColumn="0"/>
            <w:tcW w:w="1243" w:type="dxa"/>
          </w:tcPr>
          <w:p w14:paraId="1BCD6D95" w14:textId="77777777" w:rsidR="00B669CA" w:rsidRPr="00216FF4" w:rsidRDefault="00B669CA" w:rsidP="00216FF4">
            <w:pPr>
              <w:pStyle w:val="Tabletextbold"/>
            </w:pPr>
            <w:r w:rsidRPr="00216FF4">
              <w:t>ACT</w:t>
            </w:r>
          </w:p>
        </w:tc>
        <w:tc>
          <w:tcPr>
            <w:tcW w:w="1549" w:type="dxa"/>
          </w:tcPr>
          <w:p w14:paraId="32F1AF5E" w14:textId="2B1FD7C4" w:rsidR="00B669CA"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216FF4">
              <w:rPr>
                <w:color w:val="auto"/>
                <w:szCs w:val="20"/>
              </w:rPr>
              <w:t>Yes</w:t>
            </w:r>
          </w:p>
        </w:tc>
        <w:tc>
          <w:tcPr>
            <w:tcW w:w="1549" w:type="dxa"/>
          </w:tcPr>
          <w:p w14:paraId="7CE17280" w14:textId="7AD703A6" w:rsidR="00B669CA"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216FF4">
              <w:rPr>
                <w:color w:val="auto"/>
                <w:szCs w:val="20"/>
              </w:rPr>
              <w:t>Yes</w:t>
            </w:r>
          </w:p>
        </w:tc>
        <w:tc>
          <w:tcPr>
            <w:tcW w:w="1550" w:type="dxa"/>
          </w:tcPr>
          <w:p w14:paraId="10189B0B" w14:textId="5C6E89CA" w:rsidR="00D35AD8"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933A71">
              <w:rPr>
                <w:color w:val="auto"/>
                <w:lang w:eastAsia="en-AU"/>
              </w:rPr>
              <w:t>No</w:t>
            </w:r>
          </w:p>
        </w:tc>
        <w:tc>
          <w:tcPr>
            <w:tcW w:w="1549" w:type="dxa"/>
          </w:tcPr>
          <w:p w14:paraId="6FF29208" w14:textId="4598ACC2" w:rsidR="00B669CA"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933A71">
              <w:rPr>
                <w:color w:val="auto"/>
                <w:lang w:eastAsia="en-AU"/>
              </w:rPr>
              <w:t>No</w:t>
            </w:r>
          </w:p>
        </w:tc>
        <w:tc>
          <w:tcPr>
            <w:tcW w:w="1549" w:type="dxa"/>
          </w:tcPr>
          <w:p w14:paraId="47D92EB9" w14:textId="6219FE64" w:rsidR="00B669CA"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933A71">
              <w:rPr>
                <w:color w:val="auto"/>
                <w:lang w:eastAsia="en-AU"/>
              </w:rPr>
              <w:t>No</w:t>
            </w:r>
          </w:p>
        </w:tc>
        <w:tc>
          <w:tcPr>
            <w:tcW w:w="1269" w:type="dxa"/>
          </w:tcPr>
          <w:p w14:paraId="71E245BF" w14:textId="4F3E6B27" w:rsidR="00B669CA"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933A71">
              <w:rPr>
                <w:color w:val="auto"/>
                <w:lang w:eastAsia="en-AU"/>
              </w:rPr>
              <w:t>No</w:t>
            </w:r>
          </w:p>
        </w:tc>
      </w:tr>
      <w:tr w:rsidR="00AE1E92" w14:paraId="1A5AD62E" w14:textId="77777777" w:rsidTr="001D5857">
        <w:trPr>
          <w:trHeight w:val="104"/>
        </w:trPr>
        <w:tc>
          <w:tcPr>
            <w:cnfStyle w:val="001000000000" w:firstRow="0" w:lastRow="0" w:firstColumn="1" w:lastColumn="0" w:oddVBand="0" w:evenVBand="0" w:oddHBand="0" w:evenHBand="0" w:firstRowFirstColumn="0" w:firstRowLastColumn="0" w:lastRowFirstColumn="0" w:lastRowLastColumn="0"/>
            <w:tcW w:w="1243" w:type="dxa"/>
          </w:tcPr>
          <w:p w14:paraId="18479042" w14:textId="77777777" w:rsidR="00B669CA" w:rsidRPr="00216FF4" w:rsidRDefault="00B669CA" w:rsidP="00216FF4">
            <w:pPr>
              <w:pStyle w:val="Tabletextbold"/>
            </w:pPr>
            <w:r w:rsidRPr="00216FF4">
              <w:t>NSW</w:t>
            </w:r>
          </w:p>
        </w:tc>
        <w:tc>
          <w:tcPr>
            <w:tcW w:w="1549" w:type="dxa"/>
          </w:tcPr>
          <w:p w14:paraId="0C75FFA8" w14:textId="01B61CC8" w:rsidR="00B669CA"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216FF4">
              <w:rPr>
                <w:color w:val="auto"/>
                <w:szCs w:val="20"/>
              </w:rPr>
              <w:t>Yes</w:t>
            </w:r>
          </w:p>
        </w:tc>
        <w:tc>
          <w:tcPr>
            <w:tcW w:w="1549" w:type="dxa"/>
          </w:tcPr>
          <w:p w14:paraId="25DD950B" w14:textId="016507D9" w:rsidR="00B669CA"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216FF4">
              <w:rPr>
                <w:color w:val="auto"/>
                <w:szCs w:val="20"/>
              </w:rPr>
              <w:t>Yes</w:t>
            </w:r>
          </w:p>
        </w:tc>
        <w:tc>
          <w:tcPr>
            <w:tcW w:w="1550" w:type="dxa"/>
          </w:tcPr>
          <w:p w14:paraId="478EEBF0" w14:textId="4D521C2E" w:rsidR="00D35AD8"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lang w:eastAsia="en-AU"/>
              </w:rPr>
            </w:pPr>
            <w:r>
              <w:rPr>
                <w:color w:val="auto"/>
                <w:lang w:eastAsia="en-AU"/>
              </w:rPr>
              <w:t>No</w:t>
            </w:r>
          </w:p>
        </w:tc>
        <w:tc>
          <w:tcPr>
            <w:tcW w:w="1549" w:type="dxa"/>
          </w:tcPr>
          <w:p w14:paraId="40AB85A3" w14:textId="6064CBF1" w:rsidR="00B669CA"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216FF4">
              <w:rPr>
                <w:color w:val="auto"/>
                <w:szCs w:val="20"/>
              </w:rPr>
              <w:t>Yes</w:t>
            </w:r>
          </w:p>
        </w:tc>
        <w:tc>
          <w:tcPr>
            <w:tcW w:w="1549" w:type="dxa"/>
          </w:tcPr>
          <w:p w14:paraId="0F32925D" w14:textId="57BCDE85" w:rsidR="00B669CA"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216FF4">
              <w:rPr>
                <w:color w:val="auto"/>
                <w:szCs w:val="20"/>
              </w:rPr>
              <w:t>Yes</w:t>
            </w:r>
          </w:p>
        </w:tc>
        <w:tc>
          <w:tcPr>
            <w:tcW w:w="1269" w:type="dxa"/>
          </w:tcPr>
          <w:p w14:paraId="2225AC97" w14:textId="23E010C7" w:rsidR="00B669CA"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Pr>
                <w:color w:val="auto"/>
                <w:lang w:eastAsia="en-AU"/>
              </w:rPr>
              <w:t>No</w:t>
            </w:r>
          </w:p>
        </w:tc>
      </w:tr>
      <w:tr w:rsidR="00AE1E92" w14:paraId="736B8680" w14:textId="77777777" w:rsidTr="001D5857">
        <w:trPr>
          <w:trHeight w:val="104"/>
        </w:trPr>
        <w:tc>
          <w:tcPr>
            <w:cnfStyle w:val="001000000000" w:firstRow="0" w:lastRow="0" w:firstColumn="1" w:lastColumn="0" w:oddVBand="0" w:evenVBand="0" w:oddHBand="0" w:evenHBand="0" w:firstRowFirstColumn="0" w:firstRowLastColumn="0" w:lastRowFirstColumn="0" w:lastRowLastColumn="0"/>
            <w:tcW w:w="1243" w:type="dxa"/>
          </w:tcPr>
          <w:p w14:paraId="2A3E1740" w14:textId="0A28EF67" w:rsidR="00E4031B" w:rsidRPr="00216FF4" w:rsidRDefault="00E4031B" w:rsidP="00216FF4">
            <w:pPr>
              <w:pStyle w:val="Tabletextbold"/>
            </w:pPr>
            <w:r w:rsidRPr="00216FF4">
              <w:t>NT</w:t>
            </w:r>
          </w:p>
        </w:tc>
        <w:tc>
          <w:tcPr>
            <w:tcW w:w="1549" w:type="dxa"/>
          </w:tcPr>
          <w:p w14:paraId="2B0EB3D0" w14:textId="19E39DD2" w:rsidR="00E4031B"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lang w:eastAsia="en-AU"/>
              </w:rPr>
            </w:pPr>
            <w:r>
              <w:rPr>
                <w:color w:val="auto"/>
                <w:lang w:eastAsia="en-AU"/>
              </w:rPr>
              <w:t>No</w:t>
            </w:r>
          </w:p>
        </w:tc>
        <w:tc>
          <w:tcPr>
            <w:tcW w:w="1549" w:type="dxa"/>
          </w:tcPr>
          <w:p w14:paraId="6E1509ED" w14:textId="78B21BED" w:rsidR="00E4031B"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lang w:eastAsia="en-AU"/>
              </w:rPr>
            </w:pPr>
            <w:r w:rsidRPr="00216FF4">
              <w:rPr>
                <w:color w:val="auto"/>
                <w:szCs w:val="20"/>
              </w:rPr>
              <w:t>Yes</w:t>
            </w:r>
          </w:p>
        </w:tc>
        <w:tc>
          <w:tcPr>
            <w:tcW w:w="1550" w:type="dxa"/>
          </w:tcPr>
          <w:p w14:paraId="6862C359" w14:textId="6C34B7E5" w:rsidR="00D35AD8" w:rsidRPr="00216FF4" w:rsidRDefault="000D0616"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216FF4">
              <w:rPr>
                <w:color w:val="auto"/>
                <w:szCs w:val="20"/>
              </w:rPr>
              <w:t>No information available</w:t>
            </w:r>
          </w:p>
        </w:tc>
        <w:tc>
          <w:tcPr>
            <w:tcW w:w="1549" w:type="dxa"/>
          </w:tcPr>
          <w:p w14:paraId="382AC15C" w14:textId="67C7B928" w:rsidR="00E4031B" w:rsidRPr="00216FF4" w:rsidRDefault="00E4031B"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216FF4">
              <w:rPr>
                <w:color w:val="auto"/>
                <w:szCs w:val="20"/>
              </w:rPr>
              <w:t>-</w:t>
            </w:r>
          </w:p>
        </w:tc>
        <w:tc>
          <w:tcPr>
            <w:tcW w:w="1549" w:type="dxa"/>
          </w:tcPr>
          <w:p w14:paraId="5B48AE6D" w14:textId="491263BF" w:rsidR="00E4031B"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lang w:eastAsia="en-AU"/>
              </w:rPr>
            </w:pPr>
            <w:r w:rsidRPr="00216FF4">
              <w:rPr>
                <w:color w:val="auto"/>
                <w:szCs w:val="20"/>
              </w:rPr>
              <w:t>Yes</w:t>
            </w:r>
          </w:p>
        </w:tc>
        <w:tc>
          <w:tcPr>
            <w:tcW w:w="1269" w:type="dxa"/>
          </w:tcPr>
          <w:p w14:paraId="0E587ACB" w14:textId="66B3AEF6" w:rsidR="00E4031B"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lang w:eastAsia="en-AU"/>
              </w:rPr>
            </w:pPr>
            <w:r w:rsidRPr="00216FF4">
              <w:rPr>
                <w:color w:val="auto"/>
                <w:szCs w:val="20"/>
              </w:rPr>
              <w:t>Yes</w:t>
            </w:r>
          </w:p>
        </w:tc>
      </w:tr>
      <w:tr w:rsidR="00AE1E92" w14:paraId="3207F775" w14:textId="77777777" w:rsidTr="001D5857">
        <w:trPr>
          <w:trHeight w:val="104"/>
        </w:trPr>
        <w:tc>
          <w:tcPr>
            <w:cnfStyle w:val="001000000000" w:firstRow="0" w:lastRow="0" w:firstColumn="1" w:lastColumn="0" w:oddVBand="0" w:evenVBand="0" w:oddHBand="0" w:evenHBand="0" w:firstRowFirstColumn="0" w:firstRowLastColumn="0" w:lastRowFirstColumn="0" w:lastRowLastColumn="0"/>
            <w:tcW w:w="1243" w:type="dxa"/>
          </w:tcPr>
          <w:p w14:paraId="29D75477" w14:textId="77777777" w:rsidR="00E4031B" w:rsidRPr="00216FF4" w:rsidRDefault="00E4031B" w:rsidP="00216FF4">
            <w:pPr>
              <w:pStyle w:val="Tabletextbold"/>
            </w:pPr>
            <w:r w:rsidRPr="00216FF4">
              <w:t>QLD</w:t>
            </w:r>
          </w:p>
        </w:tc>
        <w:tc>
          <w:tcPr>
            <w:tcW w:w="1549" w:type="dxa"/>
          </w:tcPr>
          <w:p w14:paraId="44D02415" w14:textId="5CEAB563" w:rsidR="00E4031B"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216FF4">
              <w:rPr>
                <w:color w:val="auto"/>
                <w:szCs w:val="20"/>
              </w:rPr>
              <w:t>Yes</w:t>
            </w:r>
          </w:p>
        </w:tc>
        <w:tc>
          <w:tcPr>
            <w:tcW w:w="1549" w:type="dxa"/>
          </w:tcPr>
          <w:p w14:paraId="00052515" w14:textId="133C6392" w:rsidR="00E4031B"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216FF4">
              <w:rPr>
                <w:color w:val="auto"/>
                <w:szCs w:val="20"/>
              </w:rPr>
              <w:t>Yes</w:t>
            </w:r>
          </w:p>
        </w:tc>
        <w:tc>
          <w:tcPr>
            <w:tcW w:w="1550" w:type="dxa"/>
          </w:tcPr>
          <w:p w14:paraId="25D34A10" w14:textId="62802BA8" w:rsidR="00D35AD8"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E46C4D">
              <w:rPr>
                <w:color w:val="auto"/>
                <w:lang w:eastAsia="en-AU"/>
              </w:rPr>
              <w:t>No</w:t>
            </w:r>
          </w:p>
        </w:tc>
        <w:tc>
          <w:tcPr>
            <w:tcW w:w="1549" w:type="dxa"/>
          </w:tcPr>
          <w:p w14:paraId="606C35DF" w14:textId="5595956A" w:rsidR="00E4031B"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E46C4D">
              <w:rPr>
                <w:color w:val="auto"/>
                <w:lang w:eastAsia="en-AU"/>
              </w:rPr>
              <w:t>No</w:t>
            </w:r>
          </w:p>
        </w:tc>
        <w:tc>
          <w:tcPr>
            <w:tcW w:w="1549" w:type="dxa"/>
          </w:tcPr>
          <w:p w14:paraId="325BA267" w14:textId="7055963B" w:rsidR="00E4031B"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216FF4">
              <w:rPr>
                <w:color w:val="auto"/>
                <w:szCs w:val="20"/>
              </w:rPr>
              <w:t>Yes</w:t>
            </w:r>
          </w:p>
        </w:tc>
        <w:tc>
          <w:tcPr>
            <w:tcW w:w="1269" w:type="dxa"/>
          </w:tcPr>
          <w:p w14:paraId="00720A76" w14:textId="7B2DEC88" w:rsidR="00E4031B"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216FF4">
              <w:rPr>
                <w:color w:val="auto"/>
                <w:szCs w:val="20"/>
              </w:rPr>
              <w:t>Yes</w:t>
            </w:r>
          </w:p>
        </w:tc>
      </w:tr>
      <w:tr w:rsidR="00AE1E92" w14:paraId="51356CD6" w14:textId="77777777" w:rsidTr="001D5857">
        <w:trPr>
          <w:trHeight w:val="104"/>
        </w:trPr>
        <w:tc>
          <w:tcPr>
            <w:cnfStyle w:val="001000000000" w:firstRow="0" w:lastRow="0" w:firstColumn="1" w:lastColumn="0" w:oddVBand="0" w:evenVBand="0" w:oddHBand="0" w:evenHBand="0" w:firstRowFirstColumn="0" w:firstRowLastColumn="0" w:lastRowFirstColumn="0" w:lastRowLastColumn="0"/>
            <w:tcW w:w="1243" w:type="dxa"/>
          </w:tcPr>
          <w:p w14:paraId="71FE172E" w14:textId="19AFF168" w:rsidR="00E4031B" w:rsidRPr="00216FF4" w:rsidRDefault="00E4031B" w:rsidP="00216FF4">
            <w:pPr>
              <w:pStyle w:val="Tabletextbold"/>
            </w:pPr>
            <w:r w:rsidRPr="00216FF4">
              <w:t>SA</w:t>
            </w:r>
          </w:p>
        </w:tc>
        <w:tc>
          <w:tcPr>
            <w:tcW w:w="1549" w:type="dxa"/>
          </w:tcPr>
          <w:p w14:paraId="3BCC4742" w14:textId="5AEEB489" w:rsidR="00E4031B"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216FF4">
              <w:rPr>
                <w:color w:val="auto"/>
                <w:szCs w:val="20"/>
              </w:rPr>
              <w:t>Yes</w:t>
            </w:r>
          </w:p>
        </w:tc>
        <w:tc>
          <w:tcPr>
            <w:tcW w:w="1549" w:type="dxa"/>
          </w:tcPr>
          <w:p w14:paraId="26D67915" w14:textId="27C6DA7E" w:rsidR="00E4031B"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lang w:eastAsia="en-AU"/>
              </w:rPr>
            </w:pPr>
            <w:r w:rsidRPr="00216FF4">
              <w:rPr>
                <w:color w:val="auto"/>
                <w:szCs w:val="20"/>
              </w:rPr>
              <w:t>Yes</w:t>
            </w:r>
          </w:p>
        </w:tc>
        <w:tc>
          <w:tcPr>
            <w:tcW w:w="1550" w:type="dxa"/>
          </w:tcPr>
          <w:p w14:paraId="4C4A8ECB" w14:textId="28826AD7" w:rsidR="00D35AD8"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E46C4D">
              <w:rPr>
                <w:color w:val="auto"/>
                <w:lang w:eastAsia="en-AU"/>
              </w:rPr>
              <w:t>No</w:t>
            </w:r>
          </w:p>
        </w:tc>
        <w:tc>
          <w:tcPr>
            <w:tcW w:w="1549" w:type="dxa"/>
          </w:tcPr>
          <w:p w14:paraId="0CEFE6C2" w14:textId="086C0866" w:rsidR="00E4031B"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E46C4D">
              <w:rPr>
                <w:color w:val="auto"/>
                <w:lang w:eastAsia="en-AU"/>
              </w:rPr>
              <w:t>No</w:t>
            </w:r>
          </w:p>
        </w:tc>
        <w:tc>
          <w:tcPr>
            <w:tcW w:w="1549" w:type="dxa"/>
          </w:tcPr>
          <w:p w14:paraId="6A7468EE" w14:textId="7C4B4768" w:rsidR="00E4031B"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216FF4">
              <w:rPr>
                <w:color w:val="auto"/>
                <w:szCs w:val="20"/>
              </w:rPr>
              <w:t>Yes</w:t>
            </w:r>
          </w:p>
        </w:tc>
        <w:tc>
          <w:tcPr>
            <w:tcW w:w="1269" w:type="dxa"/>
          </w:tcPr>
          <w:p w14:paraId="0EEA651B" w14:textId="1E228DC4" w:rsidR="00E4031B"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216FF4">
              <w:rPr>
                <w:color w:val="auto"/>
                <w:szCs w:val="20"/>
              </w:rPr>
              <w:t>Yes</w:t>
            </w:r>
          </w:p>
        </w:tc>
      </w:tr>
      <w:tr w:rsidR="00AE1E92" w14:paraId="6590BEC6" w14:textId="77777777" w:rsidTr="001D5857">
        <w:trPr>
          <w:trHeight w:val="104"/>
        </w:trPr>
        <w:tc>
          <w:tcPr>
            <w:cnfStyle w:val="001000000000" w:firstRow="0" w:lastRow="0" w:firstColumn="1" w:lastColumn="0" w:oddVBand="0" w:evenVBand="0" w:oddHBand="0" w:evenHBand="0" w:firstRowFirstColumn="0" w:firstRowLastColumn="0" w:lastRowFirstColumn="0" w:lastRowLastColumn="0"/>
            <w:tcW w:w="1243" w:type="dxa"/>
          </w:tcPr>
          <w:p w14:paraId="6CFCE26B" w14:textId="135602CF" w:rsidR="00E4031B" w:rsidRPr="00216FF4" w:rsidRDefault="00E4031B" w:rsidP="00216FF4">
            <w:pPr>
              <w:pStyle w:val="Tabletextbold"/>
            </w:pPr>
            <w:r w:rsidRPr="00216FF4">
              <w:t>TAS</w:t>
            </w:r>
          </w:p>
        </w:tc>
        <w:tc>
          <w:tcPr>
            <w:tcW w:w="1549" w:type="dxa"/>
          </w:tcPr>
          <w:p w14:paraId="3C872339" w14:textId="59A5E490" w:rsidR="00E4031B"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216FF4">
              <w:rPr>
                <w:color w:val="auto"/>
                <w:szCs w:val="20"/>
              </w:rPr>
              <w:t>Yes</w:t>
            </w:r>
          </w:p>
        </w:tc>
        <w:tc>
          <w:tcPr>
            <w:tcW w:w="1549" w:type="dxa"/>
          </w:tcPr>
          <w:p w14:paraId="275F2164" w14:textId="5B44146C" w:rsidR="00E4031B"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lang w:eastAsia="en-AU"/>
              </w:rPr>
            </w:pPr>
            <w:r w:rsidRPr="00216FF4">
              <w:rPr>
                <w:color w:val="auto"/>
                <w:szCs w:val="20"/>
              </w:rPr>
              <w:t>Yes</w:t>
            </w:r>
          </w:p>
        </w:tc>
        <w:tc>
          <w:tcPr>
            <w:tcW w:w="1550" w:type="dxa"/>
          </w:tcPr>
          <w:p w14:paraId="0E8B6D67" w14:textId="7E678461" w:rsidR="00D35AD8" w:rsidRPr="00216FF4" w:rsidRDefault="0024256F"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216FF4">
              <w:rPr>
                <w:color w:val="auto"/>
                <w:szCs w:val="20"/>
              </w:rPr>
              <w:t>No information available</w:t>
            </w:r>
          </w:p>
        </w:tc>
        <w:tc>
          <w:tcPr>
            <w:tcW w:w="1549" w:type="dxa"/>
          </w:tcPr>
          <w:p w14:paraId="0790D173" w14:textId="3266BF0E" w:rsidR="00E4031B"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CB550B">
              <w:rPr>
                <w:color w:val="auto"/>
                <w:lang w:eastAsia="en-AU"/>
              </w:rPr>
              <w:t>No</w:t>
            </w:r>
          </w:p>
        </w:tc>
        <w:tc>
          <w:tcPr>
            <w:tcW w:w="1549" w:type="dxa"/>
          </w:tcPr>
          <w:p w14:paraId="59BFCD44" w14:textId="53333828" w:rsidR="00E4031B"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216FF4">
              <w:rPr>
                <w:color w:val="auto"/>
                <w:szCs w:val="20"/>
              </w:rPr>
              <w:t>Yes</w:t>
            </w:r>
          </w:p>
        </w:tc>
        <w:tc>
          <w:tcPr>
            <w:tcW w:w="1269" w:type="dxa"/>
          </w:tcPr>
          <w:p w14:paraId="2E329527" w14:textId="0B86882C" w:rsidR="00E4031B"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Pr>
                <w:color w:val="auto"/>
                <w:lang w:eastAsia="en-AU"/>
              </w:rPr>
              <w:t>No</w:t>
            </w:r>
          </w:p>
        </w:tc>
      </w:tr>
      <w:tr w:rsidR="00AE1E92" w14:paraId="36A9E30B" w14:textId="77777777" w:rsidTr="001D5857">
        <w:trPr>
          <w:trHeight w:val="104"/>
        </w:trPr>
        <w:tc>
          <w:tcPr>
            <w:cnfStyle w:val="001000000000" w:firstRow="0" w:lastRow="0" w:firstColumn="1" w:lastColumn="0" w:oddVBand="0" w:evenVBand="0" w:oddHBand="0" w:evenHBand="0" w:firstRowFirstColumn="0" w:firstRowLastColumn="0" w:lastRowFirstColumn="0" w:lastRowLastColumn="0"/>
            <w:tcW w:w="1243" w:type="dxa"/>
          </w:tcPr>
          <w:p w14:paraId="76AD0BE2" w14:textId="77777777" w:rsidR="00E4031B" w:rsidRPr="00216FF4" w:rsidRDefault="00E4031B" w:rsidP="00216FF4">
            <w:pPr>
              <w:pStyle w:val="Tabletextbold"/>
            </w:pPr>
            <w:r w:rsidRPr="00216FF4">
              <w:t>VIC</w:t>
            </w:r>
          </w:p>
        </w:tc>
        <w:tc>
          <w:tcPr>
            <w:tcW w:w="1549" w:type="dxa"/>
          </w:tcPr>
          <w:p w14:paraId="67ADD446" w14:textId="34CC95C1" w:rsidR="00E4031B"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Pr>
                <w:color w:val="auto"/>
                <w:lang w:eastAsia="en-AU"/>
              </w:rPr>
              <w:t>No</w:t>
            </w:r>
          </w:p>
        </w:tc>
        <w:tc>
          <w:tcPr>
            <w:tcW w:w="1549" w:type="dxa"/>
          </w:tcPr>
          <w:p w14:paraId="12B56AB5" w14:textId="1C90F369" w:rsidR="00E4031B"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216FF4">
              <w:rPr>
                <w:color w:val="auto"/>
                <w:szCs w:val="20"/>
              </w:rPr>
              <w:t>Yes</w:t>
            </w:r>
          </w:p>
        </w:tc>
        <w:tc>
          <w:tcPr>
            <w:tcW w:w="1550" w:type="dxa"/>
          </w:tcPr>
          <w:p w14:paraId="1FAC6911" w14:textId="4E6D0B0B" w:rsidR="00D35AD8" w:rsidRPr="00216FF4" w:rsidRDefault="0024256F"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216FF4">
              <w:rPr>
                <w:color w:val="auto"/>
                <w:szCs w:val="20"/>
              </w:rPr>
              <w:t>No information available</w:t>
            </w:r>
          </w:p>
        </w:tc>
        <w:tc>
          <w:tcPr>
            <w:tcW w:w="1549" w:type="dxa"/>
          </w:tcPr>
          <w:p w14:paraId="54CB5D19" w14:textId="12764219" w:rsidR="00E4031B"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CB550B">
              <w:rPr>
                <w:color w:val="auto"/>
                <w:lang w:eastAsia="en-AU"/>
              </w:rPr>
              <w:t>No</w:t>
            </w:r>
          </w:p>
        </w:tc>
        <w:tc>
          <w:tcPr>
            <w:tcW w:w="1549" w:type="dxa"/>
          </w:tcPr>
          <w:p w14:paraId="18BF5C87" w14:textId="2367C3DA" w:rsidR="00E4031B"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F67335">
              <w:rPr>
                <w:color w:val="auto"/>
                <w:lang w:eastAsia="en-AU"/>
              </w:rPr>
              <w:t>No</w:t>
            </w:r>
          </w:p>
        </w:tc>
        <w:tc>
          <w:tcPr>
            <w:tcW w:w="1269" w:type="dxa"/>
          </w:tcPr>
          <w:p w14:paraId="004D75B9" w14:textId="50502CE6" w:rsidR="00E4031B"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F67335">
              <w:rPr>
                <w:color w:val="auto"/>
                <w:lang w:eastAsia="en-AU"/>
              </w:rPr>
              <w:t>No</w:t>
            </w:r>
          </w:p>
        </w:tc>
      </w:tr>
      <w:tr w:rsidR="00AE1E92" w14:paraId="5E1EB33A" w14:textId="77777777" w:rsidTr="001D5857">
        <w:trPr>
          <w:trHeight w:val="104"/>
        </w:trPr>
        <w:tc>
          <w:tcPr>
            <w:cnfStyle w:val="001000000000" w:firstRow="0" w:lastRow="0" w:firstColumn="1" w:lastColumn="0" w:oddVBand="0" w:evenVBand="0" w:oddHBand="0" w:evenHBand="0" w:firstRowFirstColumn="0" w:firstRowLastColumn="0" w:lastRowFirstColumn="0" w:lastRowLastColumn="0"/>
            <w:tcW w:w="1243" w:type="dxa"/>
          </w:tcPr>
          <w:p w14:paraId="51A0DE0D" w14:textId="77777777" w:rsidR="00E4031B" w:rsidRPr="00216FF4" w:rsidRDefault="00E4031B" w:rsidP="00216FF4">
            <w:pPr>
              <w:pStyle w:val="Tabletextbold"/>
            </w:pPr>
            <w:r w:rsidRPr="00216FF4">
              <w:t>WA</w:t>
            </w:r>
          </w:p>
        </w:tc>
        <w:tc>
          <w:tcPr>
            <w:tcW w:w="1549" w:type="dxa"/>
          </w:tcPr>
          <w:p w14:paraId="23736839" w14:textId="785D8EA5" w:rsidR="00E4031B"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216FF4">
              <w:rPr>
                <w:color w:val="auto"/>
                <w:szCs w:val="20"/>
              </w:rPr>
              <w:t>Yes</w:t>
            </w:r>
          </w:p>
        </w:tc>
        <w:tc>
          <w:tcPr>
            <w:tcW w:w="1549" w:type="dxa"/>
          </w:tcPr>
          <w:p w14:paraId="1D7221D5" w14:textId="6E61BE51" w:rsidR="00E4031B"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216FF4">
              <w:rPr>
                <w:color w:val="auto"/>
                <w:szCs w:val="20"/>
              </w:rPr>
              <w:t>Yes</w:t>
            </w:r>
          </w:p>
        </w:tc>
        <w:tc>
          <w:tcPr>
            <w:tcW w:w="1550" w:type="dxa"/>
          </w:tcPr>
          <w:p w14:paraId="721B0181" w14:textId="7F9263B9" w:rsidR="00D35AD8" w:rsidRPr="00216FF4" w:rsidRDefault="009F3D9F"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216FF4">
              <w:rPr>
                <w:color w:val="auto"/>
                <w:szCs w:val="20"/>
              </w:rPr>
              <w:t>No information available</w:t>
            </w:r>
          </w:p>
        </w:tc>
        <w:tc>
          <w:tcPr>
            <w:tcW w:w="1549" w:type="dxa"/>
          </w:tcPr>
          <w:p w14:paraId="3E88BB06" w14:textId="6C761D4D" w:rsidR="00E4031B"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CB550B">
              <w:rPr>
                <w:color w:val="auto"/>
                <w:lang w:eastAsia="en-AU"/>
              </w:rPr>
              <w:t>No</w:t>
            </w:r>
          </w:p>
        </w:tc>
        <w:tc>
          <w:tcPr>
            <w:tcW w:w="1549" w:type="dxa"/>
          </w:tcPr>
          <w:p w14:paraId="1E7BBC6F" w14:textId="1ED62D30" w:rsidR="00E4031B"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F67335">
              <w:rPr>
                <w:color w:val="auto"/>
                <w:lang w:eastAsia="en-AU"/>
              </w:rPr>
              <w:t>No</w:t>
            </w:r>
          </w:p>
        </w:tc>
        <w:tc>
          <w:tcPr>
            <w:tcW w:w="1269" w:type="dxa"/>
          </w:tcPr>
          <w:p w14:paraId="0BF8AD58" w14:textId="172DD16F" w:rsidR="00E4031B" w:rsidRPr="00216FF4" w:rsidRDefault="00216FF4" w:rsidP="00216FF4">
            <w:pPr>
              <w:pStyle w:val="TableText"/>
              <w:jc w:val="center"/>
              <w:cnfStyle w:val="000000000000" w:firstRow="0" w:lastRow="0" w:firstColumn="0" w:lastColumn="0" w:oddVBand="0" w:evenVBand="0" w:oddHBand="0" w:evenHBand="0" w:firstRowFirstColumn="0" w:firstRowLastColumn="0" w:lastRowFirstColumn="0" w:lastRowLastColumn="0"/>
              <w:rPr>
                <w:color w:val="auto"/>
                <w:szCs w:val="20"/>
              </w:rPr>
            </w:pPr>
            <w:r w:rsidRPr="00F67335">
              <w:rPr>
                <w:color w:val="auto"/>
                <w:lang w:eastAsia="en-AU"/>
              </w:rPr>
              <w:t>No</w:t>
            </w:r>
          </w:p>
        </w:tc>
      </w:tr>
    </w:tbl>
    <w:p w14:paraId="5225D121" w14:textId="3EFE3D43" w:rsidR="00210329" w:rsidRPr="00090D0A" w:rsidRDefault="00210329" w:rsidP="00090D0A">
      <w:pPr>
        <w:pStyle w:val="Caption-Source"/>
      </w:pPr>
      <w:r w:rsidRPr="00090D0A">
        <w:t xml:space="preserve">Source: </w:t>
      </w:r>
      <w:r w:rsidR="00120620" w:rsidRPr="00120620">
        <w:t>Independent reviewer</w:t>
      </w:r>
      <w:r w:rsidR="00120620">
        <w:t>,</w:t>
      </w:r>
      <w:r w:rsidRPr="00090D0A">
        <w:t xml:space="preserve"> using information from state and territory Artificial Limb Service websites</w:t>
      </w:r>
    </w:p>
    <w:p w14:paraId="1C603631" w14:textId="3A86F2A0" w:rsidR="00A20EDF" w:rsidRPr="00707192" w:rsidRDefault="00A20EDF" w:rsidP="00707192">
      <w:r w:rsidRPr="00707192">
        <w:t xml:space="preserve">As described in Section </w:t>
      </w:r>
      <w:r w:rsidRPr="00707192">
        <w:fldChar w:fldCharType="begin"/>
      </w:r>
      <w:r w:rsidRPr="00707192">
        <w:instrText xml:space="preserve"> REF _Ref201063579 \r \h  \* MERGEFORMAT </w:instrText>
      </w:r>
      <w:r w:rsidRPr="00707192">
        <w:fldChar w:fldCharType="separate"/>
      </w:r>
      <w:r w:rsidR="00D955D8" w:rsidRPr="00707192">
        <w:t>2.3.2</w:t>
      </w:r>
      <w:r w:rsidRPr="00707192">
        <w:fldChar w:fldCharType="end"/>
      </w:r>
      <w:r w:rsidR="004A5D3F" w:rsidRPr="00707192">
        <w:t xml:space="preserve">, jurisdictional limb schemes generally offer more limited support, funding, and a narrower </w:t>
      </w:r>
      <w:r w:rsidRPr="00707192">
        <w:t xml:space="preserve">range of prostheses compared to what is typically covered under the NDIS. </w:t>
      </w:r>
      <w:proofErr w:type="gramStart"/>
      <w:r w:rsidRPr="00707192">
        <w:t>With the exception of</w:t>
      </w:r>
      <w:proofErr w:type="gramEnd"/>
      <w:r w:rsidRPr="00707192">
        <w:t xml:space="preserve"> NSW, jurisdictional limb schemes do not fund </w:t>
      </w:r>
      <w:r w:rsidR="004A5D3F" w:rsidRPr="00707192">
        <w:t>higher-grade</w:t>
      </w:r>
      <w:r w:rsidRPr="00707192">
        <w:t xml:space="preserve"> prostheses, such as microprocessor knees and computerised components. Stakeholders noted that lower-grade prostheses, such as mechanical knees, are heavier and lack safety features</w:t>
      </w:r>
      <w:r w:rsidR="004A5D3F" w:rsidRPr="00707192">
        <w:t>, including fall prevention mechanisms, which can pose significant risks, particularly for older adults who are not eligible for the NDIS and rely</w:t>
      </w:r>
      <w:r w:rsidRPr="00707192">
        <w:t xml:space="preserve"> on state-based limb schemes.</w:t>
      </w:r>
    </w:p>
    <w:p w14:paraId="04EDD75A" w14:textId="77777777" w:rsidR="00D9091C" w:rsidRDefault="00D9091C" w:rsidP="00FD54A5">
      <w:pPr>
        <w:pStyle w:val="Heading4"/>
      </w:pPr>
      <w:r>
        <w:t>Australian Capital Territory</w:t>
      </w:r>
    </w:p>
    <w:p w14:paraId="336B3BA9" w14:textId="698CD9F6" w:rsidR="00D9091C" w:rsidRPr="000543B6" w:rsidRDefault="003C79A1" w:rsidP="000543B6">
      <w:r>
        <w:t>In the ACT, the</w:t>
      </w:r>
      <w:r w:rsidR="00D9091C">
        <w:t xml:space="preserve"> ACTALS </w:t>
      </w:r>
      <w:r w:rsidR="0028780B">
        <w:t>manages</w:t>
      </w:r>
      <w:r w:rsidR="006C37FA">
        <w:t xml:space="preserve"> and distributes</w:t>
      </w:r>
      <w:r w:rsidR="00D9091C">
        <w:t xml:space="preserve"> funding for both interim and </w:t>
      </w:r>
      <w:r w:rsidR="00F74E86">
        <w:t>definitive</w:t>
      </w:r>
      <w:r w:rsidR="00D9091C">
        <w:t xml:space="preserve"> prostheses for eligible individ</w:t>
      </w:r>
      <w:r w:rsidR="00D9091C" w:rsidRPr="000543B6">
        <w:t>uals.</w:t>
      </w:r>
      <w:r w:rsidR="0014306E" w:rsidRPr="000543B6">
        <w:t xml:space="preserve"> </w:t>
      </w:r>
      <w:r w:rsidR="00670D14" w:rsidRPr="000543B6">
        <w:fldChar w:fldCharType="begin"/>
      </w:r>
      <w:r w:rsidR="00670D14" w:rsidRPr="000543B6">
        <w:instrText xml:space="preserve"> REF _Ref203126956 \w \h </w:instrText>
      </w:r>
      <w:r w:rsidR="000543B6">
        <w:instrText xml:space="preserve"> \* MERGEFORMAT </w:instrText>
      </w:r>
      <w:r w:rsidR="00670D14" w:rsidRPr="000543B6">
        <w:fldChar w:fldCharType="separate"/>
      </w:r>
      <w:r w:rsidR="00D955D8" w:rsidRPr="000543B6">
        <w:t>Appendix E</w:t>
      </w:r>
      <w:r w:rsidR="00670D14" w:rsidRPr="000543B6">
        <w:fldChar w:fldCharType="end"/>
      </w:r>
      <w:r w:rsidR="00670D14" w:rsidRPr="000543B6">
        <w:t xml:space="preserve"> </w:t>
      </w:r>
      <w:r w:rsidR="0014306E" w:rsidRPr="000543B6">
        <w:t xml:space="preserve">provides further details regarding the ACTALS, including eligibility criteria. </w:t>
      </w:r>
    </w:p>
    <w:p w14:paraId="33DCA36E" w14:textId="2F3554AD" w:rsidR="00D9091C" w:rsidRPr="00617B82" w:rsidRDefault="00D9091C" w:rsidP="000543B6">
      <w:r w:rsidRPr="000543B6">
        <w:t>An interim prosthesis is provided to individuals undergoing active rehabilitation following limb loss. This may occur in inp</w:t>
      </w:r>
      <w:r w:rsidRPr="00016171">
        <w:t>atient, day therapy, or outpatient settings. Interim prostheses are supplied and maintained for a maximum of 12 months from the initial fitting, supporting functional recovery during the rehabilitation phase.</w:t>
      </w:r>
      <w:r>
        <w:t xml:space="preserve"> </w:t>
      </w:r>
      <w:r w:rsidRPr="00617B82">
        <w:t xml:space="preserve">Following rehabilitation, ACTALS funds the provision and maintenance of a </w:t>
      </w:r>
      <w:r>
        <w:t>definitive</w:t>
      </w:r>
      <w:r w:rsidRPr="00617B82">
        <w:t xml:space="preserve"> prosthesis. These devices are tailored to meet the individual’s clinical and functional needs while ensuring cost-efficiency. </w:t>
      </w:r>
      <w:r w:rsidR="004A5D3F">
        <w:t>A Rehabilitation Medicine Consultant must prescribe the prosthesis</w:t>
      </w:r>
      <w:r w:rsidRPr="00617B82">
        <w:t xml:space="preserve"> employed within </w:t>
      </w:r>
      <w:r w:rsidR="00977490">
        <w:t xml:space="preserve">the </w:t>
      </w:r>
      <w:r w:rsidR="00F7299D">
        <w:t>CHS</w:t>
      </w:r>
      <w:r w:rsidRPr="00617B82">
        <w:t>.</w:t>
      </w:r>
      <w:r>
        <w:t xml:space="preserve"> Specific information on the type of prosthetic limbs </w:t>
      </w:r>
      <w:r w:rsidR="001A0861">
        <w:t xml:space="preserve">funded </w:t>
      </w:r>
      <w:r>
        <w:t>under the ACTALS is limited.</w:t>
      </w:r>
    </w:p>
    <w:p w14:paraId="281C1F12" w14:textId="3991B3ED" w:rsidR="00B70892" w:rsidRPr="000543B6" w:rsidRDefault="00D9091C" w:rsidP="000543B6">
      <w:r w:rsidRPr="009C30EC">
        <w:t xml:space="preserve">ACTALS does not fund cosmetic prostheses for </w:t>
      </w:r>
      <w:r w:rsidR="00E245F7">
        <w:t>digit</w:t>
      </w:r>
      <w:r w:rsidR="00E245F7" w:rsidRPr="009C30EC">
        <w:t xml:space="preserve"> </w:t>
      </w:r>
      <w:r w:rsidR="009F3D9F" w:rsidRPr="009C30EC">
        <w:t>loss, spare</w:t>
      </w:r>
      <w:r w:rsidR="00D936FE">
        <w:t xml:space="preserve"> </w:t>
      </w:r>
      <w:r w:rsidRPr="009C30EC">
        <w:t>prostheses, or recreational prostheses</w:t>
      </w:r>
      <w:r>
        <w:t xml:space="preserve">, </w:t>
      </w:r>
      <w:r w:rsidRPr="009C30EC">
        <w:t>defined as prostheses used for activities unrelated to paid employment or formal study/training for employment</w:t>
      </w:r>
      <w:r w:rsidR="00D936FE">
        <w:t>.</w:t>
      </w:r>
      <w:r>
        <w:t xml:space="preserve"> However, excluded items may be funded under extenuating</w:t>
      </w:r>
      <w:r w:rsidRPr="000543B6">
        <w:t xml:space="preserve"> circumstances. </w:t>
      </w:r>
    </w:p>
    <w:p w14:paraId="5306B659" w14:textId="67B1B93C" w:rsidR="00D936FE" w:rsidRPr="000543B6" w:rsidRDefault="00D9091C" w:rsidP="000543B6">
      <w:r w:rsidRPr="000543B6">
        <w:t xml:space="preserve">A referring clinician may submit a written application to the ACTALS Advisory Committee requesting funding for a spare prosthesis if the following conditions are met: </w:t>
      </w:r>
    </w:p>
    <w:p w14:paraId="048F397E" w14:textId="4B11031F" w:rsidR="00D936FE" w:rsidRPr="0071377B" w:rsidRDefault="00D9091C" w:rsidP="00216FF4">
      <w:pPr>
        <w:pStyle w:val="Bullet1stlevel"/>
        <w:rPr>
          <w:b/>
          <w:i/>
        </w:rPr>
      </w:pPr>
      <w:r w:rsidRPr="00D936FE">
        <w:t xml:space="preserve">The </w:t>
      </w:r>
      <w:r w:rsidR="00655369">
        <w:t>individual</w:t>
      </w:r>
      <w:r w:rsidRPr="00D936FE">
        <w:t xml:space="preserve"> resides more than three hours away from the Prosthetics and Orthotics Service,</w:t>
      </w:r>
    </w:p>
    <w:p w14:paraId="059D3C3E" w14:textId="77777777" w:rsidR="00D936FE" w:rsidRPr="00F635A7" w:rsidRDefault="00D9091C" w:rsidP="00216FF4">
      <w:pPr>
        <w:pStyle w:val="Bullet1stlevel"/>
        <w:rPr>
          <w:b/>
          <w:i/>
        </w:rPr>
      </w:pPr>
      <w:r w:rsidRPr="00D936FE">
        <w:t>A delay in repairing the primary prosthesis is likely, and such a delay would result in:</w:t>
      </w:r>
    </w:p>
    <w:p w14:paraId="7C1CC31A" w14:textId="77777777" w:rsidR="00D936FE" w:rsidRPr="00F635A7" w:rsidRDefault="00D9091C" w:rsidP="00216FF4">
      <w:pPr>
        <w:pStyle w:val="Bullet2ndlevel"/>
        <w:rPr>
          <w:b/>
          <w:i/>
        </w:rPr>
      </w:pPr>
      <w:r w:rsidRPr="00D936FE">
        <w:t>Significant economic loss (e.g., inability to work),</w:t>
      </w:r>
    </w:p>
    <w:p w14:paraId="504F743A" w14:textId="124AFFFA" w:rsidR="00D936FE" w:rsidRDefault="00D9091C" w:rsidP="00216FF4">
      <w:pPr>
        <w:pStyle w:val="Bullet2ndlevel"/>
      </w:pPr>
      <w:r w:rsidRPr="00D936FE">
        <w:t xml:space="preserve">Safety risks (e.g., the </w:t>
      </w:r>
      <w:r w:rsidR="00655369">
        <w:t>individual</w:t>
      </w:r>
      <w:r w:rsidRPr="00D936FE">
        <w:t xml:space="preserve"> lives alone in an isolated area), or</w:t>
      </w:r>
    </w:p>
    <w:p w14:paraId="614CC2EF" w14:textId="007CD887" w:rsidR="00D936FE" w:rsidRDefault="00D9091C" w:rsidP="00216FF4">
      <w:pPr>
        <w:pStyle w:val="Bullet2ndlevel"/>
      </w:pPr>
      <w:r w:rsidRPr="00D936FE">
        <w:t xml:space="preserve">The </w:t>
      </w:r>
      <w:r w:rsidR="00DA5DF1">
        <w:t>individual</w:t>
      </w:r>
      <w:r w:rsidRPr="00D936FE">
        <w:t xml:space="preserve"> </w:t>
      </w:r>
      <w:r w:rsidR="00B43816">
        <w:t>is</w:t>
      </w:r>
      <w:r w:rsidRPr="00D936FE">
        <w:t xml:space="preserve"> stranded or immobilised.</w:t>
      </w:r>
    </w:p>
    <w:p w14:paraId="0602BB5C" w14:textId="5A4A55EB" w:rsidR="00D936FE" w:rsidRDefault="00D9091C" w:rsidP="00216FF4">
      <w:pPr>
        <w:pStyle w:val="Bullet1stlevel"/>
      </w:pPr>
      <w:r w:rsidRPr="00D936FE">
        <w:t xml:space="preserve">The </w:t>
      </w:r>
      <w:r w:rsidR="0072647A">
        <w:t>individual</w:t>
      </w:r>
      <w:r w:rsidRPr="00D936FE">
        <w:t xml:space="preserve"> works in an occupation that causes excessive wear and tear on their prosthesis, making it more prone to breakdown; and</w:t>
      </w:r>
    </w:p>
    <w:p w14:paraId="43DD8667" w14:textId="7D7B83F5" w:rsidR="00D9091C" w:rsidRPr="00D8067C" w:rsidRDefault="00D9091C" w:rsidP="00216FF4">
      <w:pPr>
        <w:pStyle w:val="Bullet1stlevel"/>
        <w:rPr>
          <w:b/>
          <w:i/>
        </w:rPr>
      </w:pPr>
      <w:r w:rsidRPr="00D936FE">
        <w:t xml:space="preserve">The current prosthesis does not meet the functional demands of the </w:t>
      </w:r>
      <w:r w:rsidR="0072647A">
        <w:t>individual</w:t>
      </w:r>
      <w:r w:rsidR="00D936FE">
        <w:t>’s</w:t>
      </w:r>
      <w:r w:rsidRPr="00D936FE">
        <w:t xml:space="preserve"> workplace.</w:t>
      </w:r>
      <w:r w:rsidR="007B7939">
        <w:rPr>
          <w:rFonts w:ascii="ZWAdobeF" w:hAnsi="ZWAdobeF" w:cs="ZWAdobeF"/>
          <w:color w:val="auto"/>
          <w:sz w:val="2"/>
          <w:szCs w:val="2"/>
        </w:rPr>
        <w:t>58F</w:t>
      </w:r>
      <w:r>
        <w:rPr>
          <w:rStyle w:val="FootnoteReference"/>
        </w:rPr>
        <w:footnoteReference w:id="78"/>
      </w:r>
    </w:p>
    <w:p w14:paraId="485195D4" w14:textId="0C032F5C" w:rsidR="00D8067C" w:rsidRPr="00D8067C" w:rsidRDefault="00D8067C" w:rsidP="000543B6">
      <w:r w:rsidRPr="00D8067C">
        <w:t xml:space="preserve">ACTALS services are available at three hospitals and health clinics, all located within </w:t>
      </w:r>
      <w:r w:rsidR="00B43816">
        <w:t>the Canberra area</w:t>
      </w:r>
      <w:r w:rsidRPr="00D8067C">
        <w:t>. As a result, individuals living outside the metropolitan ACT region must travel to Canberra to access these services.</w:t>
      </w:r>
    </w:p>
    <w:p w14:paraId="043B562A" w14:textId="733DE808" w:rsidR="001409B7" w:rsidRDefault="001409B7" w:rsidP="00FD54A5">
      <w:pPr>
        <w:pStyle w:val="Heading4"/>
      </w:pPr>
      <w:r>
        <w:t>N</w:t>
      </w:r>
      <w:r w:rsidR="00ED62EB">
        <w:t>ew South Wales</w:t>
      </w:r>
    </w:p>
    <w:p w14:paraId="28BBE7E9" w14:textId="7580A4A1" w:rsidR="0014575B" w:rsidRPr="000543B6" w:rsidRDefault="00DF0871" w:rsidP="000543B6">
      <w:proofErr w:type="spellStart"/>
      <w:r>
        <w:t>EnableNSW</w:t>
      </w:r>
      <w:proofErr w:type="spellEnd"/>
      <w:r>
        <w:t xml:space="preserve"> Prosthetic Limb Service</w:t>
      </w:r>
      <w:r w:rsidR="002356A9">
        <w:t xml:space="preserve"> (PLS)</w:t>
      </w:r>
      <w:r w:rsidR="0006275E" w:rsidRPr="0006275E">
        <w:t xml:space="preserve"> </w:t>
      </w:r>
      <w:r w:rsidR="008E399A">
        <w:t>manages and distributes</w:t>
      </w:r>
      <w:r w:rsidR="0006275E">
        <w:t xml:space="preserve"> funding for both interim and </w:t>
      </w:r>
      <w:r w:rsidR="00444E99">
        <w:t xml:space="preserve">definitive prosthetic limbs to eligible residents in NSW and Lord Howe Island. </w:t>
      </w:r>
      <w:r w:rsidR="00670D14">
        <w:fldChar w:fldCharType="begin"/>
      </w:r>
      <w:r w:rsidR="00670D14">
        <w:instrText xml:space="preserve"> REF _Ref203126956 \w \h </w:instrText>
      </w:r>
      <w:r w:rsidR="00670D14">
        <w:fldChar w:fldCharType="separate"/>
      </w:r>
      <w:r w:rsidR="00D955D8">
        <w:t>Appendix E</w:t>
      </w:r>
      <w:r w:rsidR="00670D14">
        <w:fldChar w:fldCharType="end"/>
      </w:r>
      <w:r w:rsidR="00670D14">
        <w:t xml:space="preserve"> </w:t>
      </w:r>
      <w:r w:rsidR="0014575B">
        <w:t xml:space="preserve">provides further details regarding the </w:t>
      </w:r>
      <w:proofErr w:type="spellStart"/>
      <w:r w:rsidR="0014575B">
        <w:t>EnableNSW</w:t>
      </w:r>
      <w:proofErr w:type="spellEnd"/>
      <w:r w:rsidR="0014575B">
        <w:t xml:space="preserve"> PLS, including eligibility criteria. </w:t>
      </w:r>
    </w:p>
    <w:p w14:paraId="67A926BA" w14:textId="2984DCD2" w:rsidR="00230651" w:rsidRDefault="006B4136" w:rsidP="000543B6">
      <w:r>
        <w:t>An</w:t>
      </w:r>
      <w:r w:rsidR="00764C56">
        <w:t xml:space="preserve"> interim prosthesis is prescribed </w:t>
      </w:r>
      <w:r w:rsidR="00AF1BF5">
        <w:t>through</w:t>
      </w:r>
      <w:r w:rsidR="00764C56">
        <w:t xml:space="preserve"> </w:t>
      </w:r>
      <w:proofErr w:type="spellStart"/>
      <w:r w:rsidR="00B43816">
        <w:t>EnableNSW</w:t>
      </w:r>
      <w:proofErr w:type="spellEnd"/>
      <w:r w:rsidR="00B43816">
        <w:t>-accredited amputee clinics across NSW and is</w:t>
      </w:r>
      <w:r w:rsidR="00571AD6">
        <w:t xml:space="preserve"> manufactured by the clinic’s appointed </w:t>
      </w:r>
      <w:r w:rsidR="0018465B">
        <w:t>PSP</w:t>
      </w:r>
      <w:r w:rsidR="00571AD6">
        <w:t>.</w:t>
      </w:r>
      <w:r w:rsidR="0014575B">
        <w:t xml:space="preserve"> </w:t>
      </w:r>
      <w:r w:rsidR="00A36A8B">
        <w:t>People</w:t>
      </w:r>
      <w:r w:rsidR="00AF1BF5">
        <w:t xml:space="preserve"> can choose their preferred PS</w:t>
      </w:r>
      <w:r w:rsidR="00230651">
        <w:t xml:space="preserve">P </w:t>
      </w:r>
      <w:r w:rsidR="00AF1BF5">
        <w:t>to supply their definitive prosthesis</w:t>
      </w:r>
      <w:r w:rsidR="00230651">
        <w:t>.</w:t>
      </w:r>
      <w:r w:rsidR="00124193" w:rsidRPr="00124193">
        <w:t xml:space="preserve"> PSPs operate on behalf of </w:t>
      </w:r>
      <w:proofErr w:type="spellStart"/>
      <w:r w:rsidR="00124193" w:rsidRPr="00124193">
        <w:t>EnableNSW</w:t>
      </w:r>
      <w:proofErr w:type="spellEnd"/>
      <w:r w:rsidR="00124193" w:rsidRPr="00124193">
        <w:t xml:space="preserve"> and include seven commercial limb manufacturers and two public limb services, each appointed to specific amputee clinics across LHDs</w:t>
      </w:r>
      <w:r w:rsidR="00124193">
        <w:t xml:space="preserve">. </w:t>
      </w:r>
      <w:r w:rsidR="00BD75A4">
        <w:t xml:space="preserve">See </w:t>
      </w:r>
      <w:r w:rsidR="00BD75A4" w:rsidRPr="002E6A6D">
        <w:fldChar w:fldCharType="begin"/>
      </w:r>
      <w:r w:rsidR="00BD75A4" w:rsidRPr="006C2383">
        <w:rPr>
          <w:highlight w:val="yellow"/>
        </w:rPr>
        <w:instrText xml:space="preserve"> REF _Ref199152358 \h </w:instrText>
      </w:r>
      <w:r w:rsidR="006C2383">
        <w:rPr>
          <w:highlight w:val="yellow"/>
        </w:rPr>
        <w:instrText xml:space="preserve"> \* MERGEFORMAT </w:instrText>
      </w:r>
      <w:r w:rsidR="00BD75A4" w:rsidRPr="002E6A6D">
        <w:fldChar w:fldCharType="separate"/>
      </w:r>
      <w:r w:rsidR="002818A9">
        <w:t xml:space="preserve">Table </w:t>
      </w:r>
      <w:r w:rsidR="002818A9">
        <w:rPr>
          <w:noProof/>
        </w:rPr>
        <w:t>131</w:t>
      </w:r>
      <w:r w:rsidR="00BD75A4" w:rsidRPr="002E6A6D">
        <w:fldChar w:fldCharType="end"/>
      </w:r>
      <w:r w:rsidR="00BD75A4">
        <w:t xml:space="preserve"> in Appendix </w:t>
      </w:r>
      <w:r w:rsidR="00A10079">
        <w:fldChar w:fldCharType="begin"/>
      </w:r>
      <w:r w:rsidR="00A10079">
        <w:instrText xml:space="preserve"> REF _Ref200968311 \r \h </w:instrText>
      </w:r>
      <w:r w:rsidR="00A10079">
        <w:fldChar w:fldCharType="separate"/>
      </w:r>
      <w:r w:rsidR="00A10079">
        <w:t>F.1</w:t>
      </w:r>
      <w:r w:rsidR="00A10079">
        <w:fldChar w:fldCharType="end"/>
      </w:r>
      <w:r w:rsidR="00BD75A4">
        <w:t xml:space="preserve"> for a list of </w:t>
      </w:r>
      <w:proofErr w:type="spellStart"/>
      <w:r w:rsidR="005331E2">
        <w:t>EnableNSW</w:t>
      </w:r>
      <w:proofErr w:type="spellEnd"/>
      <w:r w:rsidR="005331E2">
        <w:t>-accredited</w:t>
      </w:r>
      <w:r w:rsidR="00BD75A4">
        <w:t xml:space="preserve"> clinics and PSPs. </w:t>
      </w:r>
    </w:p>
    <w:p w14:paraId="59117290" w14:textId="14EA0B4C" w:rsidR="001D5857" w:rsidRPr="00707192" w:rsidRDefault="00D10EFD" w:rsidP="00707192">
      <w:r w:rsidRPr="00707192">
        <w:t>Information on the</w:t>
      </w:r>
      <w:r w:rsidR="00500FCB" w:rsidRPr="00707192">
        <w:t xml:space="preserve"> specific type</w:t>
      </w:r>
      <w:r w:rsidRPr="00707192">
        <w:t>s</w:t>
      </w:r>
      <w:r w:rsidR="00500FCB" w:rsidRPr="00707192">
        <w:t xml:space="preserve"> of prosthetic limbs funded under </w:t>
      </w:r>
      <w:proofErr w:type="spellStart"/>
      <w:r w:rsidR="00500FCB" w:rsidRPr="00707192">
        <w:t>EnableNSW</w:t>
      </w:r>
      <w:proofErr w:type="spellEnd"/>
      <w:r w:rsidR="00500FCB" w:rsidRPr="00707192">
        <w:t xml:space="preserve"> is</w:t>
      </w:r>
      <w:r w:rsidRPr="00707192">
        <w:t xml:space="preserve"> limited. However, s</w:t>
      </w:r>
      <w:r w:rsidR="00F97150" w:rsidRPr="00707192">
        <w:t xml:space="preserve">pecialised components such as </w:t>
      </w:r>
      <w:r w:rsidR="00B10F2C" w:rsidRPr="00707192">
        <w:t>high-cost</w:t>
      </w:r>
      <w:r w:rsidR="00F97150" w:rsidRPr="00707192">
        <w:t xml:space="preserve"> feet or </w:t>
      </w:r>
      <w:r w:rsidRPr="00707192">
        <w:t xml:space="preserve">microprocessor </w:t>
      </w:r>
      <w:r w:rsidR="00F97150" w:rsidRPr="00707192">
        <w:t xml:space="preserve">knees may be provided </w:t>
      </w:r>
      <w:r w:rsidR="005331E2" w:rsidRPr="00707192">
        <w:t>in</w:t>
      </w:r>
      <w:r w:rsidR="00F97150" w:rsidRPr="00707192">
        <w:t xml:space="preserve"> exceptional circumstances.</w:t>
      </w:r>
      <w:r w:rsidR="001F796C" w:rsidRPr="00707192">
        <w:t xml:space="preserve"> </w:t>
      </w:r>
      <w:r w:rsidR="00BD75A4" w:rsidRPr="00707192">
        <w:t xml:space="preserve">In addition, to support residents in rural and remote locations, </w:t>
      </w:r>
      <w:proofErr w:type="spellStart"/>
      <w:r w:rsidR="00BD75A4" w:rsidRPr="00707192">
        <w:t>EnableNSW</w:t>
      </w:r>
      <w:proofErr w:type="spellEnd"/>
      <w:r w:rsidR="00BD75A4" w:rsidRPr="00707192">
        <w:t xml:space="preserve"> may provide </w:t>
      </w:r>
      <w:r w:rsidR="00E863F5" w:rsidRPr="00707192">
        <w:t>further</w:t>
      </w:r>
      <w:r w:rsidR="00BD75A4" w:rsidRPr="00707192">
        <w:t xml:space="preserve"> assistance, such as funding for a spare prosthesis, particularly when the nearest clinic is more than three hours away by car and delays in repairs could significantly affect essential daily activities like hygiene, toileting, dressing, and mobility.</w:t>
      </w:r>
      <w:r w:rsidR="001D5857" w:rsidRPr="00707192">
        <w:br w:type="page"/>
      </w:r>
    </w:p>
    <w:p w14:paraId="687A3C47" w14:textId="405F74DE" w:rsidR="00FA3B8C" w:rsidRPr="00707192" w:rsidRDefault="00BA6B08" w:rsidP="00707192">
      <w:proofErr w:type="spellStart"/>
      <w:r w:rsidRPr="00707192">
        <w:t>EnableNSW</w:t>
      </w:r>
      <w:proofErr w:type="spellEnd"/>
      <w:r w:rsidR="001F796C" w:rsidRPr="00707192">
        <w:t xml:space="preserve"> PLS does not cover</w:t>
      </w:r>
      <w:r w:rsidR="00FA3B8C" w:rsidRPr="00707192">
        <w:t>:</w:t>
      </w:r>
    </w:p>
    <w:p w14:paraId="136B2817" w14:textId="67B0005D" w:rsidR="00FA3B8C" w:rsidRDefault="00FA3B8C" w:rsidP="00216FF4">
      <w:pPr>
        <w:pStyle w:val="Bullet1stlevel"/>
      </w:pPr>
      <w:r>
        <w:t>R</w:t>
      </w:r>
      <w:r w:rsidR="001F796C">
        <w:t xml:space="preserve">ecreational </w:t>
      </w:r>
      <w:r>
        <w:t xml:space="preserve">or waterproof </w:t>
      </w:r>
      <w:r w:rsidR="001F796C">
        <w:t>prostheses for adults</w:t>
      </w:r>
    </w:p>
    <w:p w14:paraId="313129DE" w14:textId="48D30695" w:rsidR="00E245F7" w:rsidRDefault="00E245F7" w:rsidP="00216FF4">
      <w:pPr>
        <w:pStyle w:val="Bullet1stlevel"/>
      </w:pPr>
      <w:r>
        <w:t>Prosthetic devices for digit loss</w:t>
      </w:r>
      <w:r w:rsidR="0090292C">
        <w:t xml:space="preserve"> (distal to trans-metatarsal and trans-metacarpal level)</w:t>
      </w:r>
    </w:p>
    <w:p w14:paraId="4EA286A5" w14:textId="77777777" w:rsidR="00FA3B8C" w:rsidRDefault="00FA3B8C" w:rsidP="00216FF4">
      <w:pPr>
        <w:pStyle w:val="Bullet1stlevel"/>
      </w:pPr>
      <w:r>
        <w:t>C</w:t>
      </w:r>
      <w:r w:rsidR="001F796C">
        <w:t>osmetic covers or enhancements</w:t>
      </w:r>
    </w:p>
    <w:p w14:paraId="1D8219AC" w14:textId="515DC939" w:rsidR="00F134E1" w:rsidRDefault="00FA3B8C" w:rsidP="00216FF4">
      <w:pPr>
        <w:pStyle w:val="Bullet1stlevel"/>
      </w:pPr>
      <w:r>
        <w:t>P</w:t>
      </w:r>
      <w:r w:rsidR="001F796C">
        <w:t>rostheti</w:t>
      </w:r>
      <w:r>
        <w:t>c services for inpatients currently admitted to private hospitals</w:t>
      </w:r>
      <w:r w:rsidR="00557FDD">
        <w:t>.</w:t>
      </w:r>
      <w:r w:rsidR="007B7939">
        <w:rPr>
          <w:rFonts w:ascii="ZWAdobeF" w:hAnsi="ZWAdobeF" w:cs="ZWAdobeF"/>
          <w:color w:val="auto"/>
          <w:sz w:val="2"/>
          <w:szCs w:val="2"/>
        </w:rPr>
        <w:t>60F</w:t>
      </w:r>
      <w:r w:rsidR="00AE3DE1">
        <w:rPr>
          <w:rStyle w:val="FootnoteReference"/>
        </w:rPr>
        <w:footnoteReference w:id="79"/>
      </w:r>
    </w:p>
    <w:p w14:paraId="364B944D" w14:textId="77777777" w:rsidR="00E4031B" w:rsidRDefault="00E4031B" w:rsidP="00FD54A5">
      <w:pPr>
        <w:pStyle w:val="Heading4"/>
      </w:pPr>
      <w:r>
        <w:t>Northern Territory</w:t>
      </w:r>
    </w:p>
    <w:p w14:paraId="6A8071CD" w14:textId="7625F1D6" w:rsidR="00E4031B" w:rsidRPr="00553718" w:rsidRDefault="00E4031B" w:rsidP="00553718">
      <w:r w:rsidRPr="00553718">
        <w:t>In the Northern Territory, there is no dedicated artificial limb program</w:t>
      </w:r>
      <w:r w:rsidR="00E863F5" w:rsidRPr="00553718">
        <w:t>; instead,</w:t>
      </w:r>
      <w:r w:rsidRPr="00553718">
        <w:t xml:space="preserve"> funding is managed by each public hospital facility. Funds are </w:t>
      </w:r>
      <w:r w:rsidR="00E863F5" w:rsidRPr="00553718">
        <w:t>allocated to the business unit of the hospital, and then a portion of the funding is distributed to the Prosthetic and Orthotic Head of Department for management</w:t>
      </w:r>
      <w:r w:rsidRPr="00553718">
        <w:t xml:space="preserve">. See </w:t>
      </w:r>
      <w:r w:rsidR="00670D14" w:rsidRPr="00553718">
        <w:fldChar w:fldCharType="begin"/>
      </w:r>
      <w:r w:rsidR="00670D14" w:rsidRPr="00553718">
        <w:instrText xml:space="preserve"> REF _Ref203126956 \w \h </w:instrText>
      </w:r>
      <w:r w:rsidR="00553718">
        <w:instrText xml:space="preserve"> \* MERGEFORMAT </w:instrText>
      </w:r>
      <w:r w:rsidR="00670D14" w:rsidRPr="00553718">
        <w:fldChar w:fldCharType="separate"/>
      </w:r>
      <w:r w:rsidR="00D955D8" w:rsidRPr="00553718">
        <w:t>Appendix E</w:t>
      </w:r>
      <w:r w:rsidR="00670D14" w:rsidRPr="00553718">
        <w:fldChar w:fldCharType="end"/>
      </w:r>
      <w:r w:rsidR="00670D14" w:rsidRPr="00553718">
        <w:t xml:space="preserve"> for further</w:t>
      </w:r>
      <w:r w:rsidRPr="00553718">
        <w:t xml:space="preserve"> details regarding the prosthetic limb services in the Northern Territory, including eligibility criteria.</w:t>
      </w:r>
      <w:r w:rsidR="00E863F5" w:rsidRPr="00553718">
        <w:t xml:space="preserve"> </w:t>
      </w:r>
      <w:r w:rsidRPr="00553718">
        <w:t>Currently, only two facilities in the NT have access to funding for the provision of artificial limbs to public patients.71F</w:t>
      </w:r>
      <w:r w:rsidRPr="00553718">
        <w:rPr>
          <w:vertAlign w:val="superscript"/>
        </w:rPr>
        <w:footnoteReference w:id="80"/>
      </w:r>
      <w:r w:rsidRPr="00553718">
        <w:t xml:space="preserve"> These include:</w:t>
      </w:r>
    </w:p>
    <w:p w14:paraId="5C9AC347" w14:textId="77777777" w:rsidR="00E4031B" w:rsidRDefault="00E4031B" w:rsidP="00216FF4">
      <w:pPr>
        <w:pStyle w:val="Bullet1stlevel"/>
      </w:pPr>
      <w:r>
        <w:t xml:space="preserve">Royal Darwin and Palmerston Hospital Prosthetics and Orthotics Department </w:t>
      </w:r>
    </w:p>
    <w:p w14:paraId="384253A9" w14:textId="77777777" w:rsidR="00E4031B" w:rsidRDefault="00E4031B" w:rsidP="00216FF4">
      <w:pPr>
        <w:pStyle w:val="Bullet1stlevel"/>
      </w:pPr>
      <w:r>
        <w:t xml:space="preserve">Alice Springs Prosthetics Department </w:t>
      </w:r>
    </w:p>
    <w:p w14:paraId="63903E34" w14:textId="6B356504" w:rsidR="00E4031B" w:rsidRPr="00553718" w:rsidRDefault="00E4031B" w:rsidP="00553718">
      <w:r w:rsidRPr="00553718">
        <w:t>The services provide the supply, manufacturing and fitting of prosthetic devices. Both departments typically offer prosthetic rehabilitation services and amputee clinics. However, publicly available information on the specific types of prosthetic limbs funded is limited</w:t>
      </w:r>
      <w:r w:rsidR="00D44307" w:rsidRPr="00553718">
        <w:t>,</w:t>
      </w:r>
      <w:r w:rsidR="0090292C" w:rsidRPr="00553718">
        <w:t xml:space="preserve"> including whether it </w:t>
      </w:r>
      <w:r w:rsidR="0024256F" w:rsidRPr="00553718">
        <w:t>funds</w:t>
      </w:r>
      <w:r w:rsidR="0090292C" w:rsidRPr="00553718">
        <w:t xml:space="preserve"> prostheses for digit loss</w:t>
      </w:r>
      <w:r w:rsidRPr="00553718">
        <w:t xml:space="preserve">. Consultations have indicated that high-end componentry, such as microprocessor knees, </w:t>
      </w:r>
      <w:r w:rsidR="00D44307" w:rsidRPr="00553718">
        <w:t>is</w:t>
      </w:r>
      <w:r w:rsidRPr="00553718">
        <w:t xml:space="preserve"> not available to individuals requiring a </w:t>
      </w:r>
      <w:proofErr w:type="gramStart"/>
      <w:r w:rsidRPr="00553718">
        <w:t>limb prostheses</w:t>
      </w:r>
      <w:proofErr w:type="gramEnd"/>
      <w:r w:rsidRPr="00553718">
        <w:t xml:space="preserve"> due to cancer or cancer treatment under current funding arrangements. </w:t>
      </w:r>
    </w:p>
    <w:p w14:paraId="1A6AADB2" w14:textId="153E18EA" w:rsidR="001409B7" w:rsidRDefault="00ED62EB" w:rsidP="00FD54A5">
      <w:pPr>
        <w:pStyle w:val="Heading4"/>
      </w:pPr>
      <w:r>
        <w:t>Queensland</w:t>
      </w:r>
    </w:p>
    <w:p w14:paraId="7EAFAAD8" w14:textId="321DB5B4" w:rsidR="00066761" w:rsidRPr="000543B6" w:rsidRDefault="009772C2" w:rsidP="000543B6">
      <w:r>
        <w:t>Queensland has two separate</w:t>
      </w:r>
      <w:r w:rsidR="00C159CB">
        <w:t xml:space="preserve"> state-based</w:t>
      </w:r>
      <w:r>
        <w:t xml:space="preserve"> </w:t>
      </w:r>
      <w:r w:rsidR="006D4E7D">
        <w:t>schemes</w:t>
      </w:r>
      <w:r>
        <w:t xml:space="preserve"> that fund limb </w:t>
      </w:r>
      <w:r w:rsidR="00D44307">
        <w:t>prostheses</w:t>
      </w:r>
      <w:r w:rsidR="001E0443">
        <w:t>: one for interim prostheses and another for definitive prostheses.</w:t>
      </w:r>
      <w:r w:rsidR="00066761" w:rsidRPr="00066761">
        <w:t xml:space="preserve"> </w:t>
      </w:r>
      <w:r w:rsidR="00670D14">
        <w:fldChar w:fldCharType="begin"/>
      </w:r>
      <w:r w:rsidR="00670D14">
        <w:instrText xml:space="preserve"> REF _Ref203126956 \w \h </w:instrText>
      </w:r>
      <w:r w:rsidR="00670D14">
        <w:fldChar w:fldCharType="separate"/>
      </w:r>
      <w:r w:rsidR="00D955D8">
        <w:t>Appendix E</w:t>
      </w:r>
      <w:r w:rsidR="00670D14">
        <w:fldChar w:fldCharType="end"/>
      </w:r>
      <w:r w:rsidR="00670D14">
        <w:t xml:space="preserve"> </w:t>
      </w:r>
      <w:r w:rsidR="00066761">
        <w:t xml:space="preserve">provides further details regarding the </w:t>
      </w:r>
      <w:r w:rsidR="00C072BD">
        <w:t>Queensland Artificial Limb Service (QALS)</w:t>
      </w:r>
      <w:r w:rsidR="00066761">
        <w:t xml:space="preserve">, including eligibility criteria. </w:t>
      </w:r>
    </w:p>
    <w:p w14:paraId="3AB55764" w14:textId="207503AA" w:rsidR="009772C2" w:rsidRPr="000543B6" w:rsidRDefault="001E0443" w:rsidP="000543B6">
      <w:r w:rsidRPr="000543B6">
        <w:t>I</w:t>
      </w:r>
      <w:r w:rsidR="009772C2" w:rsidRPr="000543B6">
        <w:t>nterim prosthes</w:t>
      </w:r>
      <w:r w:rsidRPr="000543B6">
        <w:t>e</w:t>
      </w:r>
      <w:r w:rsidR="009772C2" w:rsidRPr="000543B6">
        <w:t xml:space="preserve">s </w:t>
      </w:r>
      <w:r w:rsidRPr="000543B6">
        <w:t>are</w:t>
      </w:r>
      <w:r w:rsidR="009772C2" w:rsidRPr="000543B6">
        <w:t xml:space="preserve"> prescribed through</w:t>
      </w:r>
      <w:r w:rsidR="008D463F" w:rsidRPr="000543B6">
        <w:t xml:space="preserve"> rehabilitation program</w:t>
      </w:r>
      <w:r w:rsidRPr="000543B6">
        <w:t>s</w:t>
      </w:r>
      <w:r w:rsidR="008D463F" w:rsidRPr="000543B6">
        <w:t xml:space="preserve"> in public hospital</w:t>
      </w:r>
      <w:r w:rsidR="00DD42C2" w:rsidRPr="000543B6">
        <w:t xml:space="preserve"> interim </w:t>
      </w:r>
      <w:r w:rsidR="008D463F" w:rsidRPr="000543B6">
        <w:t>clinics</w:t>
      </w:r>
      <w:r w:rsidR="00FE7DA7" w:rsidRPr="000543B6">
        <w:t xml:space="preserve">, where </w:t>
      </w:r>
      <w:r w:rsidR="009E1F30" w:rsidRPr="000543B6">
        <w:t>individuals</w:t>
      </w:r>
      <w:r w:rsidR="00FE7DA7" w:rsidRPr="000543B6">
        <w:t xml:space="preserve"> are assessed for their suitability. After completing the interim program, </w:t>
      </w:r>
      <w:r w:rsidR="009E1F30" w:rsidRPr="000543B6">
        <w:t>individuals</w:t>
      </w:r>
      <w:r w:rsidR="00FE7DA7" w:rsidRPr="000543B6">
        <w:t xml:space="preserve"> can select a PSP for their ongoing prosthetic care. </w:t>
      </w:r>
    </w:p>
    <w:p w14:paraId="6A47708E" w14:textId="4B6603EA" w:rsidR="004666DB" w:rsidRDefault="00D84FF6" w:rsidP="000543B6">
      <w:r w:rsidRPr="000543B6">
        <w:t xml:space="preserve">QALS </w:t>
      </w:r>
      <w:r w:rsidR="005B13F6" w:rsidRPr="000543B6">
        <w:t>manages and distributes funding fo</w:t>
      </w:r>
      <w:r w:rsidR="005B13F6">
        <w:t>r</w:t>
      </w:r>
      <w:r w:rsidR="00013A26">
        <w:t xml:space="preserve"> basic</w:t>
      </w:r>
      <w:r w:rsidR="00441703">
        <w:t xml:space="preserve"> definitive prosthetic </w:t>
      </w:r>
      <w:r w:rsidR="00432CB9">
        <w:t>limb services to eligible people</w:t>
      </w:r>
      <w:r w:rsidR="001E0D09">
        <w:t xml:space="preserve"> through a network of contracted</w:t>
      </w:r>
      <w:r w:rsidR="001A0FB3" w:rsidRPr="00124193">
        <w:t xml:space="preserve"> PSPs</w:t>
      </w:r>
      <w:r w:rsidR="001E0D09">
        <w:t>. PSPs</w:t>
      </w:r>
      <w:r w:rsidR="001A0FB3" w:rsidRPr="00124193">
        <w:t xml:space="preserve"> </w:t>
      </w:r>
      <w:r w:rsidR="001A0FB3">
        <w:t xml:space="preserve">must be registered with QALS and approved to </w:t>
      </w:r>
      <w:r w:rsidR="00B21A39">
        <w:t>provide services on behalf of QALS</w:t>
      </w:r>
      <w:r w:rsidR="001A0FB3">
        <w:t xml:space="preserve">. </w:t>
      </w:r>
      <w:r w:rsidR="001A0FB3" w:rsidRPr="009F7B71">
        <w:t xml:space="preserve">See </w:t>
      </w:r>
      <w:r w:rsidR="00D51A5F">
        <w:fldChar w:fldCharType="begin"/>
      </w:r>
      <w:r w:rsidR="00D51A5F">
        <w:instrText xml:space="preserve"> REF _Ref199165979 \h </w:instrText>
      </w:r>
      <w:r w:rsidR="00D51A5F">
        <w:fldChar w:fldCharType="separate"/>
      </w:r>
      <w:r w:rsidR="00D51A5F">
        <w:t xml:space="preserve">Table </w:t>
      </w:r>
      <w:r w:rsidR="00D51A5F">
        <w:rPr>
          <w:noProof/>
        </w:rPr>
        <w:t>134</w:t>
      </w:r>
      <w:r w:rsidR="00D51A5F">
        <w:fldChar w:fldCharType="end"/>
      </w:r>
      <w:r w:rsidR="0040226E">
        <w:t xml:space="preserve"> in Appendix </w:t>
      </w:r>
      <w:r w:rsidR="00B32B19">
        <w:rPr>
          <w:b/>
          <w:bCs/>
        </w:rPr>
        <w:fldChar w:fldCharType="begin"/>
      </w:r>
      <w:r w:rsidR="00B32B19">
        <w:instrText xml:space="preserve"> REF _Ref200968516 \r \h </w:instrText>
      </w:r>
      <w:r w:rsidR="00B32B19">
        <w:rPr>
          <w:b/>
          <w:bCs/>
        </w:rPr>
      </w:r>
      <w:r w:rsidR="00B32B19">
        <w:rPr>
          <w:b/>
          <w:bCs/>
        </w:rPr>
        <w:fldChar w:fldCharType="separate"/>
      </w:r>
      <w:r w:rsidR="00B32B19">
        <w:t>F.2</w:t>
      </w:r>
      <w:r w:rsidR="00B32B19">
        <w:rPr>
          <w:b/>
          <w:bCs/>
        </w:rPr>
        <w:fldChar w:fldCharType="end"/>
      </w:r>
      <w:r w:rsidR="00B32B19">
        <w:rPr>
          <w:b/>
          <w:bCs/>
        </w:rPr>
        <w:t xml:space="preserve"> </w:t>
      </w:r>
      <w:r w:rsidR="001A0FB3" w:rsidRPr="009F7B71">
        <w:t xml:space="preserve">for a list of accredited amputee clinics </w:t>
      </w:r>
      <w:r w:rsidR="009F7B71" w:rsidRPr="009F7B71">
        <w:t xml:space="preserve">and PSPs </w:t>
      </w:r>
      <w:r w:rsidR="001A0FB3" w:rsidRPr="009F7B71">
        <w:t xml:space="preserve">in </w:t>
      </w:r>
      <w:r w:rsidR="00F72393" w:rsidRPr="009F7B71">
        <w:t>QLD</w:t>
      </w:r>
      <w:r w:rsidR="001A0FB3" w:rsidRPr="009F7B71">
        <w:t>.</w:t>
      </w:r>
      <w:r w:rsidR="00903FB5">
        <w:t xml:space="preserve"> </w:t>
      </w:r>
      <w:r w:rsidR="004666DB">
        <w:t xml:space="preserve">Funding </w:t>
      </w:r>
      <w:r w:rsidR="003B5285">
        <w:t xml:space="preserve">for definitive limb prostheses is determined by a matrix </w:t>
      </w:r>
      <w:r w:rsidR="00822D4E">
        <w:t>that</w:t>
      </w:r>
      <w:r w:rsidR="003B5285">
        <w:t xml:space="preserve"> depends on the limb type, </w:t>
      </w:r>
      <w:r w:rsidR="001B64E3">
        <w:t>the individual’s</w:t>
      </w:r>
      <w:r w:rsidR="003B5285">
        <w:t xml:space="preserve"> weight and mobility level. </w:t>
      </w:r>
    </w:p>
    <w:p w14:paraId="49F42BA9" w14:textId="46ED0A1B" w:rsidR="00FC7D40" w:rsidRPr="000543B6" w:rsidRDefault="00FC7D40" w:rsidP="000543B6">
      <w:r w:rsidRPr="000543B6">
        <w:t>The QALS does not cover:</w:t>
      </w:r>
    </w:p>
    <w:p w14:paraId="007360D1" w14:textId="2EF736D1" w:rsidR="00916629" w:rsidRDefault="00916629" w:rsidP="00216FF4">
      <w:pPr>
        <w:pStyle w:val="Bullet1stlevel"/>
      </w:pPr>
      <w:r>
        <w:t>Interim, secondary, spare/emergency, occupational, recreational, cosmetic/nonfunctioning limbs</w:t>
      </w:r>
      <w:r w:rsidR="00822D4E">
        <w:t>,</w:t>
      </w:r>
      <w:r>
        <w:t xml:space="preserve"> including all associated supplies and services.  </w:t>
      </w:r>
    </w:p>
    <w:p w14:paraId="6555F1B0" w14:textId="7D55E6FA" w:rsidR="00916629" w:rsidRDefault="00916629" w:rsidP="00216FF4">
      <w:pPr>
        <w:pStyle w:val="Bullet1stlevel"/>
      </w:pPr>
      <w:r>
        <w:t>Prosthetic devices for part of the body other than limbs (</w:t>
      </w:r>
      <w:r w:rsidR="00FC7D40">
        <w:t xml:space="preserve">e.g. </w:t>
      </w:r>
      <w:r>
        <w:t xml:space="preserve">digits). </w:t>
      </w:r>
    </w:p>
    <w:p w14:paraId="322452A2" w14:textId="01BE3AA1" w:rsidR="00FF3693" w:rsidRDefault="001E3904" w:rsidP="00216FF4">
      <w:pPr>
        <w:pStyle w:val="Bullet1stlevel"/>
      </w:pPr>
      <w:r>
        <w:t>Mic</w:t>
      </w:r>
      <w:r w:rsidR="00FF3693">
        <w:t>roprocessor or myoelectric limbs or components</w:t>
      </w:r>
    </w:p>
    <w:p w14:paraId="20979748" w14:textId="3625CD44" w:rsidR="00916629" w:rsidRDefault="00916629" w:rsidP="00216FF4">
      <w:pPr>
        <w:pStyle w:val="Bullet1stlevel"/>
      </w:pPr>
      <w:r>
        <w:t>Financial assistance for travel, transport or parking to attend a PSP or Amputee Clinic, or for PSPs to visit an applicant’s residence, nursing home or corrective service.</w:t>
      </w:r>
      <w:r w:rsidR="007B7939">
        <w:rPr>
          <w:rFonts w:ascii="ZWAdobeF" w:hAnsi="ZWAdobeF" w:cs="ZWAdobeF"/>
          <w:color w:val="auto"/>
          <w:sz w:val="2"/>
          <w:szCs w:val="2"/>
        </w:rPr>
        <w:t>62F</w:t>
      </w:r>
      <w:r w:rsidR="00AB49A2">
        <w:rPr>
          <w:rStyle w:val="FootnoteReference"/>
        </w:rPr>
        <w:footnoteReference w:id="81"/>
      </w:r>
      <w:r>
        <w:t xml:space="preserve">  </w:t>
      </w:r>
    </w:p>
    <w:p w14:paraId="4BBF831F" w14:textId="77777777" w:rsidR="00E4031B" w:rsidRDefault="00E4031B" w:rsidP="00FD54A5">
      <w:pPr>
        <w:pStyle w:val="Heading4"/>
      </w:pPr>
      <w:r>
        <w:t>South Australia</w:t>
      </w:r>
    </w:p>
    <w:p w14:paraId="0D162264" w14:textId="701F10D6" w:rsidR="00E4031B" w:rsidRPr="00553718" w:rsidRDefault="00E4031B" w:rsidP="00553718">
      <w:r w:rsidRPr="00553718">
        <w:t xml:space="preserve">In South Australia, prosthetic limb funding and service delivery are managed by the South Australian Amputee Limb Service (SAALS). SAALS oversees the provision of both interim and definitive prostheses for eligible individuals, ensuring access through public hospitals and outreach services across the state. </w:t>
      </w:r>
      <w:r w:rsidR="00670D14" w:rsidRPr="00553718">
        <w:fldChar w:fldCharType="begin"/>
      </w:r>
      <w:r w:rsidR="00670D14" w:rsidRPr="00553718">
        <w:instrText xml:space="preserve"> REF _Ref203126956 \w \h </w:instrText>
      </w:r>
      <w:r w:rsidR="00670D14" w:rsidRPr="00553718">
        <w:fldChar w:fldCharType="separate"/>
      </w:r>
      <w:r w:rsidR="00D955D8" w:rsidRPr="00553718">
        <w:t>Appendix E</w:t>
      </w:r>
      <w:r w:rsidR="00670D14" w:rsidRPr="00553718">
        <w:fldChar w:fldCharType="end"/>
      </w:r>
      <w:r w:rsidRPr="00553718">
        <w:t xml:space="preserve"> provides details regarding the SAALS, including eligibility criteria.</w:t>
      </w:r>
    </w:p>
    <w:p w14:paraId="25321FE9" w14:textId="33A0EB00" w:rsidR="00E4031B" w:rsidRPr="000543B6" w:rsidRDefault="00E4031B" w:rsidP="000543B6">
      <w:r>
        <w:t xml:space="preserve">Individuals are typically assessed at a prescribing amputee clinic, which </w:t>
      </w:r>
      <w:r w:rsidR="00822D4E">
        <w:t>are</w:t>
      </w:r>
      <w:r>
        <w:t xml:space="preserve"> located within five public hospitals across SA. Following assessment, they will receive a prescription for a definitive prosthesis and may choose their preferred PSP.</w:t>
      </w:r>
      <w:r>
        <w:rPr>
          <w:rFonts w:ascii="ZWAdobeF" w:hAnsi="ZWAdobeF" w:cs="ZWAdobeF"/>
          <w:color w:val="auto"/>
          <w:sz w:val="2"/>
          <w:szCs w:val="2"/>
        </w:rPr>
        <w:t>66F</w:t>
      </w:r>
      <w:r>
        <w:rPr>
          <w:rStyle w:val="FootnoteReference"/>
        </w:rPr>
        <w:footnoteReference w:id="82"/>
      </w:r>
      <w:r>
        <w:t xml:space="preserve"> </w:t>
      </w:r>
      <w:r w:rsidRPr="009F7B71">
        <w:t xml:space="preserve">See </w:t>
      </w:r>
      <w:r w:rsidRPr="002E6A6D">
        <w:rPr>
          <w:b/>
        </w:rPr>
        <w:fldChar w:fldCharType="begin"/>
      </w:r>
      <w:r w:rsidRPr="002E6A6D">
        <w:instrText xml:space="preserve"> REF _Ref200968699 \h </w:instrText>
      </w:r>
      <w:r w:rsidRPr="002E6A6D">
        <w:rPr>
          <w:b/>
        </w:rPr>
        <w:instrText xml:space="preserve"> \* MERGEFORMAT </w:instrText>
      </w:r>
      <w:r w:rsidRPr="002E6A6D">
        <w:rPr>
          <w:b/>
        </w:rPr>
      </w:r>
      <w:r w:rsidRPr="002E6A6D">
        <w:rPr>
          <w:b/>
        </w:rPr>
        <w:fldChar w:fldCharType="separate"/>
      </w:r>
      <w:r w:rsidR="000D7D05">
        <w:fldChar w:fldCharType="begin"/>
      </w:r>
      <w:r w:rsidR="000D7D05">
        <w:rPr>
          <w:b/>
        </w:rPr>
        <w:instrText xml:space="preserve"> REF _Ref199237748 \h </w:instrText>
      </w:r>
      <w:r w:rsidR="000D7D05">
        <w:fldChar w:fldCharType="separate"/>
      </w:r>
      <w:r w:rsidR="000D7D05">
        <w:t xml:space="preserve">Table </w:t>
      </w:r>
      <w:r w:rsidR="000D7D05">
        <w:rPr>
          <w:noProof/>
        </w:rPr>
        <w:t>135</w:t>
      </w:r>
      <w:r w:rsidR="000D7D05">
        <w:fldChar w:fldCharType="end"/>
      </w:r>
      <w:r w:rsidRPr="002E6A6D">
        <w:rPr>
          <w:b/>
        </w:rPr>
        <w:fldChar w:fldCharType="end"/>
      </w:r>
      <w:r>
        <w:rPr>
          <w:b/>
          <w:bCs/>
        </w:rPr>
        <w:t xml:space="preserve"> </w:t>
      </w:r>
      <w:r w:rsidRPr="00E44ED8">
        <w:t xml:space="preserve">in Appendix </w:t>
      </w:r>
      <w:r w:rsidRPr="00E44ED8">
        <w:fldChar w:fldCharType="begin"/>
      </w:r>
      <w:r w:rsidRPr="00E44ED8">
        <w:instrText xml:space="preserve"> REF _Ref200968705 \n \h </w:instrText>
      </w:r>
      <w:r>
        <w:instrText xml:space="preserve"> \* MERGEFORMAT </w:instrText>
      </w:r>
      <w:r w:rsidRPr="00E44ED8">
        <w:fldChar w:fldCharType="separate"/>
      </w:r>
      <w:r w:rsidR="00D955D8">
        <w:t>F.3</w:t>
      </w:r>
      <w:r w:rsidRPr="00E44ED8">
        <w:fldChar w:fldCharType="end"/>
      </w:r>
      <w:r w:rsidRPr="009F7B71">
        <w:t xml:space="preserve"> for a list of amp</w:t>
      </w:r>
      <w:r w:rsidRPr="000543B6">
        <w:t>utee clinics in SA.</w:t>
      </w:r>
    </w:p>
    <w:p w14:paraId="0EFEEF5C" w14:textId="7D914CC2" w:rsidR="00E4031B" w:rsidRPr="000543B6" w:rsidRDefault="00E4031B" w:rsidP="000543B6">
      <w:r w:rsidRPr="000543B6">
        <w:t xml:space="preserve">SAALS supports the provision of one prosthesis that meets all or most of the </w:t>
      </w:r>
      <w:r w:rsidR="00822D4E" w:rsidRPr="000543B6">
        <w:t>person's</w:t>
      </w:r>
      <w:r w:rsidRPr="000543B6">
        <w:t xml:space="preserve"> daily needs. However, the </w:t>
      </w:r>
      <w:r w:rsidR="0053252B" w:rsidRPr="000543B6">
        <w:t>SAALs does not cover prostheses for digit loss. The</w:t>
      </w:r>
      <w:r w:rsidRPr="000543B6">
        <w:t xml:space="preserve"> service may provide additional support or exceptions in cases</w:t>
      </w:r>
      <w:r w:rsidR="00A846F2" w:rsidRPr="000543B6">
        <w:t> </w:t>
      </w:r>
      <w:r w:rsidRPr="000543B6">
        <w:t>involving:</w:t>
      </w:r>
    </w:p>
    <w:p w14:paraId="65315B5C" w14:textId="77777777" w:rsidR="00E4031B" w:rsidRDefault="00E4031B" w:rsidP="00216FF4">
      <w:pPr>
        <w:pStyle w:val="Bullet1stlevel"/>
      </w:pPr>
      <w:r>
        <w:t>Geographic isolation</w:t>
      </w:r>
    </w:p>
    <w:p w14:paraId="318AC871" w14:textId="77777777" w:rsidR="00E4031B" w:rsidRDefault="00E4031B" w:rsidP="00216FF4">
      <w:pPr>
        <w:pStyle w:val="Bullet1stlevel"/>
      </w:pPr>
      <w:r>
        <w:t>Special occupational requirements</w:t>
      </w:r>
    </w:p>
    <w:p w14:paraId="34385FBB" w14:textId="65A9883F" w:rsidR="00F458B8" w:rsidRDefault="00E4031B" w:rsidP="00216FF4">
      <w:pPr>
        <w:pStyle w:val="Bullet1stlevel"/>
      </w:pPr>
      <w:r>
        <w:t xml:space="preserve">Specific individual needs. </w:t>
      </w:r>
    </w:p>
    <w:p w14:paraId="3B0B93C4" w14:textId="77777777" w:rsidR="00E4031B" w:rsidRPr="001409B7" w:rsidRDefault="00E4031B" w:rsidP="00FD54A5">
      <w:pPr>
        <w:pStyle w:val="Heading4"/>
      </w:pPr>
      <w:r>
        <w:t>Tasmania</w:t>
      </w:r>
    </w:p>
    <w:p w14:paraId="463089A3" w14:textId="38BACC96" w:rsidR="00E4031B" w:rsidRPr="000543B6" w:rsidRDefault="00E4031B" w:rsidP="000543B6">
      <w:r>
        <w:t xml:space="preserve">In Tasmania, </w:t>
      </w:r>
      <w:r w:rsidR="003C7D6C">
        <w:t xml:space="preserve">the </w:t>
      </w:r>
      <w:r>
        <w:t>Tasmanian Artificial Limb Scheme funds and governs public prosthetic services. The scheme is administered by the</w:t>
      </w:r>
      <w:r w:rsidRPr="00B77110">
        <w:t xml:space="preserve"> Orthotic Prosthetic Services Tasmania (OPST</w:t>
      </w:r>
      <w:r>
        <w:t xml:space="preserve">), which provides inpatient and outpatient orthotic and prosthetic </w:t>
      </w:r>
      <w:r w:rsidR="003C7D6C">
        <w:t>services</w:t>
      </w:r>
      <w:r>
        <w:t xml:space="preserve">, including the design, manufacture, and fitting of both interim and definitive prosthetic limbs. See </w:t>
      </w:r>
      <w:r w:rsidR="00670D14">
        <w:fldChar w:fldCharType="begin"/>
      </w:r>
      <w:r w:rsidR="00670D14">
        <w:instrText xml:space="preserve"> REF _Ref203126956 \w \h </w:instrText>
      </w:r>
      <w:r w:rsidR="00670D14">
        <w:fldChar w:fldCharType="separate"/>
      </w:r>
      <w:r w:rsidR="00D955D8">
        <w:t>Appendix E</w:t>
      </w:r>
      <w:r w:rsidR="00670D14">
        <w:fldChar w:fldCharType="end"/>
      </w:r>
      <w:r w:rsidR="00670D14">
        <w:t xml:space="preserve"> for further </w:t>
      </w:r>
      <w:r>
        <w:t>details regarding the OP</w:t>
      </w:r>
      <w:r w:rsidRPr="000543B6">
        <w:t>ST, including eligibility criteria.</w:t>
      </w:r>
    </w:p>
    <w:p w14:paraId="4F1D1E56" w14:textId="77777777" w:rsidR="00E4031B" w:rsidRPr="000543B6" w:rsidRDefault="00E4031B" w:rsidP="000543B6">
      <w:r w:rsidRPr="000543B6">
        <w:t>OPST operates out of three public hospital facilities across the state:</w:t>
      </w:r>
    </w:p>
    <w:p w14:paraId="2B21A734" w14:textId="77777777" w:rsidR="00E4031B" w:rsidRDefault="00E4031B" w:rsidP="00216FF4">
      <w:pPr>
        <w:pStyle w:val="Bullet1stlevel"/>
      </w:pPr>
      <w:r>
        <w:t>The Royal Hobart Hospital</w:t>
      </w:r>
    </w:p>
    <w:p w14:paraId="45184730" w14:textId="77777777" w:rsidR="00E4031B" w:rsidRDefault="00E4031B" w:rsidP="00216FF4">
      <w:pPr>
        <w:pStyle w:val="Bullet1stlevel"/>
      </w:pPr>
      <w:r>
        <w:t>Launceston General Hospital</w:t>
      </w:r>
    </w:p>
    <w:p w14:paraId="4F6FD959" w14:textId="77777777" w:rsidR="00E4031B" w:rsidRDefault="00E4031B" w:rsidP="00216FF4">
      <w:pPr>
        <w:pStyle w:val="Bullet1stlevel"/>
      </w:pPr>
      <w:proofErr w:type="gramStart"/>
      <w:r>
        <w:t>North West</w:t>
      </w:r>
      <w:proofErr w:type="gramEnd"/>
      <w:r>
        <w:t xml:space="preserve"> Regional Hospital (Burnie)</w:t>
      </w:r>
      <w:r w:rsidRPr="00B77110">
        <w:t>.</w:t>
      </w:r>
      <w:r>
        <w:rPr>
          <w:rFonts w:ascii="ZWAdobeF" w:hAnsi="ZWAdobeF" w:cs="ZWAdobeF"/>
          <w:color w:val="auto"/>
          <w:sz w:val="2"/>
          <w:szCs w:val="2"/>
        </w:rPr>
        <w:t>73F</w:t>
      </w:r>
      <w:r>
        <w:rPr>
          <w:rStyle w:val="FootnoteReference"/>
        </w:rPr>
        <w:footnoteReference w:id="83"/>
      </w:r>
    </w:p>
    <w:p w14:paraId="10F20E2A" w14:textId="0984972E" w:rsidR="00E4031B" w:rsidRPr="00553718" w:rsidRDefault="00E4031B" w:rsidP="00553718">
      <w:r w:rsidRPr="00553718">
        <w:t>Most Prosthetic and Orthotic departments offer both prosthetic rehabilitation services and amputee clinics. However, there is limited publicly available information regarding the specific types of prosthetic limbs funded</w:t>
      </w:r>
      <w:r w:rsidR="0053252B" w:rsidRPr="00553718">
        <w:t xml:space="preserve">, including whether </w:t>
      </w:r>
      <w:r w:rsidR="0024256F" w:rsidRPr="00553718">
        <w:t>the program</w:t>
      </w:r>
      <w:r w:rsidR="0053252B" w:rsidRPr="00553718">
        <w:t xml:space="preserve"> </w:t>
      </w:r>
      <w:r w:rsidR="0024256F" w:rsidRPr="00553718">
        <w:t>funds</w:t>
      </w:r>
      <w:r w:rsidR="0053252B" w:rsidRPr="00553718">
        <w:t xml:space="preserve"> prostheses for digit loss</w:t>
      </w:r>
      <w:r w:rsidRPr="00553718">
        <w:t xml:space="preserve">. </w:t>
      </w:r>
    </w:p>
    <w:p w14:paraId="74628EA9" w14:textId="79857B2A" w:rsidR="001409B7" w:rsidRDefault="00230BC1" w:rsidP="00FD54A5">
      <w:pPr>
        <w:pStyle w:val="Heading4"/>
      </w:pPr>
      <w:r>
        <w:t>V</w:t>
      </w:r>
      <w:r w:rsidR="00ED62EB">
        <w:t>ictoria</w:t>
      </w:r>
    </w:p>
    <w:p w14:paraId="241B6B90" w14:textId="5A433A5B" w:rsidR="000566DA" w:rsidRPr="00553718" w:rsidRDefault="00007766" w:rsidP="00553718">
      <w:r w:rsidRPr="00553718">
        <w:t xml:space="preserve">In Victoria, </w:t>
      </w:r>
      <w:r w:rsidR="00F77F41" w:rsidRPr="00553718">
        <w:t>funding</w:t>
      </w:r>
      <w:r w:rsidR="00F17026" w:rsidRPr="00553718">
        <w:t xml:space="preserve"> </w:t>
      </w:r>
      <w:r w:rsidR="00F17398" w:rsidRPr="00553718">
        <w:t xml:space="preserve">for limb prostheses </w:t>
      </w:r>
      <w:r w:rsidR="00F17026" w:rsidRPr="00553718">
        <w:t>is managed by each hospital facility</w:t>
      </w:r>
      <w:r w:rsidR="00F17398" w:rsidRPr="00553718">
        <w:t>, rather than a dedicated artificial limb program</w:t>
      </w:r>
      <w:r w:rsidR="00F17026" w:rsidRPr="00553718">
        <w:t xml:space="preserve">. Funds are </w:t>
      </w:r>
      <w:r w:rsidR="00EC41DB" w:rsidRPr="00553718">
        <w:t xml:space="preserve">allocated to the </w:t>
      </w:r>
      <w:r w:rsidR="003C7D6C" w:rsidRPr="00553718">
        <w:t>hospital's business unit, and then a portion of the funding is distributed to the Prosthetic and Orthotic Head of Department for management purposes</w:t>
      </w:r>
      <w:r w:rsidR="00F17026" w:rsidRPr="00553718">
        <w:t xml:space="preserve">. </w:t>
      </w:r>
      <w:r w:rsidR="00C93B3D" w:rsidRPr="00553718">
        <w:t xml:space="preserve">There are currently </w:t>
      </w:r>
      <w:r w:rsidR="00565431" w:rsidRPr="00553718">
        <w:t>eleven</w:t>
      </w:r>
      <w:r w:rsidR="00C93B3D" w:rsidRPr="00553718">
        <w:t xml:space="preserve"> </w:t>
      </w:r>
      <w:r w:rsidR="00AB2E0C" w:rsidRPr="00553718">
        <w:t>hospitals</w:t>
      </w:r>
      <w:r w:rsidR="00C93B3D" w:rsidRPr="00553718">
        <w:t xml:space="preserve"> in Victoria </w:t>
      </w:r>
      <w:r w:rsidR="00EC41DB" w:rsidRPr="00553718">
        <w:t>that</w:t>
      </w:r>
      <w:r w:rsidR="00C93B3D" w:rsidRPr="00553718">
        <w:t xml:space="preserve"> have access to funding for </w:t>
      </w:r>
      <w:r w:rsidR="005A151E" w:rsidRPr="00553718">
        <w:t>providing</w:t>
      </w:r>
      <w:r w:rsidR="00C93B3D" w:rsidRPr="00553718">
        <w:t xml:space="preserve"> artificial limbs to public patients.</w:t>
      </w:r>
      <w:r w:rsidR="007764AF" w:rsidRPr="00553718">
        <w:t xml:space="preserve"> </w:t>
      </w:r>
      <w:r w:rsidR="00670D14" w:rsidRPr="00553718">
        <w:fldChar w:fldCharType="begin"/>
      </w:r>
      <w:r w:rsidR="00670D14" w:rsidRPr="00553718">
        <w:instrText xml:space="preserve"> REF _Ref203126956 \w \h </w:instrText>
      </w:r>
      <w:r w:rsidR="00670D14" w:rsidRPr="00553718">
        <w:fldChar w:fldCharType="separate"/>
      </w:r>
      <w:r w:rsidR="00D955D8" w:rsidRPr="00553718">
        <w:t>Appendix E</w:t>
      </w:r>
      <w:r w:rsidR="00670D14" w:rsidRPr="00553718">
        <w:fldChar w:fldCharType="end"/>
      </w:r>
      <w:r w:rsidR="00670D14" w:rsidRPr="00553718">
        <w:t xml:space="preserve"> </w:t>
      </w:r>
      <w:r w:rsidR="007764AF" w:rsidRPr="00553718">
        <w:t>provides details regarding the prosthetic limb services in Victoria, including eligibility criteria.</w:t>
      </w:r>
      <w:r w:rsidR="007B7939" w:rsidRPr="00553718">
        <w:t>64F</w:t>
      </w:r>
      <w:r w:rsidR="00E60EEC" w:rsidRPr="00553718">
        <w:rPr>
          <w:vertAlign w:val="superscript"/>
        </w:rPr>
        <w:footnoteReference w:id="84"/>
      </w:r>
      <w:r w:rsidR="00C93B3D" w:rsidRPr="00553718">
        <w:t xml:space="preserve"> </w:t>
      </w:r>
    </w:p>
    <w:p w14:paraId="0006D565" w14:textId="0B36800D" w:rsidR="003F1A27" w:rsidRPr="00553718" w:rsidRDefault="00656210" w:rsidP="00553718">
      <w:r w:rsidRPr="00553718">
        <w:t>Most Prosthetic and Orthotic departments offer both prosthetic rehabilitation services and amputee clinics. However, there is limited publicly available information regarding the specific types of prosthetic limbs funded</w:t>
      </w:r>
      <w:r w:rsidR="0024256F" w:rsidRPr="00553718">
        <w:t>, including whether the program funds prostheses for digit loss</w:t>
      </w:r>
      <w:r w:rsidRPr="00553718">
        <w:t>.</w:t>
      </w:r>
      <w:r w:rsidR="00300AE7" w:rsidRPr="00553718">
        <w:t xml:space="preserve"> </w:t>
      </w:r>
      <w:bookmarkStart w:id="81" w:name="_Ref199322332"/>
    </w:p>
    <w:bookmarkEnd w:id="81"/>
    <w:p w14:paraId="000346B1" w14:textId="57038380" w:rsidR="001409B7" w:rsidRDefault="001409B7" w:rsidP="00FD54A5">
      <w:pPr>
        <w:pStyle w:val="Heading4"/>
      </w:pPr>
      <w:r>
        <w:t>W</w:t>
      </w:r>
      <w:r w:rsidR="00ED62EB">
        <w:t>estern Australia</w:t>
      </w:r>
    </w:p>
    <w:p w14:paraId="32B68664" w14:textId="52EE2953" w:rsidR="00AC668A" w:rsidRPr="000543B6" w:rsidRDefault="00F35A06" w:rsidP="000543B6">
      <w:r>
        <w:t xml:space="preserve">In </w:t>
      </w:r>
      <w:r w:rsidR="00A139CB" w:rsidRPr="00A139CB">
        <w:t xml:space="preserve">Western Australia, </w:t>
      </w:r>
      <w:r w:rsidR="00910962">
        <w:t xml:space="preserve">the Western Australia Limb Service for Amputees </w:t>
      </w:r>
      <w:r w:rsidR="00C21B60">
        <w:t>(WALSA)</w:t>
      </w:r>
      <w:r>
        <w:t>, man</w:t>
      </w:r>
      <w:r w:rsidR="003902CB">
        <w:t>a</w:t>
      </w:r>
      <w:r>
        <w:t xml:space="preserve">ged by </w:t>
      </w:r>
      <w:r w:rsidR="003902CB">
        <w:t>the South Metropolitan Health Service,</w:t>
      </w:r>
      <w:r w:rsidR="00C21B60">
        <w:t xml:space="preserve"> </w:t>
      </w:r>
      <w:r w:rsidR="00540CEF">
        <w:t>oversees the funding and coordination of prosthetic limb services for eligible WA residents. WALSA supports both</w:t>
      </w:r>
      <w:r w:rsidR="003902CB">
        <w:t xml:space="preserve"> interim and definitive limbs</w:t>
      </w:r>
      <w:r w:rsidR="009A6D5B">
        <w:t xml:space="preserve"> </w:t>
      </w:r>
      <w:r w:rsidR="00294F96">
        <w:t>through</w:t>
      </w:r>
      <w:r w:rsidR="009A6D5B">
        <w:t xml:space="preserve"> the</w:t>
      </w:r>
      <w:r w:rsidR="00294F96">
        <w:t xml:space="preserve"> Fiona Stanley Hospital Rehabilitation Unit</w:t>
      </w:r>
      <w:r w:rsidR="00D802E9">
        <w:t xml:space="preserve">, </w:t>
      </w:r>
      <w:r w:rsidR="005A151E">
        <w:t>as well as accredited providers such as</w:t>
      </w:r>
      <w:r w:rsidR="00A70F06">
        <w:t xml:space="preserve"> </w:t>
      </w:r>
      <w:r w:rsidR="00BE7520">
        <w:t>Orthopaedic Appliances Pty Ltd</w:t>
      </w:r>
      <w:r w:rsidR="003B6DCC">
        <w:t xml:space="preserve"> (OAPL)</w:t>
      </w:r>
      <w:r w:rsidR="005E5BA3">
        <w:t xml:space="preserve">, </w:t>
      </w:r>
      <w:r w:rsidR="003B6DCC">
        <w:t>Orthotic Prosthetic Solutions (OPS),</w:t>
      </w:r>
      <w:r w:rsidR="00A70F06">
        <w:t xml:space="preserve"> </w:t>
      </w:r>
      <w:r w:rsidR="000043C0">
        <w:t>and TLCU</w:t>
      </w:r>
      <w:r w:rsidR="00D455F8">
        <w:t xml:space="preserve">. </w:t>
      </w:r>
      <w:r w:rsidR="00670D14">
        <w:fldChar w:fldCharType="begin"/>
      </w:r>
      <w:r w:rsidR="00670D14">
        <w:instrText xml:space="preserve"> REF _Ref203126956 \w \h </w:instrText>
      </w:r>
      <w:r w:rsidR="00670D14">
        <w:fldChar w:fldCharType="separate"/>
      </w:r>
      <w:r w:rsidR="00D955D8">
        <w:t>Appendix E</w:t>
      </w:r>
      <w:r w:rsidR="00670D14">
        <w:fldChar w:fldCharType="end"/>
      </w:r>
      <w:r w:rsidR="00B35A49">
        <w:t xml:space="preserve"> provides details regarding the WALSA, includ</w:t>
      </w:r>
      <w:r w:rsidR="00B35A49" w:rsidRPr="000543B6">
        <w:t>ing eligibility criteria.</w:t>
      </w:r>
    </w:p>
    <w:p w14:paraId="5DEA055B" w14:textId="41CED661" w:rsidR="005E50F1" w:rsidRDefault="006C53CF" w:rsidP="000543B6">
      <w:r w:rsidRPr="000543B6">
        <w:t>People</w:t>
      </w:r>
      <w:r w:rsidR="009A6D5B" w:rsidRPr="000543B6">
        <w:t xml:space="preserve"> requiring an interim prosthesis</w:t>
      </w:r>
      <w:r w:rsidR="00ED2A44" w:rsidRPr="000543B6">
        <w:t xml:space="preserve"> are assessed</w:t>
      </w:r>
      <w:r w:rsidR="002C11D8" w:rsidRPr="000543B6">
        <w:t xml:space="preserve"> at a </w:t>
      </w:r>
      <w:r w:rsidR="009537DC" w:rsidRPr="000543B6">
        <w:t>participating WA public h</w:t>
      </w:r>
      <w:r w:rsidR="009537DC">
        <w:t>ospital amputee clinic</w:t>
      </w:r>
      <w:r w:rsidR="006D5543">
        <w:t xml:space="preserve"> for assessment and referral </w:t>
      </w:r>
      <w:r w:rsidR="009F2B82">
        <w:t xml:space="preserve">to a </w:t>
      </w:r>
      <w:r w:rsidR="009537DC">
        <w:t>rehabilitation</w:t>
      </w:r>
      <w:r w:rsidR="009F2B82">
        <w:t xml:space="preserve"> program.</w:t>
      </w:r>
      <w:r w:rsidR="009D2C1E">
        <w:t xml:space="preserve"> WALSA provides funding assistance for interim prostheses, including associated essential supplies. </w:t>
      </w:r>
      <w:r w:rsidR="00053D17">
        <w:t>These include</w:t>
      </w:r>
      <w:r w:rsidR="005E50F1">
        <w:t>:</w:t>
      </w:r>
    </w:p>
    <w:p w14:paraId="727788D4" w14:textId="7CCEEF61" w:rsidR="00E853B0" w:rsidRDefault="005E50F1" w:rsidP="00216FF4">
      <w:pPr>
        <w:pStyle w:val="Bullet1stlevel"/>
      </w:pPr>
      <w:r>
        <w:t>S</w:t>
      </w:r>
      <w:r w:rsidR="00053D17">
        <w:t>tandard Solid Ankle Cushion Heel foot</w:t>
      </w:r>
      <w:r w:rsidR="00216FF4">
        <w:t>.</w:t>
      </w:r>
    </w:p>
    <w:p w14:paraId="15C033EF" w14:textId="29C25074" w:rsidR="005E50F1" w:rsidRDefault="005E50F1" w:rsidP="00216FF4">
      <w:pPr>
        <w:pStyle w:val="Bullet1stlevel"/>
      </w:pPr>
      <w:r>
        <w:t xml:space="preserve">Standard </w:t>
      </w:r>
      <w:r w:rsidR="008D4AC2">
        <w:t>k</w:t>
      </w:r>
      <w:r>
        <w:t>nee</w:t>
      </w:r>
      <w:r w:rsidR="00216FF4">
        <w:t>.</w:t>
      </w:r>
    </w:p>
    <w:p w14:paraId="0DE04A01" w14:textId="1E95417E" w:rsidR="005E50F1" w:rsidRDefault="005E50F1" w:rsidP="00216FF4">
      <w:pPr>
        <w:pStyle w:val="Bullet1stlevel"/>
      </w:pPr>
      <w:r>
        <w:t>Safety knee</w:t>
      </w:r>
      <w:r w:rsidR="00216FF4">
        <w:t>.</w:t>
      </w:r>
    </w:p>
    <w:p w14:paraId="7DADC6E0" w14:textId="3E89BA31" w:rsidR="005117DA" w:rsidRPr="000543B6" w:rsidRDefault="005E50F1" w:rsidP="000543B6">
      <w:r>
        <w:t xml:space="preserve">For a </w:t>
      </w:r>
      <w:r w:rsidR="00B13D75">
        <w:t xml:space="preserve">definitive prosthesis, </w:t>
      </w:r>
      <w:r w:rsidR="006C53CF">
        <w:t>people</w:t>
      </w:r>
      <w:r w:rsidR="0008488A">
        <w:t xml:space="preserve"> are assessed by an accredited </w:t>
      </w:r>
      <w:r w:rsidR="00DC3A40">
        <w:t xml:space="preserve">PSP, </w:t>
      </w:r>
      <w:r w:rsidR="0008488A">
        <w:t>who</w:t>
      </w:r>
      <w:r w:rsidR="00DC3A40">
        <w:t xml:space="preserve"> determine</w:t>
      </w:r>
      <w:r w:rsidR="0008488A">
        <w:t xml:space="preserve">s </w:t>
      </w:r>
      <w:r w:rsidR="002A4B96">
        <w:t>the</w:t>
      </w:r>
      <w:r w:rsidR="00DC3A40">
        <w:t xml:space="preserve"> level of </w:t>
      </w:r>
      <w:r w:rsidR="0008488A">
        <w:t xml:space="preserve">appropriate componentry based on the individual’s mobility classification. WALSA funds definitive prostheses using a fixed unit price model, with funding limits based on four mobility </w:t>
      </w:r>
      <w:r w:rsidR="0008488A" w:rsidRPr="002E6A6D">
        <w:t>classes</w:t>
      </w:r>
      <w:r w:rsidR="007B7939">
        <w:rPr>
          <w:rFonts w:ascii="ZWAdobeF" w:hAnsi="ZWAdobeF" w:cs="ZWAdobeF"/>
          <w:color w:val="auto"/>
          <w:sz w:val="2"/>
          <w:szCs w:val="2"/>
        </w:rPr>
        <w:t>68F</w:t>
      </w:r>
      <w:r w:rsidR="00116C95" w:rsidRPr="002E6A6D">
        <w:rPr>
          <w:rStyle w:val="FootnoteReference"/>
        </w:rPr>
        <w:footnoteReference w:id="85"/>
      </w:r>
      <w:r w:rsidR="0008488A" w:rsidRPr="002E6A6D">
        <w:t>.</w:t>
      </w:r>
      <w:r w:rsidR="0008488A">
        <w:t xml:space="preserve"> </w:t>
      </w:r>
      <w:r w:rsidR="006A2575">
        <w:t xml:space="preserve">There is limited publicly available information as to whether prostheses for digit loss are funded under the WALSA. </w:t>
      </w:r>
      <w:r w:rsidR="0008488A">
        <w:t xml:space="preserve">See </w:t>
      </w:r>
      <w:r w:rsidR="00670D14">
        <w:fldChar w:fldCharType="begin"/>
      </w:r>
      <w:r w:rsidR="00670D14">
        <w:instrText xml:space="preserve"> REF _Ref203126956 \w \h </w:instrText>
      </w:r>
      <w:r w:rsidR="00670D14">
        <w:fldChar w:fldCharType="separate"/>
      </w:r>
      <w:r w:rsidR="00D955D8">
        <w:t>Appendix E</w:t>
      </w:r>
      <w:r w:rsidR="00670D14">
        <w:fldChar w:fldCharType="end"/>
      </w:r>
      <w:r w:rsidR="00670D14">
        <w:t xml:space="preserve"> </w:t>
      </w:r>
      <w:r w:rsidR="0008488A">
        <w:t xml:space="preserve">for </w:t>
      </w:r>
      <w:r w:rsidR="00670D14">
        <w:t>ad</w:t>
      </w:r>
      <w:r w:rsidR="00670D14" w:rsidRPr="000543B6">
        <w:t>ditional</w:t>
      </w:r>
      <w:r w:rsidR="0008488A" w:rsidRPr="000543B6">
        <w:t xml:space="preserve"> details.</w:t>
      </w:r>
    </w:p>
    <w:p w14:paraId="6DDA193F" w14:textId="15913CB5" w:rsidR="009E39FA" w:rsidRPr="000543B6" w:rsidRDefault="009E39FA" w:rsidP="000543B6">
      <w:r w:rsidRPr="000543B6">
        <w:t xml:space="preserve">In specific circumstances, WALSA may approve the funding of a second prosthesis upon application by the </w:t>
      </w:r>
      <w:r w:rsidR="006C53CF" w:rsidRPr="000543B6">
        <w:t>individual’s</w:t>
      </w:r>
      <w:r w:rsidRPr="000543B6">
        <w:t xml:space="preserve"> PSP. This is considered when:</w:t>
      </w:r>
    </w:p>
    <w:p w14:paraId="63077095" w14:textId="5EFE3FF6" w:rsidR="009E39FA" w:rsidRPr="009E39FA" w:rsidRDefault="009E39FA" w:rsidP="00216FF4">
      <w:pPr>
        <w:pStyle w:val="Bullet1stlevel"/>
      </w:pPr>
      <w:r w:rsidRPr="009E39FA">
        <w:t xml:space="preserve">The </w:t>
      </w:r>
      <w:r w:rsidR="006C53CF">
        <w:t>person</w:t>
      </w:r>
      <w:r w:rsidRPr="009E39FA">
        <w:t xml:space="preserve"> works in an occupation that places additional physical demands on the prosthesis</w:t>
      </w:r>
      <w:r w:rsidR="00216FF4" w:rsidRPr="00216FF4">
        <w:t>.</w:t>
      </w:r>
    </w:p>
    <w:p w14:paraId="2F76F725" w14:textId="5AE89B41" w:rsidR="009E39FA" w:rsidRPr="009E39FA" w:rsidRDefault="009E39FA" w:rsidP="00216FF4">
      <w:pPr>
        <w:pStyle w:val="Bullet1stlevel"/>
      </w:pPr>
      <w:r w:rsidRPr="009E39FA">
        <w:t xml:space="preserve">The </w:t>
      </w:r>
      <w:r w:rsidR="006C53CF">
        <w:t>person</w:t>
      </w:r>
      <w:r w:rsidRPr="009E39FA">
        <w:t xml:space="preserve"> would experience economic hardship if unable to work while the primary limb is under repair</w:t>
      </w:r>
      <w:r w:rsidR="00216FF4" w:rsidRPr="00216FF4">
        <w:t>.</w:t>
      </w:r>
    </w:p>
    <w:p w14:paraId="40C8AF2D" w14:textId="38E60B86" w:rsidR="00AA323C" w:rsidRPr="00216FF4" w:rsidRDefault="009E39FA" w:rsidP="00216FF4">
      <w:pPr>
        <w:pStyle w:val="Bullet1stlevel"/>
      </w:pPr>
      <w:r w:rsidRPr="009E39FA">
        <w:t xml:space="preserve">The </w:t>
      </w:r>
      <w:r w:rsidR="006C53CF">
        <w:t>person</w:t>
      </w:r>
      <w:r w:rsidRPr="009E39FA">
        <w:t xml:space="preserve"> lives alone in an isolated location, where not having a second limb could result in being stranded</w:t>
      </w:r>
    </w:p>
    <w:p w14:paraId="6FD16CD3" w14:textId="5B27C91F" w:rsidR="00B503F5" w:rsidRDefault="00B503F5" w:rsidP="00FD54A5">
      <w:pPr>
        <w:pStyle w:val="Heading4"/>
      </w:pPr>
      <w:r>
        <w:t xml:space="preserve">Availability of </w:t>
      </w:r>
      <w:r w:rsidR="00A9777D">
        <w:t xml:space="preserve">accredited </w:t>
      </w:r>
      <w:r>
        <w:t>limb prostheses service providers across Australia</w:t>
      </w:r>
    </w:p>
    <w:p w14:paraId="57099D55" w14:textId="6D0AD134" w:rsidR="00EE5108" w:rsidRPr="00B91793" w:rsidRDefault="003946C8" w:rsidP="00553718">
      <w:r w:rsidRPr="00B91793">
        <w:fldChar w:fldCharType="begin"/>
      </w:r>
      <w:r w:rsidRPr="00B91793">
        <w:instrText xml:space="preserve"> REF _Ref207346414 \h </w:instrText>
      </w:r>
      <w:r w:rsidR="00553718">
        <w:instrText xml:space="preserve"> \* MERGEFORMAT </w:instrText>
      </w:r>
      <w:r w:rsidRPr="00B91793">
        <w:fldChar w:fldCharType="separate"/>
      </w:r>
      <w:r w:rsidRPr="00B91793">
        <w:t>Figure 11</w:t>
      </w:r>
      <w:r w:rsidRPr="00B91793">
        <w:fldChar w:fldCharType="end"/>
      </w:r>
      <w:r w:rsidRPr="00B91793">
        <w:t xml:space="preserve"> </w:t>
      </w:r>
      <w:r w:rsidR="007F01E9" w:rsidRPr="00B91793">
        <w:t>below</w:t>
      </w:r>
      <w:r w:rsidR="00B503F5" w:rsidRPr="00B91793">
        <w:t xml:space="preserve"> outlines the locations of limb prostheses service providers across Australia. The information presented is based on services listed on </w:t>
      </w:r>
      <w:r w:rsidR="00167832" w:rsidRPr="00B91793">
        <w:t>the websites of each state and territory artificial limb scheme</w:t>
      </w:r>
      <w:r w:rsidR="00B503F5" w:rsidRPr="00B91793">
        <w:t>. Accredited limb prostheses service providers are available across Australia</w:t>
      </w:r>
      <w:r w:rsidR="00167832" w:rsidRPr="00B91793">
        <w:t>; however,</w:t>
      </w:r>
      <w:r w:rsidR="00B503F5" w:rsidRPr="00B91793">
        <w:t xml:space="preserve"> access varies significantly both between and within states and ter</w:t>
      </w:r>
      <w:r w:rsidR="00B503F5" w:rsidRPr="000543B6">
        <w:t xml:space="preserve">ritories. </w:t>
      </w:r>
    </w:p>
    <w:p w14:paraId="5048DCF4" w14:textId="48E5ADDC" w:rsidR="00B503F5" w:rsidRPr="00B91793" w:rsidRDefault="00B503F5" w:rsidP="000543B6">
      <w:r w:rsidRPr="00B91793">
        <w:fldChar w:fldCharType="begin"/>
      </w:r>
      <w:r w:rsidRPr="00B91793">
        <w:instrText xml:space="preserve"> REF _Ref203126956 \w \h  \* MERGEFORMAT </w:instrText>
      </w:r>
      <w:r w:rsidRPr="00B91793">
        <w:fldChar w:fldCharType="separate"/>
      </w:r>
      <w:r w:rsidR="00D955D8" w:rsidRPr="00B91793">
        <w:t>Appendix E</w:t>
      </w:r>
      <w:r w:rsidRPr="00B91793">
        <w:fldChar w:fldCharType="end"/>
      </w:r>
      <w:r w:rsidRPr="00B91793">
        <w:t xml:space="preserve"> outlines the availability of prostheses providers by jurisdiction. The MMM Classification is also provided for each location, indicating the availability of prosthetic service providers (PSPs) across metropolitan areas </w:t>
      </w:r>
      <w:r w:rsidR="00F7609D" w:rsidRPr="00B91793">
        <w:t>(MM1), major regional centres (MM2), large rural towns and medium rural towns (MM3 to MM4) and small rural and remote areas (MM5 to 7).</w:t>
      </w:r>
    </w:p>
    <w:p w14:paraId="57E2ED20" w14:textId="767340A4" w:rsidR="00F7609D" w:rsidRPr="00B91793" w:rsidRDefault="00B503F5" w:rsidP="000543B6">
      <w:r w:rsidRPr="00B91793">
        <w:t xml:space="preserve">In </w:t>
      </w:r>
      <w:r w:rsidR="002C7D86" w:rsidRPr="00B91793">
        <w:t>all</w:t>
      </w:r>
      <w:r w:rsidRPr="00B91793">
        <w:t xml:space="preserve"> </w:t>
      </w:r>
      <w:r w:rsidR="002C7D86" w:rsidRPr="00B91793">
        <w:t>states and territories</w:t>
      </w:r>
      <w:r w:rsidR="008B5AAF" w:rsidRPr="00B91793">
        <w:t xml:space="preserve">, except the ACT and Western Australia, accredited limb prostheses service providers are </w:t>
      </w:r>
      <w:r w:rsidR="00A9777D" w:rsidRPr="00B91793">
        <w:t xml:space="preserve">available in </w:t>
      </w:r>
      <w:r w:rsidR="00A01202" w:rsidRPr="00B91793">
        <w:t xml:space="preserve">both </w:t>
      </w:r>
      <w:r w:rsidR="00A9777D" w:rsidRPr="00B91793">
        <w:t>metro</w:t>
      </w:r>
      <w:r w:rsidR="00A92134" w:rsidRPr="00B91793">
        <w:t xml:space="preserve">politan areas </w:t>
      </w:r>
      <w:r w:rsidR="00A01202" w:rsidRPr="00B91793">
        <w:t>and major regional centres.</w:t>
      </w:r>
      <w:r w:rsidR="0038635E" w:rsidRPr="00B91793">
        <w:t xml:space="preserve"> </w:t>
      </w:r>
      <w:r w:rsidR="005824BA" w:rsidRPr="00B91793">
        <w:t xml:space="preserve">Accredited limb prostheses </w:t>
      </w:r>
      <w:r w:rsidR="008B5AAF" w:rsidRPr="00B91793">
        <w:t>service providers are available in some large and medium-sized rural towns in most jurisdictions, excluding the ACT, Western Australia, and Tasmania. Access</w:t>
      </w:r>
      <w:r w:rsidR="00215369" w:rsidRPr="00B91793">
        <w:t xml:space="preserve"> is limited in small rural towns and remote areas across the country. </w:t>
      </w:r>
    </w:p>
    <w:p w14:paraId="52532C11" w14:textId="75D85156" w:rsidR="00FD773A" w:rsidRDefault="00215369" w:rsidP="00B91793">
      <w:r w:rsidRPr="00B91793">
        <w:t xml:space="preserve">Some jurisdictions </w:t>
      </w:r>
      <w:r w:rsidR="008B5AAF" w:rsidRPr="00B91793">
        <w:t>in Australia provide outreach services to rural and remote areas; however, this varies across the country</w:t>
      </w:r>
      <w:r w:rsidRPr="00B91793">
        <w:t xml:space="preserve">. </w:t>
      </w:r>
      <w:r w:rsidR="00B503F5" w:rsidRPr="00B91793">
        <w:t>In Queensland, clinics in Cairns, Townsville, and Mackay often service the broader northern and central regions through outreach services</w:t>
      </w:r>
      <w:r w:rsidR="00B503F5">
        <w:t>.</w:t>
      </w:r>
      <w:r w:rsidR="00B503F5" w:rsidRPr="007072A2">
        <w:rPr>
          <w:rStyle w:val="FootnoteReference"/>
        </w:rPr>
        <w:footnoteReference w:id="86"/>
      </w:r>
      <w:r>
        <w:t xml:space="preserve"> </w:t>
      </w:r>
      <w:r w:rsidR="00B503F5" w:rsidRPr="00BE0C31">
        <w:t xml:space="preserve">In </w:t>
      </w:r>
      <w:r w:rsidR="00B503F5">
        <w:t>South Australia, r</w:t>
      </w:r>
      <w:r w:rsidR="00B503F5" w:rsidRPr="00B26704">
        <w:t xml:space="preserve">egional and remote access is provided </w:t>
      </w:r>
      <w:r w:rsidR="00B503F5">
        <w:t>through</w:t>
      </w:r>
      <w:r w:rsidR="00B503F5" w:rsidRPr="00B26704">
        <w:t xml:space="preserve"> outreach clinics delivered by metropolitan teams, which operate in towns </w:t>
      </w:r>
      <w:r w:rsidR="00B503F5">
        <w:t>such as</w:t>
      </w:r>
      <w:r w:rsidR="00B503F5" w:rsidRPr="00B26704">
        <w:t xml:space="preserve"> Whyalla, Port Lincoln, Port Augusta, Ceduna, Mount Gambier, and Coober Pedy on a weekly to quarterly basis.</w:t>
      </w:r>
      <w:r w:rsidR="00B503F5">
        <w:rPr>
          <w:rStyle w:val="FootnoteReference"/>
        </w:rPr>
        <w:footnoteReference w:id="87"/>
      </w:r>
      <w:r w:rsidR="00B91793" w:rsidRPr="00B91793">
        <w:t xml:space="preserve"> </w:t>
      </w:r>
      <w:r w:rsidR="00B503F5" w:rsidRPr="00B91793">
        <w:t xml:space="preserve">In the Northern Territory, limited outreach </w:t>
      </w:r>
      <w:r w:rsidR="0038635E" w:rsidRPr="00B91793">
        <w:t>services are</w:t>
      </w:r>
      <w:r w:rsidR="00B503F5" w:rsidRPr="00B91793">
        <w:t xml:space="preserve"> available through</w:t>
      </w:r>
      <w:r w:rsidR="0038635E" w:rsidRPr="00B91793">
        <w:t xml:space="preserve"> the</w:t>
      </w:r>
      <w:r w:rsidR="00B503F5" w:rsidRPr="00B91793">
        <w:t xml:space="preserve"> Royal Darwin and Palmerston Hospital, which conducts clinics approximately six times per year in Katherine and Nhulunbuy.</w:t>
      </w:r>
    </w:p>
    <w:p w14:paraId="5BCE5B0C" w14:textId="29986BB1" w:rsidR="00FD773A" w:rsidRPr="0089050A" w:rsidRDefault="00FD773A" w:rsidP="00FD773A">
      <w:pPr>
        <w:pStyle w:val="Caption"/>
      </w:pPr>
      <w:bookmarkStart w:id="82" w:name="_Ref207346414"/>
      <w:bookmarkStart w:id="83" w:name="_Toc207348718"/>
      <w:r>
        <w:t xml:space="preserve">Figure </w:t>
      </w:r>
      <w:r w:rsidR="003946C8">
        <w:fldChar w:fldCharType="begin"/>
      </w:r>
      <w:r w:rsidR="003946C8">
        <w:instrText xml:space="preserve"> SEQ Figure \* ARABIC </w:instrText>
      </w:r>
      <w:r w:rsidR="003946C8">
        <w:fldChar w:fldCharType="separate"/>
      </w:r>
      <w:r w:rsidR="003946C8">
        <w:rPr>
          <w:noProof/>
        </w:rPr>
        <w:t>11</w:t>
      </w:r>
      <w:r w:rsidR="003946C8">
        <w:rPr>
          <w:noProof/>
        </w:rPr>
        <w:fldChar w:fldCharType="end"/>
      </w:r>
      <w:bookmarkEnd w:id="82"/>
      <w:r w:rsidRPr="0089050A">
        <w:t>: Locations of limb prostheses service providers across Australia</w:t>
      </w:r>
      <w:bookmarkEnd w:id="83"/>
    </w:p>
    <w:p w14:paraId="1687B128" w14:textId="30CA86F7" w:rsidR="00FD773A" w:rsidRDefault="00FD773A" w:rsidP="00553718">
      <w:r w:rsidRPr="00553718">
        <w:drawing>
          <wp:inline distT="0" distB="0" distL="0" distR="0" wp14:anchorId="6EA3FE2E" wp14:editId="11176D72">
            <wp:extent cx="3196742" cy="3250716"/>
            <wp:effectExtent l="0" t="0" r="3810" b="6985"/>
            <wp:docPr id="902920504" name="Picture 6" descr="Map of Australia showing locations of limb prostheses retailer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920504" name="Picture 6" descr="Map of Australia showing locations of limb prostheses retailers">
                      <a:extLst>
                        <a:ext uri="{C183D7F6-B498-43B3-948B-1728B52AA6E4}">
                          <adec:decorative xmlns:adec="http://schemas.microsoft.com/office/drawing/2017/decorative" val="0"/>
                        </a:ext>
                      </a:extLst>
                    </pic:cNvPr>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03165" cy="3257248"/>
                    </a:xfrm>
                    <a:prstGeom prst="rect">
                      <a:avLst/>
                    </a:prstGeom>
                    <a:noFill/>
                  </pic:spPr>
                </pic:pic>
              </a:graphicData>
            </a:graphic>
          </wp:inline>
        </w:drawing>
      </w:r>
    </w:p>
    <w:p w14:paraId="45BC75FE" w14:textId="410AE2CA" w:rsidR="007F01E9" w:rsidRPr="0089050A" w:rsidRDefault="007F01E9" w:rsidP="007F01E9">
      <w:pPr>
        <w:pStyle w:val="Caption-Source"/>
      </w:pPr>
      <w:r w:rsidRPr="00D11B75">
        <w:t xml:space="preserve">Source: </w:t>
      </w:r>
      <w:r w:rsidR="00120620" w:rsidRPr="00120620">
        <w:t>Independent reviewer</w:t>
      </w:r>
      <w:r w:rsidRPr="00D11B75">
        <w:t xml:space="preserve"> (2025) using information from each state and territory Artificial Limb Service website</w:t>
      </w:r>
    </w:p>
    <w:p w14:paraId="72B445D9" w14:textId="14DF88B6" w:rsidR="00C765E4" w:rsidRDefault="008A1D00" w:rsidP="008239ED">
      <w:pPr>
        <w:pStyle w:val="Heading2"/>
      </w:pPr>
      <w:bookmarkStart w:id="84" w:name="_Ref200453591"/>
      <w:bookmarkStart w:id="85" w:name="_Toc207348741"/>
      <w:r>
        <w:t>Other</w:t>
      </w:r>
      <w:r w:rsidR="00C765E4">
        <w:t xml:space="preserve"> </w:t>
      </w:r>
      <w:r w:rsidR="00E7384C">
        <w:t xml:space="preserve">types of </w:t>
      </w:r>
      <w:r w:rsidR="00CB1BD1">
        <w:t>prostheses services</w:t>
      </w:r>
      <w:r w:rsidR="00231183">
        <w:t>,</w:t>
      </w:r>
      <w:r w:rsidR="00D46E94">
        <w:t xml:space="preserve"> programs and</w:t>
      </w:r>
      <w:r w:rsidR="00231183">
        <w:t xml:space="preserve"> </w:t>
      </w:r>
      <w:r w:rsidR="00CB1BD1">
        <w:t>schemes</w:t>
      </w:r>
      <w:bookmarkEnd w:id="84"/>
      <w:bookmarkEnd w:id="85"/>
      <w:r w:rsidR="00CB1BD1">
        <w:t xml:space="preserve"> </w:t>
      </w:r>
    </w:p>
    <w:p w14:paraId="055E7104" w14:textId="35328320" w:rsidR="00FC43B2" w:rsidRDefault="000D4CC8" w:rsidP="000543B6">
      <w:pPr>
        <w:rPr>
          <w:color w:val="auto"/>
        </w:rPr>
      </w:pPr>
      <w:r>
        <w:rPr>
          <w:color w:val="auto"/>
        </w:rPr>
        <w:t xml:space="preserve">As noted in Section </w:t>
      </w:r>
      <w:r>
        <w:rPr>
          <w:color w:val="auto"/>
        </w:rPr>
        <w:fldChar w:fldCharType="begin"/>
      </w:r>
      <w:r>
        <w:rPr>
          <w:color w:val="auto"/>
        </w:rPr>
        <w:instrText xml:space="preserve"> REF _Ref201872967 \r \h </w:instrText>
      </w:r>
      <w:r>
        <w:rPr>
          <w:color w:val="auto"/>
        </w:rPr>
      </w:r>
      <w:r>
        <w:rPr>
          <w:color w:val="auto"/>
        </w:rPr>
        <w:fldChar w:fldCharType="separate"/>
      </w:r>
      <w:r w:rsidR="00D955D8">
        <w:rPr>
          <w:color w:val="auto"/>
        </w:rPr>
        <w:t>1.4</w:t>
      </w:r>
      <w:r>
        <w:rPr>
          <w:color w:val="auto"/>
        </w:rPr>
        <w:fldChar w:fldCharType="end"/>
      </w:r>
      <w:r>
        <w:rPr>
          <w:color w:val="auto"/>
        </w:rPr>
        <w:t>, t</w:t>
      </w:r>
      <w:r w:rsidRPr="000D4CC8">
        <w:rPr>
          <w:color w:val="auto"/>
        </w:rPr>
        <w:t>hroughou</w:t>
      </w:r>
      <w:r w:rsidR="00C106B2">
        <w:rPr>
          <w:color w:val="auto"/>
        </w:rPr>
        <w:t xml:space="preserve">t </w:t>
      </w:r>
      <w:r w:rsidRPr="000D4CC8">
        <w:rPr>
          <w:color w:val="auto"/>
        </w:rPr>
        <w:t xml:space="preserve">the review, several other types of prostheses were </w:t>
      </w:r>
      <w:r>
        <w:rPr>
          <w:color w:val="auto"/>
        </w:rPr>
        <w:t>highlighted</w:t>
      </w:r>
      <w:r w:rsidRPr="000D4CC8">
        <w:rPr>
          <w:color w:val="auto"/>
        </w:rPr>
        <w:t xml:space="preserve"> by stakeholders that were not considered within the agreed scope</w:t>
      </w:r>
      <w:r>
        <w:rPr>
          <w:color w:val="auto"/>
        </w:rPr>
        <w:t xml:space="preserve"> of the review</w:t>
      </w:r>
      <w:r w:rsidRPr="000D4CC8">
        <w:rPr>
          <w:color w:val="auto"/>
        </w:rPr>
        <w:t xml:space="preserve">. These prostheses included </w:t>
      </w:r>
      <w:r w:rsidR="006055EE">
        <w:rPr>
          <w:color w:val="auto"/>
        </w:rPr>
        <w:t xml:space="preserve">non-indwelling </w:t>
      </w:r>
      <w:r w:rsidRPr="000D4CC8">
        <w:rPr>
          <w:color w:val="auto"/>
        </w:rPr>
        <w:t>voice prostheses, external male reproductive prostheses, and oral prostheses such as prosthetic teeth. While not considered in-scope</w:t>
      </w:r>
      <w:r w:rsidR="00FC43B2">
        <w:rPr>
          <w:color w:val="auto"/>
        </w:rPr>
        <w:t xml:space="preserve"> for this review</w:t>
      </w:r>
      <w:r w:rsidRPr="000D4CC8">
        <w:rPr>
          <w:color w:val="auto"/>
        </w:rPr>
        <w:t xml:space="preserve">, these other prostheses have been included </w:t>
      </w:r>
      <w:r w:rsidR="00F17079">
        <w:rPr>
          <w:color w:val="auto"/>
        </w:rPr>
        <w:t xml:space="preserve">in this section </w:t>
      </w:r>
      <w:r w:rsidRPr="000D4CC8">
        <w:rPr>
          <w:color w:val="auto"/>
        </w:rPr>
        <w:t xml:space="preserve">for completeness. </w:t>
      </w:r>
    </w:p>
    <w:p w14:paraId="44A19616" w14:textId="41C7B315" w:rsidR="002063E3" w:rsidRDefault="002063E3" w:rsidP="00553718">
      <w:pPr>
        <w:rPr>
          <w:color w:val="auto"/>
        </w:rPr>
      </w:pPr>
      <w:r w:rsidRPr="003D17C6">
        <w:rPr>
          <w:color w:val="auto"/>
        </w:rPr>
        <w:t xml:space="preserve">The following </w:t>
      </w:r>
      <w:r w:rsidRPr="000C3314">
        <w:rPr>
          <w:color w:val="auto"/>
        </w:rPr>
        <w:t xml:space="preserve">section outlines </w:t>
      </w:r>
      <w:r w:rsidR="00CB3B34">
        <w:rPr>
          <w:color w:val="auto"/>
        </w:rPr>
        <w:t>the services, programs and schemes available to people in Aust</w:t>
      </w:r>
      <w:r w:rsidR="00CB3B34" w:rsidRPr="000543B6">
        <w:t xml:space="preserve">ralia for </w:t>
      </w:r>
      <w:r w:rsidR="00461833" w:rsidRPr="000543B6">
        <w:t xml:space="preserve">these </w:t>
      </w:r>
      <w:r w:rsidR="00E7384C" w:rsidRPr="000543B6">
        <w:t>other types of prostheses</w:t>
      </w:r>
      <w:r w:rsidRPr="000543B6">
        <w:t>. A summary of the key findings presented within this section is provided below.</w:t>
      </w:r>
    </w:p>
    <w:p w14:paraId="7B8953E1" w14:textId="5A30B9E9" w:rsidR="00860737" w:rsidRDefault="00860737" w:rsidP="00FD688B">
      <w:pPr>
        <w:pStyle w:val="Heading2Summaryofkeyfindings"/>
      </w:pPr>
      <w:r w:rsidRPr="00860737">
        <w:t xml:space="preserve">Summary of </w:t>
      </w:r>
      <w:r w:rsidR="00B37851">
        <w:t>other</w:t>
      </w:r>
      <w:r w:rsidRPr="00860737">
        <w:t xml:space="preserve"> types of prostheses services, programs and schemes</w:t>
      </w:r>
    </w:p>
    <w:p w14:paraId="2CAFFFF2" w14:textId="4468C73F" w:rsidR="00860737" w:rsidRPr="00860737" w:rsidRDefault="00860737" w:rsidP="005A6CA2">
      <w:pPr>
        <w:pStyle w:val="Callout-Summaryofkeyfindingbullet"/>
      </w:pPr>
      <w:r w:rsidRPr="00860737">
        <w:t xml:space="preserve">There is no national program or scheme that funds voice prostheses, excluding the DVA which provides coverage for voice prostheses for eligible veterans. </w:t>
      </w:r>
    </w:p>
    <w:p w14:paraId="76FAB8BC" w14:textId="4CD14235" w:rsidR="00860737" w:rsidRPr="00860737" w:rsidRDefault="00860737" w:rsidP="005A6CA2">
      <w:pPr>
        <w:pStyle w:val="Callout-Summaryofkeyfindingbullet"/>
      </w:pPr>
      <w:r w:rsidRPr="00860737">
        <w:t>Access to public funding for voice prostheses varies across jurisdictions. While some states, including Victoria, New South Wales and Tasmania, offer limited support, the remainder of jurisdictions provide little to no coverage, leaving many individuals to cover the full cost of voice prostheses themselves.</w:t>
      </w:r>
    </w:p>
    <w:p w14:paraId="0B8DEBA0" w14:textId="11DE6862" w:rsidR="00860737" w:rsidRPr="00860737" w:rsidRDefault="00860737" w:rsidP="005A6CA2">
      <w:pPr>
        <w:pStyle w:val="Callout-Summaryofkeyfindingbullet"/>
      </w:pPr>
      <w:r w:rsidRPr="00860737">
        <w:t xml:space="preserve">There is no national program or scheme that funds external male reproductive prostheses. The DVA provides coverage for these prostheses for eligible veterans. </w:t>
      </w:r>
    </w:p>
    <w:p w14:paraId="5E951F2E" w14:textId="57308F08" w:rsidR="00860737" w:rsidRPr="00860737" w:rsidRDefault="00860737" w:rsidP="005A6CA2">
      <w:pPr>
        <w:pStyle w:val="Callout-Summaryofkeyfindingbullet"/>
      </w:pPr>
      <w:r w:rsidRPr="00860737">
        <w:t>There are also no state and territory programs or schemes that fund external male reproductive prostheses, leaving most individuals who wish to explore this option, to cover the full cost themselves.</w:t>
      </w:r>
    </w:p>
    <w:p w14:paraId="19DA218C" w14:textId="061AE46A" w:rsidR="00860737" w:rsidRPr="00860737" w:rsidRDefault="00860737" w:rsidP="005A6CA2">
      <w:pPr>
        <w:pStyle w:val="Callout-Summaryofkeyfindingbullet"/>
      </w:pPr>
      <w:r w:rsidRPr="00860737">
        <w:t xml:space="preserve">Oral prostheses are largely excluded from public funding outside of the DVA. Limited coverage is provided under most private health insurance policies. </w:t>
      </w:r>
    </w:p>
    <w:p w14:paraId="535D30C4" w14:textId="2B9C8B33" w:rsidR="005617F8" w:rsidRDefault="00860737" w:rsidP="00B91793">
      <w:pPr>
        <w:pStyle w:val="Callout-Summaryofkeyfindingbullet"/>
      </w:pPr>
      <w:r w:rsidRPr="00860737">
        <w:t>There are no consistent state or territory-level schemes available that cover oral prostheses, resulting in significant out-of-pocket costs for most individuals.</w:t>
      </w:r>
    </w:p>
    <w:p w14:paraId="5BB38A2C" w14:textId="77777777" w:rsidR="00080857" w:rsidRDefault="00BE6AAB" w:rsidP="00D46E94">
      <w:pPr>
        <w:pStyle w:val="Heading3"/>
      </w:pPr>
      <w:r>
        <w:t>Voice prostheses</w:t>
      </w:r>
    </w:p>
    <w:p w14:paraId="19BC5AB7" w14:textId="24A8AB71" w:rsidR="00BE6AAB" w:rsidRDefault="00080857" w:rsidP="00FD54A5">
      <w:pPr>
        <w:pStyle w:val="Heading4"/>
      </w:pPr>
      <w:r>
        <w:t>About voice prostheses</w:t>
      </w:r>
      <w:r w:rsidR="00BE6AAB">
        <w:t xml:space="preserve"> </w:t>
      </w:r>
    </w:p>
    <w:p w14:paraId="43E58E99" w14:textId="78B939C4" w:rsidR="00E959A3" w:rsidRPr="000543B6" w:rsidRDefault="00C2477F" w:rsidP="000543B6">
      <w:r w:rsidRPr="00916BCD">
        <w:rPr>
          <w:color w:val="auto"/>
        </w:rPr>
        <w:t>A voice prosthesis is a</w:t>
      </w:r>
      <w:r w:rsidR="00476C11" w:rsidRPr="00916BCD">
        <w:rPr>
          <w:color w:val="auto"/>
        </w:rPr>
        <w:t>n</w:t>
      </w:r>
      <w:r w:rsidRPr="00916BCD">
        <w:rPr>
          <w:color w:val="auto"/>
        </w:rPr>
        <w:t xml:space="preserve"> artificial</w:t>
      </w:r>
      <w:r w:rsidR="00476C11" w:rsidRPr="00916BCD">
        <w:rPr>
          <w:color w:val="auto"/>
        </w:rPr>
        <w:t xml:space="preserve"> communication</w:t>
      </w:r>
      <w:r w:rsidRPr="00916BCD">
        <w:rPr>
          <w:color w:val="auto"/>
        </w:rPr>
        <w:t xml:space="preserve"> device used to help people speak after a laryngectomy</w:t>
      </w:r>
      <w:r w:rsidR="00916BCD" w:rsidRPr="00916BCD">
        <w:rPr>
          <w:color w:val="auto"/>
        </w:rPr>
        <w:t>,</w:t>
      </w:r>
      <w:r w:rsidRPr="00916BCD">
        <w:rPr>
          <w:color w:val="auto"/>
        </w:rPr>
        <w:t xml:space="preserve"> a surgical procedure that removes the larynx, typically due to</w:t>
      </w:r>
      <w:r w:rsidR="00CD7A19" w:rsidRPr="00916BCD">
        <w:rPr>
          <w:color w:val="auto"/>
        </w:rPr>
        <w:t xml:space="preserve"> laryngeal</w:t>
      </w:r>
      <w:r w:rsidRPr="00916BCD">
        <w:rPr>
          <w:color w:val="auto"/>
        </w:rPr>
        <w:t xml:space="preserve"> cancer. </w:t>
      </w:r>
      <w:r w:rsidR="00560BD5">
        <w:rPr>
          <w:color w:val="auto"/>
        </w:rPr>
        <w:t>Following the removal of</w:t>
      </w:r>
      <w:r w:rsidR="00721749">
        <w:rPr>
          <w:color w:val="auto"/>
        </w:rPr>
        <w:t xml:space="preserve"> the larynx, </w:t>
      </w:r>
      <w:r w:rsidR="009A04E7">
        <w:rPr>
          <w:color w:val="auto"/>
        </w:rPr>
        <w:t>the</w:t>
      </w:r>
      <w:r w:rsidR="00721749">
        <w:rPr>
          <w:color w:val="auto"/>
        </w:rPr>
        <w:t xml:space="preserve"> windpipe</w:t>
      </w:r>
      <w:r w:rsidR="009A04E7">
        <w:rPr>
          <w:color w:val="auto"/>
        </w:rPr>
        <w:t xml:space="preserve"> (trachea)</w:t>
      </w:r>
      <w:r w:rsidR="00721749">
        <w:rPr>
          <w:color w:val="auto"/>
        </w:rPr>
        <w:t xml:space="preserve"> is </w:t>
      </w:r>
      <w:r w:rsidR="009A04E7">
        <w:rPr>
          <w:color w:val="auto"/>
        </w:rPr>
        <w:t>brought</w:t>
      </w:r>
      <w:r w:rsidR="00E959A3">
        <w:rPr>
          <w:color w:val="auto"/>
        </w:rPr>
        <w:t xml:space="preserve"> to</w:t>
      </w:r>
      <w:r w:rsidR="009A04E7">
        <w:rPr>
          <w:color w:val="auto"/>
        </w:rPr>
        <w:t xml:space="preserve"> the surface of the neck to create a permanent breathing hole, called a </w:t>
      </w:r>
      <w:r w:rsidR="0003499F">
        <w:rPr>
          <w:color w:val="auto"/>
        </w:rPr>
        <w:t xml:space="preserve">tracheostoma, or stoma. </w:t>
      </w:r>
      <w:r w:rsidR="009A04E7">
        <w:rPr>
          <w:color w:val="auto"/>
        </w:rPr>
        <w:t>A</w:t>
      </w:r>
      <w:r w:rsidR="00933BC0">
        <w:rPr>
          <w:color w:val="auto"/>
        </w:rPr>
        <w:t xml:space="preserve"> voice prosthesis is a</w:t>
      </w:r>
      <w:r w:rsidR="00653F16">
        <w:rPr>
          <w:color w:val="auto"/>
        </w:rPr>
        <w:t xml:space="preserve"> one-way</w:t>
      </w:r>
      <w:r w:rsidR="00933BC0">
        <w:rPr>
          <w:color w:val="auto"/>
        </w:rPr>
        <w:t xml:space="preserve"> valve </w:t>
      </w:r>
      <w:r w:rsidR="009A04E7">
        <w:rPr>
          <w:color w:val="auto"/>
        </w:rPr>
        <w:t xml:space="preserve">inserted between the trachea and oesophagus that allows air from the lungs to be directed into the </w:t>
      </w:r>
      <w:r w:rsidR="006B38FD">
        <w:rPr>
          <w:color w:val="auto"/>
        </w:rPr>
        <w:t>mouth</w:t>
      </w:r>
      <w:r w:rsidR="009A04E7">
        <w:rPr>
          <w:color w:val="auto"/>
        </w:rPr>
        <w:t>, producing sound that can be shaped into speech using the mouth and tongue.</w:t>
      </w:r>
      <w:r w:rsidR="00E959A3" w:rsidRPr="00E959A3">
        <w:rPr>
          <w:rStyle w:val="FootnoteReference"/>
          <w:color w:val="auto"/>
        </w:rPr>
        <w:t xml:space="preserve"> </w:t>
      </w:r>
      <w:r w:rsidR="007B7939">
        <w:rPr>
          <w:rFonts w:ascii="ZWAdobeF" w:hAnsi="ZWAdobeF" w:cs="ZWAdobeF"/>
          <w:color w:val="auto"/>
          <w:sz w:val="2"/>
          <w:szCs w:val="2"/>
        </w:rPr>
        <w:t>104F</w:t>
      </w:r>
      <w:r w:rsidR="00E959A3">
        <w:rPr>
          <w:rStyle w:val="FootnoteReference"/>
          <w:color w:val="auto"/>
        </w:rPr>
        <w:footnoteReference w:id="88"/>
      </w:r>
    </w:p>
    <w:p w14:paraId="336114D7" w14:textId="49941A3A" w:rsidR="009B4936" w:rsidRDefault="006055EE" w:rsidP="000543B6">
      <w:pPr>
        <w:rPr>
          <w:color w:val="auto"/>
        </w:rPr>
      </w:pPr>
      <w:r>
        <w:rPr>
          <w:color w:val="auto"/>
        </w:rPr>
        <w:t xml:space="preserve">In Australia, voice prostheses are managed and fitted by a speech pathologist, who also provide ongoing care and assessment. </w:t>
      </w:r>
      <w:r w:rsidR="009A04E7">
        <w:rPr>
          <w:color w:val="auto"/>
        </w:rPr>
        <w:t>Some types of prostheses are indwelling (clinician managed), while others are non-indwelling and can be removed and cleaned by the user</w:t>
      </w:r>
      <w:r w:rsidR="00894CB4">
        <w:rPr>
          <w:color w:val="auto"/>
        </w:rPr>
        <w:t>.</w:t>
      </w:r>
      <w:r w:rsidR="007B7939">
        <w:rPr>
          <w:rFonts w:ascii="ZWAdobeF" w:hAnsi="ZWAdobeF" w:cs="ZWAdobeF"/>
          <w:color w:val="auto"/>
          <w:sz w:val="2"/>
          <w:szCs w:val="2"/>
        </w:rPr>
        <w:t>105F</w:t>
      </w:r>
      <w:r w:rsidR="00591D2C">
        <w:rPr>
          <w:rStyle w:val="FootnoteReference"/>
          <w:color w:val="auto"/>
        </w:rPr>
        <w:footnoteReference w:id="89"/>
      </w:r>
      <w:r w:rsidR="00591D2C">
        <w:rPr>
          <w:color w:val="auto"/>
        </w:rPr>
        <w:t xml:space="preserve"> </w:t>
      </w:r>
      <w:r w:rsidR="00357CEC">
        <w:rPr>
          <w:color w:val="auto"/>
        </w:rPr>
        <w:t>While voice prostheses were not considered within the agreed scope of the review,</w:t>
      </w:r>
      <w:r w:rsidR="008E4D6F">
        <w:rPr>
          <w:color w:val="auto"/>
        </w:rPr>
        <w:t xml:space="preserve"> </w:t>
      </w:r>
      <w:r w:rsidR="00EF31D9">
        <w:rPr>
          <w:color w:val="auto"/>
        </w:rPr>
        <w:t>non-indwelling voice prostheses</w:t>
      </w:r>
      <w:r w:rsidR="00357CEC">
        <w:rPr>
          <w:color w:val="auto"/>
        </w:rPr>
        <w:t xml:space="preserve"> were discussed by stakeholders during consultation</w:t>
      </w:r>
      <w:r w:rsidR="004D7B1A">
        <w:rPr>
          <w:color w:val="auto"/>
        </w:rPr>
        <w:t>. For</w:t>
      </w:r>
      <w:r w:rsidR="00357CEC">
        <w:rPr>
          <w:color w:val="auto"/>
        </w:rPr>
        <w:t xml:space="preserve"> completeness, </w:t>
      </w:r>
      <w:r w:rsidR="004D7B1A">
        <w:rPr>
          <w:color w:val="auto"/>
        </w:rPr>
        <w:t>these prostheses</w:t>
      </w:r>
      <w:r w:rsidR="008E4D6F">
        <w:rPr>
          <w:color w:val="auto"/>
        </w:rPr>
        <w:t xml:space="preserve"> </w:t>
      </w:r>
      <w:r w:rsidR="00894CB4">
        <w:rPr>
          <w:color w:val="auto"/>
        </w:rPr>
        <w:t xml:space="preserve">have been </w:t>
      </w:r>
      <w:r w:rsidR="00D42F72">
        <w:rPr>
          <w:color w:val="auto"/>
        </w:rPr>
        <w:t xml:space="preserve">included </w:t>
      </w:r>
      <w:r w:rsidR="004D7B1A">
        <w:rPr>
          <w:color w:val="auto"/>
        </w:rPr>
        <w:t>with</w:t>
      </w:r>
      <w:r w:rsidR="00894CB4">
        <w:rPr>
          <w:color w:val="auto"/>
        </w:rPr>
        <w:t xml:space="preserve">in this </w:t>
      </w:r>
      <w:r w:rsidR="00357CEC">
        <w:rPr>
          <w:color w:val="auto"/>
        </w:rPr>
        <w:t xml:space="preserve">section of the </w:t>
      </w:r>
      <w:r w:rsidR="00894CB4">
        <w:rPr>
          <w:color w:val="auto"/>
        </w:rPr>
        <w:t>report</w:t>
      </w:r>
      <w:r w:rsidR="00EF31D9">
        <w:rPr>
          <w:color w:val="auto"/>
        </w:rPr>
        <w:t xml:space="preserve">. </w:t>
      </w:r>
      <w:r w:rsidR="009B4936">
        <w:rPr>
          <w:color w:val="auto"/>
        </w:rPr>
        <w:t>F</w:t>
      </w:r>
      <w:r w:rsidR="009B4936" w:rsidRPr="008855D2">
        <w:rPr>
          <w:color w:val="auto"/>
        </w:rPr>
        <w:t xml:space="preserve">urther work is required to determine if </w:t>
      </w:r>
      <w:r w:rsidR="009B4936">
        <w:rPr>
          <w:color w:val="auto"/>
        </w:rPr>
        <w:t>voice prostheses</w:t>
      </w:r>
      <w:r w:rsidR="009B4936" w:rsidRPr="008855D2">
        <w:rPr>
          <w:color w:val="auto"/>
        </w:rPr>
        <w:t xml:space="preserve"> meet the definition of an external prosthes</w:t>
      </w:r>
      <w:r w:rsidR="009B4936">
        <w:rPr>
          <w:color w:val="auto"/>
        </w:rPr>
        <w:t>i</w:t>
      </w:r>
      <w:r w:rsidR="009B4936" w:rsidRPr="008855D2">
        <w:rPr>
          <w:color w:val="auto"/>
        </w:rPr>
        <w:t>s</w:t>
      </w:r>
      <w:r w:rsidR="004B445C">
        <w:rPr>
          <w:color w:val="auto"/>
        </w:rPr>
        <w:t>. As such, voice</w:t>
      </w:r>
      <w:r w:rsidR="009B4936">
        <w:rPr>
          <w:color w:val="auto"/>
        </w:rPr>
        <w:t xml:space="preserve"> prostheses</w:t>
      </w:r>
      <w:r w:rsidR="004B445C">
        <w:rPr>
          <w:color w:val="auto"/>
        </w:rPr>
        <w:t xml:space="preserve"> </w:t>
      </w:r>
      <w:r w:rsidR="009B4936">
        <w:rPr>
          <w:color w:val="auto"/>
        </w:rPr>
        <w:t xml:space="preserve">have not been considered within the options for a </w:t>
      </w:r>
      <w:r w:rsidR="004B445C">
        <w:rPr>
          <w:color w:val="auto"/>
        </w:rPr>
        <w:t xml:space="preserve">potential </w:t>
      </w:r>
      <w:r w:rsidR="009B4936">
        <w:rPr>
          <w:color w:val="auto"/>
        </w:rPr>
        <w:t>national cancer prostheses program outlined Section 5 or the costings outlined in</w:t>
      </w:r>
      <w:r w:rsidR="00E3111E">
        <w:rPr>
          <w:color w:val="auto"/>
        </w:rPr>
        <w:t> </w:t>
      </w:r>
      <w:r w:rsidR="009B4936">
        <w:rPr>
          <w:color w:val="auto"/>
        </w:rPr>
        <w:t>Section 6.</w:t>
      </w:r>
    </w:p>
    <w:p w14:paraId="4F6A1000" w14:textId="7183E22B" w:rsidR="007F20C0" w:rsidRPr="00FE302F" w:rsidRDefault="00B3448A" w:rsidP="00FD54A5">
      <w:pPr>
        <w:pStyle w:val="Heading4"/>
      </w:pPr>
      <w:r>
        <w:t>National prostheses services, programs and schemes</w:t>
      </w:r>
    </w:p>
    <w:p w14:paraId="700A646E" w14:textId="6BC7DCD9" w:rsidR="007F20C0" w:rsidRDefault="00373974" w:rsidP="000543B6">
      <w:r>
        <w:t>There are limited national</w:t>
      </w:r>
      <w:r w:rsidR="00507554">
        <w:t xml:space="preserve"> programs or</w:t>
      </w:r>
      <w:r>
        <w:t xml:space="preserve"> schemes </w:t>
      </w:r>
      <w:r w:rsidR="00C106B2">
        <w:t>in Australia that fund voice prostheses</w:t>
      </w:r>
      <w:r w:rsidR="008C17F2">
        <w:t xml:space="preserve">. </w:t>
      </w:r>
      <w:r w:rsidR="007F20C0" w:rsidRPr="00CE1834">
        <w:t>The</w:t>
      </w:r>
      <w:r w:rsidR="00D600A0">
        <w:t xml:space="preserve"> </w:t>
      </w:r>
      <w:r w:rsidR="007F20C0" w:rsidRPr="00CE1834">
        <w:t xml:space="preserve">DVA </w:t>
      </w:r>
      <w:r w:rsidR="007F20C0">
        <w:t xml:space="preserve">provides funding for voice prostheses to eligible veterans and dependents who </w:t>
      </w:r>
      <w:r w:rsidR="007D2BB5">
        <w:t xml:space="preserve">are living with or post a cancer </w:t>
      </w:r>
      <w:r w:rsidR="00F2766F">
        <w:t>diagnosis</w:t>
      </w:r>
      <w:r w:rsidR="007D2BB5">
        <w:t xml:space="preserve">. </w:t>
      </w:r>
      <w:r w:rsidR="007F20C0">
        <w:t xml:space="preserve">To access the program, eligible individuals must </w:t>
      </w:r>
      <w:r w:rsidR="003527BC">
        <w:t>be assessed by a speech pathologist or relevant specialist, who determines the appropriate device through</w:t>
      </w:r>
      <w:r w:rsidR="005A6D7B">
        <w:t xml:space="preserve"> a functional and product assessment </w:t>
      </w:r>
      <w:r w:rsidR="00D600A0">
        <w:t>form</w:t>
      </w:r>
      <w:r w:rsidR="007F20C0">
        <w:t>.</w:t>
      </w:r>
      <w:r w:rsidR="007F20C0" w:rsidRPr="0028443E">
        <w:t xml:space="preserve"> </w:t>
      </w:r>
      <w:r w:rsidR="007F20C0">
        <w:t xml:space="preserve">As outlined in Section </w:t>
      </w:r>
      <w:r w:rsidR="007F20C0">
        <w:fldChar w:fldCharType="begin"/>
      </w:r>
      <w:r w:rsidR="007F20C0">
        <w:instrText xml:space="preserve"> PAGEREF _Ref200567404 \h </w:instrText>
      </w:r>
      <w:r w:rsidR="007F20C0">
        <w:fldChar w:fldCharType="separate"/>
      </w:r>
      <w:r w:rsidR="007F20C0">
        <w:fldChar w:fldCharType="end"/>
      </w:r>
      <w:r w:rsidR="007F20C0">
        <w:t xml:space="preserve">.1.2, the health professional submits a RAP form to the DVA, </w:t>
      </w:r>
      <w:r w:rsidR="003527BC">
        <w:t xml:space="preserve">which must </w:t>
      </w:r>
      <w:r w:rsidR="00BC6B59">
        <w:t>include</w:t>
      </w:r>
      <w:r w:rsidR="007F20C0">
        <w:t xml:space="preserve"> supplier details and a quote. </w:t>
      </w:r>
      <w:r w:rsidR="003527BC">
        <w:t>Voice prostheses must be sourced from DVA-contracted</w:t>
      </w:r>
      <w:r w:rsidR="00F76D71">
        <w:t xml:space="preserve"> suppliers</w:t>
      </w:r>
      <w:r w:rsidR="00BC6B59">
        <w:t>, which the prescribing clinician can select based on clinical need and availability</w:t>
      </w:r>
      <w:r w:rsidR="007F20C0">
        <w:t>.</w:t>
      </w:r>
      <w:r w:rsidR="007B7939">
        <w:rPr>
          <w:rFonts w:ascii="ZWAdobeF" w:hAnsi="ZWAdobeF" w:cs="ZWAdobeF"/>
          <w:color w:val="auto"/>
          <w:sz w:val="2"/>
          <w:szCs w:val="2"/>
        </w:rPr>
        <w:t>106F</w:t>
      </w:r>
      <w:r w:rsidR="007F20C0">
        <w:rPr>
          <w:rStyle w:val="FootnoteReference"/>
        </w:rPr>
        <w:footnoteReference w:id="90"/>
      </w:r>
    </w:p>
    <w:p w14:paraId="4231D591" w14:textId="0C6DA7AB" w:rsidR="00393CBC" w:rsidRPr="00365145" w:rsidRDefault="00507554" w:rsidP="00365145">
      <w:r w:rsidRPr="00365145">
        <w:t>P</w:t>
      </w:r>
      <w:r w:rsidR="00DF73DF" w:rsidRPr="00365145">
        <w:t xml:space="preserve">rivate health insurance </w:t>
      </w:r>
      <w:r w:rsidR="00D600A0" w:rsidRPr="00365145">
        <w:t xml:space="preserve">typically </w:t>
      </w:r>
      <w:r w:rsidR="00404E0E" w:rsidRPr="00365145">
        <w:t>does</w:t>
      </w:r>
      <w:r w:rsidR="00DF73DF" w:rsidRPr="00365145">
        <w:t xml:space="preserve"> not cover voice prostheses under extras policies, as these</w:t>
      </w:r>
      <w:r w:rsidR="00393CBC" w:rsidRPr="00365145">
        <w:t xml:space="preserve"> prostheses are not </w:t>
      </w:r>
      <w:r w:rsidR="00C106B2" w:rsidRPr="00365145">
        <w:t>included</w:t>
      </w:r>
      <w:r w:rsidR="00393CBC" w:rsidRPr="00365145">
        <w:t xml:space="preserve"> on the Prescribed </w:t>
      </w:r>
      <w:r w:rsidR="00C106B2" w:rsidRPr="00365145">
        <w:t>L</w:t>
      </w:r>
      <w:r w:rsidR="00393CBC" w:rsidRPr="00365145">
        <w:t>ist</w:t>
      </w:r>
      <w:r w:rsidRPr="00365145">
        <w:t>.</w:t>
      </w:r>
      <w:r w:rsidR="007B7939" w:rsidRPr="00365145">
        <w:t>107F</w:t>
      </w:r>
      <w:r w:rsidR="00393CBC" w:rsidRPr="00365145">
        <w:rPr>
          <w:vertAlign w:val="superscript"/>
        </w:rPr>
        <w:footnoteReference w:id="91"/>
      </w:r>
      <w:r w:rsidR="00393CBC" w:rsidRPr="00365145">
        <w:t xml:space="preserve"> </w:t>
      </w:r>
    </w:p>
    <w:p w14:paraId="0F60747C" w14:textId="3E17F902" w:rsidR="003E4E39" w:rsidRPr="00FE302F" w:rsidRDefault="00670D14" w:rsidP="00FD54A5">
      <w:pPr>
        <w:pStyle w:val="Heading4"/>
      </w:pPr>
      <w:r>
        <w:t>Additional</w:t>
      </w:r>
      <w:r w:rsidR="00017C58">
        <w:t xml:space="preserve"> prostheses services</w:t>
      </w:r>
      <w:r w:rsidR="00B3448A">
        <w:t>, programs</w:t>
      </w:r>
      <w:r w:rsidR="00017C58">
        <w:t xml:space="preserve"> and schemes</w:t>
      </w:r>
    </w:p>
    <w:p w14:paraId="63F29BF4" w14:textId="5C35392B" w:rsidR="004044CA" w:rsidRPr="009A4EB8" w:rsidRDefault="001D7846" w:rsidP="009A4EB8">
      <w:r w:rsidRPr="00B91793">
        <w:t>Access to public</w:t>
      </w:r>
      <w:r w:rsidR="00A14C0B" w:rsidRPr="00B91793">
        <w:t xml:space="preserve">ly funded </w:t>
      </w:r>
      <w:r w:rsidR="003A27B9" w:rsidRPr="00B91793">
        <w:t>voice prostheses</w:t>
      </w:r>
      <w:r w:rsidR="00A14C0B" w:rsidRPr="00B91793">
        <w:t xml:space="preserve"> services</w:t>
      </w:r>
      <w:r w:rsidR="003A27B9" w:rsidRPr="00B91793">
        <w:t xml:space="preserve"> </w:t>
      </w:r>
      <w:r w:rsidR="00485ED3" w:rsidRPr="00B91793">
        <w:t xml:space="preserve">varies </w:t>
      </w:r>
      <w:r w:rsidR="004044CA" w:rsidRPr="00B91793">
        <w:t xml:space="preserve">significantly </w:t>
      </w:r>
      <w:r w:rsidR="00485ED3" w:rsidRPr="00B91793">
        <w:t>across jurisdiction</w:t>
      </w:r>
      <w:r w:rsidR="00A14C0B" w:rsidRPr="00B91793">
        <w:t>s</w:t>
      </w:r>
      <w:r w:rsidR="00485ED3" w:rsidRPr="00B91793">
        <w:t xml:space="preserve"> in Australia</w:t>
      </w:r>
      <w:r w:rsidR="004044CA" w:rsidRPr="00B91793">
        <w:t xml:space="preserve">, </w:t>
      </w:r>
      <w:r w:rsidR="005A5048" w:rsidRPr="00B91793">
        <w:t>resulting in</w:t>
      </w:r>
      <w:r w:rsidR="004044CA" w:rsidRPr="00B91793">
        <w:t xml:space="preserve"> inconsistent and inequitable access to communication aids for people who have undergone a laryngectomy</w:t>
      </w:r>
      <w:r w:rsidR="008F4F41" w:rsidRPr="00B91793">
        <w:t>.</w:t>
      </w:r>
      <w:r w:rsidR="00663FAD" w:rsidRPr="00B91793">
        <w:t xml:space="preserve"> </w:t>
      </w:r>
      <w:r w:rsidR="00663FAD" w:rsidRPr="00B91793">
        <w:fldChar w:fldCharType="begin"/>
      </w:r>
      <w:r w:rsidR="00663FAD" w:rsidRPr="00B91793">
        <w:instrText xml:space="preserve"> REF _Ref200988879 \h </w:instrText>
      </w:r>
      <w:r w:rsidR="00663FAD" w:rsidRPr="00B91793">
        <w:fldChar w:fldCharType="separate"/>
      </w:r>
      <w:r w:rsidR="00D955D8" w:rsidRPr="00B91793">
        <w:t>Table</w:t>
      </w:r>
      <w:r w:rsidR="002E0887" w:rsidRPr="00B91793">
        <w:t> </w:t>
      </w:r>
      <w:r w:rsidR="00D955D8" w:rsidRPr="00B91793">
        <w:t>11</w:t>
      </w:r>
      <w:r w:rsidR="00663FAD" w:rsidRPr="00B91793">
        <w:fldChar w:fldCharType="end"/>
      </w:r>
      <w:r w:rsidR="00663FAD" w:rsidRPr="00B91793">
        <w:t xml:space="preserve"> over</w:t>
      </w:r>
      <w:r w:rsidR="00A14C0B" w:rsidRPr="00B91793">
        <w:t xml:space="preserve"> page</w:t>
      </w:r>
      <w:r w:rsidR="00663FAD" w:rsidRPr="00B91793">
        <w:t xml:space="preserve"> provides </w:t>
      </w:r>
      <w:r w:rsidR="00A14C0B" w:rsidRPr="00B91793">
        <w:t>further</w:t>
      </w:r>
      <w:r w:rsidR="00663FAD" w:rsidRPr="00B91793">
        <w:t xml:space="preserve"> information on </w:t>
      </w:r>
      <w:r w:rsidR="009671DA" w:rsidRPr="00B91793">
        <w:t>voice prosthesis schemes</w:t>
      </w:r>
      <w:r w:rsidR="002739BC" w:rsidRPr="00B91793">
        <w:t xml:space="preserve"> available in each state and territory</w:t>
      </w:r>
      <w:r w:rsidR="009671DA" w:rsidRPr="00B91793">
        <w:t>, including eligibility criteri</w:t>
      </w:r>
      <w:r w:rsidR="009671DA" w:rsidRPr="009A4EB8">
        <w:t>a.</w:t>
      </w:r>
      <w:r w:rsidR="00047A5C" w:rsidRPr="009A4EB8">
        <w:t xml:space="preserve"> </w:t>
      </w:r>
    </w:p>
    <w:p w14:paraId="3580CE8F" w14:textId="2F94F3C7" w:rsidR="005617F8" w:rsidRDefault="005A5048" w:rsidP="009A4EB8">
      <w:pPr>
        <w:rPr>
          <w:rFonts w:ascii="ZWAdobeF" w:hAnsi="ZWAdobeF" w:cs="ZWAdobeF"/>
          <w:color w:val="auto"/>
          <w:sz w:val="2"/>
          <w:szCs w:val="2"/>
        </w:rPr>
      </w:pPr>
      <w:r w:rsidRPr="009A4EB8">
        <w:t>In Victoria, the Departme</w:t>
      </w:r>
      <w:r w:rsidRPr="00B91793">
        <w:t>nt of Health provides a range of voice aids, prostheses, and laryngectomy consumables through the State-Wide Equipment Program (SWEP) for people with permanent or long-term disabilities. This includes funding of up to $450 per non-indwelling voice prosthesis, up to three times per year, and up to $5,000 per year for laryngectomy consumables</w:t>
      </w:r>
      <w:r w:rsidRPr="005A5048">
        <w:rPr>
          <w:color w:val="auto"/>
        </w:rPr>
        <w:t>.</w:t>
      </w:r>
      <w:r w:rsidR="007B7939">
        <w:rPr>
          <w:rFonts w:ascii="ZWAdobeF" w:hAnsi="ZWAdobeF" w:cs="ZWAdobeF"/>
          <w:color w:val="auto"/>
          <w:sz w:val="2"/>
          <w:szCs w:val="2"/>
        </w:rPr>
        <w:t>108F</w:t>
      </w:r>
      <w:r w:rsidR="00404E0E">
        <w:rPr>
          <w:rStyle w:val="FootnoteReference"/>
          <w:color w:val="auto"/>
        </w:rPr>
        <w:footnoteReference w:id="92"/>
      </w:r>
      <w:r>
        <w:rPr>
          <w:color w:val="auto"/>
        </w:rPr>
        <w:t xml:space="preserve"> </w:t>
      </w:r>
      <w:r w:rsidR="00047A5C">
        <w:rPr>
          <w:color w:val="auto"/>
        </w:rPr>
        <w:t>Similarly</w:t>
      </w:r>
      <w:r w:rsidR="00E74C44">
        <w:rPr>
          <w:color w:val="auto"/>
        </w:rPr>
        <w:t>,</w:t>
      </w:r>
      <w:r w:rsidR="00047A5C">
        <w:rPr>
          <w:color w:val="auto"/>
        </w:rPr>
        <w:t xml:space="preserve"> in N</w:t>
      </w:r>
      <w:r w:rsidR="00485ED3">
        <w:rPr>
          <w:color w:val="auto"/>
        </w:rPr>
        <w:t>ew South Wales</w:t>
      </w:r>
      <w:r w:rsidR="00047A5C">
        <w:rPr>
          <w:color w:val="auto"/>
        </w:rPr>
        <w:t xml:space="preserve">, </w:t>
      </w:r>
      <w:proofErr w:type="spellStart"/>
      <w:r w:rsidR="00047A5C">
        <w:rPr>
          <w:color w:val="auto"/>
        </w:rPr>
        <w:t>E</w:t>
      </w:r>
      <w:r w:rsidR="00A516ED">
        <w:rPr>
          <w:color w:val="auto"/>
        </w:rPr>
        <w:t>nableNSW</w:t>
      </w:r>
      <w:proofErr w:type="spellEnd"/>
      <w:r w:rsidR="00A516ED">
        <w:rPr>
          <w:color w:val="auto"/>
        </w:rPr>
        <w:t xml:space="preserve"> </w:t>
      </w:r>
      <w:r w:rsidR="00485ED3">
        <w:rPr>
          <w:color w:val="auto"/>
        </w:rPr>
        <w:t>provides funding for</w:t>
      </w:r>
      <w:r w:rsidR="00A516ED">
        <w:rPr>
          <w:color w:val="auto"/>
        </w:rPr>
        <w:t xml:space="preserve"> voice prosthesis, electrolarynx and laryngectomy consumables</w:t>
      </w:r>
      <w:r w:rsidR="00F04930">
        <w:rPr>
          <w:color w:val="auto"/>
        </w:rPr>
        <w:t xml:space="preserve"> for people with </w:t>
      </w:r>
      <w:r w:rsidR="00FF69DF">
        <w:rPr>
          <w:color w:val="auto"/>
        </w:rPr>
        <w:t>long-term</w:t>
      </w:r>
      <w:r w:rsidR="00F04930">
        <w:rPr>
          <w:color w:val="auto"/>
        </w:rPr>
        <w:t xml:space="preserve"> need</w:t>
      </w:r>
      <w:r w:rsidR="00C71D08">
        <w:rPr>
          <w:color w:val="auto"/>
        </w:rPr>
        <w:t>s</w:t>
      </w:r>
      <w:r w:rsidR="007B7939">
        <w:rPr>
          <w:rFonts w:ascii="ZWAdobeF" w:hAnsi="ZWAdobeF" w:cs="ZWAdobeF"/>
          <w:color w:val="auto"/>
          <w:sz w:val="2"/>
          <w:szCs w:val="2"/>
        </w:rPr>
        <w:t>109F</w:t>
      </w:r>
      <w:r w:rsidR="00D24068">
        <w:rPr>
          <w:rStyle w:val="FootnoteReference"/>
          <w:color w:val="auto"/>
        </w:rPr>
        <w:footnoteReference w:id="93"/>
      </w:r>
      <w:r w:rsidR="00C71D08">
        <w:rPr>
          <w:color w:val="auto"/>
        </w:rPr>
        <w:t>.</w:t>
      </w:r>
      <w:r w:rsidR="00047A5C">
        <w:rPr>
          <w:color w:val="auto"/>
        </w:rPr>
        <w:t xml:space="preserve"> </w:t>
      </w:r>
      <w:r w:rsidR="00047A5C" w:rsidRPr="00B91793">
        <w:t>In T</w:t>
      </w:r>
      <w:r w:rsidR="00C71D08" w:rsidRPr="00B91793">
        <w:t>asmania</w:t>
      </w:r>
      <w:r w:rsidR="00047A5C" w:rsidRPr="00B91793">
        <w:t xml:space="preserve">, the </w:t>
      </w:r>
      <w:r w:rsidR="00E26E85" w:rsidRPr="00B91793">
        <w:t xml:space="preserve">Tasmanian Health Service </w:t>
      </w:r>
      <w:r w:rsidR="00C71D08" w:rsidRPr="00B91793">
        <w:t xml:space="preserve">offers dedicated funding for individuals living </w:t>
      </w:r>
      <w:r w:rsidR="00FF69DF" w:rsidRPr="00B91793">
        <w:t>post-laryngectomy</w:t>
      </w:r>
      <w:r w:rsidR="00C71D08" w:rsidRPr="00B91793">
        <w:t>. This support covers essential health aids, including voice prostheses and related consumables</w:t>
      </w:r>
      <w:r w:rsidR="00FF69DF" w:rsidRPr="00B91793">
        <w:t xml:space="preserve">, up to a maximum of </w:t>
      </w:r>
      <w:r w:rsidR="00633F07" w:rsidRPr="00B91793">
        <w:t>$6</w:t>
      </w:r>
      <w:r w:rsidR="00F11986" w:rsidRPr="00B91793">
        <w:t>,</w:t>
      </w:r>
      <w:r w:rsidR="00633F07" w:rsidRPr="00B91793">
        <w:t>000 per year</w:t>
      </w:r>
      <w:r w:rsidR="00D30FB3" w:rsidRPr="00C71D08">
        <w:rPr>
          <w:color w:val="auto"/>
        </w:rPr>
        <w:t>.</w:t>
      </w:r>
      <w:r w:rsidR="007B7939">
        <w:rPr>
          <w:rFonts w:ascii="ZWAdobeF" w:hAnsi="ZWAdobeF" w:cs="ZWAdobeF"/>
          <w:color w:val="auto"/>
          <w:sz w:val="2"/>
          <w:szCs w:val="2"/>
        </w:rPr>
        <w:t>110F</w:t>
      </w:r>
      <w:r w:rsidR="00F17800">
        <w:rPr>
          <w:rStyle w:val="FootnoteReference"/>
          <w:color w:val="auto"/>
        </w:rPr>
        <w:footnoteReference w:id="94"/>
      </w:r>
    </w:p>
    <w:p w14:paraId="07499860" w14:textId="637E6524" w:rsidR="00A22ACA" w:rsidRPr="009A4EB8" w:rsidRDefault="00AD32D1" w:rsidP="009A4EB8">
      <w:r w:rsidRPr="00B91793">
        <w:t>In contrast, Queensland’s Medical Aids Subsidy Scheme (MASS) provides funding for medical aids and equipment for eligible residents with permanent disabilities</w:t>
      </w:r>
      <w:r w:rsidR="00FF69DF" w:rsidRPr="00B91793">
        <w:t>;</w:t>
      </w:r>
      <w:r w:rsidRPr="00B91793">
        <w:t xml:space="preserve"> however, voice prostheses are specifically excluded and considered an out-of-scope consumable. MASS does provide funding for related items such as heat moisture exchangers (HMEs) and other laryngectomy componentry.</w:t>
      </w:r>
      <w:r w:rsidR="00656971" w:rsidRPr="00B91793">
        <w:t xml:space="preserve"> </w:t>
      </w:r>
      <w:r w:rsidR="00D525C5" w:rsidRPr="00B91793">
        <w:t xml:space="preserve">In the </w:t>
      </w:r>
      <w:r w:rsidR="008E5934" w:rsidRPr="00B91793">
        <w:t>Northern Territory, South Australia, Western Australia, and the Australian Capital Territory</w:t>
      </w:r>
      <w:r w:rsidR="00D525C5" w:rsidRPr="00B91793">
        <w:t xml:space="preserve">, </w:t>
      </w:r>
      <w:r w:rsidR="00D24068" w:rsidRPr="00B91793">
        <w:t>there was</w:t>
      </w:r>
      <w:r w:rsidR="00D525C5" w:rsidRPr="00B91793">
        <w:t xml:space="preserve"> </w:t>
      </w:r>
      <w:r w:rsidR="00D24068" w:rsidRPr="00B91793">
        <w:t xml:space="preserve">limited publicly available information to determine whether </w:t>
      </w:r>
      <w:r w:rsidR="00D525C5" w:rsidRPr="00B91793">
        <w:t>s</w:t>
      </w:r>
      <w:r w:rsidR="008E5934" w:rsidRPr="009A4EB8">
        <w:t>pecific state or territory funding schemes exist for voice prostheses.</w:t>
      </w:r>
    </w:p>
    <w:p w14:paraId="1B9186A9" w14:textId="415C5ED6" w:rsidR="0074795F" w:rsidRPr="0040690B" w:rsidRDefault="00E74C44" w:rsidP="009A4EB8">
      <w:r w:rsidRPr="009A4EB8">
        <w:t>Additio</w:t>
      </w:r>
      <w:r w:rsidRPr="00B91793">
        <w:t>nally, stakeholders consulted as part of this review noted that, while some jurisdictions do offer funding schemes, these are often insufficient to meet the variable needs associated with voice prostheses replacement. The frequency with which a voice prosthesis needs to be replaced can vary depending on individual factors such as ana</w:t>
      </w:r>
      <w:r w:rsidR="00DB4F41" w:rsidRPr="00B91793">
        <w:t>tomy</w:t>
      </w:r>
      <w:r w:rsidRPr="00B91793">
        <w:t xml:space="preserve">, infection, device malfunction, or increased leakage. As a result, annual caps on the number of funded prostheses may not </w:t>
      </w:r>
      <w:r w:rsidR="00DB4F41" w:rsidRPr="00B91793">
        <w:t>be appropriate for</w:t>
      </w:r>
      <w:r w:rsidRPr="00B91793">
        <w:t xml:space="preserve"> people </w:t>
      </w:r>
      <w:r w:rsidR="00DB4F41" w:rsidRPr="00B91793">
        <w:t>who require</w:t>
      </w:r>
      <w:r w:rsidRPr="00B91793">
        <w:t xml:space="preserve"> more frequent replacements. This can lead to prolong</w:t>
      </w:r>
      <w:r w:rsidR="00DB4F41" w:rsidRPr="00B91793">
        <w:t>ed</w:t>
      </w:r>
      <w:r w:rsidRPr="00B91793">
        <w:t xml:space="preserve"> use beyond the recommended period, increasing the risk of complications such as infection, thrush, or aspiration</w:t>
      </w:r>
      <w:r w:rsidR="001C4828" w:rsidRPr="00B91793">
        <w:t>.</w:t>
      </w:r>
    </w:p>
    <w:p w14:paraId="57EB9269" w14:textId="0B4B7D8E" w:rsidR="006F15F7" w:rsidRPr="0040690B" w:rsidRDefault="006F15F7" w:rsidP="0040690B">
      <w:pPr>
        <w:sectPr w:rsidR="006F15F7" w:rsidRPr="0040690B" w:rsidSect="00237740">
          <w:headerReference w:type="default" r:id="rId62"/>
          <w:pgSz w:w="11906" w:h="16838"/>
          <w:pgMar w:top="1418" w:right="851" w:bottom="851" w:left="851" w:header="567" w:footer="284" w:gutter="0"/>
          <w:cols w:space="708"/>
          <w:docGrid w:linePitch="360"/>
        </w:sectPr>
      </w:pPr>
    </w:p>
    <w:p w14:paraId="4259B7B4" w14:textId="1E2FA9EB" w:rsidR="00663FAD" w:rsidRPr="00564631" w:rsidRDefault="00663FAD" w:rsidP="00663FAD">
      <w:pPr>
        <w:pStyle w:val="Caption"/>
        <w:rPr>
          <w:color w:val="1E49E2" w:themeColor="accent1"/>
        </w:rPr>
      </w:pPr>
      <w:bookmarkStart w:id="86" w:name="_Ref200988879"/>
      <w:bookmarkStart w:id="87" w:name="_Toc207348576"/>
      <w:r>
        <w:t xml:space="preserve">Table </w:t>
      </w:r>
      <w:r w:rsidR="00D955D8">
        <w:fldChar w:fldCharType="begin"/>
      </w:r>
      <w:r w:rsidR="00D955D8">
        <w:instrText xml:space="preserve"> SEQ Table \* ARABIC </w:instrText>
      </w:r>
      <w:r w:rsidR="00D955D8">
        <w:fldChar w:fldCharType="separate"/>
      </w:r>
      <w:r w:rsidR="00D955D8">
        <w:rPr>
          <w:noProof/>
        </w:rPr>
        <w:t>11</w:t>
      </w:r>
      <w:r w:rsidR="00D955D8">
        <w:rPr>
          <w:noProof/>
        </w:rPr>
        <w:fldChar w:fldCharType="end"/>
      </w:r>
      <w:bookmarkEnd w:id="86"/>
      <w:r>
        <w:t>: Jurisdictional</w:t>
      </w:r>
      <w:r w:rsidRPr="002F735B">
        <w:t xml:space="preserve"> comparison of </w:t>
      </w:r>
      <w:r>
        <w:t>voice</w:t>
      </w:r>
      <w:r w:rsidRPr="002F735B">
        <w:t xml:space="preserve"> prostheses programs and schemes</w:t>
      </w:r>
      <w:bookmarkEnd w:id="87"/>
    </w:p>
    <w:tbl>
      <w:tblPr>
        <w:tblStyle w:val="KPMGTable"/>
        <w:tblW w:w="15247" w:type="dxa"/>
        <w:tblLook w:val="04A0" w:firstRow="1" w:lastRow="0" w:firstColumn="1" w:lastColumn="0" w:noHBand="0" w:noVBand="1"/>
      </w:tblPr>
      <w:tblGrid>
        <w:gridCol w:w="993"/>
        <w:gridCol w:w="1559"/>
        <w:gridCol w:w="5528"/>
        <w:gridCol w:w="2126"/>
        <w:gridCol w:w="1438"/>
        <w:gridCol w:w="1447"/>
        <w:gridCol w:w="2156"/>
      </w:tblGrid>
      <w:tr w:rsidR="00210A81" w:rsidRPr="00ED6DBA" w14:paraId="04CF81EF" w14:textId="2912E7BF" w:rsidTr="00A92069">
        <w:trPr>
          <w:cnfStyle w:val="100000000000" w:firstRow="1" w:lastRow="0" w:firstColumn="0" w:lastColumn="0" w:oddVBand="0" w:evenVBand="0" w:oddHBand="0" w:evenHBand="0" w:firstRowFirstColumn="0" w:firstRowLastColumn="0" w:lastRowFirstColumn="0" w:lastRowLastColumn="0"/>
          <w:trHeight w:val="672"/>
          <w:tblHeader/>
        </w:trPr>
        <w:tc>
          <w:tcPr>
            <w:cnfStyle w:val="001000000000" w:firstRow="0" w:lastRow="0" w:firstColumn="1" w:lastColumn="0" w:oddVBand="0" w:evenVBand="0" w:oddHBand="0" w:evenHBand="0" w:firstRowFirstColumn="0" w:firstRowLastColumn="0" w:lastRowFirstColumn="0" w:lastRowLastColumn="0"/>
            <w:tcW w:w="993" w:type="dxa"/>
          </w:tcPr>
          <w:p w14:paraId="11E12877" w14:textId="6B40C0ED" w:rsidR="00EF7AA8" w:rsidRPr="00EF7AA8" w:rsidRDefault="00EF7AA8" w:rsidP="00860737">
            <w:pPr>
              <w:pStyle w:val="TableHeading"/>
              <w:rPr>
                <w:b w:val="0"/>
                <w:color w:val="FFFFFF" w:themeColor="background1"/>
                <w:szCs w:val="18"/>
              </w:rPr>
            </w:pPr>
            <w:r w:rsidRPr="006765D4">
              <w:t>Program details</w:t>
            </w:r>
          </w:p>
        </w:tc>
        <w:tc>
          <w:tcPr>
            <w:tcW w:w="1559" w:type="dxa"/>
          </w:tcPr>
          <w:p w14:paraId="05DA1F52" w14:textId="1646B213" w:rsidR="00EF7AA8" w:rsidRPr="00EF7AA8" w:rsidRDefault="00EF7AA8" w:rsidP="00860737">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6765D4">
              <w:t>Scheme name</w:t>
            </w:r>
          </w:p>
        </w:tc>
        <w:tc>
          <w:tcPr>
            <w:tcW w:w="5528" w:type="dxa"/>
          </w:tcPr>
          <w:p w14:paraId="1BF04836" w14:textId="1B16F308" w:rsidR="00EF7AA8" w:rsidRPr="00EF7AA8" w:rsidRDefault="00EF7AA8" w:rsidP="00860737">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6765D4">
              <w:t>Eligibility criteria</w:t>
            </w:r>
          </w:p>
        </w:tc>
        <w:tc>
          <w:tcPr>
            <w:tcW w:w="2126" w:type="dxa"/>
          </w:tcPr>
          <w:p w14:paraId="6C0EF4AA" w14:textId="6E811AE6" w:rsidR="00EF7AA8" w:rsidRPr="00EF7AA8" w:rsidRDefault="00EF7AA8" w:rsidP="00860737">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6765D4">
              <w:t>Products and services included</w:t>
            </w:r>
          </w:p>
        </w:tc>
        <w:tc>
          <w:tcPr>
            <w:tcW w:w="1438" w:type="dxa"/>
          </w:tcPr>
          <w:p w14:paraId="14CD0EAD" w14:textId="195FC2CD" w:rsidR="00EF7AA8" w:rsidRPr="00EF7AA8" w:rsidRDefault="00EF7AA8" w:rsidP="00860737">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6765D4">
              <w:t>Funding source</w:t>
            </w:r>
          </w:p>
        </w:tc>
        <w:tc>
          <w:tcPr>
            <w:tcW w:w="1447" w:type="dxa"/>
          </w:tcPr>
          <w:p w14:paraId="19B8D280" w14:textId="5F5136E3" w:rsidR="00EF7AA8" w:rsidRPr="00EF7AA8" w:rsidRDefault="00EF7AA8" w:rsidP="00860737">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6765D4">
              <w:t>Funding model</w:t>
            </w:r>
          </w:p>
        </w:tc>
        <w:tc>
          <w:tcPr>
            <w:tcW w:w="2156" w:type="dxa"/>
          </w:tcPr>
          <w:p w14:paraId="62702F32" w14:textId="5FD8831A" w:rsidR="00EF7AA8" w:rsidRPr="00EF7AA8" w:rsidRDefault="00EF7AA8" w:rsidP="00860737">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6765D4">
              <w:t>Process for accessing a prosthesis</w:t>
            </w:r>
          </w:p>
        </w:tc>
      </w:tr>
      <w:tr w:rsidR="00AE1E92" w:rsidRPr="00ED6DBA" w14:paraId="59A8C725" w14:textId="77777777" w:rsidTr="00564631">
        <w:trPr>
          <w:trHeight w:val="442"/>
        </w:trPr>
        <w:tc>
          <w:tcPr>
            <w:cnfStyle w:val="001000000000" w:firstRow="0" w:lastRow="0" w:firstColumn="1" w:lastColumn="0" w:oddVBand="0" w:evenVBand="0" w:oddHBand="0" w:evenHBand="0" w:firstRowFirstColumn="0" w:firstRowLastColumn="0" w:lastRowFirstColumn="0" w:lastRowLastColumn="0"/>
            <w:tcW w:w="993" w:type="dxa"/>
          </w:tcPr>
          <w:p w14:paraId="1E79ECEC" w14:textId="06272758" w:rsidR="00513395" w:rsidRPr="00ED6DBA" w:rsidRDefault="00513395" w:rsidP="0089050A">
            <w:pPr>
              <w:pStyle w:val="Tabletextbold"/>
              <w:rPr>
                <w:color w:val="auto"/>
                <w:szCs w:val="18"/>
              </w:rPr>
            </w:pPr>
            <w:r>
              <w:t>ACT</w:t>
            </w:r>
          </w:p>
        </w:tc>
        <w:tc>
          <w:tcPr>
            <w:tcW w:w="1559" w:type="dxa"/>
          </w:tcPr>
          <w:p w14:paraId="4682EA35" w14:textId="07B78249" w:rsidR="00513395" w:rsidRPr="00ED6DBA" w:rsidRDefault="00552652" w:rsidP="0089050A">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Pr>
                <w:color w:val="auto"/>
              </w:rPr>
              <w:t xml:space="preserve">No </w:t>
            </w:r>
            <w:r w:rsidR="0047379D">
              <w:rPr>
                <w:color w:val="auto"/>
                <w:szCs w:val="18"/>
              </w:rPr>
              <w:t>publicly</w:t>
            </w:r>
            <w:r>
              <w:rPr>
                <w:color w:val="auto"/>
                <w:szCs w:val="18"/>
              </w:rPr>
              <w:t xml:space="preserve"> available</w:t>
            </w:r>
            <w:r w:rsidR="0047379D">
              <w:rPr>
                <w:color w:val="auto"/>
                <w:szCs w:val="18"/>
              </w:rPr>
              <w:t xml:space="preserve"> information</w:t>
            </w:r>
          </w:p>
        </w:tc>
        <w:tc>
          <w:tcPr>
            <w:tcW w:w="5528" w:type="dxa"/>
          </w:tcPr>
          <w:p w14:paraId="275FD03E" w14:textId="6D23F0FF" w:rsidR="00513395" w:rsidRPr="00ED6DBA" w:rsidRDefault="00552652" w:rsidP="0089050A">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Pr>
                <w:color w:val="auto"/>
              </w:rPr>
              <w:t>N/A</w:t>
            </w:r>
          </w:p>
        </w:tc>
        <w:tc>
          <w:tcPr>
            <w:tcW w:w="2126" w:type="dxa"/>
          </w:tcPr>
          <w:p w14:paraId="21C49DF6" w14:textId="5A42A472" w:rsidR="00513395" w:rsidRPr="00ED6DBA" w:rsidRDefault="00552652" w:rsidP="0089050A">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Pr>
                <w:color w:val="auto"/>
              </w:rPr>
              <w:t>N/A</w:t>
            </w:r>
          </w:p>
        </w:tc>
        <w:tc>
          <w:tcPr>
            <w:tcW w:w="1438" w:type="dxa"/>
          </w:tcPr>
          <w:p w14:paraId="0EECAC21" w14:textId="2D30BECD" w:rsidR="00513395" w:rsidRPr="00ED6DBA" w:rsidRDefault="00552652" w:rsidP="0089050A">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Pr>
                <w:color w:val="auto"/>
              </w:rPr>
              <w:t>N/A</w:t>
            </w:r>
          </w:p>
        </w:tc>
        <w:tc>
          <w:tcPr>
            <w:tcW w:w="1447" w:type="dxa"/>
          </w:tcPr>
          <w:p w14:paraId="28942596" w14:textId="077B1DAA" w:rsidR="00513395" w:rsidRPr="00ED6DBA" w:rsidRDefault="00552652" w:rsidP="0089050A">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Pr>
                <w:color w:val="auto"/>
              </w:rPr>
              <w:t>N/A</w:t>
            </w:r>
          </w:p>
        </w:tc>
        <w:tc>
          <w:tcPr>
            <w:tcW w:w="2156" w:type="dxa"/>
          </w:tcPr>
          <w:p w14:paraId="5672BCCA" w14:textId="3F5D5DD0" w:rsidR="00513395" w:rsidRPr="00ED6DBA" w:rsidRDefault="00552652" w:rsidP="0089050A">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Pr>
                <w:color w:val="auto"/>
              </w:rPr>
              <w:t>N/A</w:t>
            </w:r>
          </w:p>
        </w:tc>
      </w:tr>
      <w:tr w:rsidR="00AE1E92" w:rsidRPr="00ED6DBA" w14:paraId="71B69228" w14:textId="77777777" w:rsidTr="00564631">
        <w:trPr>
          <w:trHeight w:val="642"/>
        </w:trPr>
        <w:tc>
          <w:tcPr>
            <w:cnfStyle w:val="001000000000" w:firstRow="0" w:lastRow="0" w:firstColumn="1" w:lastColumn="0" w:oddVBand="0" w:evenVBand="0" w:oddHBand="0" w:evenHBand="0" w:firstRowFirstColumn="0" w:firstRowLastColumn="0" w:lastRowFirstColumn="0" w:lastRowLastColumn="0"/>
            <w:tcW w:w="993" w:type="dxa"/>
          </w:tcPr>
          <w:p w14:paraId="1FA70BEA" w14:textId="6775B1C7" w:rsidR="00513395" w:rsidRPr="00ED6DBA" w:rsidRDefault="00513395" w:rsidP="0089050A">
            <w:pPr>
              <w:pStyle w:val="Tabletextbold"/>
              <w:rPr>
                <w:color w:val="auto"/>
                <w:szCs w:val="18"/>
              </w:rPr>
            </w:pPr>
            <w:r>
              <w:t>NSW</w:t>
            </w:r>
          </w:p>
        </w:tc>
        <w:tc>
          <w:tcPr>
            <w:tcW w:w="1559" w:type="dxa"/>
          </w:tcPr>
          <w:p w14:paraId="6680C3A2" w14:textId="26ADFDB1" w:rsidR="00513395" w:rsidRPr="00ED6DBA" w:rsidRDefault="00513395" w:rsidP="0089050A">
            <w:pPr>
              <w:pStyle w:val="TableText"/>
              <w:cnfStyle w:val="000000000000" w:firstRow="0" w:lastRow="0" w:firstColumn="0" w:lastColumn="0" w:oddVBand="0" w:evenVBand="0" w:oddHBand="0" w:evenHBand="0" w:firstRowFirstColumn="0" w:firstRowLastColumn="0" w:lastRowFirstColumn="0" w:lastRowLastColumn="0"/>
              <w:rPr>
                <w:color w:val="auto"/>
                <w:szCs w:val="18"/>
              </w:rPr>
            </w:pPr>
            <w:proofErr w:type="spellStart"/>
            <w:r>
              <w:rPr>
                <w:color w:val="auto"/>
              </w:rPr>
              <w:t>EnableNSW</w:t>
            </w:r>
            <w:proofErr w:type="spellEnd"/>
            <w:r>
              <w:rPr>
                <w:color w:val="auto"/>
              </w:rPr>
              <w:t xml:space="preserve"> </w:t>
            </w:r>
            <w:r w:rsidR="007B7939">
              <w:rPr>
                <w:rFonts w:ascii="ZWAdobeF" w:hAnsi="ZWAdobeF" w:cs="ZWAdobeF"/>
                <w:color w:val="auto"/>
                <w:sz w:val="2"/>
                <w:szCs w:val="2"/>
              </w:rPr>
              <w:t>111F</w:t>
            </w:r>
            <w:r>
              <w:rPr>
                <w:rStyle w:val="FootnoteReference"/>
                <w:color w:val="auto"/>
                <w:szCs w:val="18"/>
              </w:rPr>
              <w:footnoteReference w:id="95"/>
            </w:r>
          </w:p>
        </w:tc>
        <w:tc>
          <w:tcPr>
            <w:tcW w:w="5528" w:type="dxa"/>
          </w:tcPr>
          <w:p w14:paraId="3229A204" w14:textId="77777777" w:rsidR="00513395" w:rsidRDefault="00513395" w:rsidP="0089050A">
            <w:pPr>
              <w:pStyle w:val="TableBullet1stlevel"/>
              <w:cnfStyle w:val="000000000000" w:firstRow="0" w:lastRow="0" w:firstColumn="0" w:lastColumn="0" w:oddVBand="0" w:evenVBand="0" w:oddHBand="0" w:evenHBand="0" w:firstRowFirstColumn="0" w:firstRowLastColumn="0" w:lastRowFirstColumn="0" w:lastRowLastColumn="0"/>
              <w:rPr>
                <w:color w:val="auto"/>
              </w:rPr>
            </w:pPr>
            <w:r>
              <w:t>Resident of NSW or Lord Howe Island, or an asylum seeker</w:t>
            </w:r>
          </w:p>
          <w:p w14:paraId="6AE9AC50" w14:textId="77777777" w:rsidR="00513395" w:rsidRDefault="00513395" w:rsidP="0089050A">
            <w:pPr>
              <w:pStyle w:val="TableBullet1stlevel"/>
              <w:cnfStyle w:val="000000000000" w:firstRow="0" w:lastRow="0" w:firstColumn="0" w:lastColumn="0" w:oddVBand="0" w:evenVBand="0" w:oddHBand="0" w:evenHBand="0" w:firstRowFirstColumn="0" w:firstRowLastColumn="0" w:lastRowFirstColumn="0" w:lastRowLastColumn="0"/>
              <w:rPr>
                <w:color w:val="auto"/>
              </w:rPr>
            </w:pPr>
            <w:r>
              <w:t>Enrolled with Medicare</w:t>
            </w:r>
          </w:p>
          <w:p w14:paraId="1B431F8F" w14:textId="77777777" w:rsidR="00513395" w:rsidRDefault="00513395" w:rsidP="0089050A">
            <w:pPr>
              <w:pStyle w:val="TableBullet1stlevel"/>
              <w:cnfStyle w:val="000000000000" w:firstRow="0" w:lastRow="0" w:firstColumn="0" w:lastColumn="0" w:oddVBand="0" w:evenVBand="0" w:oddHBand="0" w:evenHBand="0" w:firstRowFirstColumn="0" w:firstRowLastColumn="0" w:lastRowFirstColumn="0" w:lastRowLastColumn="0"/>
              <w:rPr>
                <w:color w:val="auto"/>
              </w:rPr>
            </w:pPr>
            <w:r>
              <w:t xml:space="preserve">Assistive technology is prescribed to support a health need </w:t>
            </w:r>
          </w:p>
          <w:p w14:paraId="640A80C8" w14:textId="761A77CA" w:rsidR="00513395" w:rsidRDefault="00513395" w:rsidP="0089050A">
            <w:pPr>
              <w:pStyle w:val="TableBullet1stlevel"/>
              <w:cnfStyle w:val="000000000000" w:firstRow="0" w:lastRow="0" w:firstColumn="0" w:lastColumn="0" w:oddVBand="0" w:evenVBand="0" w:oddHBand="0" w:evenHBand="0" w:firstRowFirstColumn="0" w:firstRowLastColumn="0" w:lastRowFirstColumn="0" w:lastRowLastColumn="0"/>
              <w:rPr>
                <w:color w:val="auto"/>
              </w:rPr>
            </w:pPr>
            <w:r>
              <w:t xml:space="preserve">Have a long-term disability (more than </w:t>
            </w:r>
            <w:r w:rsidRPr="00A22ACA">
              <w:rPr>
                <w:color w:val="auto"/>
              </w:rPr>
              <w:t>1</w:t>
            </w:r>
            <w:r>
              <w:rPr>
                <w:color w:val="auto"/>
              </w:rPr>
              <w:t>2 months)</w:t>
            </w:r>
          </w:p>
          <w:p w14:paraId="74DDFD75" w14:textId="7788D7B6" w:rsidR="00513395" w:rsidRPr="00A22ACA" w:rsidRDefault="00513395" w:rsidP="0089050A">
            <w:pPr>
              <w:pStyle w:val="TableBullet1stlevel"/>
              <w:cnfStyle w:val="000000000000" w:firstRow="0" w:lastRow="0" w:firstColumn="0" w:lastColumn="0" w:oddVBand="0" w:evenVBand="0" w:oddHBand="0" w:evenHBand="0" w:firstRowFirstColumn="0" w:firstRowLastColumn="0" w:lastRowFirstColumn="0" w:lastRowLastColumn="0"/>
              <w:rPr>
                <w:color w:val="auto"/>
              </w:rPr>
            </w:pPr>
            <w:r>
              <w:t>Not receiving funding under any other government scheme</w:t>
            </w:r>
          </w:p>
        </w:tc>
        <w:tc>
          <w:tcPr>
            <w:tcW w:w="2126" w:type="dxa"/>
          </w:tcPr>
          <w:p w14:paraId="3A63EB17" w14:textId="77777777" w:rsidR="00513395" w:rsidRDefault="00513395" w:rsidP="0089050A">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Pr>
                <w:color w:val="auto"/>
              </w:rPr>
              <w:t>Non-indwelling voice prostheses (up to 3 per year)</w:t>
            </w:r>
          </w:p>
          <w:p w14:paraId="03516905" w14:textId="40D44A79" w:rsidR="00513395" w:rsidRPr="00ED6DBA" w:rsidRDefault="00513395" w:rsidP="0089050A">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Pr>
                <w:color w:val="auto"/>
              </w:rPr>
              <w:t xml:space="preserve">Laryngectomy consumables </w:t>
            </w:r>
          </w:p>
        </w:tc>
        <w:tc>
          <w:tcPr>
            <w:tcW w:w="1438" w:type="dxa"/>
          </w:tcPr>
          <w:p w14:paraId="65368D80" w14:textId="4ADE5328" w:rsidR="00513395" w:rsidRPr="00ED6DBA" w:rsidRDefault="00513395" w:rsidP="0089050A">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Pr>
                <w:color w:val="auto"/>
              </w:rPr>
              <w:t xml:space="preserve">State government </w:t>
            </w:r>
          </w:p>
        </w:tc>
        <w:tc>
          <w:tcPr>
            <w:tcW w:w="1447" w:type="dxa"/>
          </w:tcPr>
          <w:p w14:paraId="78DF598A" w14:textId="083D65D0" w:rsidR="00513395" w:rsidRPr="00ED6DBA" w:rsidRDefault="00513395" w:rsidP="0089050A">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sidRPr="00F04319">
              <w:t>Fully funded</w:t>
            </w:r>
          </w:p>
        </w:tc>
        <w:tc>
          <w:tcPr>
            <w:tcW w:w="2156" w:type="dxa"/>
          </w:tcPr>
          <w:p w14:paraId="2B7B0582" w14:textId="0B7E0A33" w:rsidR="00513395" w:rsidRPr="00ED6DBA" w:rsidRDefault="00513395" w:rsidP="0089050A">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Pr>
                <w:color w:val="auto"/>
              </w:rPr>
              <w:t xml:space="preserve">Assessment by a speech pathology, prescription of a voice prostheses, submit form to </w:t>
            </w:r>
            <w:proofErr w:type="spellStart"/>
            <w:r>
              <w:rPr>
                <w:color w:val="auto"/>
              </w:rPr>
              <w:t>EnableNSW</w:t>
            </w:r>
            <w:proofErr w:type="spellEnd"/>
          </w:p>
        </w:tc>
      </w:tr>
      <w:tr w:rsidR="00AE1E92" w:rsidRPr="00ED6DBA" w14:paraId="70A1E5EE" w14:textId="77777777" w:rsidTr="00564631">
        <w:trPr>
          <w:trHeight w:val="1035"/>
        </w:trPr>
        <w:tc>
          <w:tcPr>
            <w:cnfStyle w:val="001000000000" w:firstRow="0" w:lastRow="0" w:firstColumn="1" w:lastColumn="0" w:oddVBand="0" w:evenVBand="0" w:oddHBand="0" w:evenHBand="0" w:firstRowFirstColumn="0" w:firstRowLastColumn="0" w:lastRowFirstColumn="0" w:lastRowLastColumn="0"/>
            <w:tcW w:w="993" w:type="dxa"/>
          </w:tcPr>
          <w:p w14:paraId="4841477B" w14:textId="27022517" w:rsidR="00513395" w:rsidRPr="00ED6DBA" w:rsidRDefault="00513395" w:rsidP="0089050A">
            <w:pPr>
              <w:pStyle w:val="Tabletextbold"/>
              <w:rPr>
                <w:color w:val="auto"/>
                <w:szCs w:val="18"/>
              </w:rPr>
            </w:pPr>
            <w:r>
              <w:t>QLD</w:t>
            </w:r>
          </w:p>
        </w:tc>
        <w:tc>
          <w:tcPr>
            <w:tcW w:w="1559" w:type="dxa"/>
          </w:tcPr>
          <w:p w14:paraId="0B6004C4" w14:textId="7BEA3821" w:rsidR="00513395" w:rsidRPr="00ED6DBA" w:rsidRDefault="00513395" w:rsidP="0089050A">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sidRPr="00DA7511">
              <w:rPr>
                <w:color w:val="auto"/>
              </w:rPr>
              <w:t>Medical Aids Subsidy Scheme</w:t>
            </w:r>
            <w:r w:rsidR="00DD6C6D">
              <w:rPr>
                <w:rStyle w:val="FootnoteReference"/>
                <w:b/>
                <w:szCs w:val="18"/>
              </w:rPr>
              <w:t xml:space="preserve"> </w:t>
            </w:r>
            <w:r w:rsidR="007B7939">
              <w:rPr>
                <w:rFonts w:ascii="ZWAdobeF" w:hAnsi="ZWAdobeF" w:cs="ZWAdobeF"/>
                <w:color w:val="auto"/>
                <w:sz w:val="2"/>
                <w:szCs w:val="2"/>
              </w:rPr>
              <w:t>112F</w:t>
            </w:r>
            <w:r w:rsidR="00DD6C6D">
              <w:rPr>
                <w:rStyle w:val="FootnoteReference"/>
                <w:b/>
                <w:szCs w:val="18"/>
              </w:rPr>
              <w:footnoteReference w:id="96"/>
            </w:r>
          </w:p>
        </w:tc>
        <w:tc>
          <w:tcPr>
            <w:tcW w:w="5528" w:type="dxa"/>
          </w:tcPr>
          <w:p w14:paraId="606EC7D1" w14:textId="6E19E9C4" w:rsidR="00513395" w:rsidRDefault="00513395" w:rsidP="0089050A">
            <w:pPr>
              <w:pStyle w:val="TableBullet1stlevel"/>
              <w:cnfStyle w:val="000000000000" w:firstRow="0" w:lastRow="0" w:firstColumn="0" w:lastColumn="0" w:oddVBand="0" w:evenVBand="0" w:oddHBand="0" w:evenHBand="0" w:firstRowFirstColumn="0" w:firstRowLastColumn="0" w:lastRowFirstColumn="0" w:lastRowLastColumn="0"/>
              <w:rPr>
                <w:color w:val="auto"/>
              </w:rPr>
            </w:pPr>
            <w:r>
              <w:t xml:space="preserve">Permanent reside of Queensland, or hold a permanent protection visa, humanitarian visa or be an </w:t>
            </w:r>
            <w:r>
              <w:rPr>
                <w:color w:val="auto"/>
              </w:rPr>
              <w:t>asylum seeker</w:t>
            </w:r>
          </w:p>
          <w:p w14:paraId="2A916FFF" w14:textId="77777777" w:rsidR="00513395" w:rsidRDefault="00513395" w:rsidP="0089050A">
            <w:pPr>
              <w:pStyle w:val="TableBullet1stlevel"/>
              <w:cnfStyle w:val="000000000000" w:firstRow="0" w:lastRow="0" w:firstColumn="0" w:lastColumn="0" w:oddVBand="0" w:evenVBand="0" w:oddHBand="0" w:evenHBand="0" w:firstRowFirstColumn="0" w:firstRowLastColumn="0" w:lastRowFirstColumn="0" w:lastRowLastColumn="0"/>
              <w:rPr>
                <w:color w:val="auto"/>
              </w:rPr>
            </w:pPr>
            <w:r>
              <w:t>Hold a current Medicare card</w:t>
            </w:r>
          </w:p>
          <w:p w14:paraId="5BC66C1F" w14:textId="5446AE76" w:rsidR="00513395" w:rsidRDefault="00513395" w:rsidP="0089050A">
            <w:pPr>
              <w:pStyle w:val="TableBullet1stlevel"/>
              <w:cnfStyle w:val="000000000000" w:firstRow="0" w:lastRow="0" w:firstColumn="0" w:lastColumn="0" w:oddVBand="0" w:evenVBand="0" w:oddHBand="0" w:evenHBand="0" w:firstRowFirstColumn="0" w:firstRowLastColumn="0" w:lastRowFirstColumn="0" w:lastRowLastColumn="0"/>
              <w:rPr>
                <w:color w:val="auto"/>
              </w:rPr>
            </w:pPr>
            <w:r>
              <w:t xml:space="preserve">Undergone a surgical procedure for laryngectomy </w:t>
            </w:r>
          </w:p>
          <w:p w14:paraId="7DA386D3" w14:textId="662EC297" w:rsidR="00513395" w:rsidRPr="00ED6DBA" w:rsidRDefault="00513395" w:rsidP="0089050A">
            <w:pPr>
              <w:pStyle w:val="TableBullet1stlevel"/>
              <w:cnfStyle w:val="000000000000" w:firstRow="0" w:lastRow="0" w:firstColumn="0" w:lastColumn="0" w:oddVBand="0" w:evenVBand="0" w:oddHBand="0" w:evenHBand="0" w:firstRowFirstColumn="0" w:firstRowLastColumn="0" w:lastRowFirstColumn="0" w:lastRowLastColumn="0"/>
              <w:rPr>
                <w:color w:val="auto"/>
              </w:rPr>
            </w:pPr>
            <w:r>
              <w:t>Not receiving funding under any other government scheme</w:t>
            </w:r>
          </w:p>
        </w:tc>
        <w:tc>
          <w:tcPr>
            <w:tcW w:w="2126" w:type="dxa"/>
          </w:tcPr>
          <w:p w14:paraId="057852A1" w14:textId="74087CFA" w:rsidR="00513395" w:rsidRPr="00ED6DBA" w:rsidRDefault="00513395" w:rsidP="0089050A">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Pr>
                <w:color w:val="auto"/>
              </w:rPr>
              <w:t xml:space="preserve">Laryngectomy consumables </w:t>
            </w:r>
          </w:p>
        </w:tc>
        <w:tc>
          <w:tcPr>
            <w:tcW w:w="1438" w:type="dxa"/>
          </w:tcPr>
          <w:p w14:paraId="74069545" w14:textId="2A675F87" w:rsidR="00513395" w:rsidRPr="00ED6DBA" w:rsidRDefault="00513395" w:rsidP="0089050A">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Pr>
                <w:color w:val="auto"/>
              </w:rPr>
              <w:t xml:space="preserve">State government </w:t>
            </w:r>
          </w:p>
        </w:tc>
        <w:tc>
          <w:tcPr>
            <w:tcW w:w="1447" w:type="dxa"/>
          </w:tcPr>
          <w:p w14:paraId="3B996D68" w14:textId="5AC881ED" w:rsidR="00513395" w:rsidRPr="00ED6DBA" w:rsidRDefault="00513395" w:rsidP="0089050A">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sidRPr="00F04319">
              <w:t>Fully funded</w:t>
            </w:r>
          </w:p>
        </w:tc>
        <w:tc>
          <w:tcPr>
            <w:tcW w:w="2156" w:type="dxa"/>
          </w:tcPr>
          <w:p w14:paraId="0806F3A5" w14:textId="34935399" w:rsidR="00513395" w:rsidRPr="00ED6DBA" w:rsidRDefault="00513395" w:rsidP="0089050A">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Pr>
                <w:color w:val="auto"/>
              </w:rPr>
              <w:t xml:space="preserve">Speech pathology or otolaryngologists </w:t>
            </w:r>
            <w:r w:rsidRPr="00311098">
              <w:rPr>
                <w:color w:val="auto"/>
                <w:szCs w:val="18"/>
              </w:rPr>
              <w:t xml:space="preserve">complete a prescription for the applicant s and </w:t>
            </w:r>
            <w:proofErr w:type="gramStart"/>
            <w:r w:rsidRPr="00311098">
              <w:rPr>
                <w:color w:val="auto"/>
                <w:szCs w:val="18"/>
              </w:rPr>
              <w:t>submit an application</w:t>
            </w:r>
            <w:proofErr w:type="gramEnd"/>
            <w:r w:rsidRPr="00311098">
              <w:rPr>
                <w:color w:val="auto"/>
                <w:szCs w:val="18"/>
              </w:rPr>
              <w:t xml:space="preserve"> on behalf of the applicant to Q</w:t>
            </w:r>
            <w:r>
              <w:rPr>
                <w:color w:val="auto"/>
                <w:szCs w:val="18"/>
              </w:rPr>
              <w:t>ueensland Health</w:t>
            </w:r>
          </w:p>
        </w:tc>
      </w:tr>
      <w:tr w:rsidR="00AE1E92" w:rsidRPr="00ED6DBA" w14:paraId="3D733902" w14:textId="77777777" w:rsidTr="00564631">
        <w:trPr>
          <w:trHeight w:val="642"/>
        </w:trPr>
        <w:tc>
          <w:tcPr>
            <w:cnfStyle w:val="001000000000" w:firstRow="0" w:lastRow="0" w:firstColumn="1" w:lastColumn="0" w:oddVBand="0" w:evenVBand="0" w:oddHBand="0" w:evenHBand="0" w:firstRowFirstColumn="0" w:firstRowLastColumn="0" w:lastRowFirstColumn="0" w:lastRowLastColumn="0"/>
            <w:tcW w:w="993" w:type="dxa"/>
          </w:tcPr>
          <w:p w14:paraId="1D5F9759" w14:textId="2099E8D8" w:rsidR="00513395" w:rsidRPr="00ED6DBA" w:rsidRDefault="00513395" w:rsidP="0089050A">
            <w:pPr>
              <w:pStyle w:val="Tabletextbold"/>
              <w:rPr>
                <w:color w:val="auto"/>
                <w:szCs w:val="18"/>
              </w:rPr>
            </w:pPr>
            <w:r>
              <w:t>VIC</w:t>
            </w:r>
          </w:p>
        </w:tc>
        <w:tc>
          <w:tcPr>
            <w:tcW w:w="1559" w:type="dxa"/>
          </w:tcPr>
          <w:p w14:paraId="773DE33B" w14:textId="6378391B" w:rsidR="00513395" w:rsidRPr="00ED6DBA" w:rsidRDefault="00513395" w:rsidP="0089050A">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sidRPr="00ED6DBA">
              <w:rPr>
                <w:color w:val="auto"/>
              </w:rPr>
              <w:t>State-wide Equipment Program</w:t>
            </w:r>
            <w:r w:rsidR="007B7939">
              <w:rPr>
                <w:rFonts w:ascii="ZWAdobeF" w:hAnsi="ZWAdobeF" w:cs="ZWAdobeF"/>
                <w:color w:val="auto"/>
                <w:sz w:val="2"/>
                <w:szCs w:val="2"/>
              </w:rPr>
              <w:t>113F</w:t>
            </w:r>
            <w:r>
              <w:rPr>
                <w:rStyle w:val="FootnoteReference"/>
                <w:color w:val="auto"/>
                <w:szCs w:val="18"/>
              </w:rPr>
              <w:footnoteReference w:id="97"/>
            </w:r>
          </w:p>
        </w:tc>
        <w:tc>
          <w:tcPr>
            <w:tcW w:w="5528" w:type="dxa"/>
          </w:tcPr>
          <w:p w14:paraId="15E32C3F" w14:textId="77777777" w:rsidR="00513395" w:rsidRDefault="00513395" w:rsidP="0089050A">
            <w:pPr>
              <w:pStyle w:val="TableBullet1stlevel"/>
              <w:cnfStyle w:val="000000000000" w:firstRow="0" w:lastRow="0" w:firstColumn="0" w:lastColumn="0" w:oddVBand="0" w:evenVBand="0" w:oddHBand="0" w:evenHBand="0" w:firstRowFirstColumn="0" w:firstRowLastColumn="0" w:lastRowFirstColumn="0" w:lastRowLastColumn="0"/>
              <w:rPr>
                <w:color w:val="auto"/>
              </w:rPr>
            </w:pPr>
            <w:r>
              <w:t xml:space="preserve">Permanent resident in VIC, or hold a Government Visa, be an asylum seeker or hold a temporary protection visa </w:t>
            </w:r>
          </w:p>
          <w:p w14:paraId="4511663D" w14:textId="77777777" w:rsidR="00513395" w:rsidRDefault="00513395" w:rsidP="0089050A">
            <w:pPr>
              <w:pStyle w:val="TableBullet1stlevel"/>
              <w:cnfStyle w:val="000000000000" w:firstRow="0" w:lastRow="0" w:firstColumn="0" w:lastColumn="0" w:oddVBand="0" w:evenVBand="0" w:oddHBand="0" w:evenHBand="0" w:firstRowFirstColumn="0" w:firstRowLastColumn="0" w:lastRowFirstColumn="0" w:lastRowLastColumn="0"/>
              <w:rPr>
                <w:color w:val="auto"/>
              </w:rPr>
            </w:pPr>
            <w:r>
              <w:t>Have a disability of a permanent nature</w:t>
            </w:r>
          </w:p>
          <w:p w14:paraId="7FA05502" w14:textId="77777777" w:rsidR="00513395" w:rsidRDefault="00513395" w:rsidP="0089050A">
            <w:pPr>
              <w:pStyle w:val="TableBullet1stlevel"/>
              <w:cnfStyle w:val="000000000000" w:firstRow="0" w:lastRow="0" w:firstColumn="0" w:lastColumn="0" w:oddVBand="0" w:evenVBand="0" w:oddHBand="0" w:evenHBand="0" w:firstRowFirstColumn="0" w:firstRowLastColumn="0" w:lastRowFirstColumn="0" w:lastRowLastColumn="0"/>
              <w:rPr>
                <w:color w:val="auto"/>
              </w:rPr>
            </w:pPr>
            <w:r>
              <w:t>Not receiving funding under any other government scheme</w:t>
            </w:r>
          </w:p>
          <w:p w14:paraId="1C434D97" w14:textId="5D277317" w:rsidR="00513395" w:rsidRPr="00ED6DBA" w:rsidRDefault="00513395" w:rsidP="0089050A">
            <w:pPr>
              <w:pStyle w:val="TableBullet1stlevel"/>
              <w:cnfStyle w:val="000000000000" w:firstRow="0" w:lastRow="0" w:firstColumn="0" w:lastColumn="0" w:oddVBand="0" w:evenVBand="0" w:oddHBand="0" w:evenHBand="0" w:firstRowFirstColumn="0" w:firstRowLastColumn="0" w:lastRowFirstColumn="0" w:lastRowLastColumn="0"/>
              <w:rPr>
                <w:color w:val="auto"/>
              </w:rPr>
            </w:pPr>
            <w:r>
              <w:t>Undergone a surgical procedure for laryngectomy</w:t>
            </w:r>
          </w:p>
        </w:tc>
        <w:tc>
          <w:tcPr>
            <w:tcW w:w="2126" w:type="dxa"/>
          </w:tcPr>
          <w:p w14:paraId="5A9D4CB7" w14:textId="7DE5DC12" w:rsidR="00513395" w:rsidRDefault="00513395" w:rsidP="0089050A">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Pr>
                <w:color w:val="auto"/>
              </w:rPr>
              <w:t>Non-indwelling voice pro</w:t>
            </w:r>
            <w:r w:rsidR="00243A26">
              <w:rPr>
                <w:color w:val="auto"/>
                <w:szCs w:val="18"/>
              </w:rPr>
              <w:t>s</w:t>
            </w:r>
            <w:r>
              <w:rPr>
                <w:color w:val="auto"/>
                <w:szCs w:val="18"/>
              </w:rPr>
              <w:t>theses ($450 per voice prosthesis, up to three per year)</w:t>
            </w:r>
          </w:p>
          <w:p w14:paraId="5D0456C5" w14:textId="5CE891CA" w:rsidR="00513395" w:rsidRPr="00ED6DBA" w:rsidRDefault="00513395" w:rsidP="0089050A">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Pr>
                <w:color w:val="auto"/>
              </w:rPr>
              <w:t xml:space="preserve">Laryngectomy consumables ($5000 per annum) </w:t>
            </w:r>
          </w:p>
        </w:tc>
        <w:tc>
          <w:tcPr>
            <w:tcW w:w="1438" w:type="dxa"/>
          </w:tcPr>
          <w:p w14:paraId="0A81B742" w14:textId="3CA8113B" w:rsidR="00513395" w:rsidRPr="00ED6DBA" w:rsidRDefault="00513395" w:rsidP="0089050A">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sidRPr="00ED6DBA">
              <w:rPr>
                <w:color w:val="auto"/>
              </w:rPr>
              <w:t>State government</w:t>
            </w:r>
          </w:p>
        </w:tc>
        <w:tc>
          <w:tcPr>
            <w:tcW w:w="1447" w:type="dxa"/>
          </w:tcPr>
          <w:p w14:paraId="2D6023D6" w14:textId="474D33F2" w:rsidR="00513395" w:rsidRPr="00ED6DBA" w:rsidRDefault="00513395" w:rsidP="0089050A">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sidRPr="00ED6DBA">
              <w:rPr>
                <w:color w:val="auto"/>
              </w:rPr>
              <w:t>Subsidy-based scheme</w:t>
            </w:r>
          </w:p>
        </w:tc>
        <w:tc>
          <w:tcPr>
            <w:tcW w:w="2156" w:type="dxa"/>
          </w:tcPr>
          <w:p w14:paraId="5C4B9FCF" w14:textId="55507093" w:rsidR="00513395" w:rsidRPr="00ED6DBA" w:rsidRDefault="00513395" w:rsidP="0089050A">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t>A</w:t>
            </w:r>
            <w:r w:rsidRPr="00267910">
              <w:rPr>
                <w:szCs w:val="18"/>
              </w:rPr>
              <w:t xml:space="preserve">ssessment by </w:t>
            </w:r>
            <w:r>
              <w:rPr>
                <w:szCs w:val="18"/>
              </w:rPr>
              <w:t>a speech pathology, application</w:t>
            </w:r>
            <w:r w:rsidRPr="00267910">
              <w:rPr>
                <w:szCs w:val="18"/>
              </w:rPr>
              <w:t xml:space="preserve"> to </w:t>
            </w:r>
            <w:r>
              <w:rPr>
                <w:szCs w:val="18"/>
              </w:rPr>
              <w:t>SWPE,</w:t>
            </w:r>
          </w:p>
        </w:tc>
      </w:tr>
      <w:tr w:rsidR="00AE1E92" w:rsidRPr="00ED6DBA" w14:paraId="06082D2C" w14:textId="77777777" w:rsidTr="00564631">
        <w:trPr>
          <w:trHeight w:val="484"/>
        </w:trPr>
        <w:tc>
          <w:tcPr>
            <w:cnfStyle w:val="001000000000" w:firstRow="0" w:lastRow="0" w:firstColumn="1" w:lastColumn="0" w:oddVBand="0" w:evenVBand="0" w:oddHBand="0" w:evenHBand="0" w:firstRowFirstColumn="0" w:firstRowLastColumn="0" w:lastRowFirstColumn="0" w:lastRowLastColumn="0"/>
            <w:tcW w:w="993" w:type="dxa"/>
          </w:tcPr>
          <w:p w14:paraId="15A99D9C" w14:textId="12211B9F" w:rsidR="00513395" w:rsidRPr="00ED6DBA" w:rsidRDefault="00513395" w:rsidP="0089050A">
            <w:pPr>
              <w:pStyle w:val="Tabletextbold"/>
              <w:rPr>
                <w:color w:val="auto"/>
                <w:szCs w:val="18"/>
              </w:rPr>
            </w:pPr>
            <w:r>
              <w:rPr>
                <w:szCs w:val="18"/>
              </w:rPr>
              <w:t>SA</w:t>
            </w:r>
          </w:p>
        </w:tc>
        <w:tc>
          <w:tcPr>
            <w:tcW w:w="1559" w:type="dxa"/>
          </w:tcPr>
          <w:p w14:paraId="27103367" w14:textId="54353065" w:rsidR="00513395" w:rsidRPr="00ED6DBA" w:rsidRDefault="00552652" w:rsidP="0040690B">
            <w:pPr>
              <w:pStyle w:val="TableText"/>
              <w:cnfStyle w:val="000000000000" w:firstRow="0" w:lastRow="0" w:firstColumn="0" w:lastColumn="0" w:oddVBand="0" w:evenVBand="0" w:oddHBand="0" w:evenHBand="0" w:firstRowFirstColumn="0" w:firstRowLastColumn="0" w:lastRowFirstColumn="0" w:lastRowLastColumn="0"/>
            </w:pPr>
            <w:r>
              <w:t xml:space="preserve">No </w:t>
            </w:r>
            <w:r w:rsidR="0047379D">
              <w:t>publicly</w:t>
            </w:r>
            <w:r>
              <w:t xml:space="preserve"> available</w:t>
            </w:r>
            <w:r w:rsidR="0047379D">
              <w:t xml:space="preserve"> information</w:t>
            </w:r>
          </w:p>
        </w:tc>
        <w:tc>
          <w:tcPr>
            <w:tcW w:w="5528" w:type="dxa"/>
          </w:tcPr>
          <w:p w14:paraId="3390C611" w14:textId="6583D7FB" w:rsidR="00513395" w:rsidRPr="00ED6DBA" w:rsidRDefault="00552652" w:rsidP="0040690B">
            <w:pPr>
              <w:pStyle w:val="TableText"/>
              <w:cnfStyle w:val="000000000000" w:firstRow="0" w:lastRow="0" w:firstColumn="0" w:lastColumn="0" w:oddVBand="0" w:evenVBand="0" w:oddHBand="0" w:evenHBand="0" w:firstRowFirstColumn="0" w:firstRowLastColumn="0" w:lastRowFirstColumn="0" w:lastRowLastColumn="0"/>
            </w:pPr>
            <w:r>
              <w:t>N/A</w:t>
            </w:r>
          </w:p>
        </w:tc>
        <w:tc>
          <w:tcPr>
            <w:tcW w:w="2126" w:type="dxa"/>
          </w:tcPr>
          <w:p w14:paraId="540B573C" w14:textId="6EB031D0" w:rsidR="00513395" w:rsidRPr="00ED6DBA" w:rsidRDefault="00552652" w:rsidP="0040690B">
            <w:pPr>
              <w:pStyle w:val="TableText"/>
              <w:cnfStyle w:val="000000000000" w:firstRow="0" w:lastRow="0" w:firstColumn="0" w:lastColumn="0" w:oddVBand="0" w:evenVBand="0" w:oddHBand="0" w:evenHBand="0" w:firstRowFirstColumn="0" w:firstRowLastColumn="0" w:lastRowFirstColumn="0" w:lastRowLastColumn="0"/>
            </w:pPr>
            <w:r>
              <w:t>N/A</w:t>
            </w:r>
          </w:p>
        </w:tc>
        <w:tc>
          <w:tcPr>
            <w:tcW w:w="1438" w:type="dxa"/>
          </w:tcPr>
          <w:p w14:paraId="521E8990" w14:textId="12329EF0" w:rsidR="00513395" w:rsidRPr="00ED6DBA" w:rsidRDefault="00552652" w:rsidP="0040690B">
            <w:pPr>
              <w:pStyle w:val="TableText"/>
              <w:cnfStyle w:val="000000000000" w:firstRow="0" w:lastRow="0" w:firstColumn="0" w:lastColumn="0" w:oddVBand="0" w:evenVBand="0" w:oddHBand="0" w:evenHBand="0" w:firstRowFirstColumn="0" w:firstRowLastColumn="0" w:lastRowFirstColumn="0" w:lastRowLastColumn="0"/>
            </w:pPr>
            <w:r>
              <w:t>N/A</w:t>
            </w:r>
          </w:p>
        </w:tc>
        <w:tc>
          <w:tcPr>
            <w:tcW w:w="1447" w:type="dxa"/>
          </w:tcPr>
          <w:p w14:paraId="7890414F" w14:textId="41F23EB8" w:rsidR="00513395" w:rsidRPr="00ED6DBA" w:rsidRDefault="00552652" w:rsidP="0040690B">
            <w:pPr>
              <w:pStyle w:val="TableText"/>
              <w:cnfStyle w:val="000000000000" w:firstRow="0" w:lastRow="0" w:firstColumn="0" w:lastColumn="0" w:oddVBand="0" w:evenVBand="0" w:oddHBand="0" w:evenHBand="0" w:firstRowFirstColumn="0" w:firstRowLastColumn="0" w:lastRowFirstColumn="0" w:lastRowLastColumn="0"/>
            </w:pPr>
            <w:r>
              <w:t>N/A</w:t>
            </w:r>
          </w:p>
        </w:tc>
        <w:tc>
          <w:tcPr>
            <w:tcW w:w="2156" w:type="dxa"/>
          </w:tcPr>
          <w:p w14:paraId="51267866" w14:textId="5AA5EBEF" w:rsidR="00513395" w:rsidRPr="00ED6DBA" w:rsidRDefault="00552652" w:rsidP="0040690B">
            <w:pPr>
              <w:pStyle w:val="TableText"/>
              <w:cnfStyle w:val="000000000000" w:firstRow="0" w:lastRow="0" w:firstColumn="0" w:lastColumn="0" w:oddVBand="0" w:evenVBand="0" w:oddHBand="0" w:evenHBand="0" w:firstRowFirstColumn="0" w:firstRowLastColumn="0" w:lastRowFirstColumn="0" w:lastRowLastColumn="0"/>
            </w:pPr>
            <w:r>
              <w:t>N/A</w:t>
            </w:r>
          </w:p>
        </w:tc>
      </w:tr>
      <w:tr w:rsidR="00AE1E92" w:rsidRPr="00ED6DBA" w14:paraId="10F600DF" w14:textId="77777777" w:rsidTr="00564631">
        <w:trPr>
          <w:trHeight w:val="393"/>
        </w:trPr>
        <w:tc>
          <w:tcPr>
            <w:cnfStyle w:val="001000000000" w:firstRow="0" w:lastRow="0" w:firstColumn="1" w:lastColumn="0" w:oddVBand="0" w:evenVBand="0" w:oddHBand="0" w:evenHBand="0" w:firstRowFirstColumn="0" w:firstRowLastColumn="0" w:lastRowFirstColumn="0" w:lastRowLastColumn="0"/>
            <w:tcW w:w="993" w:type="dxa"/>
          </w:tcPr>
          <w:p w14:paraId="7191C69F" w14:textId="6E1A64D5" w:rsidR="00560BD5" w:rsidRDefault="00560BD5" w:rsidP="00DF2030">
            <w:pPr>
              <w:pStyle w:val="Tabletextbold"/>
              <w:rPr>
                <w:b/>
                <w:szCs w:val="18"/>
              </w:rPr>
            </w:pPr>
            <w:r>
              <w:t>WA</w:t>
            </w:r>
          </w:p>
        </w:tc>
        <w:tc>
          <w:tcPr>
            <w:tcW w:w="1559" w:type="dxa"/>
          </w:tcPr>
          <w:p w14:paraId="007DAD4A" w14:textId="46131E10" w:rsidR="00560BD5" w:rsidRPr="00ED6DBA" w:rsidRDefault="00552652" w:rsidP="00DF2030">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Pr>
                <w:color w:val="auto"/>
              </w:rPr>
              <w:t xml:space="preserve">No </w:t>
            </w:r>
            <w:r w:rsidR="0047379D">
              <w:rPr>
                <w:color w:val="auto"/>
                <w:szCs w:val="18"/>
              </w:rPr>
              <w:t>publicly</w:t>
            </w:r>
            <w:r>
              <w:rPr>
                <w:color w:val="auto"/>
                <w:szCs w:val="18"/>
              </w:rPr>
              <w:t xml:space="preserve"> available</w:t>
            </w:r>
            <w:r w:rsidR="0047379D">
              <w:rPr>
                <w:color w:val="auto"/>
                <w:szCs w:val="18"/>
              </w:rPr>
              <w:t xml:space="preserve"> information</w:t>
            </w:r>
          </w:p>
        </w:tc>
        <w:tc>
          <w:tcPr>
            <w:tcW w:w="5528" w:type="dxa"/>
          </w:tcPr>
          <w:p w14:paraId="706D962B" w14:textId="54BA375A" w:rsidR="00560BD5" w:rsidRPr="00ED6DBA" w:rsidRDefault="00552652" w:rsidP="00DF2030">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Pr>
                <w:color w:val="auto"/>
              </w:rPr>
              <w:t>N/A</w:t>
            </w:r>
          </w:p>
        </w:tc>
        <w:tc>
          <w:tcPr>
            <w:tcW w:w="2126" w:type="dxa"/>
          </w:tcPr>
          <w:p w14:paraId="3726E8DB" w14:textId="6A433887" w:rsidR="00560BD5" w:rsidRPr="00ED6DBA" w:rsidRDefault="00552652" w:rsidP="00DF2030">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Pr>
                <w:color w:val="auto"/>
              </w:rPr>
              <w:t>N/A</w:t>
            </w:r>
          </w:p>
        </w:tc>
        <w:tc>
          <w:tcPr>
            <w:tcW w:w="1438" w:type="dxa"/>
          </w:tcPr>
          <w:p w14:paraId="6ABFFAE3" w14:textId="3B321342" w:rsidR="00560BD5" w:rsidRPr="00ED6DBA" w:rsidRDefault="00552652" w:rsidP="00DF2030">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Pr>
                <w:color w:val="auto"/>
              </w:rPr>
              <w:t>N/A</w:t>
            </w:r>
          </w:p>
        </w:tc>
        <w:tc>
          <w:tcPr>
            <w:tcW w:w="1447" w:type="dxa"/>
          </w:tcPr>
          <w:p w14:paraId="6208D4CB" w14:textId="7216D49F" w:rsidR="00560BD5" w:rsidRPr="00ED6DBA" w:rsidRDefault="00552652" w:rsidP="00DF2030">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Pr>
                <w:color w:val="auto"/>
              </w:rPr>
              <w:t>N/A</w:t>
            </w:r>
          </w:p>
        </w:tc>
        <w:tc>
          <w:tcPr>
            <w:tcW w:w="2156" w:type="dxa"/>
          </w:tcPr>
          <w:p w14:paraId="07D85308" w14:textId="068EF05A" w:rsidR="00560BD5" w:rsidRPr="00ED6DBA" w:rsidRDefault="00552652" w:rsidP="00DF2030">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Pr>
                <w:color w:val="auto"/>
              </w:rPr>
              <w:t>N/A</w:t>
            </w:r>
          </w:p>
        </w:tc>
      </w:tr>
      <w:tr w:rsidR="00AE1E92" w:rsidRPr="00ED6DBA" w14:paraId="7CA52DE7" w14:textId="77777777" w:rsidTr="00564631">
        <w:trPr>
          <w:trHeight w:val="215"/>
        </w:trPr>
        <w:tc>
          <w:tcPr>
            <w:cnfStyle w:val="001000000000" w:firstRow="0" w:lastRow="0" w:firstColumn="1" w:lastColumn="0" w:oddVBand="0" w:evenVBand="0" w:oddHBand="0" w:evenHBand="0" w:firstRowFirstColumn="0" w:firstRowLastColumn="0" w:lastRowFirstColumn="0" w:lastRowLastColumn="0"/>
            <w:tcW w:w="993" w:type="dxa"/>
          </w:tcPr>
          <w:p w14:paraId="548C0DD1" w14:textId="2F78ADBD" w:rsidR="00560BD5" w:rsidRDefault="00560BD5" w:rsidP="00DF2030">
            <w:pPr>
              <w:pStyle w:val="Tabletextbold"/>
              <w:rPr>
                <w:b/>
                <w:szCs w:val="18"/>
              </w:rPr>
            </w:pPr>
            <w:r>
              <w:t>NT</w:t>
            </w:r>
          </w:p>
        </w:tc>
        <w:tc>
          <w:tcPr>
            <w:tcW w:w="1559" w:type="dxa"/>
          </w:tcPr>
          <w:p w14:paraId="1BFAEBD0" w14:textId="252F2040" w:rsidR="00560BD5" w:rsidRPr="00ED6DBA" w:rsidRDefault="00552652" w:rsidP="00DF2030">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Pr>
                <w:color w:val="auto"/>
              </w:rPr>
              <w:t xml:space="preserve">No </w:t>
            </w:r>
            <w:r w:rsidR="0047379D">
              <w:rPr>
                <w:color w:val="auto"/>
                <w:szCs w:val="18"/>
              </w:rPr>
              <w:t>publicly</w:t>
            </w:r>
            <w:r>
              <w:rPr>
                <w:color w:val="auto"/>
                <w:szCs w:val="18"/>
              </w:rPr>
              <w:t xml:space="preserve"> available</w:t>
            </w:r>
            <w:r w:rsidR="0047379D">
              <w:rPr>
                <w:color w:val="auto"/>
                <w:szCs w:val="18"/>
              </w:rPr>
              <w:t xml:space="preserve"> information</w:t>
            </w:r>
          </w:p>
        </w:tc>
        <w:tc>
          <w:tcPr>
            <w:tcW w:w="5528" w:type="dxa"/>
          </w:tcPr>
          <w:p w14:paraId="043538B9" w14:textId="501C0AFC" w:rsidR="00560BD5" w:rsidRPr="00ED6DBA" w:rsidRDefault="00552652" w:rsidP="00DF2030">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Pr>
                <w:color w:val="auto"/>
              </w:rPr>
              <w:t>N/A</w:t>
            </w:r>
          </w:p>
        </w:tc>
        <w:tc>
          <w:tcPr>
            <w:tcW w:w="2126" w:type="dxa"/>
          </w:tcPr>
          <w:p w14:paraId="08CDC07E" w14:textId="0F608892" w:rsidR="00560BD5" w:rsidRPr="00ED6DBA" w:rsidRDefault="00552652" w:rsidP="00DF2030">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Pr>
                <w:color w:val="auto"/>
              </w:rPr>
              <w:t>N/A</w:t>
            </w:r>
          </w:p>
        </w:tc>
        <w:tc>
          <w:tcPr>
            <w:tcW w:w="1438" w:type="dxa"/>
          </w:tcPr>
          <w:p w14:paraId="585E467D" w14:textId="6967D3C7" w:rsidR="00560BD5" w:rsidRPr="00ED6DBA" w:rsidRDefault="00552652" w:rsidP="00DF2030">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Pr>
                <w:color w:val="auto"/>
              </w:rPr>
              <w:t>N/A</w:t>
            </w:r>
          </w:p>
        </w:tc>
        <w:tc>
          <w:tcPr>
            <w:tcW w:w="1447" w:type="dxa"/>
          </w:tcPr>
          <w:p w14:paraId="33C30366" w14:textId="26578629" w:rsidR="00560BD5" w:rsidRPr="00ED6DBA" w:rsidRDefault="00552652" w:rsidP="00DF2030">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Pr>
                <w:color w:val="auto"/>
              </w:rPr>
              <w:t>N/A</w:t>
            </w:r>
          </w:p>
        </w:tc>
        <w:tc>
          <w:tcPr>
            <w:tcW w:w="2156" w:type="dxa"/>
          </w:tcPr>
          <w:p w14:paraId="5B663FA9" w14:textId="7535BC4B" w:rsidR="00560BD5" w:rsidRPr="00ED6DBA" w:rsidRDefault="00552652" w:rsidP="00DF2030">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Pr>
                <w:color w:val="auto"/>
              </w:rPr>
              <w:t>N/A</w:t>
            </w:r>
          </w:p>
        </w:tc>
      </w:tr>
      <w:tr w:rsidR="00AE1E92" w:rsidRPr="00ED6DBA" w14:paraId="5C988F9F" w14:textId="77777777" w:rsidTr="00564631">
        <w:trPr>
          <w:trHeight w:val="404"/>
        </w:trPr>
        <w:tc>
          <w:tcPr>
            <w:cnfStyle w:val="001000000000" w:firstRow="0" w:lastRow="0" w:firstColumn="1" w:lastColumn="0" w:oddVBand="0" w:evenVBand="0" w:oddHBand="0" w:evenHBand="0" w:firstRowFirstColumn="0" w:firstRowLastColumn="0" w:lastRowFirstColumn="0" w:lastRowLastColumn="0"/>
            <w:tcW w:w="993" w:type="dxa"/>
          </w:tcPr>
          <w:p w14:paraId="301C3E84" w14:textId="7121AA18" w:rsidR="00560BD5" w:rsidRPr="00EF7AA8" w:rsidRDefault="00560BD5" w:rsidP="00DF2030">
            <w:pPr>
              <w:pStyle w:val="Tabletextbold"/>
              <w:rPr>
                <w:b/>
                <w:bCs/>
                <w:color w:val="auto"/>
                <w:szCs w:val="18"/>
              </w:rPr>
            </w:pPr>
            <w:r w:rsidRPr="00EF7AA8">
              <w:rPr>
                <w:color w:val="auto"/>
              </w:rPr>
              <w:t>TAS</w:t>
            </w:r>
          </w:p>
        </w:tc>
        <w:tc>
          <w:tcPr>
            <w:tcW w:w="1559" w:type="dxa"/>
          </w:tcPr>
          <w:p w14:paraId="46971E0D" w14:textId="1633A909" w:rsidR="00560BD5" w:rsidRPr="00ED6DBA" w:rsidRDefault="00560BD5" w:rsidP="00DF2030">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Pr>
                <w:color w:val="auto"/>
              </w:rPr>
              <w:t>Public hospital system</w:t>
            </w:r>
            <w:r w:rsidR="007B7939">
              <w:rPr>
                <w:rFonts w:ascii="ZWAdobeF" w:hAnsi="ZWAdobeF" w:cs="ZWAdobeF"/>
                <w:color w:val="auto"/>
                <w:sz w:val="2"/>
                <w:szCs w:val="2"/>
              </w:rPr>
              <w:t>114F</w:t>
            </w:r>
            <w:r w:rsidR="00D525C5">
              <w:rPr>
                <w:rStyle w:val="FootnoteReference"/>
                <w:color w:val="auto"/>
                <w:szCs w:val="18"/>
              </w:rPr>
              <w:footnoteReference w:id="98"/>
            </w:r>
          </w:p>
        </w:tc>
        <w:tc>
          <w:tcPr>
            <w:tcW w:w="5528" w:type="dxa"/>
          </w:tcPr>
          <w:p w14:paraId="2E68B93B" w14:textId="57FDF421" w:rsidR="00560BD5" w:rsidRPr="00ED6DBA" w:rsidRDefault="00560BD5" w:rsidP="00DF2030">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Pr>
                <w:color w:val="auto"/>
              </w:rPr>
              <w:t xml:space="preserve">No information </w:t>
            </w:r>
          </w:p>
        </w:tc>
        <w:tc>
          <w:tcPr>
            <w:tcW w:w="2126" w:type="dxa"/>
          </w:tcPr>
          <w:p w14:paraId="0296E47A" w14:textId="57DC8326" w:rsidR="00560BD5" w:rsidRPr="00ED6DBA" w:rsidRDefault="00560BD5" w:rsidP="00DF2030">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Pr>
                <w:color w:val="auto"/>
              </w:rPr>
              <w:t xml:space="preserve">Voice prostheses and laryngectomy consumables </w:t>
            </w:r>
            <w:r>
              <w:rPr>
                <w:color w:val="auto"/>
                <w:szCs w:val="18"/>
              </w:rPr>
              <w:t>($6000 per year)</w:t>
            </w:r>
          </w:p>
        </w:tc>
        <w:tc>
          <w:tcPr>
            <w:tcW w:w="1438" w:type="dxa"/>
          </w:tcPr>
          <w:p w14:paraId="71C7E034" w14:textId="7DD3A9FD" w:rsidR="00560BD5" w:rsidRPr="00ED6DBA" w:rsidRDefault="00560BD5" w:rsidP="00DF2030">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Pr>
                <w:color w:val="auto"/>
              </w:rPr>
              <w:t>State government</w:t>
            </w:r>
          </w:p>
        </w:tc>
        <w:tc>
          <w:tcPr>
            <w:tcW w:w="1447" w:type="dxa"/>
          </w:tcPr>
          <w:p w14:paraId="1BF11A77" w14:textId="7C7C2A41" w:rsidR="00560BD5" w:rsidRPr="00ED6DBA" w:rsidRDefault="00560BD5" w:rsidP="00DF2030">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rPr>
                <w:color w:val="auto"/>
              </w:rPr>
              <w:t>Subsidy</w:t>
            </w:r>
            <w:r w:rsidR="00DE5802">
              <w:rPr>
                <w:color w:val="auto"/>
                <w:szCs w:val="18"/>
              </w:rPr>
              <w:t>-</w:t>
            </w:r>
            <w:r>
              <w:rPr>
                <w:color w:val="auto"/>
                <w:szCs w:val="18"/>
              </w:rPr>
              <w:t xml:space="preserve">based scheme </w:t>
            </w:r>
          </w:p>
        </w:tc>
        <w:tc>
          <w:tcPr>
            <w:tcW w:w="2156" w:type="dxa"/>
          </w:tcPr>
          <w:p w14:paraId="0B90FD1C" w14:textId="14570EBD" w:rsidR="00560BD5" w:rsidRPr="00ED6DBA" w:rsidRDefault="00560BD5" w:rsidP="00DF2030">
            <w:pPr>
              <w:pStyle w:val="TableText"/>
              <w:cnfStyle w:val="000000000000" w:firstRow="0" w:lastRow="0" w:firstColumn="0" w:lastColumn="0" w:oddVBand="0" w:evenVBand="0" w:oddHBand="0" w:evenHBand="0" w:firstRowFirstColumn="0" w:firstRowLastColumn="0" w:lastRowFirstColumn="0" w:lastRowLastColumn="0"/>
              <w:rPr>
                <w:color w:val="auto"/>
                <w:szCs w:val="18"/>
              </w:rPr>
            </w:pPr>
            <w:r>
              <w:t>Prescription</w:t>
            </w:r>
            <w:r w:rsidRPr="00267910">
              <w:rPr>
                <w:szCs w:val="18"/>
              </w:rPr>
              <w:t xml:space="preserve"> by </w:t>
            </w:r>
            <w:r>
              <w:rPr>
                <w:szCs w:val="18"/>
              </w:rPr>
              <w:t>a speech pathology</w:t>
            </w:r>
          </w:p>
        </w:tc>
      </w:tr>
    </w:tbl>
    <w:p w14:paraId="035CB75D" w14:textId="108E572C" w:rsidR="00A22ACA" w:rsidRPr="003C1BCE" w:rsidRDefault="00D525C5" w:rsidP="00DF2030">
      <w:pPr>
        <w:pStyle w:val="Caption-Source"/>
        <w:rPr>
          <w:i/>
          <w:color w:val="auto"/>
          <w:szCs w:val="20"/>
        </w:rPr>
        <w:sectPr w:rsidR="00A22ACA" w:rsidRPr="003C1BCE" w:rsidSect="00EB5874">
          <w:pgSz w:w="16838" w:h="11906" w:orient="landscape"/>
          <w:pgMar w:top="1418" w:right="851" w:bottom="1418" w:left="851" w:header="567" w:footer="284" w:gutter="0"/>
          <w:cols w:space="708"/>
          <w:docGrid w:linePitch="360"/>
        </w:sectPr>
      </w:pPr>
      <w:r w:rsidRPr="00564631">
        <w:t xml:space="preserve">Source: Adapted from </w:t>
      </w:r>
      <w:proofErr w:type="spellStart"/>
      <w:r w:rsidRPr="00564631">
        <w:t>EnableNSW</w:t>
      </w:r>
      <w:proofErr w:type="spellEnd"/>
      <w:r w:rsidRPr="00564631">
        <w:t xml:space="preserve"> (2023)</w:t>
      </w:r>
      <w:r w:rsidR="003C1BCE" w:rsidRPr="00564631">
        <w:t>,</w:t>
      </w:r>
      <w:r w:rsidRPr="00564631">
        <w:t xml:space="preserve"> Queensland Health (2025)</w:t>
      </w:r>
      <w:r w:rsidR="003C1BCE" w:rsidRPr="00564631">
        <w:t>,</w:t>
      </w:r>
      <w:r w:rsidRPr="00564631">
        <w:t xml:space="preserve"> SWEP (2021)</w:t>
      </w:r>
      <w:r w:rsidR="003C1BCE" w:rsidRPr="00564631">
        <w:t>,</w:t>
      </w:r>
      <w:r>
        <w:t xml:space="preserve"> </w:t>
      </w:r>
      <w:proofErr w:type="spellStart"/>
      <w:r w:rsidR="00DD6C6D" w:rsidRPr="00564631">
        <w:t>Mainmed</w:t>
      </w:r>
      <w:proofErr w:type="spellEnd"/>
      <w:r w:rsidR="00DD6C6D" w:rsidRPr="00564631">
        <w:t xml:space="preserve"> </w:t>
      </w:r>
      <w:r w:rsidR="00DD6C6D" w:rsidRPr="003C1BCE">
        <w:rPr>
          <w:i/>
        </w:rPr>
        <w:t>(2025)</w:t>
      </w:r>
    </w:p>
    <w:p w14:paraId="4F76749A" w14:textId="2E180FED" w:rsidR="00BE6AAB" w:rsidRPr="00841320" w:rsidRDefault="00EA3C0E" w:rsidP="00841320">
      <w:pPr>
        <w:pStyle w:val="Heading3"/>
      </w:pPr>
      <w:r w:rsidRPr="00841320">
        <w:t>M</w:t>
      </w:r>
      <w:r w:rsidR="004C5946" w:rsidRPr="00841320">
        <w:t>ale reproductive</w:t>
      </w:r>
      <w:r w:rsidR="00BE6AAB" w:rsidRPr="00841320">
        <w:t xml:space="preserve"> prostheses</w:t>
      </w:r>
    </w:p>
    <w:p w14:paraId="1268D654" w14:textId="1DCFDB3B" w:rsidR="00DE5802" w:rsidRPr="00DE5802" w:rsidRDefault="00DE5802" w:rsidP="00FD54A5">
      <w:pPr>
        <w:pStyle w:val="Heading4"/>
      </w:pPr>
      <w:r>
        <w:t xml:space="preserve">About </w:t>
      </w:r>
      <w:r w:rsidR="004C5946">
        <w:t>male reproductive</w:t>
      </w:r>
      <w:r>
        <w:t xml:space="preserve"> prostheses </w:t>
      </w:r>
    </w:p>
    <w:p w14:paraId="60D4EEAD" w14:textId="449CA670" w:rsidR="00C73BE0" w:rsidRPr="0040690B" w:rsidRDefault="005B5BAC" w:rsidP="0040690B">
      <w:r w:rsidRPr="0040690B">
        <w:t>P</w:t>
      </w:r>
      <w:r w:rsidR="002507A4" w:rsidRPr="0040690B">
        <w:t xml:space="preserve">rostate cancer is the </w:t>
      </w:r>
      <w:proofErr w:type="gramStart"/>
      <w:r w:rsidR="002507A4" w:rsidRPr="0040690B">
        <w:t>most commonly diagnosed</w:t>
      </w:r>
      <w:proofErr w:type="gramEnd"/>
      <w:r w:rsidR="002507A4" w:rsidRPr="0040690B">
        <w:t xml:space="preserve"> cancer </w:t>
      </w:r>
      <w:r w:rsidR="00BA0186" w:rsidRPr="0040690B">
        <w:t>among me</w:t>
      </w:r>
      <w:r w:rsidR="002507A4" w:rsidRPr="0040690B">
        <w:t>n</w:t>
      </w:r>
      <w:r w:rsidR="00BA0186" w:rsidRPr="0040690B">
        <w:t xml:space="preserve"> in</w:t>
      </w:r>
      <w:r w:rsidR="002507A4" w:rsidRPr="0040690B">
        <w:t xml:space="preserve"> Australia, </w:t>
      </w:r>
      <w:r w:rsidR="00BA0186" w:rsidRPr="0040690B">
        <w:t>with an estimated</w:t>
      </w:r>
      <w:r w:rsidR="002507A4" w:rsidRPr="0040690B">
        <w:t xml:space="preserve"> one in six </w:t>
      </w:r>
      <w:r w:rsidR="00BA0186" w:rsidRPr="0040690B">
        <w:t xml:space="preserve">men receiving a diagnosis by the age of 85. In 2024, over </w:t>
      </w:r>
      <w:r w:rsidR="00DC5E30" w:rsidRPr="0040690B">
        <w:t xml:space="preserve">26,000 cases were diagnosed. </w:t>
      </w:r>
      <w:r w:rsidR="001F1A46" w:rsidRPr="0040690B">
        <w:t>While survival rates are high, many men experience long-term side effects following treatment, including impotence and incontinence.</w:t>
      </w:r>
      <w:r w:rsidR="002507A4" w:rsidRPr="0040690B">
        <w:t xml:space="preserve"> </w:t>
      </w:r>
      <w:r w:rsidR="001F1A46" w:rsidRPr="0040690B">
        <w:t>This is a common consequence of prostate surgery or radiation therapy.</w:t>
      </w:r>
      <w:r w:rsidR="007B7939" w:rsidRPr="0040690B">
        <w:t>115F</w:t>
      </w:r>
      <w:r w:rsidR="00C73BE0" w:rsidRPr="0040690B">
        <w:rPr>
          <w:vertAlign w:val="superscript"/>
        </w:rPr>
        <w:footnoteReference w:id="99"/>
      </w:r>
    </w:p>
    <w:p w14:paraId="3B334B18" w14:textId="5F54C866" w:rsidR="007330CE" w:rsidRPr="0040690B" w:rsidRDefault="00581E67" w:rsidP="0040690B">
      <w:r w:rsidRPr="0040690B">
        <w:t xml:space="preserve">Male </w:t>
      </w:r>
      <w:r w:rsidR="003C1BCE" w:rsidRPr="0040690B">
        <w:t>reproductive</w:t>
      </w:r>
      <w:r w:rsidR="004E481A" w:rsidRPr="0040690B">
        <w:t xml:space="preserve"> prostheses are device</w:t>
      </w:r>
      <w:r w:rsidR="00A51F29" w:rsidRPr="0040690B">
        <w:t xml:space="preserve">s </w:t>
      </w:r>
      <w:r w:rsidR="004E481A" w:rsidRPr="0040690B">
        <w:t xml:space="preserve">used to treat </w:t>
      </w:r>
      <w:r w:rsidR="00404609" w:rsidRPr="0040690B">
        <w:t>impotence</w:t>
      </w:r>
      <w:r w:rsidR="002E2740" w:rsidRPr="0040690B">
        <w:t xml:space="preserve"> </w:t>
      </w:r>
      <w:r w:rsidR="0083180B" w:rsidRPr="0040690B">
        <w:t>following prostate cancer treatment</w:t>
      </w:r>
      <w:r w:rsidR="004E481A" w:rsidRPr="0040690B">
        <w:t>.</w:t>
      </w:r>
      <w:r w:rsidR="002D4E38" w:rsidRPr="0040690B">
        <w:t xml:space="preserve"> </w:t>
      </w:r>
      <w:r w:rsidR="004D7B1A" w:rsidRPr="0040690B">
        <w:t>S</w:t>
      </w:r>
      <w:r w:rsidR="0083180B" w:rsidRPr="0040690B">
        <w:t xml:space="preserve">ome prostheses, such as implanted penile devices, are surgically inserted to manage impotence, </w:t>
      </w:r>
      <w:r w:rsidR="004D7B1A" w:rsidRPr="0040690B">
        <w:t>while others</w:t>
      </w:r>
      <w:r w:rsidR="0083180B" w:rsidRPr="0040690B">
        <w:t xml:space="preserve"> </w:t>
      </w:r>
      <w:r w:rsidR="009F648A" w:rsidRPr="0040690B">
        <w:t xml:space="preserve">are </w:t>
      </w:r>
      <w:r w:rsidR="0083180B" w:rsidRPr="0040690B">
        <w:t>external</w:t>
      </w:r>
      <w:r w:rsidR="00FF69DF" w:rsidRPr="0040690B">
        <w:t>,</w:t>
      </w:r>
      <w:r w:rsidR="009F648A" w:rsidRPr="0040690B">
        <w:t xml:space="preserve"> such as</w:t>
      </w:r>
      <w:r w:rsidR="0083180B" w:rsidRPr="0040690B">
        <w:t xml:space="preserve"> vacuum erection devices (VEDs</w:t>
      </w:r>
      <w:r w:rsidR="009F648A" w:rsidRPr="0040690B">
        <w:t>)</w:t>
      </w:r>
      <w:r w:rsidR="0083180B" w:rsidRPr="0040690B">
        <w:t>. VEDs generally</w:t>
      </w:r>
      <w:r w:rsidR="00404609" w:rsidRPr="0040690B">
        <w:t xml:space="preserve"> </w:t>
      </w:r>
      <w:r w:rsidR="00FF69DF" w:rsidRPr="0040690B">
        <w:t>consist</w:t>
      </w:r>
      <w:r w:rsidR="00404609" w:rsidRPr="0040690B">
        <w:t xml:space="preserve"> of a plastic cylinder</w:t>
      </w:r>
      <w:r w:rsidR="0083180B" w:rsidRPr="0040690B">
        <w:t xml:space="preserve">, a manual or battery-operated </w:t>
      </w:r>
      <w:r w:rsidR="00404609" w:rsidRPr="0040690B">
        <w:t xml:space="preserve">pump to create a </w:t>
      </w:r>
      <w:r w:rsidR="00373974" w:rsidRPr="0040690B">
        <w:t>vacuum</w:t>
      </w:r>
      <w:r w:rsidR="00404609" w:rsidRPr="0040690B">
        <w:t xml:space="preserve">, and a </w:t>
      </w:r>
      <w:r w:rsidR="00373974" w:rsidRPr="0040690B">
        <w:t>constriction</w:t>
      </w:r>
      <w:r w:rsidR="00404609" w:rsidRPr="0040690B">
        <w:t xml:space="preserve"> ring</w:t>
      </w:r>
      <w:r w:rsidR="00373974" w:rsidRPr="0040690B">
        <w:t xml:space="preserve">. They are </w:t>
      </w:r>
      <w:r w:rsidR="00F21ACA" w:rsidRPr="0040690B">
        <w:t>typically</w:t>
      </w:r>
      <w:r w:rsidR="00373974" w:rsidRPr="0040690B">
        <w:t xml:space="preserve"> prescribed by a urologist</w:t>
      </w:r>
      <w:r w:rsidR="00F21ACA" w:rsidRPr="0040690B">
        <w:t xml:space="preserve"> or a men’s health specialist</w:t>
      </w:r>
      <w:r w:rsidR="00373974" w:rsidRPr="0040690B">
        <w:t xml:space="preserve">. </w:t>
      </w:r>
      <w:r w:rsidR="007B7939" w:rsidRPr="0040690B">
        <w:t>116F</w:t>
      </w:r>
      <w:r w:rsidR="008F4532" w:rsidRPr="0040690B">
        <w:rPr>
          <w:vertAlign w:val="superscript"/>
        </w:rPr>
        <w:footnoteReference w:id="100"/>
      </w:r>
      <w:r w:rsidR="009F648A" w:rsidRPr="0040690B">
        <w:t xml:space="preserve"> </w:t>
      </w:r>
    </w:p>
    <w:p w14:paraId="6FA3B5A5" w14:textId="550BD383" w:rsidR="007330CE" w:rsidRPr="0040690B" w:rsidRDefault="009F648A" w:rsidP="0040690B">
      <w:r w:rsidRPr="0040690B">
        <w:t xml:space="preserve">While male reproductive prostheses were not considered within the agreed scope of the review, VEDs were discussed by stakeholders during consultation. For completeness, these prostheses </w:t>
      </w:r>
      <w:r w:rsidR="00FF69DF" w:rsidRPr="0040690B">
        <w:t>are included in</w:t>
      </w:r>
      <w:r w:rsidRPr="0040690B">
        <w:t xml:space="preserve"> this section of the report.</w:t>
      </w:r>
      <w:r w:rsidR="007330CE" w:rsidRPr="0040690B">
        <w:t xml:space="preserve"> Further </w:t>
      </w:r>
      <w:r w:rsidR="00746CDB" w:rsidRPr="0040690B">
        <w:t>evaluation</w:t>
      </w:r>
      <w:r w:rsidR="007330CE" w:rsidRPr="0040690B">
        <w:t xml:space="preserve"> is required to determine if VEDs meet the definition of an external prosthesis. As such, they have not been considered within the options for a potential national cancer prostheses program outlined </w:t>
      </w:r>
      <w:r w:rsidR="00746CDB" w:rsidRPr="0040690B">
        <w:t xml:space="preserve">in </w:t>
      </w:r>
      <w:r w:rsidR="007330CE" w:rsidRPr="0040690B">
        <w:t>Section 5 or the costings outlined in Section 6.</w:t>
      </w:r>
    </w:p>
    <w:p w14:paraId="06EBCA44" w14:textId="630B3D64" w:rsidR="008906BF" w:rsidRPr="00FE302F" w:rsidRDefault="008906BF" w:rsidP="00FD54A5">
      <w:pPr>
        <w:pStyle w:val="Heading4"/>
      </w:pPr>
      <w:r>
        <w:t>Department of Veterans</w:t>
      </w:r>
      <w:r w:rsidR="003C1BCE">
        <w:t>’</w:t>
      </w:r>
      <w:r>
        <w:t xml:space="preserve"> Affairs</w:t>
      </w:r>
    </w:p>
    <w:p w14:paraId="24AF2799" w14:textId="351674D3" w:rsidR="006F1FB6" w:rsidRPr="009A4EB8" w:rsidRDefault="008C17F2" w:rsidP="009A4EB8">
      <w:r>
        <w:t xml:space="preserve">There are limited national-level schemes that specifically fund </w:t>
      </w:r>
      <w:r w:rsidR="00581E67">
        <w:t>male reproductive</w:t>
      </w:r>
      <w:r>
        <w:t xml:space="preserve"> </w:t>
      </w:r>
      <w:r w:rsidR="004B7598">
        <w:t xml:space="preserve">prostheses </w:t>
      </w:r>
      <w:r>
        <w:t xml:space="preserve">in Australia. </w:t>
      </w:r>
      <w:r w:rsidR="008906BF" w:rsidRPr="00CE1834">
        <w:t xml:space="preserve">The DVA </w:t>
      </w:r>
      <w:r w:rsidR="008906BF">
        <w:t xml:space="preserve">provides funding for </w:t>
      </w:r>
      <w:r w:rsidR="004B7598">
        <w:t xml:space="preserve">male </w:t>
      </w:r>
      <w:r w:rsidR="003C1BCE">
        <w:t>reproductive</w:t>
      </w:r>
      <w:r w:rsidR="008906BF">
        <w:t xml:space="preserve"> prostheses to eligible veterans and dependents </w:t>
      </w:r>
      <w:r w:rsidR="00860407">
        <w:t xml:space="preserve">who </w:t>
      </w:r>
      <w:r w:rsidR="007D2BB5">
        <w:t>are living with or post a cancer diagnosis</w:t>
      </w:r>
      <w:r w:rsidR="008906BF">
        <w:t xml:space="preserve">. </w:t>
      </w:r>
      <w:r w:rsidR="00F2766F">
        <w:t>Funding is delivered through the RAP</w:t>
      </w:r>
      <w:r w:rsidR="00432158">
        <w:t xml:space="preserve"> and </w:t>
      </w:r>
      <w:r w:rsidR="00F2766F">
        <w:t xml:space="preserve">covers </w:t>
      </w:r>
      <w:r w:rsidR="00432158">
        <w:t>VEDs</w:t>
      </w:r>
      <w:r w:rsidR="00F2766F">
        <w:t xml:space="preserve">. </w:t>
      </w:r>
      <w:r w:rsidR="003628A9">
        <w:t>To access the program, eligible individuals must obtain a prescription or recommendation from a specialist</w:t>
      </w:r>
      <w:r w:rsidR="00746CDB">
        <w:t xml:space="preserve">. VEDs are </w:t>
      </w:r>
      <w:r w:rsidR="006F1FB6">
        <w:t xml:space="preserve">only provided when </w:t>
      </w:r>
      <w:r w:rsidR="006F1FB6" w:rsidRPr="009A4EB8">
        <w:t>alternative methods for overcoming impotence are not suitable</w:t>
      </w:r>
      <w:r w:rsidR="003628A9" w:rsidRPr="009A4EB8">
        <w:t xml:space="preserve">. </w:t>
      </w:r>
    </w:p>
    <w:p w14:paraId="1EBB3D7D" w14:textId="771A03A0" w:rsidR="008906BF" w:rsidRDefault="008906BF" w:rsidP="009A4EB8">
      <w:r w:rsidRPr="009A4EB8">
        <w:t xml:space="preserve">As outlined in Section </w:t>
      </w:r>
      <w:r w:rsidR="00432158" w:rsidRPr="009A4EB8">
        <w:t>2.</w:t>
      </w:r>
      <w:r w:rsidRPr="009A4EB8">
        <w:t xml:space="preserve">1.2, </w:t>
      </w:r>
      <w:r w:rsidR="00432158" w:rsidRPr="009A4EB8">
        <w:t xml:space="preserve">a </w:t>
      </w:r>
      <w:r w:rsidRPr="009A4EB8">
        <w:t xml:space="preserve">health professional submits a RAP form to the DVA, which must include supplier details </w:t>
      </w:r>
      <w:r>
        <w:t xml:space="preserve">and a quote. </w:t>
      </w:r>
      <w:r w:rsidR="00432158">
        <w:t xml:space="preserve">Male </w:t>
      </w:r>
      <w:r w:rsidR="003C1BCE">
        <w:t>reproductive</w:t>
      </w:r>
      <w:r>
        <w:t xml:space="preserve"> prostheses must be sourced from </w:t>
      </w:r>
      <w:r w:rsidR="00432158">
        <w:t xml:space="preserve">a </w:t>
      </w:r>
      <w:r>
        <w:t>DVA-contracted supplier, which the prescribing clinician can select based on clinical need and availability.</w:t>
      </w:r>
      <w:r w:rsidR="007B7939">
        <w:rPr>
          <w:rFonts w:ascii="ZWAdobeF" w:hAnsi="ZWAdobeF" w:cs="ZWAdobeF"/>
          <w:color w:val="auto"/>
          <w:sz w:val="2"/>
          <w:szCs w:val="2"/>
        </w:rPr>
        <w:t>117F</w:t>
      </w:r>
      <w:r>
        <w:rPr>
          <w:rStyle w:val="FootnoteReference"/>
        </w:rPr>
        <w:footnoteReference w:id="101"/>
      </w:r>
    </w:p>
    <w:p w14:paraId="3E25D337" w14:textId="230D5859" w:rsidR="000B7721" w:rsidRPr="0040690B" w:rsidRDefault="000B7721" w:rsidP="0040690B">
      <w:r w:rsidRPr="0040690B">
        <w:t xml:space="preserve">In Australia, private health insurance </w:t>
      </w:r>
      <w:r w:rsidR="003C1BCE" w:rsidRPr="0040690B">
        <w:t xml:space="preserve">typically </w:t>
      </w:r>
      <w:r w:rsidRPr="0040690B">
        <w:t xml:space="preserve">does not </w:t>
      </w:r>
      <w:r w:rsidR="00581E67" w:rsidRPr="0040690B">
        <w:t>cover male reproductive</w:t>
      </w:r>
      <w:r w:rsidRPr="0040690B">
        <w:t xml:space="preserve"> prostheses under extras policies, as these prostheses are not </w:t>
      </w:r>
      <w:r w:rsidR="00746CDB" w:rsidRPr="0040690B">
        <w:t>included</w:t>
      </w:r>
      <w:r w:rsidRPr="0040690B">
        <w:t xml:space="preserve"> on the Prescribed </w:t>
      </w:r>
      <w:r w:rsidR="00746CDB" w:rsidRPr="0040690B">
        <w:t>L</w:t>
      </w:r>
      <w:r w:rsidRPr="0040690B">
        <w:t>ist</w:t>
      </w:r>
      <w:r w:rsidR="007B7939" w:rsidRPr="0040690B">
        <w:t>118F</w:t>
      </w:r>
      <w:r w:rsidRPr="0040690B">
        <w:rPr>
          <w:vertAlign w:val="superscript"/>
        </w:rPr>
        <w:footnoteReference w:id="102"/>
      </w:r>
      <w:r w:rsidRPr="0040690B">
        <w:t xml:space="preserve">. </w:t>
      </w:r>
    </w:p>
    <w:p w14:paraId="1AAE8322" w14:textId="5CC55FCE" w:rsidR="008C17F2" w:rsidRPr="00FE302F" w:rsidRDefault="00670D14" w:rsidP="00FD54A5">
      <w:pPr>
        <w:pStyle w:val="Heading4"/>
      </w:pPr>
      <w:r>
        <w:t>Additional</w:t>
      </w:r>
      <w:r w:rsidR="008C17F2">
        <w:t xml:space="preserve"> prostheses services, programs and schemes</w:t>
      </w:r>
    </w:p>
    <w:p w14:paraId="1032B363" w14:textId="509161BC" w:rsidR="008906BF" w:rsidRPr="00E276F1" w:rsidRDefault="00F21ACA" w:rsidP="00E276F1">
      <w:r w:rsidRPr="00E276F1">
        <w:t xml:space="preserve">There are no dedicated state or territory-level funding schemes currently supporting </w:t>
      </w:r>
      <w:r w:rsidR="00581E67" w:rsidRPr="00E276F1">
        <w:t>male reproductive</w:t>
      </w:r>
      <w:r w:rsidRPr="00E276F1">
        <w:t xml:space="preserve"> prostheses. As such, outside of the DVA, individuals must self-fund the cost of these prostheses.</w:t>
      </w:r>
    </w:p>
    <w:p w14:paraId="3CB98660" w14:textId="20F53509" w:rsidR="005A3225" w:rsidRPr="00E276F1" w:rsidRDefault="005A3225" w:rsidP="00E276F1">
      <w:pPr>
        <w:sectPr w:rsidR="005A3225" w:rsidRPr="00E276F1" w:rsidSect="00841320">
          <w:headerReference w:type="default" r:id="rId63"/>
          <w:pgSz w:w="11906" w:h="16838"/>
          <w:pgMar w:top="1418" w:right="851" w:bottom="1418" w:left="851" w:header="567" w:footer="284" w:gutter="0"/>
          <w:cols w:space="708"/>
          <w:docGrid w:linePitch="360"/>
        </w:sectPr>
      </w:pPr>
    </w:p>
    <w:p w14:paraId="55439882" w14:textId="77777777" w:rsidR="00E959A3" w:rsidRDefault="00E959A3" w:rsidP="00E959A3">
      <w:pPr>
        <w:pStyle w:val="Heading3"/>
      </w:pPr>
      <w:r>
        <w:t xml:space="preserve">Oral prostheses </w:t>
      </w:r>
    </w:p>
    <w:p w14:paraId="1D3E9336" w14:textId="77777777" w:rsidR="00E959A3" w:rsidRDefault="00E959A3" w:rsidP="00FD54A5">
      <w:pPr>
        <w:pStyle w:val="Heading4"/>
      </w:pPr>
      <w:r>
        <w:t xml:space="preserve">About oral prostheses </w:t>
      </w:r>
    </w:p>
    <w:p w14:paraId="04A24C3F" w14:textId="201043DB" w:rsidR="00E959A3" w:rsidRPr="009A4EB8" w:rsidRDefault="00E959A3" w:rsidP="009A4EB8">
      <w:r w:rsidRPr="00654D0F">
        <w:rPr>
          <w:color w:val="auto"/>
        </w:rPr>
        <w:t>Oral prostheses (also known as intr</w:t>
      </w:r>
      <w:r>
        <w:rPr>
          <w:color w:val="auto"/>
        </w:rPr>
        <w:t>a-</w:t>
      </w:r>
      <w:r w:rsidRPr="00654D0F">
        <w:rPr>
          <w:color w:val="auto"/>
        </w:rPr>
        <w:t>oral prostheses) are artificial devices used to restore anatomy inside the mouth, including teeth, soft tissue and parts of the palate</w:t>
      </w:r>
      <w:r>
        <w:rPr>
          <w:color w:val="auto"/>
        </w:rPr>
        <w:t xml:space="preserve">, </w:t>
      </w:r>
      <w:r w:rsidRPr="00654D0F">
        <w:rPr>
          <w:color w:val="auto"/>
        </w:rPr>
        <w:t xml:space="preserve">following surgical treatment for cancers of the head and neck. These include dental </w:t>
      </w:r>
      <w:r w:rsidR="00E92707">
        <w:rPr>
          <w:color w:val="auto"/>
        </w:rPr>
        <w:t xml:space="preserve">prostheses, such as a prosthetic tooth (crown) </w:t>
      </w:r>
      <w:r w:rsidRPr="00654D0F">
        <w:rPr>
          <w:color w:val="auto"/>
        </w:rPr>
        <w:t xml:space="preserve">attached to a dental implant, </w:t>
      </w:r>
      <w:r>
        <w:rPr>
          <w:color w:val="auto"/>
        </w:rPr>
        <w:t xml:space="preserve">as well as </w:t>
      </w:r>
      <w:r w:rsidRPr="00654D0F">
        <w:rPr>
          <w:color w:val="auto"/>
        </w:rPr>
        <w:t xml:space="preserve">a removable palatal prosthesis, often called plates or obturators, which replace or cover parts of the hard or soft palate. Oral prostheses help restore essential functions such as eating, swallowing, speaking and maintaining facial structure. </w:t>
      </w:r>
      <w:r w:rsidR="007B7939">
        <w:rPr>
          <w:rFonts w:ascii="ZWAdobeF" w:hAnsi="ZWAdobeF" w:cs="ZWAdobeF"/>
          <w:color w:val="auto"/>
          <w:sz w:val="2"/>
          <w:szCs w:val="2"/>
        </w:rPr>
        <w:t>119F</w:t>
      </w:r>
      <w:r w:rsidRPr="00654D0F">
        <w:rPr>
          <w:rStyle w:val="FootnoteReference"/>
          <w:color w:val="auto"/>
        </w:rPr>
        <w:footnoteReference w:id="103"/>
      </w:r>
      <w:r>
        <w:rPr>
          <w:color w:val="auto"/>
        </w:rPr>
        <w:t>Oral</w:t>
      </w:r>
      <w:r w:rsidRPr="00B94C54">
        <w:rPr>
          <w:color w:val="auto"/>
        </w:rPr>
        <w:t xml:space="preserve"> prostheses are typically designed and </w:t>
      </w:r>
      <w:r>
        <w:rPr>
          <w:color w:val="auto"/>
        </w:rPr>
        <w:t>fitted</w:t>
      </w:r>
      <w:r w:rsidRPr="00B94C54">
        <w:rPr>
          <w:color w:val="auto"/>
        </w:rPr>
        <w:t xml:space="preserve"> by specialised health professionals</w:t>
      </w:r>
      <w:r w:rsidR="00E92707">
        <w:rPr>
          <w:color w:val="auto"/>
        </w:rPr>
        <w:t>,</w:t>
      </w:r>
      <w:r w:rsidRPr="00B94C54">
        <w:rPr>
          <w:color w:val="auto"/>
        </w:rPr>
        <w:t xml:space="preserve"> including </w:t>
      </w:r>
      <w:r>
        <w:rPr>
          <w:color w:val="auto"/>
        </w:rPr>
        <w:t>p</w:t>
      </w:r>
      <w:r w:rsidRPr="009A4EB8">
        <w:t xml:space="preserve">rosthodontists, maxillofacial surgeons and maxillofacial prosthetists. </w:t>
      </w:r>
    </w:p>
    <w:p w14:paraId="6153C741" w14:textId="39CDB4E0" w:rsidR="00E959A3" w:rsidRDefault="00E959A3" w:rsidP="009A4EB8">
      <w:pPr>
        <w:rPr>
          <w:color w:val="auto"/>
        </w:rPr>
      </w:pPr>
      <w:r w:rsidRPr="009A4EB8">
        <w:t>Or</w:t>
      </w:r>
      <w:r>
        <w:rPr>
          <w:color w:val="auto"/>
        </w:rPr>
        <w:t xml:space="preserve">al prostheses </w:t>
      </w:r>
      <w:r w:rsidR="009F648A">
        <w:rPr>
          <w:color w:val="auto"/>
        </w:rPr>
        <w:t xml:space="preserve">were </w:t>
      </w:r>
      <w:r>
        <w:rPr>
          <w:color w:val="auto"/>
        </w:rPr>
        <w:t>considered out of scope for this review as they</w:t>
      </w:r>
      <w:r w:rsidR="0037240C">
        <w:rPr>
          <w:color w:val="auto"/>
        </w:rPr>
        <w:t xml:space="preserve"> a</w:t>
      </w:r>
      <w:r w:rsidR="00C65821">
        <w:rPr>
          <w:color w:val="auto"/>
        </w:rPr>
        <w:t xml:space="preserve">re typically considered </w:t>
      </w:r>
      <w:r w:rsidR="00804280">
        <w:rPr>
          <w:color w:val="auto"/>
        </w:rPr>
        <w:t xml:space="preserve">to be implants </w:t>
      </w:r>
      <w:r w:rsidR="00F279E2">
        <w:rPr>
          <w:color w:val="auto"/>
        </w:rPr>
        <w:t xml:space="preserve">and / or dental care. </w:t>
      </w:r>
      <w:r w:rsidR="0031762E">
        <w:rPr>
          <w:color w:val="auto"/>
        </w:rPr>
        <w:t>Oral prostheses may also be considered a</w:t>
      </w:r>
      <w:r>
        <w:rPr>
          <w:color w:val="auto"/>
        </w:rPr>
        <w:t xml:space="preserve">s part of broader </w:t>
      </w:r>
      <w:r w:rsidR="004245E7">
        <w:rPr>
          <w:color w:val="auto"/>
        </w:rPr>
        <w:t>A</w:t>
      </w:r>
      <w:r w:rsidR="007166CC">
        <w:rPr>
          <w:color w:val="auto"/>
        </w:rPr>
        <w:t>ustralian</w:t>
      </w:r>
      <w:r>
        <w:rPr>
          <w:color w:val="auto"/>
        </w:rPr>
        <w:t xml:space="preserve"> </w:t>
      </w:r>
      <w:r w:rsidR="007166CC">
        <w:rPr>
          <w:color w:val="auto"/>
        </w:rPr>
        <w:t>G</w:t>
      </w:r>
      <w:r>
        <w:rPr>
          <w:color w:val="auto"/>
        </w:rPr>
        <w:t>overnment inquiries</w:t>
      </w:r>
      <w:r w:rsidR="00E92707">
        <w:rPr>
          <w:color w:val="auto"/>
        </w:rPr>
        <w:t>,</w:t>
      </w:r>
      <w:r>
        <w:rPr>
          <w:color w:val="auto"/>
        </w:rPr>
        <w:t xml:space="preserve"> </w:t>
      </w:r>
      <w:r w:rsidR="0031762E">
        <w:rPr>
          <w:color w:val="auto"/>
        </w:rPr>
        <w:t>such as the Senate enquiry into the</w:t>
      </w:r>
      <w:r>
        <w:rPr>
          <w:color w:val="auto"/>
        </w:rPr>
        <w:t xml:space="preserve"> Provision of and Access to Dental Services in Australia. However, stakeholders consulted as part of this review consistently highlighted the critical role oral prostheses play in cancer </w:t>
      </w:r>
      <w:r w:rsidR="00DC2EEE">
        <w:rPr>
          <w:color w:val="auto"/>
        </w:rPr>
        <w:t xml:space="preserve">care and </w:t>
      </w:r>
      <w:r>
        <w:rPr>
          <w:color w:val="auto"/>
        </w:rPr>
        <w:t xml:space="preserve">recovery. </w:t>
      </w:r>
      <w:r w:rsidR="00DC2EEE" w:rsidRPr="00DC2EEE">
        <w:rPr>
          <w:color w:val="auto"/>
        </w:rPr>
        <w:t xml:space="preserve">For completeness, these prostheses </w:t>
      </w:r>
      <w:r w:rsidR="00E92707">
        <w:rPr>
          <w:color w:val="auto"/>
        </w:rPr>
        <w:t>are included in</w:t>
      </w:r>
      <w:r w:rsidR="00DC2EEE" w:rsidRPr="00DC2EEE">
        <w:rPr>
          <w:color w:val="auto"/>
        </w:rPr>
        <w:t xml:space="preserve"> this section of the report. </w:t>
      </w:r>
    </w:p>
    <w:p w14:paraId="5A1F627E" w14:textId="77777777" w:rsidR="00E959A3" w:rsidRDefault="00E959A3" w:rsidP="00FD54A5">
      <w:pPr>
        <w:pStyle w:val="Heading4"/>
      </w:pPr>
      <w:r>
        <w:t>National prostheses services, programs and schemes</w:t>
      </w:r>
    </w:p>
    <w:p w14:paraId="01126F8B" w14:textId="23A0B78A" w:rsidR="00E959A3" w:rsidRPr="0040690B" w:rsidRDefault="00E959A3" w:rsidP="0040690B">
      <w:r w:rsidRPr="0040690B">
        <w:t>There are limited national-level schemes that fund oral prostheses in Australia. The DVA provides funding for oral prostheses to eligible veterans and dependents who are living with or post a cancer diagnosis. This includes removable dentures, partial plates, and prosthetic teeth. To access the program, the service must be claimed and submitted by a dentist or dental specialist.</w:t>
      </w:r>
      <w:r w:rsidR="007B7939" w:rsidRPr="0040690B">
        <w:t>120F</w:t>
      </w:r>
      <w:r w:rsidRPr="0040690B">
        <w:rPr>
          <w:vertAlign w:val="superscript"/>
        </w:rPr>
        <w:footnoteReference w:id="104"/>
      </w:r>
    </w:p>
    <w:p w14:paraId="3B4DCCF6" w14:textId="77777777" w:rsidR="00E959A3" w:rsidRPr="0040690B" w:rsidRDefault="00E959A3" w:rsidP="0040690B">
      <w:r w:rsidRPr="0040690B">
        <w:t>In Australia, private health insurance may provide limited coverage for certain types of oral prostheses under extras policies, typically within the “major dental” category. However, coverage varies significantly between insurers and policy levels, as oral prostheses are not eligible for inclusion on the Prescribed List. Where benefits are available, they are often subject to annual limits, waiting periods, and exclusions, meaning individuals may still face substantial out-of-pocket costs.</w:t>
      </w:r>
    </w:p>
    <w:p w14:paraId="32BCCC51" w14:textId="1631249C" w:rsidR="00E959A3" w:rsidRPr="0040690B" w:rsidRDefault="00E959A3" w:rsidP="0040690B">
      <w:r w:rsidRPr="0040690B">
        <w:t xml:space="preserve">Stakeholders consulted as part of this review noted that while the surgical placement of dental implants </w:t>
      </w:r>
      <w:r w:rsidR="00E92707" w:rsidRPr="0040690B">
        <w:t>is</w:t>
      </w:r>
      <w:r w:rsidRPr="0040690B">
        <w:t xml:space="preserve"> covered under Medicare, the prosthetic components that sit on top of the implants, such as prosthetic teeth, are not. Therefore, individuals are often required to pay the full cost of the prostheses out of pocket. This disconnect between what is surgically funded and what is functionally needed places a substantial financial burden on individuals and undermines the value of the initial procedure, as the intended outcome may remain incomplete or unattainable.</w:t>
      </w:r>
    </w:p>
    <w:p w14:paraId="1190D2E6" w14:textId="3EEF29AD" w:rsidR="00E959A3" w:rsidRPr="00FE302F" w:rsidRDefault="00670D14" w:rsidP="00FD54A5">
      <w:pPr>
        <w:pStyle w:val="Heading4"/>
      </w:pPr>
      <w:r>
        <w:t>Additional</w:t>
      </w:r>
      <w:r w:rsidR="00E959A3">
        <w:t xml:space="preserve"> prostheses services, programs and schemes</w:t>
      </w:r>
    </w:p>
    <w:p w14:paraId="3F0179A4" w14:textId="2F989F0D" w:rsidR="00305FCB" w:rsidRPr="0040690B" w:rsidRDefault="00E959A3" w:rsidP="0040690B">
      <w:pPr>
        <w:sectPr w:rsidR="00305FCB" w:rsidRPr="0040690B" w:rsidSect="00D21677">
          <w:headerReference w:type="default" r:id="rId64"/>
          <w:pgSz w:w="11906" w:h="16838"/>
          <w:pgMar w:top="1418" w:right="851" w:bottom="851" w:left="851" w:header="567" w:footer="284" w:gutter="0"/>
          <w:cols w:space="708"/>
          <w:docGrid w:linePitch="360"/>
        </w:sectPr>
      </w:pPr>
      <w:r w:rsidRPr="0040690B">
        <w:t xml:space="preserve">Publicly available information on state and territory-level funding for oral prostheses is limited. Outside of the DVA, there appear to be no consistent or dedicated public schemes for oral prostheses across jurisdictions. Consequently, </w:t>
      </w:r>
      <w:proofErr w:type="gramStart"/>
      <w:r w:rsidR="004B34D1" w:rsidRPr="0040690B">
        <w:t>individuals</w:t>
      </w:r>
      <w:proofErr w:type="gramEnd"/>
      <w:r w:rsidRPr="0040690B">
        <w:t xml:space="preserve"> ineligible for DVA support must often self-fund their oral prostheses.</w:t>
      </w:r>
    </w:p>
    <w:p w14:paraId="674546AC" w14:textId="0D1A8347" w:rsidR="00305FCB" w:rsidRPr="00C003EE" w:rsidRDefault="00972960" w:rsidP="005822FA">
      <w:pPr>
        <w:pStyle w:val="DividerTitle1White"/>
        <w:sectPr w:rsidR="00305FCB" w:rsidRPr="00C003EE" w:rsidSect="00E70316">
          <w:pgSz w:w="11906" w:h="16838"/>
          <w:pgMar w:top="851" w:right="851" w:bottom="851" w:left="851" w:header="567" w:footer="283" w:gutter="0"/>
          <w:cols w:space="708"/>
          <w:docGrid w:linePitch="360"/>
        </w:sectPr>
      </w:pPr>
      <w:r w:rsidRPr="00C20260">
        <w:rPr>
          <w:noProof/>
        </w:rPr>
        <w:drawing>
          <wp:anchor distT="0" distB="0" distL="114300" distR="114300" simplePos="0" relativeHeight="251658241" behindDoc="1" locked="1" layoutInCell="1" allowOverlap="1" wp14:anchorId="4D2AEE31" wp14:editId="6DF4AB36">
            <wp:simplePos x="0" y="0"/>
            <wp:positionH relativeFrom="page">
              <wp:align>left</wp:align>
            </wp:positionH>
            <wp:positionV relativeFrom="page">
              <wp:align>top</wp:align>
            </wp:positionV>
            <wp:extent cx="7559675" cy="10691495"/>
            <wp:effectExtent l="0" t="0" r="3175" b="0"/>
            <wp:wrapNone/>
            <wp:docPr id="53476588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765888" name="Graphic 1">
                      <a:extLst>
                        <a:ext uri="{C183D7F6-B498-43B3-948B-1728B52AA6E4}">
                          <adec:decorative xmlns:adec="http://schemas.microsoft.com/office/drawing/2017/decorative" val="1"/>
                        </a:ext>
                      </a:extLst>
                    </pic:cNvPr>
                    <pic:cNvPicPr/>
                  </pic:nvPicPr>
                  <pic:blipFill>
                    <a:blip r:embed="rId65">
                      <a:extLst>
                        <a:ext uri="{28A0092B-C50C-407E-A947-70E740481C1C}">
                          <a14:useLocalDpi xmlns:a14="http://schemas.microsoft.com/office/drawing/2010/main" val="0"/>
                        </a:ext>
                      </a:extLst>
                    </a:blip>
                    <a:stretch>
                      <a:fillRect/>
                    </a:stretch>
                  </pic:blipFill>
                  <pic:spPr>
                    <a:xfrm>
                      <a:off x="0" y="0"/>
                      <a:ext cx="7559847" cy="10692000"/>
                    </a:xfrm>
                    <a:prstGeom prst="rect">
                      <a:avLst/>
                    </a:prstGeom>
                  </pic:spPr>
                </pic:pic>
              </a:graphicData>
            </a:graphic>
            <wp14:sizeRelH relativeFrom="margin">
              <wp14:pctWidth>0</wp14:pctWidth>
            </wp14:sizeRelH>
            <wp14:sizeRelV relativeFrom="margin">
              <wp14:pctHeight>0</wp14:pctHeight>
            </wp14:sizeRelV>
          </wp:anchor>
        </w:drawing>
      </w:r>
    </w:p>
    <w:p w14:paraId="2F7B7086" w14:textId="30C88C58" w:rsidR="00E70316" w:rsidRDefault="00E70316" w:rsidP="00E70316">
      <w:pPr>
        <w:pStyle w:val="Heading1"/>
      </w:pPr>
      <w:bookmarkStart w:id="88" w:name="_Toc207348742"/>
      <w:r>
        <w:t>P</w:t>
      </w:r>
      <w:r w:rsidRPr="00E70316">
        <w:t xml:space="preserve">rostheses services, programs and </w:t>
      </w:r>
      <w:r w:rsidRPr="00464389">
        <w:t>schemes</w:t>
      </w:r>
      <w:r w:rsidRPr="00E70316">
        <w:t xml:space="preserve"> </w:t>
      </w:r>
      <w:r>
        <w:t>in other countries</w:t>
      </w:r>
      <w:bookmarkEnd w:id="88"/>
    </w:p>
    <w:p w14:paraId="5E49860E" w14:textId="48B2E656" w:rsidR="000D2396" w:rsidRPr="0040690B" w:rsidRDefault="000D2396" w:rsidP="0040690B">
      <w:r w:rsidRPr="0040690B">
        <w:t xml:space="preserve">This section outlines findings related to the following </w:t>
      </w:r>
      <w:r w:rsidR="00EA78A0" w:rsidRPr="0040690B">
        <w:t>sub-question under KRQ 1: What prostheses services / schemes are currently available to people living with or who have lived experience of cancer?</w:t>
      </w:r>
    </w:p>
    <w:p w14:paraId="19A87F50" w14:textId="6AEEB3CB" w:rsidR="009364CF" w:rsidRDefault="009364CF" w:rsidP="00E808C4">
      <w:pPr>
        <w:pStyle w:val="Callout-Summaryofkeyfindingbullet"/>
      </w:pPr>
      <w:r w:rsidRPr="001614A5">
        <w:t xml:space="preserve">How do prostheses services / schemes available to people living with or have lived experience of cancer in Australia </w:t>
      </w:r>
      <w:proofErr w:type="gramStart"/>
      <w:r w:rsidRPr="001614A5">
        <w:t>compare</w:t>
      </w:r>
      <w:proofErr w:type="gramEnd"/>
      <w:r w:rsidRPr="001614A5">
        <w:t xml:space="preserve"> to those available in other, comparable countries?</w:t>
      </w:r>
    </w:p>
    <w:p w14:paraId="14B42D5A" w14:textId="52599F1A" w:rsidR="000D2396" w:rsidRPr="0040690B" w:rsidRDefault="000D2396" w:rsidP="0040690B">
      <w:r w:rsidRPr="0040690B">
        <w:t>Th</w:t>
      </w:r>
      <w:r w:rsidR="0018594E" w:rsidRPr="0040690B">
        <w:t xml:space="preserve">is </w:t>
      </w:r>
      <w:r w:rsidRPr="0040690B">
        <w:t xml:space="preserve">section </w:t>
      </w:r>
      <w:r w:rsidR="0018594E" w:rsidRPr="0040690B">
        <w:t>is structured as follows</w:t>
      </w:r>
      <w:r w:rsidRPr="0040690B">
        <w:t xml:space="preserve">: </w:t>
      </w:r>
    </w:p>
    <w:p w14:paraId="11899796" w14:textId="27298396" w:rsidR="0018594E" w:rsidRDefault="0018594E" w:rsidP="008B5E79">
      <w:pPr>
        <w:pStyle w:val="Bullet1stlevel"/>
      </w:pPr>
      <w:r>
        <w:t>Section 3.1: Countries selected for international comparative analysis</w:t>
      </w:r>
    </w:p>
    <w:p w14:paraId="36E281B5" w14:textId="2D19DA1A" w:rsidR="0018594E" w:rsidRPr="0018594E" w:rsidRDefault="000D2396" w:rsidP="008B5E79">
      <w:pPr>
        <w:pStyle w:val="Bullet1stlevel"/>
      </w:pPr>
      <w:r w:rsidRPr="00EA3BFE">
        <w:t>Section</w:t>
      </w:r>
      <w:r>
        <w:t xml:space="preserve"> </w:t>
      </w:r>
      <w:r w:rsidR="006616C8">
        <w:fldChar w:fldCharType="begin" w:fldLock="1"/>
      </w:r>
      <w:r w:rsidR="006616C8">
        <w:instrText xml:space="preserve"> REF _Ref201924921 \n \h </w:instrText>
      </w:r>
      <w:r w:rsidR="0018594E">
        <w:instrText xml:space="preserve"> \* MERGEFORMAT </w:instrText>
      </w:r>
      <w:r w:rsidR="006616C8">
        <w:fldChar w:fldCharType="separate"/>
      </w:r>
      <w:r w:rsidR="006616C8">
        <w:t>3.2</w:t>
      </w:r>
      <w:r w:rsidR="006616C8">
        <w:fldChar w:fldCharType="end"/>
      </w:r>
      <w:r w:rsidRPr="00EA3BFE">
        <w:t xml:space="preserve">: </w:t>
      </w:r>
      <w:r w:rsidR="0018594E" w:rsidRPr="0018594E">
        <w:t>International comparison of facial prostheses services, programs and schemes</w:t>
      </w:r>
    </w:p>
    <w:p w14:paraId="65507557" w14:textId="7B5ADF5A" w:rsidR="0018594E" w:rsidRPr="0018594E" w:rsidRDefault="000D2396" w:rsidP="008B5E79">
      <w:pPr>
        <w:pStyle w:val="Bullet1stlevel"/>
      </w:pPr>
      <w:r w:rsidRPr="00EA3BFE">
        <w:t xml:space="preserve">Section </w:t>
      </w:r>
      <w:r w:rsidR="006616C8">
        <w:fldChar w:fldCharType="begin" w:fldLock="1"/>
      </w:r>
      <w:r w:rsidR="006616C8">
        <w:instrText xml:space="preserve"> REF _Ref201924929 \n \h </w:instrText>
      </w:r>
      <w:r w:rsidR="0018594E">
        <w:instrText xml:space="preserve"> \* MERGEFORMAT </w:instrText>
      </w:r>
      <w:r w:rsidR="006616C8">
        <w:fldChar w:fldCharType="separate"/>
      </w:r>
      <w:r w:rsidR="006616C8">
        <w:t>3.3</w:t>
      </w:r>
      <w:r w:rsidR="006616C8">
        <w:fldChar w:fldCharType="end"/>
      </w:r>
      <w:r w:rsidRPr="00EA3BFE">
        <w:t xml:space="preserve">: </w:t>
      </w:r>
      <w:r w:rsidR="0018594E" w:rsidRPr="0018594E">
        <w:t xml:space="preserve">International comparison of </w:t>
      </w:r>
      <w:r w:rsidR="0018594E">
        <w:t>breast</w:t>
      </w:r>
      <w:r w:rsidR="0018594E" w:rsidRPr="0018594E">
        <w:t xml:space="preserve"> prostheses services, programs and schemes</w:t>
      </w:r>
    </w:p>
    <w:p w14:paraId="03E156C3" w14:textId="0DD45C97" w:rsidR="0018594E" w:rsidRPr="0018594E" w:rsidRDefault="000D2396" w:rsidP="008B5E79">
      <w:pPr>
        <w:pStyle w:val="Bullet1stlevel"/>
      </w:pPr>
      <w:r w:rsidRPr="00EA3BFE">
        <w:t xml:space="preserve">Section </w:t>
      </w:r>
      <w:r w:rsidR="006616C8">
        <w:fldChar w:fldCharType="begin" w:fldLock="1"/>
      </w:r>
      <w:r w:rsidR="006616C8">
        <w:instrText xml:space="preserve"> REF _Ref201924936 \n \h </w:instrText>
      </w:r>
      <w:r w:rsidR="0018594E">
        <w:instrText xml:space="preserve"> \* MERGEFORMAT </w:instrText>
      </w:r>
      <w:r w:rsidR="006616C8">
        <w:fldChar w:fldCharType="separate"/>
      </w:r>
      <w:r w:rsidR="006616C8">
        <w:t>3.4</w:t>
      </w:r>
      <w:r w:rsidR="006616C8">
        <w:fldChar w:fldCharType="end"/>
      </w:r>
      <w:r w:rsidRPr="00EA3BFE">
        <w:t xml:space="preserve">: </w:t>
      </w:r>
      <w:r w:rsidR="0018594E" w:rsidRPr="0018594E">
        <w:t xml:space="preserve">International comparison of </w:t>
      </w:r>
      <w:r w:rsidR="0018594E">
        <w:t>limb</w:t>
      </w:r>
      <w:r w:rsidR="0018594E" w:rsidRPr="0018594E">
        <w:t xml:space="preserve"> prostheses services, programs and schemes</w:t>
      </w:r>
    </w:p>
    <w:p w14:paraId="78F7D678" w14:textId="579A1845" w:rsidR="000D2396" w:rsidRPr="00EA3BFE" w:rsidRDefault="000D2396" w:rsidP="008B5E79">
      <w:pPr>
        <w:pStyle w:val="Bullet1stlevel"/>
      </w:pPr>
      <w:r w:rsidRPr="00EA3BFE">
        <w:t xml:space="preserve">Section </w:t>
      </w:r>
      <w:r>
        <w:fldChar w:fldCharType="begin"/>
      </w:r>
      <w:r>
        <w:instrText xml:space="preserve"> REF _Ref200615850 \r \h </w:instrText>
      </w:r>
      <w:r w:rsidR="0018594E">
        <w:instrText xml:space="preserve"> \* MERGEFORMAT </w:instrText>
      </w:r>
      <w:r>
        <w:fldChar w:fldCharType="separate"/>
      </w:r>
      <w:r w:rsidR="00D955D8">
        <w:t>3.5</w:t>
      </w:r>
      <w:r>
        <w:fldChar w:fldCharType="end"/>
      </w:r>
      <w:r w:rsidRPr="00EA3BFE">
        <w:t xml:space="preserve">: </w:t>
      </w:r>
      <w:r w:rsidR="0018594E" w:rsidRPr="0018594E">
        <w:t xml:space="preserve">International comparison of </w:t>
      </w:r>
      <w:r w:rsidR="0018594E">
        <w:t>other</w:t>
      </w:r>
      <w:r w:rsidR="0018594E" w:rsidRPr="0018594E">
        <w:t xml:space="preserve"> prostheses services, programs and schemes</w:t>
      </w:r>
      <w:r w:rsidR="00420141">
        <w:t xml:space="preserve">, including voice, male reproductive and oral prostheses. </w:t>
      </w:r>
    </w:p>
    <w:p w14:paraId="4DAFEBF6" w14:textId="55563479" w:rsidR="00E70316" w:rsidRPr="009A4EB8" w:rsidRDefault="000D2396" w:rsidP="009A4EB8">
      <w:r w:rsidRPr="009A4EB8">
        <w:t xml:space="preserve">A summary of the key findings outlined within this section is provided below. </w:t>
      </w:r>
    </w:p>
    <w:p w14:paraId="74AAE4F8" w14:textId="0DC58816" w:rsidR="004E408C" w:rsidRDefault="004E408C" w:rsidP="00FD688B">
      <w:pPr>
        <w:pStyle w:val="Heading2Summaryofkeyfindings"/>
      </w:pPr>
      <w:r>
        <w:t>Summary of findings</w:t>
      </w:r>
    </w:p>
    <w:p w14:paraId="515D99F2" w14:textId="77777777" w:rsidR="004E408C" w:rsidRDefault="004E408C" w:rsidP="005A6CA2">
      <w:pPr>
        <w:pStyle w:val="Callout-Summaryofkeyfindingbullet"/>
      </w:pPr>
      <w:r w:rsidRPr="008F282D">
        <w:t>The prostheses services, programs and schemes in Canada, the Netherlands, New Zealand and the United Kingdom</w:t>
      </w:r>
      <w:r>
        <w:t xml:space="preserve"> </w:t>
      </w:r>
      <w:r w:rsidRPr="008F282D">
        <w:t xml:space="preserve">were compared to those available in Australia. These countries were selected for inclusion in this analysis due to similarities between their health systems and Australia’s. </w:t>
      </w:r>
    </w:p>
    <w:p w14:paraId="1EA76C50" w14:textId="77777777" w:rsidR="004E408C" w:rsidRDefault="004E408C" w:rsidP="005A6CA2">
      <w:pPr>
        <w:pStyle w:val="Callout-Summaryofkeyfindingbullet"/>
      </w:pPr>
      <w:r>
        <w:t xml:space="preserve">In contrast to the limited availability of publicly funded facial prostheses services in Australia, Canada, the Netherlands, New Zealand, and the UK, all provide access to facial prostheses through national or provincial programs. New Zealand, the Netherlands, and the UK offer fully funded prostheses, while Canada provides partial public funding. </w:t>
      </w:r>
    </w:p>
    <w:p w14:paraId="17F2FB9A" w14:textId="77777777" w:rsidR="004E408C" w:rsidRDefault="004E408C" w:rsidP="005A6CA2">
      <w:pPr>
        <w:pStyle w:val="Callout-Summaryofkeyfindingbullet"/>
      </w:pPr>
      <w:r>
        <w:t xml:space="preserve">External breast prostheses programs in Australia, the UK, the Netherlands, New Zealand, and Canada are broadly similar in providing funding for breast prostheses after mastectomy but differ in their funding models and coverage of supplementary items. Australia, New Zealand, and Canada use reimbursement models, while the UK and the Netherlands provide prostheses directly with no upfront cost to individuals. Notably, New Zealand’s program is more comprehensive, funding supplementary items such as mastectomy bras and swimwear. </w:t>
      </w:r>
    </w:p>
    <w:p w14:paraId="5FAB01CF" w14:textId="77777777" w:rsidR="004E408C" w:rsidRDefault="004E408C" w:rsidP="005A6CA2">
      <w:pPr>
        <w:pStyle w:val="Callout-Summaryofkeyfindingbullet"/>
      </w:pPr>
      <w:r>
        <w:t>In comparison to the significant variation that can occur in Australia in accessing limb prostheses depending on age and location, Canada, the Netherlands, New Zealand, and the UK have nationally consistent approaches with eligibility based on clinical need. While Canada and the Netherlands generally only fund basic prostheses and have limited support for advanced technology, New Zealand and the UK fully fund microprocessor knees and provide comprehensive support services for those who meet clinical criteria.</w:t>
      </w:r>
    </w:p>
    <w:p w14:paraId="3E714B40" w14:textId="77777777" w:rsidR="004E408C" w:rsidRDefault="004E408C" w:rsidP="005A6CA2">
      <w:pPr>
        <w:pStyle w:val="Callout-Summaryofkeyfindingbullet"/>
      </w:pPr>
      <w:r>
        <w:t>Unlike Australia, Canada, the Netherlands, and the UK have structured provincial or national programs in place that cover voice prostheses. The Netherlands and the UK offer comprehensive coverage for voice prostheses, while Canada provides partial funding.</w:t>
      </w:r>
    </w:p>
    <w:p w14:paraId="1B60A30E" w14:textId="77777777" w:rsidR="004E408C" w:rsidRDefault="004E408C" w:rsidP="005A6CA2">
      <w:pPr>
        <w:pStyle w:val="Callout-Summaryofkeyfindingbullet"/>
      </w:pPr>
      <w:r>
        <w:t xml:space="preserve">The UK was the only country of those considered that offers public funding for male reproductive prostheses. Canada and New Zealand rely primarily on self-funding, while there is no publicly available information for the Netherlands. </w:t>
      </w:r>
    </w:p>
    <w:p w14:paraId="1BA1863C" w14:textId="655C0A87" w:rsidR="004E408C" w:rsidRDefault="004E408C" w:rsidP="005A6CA2">
      <w:pPr>
        <w:pStyle w:val="Callout-Summaryofkeyfindingbullet"/>
      </w:pPr>
      <w:r>
        <w:t>In contrast to the largely self-funded model in Australia, Canada, and the Netherlands offer structured reimbursement models for oral prostheses, while New Zealand and the UK provide fully funded oral prostheses for individuals meeting specific clinical criteria, which includes those affected by cancer.</w:t>
      </w:r>
    </w:p>
    <w:p w14:paraId="7A2F6D77" w14:textId="77777777" w:rsidR="00A5001A" w:rsidRPr="009A4EB8" w:rsidRDefault="00A5001A" w:rsidP="009A4EB8">
      <w:bookmarkStart w:id="89" w:name="_Toc207348743"/>
      <w:bookmarkStart w:id="90" w:name="_Ref200615834"/>
      <w:r w:rsidRPr="009A4EB8">
        <w:br w:type="page"/>
      </w:r>
    </w:p>
    <w:p w14:paraId="36755771" w14:textId="1F5E27F4" w:rsidR="003C6D85" w:rsidRDefault="006330BC" w:rsidP="008239ED">
      <w:pPr>
        <w:pStyle w:val="Heading2"/>
      </w:pPr>
      <w:r>
        <w:t>C</w:t>
      </w:r>
      <w:r w:rsidR="003C6D85">
        <w:t xml:space="preserve">ountries selected for </w:t>
      </w:r>
      <w:r w:rsidR="009421C6">
        <w:t>comparative analysis</w:t>
      </w:r>
      <w:bookmarkEnd w:id="89"/>
    </w:p>
    <w:p w14:paraId="00FC6C25" w14:textId="34B6EB9D" w:rsidR="003C6D85" w:rsidRPr="009A4EB8" w:rsidRDefault="003C6D85" w:rsidP="009A4EB8">
      <w:r w:rsidRPr="009A4EB8">
        <w:t>For each prostheses type</w:t>
      </w:r>
      <w:r w:rsidR="00CD3DA1" w:rsidRPr="009A4EB8">
        <w:t xml:space="preserve"> included within this section</w:t>
      </w:r>
      <w:r w:rsidRPr="009A4EB8">
        <w:t xml:space="preserve">, the delivery of prostheses services in the following countries </w:t>
      </w:r>
      <w:r w:rsidR="00CD3DA1" w:rsidRPr="009A4EB8">
        <w:t>have been</w:t>
      </w:r>
      <w:r w:rsidRPr="009A4EB8">
        <w:t xml:space="preserve"> compared to Australia: </w:t>
      </w:r>
    </w:p>
    <w:p w14:paraId="6ECD73B9" w14:textId="77777777" w:rsidR="003C6D85" w:rsidRDefault="003C6D85" w:rsidP="00562940">
      <w:pPr>
        <w:pStyle w:val="Bullet1stlevel"/>
      </w:pPr>
      <w:r w:rsidRPr="00F971C7">
        <w:t>Canada</w:t>
      </w:r>
    </w:p>
    <w:p w14:paraId="5ADD6775" w14:textId="77777777" w:rsidR="003C6D85" w:rsidRDefault="003C6D85" w:rsidP="00562940">
      <w:pPr>
        <w:pStyle w:val="Bullet1stlevel"/>
      </w:pPr>
      <w:r>
        <w:t xml:space="preserve">Netherlands </w:t>
      </w:r>
    </w:p>
    <w:p w14:paraId="7AD6E46B" w14:textId="77777777" w:rsidR="003C6D85" w:rsidRPr="00F971C7" w:rsidRDefault="003C6D85" w:rsidP="00562940">
      <w:pPr>
        <w:pStyle w:val="Bullet1stlevel"/>
      </w:pPr>
      <w:r w:rsidRPr="00F971C7">
        <w:t xml:space="preserve">New Zealand </w:t>
      </w:r>
    </w:p>
    <w:p w14:paraId="77752570" w14:textId="767FA5DA" w:rsidR="003C6D85" w:rsidRPr="00F971C7" w:rsidRDefault="003C6D85" w:rsidP="00562940">
      <w:pPr>
        <w:pStyle w:val="Bullet1stlevel"/>
      </w:pPr>
      <w:r w:rsidRPr="00F971C7">
        <w:t>United Kingdom</w:t>
      </w:r>
      <w:r w:rsidR="00D87E5B">
        <w:t>.</w:t>
      </w:r>
      <w:r w:rsidRPr="00F971C7">
        <w:t xml:space="preserve"> </w:t>
      </w:r>
    </w:p>
    <w:p w14:paraId="30BA8F48" w14:textId="4A85B6CC" w:rsidR="003C6D85" w:rsidRPr="0040690B" w:rsidRDefault="003C6D85" w:rsidP="0040690B">
      <w:r w:rsidRPr="0040690B">
        <w:t xml:space="preserve">These countries were selected </w:t>
      </w:r>
      <w:r w:rsidR="00C81A42" w:rsidRPr="0040690B">
        <w:t xml:space="preserve">for inclusion in this analysis due to similarities </w:t>
      </w:r>
      <w:r w:rsidR="008F1BDE" w:rsidRPr="0040690B">
        <w:t>between their</w:t>
      </w:r>
      <w:r w:rsidRPr="0040690B">
        <w:t xml:space="preserve"> health system</w:t>
      </w:r>
      <w:r w:rsidR="00E64BF8" w:rsidRPr="0040690B">
        <w:t xml:space="preserve">s </w:t>
      </w:r>
      <w:r w:rsidR="008F1BDE" w:rsidRPr="0040690B">
        <w:t>and</w:t>
      </w:r>
      <w:r w:rsidRPr="0040690B">
        <w:t xml:space="preserve"> Australia</w:t>
      </w:r>
      <w:r w:rsidR="008F1BDE" w:rsidRPr="0040690B">
        <w:t>’s</w:t>
      </w:r>
      <w:r w:rsidRPr="0040690B">
        <w:t>.</w:t>
      </w:r>
      <w:r w:rsidR="00CD3DA1" w:rsidRPr="0040690B">
        <w:t xml:space="preserve"> </w:t>
      </w:r>
      <w:r w:rsidR="000432E6" w:rsidRPr="0040690B">
        <w:t>Th</w:t>
      </w:r>
      <w:r w:rsidR="00E64BF8" w:rsidRPr="0040690B">
        <w:t>e</w:t>
      </w:r>
      <w:r w:rsidR="000432E6" w:rsidRPr="0040690B">
        <w:t>s</w:t>
      </w:r>
      <w:r w:rsidR="00E64BF8" w:rsidRPr="0040690B">
        <w:t>e countries represent</w:t>
      </w:r>
      <w:r w:rsidR="000432E6" w:rsidRPr="0040690B">
        <w:t xml:space="preserve"> high-income nations where universal health</w:t>
      </w:r>
      <w:r w:rsidR="00E64BF8" w:rsidRPr="0040690B">
        <w:t>care</w:t>
      </w:r>
      <w:r w:rsidR="000432E6" w:rsidRPr="0040690B">
        <w:t xml:space="preserve"> is </w:t>
      </w:r>
      <w:proofErr w:type="gramStart"/>
      <w:r w:rsidR="000432E6" w:rsidRPr="0040690B">
        <w:t>provided,</w:t>
      </w:r>
      <w:proofErr w:type="gramEnd"/>
      <w:r w:rsidR="000432E6" w:rsidRPr="0040690B">
        <w:t xml:space="preserve"> there is strong regulatory oversight of the health system and </w:t>
      </w:r>
      <w:r w:rsidR="00E64BF8" w:rsidRPr="0040690B">
        <w:t xml:space="preserve">there is a mix of public and </w:t>
      </w:r>
      <w:r w:rsidR="00085986" w:rsidRPr="0040690B">
        <w:t xml:space="preserve">private care available. </w:t>
      </w:r>
      <w:r w:rsidR="00CD3DA1" w:rsidRPr="0040690B">
        <w:t xml:space="preserve">A brief overview of </w:t>
      </w:r>
      <w:r w:rsidR="00F15E1D" w:rsidRPr="0040690B">
        <w:t xml:space="preserve">the health systems in each country is provided in </w:t>
      </w:r>
      <w:r w:rsidR="00094C5B" w:rsidRPr="0040690B">
        <w:fldChar w:fldCharType="begin"/>
      </w:r>
      <w:r w:rsidR="00094C5B" w:rsidRPr="0040690B">
        <w:instrText xml:space="preserve"> REF _Ref200618896 \h </w:instrText>
      </w:r>
      <w:r w:rsidR="0040690B">
        <w:instrText xml:space="preserve"> \* MERGEFORMAT </w:instrText>
      </w:r>
      <w:r w:rsidR="00094C5B" w:rsidRPr="0040690B">
        <w:fldChar w:fldCharType="separate"/>
      </w:r>
      <w:r w:rsidR="00D955D8" w:rsidRPr="0040690B">
        <w:t>Table 12</w:t>
      </w:r>
      <w:r w:rsidR="00094C5B" w:rsidRPr="0040690B">
        <w:fldChar w:fldCharType="end"/>
      </w:r>
      <w:r w:rsidR="00F15E1D" w:rsidRPr="0040690B">
        <w:t xml:space="preserve"> below. </w:t>
      </w:r>
    </w:p>
    <w:p w14:paraId="2F5D7193" w14:textId="05D1042A" w:rsidR="00F15E1D" w:rsidRDefault="00F15E1D" w:rsidP="00F15E1D">
      <w:pPr>
        <w:pStyle w:val="Caption"/>
      </w:pPr>
      <w:bookmarkStart w:id="91" w:name="_Ref200618896"/>
      <w:bookmarkStart w:id="92" w:name="_Toc207348577"/>
      <w:r>
        <w:t xml:space="preserve">Table </w:t>
      </w:r>
      <w:r w:rsidR="00D955D8">
        <w:fldChar w:fldCharType="begin"/>
      </w:r>
      <w:r w:rsidR="00D955D8">
        <w:instrText xml:space="preserve"> SEQ Table \* ARABIC </w:instrText>
      </w:r>
      <w:r w:rsidR="00D955D8">
        <w:fldChar w:fldCharType="separate"/>
      </w:r>
      <w:r w:rsidR="00D955D8">
        <w:rPr>
          <w:noProof/>
        </w:rPr>
        <w:t>12</w:t>
      </w:r>
      <w:r w:rsidR="00D955D8">
        <w:rPr>
          <w:noProof/>
        </w:rPr>
        <w:fldChar w:fldCharType="end"/>
      </w:r>
      <w:bookmarkEnd w:id="91"/>
      <w:r>
        <w:t xml:space="preserve">: </w:t>
      </w:r>
      <w:r w:rsidR="00094C5B">
        <w:t>Overview of the health systems in countries included in the international comparator analysis outlined in this</w:t>
      </w:r>
      <w:r w:rsidR="002E0887">
        <w:t> </w:t>
      </w:r>
      <w:r w:rsidR="00094C5B">
        <w:t>section</w:t>
      </w:r>
      <w:bookmarkEnd w:id="92"/>
    </w:p>
    <w:tbl>
      <w:tblPr>
        <w:tblStyle w:val="KPMGTable"/>
        <w:tblW w:w="10308" w:type="dxa"/>
        <w:tblLook w:val="04A0" w:firstRow="1" w:lastRow="0" w:firstColumn="1" w:lastColumn="0" w:noHBand="0" w:noVBand="1"/>
      </w:tblPr>
      <w:tblGrid>
        <w:gridCol w:w="1713"/>
        <w:gridCol w:w="8595"/>
      </w:tblGrid>
      <w:tr w:rsidR="00772257" w:rsidRPr="007B154A" w14:paraId="63E706E2" w14:textId="77777777" w:rsidTr="007E01F1">
        <w:trPr>
          <w:cnfStyle w:val="100000000000" w:firstRow="1" w:lastRow="0" w:firstColumn="0" w:lastColumn="0" w:oddVBand="0" w:evenVBand="0" w:oddHBand="0"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1713" w:type="dxa"/>
          </w:tcPr>
          <w:p w14:paraId="5B8978F3" w14:textId="77777777" w:rsidR="00B20C1E" w:rsidRPr="007E01F1" w:rsidRDefault="00B20C1E" w:rsidP="00860737">
            <w:pPr>
              <w:pStyle w:val="TableHeading"/>
              <w:rPr>
                <w:b w:val="0"/>
                <w:szCs w:val="18"/>
              </w:rPr>
            </w:pPr>
            <w:r w:rsidRPr="007E01F1">
              <w:t>Country</w:t>
            </w:r>
          </w:p>
        </w:tc>
        <w:tc>
          <w:tcPr>
            <w:tcW w:w="8595" w:type="dxa"/>
          </w:tcPr>
          <w:p w14:paraId="1BB40315" w14:textId="6723ABBA" w:rsidR="00F15E1D" w:rsidRPr="007E01F1" w:rsidRDefault="00F15E1D" w:rsidP="00860737">
            <w:pPr>
              <w:pStyle w:val="TableHeading"/>
              <w:cnfStyle w:val="100000000000" w:firstRow="1" w:lastRow="0" w:firstColumn="0" w:lastColumn="0" w:oddVBand="0" w:evenVBand="0" w:oddHBand="0" w:evenHBand="0" w:firstRowFirstColumn="0" w:firstRowLastColumn="0" w:lastRowFirstColumn="0" w:lastRowLastColumn="0"/>
              <w:rPr>
                <w:b w:val="0"/>
                <w:szCs w:val="18"/>
              </w:rPr>
            </w:pPr>
            <w:r w:rsidRPr="007E01F1">
              <w:t>Overview of health system</w:t>
            </w:r>
            <w:r w:rsidR="00E11261" w:rsidRPr="008F3499">
              <w:t xml:space="preserve"> </w:t>
            </w:r>
            <w:r w:rsidR="00D449E7" w:rsidRPr="008F3499">
              <w:t xml:space="preserve">and </w:t>
            </w:r>
            <w:r w:rsidR="00B5082C" w:rsidRPr="008F3499">
              <w:t>similarities</w:t>
            </w:r>
            <w:r w:rsidR="00E11261" w:rsidRPr="008F3499">
              <w:t xml:space="preserve"> </w:t>
            </w:r>
            <w:r w:rsidR="00D449E7" w:rsidRPr="008F3499">
              <w:t>to</w:t>
            </w:r>
            <w:r w:rsidR="00E11261" w:rsidRPr="008F3499">
              <w:t xml:space="preserve"> Australia</w:t>
            </w:r>
          </w:p>
        </w:tc>
      </w:tr>
      <w:tr w:rsidR="00AE1E92" w:rsidRPr="001B05CB" w14:paraId="53178D51" w14:textId="77777777" w:rsidTr="007E01F1">
        <w:trPr>
          <w:trHeight w:val="1106"/>
        </w:trPr>
        <w:tc>
          <w:tcPr>
            <w:cnfStyle w:val="001000000000" w:firstRow="0" w:lastRow="0" w:firstColumn="1" w:lastColumn="0" w:oddVBand="0" w:evenVBand="0" w:oddHBand="0" w:evenHBand="0" w:firstRowFirstColumn="0" w:firstRowLastColumn="0" w:lastRowFirstColumn="0" w:lastRowLastColumn="0"/>
            <w:tcW w:w="1713" w:type="dxa"/>
          </w:tcPr>
          <w:p w14:paraId="30FFE62B" w14:textId="2BC14166" w:rsidR="00F15E1D" w:rsidRPr="00EC42B0" w:rsidRDefault="001339B1" w:rsidP="00860737">
            <w:pPr>
              <w:pStyle w:val="Tabletextbold"/>
              <w:rPr>
                <w:szCs w:val="18"/>
              </w:rPr>
            </w:pPr>
            <w:r>
              <w:rPr>
                <w:b/>
              </w:rPr>
              <w:t>Canada</w:t>
            </w:r>
          </w:p>
        </w:tc>
        <w:tc>
          <w:tcPr>
            <w:tcW w:w="8595" w:type="dxa"/>
          </w:tcPr>
          <w:p w14:paraId="7B2199D5" w14:textId="63B82F30" w:rsidR="00F15E1D" w:rsidRPr="00E9562A" w:rsidRDefault="001339B1" w:rsidP="00860737">
            <w:pPr>
              <w:pStyle w:val="TableText"/>
              <w:cnfStyle w:val="000000000000" w:firstRow="0" w:lastRow="0" w:firstColumn="0" w:lastColumn="0" w:oddVBand="0" w:evenVBand="0" w:oddHBand="0" w:evenHBand="0" w:firstRowFirstColumn="0" w:firstRowLastColumn="0" w:lastRowFirstColumn="0" w:lastRowLastColumn="0"/>
            </w:pPr>
            <w:r w:rsidRPr="001339B1">
              <w:t>Like Australia, Canada operates a publicly funded universal health insurance system (also called Medicare) that provides access to essential healthcare services for all citizens. Canada’s system is managed at the provincial level, leading to some regional variation</w:t>
            </w:r>
            <w:r>
              <w:t xml:space="preserve"> in service </w:t>
            </w:r>
            <w:r w:rsidR="00564AE1">
              <w:t>delivery</w:t>
            </w:r>
            <w:r w:rsidR="00C458EC">
              <w:t>.</w:t>
            </w:r>
            <w:r w:rsidR="00F613E8">
              <w:rPr>
                <w:szCs w:val="18"/>
              </w:rPr>
              <w:t xml:space="preserve"> E</w:t>
            </w:r>
            <w:r w:rsidR="00F613E8" w:rsidRPr="00673BA4">
              <w:rPr>
                <w:szCs w:val="18"/>
              </w:rPr>
              <w:t xml:space="preserve">ach </w:t>
            </w:r>
            <w:r w:rsidR="00F613E8">
              <w:rPr>
                <w:szCs w:val="18"/>
              </w:rPr>
              <w:t xml:space="preserve">Canadian </w:t>
            </w:r>
            <w:r w:rsidR="00F613E8" w:rsidRPr="00673BA4">
              <w:rPr>
                <w:szCs w:val="18"/>
              </w:rPr>
              <w:t>province and territory</w:t>
            </w:r>
            <w:r w:rsidR="00F613E8">
              <w:rPr>
                <w:szCs w:val="18"/>
              </w:rPr>
              <w:t xml:space="preserve"> has its own </w:t>
            </w:r>
            <w:r w:rsidR="00F613E8" w:rsidRPr="00673BA4">
              <w:rPr>
                <w:szCs w:val="18"/>
              </w:rPr>
              <w:t>health insurance plan</w:t>
            </w:r>
            <w:r w:rsidR="00F613E8">
              <w:rPr>
                <w:szCs w:val="18"/>
              </w:rPr>
              <w:t xml:space="preserve">, with </w:t>
            </w:r>
            <w:r w:rsidR="00F613E8" w:rsidRPr="00673BA4">
              <w:rPr>
                <w:szCs w:val="18"/>
              </w:rPr>
              <w:t xml:space="preserve">coverage </w:t>
            </w:r>
            <w:r w:rsidR="00F613E8">
              <w:rPr>
                <w:szCs w:val="18"/>
              </w:rPr>
              <w:t xml:space="preserve">provided for </w:t>
            </w:r>
            <w:r w:rsidR="00F613E8" w:rsidRPr="00673BA4">
              <w:rPr>
                <w:szCs w:val="18"/>
              </w:rPr>
              <w:t>medically necessary hospital, physician and some surgical-dental services.</w:t>
            </w:r>
            <w:r w:rsidR="00414F90">
              <w:rPr>
                <w:rStyle w:val="FootnoteReference"/>
                <w:szCs w:val="18"/>
              </w:rPr>
              <w:footnoteReference w:id="105"/>
            </w:r>
          </w:p>
        </w:tc>
      </w:tr>
      <w:tr w:rsidR="00AE1E92" w:rsidRPr="00FA30FA" w14:paraId="2A7B9047" w14:textId="77777777" w:rsidTr="007E01F1">
        <w:trPr>
          <w:trHeight w:val="1106"/>
        </w:trPr>
        <w:tc>
          <w:tcPr>
            <w:cnfStyle w:val="001000000000" w:firstRow="0" w:lastRow="0" w:firstColumn="1" w:lastColumn="0" w:oddVBand="0" w:evenVBand="0" w:oddHBand="0" w:evenHBand="0" w:firstRowFirstColumn="0" w:firstRowLastColumn="0" w:lastRowFirstColumn="0" w:lastRowLastColumn="0"/>
            <w:tcW w:w="1713" w:type="dxa"/>
          </w:tcPr>
          <w:p w14:paraId="49954FE4" w14:textId="5A417432" w:rsidR="00F15E1D" w:rsidRPr="00EC42B0" w:rsidRDefault="00564AE1" w:rsidP="00860737">
            <w:pPr>
              <w:pStyle w:val="Tabletextbold"/>
              <w:rPr>
                <w:szCs w:val="18"/>
              </w:rPr>
            </w:pPr>
            <w:r>
              <w:rPr>
                <w:b/>
              </w:rPr>
              <w:t>Netherlands</w:t>
            </w:r>
          </w:p>
        </w:tc>
        <w:tc>
          <w:tcPr>
            <w:tcW w:w="8595" w:type="dxa"/>
          </w:tcPr>
          <w:p w14:paraId="67D9D2DF" w14:textId="1A1F01FE" w:rsidR="00F15E1D" w:rsidRPr="00E9562A" w:rsidRDefault="0051036B" w:rsidP="00860737">
            <w:pPr>
              <w:pStyle w:val="TableText"/>
              <w:cnfStyle w:val="000000000000" w:firstRow="0" w:lastRow="0" w:firstColumn="0" w:lastColumn="0" w:oddVBand="0" w:evenVBand="0" w:oddHBand="0" w:evenHBand="0" w:firstRowFirstColumn="0" w:firstRowLastColumn="0" w:lastRowFirstColumn="0" w:lastRowLastColumn="0"/>
            </w:pPr>
            <w:r w:rsidRPr="0051036B">
              <w:t>The Dutch system combines universal mandatory health insurance with private provision, offering a high level of access, efficiency, and health outcome</w:t>
            </w:r>
            <w:r>
              <w:t xml:space="preserve">s. This system </w:t>
            </w:r>
            <w:r w:rsidR="00352D01">
              <w:rPr>
                <w:szCs w:val="18"/>
              </w:rPr>
              <w:t xml:space="preserve">is </w:t>
            </w:r>
            <w:proofErr w:type="gramStart"/>
            <w:r w:rsidR="00352D01">
              <w:rPr>
                <w:szCs w:val="18"/>
              </w:rPr>
              <w:t>similar to</w:t>
            </w:r>
            <w:proofErr w:type="gramEnd"/>
            <w:r w:rsidRPr="0051036B">
              <w:t xml:space="preserve"> Australia’s dual public-private approach</w:t>
            </w:r>
            <w:r w:rsidR="00C458EC">
              <w:t>.</w:t>
            </w:r>
            <w:r w:rsidR="00352D01">
              <w:rPr>
                <w:szCs w:val="18"/>
              </w:rPr>
              <w:t xml:space="preserve"> Dutch</w:t>
            </w:r>
            <w:r w:rsidR="00352D01" w:rsidRPr="007F3B02">
              <w:rPr>
                <w:szCs w:val="18"/>
              </w:rPr>
              <w:t xml:space="preserve"> residents are required to purchase insurance from private</w:t>
            </w:r>
            <w:r w:rsidR="00352D01">
              <w:rPr>
                <w:szCs w:val="18"/>
              </w:rPr>
              <w:t xml:space="preserve"> health</w:t>
            </w:r>
            <w:r w:rsidR="00352D01" w:rsidRPr="007F3B02">
              <w:rPr>
                <w:szCs w:val="18"/>
              </w:rPr>
              <w:t xml:space="preserve"> insurers, </w:t>
            </w:r>
            <w:r w:rsidR="00352D01">
              <w:rPr>
                <w:szCs w:val="18"/>
              </w:rPr>
              <w:t>who</w:t>
            </w:r>
            <w:r w:rsidR="00352D01" w:rsidRPr="007F3B02">
              <w:rPr>
                <w:szCs w:val="18"/>
              </w:rPr>
              <w:t xml:space="preserve"> are required to accept all applicants. </w:t>
            </w:r>
            <w:r w:rsidR="00352D01">
              <w:rPr>
                <w:szCs w:val="18"/>
              </w:rPr>
              <w:t>B</w:t>
            </w:r>
            <w:r w:rsidR="00352D01" w:rsidRPr="007F3B02">
              <w:rPr>
                <w:szCs w:val="18"/>
              </w:rPr>
              <w:t xml:space="preserve">enefits </w:t>
            </w:r>
            <w:r w:rsidR="00352D01">
              <w:rPr>
                <w:szCs w:val="18"/>
              </w:rPr>
              <w:t xml:space="preserve">typically include </w:t>
            </w:r>
            <w:r w:rsidR="00352D01" w:rsidRPr="007F3B02">
              <w:rPr>
                <w:szCs w:val="18"/>
              </w:rPr>
              <w:t xml:space="preserve">hospital, physician, home nursing, and mental health care, as well as prescription </w:t>
            </w:r>
            <w:r w:rsidR="00352D01">
              <w:rPr>
                <w:szCs w:val="18"/>
              </w:rPr>
              <w:t>medication</w:t>
            </w:r>
            <w:r w:rsidR="00352D01" w:rsidRPr="007F3B02">
              <w:rPr>
                <w:szCs w:val="18"/>
              </w:rPr>
              <w:t>.</w:t>
            </w:r>
            <w:r w:rsidR="007B7939">
              <w:rPr>
                <w:rFonts w:ascii="ZWAdobeF" w:hAnsi="ZWAdobeF" w:cs="ZWAdobeF"/>
                <w:color w:val="auto"/>
                <w:sz w:val="2"/>
                <w:szCs w:val="2"/>
              </w:rPr>
              <w:t>122F</w:t>
            </w:r>
            <w:r>
              <w:rPr>
                <w:rStyle w:val="FootnoteReference"/>
                <w:szCs w:val="18"/>
              </w:rPr>
              <w:footnoteReference w:id="106"/>
            </w:r>
          </w:p>
        </w:tc>
      </w:tr>
      <w:tr w:rsidR="00AE1E92" w:rsidRPr="00FA30FA" w14:paraId="3519C7B1" w14:textId="77777777" w:rsidTr="007E01F1">
        <w:trPr>
          <w:trHeight w:val="1106"/>
        </w:trPr>
        <w:tc>
          <w:tcPr>
            <w:cnfStyle w:val="001000000000" w:firstRow="0" w:lastRow="0" w:firstColumn="1" w:lastColumn="0" w:oddVBand="0" w:evenVBand="0" w:oddHBand="0" w:evenHBand="0" w:firstRowFirstColumn="0" w:firstRowLastColumn="0" w:lastRowFirstColumn="0" w:lastRowLastColumn="0"/>
            <w:tcW w:w="1713" w:type="dxa"/>
          </w:tcPr>
          <w:p w14:paraId="615ABECB" w14:textId="63CD1312" w:rsidR="00F15E1D" w:rsidRPr="00EC42B0" w:rsidRDefault="00FA40BE" w:rsidP="00860737">
            <w:pPr>
              <w:pStyle w:val="Tabletextbold"/>
              <w:rPr>
                <w:szCs w:val="18"/>
              </w:rPr>
            </w:pPr>
            <w:r>
              <w:rPr>
                <w:b/>
              </w:rPr>
              <w:t>New Zealand</w:t>
            </w:r>
          </w:p>
        </w:tc>
        <w:tc>
          <w:tcPr>
            <w:tcW w:w="8595" w:type="dxa"/>
          </w:tcPr>
          <w:p w14:paraId="1B58B4B8" w14:textId="21B96320" w:rsidR="00F15E1D" w:rsidRPr="00C10C27" w:rsidRDefault="000E70A2" w:rsidP="00860737">
            <w:pPr>
              <w:pStyle w:val="TableText"/>
              <w:cnfStyle w:val="000000000000" w:firstRow="0" w:lastRow="0" w:firstColumn="0" w:lastColumn="0" w:oddVBand="0" w:evenVBand="0" w:oddHBand="0" w:evenHBand="0" w:firstRowFirstColumn="0" w:firstRowLastColumn="0" w:lastRowFirstColumn="0" w:lastRowLastColumn="0"/>
            </w:pPr>
            <w:r w:rsidRPr="000E70A2">
              <w:t xml:space="preserve">New Zealand’s health system shares many features with Australia, including universal coverage, a mix of public and private providers, and similar regulatory standards. </w:t>
            </w:r>
            <w:r w:rsidR="00F40216" w:rsidRPr="001A66FE">
              <w:rPr>
                <w:szCs w:val="18"/>
              </w:rPr>
              <w:t xml:space="preserve">The </w:t>
            </w:r>
            <w:r w:rsidR="00F40216">
              <w:rPr>
                <w:szCs w:val="18"/>
              </w:rPr>
              <w:t>New Zealand</w:t>
            </w:r>
            <w:r w:rsidR="00F40216" w:rsidRPr="001A66FE">
              <w:rPr>
                <w:szCs w:val="18"/>
              </w:rPr>
              <w:t xml:space="preserve"> government </w:t>
            </w:r>
            <w:r w:rsidR="00F40216">
              <w:rPr>
                <w:szCs w:val="18"/>
              </w:rPr>
              <w:t xml:space="preserve">is responsible for </w:t>
            </w:r>
            <w:r w:rsidR="00F40216" w:rsidRPr="001A66FE">
              <w:rPr>
                <w:szCs w:val="18"/>
              </w:rPr>
              <w:t>set</w:t>
            </w:r>
            <w:r w:rsidR="00F40216">
              <w:rPr>
                <w:szCs w:val="18"/>
              </w:rPr>
              <w:t>ting</w:t>
            </w:r>
            <w:r w:rsidR="00F40216" w:rsidRPr="001A66FE">
              <w:rPr>
                <w:szCs w:val="18"/>
              </w:rPr>
              <w:t xml:space="preserve"> an annual budget and benefit package</w:t>
            </w:r>
            <w:r w:rsidR="00F40216">
              <w:rPr>
                <w:szCs w:val="18"/>
              </w:rPr>
              <w:t xml:space="preserve"> while</w:t>
            </w:r>
            <w:r w:rsidR="00F40216" w:rsidRPr="001A66FE">
              <w:rPr>
                <w:szCs w:val="18"/>
              </w:rPr>
              <w:t xml:space="preserve"> District health boards plan</w:t>
            </w:r>
            <w:r w:rsidR="00F40216">
              <w:rPr>
                <w:szCs w:val="18"/>
              </w:rPr>
              <w:t xml:space="preserve">, </w:t>
            </w:r>
            <w:r w:rsidR="00F40216" w:rsidRPr="001A66FE">
              <w:rPr>
                <w:szCs w:val="18"/>
              </w:rPr>
              <w:t>purchas</w:t>
            </w:r>
            <w:r w:rsidR="00F40216">
              <w:rPr>
                <w:szCs w:val="18"/>
              </w:rPr>
              <w:t>e</w:t>
            </w:r>
            <w:r w:rsidR="00F40216" w:rsidRPr="001A66FE">
              <w:rPr>
                <w:szCs w:val="18"/>
              </w:rPr>
              <w:t xml:space="preserve"> and provid</w:t>
            </w:r>
            <w:r w:rsidR="00F40216">
              <w:rPr>
                <w:szCs w:val="18"/>
              </w:rPr>
              <w:t>e</w:t>
            </w:r>
            <w:r w:rsidR="00F40216" w:rsidRPr="001A66FE">
              <w:rPr>
                <w:szCs w:val="18"/>
              </w:rPr>
              <w:t xml:space="preserve"> health services at the local level. </w:t>
            </w:r>
            <w:r w:rsidRPr="000E70A2">
              <w:t>The Medical Council of New Zealand explicitly lists Australia as a comparable system</w:t>
            </w:r>
            <w:r>
              <w:t xml:space="preserve"> to their own</w:t>
            </w:r>
            <w:r w:rsidR="00C458EC">
              <w:t>.</w:t>
            </w:r>
            <w:r w:rsidR="007B7939">
              <w:rPr>
                <w:rFonts w:ascii="ZWAdobeF" w:hAnsi="ZWAdobeF" w:cs="ZWAdobeF"/>
                <w:color w:val="auto"/>
                <w:sz w:val="2"/>
                <w:szCs w:val="2"/>
              </w:rPr>
              <w:t>123F</w:t>
            </w:r>
            <w:r w:rsidR="003514FF">
              <w:rPr>
                <w:rStyle w:val="FootnoteReference"/>
                <w:szCs w:val="18"/>
              </w:rPr>
              <w:footnoteReference w:id="107"/>
            </w:r>
            <w:r w:rsidR="00F40216">
              <w:rPr>
                <w:rFonts w:ascii="Cambria" w:hAnsi="Cambria" w:cs="ZWAdobeF"/>
                <w:color w:val="auto"/>
                <w:sz w:val="2"/>
                <w:szCs w:val="2"/>
              </w:rPr>
              <w:t xml:space="preserve">,   </w:t>
            </w:r>
            <w:r w:rsidR="00F40216" w:rsidRPr="00984BC9">
              <w:rPr>
                <w:rFonts w:asciiTheme="minorHAnsi" w:hAnsiTheme="minorHAnsi" w:cstheme="minorHAnsi"/>
                <w:color w:val="auto"/>
                <w:sz w:val="20"/>
                <w:szCs w:val="20"/>
                <w:vertAlign w:val="superscript"/>
              </w:rPr>
              <w:t>,</w:t>
            </w:r>
            <w:r w:rsidR="00F40216">
              <w:rPr>
                <w:rStyle w:val="FootnoteReference"/>
                <w:szCs w:val="18"/>
              </w:rPr>
              <w:footnoteReference w:id="108"/>
            </w:r>
          </w:p>
        </w:tc>
      </w:tr>
      <w:tr w:rsidR="00AE1E92" w:rsidRPr="00FA30FA" w14:paraId="05408F5D" w14:textId="77777777" w:rsidTr="007E01F1">
        <w:trPr>
          <w:trHeight w:val="1106"/>
        </w:trPr>
        <w:tc>
          <w:tcPr>
            <w:cnfStyle w:val="001000000000" w:firstRow="0" w:lastRow="0" w:firstColumn="1" w:lastColumn="0" w:oddVBand="0" w:evenVBand="0" w:oddHBand="0" w:evenHBand="0" w:firstRowFirstColumn="0" w:firstRowLastColumn="0" w:lastRowFirstColumn="0" w:lastRowLastColumn="0"/>
            <w:tcW w:w="1713" w:type="dxa"/>
          </w:tcPr>
          <w:p w14:paraId="1759224B" w14:textId="01786638" w:rsidR="00F15E1D" w:rsidRPr="00EC42B0" w:rsidRDefault="00FA40BE" w:rsidP="00860737">
            <w:pPr>
              <w:pStyle w:val="Tabletextbold"/>
              <w:rPr>
                <w:szCs w:val="18"/>
              </w:rPr>
            </w:pPr>
            <w:r>
              <w:rPr>
                <w:b/>
              </w:rPr>
              <w:t>United Kingdom</w:t>
            </w:r>
            <w:r w:rsidR="00C02C80">
              <w:rPr>
                <w:b/>
                <w:szCs w:val="18"/>
              </w:rPr>
              <w:t xml:space="preserve"> </w:t>
            </w:r>
          </w:p>
        </w:tc>
        <w:tc>
          <w:tcPr>
            <w:tcW w:w="8595" w:type="dxa"/>
          </w:tcPr>
          <w:p w14:paraId="622A20FE" w14:textId="65C83735" w:rsidR="00F15E1D" w:rsidRPr="00C10C27" w:rsidRDefault="0046645B" w:rsidP="00860737">
            <w:pPr>
              <w:pStyle w:val="TableText"/>
              <w:cnfStyle w:val="000000000000" w:firstRow="0" w:lastRow="0" w:firstColumn="0" w:lastColumn="0" w:oddVBand="0" w:evenVBand="0" w:oddHBand="0" w:evenHBand="0" w:firstRowFirstColumn="0" w:firstRowLastColumn="0" w:lastRowFirstColumn="0" w:lastRowLastColumn="0"/>
            </w:pPr>
            <w:r w:rsidRPr="0046645B">
              <w:t xml:space="preserve">The </w:t>
            </w:r>
            <w:r w:rsidR="00B20C1E" w:rsidRPr="0046645B">
              <w:t>U</w:t>
            </w:r>
            <w:r w:rsidR="00094C5B">
              <w:t xml:space="preserve">nited </w:t>
            </w:r>
            <w:r w:rsidR="00B20C1E" w:rsidRPr="0046645B">
              <w:t>K</w:t>
            </w:r>
            <w:r w:rsidR="00094C5B">
              <w:t>ingdom</w:t>
            </w:r>
            <w:r w:rsidR="00B20C1E" w:rsidRPr="0046645B">
              <w:t>’s</w:t>
            </w:r>
            <w:r w:rsidR="00094C5B">
              <w:t xml:space="preserve"> (UK)</w:t>
            </w:r>
            <w:r w:rsidRPr="0046645B">
              <w:t xml:space="preserve"> National Health Service (NHS) </w:t>
            </w:r>
            <w:r w:rsidR="00D449E7">
              <w:t>provides</w:t>
            </w:r>
            <w:r w:rsidRPr="0046645B">
              <w:t xml:space="preserve"> universal healthcare</w:t>
            </w:r>
            <w:r w:rsidR="00D449E7">
              <w:t xml:space="preserve"> </w:t>
            </w:r>
            <w:r w:rsidR="00C02C80">
              <w:t>across the UK. The NHS is</w:t>
            </w:r>
            <w:r w:rsidRPr="0046645B">
              <w:t xml:space="preserve"> funded through taxation</w:t>
            </w:r>
            <w:r w:rsidR="00C02C80">
              <w:t xml:space="preserve"> and shares</w:t>
            </w:r>
            <w:r w:rsidRPr="0046645B">
              <w:t xml:space="preserve"> similar </w:t>
            </w:r>
            <w:r w:rsidR="00C02C80">
              <w:t>characteristics</w:t>
            </w:r>
            <w:r w:rsidRPr="0046645B">
              <w:t xml:space="preserve"> to Australia’s Medicare.</w:t>
            </w:r>
            <w:r w:rsidR="00094C5B">
              <w:t xml:space="preserve"> </w:t>
            </w:r>
            <w:r w:rsidR="00D72805" w:rsidRPr="00D7226B">
              <w:rPr>
                <w:szCs w:val="18"/>
              </w:rPr>
              <w:t xml:space="preserve">A </w:t>
            </w:r>
            <w:r w:rsidR="00D72805">
              <w:rPr>
                <w:szCs w:val="18"/>
              </w:rPr>
              <w:t xml:space="preserve">UK </w:t>
            </w:r>
            <w:r w:rsidR="00D72805" w:rsidRPr="00D7226B">
              <w:rPr>
                <w:szCs w:val="18"/>
              </w:rPr>
              <w:t>government agency, NHS England, oversees and allocates fund</w:t>
            </w:r>
            <w:r w:rsidR="00D72805">
              <w:rPr>
                <w:szCs w:val="18"/>
              </w:rPr>
              <w:t>ing</w:t>
            </w:r>
            <w:r w:rsidR="00D72805" w:rsidRPr="00D7226B">
              <w:rPr>
                <w:szCs w:val="18"/>
              </w:rPr>
              <w:t xml:space="preserve"> to 191 Clinical Commissioning Groups</w:t>
            </w:r>
            <w:r w:rsidR="00D72805">
              <w:rPr>
                <w:szCs w:val="18"/>
              </w:rPr>
              <w:t>. These groups are responsible for</w:t>
            </w:r>
            <w:r w:rsidR="00D72805" w:rsidRPr="00D7226B">
              <w:rPr>
                <w:szCs w:val="18"/>
              </w:rPr>
              <w:t xml:space="preserve"> govern</w:t>
            </w:r>
            <w:r w:rsidR="00D72805">
              <w:rPr>
                <w:szCs w:val="18"/>
              </w:rPr>
              <w:t>ing</w:t>
            </w:r>
            <w:r w:rsidR="00D72805" w:rsidRPr="00D7226B">
              <w:rPr>
                <w:szCs w:val="18"/>
              </w:rPr>
              <w:t xml:space="preserve"> and pay</w:t>
            </w:r>
            <w:r w:rsidR="00D72805">
              <w:rPr>
                <w:szCs w:val="18"/>
              </w:rPr>
              <w:t>ing</w:t>
            </w:r>
            <w:r w:rsidR="00D72805" w:rsidRPr="00D7226B">
              <w:rPr>
                <w:szCs w:val="18"/>
              </w:rPr>
              <w:t xml:space="preserve"> for </w:t>
            </w:r>
            <w:r w:rsidR="00D72805">
              <w:rPr>
                <w:szCs w:val="18"/>
              </w:rPr>
              <w:t>health service</w:t>
            </w:r>
            <w:r w:rsidR="00D72805" w:rsidRPr="00D7226B">
              <w:rPr>
                <w:szCs w:val="18"/>
              </w:rPr>
              <w:t xml:space="preserve"> delivery at the local level</w:t>
            </w:r>
            <w:r w:rsidR="00D72805">
              <w:rPr>
                <w:szCs w:val="18"/>
              </w:rPr>
              <w:t xml:space="preserve">, including </w:t>
            </w:r>
            <w:r w:rsidR="00D72805" w:rsidRPr="006C04C9">
              <w:rPr>
                <w:szCs w:val="18"/>
              </w:rPr>
              <w:t>hospital, physician, and mental health care</w:t>
            </w:r>
            <w:r w:rsidR="00D72805" w:rsidRPr="00D7226B">
              <w:rPr>
                <w:szCs w:val="18"/>
              </w:rPr>
              <w:t>.</w:t>
            </w:r>
            <w:r w:rsidR="00D72805">
              <w:rPr>
                <w:rStyle w:val="FootnoteReference"/>
                <w:szCs w:val="18"/>
              </w:rPr>
              <w:footnoteReference w:id="109"/>
            </w:r>
            <w:r w:rsidR="00D72805">
              <w:rPr>
                <w:rFonts w:ascii="ZWAdobeF" w:hAnsi="ZWAdobeF" w:cs="ZWAdobeF"/>
                <w:color w:val="auto"/>
                <w:sz w:val="2"/>
                <w:szCs w:val="2"/>
              </w:rPr>
              <w:t>124F</w:t>
            </w:r>
          </w:p>
        </w:tc>
      </w:tr>
    </w:tbl>
    <w:p w14:paraId="65ACDDC1" w14:textId="77777777" w:rsidR="009A4EB8" w:rsidRDefault="00F15E1D" w:rsidP="00562940">
      <w:pPr>
        <w:pStyle w:val="Caption-Source"/>
      </w:pPr>
      <w:r w:rsidRPr="009945A2">
        <w:t xml:space="preserve">Source: </w:t>
      </w:r>
      <w:r w:rsidR="00120620" w:rsidRPr="00120620">
        <w:t>Independent reviewer</w:t>
      </w:r>
      <w:r w:rsidR="00584D02" w:rsidRPr="00CD3106">
        <w:t xml:space="preserve"> (</w:t>
      </w:r>
      <w:r w:rsidRPr="00CD3106">
        <w:t>202</w:t>
      </w:r>
      <w:r w:rsidR="00FA40BE" w:rsidRPr="00CD3106">
        <w:t>5</w:t>
      </w:r>
      <w:r w:rsidR="00584D02" w:rsidRPr="00CD3106">
        <w:t>)</w:t>
      </w:r>
    </w:p>
    <w:p w14:paraId="311BF4EC" w14:textId="10FA1964" w:rsidR="00094C5B" w:rsidRPr="009A4EB8" w:rsidRDefault="00094C5B" w:rsidP="009A4EB8">
      <w:r w:rsidRPr="009A4EB8">
        <w:br w:type="page"/>
      </w:r>
    </w:p>
    <w:p w14:paraId="1434C44F" w14:textId="77777777" w:rsidR="00363653" w:rsidRDefault="00363653" w:rsidP="008239ED">
      <w:pPr>
        <w:pStyle w:val="Heading2"/>
      </w:pPr>
      <w:bookmarkStart w:id="93" w:name="_Ref201924936"/>
      <w:bookmarkStart w:id="94" w:name="_Toc207348744"/>
      <w:bookmarkStart w:id="95" w:name="_Ref201924890"/>
      <w:bookmarkStart w:id="96" w:name="_Ref201924921"/>
      <w:r>
        <w:t xml:space="preserve">International comparison of facial prostheses </w:t>
      </w:r>
      <w:r w:rsidRPr="00E07324">
        <w:t>services, programs and schemes</w:t>
      </w:r>
      <w:bookmarkEnd w:id="93"/>
      <w:bookmarkEnd w:id="94"/>
    </w:p>
    <w:p w14:paraId="475BD627" w14:textId="01FC7B4F" w:rsidR="00363653" w:rsidRPr="009A4EB8" w:rsidRDefault="00363653" w:rsidP="009A4EB8">
      <w:r>
        <w:t xml:space="preserve">As outlined in Section </w:t>
      </w:r>
      <w:r>
        <w:fldChar w:fldCharType="begin"/>
      </w:r>
      <w:r>
        <w:instrText xml:space="preserve"> REF _Ref200453581 \n \h </w:instrText>
      </w:r>
      <w:r>
        <w:fldChar w:fldCharType="separate"/>
      </w:r>
      <w:r w:rsidR="00D955D8">
        <w:t>2.1</w:t>
      </w:r>
      <w:r>
        <w:fldChar w:fldCharType="end"/>
      </w:r>
      <w:r w:rsidR="0041644B">
        <w:t>, t</w:t>
      </w:r>
      <w:r w:rsidR="00C458EC">
        <w:t>here is no national program or scheme that funds facial prostheses for individuals with a living or lived</w:t>
      </w:r>
      <w:r>
        <w:t xml:space="preserve"> experience of cancer in Australia. Prostheses services are </w:t>
      </w:r>
      <w:r w:rsidR="0041644B">
        <w:t>primarily self-funded</w:t>
      </w:r>
      <w:r>
        <w:t xml:space="preserve">, with only limited public support available in some jurisdictions. In contrast, Canada, the Netherlands, New Zealand, and the UK all provide access to facial prostheses under national or province-based models, with clear eligibility criteria based on </w:t>
      </w:r>
      <w:r w:rsidRPr="009A4EB8">
        <w:t xml:space="preserve">residency and clinical needs. Details of each program are outlined in </w:t>
      </w:r>
      <w:r w:rsidRPr="009A4EB8">
        <w:fldChar w:fldCharType="begin"/>
      </w:r>
      <w:r w:rsidRPr="009A4EB8">
        <w:instrText xml:space="preserve"> REF _Ref201578921 \h  \* MERGEFORMAT </w:instrText>
      </w:r>
      <w:r w:rsidRPr="009A4EB8">
        <w:fldChar w:fldCharType="separate"/>
      </w:r>
      <w:r w:rsidR="00D955D8" w:rsidRPr="009A4EB8">
        <w:t>Table 13</w:t>
      </w:r>
      <w:r w:rsidRPr="009A4EB8">
        <w:fldChar w:fldCharType="end"/>
      </w:r>
      <w:r w:rsidRPr="009A4EB8">
        <w:t xml:space="preserve">. </w:t>
      </w:r>
    </w:p>
    <w:p w14:paraId="29336CA3" w14:textId="300E4FEF" w:rsidR="00363653" w:rsidRDefault="00363653" w:rsidP="009A4EB8">
      <w:r w:rsidRPr="009A4EB8">
        <w:t>C</w:t>
      </w:r>
      <w:r>
        <w:t>ompared to Australia, New Zealand, the Netherlands</w:t>
      </w:r>
      <w:r w:rsidR="0041644B">
        <w:t xml:space="preserve">, and the UK have a national program that funds facial prostheses for individuals with a </w:t>
      </w:r>
      <w:r>
        <w:t xml:space="preserve">living or lived experience of cancer. These include orbital, ocular, nasal, ear and hemi-facial prostheses. New Zealand provides funding for individuals requiring ocular and orbital prostheses through the national </w:t>
      </w:r>
      <w:r w:rsidRPr="008E4039">
        <w:t>New Zealand Prosthetic Eye Service</w:t>
      </w:r>
      <w:r>
        <w:t xml:space="preserve">, ensuring consistent and affordable access. In the Netherlands, statutory health insurance covers the cost </w:t>
      </w:r>
      <w:r w:rsidR="0041644B">
        <w:t>of</w:t>
      </w:r>
      <w:r>
        <w:t xml:space="preserve"> facial prostheses, with no upfront costs when individuals access prostheses through contracted providers. Similarly, in the UK, the NHS delivers comprehensive, no-cost prostheses services for individuals meeting the clinical need criteria.</w:t>
      </w:r>
      <w:r>
        <w:rPr>
          <w:rFonts w:ascii="ZWAdobeF" w:hAnsi="ZWAdobeF" w:cs="ZWAdobeF"/>
          <w:color w:val="auto"/>
          <w:sz w:val="2"/>
          <w:szCs w:val="2"/>
        </w:rPr>
        <w:t>142F</w:t>
      </w:r>
      <w:r>
        <w:rPr>
          <w:rStyle w:val="FootnoteReference"/>
        </w:rPr>
        <w:footnoteReference w:id="110"/>
      </w:r>
      <w:r>
        <w:t xml:space="preserve"> Similarly, Canada offers partial public funding for facial prostheses through provincial</w:t>
      </w:r>
      <w:r w:rsidR="0041644B">
        <w:t xml:space="preserve"> programs</w:t>
      </w:r>
      <w:r>
        <w:t xml:space="preserve">, such as </w:t>
      </w:r>
      <w:r w:rsidR="00E2021C">
        <w:t xml:space="preserve">Ontario's Assistive Devices Program, which covers up to 75% of the </w:t>
      </w:r>
      <w:r>
        <w:t xml:space="preserve">costs. </w:t>
      </w:r>
      <w:r>
        <w:rPr>
          <w:rFonts w:ascii="ZWAdobeF" w:hAnsi="ZWAdobeF" w:cs="ZWAdobeF"/>
          <w:color w:val="auto"/>
          <w:sz w:val="2"/>
          <w:szCs w:val="2"/>
        </w:rPr>
        <w:t>143F</w:t>
      </w:r>
      <w:r>
        <w:rPr>
          <w:rStyle w:val="FootnoteReference"/>
        </w:rPr>
        <w:footnoteReference w:id="111"/>
      </w:r>
    </w:p>
    <w:p w14:paraId="28EBE284" w14:textId="418609E6" w:rsidR="00363653" w:rsidRPr="0040690B" w:rsidRDefault="00363653" w:rsidP="0040690B">
      <w:r>
        <w:t>I</w:t>
      </w:r>
      <w:r w:rsidRPr="0040690B">
        <w:t xml:space="preserve">n summary, Australia’s fragmented approach to funding facial prostheses differs from more unified and consistent models seen in the other four countries. While some limited public funding may be available in Australia, the lack of a formal policy or funding framework for facial prostheses results in a system </w:t>
      </w:r>
      <w:r w:rsidR="00E2021C" w:rsidRPr="0040690B">
        <w:t>that is heavily reliant on self-funding and access that is hospital- or clinician-dependent</w:t>
      </w:r>
      <w:r w:rsidRPr="0040690B">
        <w:t xml:space="preserve">. This contrasts with the partial reimbursement or fully funded models available in Canada, the Netherlands, New Zealand, and the UK, where the financial cost of facial prostheses </w:t>
      </w:r>
      <w:r w:rsidR="0041644B" w:rsidRPr="0040690B">
        <w:t>does</w:t>
      </w:r>
      <w:r w:rsidRPr="0040690B">
        <w:t xml:space="preserve"> not pose as significant a barrier </w:t>
      </w:r>
      <w:r w:rsidR="00E2021C" w:rsidRPr="0040690B">
        <w:t>to</w:t>
      </w:r>
      <w:r w:rsidRPr="0040690B">
        <w:t xml:space="preserve"> access.</w:t>
      </w:r>
    </w:p>
    <w:p w14:paraId="7C5DB2B9" w14:textId="77777777" w:rsidR="00363653" w:rsidRDefault="00363653" w:rsidP="00363653">
      <w:pPr>
        <w:spacing w:before="0" w:after="160" w:line="259" w:lineRule="auto"/>
        <w:rPr>
          <w:color w:val="FF0000"/>
        </w:rPr>
        <w:sectPr w:rsidR="00363653" w:rsidSect="00E42C94">
          <w:headerReference w:type="default" r:id="rId66"/>
          <w:pgSz w:w="11906" w:h="16838"/>
          <w:pgMar w:top="1418" w:right="851" w:bottom="851" w:left="851" w:header="567" w:footer="283" w:gutter="0"/>
          <w:cols w:space="708"/>
          <w:docGrid w:linePitch="360"/>
        </w:sectPr>
      </w:pPr>
    </w:p>
    <w:p w14:paraId="319E5C11" w14:textId="40D70310" w:rsidR="00363653" w:rsidRDefault="00363653" w:rsidP="00363653">
      <w:pPr>
        <w:pStyle w:val="Caption"/>
      </w:pPr>
      <w:bookmarkStart w:id="97" w:name="_Ref201578921"/>
      <w:bookmarkStart w:id="98" w:name="_Toc207348578"/>
      <w:r>
        <w:t xml:space="preserve">Table </w:t>
      </w:r>
      <w:r w:rsidR="00D955D8">
        <w:fldChar w:fldCharType="begin"/>
      </w:r>
      <w:r w:rsidR="00D955D8">
        <w:instrText xml:space="preserve"> SEQ Table \* ARABIC </w:instrText>
      </w:r>
      <w:r w:rsidR="00D955D8">
        <w:fldChar w:fldCharType="separate"/>
      </w:r>
      <w:r w:rsidR="00D955D8">
        <w:rPr>
          <w:noProof/>
        </w:rPr>
        <w:t>13</w:t>
      </w:r>
      <w:r w:rsidR="00D955D8">
        <w:rPr>
          <w:noProof/>
        </w:rPr>
        <w:fldChar w:fldCharType="end"/>
      </w:r>
      <w:bookmarkEnd w:id="97"/>
      <w:r>
        <w:t>: International comparison of facial prostheses programs and schemes</w:t>
      </w:r>
      <w:bookmarkEnd w:id="98"/>
    </w:p>
    <w:tbl>
      <w:tblPr>
        <w:tblStyle w:val="KPMGTable"/>
        <w:tblW w:w="15026" w:type="dxa"/>
        <w:tblLook w:val="04A0" w:firstRow="1" w:lastRow="0" w:firstColumn="1" w:lastColumn="0" w:noHBand="0" w:noVBand="1"/>
      </w:tblPr>
      <w:tblGrid>
        <w:gridCol w:w="1701"/>
        <w:gridCol w:w="2665"/>
        <w:gridCol w:w="2665"/>
        <w:gridCol w:w="2665"/>
        <w:gridCol w:w="2665"/>
        <w:gridCol w:w="2665"/>
      </w:tblGrid>
      <w:tr w:rsidR="00AD6F37" w:rsidRPr="007B154A" w14:paraId="113049B6" w14:textId="77777777" w:rsidTr="00B51F70">
        <w:trPr>
          <w:cnfStyle w:val="100000000000" w:firstRow="1" w:lastRow="0" w:firstColumn="0" w:lastColumn="0" w:oddVBand="0" w:evenVBand="0" w:oddHBand="0"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1701" w:type="dxa"/>
          </w:tcPr>
          <w:p w14:paraId="233ED191" w14:textId="77777777" w:rsidR="00363653" w:rsidRDefault="00363653" w:rsidP="00562940">
            <w:pPr>
              <w:pStyle w:val="TableHeading"/>
              <w:rPr>
                <w:b w:val="0"/>
                <w:color w:val="FFFFFF" w:themeColor="background1"/>
                <w:szCs w:val="18"/>
              </w:rPr>
            </w:pPr>
            <w:r>
              <w:t>Program details</w:t>
            </w:r>
          </w:p>
        </w:tc>
        <w:tc>
          <w:tcPr>
            <w:tcW w:w="2665" w:type="dxa"/>
          </w:tcPr>
          <w:p w14:paraId="3BFA75E7" w14:textId="77777777" w:rsidR="00363653" w:rsidRPr="00C10C27" w:rsidRDefault="00363653" w:rsidP="0056294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t>Australia</w:t>
            </w:r>
          </w:p>
        </w:tc>
        <w:tc>
          <w:tcPr>
            <w:tcW w:w="2665" w:type="dxa"/>
          </w:tcPr>
          <w:p w14:paraId="1289EAAC" w14:textId="77777777" w:rsidR="00363653" w:rsidRPr="00C10C27" w:rsidRDefault="00363653" w:rsidP="0056294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t>Canada</w:t>
            </w:r>
          </w:p>
        </w:tc>
        <w:tc>
          <w:tcPr>
            <w:tcW w:w="2665" w:type="dxa"/>
          </w:tcPr>
          <w:p w14:paraId="4FFC9476" w14:textId="77777777" w:rsidR="00363653" w:rsidRPr="00C10C27" w:rsidRDefault="00363653" w:rsidP="0056294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t>Netherlands</w:t>
            </w:r>
          </w:p>
        </w:tc>
        <w:tc>
          <w:tcPr>
            <w:tcW w:w="2665" w:type="dxa"/>
          </w:tcPr>
          <w:p w14:paraId="27D853C0" w14:textId="77777777" w:rsidR="00363653" w:rsidRPr="00C10C27" w:rsidRDefault="00363653" w:rsidP="0056294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t>New Zealand</w:t>
            </w:r>
          </w:p>
        </w:tc>
        <w:tc>
          <w:tcPr>
            <w:tcW w:w="2665" w:type="dxa"/>
          </w:tcPr>
          <w:p w14:paraId="3111C145" w14:textId="77777777" w:rsidR="00363653" w:rsidRPr="00C10C27" w:rsidRDefault="00363653" w:rsidP="0056294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t>UK</w:t>
            </w:r>
          </w:p>
        </w:tc>
      </w:tr>
      <w:tr w:rsidR="00AE1E92" w:rsidRPr="001B05CB" w14:paraId="5B8355BE" w14:textId="77777777" w:rsidTr="00B51F70">
        <w:trPr>
          <w:trHeight w:val="516"/>
        </w:trPr>
        <w:tc>
          <w:tcPr>
            <w:cnfStyle w:val="001000000000" w:firstRow="0" w:lastRow="0" w:firstColumn="1" w:lastColumn="0" w:oddVBand="0" w:evenVBand="0" w:oddHBand="0" w:evenHBand="0" w:firstRowFirstColumn="0" w:firstRowLastColumn="0" w:lastRowFirstColumn="0" w:lastRowLastColumn="0"/>
            <w:tcW w:w="1701" w:type="dxa"/>
          </w:tcPr>
          <w:p w14:paraId="04889633" w14:textId="77777777" w:rsidR="00363653" w:rsidRPr="00C10C27" w:rsidRDefault="00363653" w:rsidP="00562940">
            <w:pPr>
              <w:pStyle w:val="Tabletextbold"/>
              <w:rPr>
                <w:szCs w:val="18"/>
              </w:rPr>
            </w:pPr>
            <w:r w:rsidRPr="002C6677">
              <w:t>Program</w:t>
            </w:r>
            <w:r>
              <w:rPr>
                <w:szCs w:val="18"/>
              </w:rPr>
              <w:t xml:space="preserve"> / s</w:t>
            </w:r>
            <w:r w:rsidRPr="002C6677">
              <w:rPr>
                <w:szCs w:val="18"/>
              </w:rPr>
              <w:t xml:space="preserve">cheme </w:t>
            </w:r>
            <w:r>
              <w:rPr>
                <w:szCs w:val="18"/>
              </w:rPr>
              <w:t>n</w:t>
            </w:r>
            <w:r w:rsidRPr="002C6677">
              <w:rPr>
                <w:szCs w:val="18"/>
              </w:rPr>
              <w:t>ame</w:t>
            </w:r>
          </w:p>
        </w:tc>
        <w:tc>
          <w:tcPr>
            <w:tcW w:w="2665" w:type="dxa"/>
          </w:tcPr>
          <w:p w14:paraId="06F6D628" w14:textId="77777777" w:rsidR="00363653" w:rsidRPr="00E9562A"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t>N/A</w:t>
            </w:r>
          </w:p>
        </w:tc>
        <w:tc>
          <w:tcPr>
            <w:tcW w:w="2665" w:type="dxa"/>
          </w:tcPr>
          <w:p w14:paraId="468275C7" w14:textId="77777777" w:rsidR="00363653" w:rsidRPr="00E9562A"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rsidRPr="00D2052F">
              <w:t xml:space="preserve">Provincial programs </w:t>
            </w:r>
            <w:r>
              <w:rPr>
                <w:szCs w:val="18"/>
              </w:rPr>
              <w:t>(e.g., Ontario ADP)</w:t>
            </w:r>
          </w:p>
        </w:tc>
        <w:tc>
          <w:tcPr>
            <w:tcW w:w="2665" w:type="dxa"/>
          </w:tcPr>
          <w:p w14:paraId="15ED2471" w14:textId="77777777" w:rsidR="00363653" w:rsidRPr="00E9562A"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rsidRPr="00B007EF">
              <w:t>Basic Health Insurance</w:t>
            </w:r>
          </w:p>
        </w:tc>
        <w:tc>
          <w:tcPr>
            <w:tcW w:w="2665" w:type="dxa"/>
          </w:tcPr>
          <w:p w14:paraId="459BD206" w14:textId="77777777" w:rsidR="00363653" w:rsidRPr="00E9562A"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rsidRPr="003C110A">
              <w:t>New Zealand Prosthetic Eye Service</w:t>
            </w:r>
          </w:p>
        </w:tc>
        <w:tc>
          <w:tcPr>
            <w:tcW w:w="2665" w:type="dxa"/>
          </w:tcPr>
          <w:p w14:paraId="05D51B42" w14:textId="77777777" w:rsidR="00363653" w:rsidRPr="00E9562A"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rsidRPr="00E22804">
              <w:t xml:space="preserve">NHS </w:t>
            </w:r>
            <w:r>
              <w:rPr>
                <w:szCs w:val="18"/>
              </w:rPr>
              <w:t>Prosthetic Services</w:t>
            </w:r>
          </w:p>
        </w:tc>
      </w:tr>
      <w:tr w:rsidR="00AE1E92" w:rsidRPr="00FA30FA" w14:paraId="53ADBF12" w14:textId="77777777" w:rsidTr="00B51F70">
        <w:trPr>
          <w:trHeight w:val="514"/>
        </w:trPr>
        <w:tc>
          <w:tcPr>
            <w:cnfStyle w:val="001000000000" w:firstRow="0" w:lastRow="0" w:firstColumn="1" w:lastColumn="0" w:oddVBand="0" w:evenVBand="0" w:oddHBand="0" w:evenHBand="0" w:firstRowFirstColumn="0" w:firstRowLastColumn="0" w:lastRowFirstColumn="0" w:lastRowLastColumn="0"/>
            <w:tcW w:w="1701" w:type="dxa"/>
          </w:tcPr>
          <w:p w14:paraId="587D3EA7" w14:textId="77777777" w:rsidR="00363653" w:rsidRPr="00C10C27" w:rsidRDefault="00363653" w:rsidP="00562940">
            <w:pPr>
              <w:pStyle w:val="Tabletextbold"/>
              <w:rPr>
                <w:szCs w:val="18"/>
              </w:rPr>
            </w:pPr>
            <w:r w:rsidRPr="002C6677">
              <w:t>National</w:t>
            </w:r>
            <w:r>
              <w:rPr>
                <w:szCs w:val="18"/>
              </w:rPr>
              <w:t xml:space="preserve"> or r</w:t>
            </w:r>
            <w:r w:rsidRPr="002C6677">
              <w:rPr>
                <w:szCs w:val="18"/>
              </w:rPr>
              <w:t>egional</w:t>
            </w:r>
            <w:r>
              <w:rPr>
                <w:szCs w:val="18"/>
              </w:rPr>
              <w:t xml:space="preserve"> model</w:t>
            </w:r>
          </w:p>
        </w:tc>
        <w:tc>
          <w:tcPr>
            <w:tcW w:w="2665" w:type="dxa"/>
          </w:tcPr>
          <w:p w14:paraId="57D96455" w14:textId="77777777" w:rsidR="00363653" w:rsidRPr="00E9562A"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t xml:space="preserve">N/A </w:t>
            </w:r>
          </w:p>
        </w:tc>
        <w:tc>
          <w:tcPr>
            <w:tcW w:w="2665" w:type="dxa"/>
          </w:tcPr>
          <w:p w14:paraId="49EAFEA6" w14:textId="77777777" w:rsidR="00363653" w:rsidRPr="00E9562A"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t>Regional (provincial)</w:t>
            </w:r>
          </w:p>
        </w:tc>
        <w:tc>
          <w:tcPr>
            <w:tcW w:w="2665" w:type="dxa"/>
          </w:tcPr>
          <w:p w14:paraId="5738041D" w14:textId="77777777" w:rsidR="00363653" w:rsidRPr="00E9562A"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t>National</w:t>
            </w:r>
          </w:p>
        </w:tc>
        <w:tc>
          <w:tcPr>
            <w:tcW w:w="2665" w:type="dxa"/>
          </w:tcPr>
          <w:p w14:paraId="1B02B643" w14:textId="77777777" w:rsidR="00363653" w:rsidRPr="00E9562A"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t>National</w:t>
            </w:r>
          </w:p>
        </w:tc>
        <w:tc>
          <w:tcPr>
            <w:tcW w:w="2665" w:type="dxa"/>
          </w:tcPr>
          <w:p w14:paraId="5216E721" w14:textId="77777777" w:rsidR="00363653" w:rsidRPr="00E9562A"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t>National</w:t>
            </w:r>
          </w:p>
        </w:tc>
      </w:tr>
      <w:tr w:rsidR="00AE1E92" w:rsidRPr="00FA30FA" w14:paraId="7157E656" w14:textId="77777777" w:rsidTr="00B51F70">
        <w:trPr>
          <w:trHeight w:val="514"/>
        </w:trPr>
        <w:tc>
          <w:tcPr>
            <w:cnfStyle w:val="001000000000" w:firstRow="0" w:lastRow="0" w:firstColumn="1" w:lastColumn="0" w:oddVBand="0" w:evenVBand="0" w:oddHBand="0" w:evenHBand="0" w:firstRowFirstColumn="0" w:firstRowLastColumn="0" w:lastRowFirstColumn="0" w:lastRowLastColumn="0"/>
            <w:tcW w:w="1701" w:type="dxa"/>
          </w:tcPr>
          <w:p w14:paraId="4B87E676" w14:textId="77777777" w:rsidR="00363653" w:rsidRPr="000A4D7E" w:rsidRDefault="00363653" w:rsidP="00562940">
            <w:pPr>
              <w:pStyle w:val="Tabletextbold"/>
              <w:rPr>
                <w:szCs w:val="18"/>
              </w:rPr>
            </w:pPr>
            <w:r>
              <w:t>Eligibility criteria</w:t>
            </w:r>
          </w:p>
        </w:tc>
        <w:tc>
          <w:tcPr>
            <w:tcW w:w="2665" w:type="dxa"/>
          </w:tcPr>
          <w:p w14:paraId="37A11D4D" w14:textId="77777777" w:rsidR="00363653" w:rsidRPr="00C10C27"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t>N/A</w:t>
            </w:r>
          </w:p>
        </w:tc>
        <w:tc>
          <w:tcPr>
            <w:tcW w:w="2665" w:type="dxa"/>
          </w:tcPr>
          <w:p w14:paraId="3AEDE40C" w14:textId="77777777" w:rsidR="00363653" w:rsidRPr="00C10C27"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rsidRPr="003F2AD3">
              <w:t xml:space="preserve">Provincial residency, </w:t>
            </w:r>
            <w:r w:rsidRPr="00971D39">
              <w:rPr>
                <w:szCs w:val="18"/>
              </w:rPr>
              <w:t>valid health card, specialist referral (e.g., plastic surgeon, oncologist)</w:t>
            </w:r>
          </w:p>
        </w:tc>
        <w:tc>
          <w:tcPr>
            <w:tcW w:w="2665" w:type="dxa"/>
          </w:tcPr>
          <w:p w14:paraId="5352685D" w14:textId="77777777" w:rsidR="00363653" w:rsidRPr="00C10C27"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rsidRPr="007B4BD4">
              <w:t>Insured under statutory health insurance</w:t>
            </w:r>
            <w:r>
              <w:rPr>
                <w:szCs w:val="18"/>
              </w:rPr>
              <w:t xml:space="preserve">, </w:t>
            </w:r>
            <w:r w:rsidRPr="007B4BD4">
              <w:rPr>
                <w:szCs w:val="18"/>
              </w:rPr>
              <w:t>referral from GP</w:t>
            </w:r>
            <w:r>
              <w:rPr>
                <w:szCs w:val="18"/>
              </w:rPr>
              <w:t xml:space="preserve"> </w:t>
            </w:r>
            <w:r w:rsidRPr="007B4BD4">
              <w:rPr>
                <w:szCs w:val="18"/>
              </w:rPr>
              <w:t>/</w:t>
            </w:r>
            <w:r>
              <w:rPr>
                <w:szCs w:val="18"/>
              </w:rPr>
              <w:t xml:space="preserve"> </w:t>
            </w:r>
            <w:r w:rsidRPr="007B4BD4">
              <w:rPr>
                <w:szCs w:val="18"/>
              </w:rPr>
              <w:t>surgeon</w:t>
            </w:r>
            <w:r>
              <w:rPr>
                <w:szCs w:val="18"/>
              </w:rPr>
              <w:t xml:space="preserve">, </w:t>
            </w:r>
            <w:r w:rsidRPr="007B4BD4">
              <w:rPr>
                <w:szCs w:val="18"/>
              </w:rPr>
              <w:t>post-surgical healing (3+ months)</w:t>
            </w:r>
          </w:p>
        </w:tc>
        <w:tc>
          <w:tcPr>
            <w:tcW w:w="2665" w:type="dxa"/>
          </w:tcPr>
          <w:p w14:paraId="1B7AA6FB" w14:textId="77777777" w:rsidR="00363653" w:rsidRPr="00C10C27"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rsidRPr="00F01607">
              <w:t>NZ residency; ACC claim or MoH approval; referral from ophthalmologist/optometrist</w:t>
            </w:r>
          </w:p>
        </w:tc>
        <w:tc>
          <w:tcPr>
            <w:tcW w:w="2665" w:type="dxa"/>
          </w:tcPr>
          <w:p w14:paraId="4B64B3F0" w14:textId="77777777" w:rsidR="00363653" w:rsidRPr="00C10C27"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t>M</w:t>
            </w:r>
            <w:r w:rsidRPr="008E6C5C">
              <w:rPr>
                <w:szCs w:val="18"/>
              </w:rPr>
              <w:t>ust be registered with the NHS</w:t>
            </w:r>
            <w:r>
              <w:rPr>
                <w:szCs w:val="18"/>
              </w:rPr>
              <w:t xml:space="preserve">, have a referral from GP / specialist, </w:t>
            </w:r>
            <w:r w:rsidRPr="00DC499A">
              <w:rPr>
                <w:szCs w:val="18"/>
              </w:rPr>
              <w:t xml:space="preserve">clinical </w:t>
            </w:r>
            <w:r>
              <w:rPr>
                <w:szCs w:val="18"/>
              </w:rPr>
              <w:t>need (e.g., post-cancer, trauma)</w:t>
            </w:r>
          </w:p>
        </w:tc>
      </w:tr>
      <w:tr w:rsidR="00AE1E92" w:rsidRPr="00FA30FA" w14:paraId="5C26963C" w14:textId="77777777" w:rsidTr="00B51F70">
        <w:trPr>
          <w:trHeight w:val="1329"/>
        </w:trPr>
        <w:tc>
          <w:tcPr>
            <w:cnfStyle w:val="001000000000" w:firstRow="0" w:lastRow="0" w:firstColumn="1" w:lastColumn="0" w:oddVBand="0" w:evenVBand="0" w:oddHBand="0" w:evenHBand="0" w:firstRowFirstColumn="0" w:firstRowLastColumn="0" w:lastRowFirstColumn="0" w:lastRowLastColumn="0"/>
            <w:tcW w:w="1701" w:type="dxa"/>
          </w:tcPr>
          <w:p w14:paraId="542C5D83" w14:textId="77777777" w:rsidR="00363653" w:rsidRPr="00C10C27" w:rsidRDefault="00363653" w:rsidP="00562940">
            <w:pPr>
              <w:pStyle w:val="Tabletextbold"/>
              <w:rPr>
                <w:szCs w:val="18"/>
              </w:rPr>
            </w:pPr>
            <w:r w:rsidRPr="000A4D7E">
              <w:t>Products</w:t>
            </w:r>
            <w:r>
              <w:rPr>
                <w:szCs w:val="18"/>
              </w:rPr>
              <w:t xml:space="preserve"> and s</w:t>
            </w:r>
            <w:r w:rsidRPr="000A4D7E">
              <w:rPr>
                <w:szCs w:val="18"/>
              </w:rPr>
              <w:t xml:space="preserve">ervices </w:t>
            </w:r>
            <w:r>
              <w:rPr>
                <w:szCs w:val="18"/>
              </w:rPr>
              <w:t>i</w:t>
            </w:r>
            <w:r w:rsidRPr="000A4D7E">
              <w:rPr>
                <w:szCs w:val="18"/>
              </w:rPr>
              <w:t>ncluded</w:t>
            </w:r>
          </w:p>
        </w:tc>
        <w:tc>
          <w:tcPr>
            <w:tcW w:w="2665" w:type="dxa"/>
          </w:tcPr>
          <w:p w14:paraId="450C5690" w14:textId="77777777" w:rsidR="00363653" w:rsidRPr="003F2AD3"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t>L</w:t>
            </w:r>
            <w:r w:rsidRPr="00826030">
              <w:rPr>
                <w:szCs w:val="18"/>
              </w:rPr>
              <w:t>imited public funding</w:t>
            </w:r>
            <w:r>
              <w:rPr>
                <w:szCs w:val="18"/>
              </w:rPr>
              <w:t xml:space="preserve"> available for p</w:t>
            </w:r>
            <w:r w:rsidRPr="00826030">
              <w:rPr>
                <w:szCs w:val="18"/>
              </w:rPr>
              <w:t>rosthetic eyes, ears, noses</w:t>
            </w:r>
            <w:r>
              <w:rPr>
                <w:szCs w:val="18"/>
              </w:rPr>
              <w:t xml:space="preserve"> and </w:t>
            </w:r>
            <w:r w:rsidRPr="00826030">
              <w:rPr>
                <w:szCs w:val="18"/>
              </w:rPr>
              <w:t>orbital prostheses</w:t>
            </w:r>
          </w:p>
        </w:tc>
        <w:tc>
          <w:tcPr>
            <w:tcW w:w="2665" w:type="dxa"/>
          </w:tcPr>
          <w:p w14:paraId="0561A257" w14:textId="77777777" w:rsidR="00363653"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rsidRPr="00E74A50">
              <w:t>Auricular</w:t>
            </w:r>
            <w:r>
              <w:rPr>
                <w:szCs w:val="18"/>
              </w:rPr>
              <w:t xml:space="preserve"> </w:t>
            </w:r>
            <w:r w:rsidRPr="00E74A50">
              <w:rPr>
                <w:szCs w:val="18"/>
              </w:rPr>
              <w:t>prostheses</w:t>
            </w:r>
          </w:p>
          <w:p w14:paraId="0D9D96C9" w14:textId="77777777" w:rsidR="00363653"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t>N</w:t>
            </w:r>
            <w:r w:rsidRPr="00E74A50">
              <w:rPr>
                <w:szCs w:val="18"/>
              </w:rPr>
              <w:t>asal</w:t>
            </w:r>
            <w:r>
              <w:rPr>
                <w:szCs w:val="18"/>
              </w:rPr>
              <w:t xml:space="preserve"> </w:t>
            </w:r>
            <w:r w:rsidRPr="00E74A50">
              <w:rPr>
                <w:szCs w:val="18"/>
              </w:rPr>
              <w:t>prostheses</w:t>
            </w:r>
          </w:p>
          <w:p w14:paraId="71AE52D1" w14:textId="77777777" w:rsidR="00363653"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t>O</w:t>
            </w:r>
            <w:r w:rsidRPr="00E74A50">
              <w:rPr>
                <w:szCs w:val="18"/>
              </w:rPr>
              <w:t>rbital</w:t>
            </w:r>
            <w:r>
              <w:rPr>
                <w:szCs w:val="18"/>
              </w:rPr>
              <w:t xml:space="preserve"> </w:t>
            </w:r>
            <w:r w:rsidRPr="00E74A50">
              <w:rPr>
                <w:szCs w:val="18"/>
              </w:rPr>
              <w:t>prostheses</w:t>
            </w:r>
          </w:p>
          <w:p w14:paraId="47AC05CD" w14:textId="77777777" w:rsidR="00363653" w:rsidRPr="003F2AD3"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t>O</w:t>
            </w:r>
            <w:r w:rsidRPr="00E74A50">
              <w:rPr>
                <w:szCs w:val="18"/>
              </w:rPr>
              <w:t>rbitomaxillary prostheses</w:t>
            </w:r>
          </w:p>
        </w:tc>
        <w:tc>
          <w:tcPr>
            <w:tcW w:w="2665" w:type="dxa"/>
          </w:tcPr>
          <w:p w14:paraId="2D675647" w14:textId="77777777" w:rsidR="00363653" w:rsidRPr="00D87E5B"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rsidRPr="001A782C">
              <w:t>Custom silicone facial prostheses (nose, ear, eye) with glue or implant retention</w:t>
            </w:r>
          </w:p>
        </w:tc>
        <w:tc>
          <w:tcPr>
            <w:tcW w:w="2665" w:type="dxa"/>
          </w:tcPr>
          <w:p w14:paraId="70659C3C" w14:textId="77777777" w:rsidR="00363653"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rsidRPr="007F239E">
              <w:t>Prosthetic eyes</w:t>
            </w:r>
          </w:p>
          <w:p w14:paraId="05279DB7" w14:textId="77777777" w:rsidR="00363653"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t>S</w:t>
            </w:r>
            <w:r w:rsidRPr="007F239E">
              <w:rPr>
                <w:szCs w:val="18"/>
              </w:rPr>
              <w:t>cleral shells</w:t>
            </w:r>
          </w:p>
          <w:p w14:paraId="5BDA28F4" w14:textId="77777777" w:rsidR="00363653" w:rsidRPr="00C10C27"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t>O</w:t>
            </w:r>
            <w:r w:rsidRPr="007F239E">
              <w:rPr>
                <w:szCs w:val="18"/>
              </w:rPr>
              <w:t>rbital</w:t>
            </w:r>
            <w:r w:rsidRPr="002D1C8B">
              <w:rPr>
                <w:szCs w:val="18"/>
              </w:rPr>
              <w:t xml:space="preserve"> prostheses</w:t>
            </w:r>
            <w:r w:rsidRPr="007F239E">
              <w:rPr>
                <w:szCs w:val="18"/>
              </w:rPr>
              <w:t xml:space="preserve"> </w:t>
            </w:r>
          </w:p>
        </w:tc>
        <w:tc>
          <w:tcPr>
            <w:tcW w:w="2665" w:type="dxa"/>
          </w:tcPr>
          <w:p w14:paraId="5B6210AD" w14:textId="77777777" w:rsidR="00363653" w:rsidRPr="00927649"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rsidRPr="00812397">
              <w:t>Custom facial prostheses (eyes, ears, noses)</w:t>
            </w:r>
          </w:p>
        </w:tc>
      </w:tr>
      <w:tr w:rsidR="00AE1E92" w:rsidRPr="00FA30FA" w14:paraId="1DD56CCA" w14:textId="77777777" w:rsidTr="00B51F70">
        <w:trPr>
          <w:trHeight w:val="986"/>
        </w:trPr>
        <w:tc>
          <w:tcPr>
            <w:cnfStyle w:val="001000000000" w:firstRow="0" w:lastRow="0" w:firstColumn="1" w:lastColumn="0" w:oddVBand="0" w:evenVBand="0" w:oddHBand="0" w:evenHBand="0" w:firstRowFirstColumn="0" w:firstRowLastColumn="0" w:lastRowFirstColumn="0" w:lastRowLastColumn="0"/>
            <w:tcW w:w="1701" w:type="dxa"/>
          </w:tcPr>
          <w:p w14:paraId="4F5E7062" w14:textId="77777777" w:rsidR="00363653" w:rsidRDefault="00363653" w:rsidP="00562940">
            <w:pPr>
              <w:pStyle w:val="Tabletextbold"/>
              <w:rPr>
                <w:szCs w:val="18"/>
              </w:rPr>
            </w:pPr>
            <w:r>
              <w:t>Funding source</w:t>
            </w:r>
          </w:p>
        </w:tc>
        <w:tc>
          <w:tcPr>
            <w:tcW w:w="2665" w:type="dxa"/>
          </w:tcPr>
          <w:p w14:paraId="750A51B7" w14:textId="77777777" w:rsidR="00363653" w:rsidRPr="00C10C27"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t>M</w:t>
            </w:r>
            <w:r w:rsidRPr="00F26F6F">
              <w:rPr>
                <w:szCs w:val="18"/>
              </w:rPr>
              <w:t>ostly self-funded</w:t>
            </w:r>
            <w:r>
              <w:rPr>
                <w:szCs w:val="18"/>
              </w:rPr>
              <w:t>,</w:t>
            </w:r>
            <w:r w:rsidRPr="00F26F6F">
              <w:rPr>
                <w:szCs w:val="18"/>
              </w:rPr>
              <w:t xml:space="preserve"> </w:t>
            </w:r>
            <w:r>
              <w:rPr>
                <w:szCs w:val="18"/>
              </w:rPr>
              <w:t>p</w:t>
            </w:r>
            <w:r w:rsidRPr="00F26F6F">
              <w:rPr>
                <w:szCs w:val="18"/>
              </w:rPr>
              <w:t xml:space="preserve">artial </w:t>
            </w:r>
            <w:r>
              <w:rPr>
                <w:szCs w:val="18"/>
              </w:rPr>
              <w:t xml:space="preserve">funding from some state governments </w:t>
            </w:r>
          </w:p>
        </w:tc>
        <w:tc>
          <w:tcPr>
            <w:tcW w:w="2665" w:type="dxa"/>
          </w:tcPr>
          <w:p w14:paraId="27EDCBD3" w14:textId="77777777" w:rsidR="00363653" w:rsidRPr="00C10C27"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rsidRPr="00AF77BC">
              <w:t>Provincial governments</w:t>
            </w:r>
            <w:r>
              <w:rPr>
                <w:szCs w:val="18"/>
              </w:rPr>
              <w:t xml:space="preserve"> </w:t>
            </w:r>
          </w:p>
        </w:tc>
        <w:tc>
          <w:tcPr>
            <w:tcW w:w="2665" w:type="dxa"/>
          </w:tcPr>
          <w:p w14:paraId="68B11852" w14:textId="77777777" w:rsidR="00363653" w:rsidRPr="00C10C27"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rsidRPr="00AF77BC">
              <w:t>Statutory health insurance</w:t>
            </w:r>
            <w:r>
              <w:rPr>
                <w:szCs w:val="18"/>
              </w:rPr>
              <w:t xml:space="preserve"> </w:t>
            </w:r>
          </w:p>
        </w:tc>
        <w:tc>
          <w:tcPr>
            <w:tcW w:w="2665" w:type="dxa"/>
          </w:tcPr>
          <w:p w14:paraId="6CFEE43E" w14:textId="77777777" w:rsidR="00363653" w:rsidRPr="00C10C27"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rsidRPr="00AF77BC">
              <w:t xml:space="preserve">Government </w:t>
            </w:r>
            <w:r>
              <w:rPr>
                <w:szCs w:val="18"/>
              </w:rPr>
              <w:t xml:space="preserve">funding </w:t>
            </w:r>
            <w:r w:rsidRPr="007F239E">
              <w:rPr>
                <w:szCs w:val="18"/>
              </w:rPr>
              <w:t>(free for approved patients)</w:t>
            </w:r>
          </w:p>
        </w:tc>
        <w:tc>
          <w:tcPr>
            <w:tcW w:w="2665" w:type="dxa"/>
          </w:tcPr>
          <w:p w14:paraId="0987124B" w14:textId="77777777" w:rsidR="00363653" w:rsidRPr="00C10C27"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rsidRPr="00AF77BC">
              <w:t>NHS (public funding)</w:t>
            </w:r>
          </w:p>
        </w:tc>
      </w:tr>
      <w:tr w:rsidR="00AE1E92" w:rsidRPr="00FA30FA" w14:paraId="2807524B" w14:textId="77777777" w:rsidTr="00B51F70">
        <w:trPr>
          <w:trHeight w:val="728"/>
        </w:trPr>
        <w:tc>
          <w:tcPr>
            <w:cnfStyle w:val="001000000000" w:firstRow="0" w:lastRow="0" w:firstColumn="1" w:lastColumn="0" w:oddVBand="0" w:evenVBand="0" w:oddHBand="0" w:evenHBand="0" w:firstRowFirstColumn="0" w:firstRowLastColumn="0" w:lastRowFirstColumn="0" w:lastRowLastColumn="0"/>
            <w:tcW w:w="1701" w:type="dxa"/>
          </w:tcPr>
          <w:p w14:paraId="1FBB34F0" w14:textId="77777777" w:rsidR="00363653" w:rsidRDefault="00363653" w:rsidP="00562940">
            <w:pPr>
              <w:pStyle w:val="Tabletextbold"/>
              <w:rPr>
                <w:b/>
                <w:szCs w:val="18"/>
              </w:rPr>
            </w:pPr>
            <w:r>
              <w:t>Funding model</w:t>
            </w:r>
          </w:p>
        </w:tc>
        <w:tc>
          <w:tcPr>
            <w:tcW w:w="2665" w:type="dxa"/>
          </w:tcPr>
          <w:p w14:paraId="6BEA8D76" w14:textId="77777777" w:rsidR="00363653"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t>M</w:t>
            </w:r>
            <w:r w:rsidRPr="00F26F6F">
              <w:rPr>
                <w:szCs w:val="18"/>
              </w:rPr>
              <w:t>ostly self-funded</w:t>
            </w:r>
          </w:p>
        </w:tc>
        <w:tc>
          <w:tcPr>
            <w:tcW w:w="2665" w:type="dxa"/>
          </w:tcPr>
          <w:p w14:paraId="2041E380" w14:textId="77777777" w:rsidR="00363653" w:rsidRPr="00AF77BC"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t>Partial reimbursement model, ~75% of costs</w:t>
            </w:r>
          </w:p>
        </w:tc>
        <w:tc>
          <w:tcPr>
            <w:tcW w:w="2665" w:type="dxa"/>
          </w:tcPr>
          <w:p w14:paraId="1AC17441" w14:textId="77777777" w:rsidR="00363653" w:rsidRPr="00AF77BC"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t xml:space="preserve">Fully funded </w:t>
            </w:r>
            <w:r w:rsidRPr="00D117D3">
              <w:rPr>
                <w:szCs w:val="18"/>
              </w:rPr>
              <w:t>(no upfront cost if contracted provider)</w:t>
            </w:r>
          </w:p>
        </w:tc>
        <w:tc>
          <w:tcPr>
            <w:tcW w:w="2665" w:type="dxa"/>
          </w:tcPr>
          <w:p w14:paraId="0A95916C" w14:textId="77777777" w:rsidR="00363653" w:rsidRPr="00AF77BC"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t>Fully funded</w:t>
            </w:r>
          </w:p>
        </w:tc>
        <w:tc>
          <w:tcPr>
            <w:tcW w:w="2665" w:type="dxa"/>
          </w:tcPr>
          <w:p w14:paraId="26F88B5E" w14:textId="77777777" w:rsidR="00363653" w:rsidRPr="00AF77BC"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t>Fully funded</w:t>
            </w:r>
          </w:p>
        </w:tc>
      </w:tr>
      <w:tr w:rsidR="00AE1E92" w:rsidRPr="00FA30FA" w14:paraId="149CA6DD" w14:textId="77777777" w:rsidTr="00B51F70">
        <w:trPr>
          <w:trHeight w:val="73"/>
        </w:trPr>
        <w:tc>
          <w:tcPr>
            <w:cnfStyle w:val="001000000000" w:firstRow="0" w:lastRow="0" w:firstColumn="1" w:lastColumn="0" w:oddVBand="0" w:evenVBand="0" w:oddHBand="0" w:evenHBand="0" w:firstRowFirstColumn="0" w:firstRowLastColumn="0" w:lastRowFirstColumn="0" w:lastRowLastColumn="0"/>
            <w:tcW w:w="1701" w:type="dxa"/>
          </w:tcPr>
          <w:p w14:paraId="05060E66" w14:textId="1A287750" w:rsidR="00363653" w:rsidRPr="00C10C27" w:rsidRDefault="00363653" w:rsidP="00562940">
            <w:pPr>
              <w:pStyle w:val="Tabletextbold"/>
              <w:rPr>
                <w:b/>
                <w:szCs w:val="18"/>
              </w:rPr>
            </w:pPr>
            <w:r>
              <w:t>Process for accessing a prosthesis</w:t>
            </w:r>
          </w:p>
        </w:tc>
        <w:tc>
          <w:tcPr>
            <w:tcW w:w="2665" w:type="dxa"/>
          </w:tcPr>
          <w:p w14:paraId="546310E2" w14:textId="77777777" w:rsidR="00363653" w:rsidRPr="00824B67"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rsidRPr="002A7CDF">
              <w:t>Referral</w:t>
            </w:r>
            <w:r>
              <w:rPr>
                <w:szCs w:val="18"/>
              </w:rPr>
              <w:t>, m</w:t>
            </w:r>
            <w:r w:rsidRPr="002A7CDF">
              <w:rPr>
                <w:szCs w:val="18"/>
              </w:rPr>
              <w:t>ultidisciplinary assessment</w:t>
            </w:r>
            <w:r>
              <w:rPr>
                <w:szCs w:val="18"/>
              </w:rPr>
              <w:t>, p</w:t>
            </w:r>
            <w:r w:rsidRPr="002A7CDF">
              <w:rPr>
                <w:szCs w:val="18"/>
              </w:rPr>
              <w:t>rosthesis fabrication</w:t>
            </w:r>
            <w:r>
              <w:rPr>
                <w:szCs w:val="18"/>
              </w:rPr>
              <w:t xml:space="preserve">, </w:t>
            </w:r>
            <w:r w:rsidRPr="00D117D3">
              <w:rPr>
                <w:szCs w:val="18"/>
              </w:rPr>
              <w:t xml:space="preserve">fitting </w:t>
            </w:r>
            <w:r>
              <w:rPr>
                <w:rFonts w:ascii="ZWAdobeF" w:hAnsi="ZWAdobeF" w:cs="ZWAdobeF"/>
                <w:color w:val="auto"/>
                <w:sz w:val="2"/>
                <w:szCs w:val="2"/>
              </w:rPr>
              <w:t>144F</w:t>
            </w:r>
            <w:r w:rsidRPr="00D117D3">
              <w:rPr>
                <w:rStyle w:val="FootnoteReference"/>
                <w:b/>
                <w:szCs w:val="18"/>
              </w:rPr>
              <w:footnoteReference w:id="112"/>
            </w:r>
          </w:p>
        </w:tc>
        <w:tc>
          <w:tcPr>
            <w:tcW w:w="2665" w:type="dxa"/>
          </w:tcPr>
          <w:p w14:paraId="778B7FEC" w14:textId="77777777" w:rsidR="00363653" w:rsidRPr="00824B67"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rsidRPr="00255700">
              <w:t>Specialist referral</w:t>
            </w:r>
            <w:r>
              <w:rPr>
                <w:szCs w:val="18"/>
              </w:rPr>
              <w:t>, p</w:t>
            </w:r>
            <w:r w:rsidRPr="00255700">
              <w:rPr>
                <w:szCs w:val="18"/>
              </w:rPr>
              <w:t>rosthetist assessment</w:t>
            </w:r>
            <w:r>
              <w:rPr>
                <w:szCs w:val="18"/>
              </w:rPr>
              <w:t>, a</w:t>
            </w:r>
            <w:r w:rsidRPr="00255700">
              <w:rPr>
                <w:szCs w:val="18"/>
              </w:rPr>
              <w:t>pplication to ADP</w:t>
            </w:r>
            <w:r>
              <w:rPr>
                <w:szCs w:val="18"/>
              </w:rPr>
              <w:t>, prosthesis fabrication and fitting</w:t>
            </w:r>
            <w:r w:rsidRPr="00D117D3">
              <w:rPr>
                <w:rStyle w:val="FootnoteReference"/>
                <w:szCs w:val="18"/>
                <w:vertAlign w:val="baseline"/>
              </w:rPr>
              <w:t xml:space="preserve"> </w:t>
            </w:r>
            <w:r>
              <w:rPr>
                <w:rFonts w:ascii="ZWAdobeF" w:hAnsi="ZWAdobeF" w:cs="ZWAdobeF"/>
                <w:color w:val="auto"/>
                <w:sz w:val="2"/>
                <w:szCs w:val="2"/>
              </w:rPr>
              <w:t>145F</w:t>
            </w:r>
            <w:r w:rsidRPr="00D117D3">
              <w:rPr>
                <w:rStyle w:val="FootnoteReference"/>
                <w:b/>
                <w:szCs w:val="18"/>
              </w:rPr>
              <w:footnoteReference w:id="113"/>
            </w:r>
          </w:p>
        </w:tc>
        <w:tc>
          <w:tcPr>
            <w:tcW w:w="2665" w:type="dxa"/>
          </w:tcPr>
          <w:p w14:paraId="3DB76810" w14:textId="77777777" w:rsidR="00363653" w:rsidRPr="00824B67"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rsidRPr="005E4A65">
              <w:t>Referra</w:t>
            </w:r>
            <w:r>
              <w:rPr>
                <w:szCs w:val="18"/>
              </w:rPr>
              <w:t>l, a</w:t>
            </w:r>
            <w:r w:rsidRPr="005E4A65">
              <w:rPr>
                <w:szCs w:val="18"/>
              </w:rPr>
              <w:t>ssessment by maxillofacial team</w:t>
            </w:r>
            <w:r>
              <w:rPr>
                <w:szCs w:val="18"/>
              </w:rPr>
              <w:t>, p</w:t>
            </w:r>
            <w:r w:rsidRPr="005E4A65">
              <w:rPr>
                <w:szCs w:val="18"/>
              </w:rPr>
              <w:t xml:space="preserve">rosthesis design/fitting </w:t>
            </w:r>
            <w:r>
              <w:rPr>
                <w:rFonts w:ascii="ZWAdobeF" w:hAnsi="ZWAdobeF" w:cs="ZWAdobeF"/>
                <w:color w:val="auto"/>
                <w:sz w:val="2"/>
                <w:szCs w:val="2"/>
              </w:rPr>
              <w:t>146F</w:t>
            </w:r>
            <w:r w:rsidRPr="00D117D3">
              <w:rPr>
                <w:rStyle w:val="FootnoteReference"/>
                <w:b/>
                <w:szCs w:val="18"/>
              </w:rPr>
              <w:footnoteReference w:id="114"/>
            </w:r>
          </w:p>
        </w:tc>
        <w:tc>
          <w:tcPr>
            <w:tcW w:w="2665" w:type="dxa"/>
          </w:tcPr>
          <w:p w14:paraId="401FF3DF" w14:textId="77777777" w:rsidR="00363653" w:rsidRPr="00824B67"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rsidRPr="0018466B">
              <w:t>Free consultation</w:t>
            </w:r>
            <w:r>
              <w:rPr>
                <w:szCs w:val="18"/>
              </w:rPr>
              <w:t>, c</w:t>
            </w:r>
            <w:r w:rsidRPr="0018466B">
              <w:rPr>
                <w:szCs w:val="18"/>
              </w:rPr>
              <w:t>ustom fabrication</w:t>
            </w:r>
            <w:r w:rsidRPr="00D117D3">
              <w:rPr>
                <w:szCs w:val="18"/>
              </w:rPr>
              <w:t xml:space="preserve"> </w:t>
            </w:r>
            <w:r>
              <w:rPr>
                <w:rFonts w:ascii="ZWAdobeF" w:hAnsi="ZWAdobeF" w:cs="ZWAdobeF"/>
                <w:color w:val="auto"/>
                <w:sz w:val="2"/>
                <w:szCs w:val="2"/>
              </w:rPr>
              <w:t>147F</w:t>
            </w:r>
            <w:r w:rsidRPr="00D117D3">
              <w:rPr>
                <w:rStyle w:val="FootnoteReference"/>
                <w:b/>
                <w:szCs w:val="18"/>
              </w:rPr>
              <w:footnoteReference w:id="115"/>
            </w:r>
          </w:p>
        </w:tc>
        <w:tc>
          <w:tcPr>
            <w:tcW w:w="2665" w:type="dxa"/>
          </w:tcPr>
          <w:p w14:paraId="24DB857C" w14:textId="77777777" w:rsidR="00363653" w:rsidRPr="00824B67" w:rsidRDefault="00363653" w:rsidP="00562940">
            <w:pPr>
              <w:pStyle w:val="TableText"/>
              <w:cnfStyle w:val="000000000000" w:firstRow="0" w:lastRow="0" w:firstColumn="0" w:lastColumn="0" w:oddVBand="0" w:evenVBand="0" w:oddHBand="0" w:evenHBand="0" w:firstRowFirstColumn="0" w:firstRowLastColumn="0" w:lastRowFirstColumn="0" w:lastRowLastColumn="0"/>
              <w:rPr>
                <w:szCs w:val="18"/>
              </w:rPr>
            </w:pPr>
            <w:r w:rsidRPr="003A724C">
              <w:t>GP</w:t>
            </w:r>
            <w:r>
              <w:rPr>
                <w:szCs w:val="18"/>
              </w:rPr>
              <w:t xml:space="preserve"> </w:t>
            </w:r>
            <w:r w:rsidRPr="003A724C">
              <w:rPr>
                <w:szCs w:val="18"/>
              </w:rPr>
              <w:t>/</w:t>
            </w:r>
            <w:r>
              <w:rPr>
                <w:szCs w:val="18"/>
              </w:rPr>
              <w:t xml:space="preserve"> </w:t>
            </w:r>
            <w:r w:rsidRPr="003A724C">
              <w:rPr>
                <w:szCs w:val="18"/>
              </w:rPr>
              <w:t>specialist referral</w:t>
            </w:r>
            <w:r>
              <w:rPr>
                <w:szCs w:val="18"/>
              </w:rPr>
              <w:t>, h</w:t>
            </w:r>
            <w:r w:rsidRPr="003A724C">
              <w:rPr>
                <w:szCs w:val="18"/>
              </w:rPr>
              <w:t>ospital-based maxillofacial team</w:t>
            </w:r>
            <w:r>
              <w:rPr>
                <w:szCs w:val="18"/>
              </w:rPr>
              <w:t xml:space="preserve"> appointment, p</w:t>
            </w:r>
            <w:r w:rsidRPr="003A724C">
              <w:rPr>
                <w:szCs w:val="18"/>
              </w:rPr>
              <w:t xml:space="preserve">rosthesis </w:t>
            </w:r>
            <w:r>
              <w:rPr>
                <w:szCs w:val="18"/>
              </w:rPr>
              <w:t xml:space="preserve">fabrication and </w:t>
            </w:r>
            <w:r w:rsidRPr="00D117D3">
              <w:rPr>
                <w:szCs w:val="18"/>
              </w:rPr>
              <w:t xml:space="preserve">fitting </w:t>
            </w:r>
            <w:r>
              <w:rPr>
                <w:rFonts w:ascii="ZWAdobeF" w:hAnsi="ZWAdobeF" w:cs="ZWAdobeF"/>
                <w:color w:val="auto"/>
                <w:sz w:val="2"/>
                <w:szCs w:val="2"/>
              </w:rPr>
              <w:t>148F</w:t>
            </w:r>
            <w:r w:rsidRPr="00D117D3">
              <w:rPr>
                <w:rStyle w:val="FootnoteReference"/>
                <w:b/>
                <w:szCs w:val="18"/>
              </w:rPr>
              <w:footnoteReference w:id="116"/>
            </w:r>
          </w:p>
        </w:tc>
      </w:tr>
    </w:tbl>
    <w:p w14:paraId="58BA2455" w14:textId="42BEAFF7" w:rsidR="00363653" w:rsidRPr="00E00111" w:rsidRDefault="00363653" w:rsidP="00A7334D">
      <w:pPr>
        <w:pStyle w:val="Caption-Source"/>
        <w:rPr>
          <w:szCs w:val="20"/>
        </w:rPr>
      </w:pPr>
      <w:r w:rsidRPr="00E00111">
        <w:t xml:space="preserve">Source: </w:t>
      </w:r>
      <w:r w:rsidR="00120620" w:rsidRPr="00120620">
        <w:t>Independent reviewer</w:t>
      </w:r>
      <w:r w:rsidRPr="00E00111">
        <w:t xml:space="preserve"> (2025)</w:t>
      </w:r>
    </w:p>
    <w:p w14:paraId="7810A59F" w14:textId="77777777" w:rsidR="00363653" w:rsidRDefault="00363653" w:rsidP="00363653">
      <w:pPr>
        <w:spacing w:before="0" w:after="160" w:line="259" w:lineRule="auto"/>
        <w:rPr>
          <w:color w:val="FF0000"/>
        </w:rPr>
        <w:sectPr w:rsidR="00363653" w:rsidSect="00E42C94">
          <w:pgSz w:w="16838" w:h="11906" w:orient="landscape"/>
          <w:pgMar w:top="1418" w:right="851" w:bottom="851" w:left="851" w:header="567" w:footer="283" w:gutter="0"/>
          <w:cols w:space="708"/>
          <w:docGrid w:linePitch="360"/>
        </w:sectPr>
      </w:pPr>
    </w:p>
    <w:p w14:paraId="041E3C62" w14:textId="139020E7" w:rsidR="00E70316" w:rsidRDefault="00E07324" w:rsidP="008239ED">
      <w:pPr>
        <w:pStyle w:val="Heading2"/>
      </w:pPr>
      <w:bookmarkStart w:id="99" w:name="_Toc207348745"/>
      <w:r>
        <w:t xml:space="preserve">International </w:t>
      </w:r>
      <w:r w:rsidR="009E29CB">
        <w:t>comparison</w:t>
      </w:r>
      <w:r w:rsidR="00094C5B">
        <w:t xml:space="preserve"> of b</w:t>
      </w:r>
      <w:r w:rsidR="00E70316">
        <w:t>reast prostheses services</w:t>
      </w:r>
      <w:bookmarkEnd w:id="90"/>
      <w:r w:rsidRPr="00E07324">
        <w:t>, programs and schemes</w:t>
      </w:r>
      <w:bookmarkEnd w:id="95"/>
      <w:bookmarkEnd w:id="96"/>
      <w:bookmarkEnd w:id="99"/>
    </w:p>
    <w:p w14:paraId="5E661E90" w14:textId="7830C0AA" w:rsidR="004507BC" w:rsidRPr="0040690B" w:rsidRDefault="00964051" w:rsidP="0040690B">
      <w:r w:rsidRPr="0040690B">
        <w:t xml:space="preserve">External breast prostheses programs across </w:t>
      </w:r>
      <w:r w:rsidR="00572C6B" w:rsidRPr="0040690B">
        <w:t>Australia, UK, the Netherlands, New Zealand and Can</w:t>
      </w:r>
      <w:r w:rsidR="002A2221" w:rsidRPr="0040690B">
        <w:t>a</w:t>
      </w:r>
      <w:r w:rsidR="00572C6B" w:rsidRPr="0040690B">
        <w:t>da</w:t>
      </w:r>
      <w:r w:rsidRPr="0040690B">
        <w:t xml:space="preserve"> </w:t>
      </w:r>
      <w:r w:rsidR="00226DD6" w:rsidRPr="0040690B">
        <w:t>are broadly similar</w:t>
      </w:r>
      <w:r w:rsidRPr="0040690B">
        <w:t xml:space="preserve">, with some variations in </w:t>
      </w:r>
      <w:r w:rsidR="00226DD6" w:rsidRPr="0040690B">
        <w:t>how the programs are implemented</w:t>
      </w:r>
      <w:r w:rsidRPr="0040690B">
        <w:t xml:space="preserve">. </w:t>
      </w:r>
      <w:r w:rsidR="001E1979" w:rsidRPr="0040690B">
        <w:fldChar w:fldCharType="begin"/>
      </w:r>
      <w:r w:rsidR="001E1979" w:rsidRPr="0040690B">
        <w:instrText xml:space="preserve"> REF _Ref200717683 \h </w:instrText>
      </w:r>
      <w:r w:rsidR="0040690B">
        <w:instrText xml:space="preserve"> \* MERGEFORMAT </w:instrText>
      </w:r>
      <w:r w:rsidR="001E1979" w:rsidRPr="0040690B">
        <w:fldChar w:fldCharType="separate"/>
      </w:r>
      <w:r w:rsidR="00D955D8" w:rsidRPr="0040690B">
        <w:t>Table 14</w:t>
      </w:r>
      <w:r w:rsidR="001E1979" w:rsidRPr="0040690B">
        <w:fldChar w:fldCharType="end"/>
      </w:r>
      <w:r w:rsidR="001E1979" w:rsidRPr="0040690B">
        <w:t xml:space="preserve"> overleaf outlines the external breast prostheses program</w:t>
      </w:r>
      <w:r w:rsidR="00572C6B" w:rsidRPr="0040690B">
        <w:t>s</w:t>
      </w:r>
      <w:r w:rsidR="001E1979" w:rsidRPr="0040690B">
        <w:t xml:space="preserve"> in </w:t>
      </w:r>
      <w:r w:rsidR="00572C6B" w:rsidRPr="0040690B">
        <w:t xml:space="preserve">each of </w:t>
      </w:r>
      <w:r w:rsidR="009429DA" w:rsidRPr="0040690B">
        <w:t xml:space="preserve">the five countries. </w:t>
      </w:r>
      <w:r w:rsidR="0026428C" w:rsidRPr="0040690B">
        <w:t xml:space="preserve">Three of the four international </w:t>
      </w:r>
      <w:r w:rsidR="005722EB" w:rsidRPr="0040690B">
        <w:t>comparators,</w:t>
      </w:r>
      <w:r w:rsidR="00776696" w:rsidRPr="0040690B">
        <w:t xml:space="preserve"> </w:t>
      </w:r>
      <w:r w:rsidR="00A2536A" w:rsidRPr="0040690B">
        <w:t>the Netherlands, New Zealand, and the UK</w:t>
      </w:r>
      <w:r w:rsidR="005722EB" w:rsidRPr="0040690B">
        <w:t>,</w:t>
      </w:r>
      <w:r w:rsidR="00A2536A" w:rsidRPr="0040690B">
        <w:t xml:space="preserve"> use a national model </w:t>
      </w:r>
      <w:r w:rsidR="00435034" w:rsidRPr="0040690B">
        <w:t>for the provision of external breast prostheses</w:t>
      </w:r>
      <w:r w:rsidR="000D4306" w:rsidRPr="0040690B">
        <w:t>,</w:t>
      </w:r>
      <w:r w:rsidR="00435034" w:rsidRPr="0040690B">
        <w:t xml:space="preserve"> </w:t>
      </w:r>
      <w:proofErr w:type="gramStart"/>
      <w:r w:rsidR="00F378A4" w:rsidRPr="0040690B">
        <w:t>similar to</w:t>
      </w:r>
      <w:proofErr w:type="gramEnd"/>
      <w:r w:rsidR="00F378A4" w:rsidRPr="0040690B">
        <w:t xml:space="preserve"> </w:t>
      </w:r>
      <w:r w:rsidR="000D4306" w:rsidRPr="0040690B">
        <w:t>Austr</w:t>
      </w:r>
      <w:r w:rsidR="00A47199" w:rsidRPr="0040690B">
        <w:t>a</w:t>
      </w:r>
      <w:r w:rsidR="000D4306" w:rsidRPr="0040690B">
        <w:t xml:space="preserve">lia’s </w:t>
      </w:r>
      <w:r w:rsidR="00BF100D" w:rsidRPr="0040690B">
        <w:t>EBPRP</w:t>
      </w:r>
      <w:r w:rsidR="000D4306" w:rsidRPr="0040690B">
        <w:t>.</w:t>
      </w:r>
      <w:r w:rsidR="00F378A4" w:rsidRPr="0040690B">
        <w:t xml:space="preserve"> </w:t>
      </w:r>
      <w:r w:rsidR="00BF100D" w:rsidRPr="0040690B">
        <w:t>In contrast, Can</w:t>
      </w:r>
      <w:r w:rsidR="002A2221" w:rsidRPr="0040690B">
        <w:t>a</w:t>
      </w:r>
      <w:r w:rsidR="00BF100D" w:rsidRPr="0040690B">
        <w:t>da uses</w:t>
      </w:r>
      <w:r w:rsidR="00F378A4" w:rsidRPr="0040690B">
        <w:t xml:space="preserve"> a </w:t>
      </w:r>
      <w:r w:rsidR="00C262BC" w:rsidRPr="0040690B">
        <w:t xml:space="preserve">regional </w:t>
      </w:r>
      <w:r w:rsidR="00F378A4" w:rsidRPr="0040690B">
        <w:t>model</w:t>
      </w:r>
      <w:r w:rsidR="000D4306" w:rsidRPr="0040690B">
        <w:t xml:space="preserve"> where eligibility, services, and funding vary by province or territory</w:t>
      </w:r>
      <w:r w:rsidR="00C262BC" w:rsidRPr="0040690B">
        <w:t xml:space="preserve">. </w:t>
      </w:r>
      <w:r w:rsidR="00E825CB" w:rsidRPr="0040690B">
        <w:t xml:space="preserve">This aligns </w:t>
      </w:r>
      <w:r w:rsidR="002A2221" w:rsidRPr="0040690B">
        <w:t>with</w:t>
      </w:r>
      <w:r w:rsidR="00E825CB" w:rsidRPr="0040690B">
        <w:t xml:space="preserve"> Canada’s overall health system, where health services are managed at the provincial level. </w:t>
      </w:r>
    </w:p>
    <w:p w14:paraId="78E9244D" w14:textId="727DFF29" w:rsidR="00A47199" w:rsidRPr="0040690B" w:rsidRDefault="00964051" w:rsidP="0040690B">
      <w:r w:rsidRPr="0040690B">
        <w:t xml:space="preserve">The most notable variations </w:t>
      </w:r>
      <w:r w:rsidR="00037864" w:rsidRPr="0040690B">
        <w:t>between countries</w:t>
      </w:r>
      <w:r w:rsidRPr="0040690B">
        <w:t xml:space="preserve"> relate to the </w:t>
      </w:r>
      <w:r w:rsidR="00B128CC" w:rsidRPr="0040690B">
        <w:t xml:space="preserve">products and supplementary items offered as </w:t>
      </w:r>
      <w:r w:rsidR="00B12E57" w:rsidRPr="0040690B">
        <w:t>part of their external breast prostheses programs</w:t>
      </w:r>
      <w:r w:rsidR="00B128CC" w:rsidRPr="0040690B">
        <w:t xml:space="preserve">. </w:t>
      </w:r>
      <w:r w:rsidR="00B12E57" w:rsidRPr="0040690B">
        <w:t>Breast prostheses are funded under</w:t>
      </w:r>
      <w:r w:rsidR="00A47199" w:rsidRPr="0040690B">
        <w:t xml:space="preserve"> </w:t>
      </w:r>
      <w:r w:rsidR="00415637" w:rsidRPr="0040690B">
        <w:t>each national</w:t>
      </w:r>
      <w:r w:rsidR="00A47199" w:rsidRPr="0040690B">
        <w:t xml:space="preserve"> external breast prostheses </w:t>
      </w:r>
      <w:r w:rsidR="00415637" w:rsidRPr="0040690B">
        <w:t>program</w:t>
      </w:r>
      <w:r w:rsidR="00B06F8C" w:rsidRPr="0040690B">
        <w:t>; however,</w:t>
      </w:r>
      <w:r w:rsidR="00415637" w:rsidRPr="0040690B">
        <w:t xml:space="preserve"> there is variability in the</w:t>
      </w:r>
      <w:r w:rsidR="00A47199" w:rsidRPr="0040690B">
        <w:t xml:space="preserve"> </w:t>
      </w:r>
      <w:r w:rsidR="009429DA" w:rsidRPr="0040690B">
        <w:t>funding</w:t>
      </w:r>
      <w:r w:rsidR="00A47199" w:rsidRPr="0040690B">
        <w:t xml:space="preserve"> </w:t>
      </w:r>
      <w:r w:rsidR="00415637" w:rsidRPr="0040690B">
        <w:t xml:space="preserve">available </w:t>
      </w:r>
      <w:r w:rsidR="00A47199" w:rsidRPr="0040690B">
        <w:t>for supplementary items</w:t>
      </w:r>
      <w:r w:rsidR="00081C8C" w:rsidRPr="0040690B">
        <w:t xml:space="preserve">. </w:t>
      </w:r>
      <w:r w:rsidR="004D317E" w:rsidRPr="0040690B">
        <w:t>Similar to</w:t>
      </w:r>
      <w:r w:rsidR="00D63461" w:rsidRPr="0040690B">
        <w:t xml:space="preserve"> Australia, the </w:t>
      </w:r>
      <w:r w:rsidR="009960BE" w:rsidRPr="0040690B">
        <w:t xml:space="preserve">external breast prosthesis schemes in the </w:t>
      </w:r>
      <w:r w:rsidR="00D63461" w:rsidRPr="0040690B">
        <w:t xml:space="preserve">Netherlands and the UK do not cover </w:t>
      </w:r>
      <w:r w:rsidR="009429DA" w:rsidRPr="0040690B">
        <w:t xml:space="preserve">supplementary </w:t>
      </w:r>
      <w:r w:rsidR="009960BE" w:rsidRPr="0040690B">
        <w:t>items</w:t>
      </w:r>
      <w:r w:rsidR="00D63461" w:rsidRPr="0040690B">
        <w:t xml:space="preserve"> such as mastectomy bras and swimwear, meaning </w:t>
      </w:r>
      <w:r w:rsidR="009960BE" w:rsidRPr="0040690B">
        <w:t>individuals</w:t>
      </w:r>
      <w:r w:rsidR="00D63461" w:rsidRPr="0040690B">
        <w:t xml:space="preserve"> must pay for these items out of pocket.</w:t>
      </w:r>
      <w:r w:rsidR="007B7939" w:rsidRPr="0040690B">
        <w:t>125F</w:t>
      </w:r>
      <w:r w:rsidR="00B423D6" w:rsidRPr="0040690B">
        <w:rPr>
          <w:vertAlign w:val="superscript"/>
        </w:rPr>
        <w:footnoteReference w:id="117"/>
      </w:r>
      <w:r w:rsidR="00D63461" w:rsidRPr="0040690B">
        <w:t xml:space="preserve"> </w:t>
      </w:r>
      <w:r w:rsidR="006440F2" w:rsidRPr="0040690B">
        <w:t xml:space="preserve">In contrast, New Zealand’s Breast Prosthesis Subsidy program </w:t>
      </w:r>
      <w:r w:rsidR="007C7176" w:rsidRPr="0040690B">
        <w:t>provides</w:t>
      </w:r>
      <w:r w:rsidR="006440F2" w:rsidRPr="0040690B">
        <w:t xml:space="preserve"> funding for these supplementary items, as well as for additional </w:t>
      </w:r>
      <w:r w:rsidR="0036318B" w:rsidRPr="0040690B">
        <w:t>items like prosthetic nipples and further prosthetic modifications.</w:t>
      </w:r>
      <w:r w:rsidR="007B7939" w:rsidRPr="0040690B">
        <w:t>126F</w:t>
      </w:r>
      <w:r w:rsidR="007C7176" w:rsidRPr="0040690B">
        <w:rPr>
          <w:vertAlign w:val="superscript"/>
        </w:rPr>
        <w:footnoteReference w:id="118"/>
      </w:r>
      <w:r w:rsidR="0036318B" w:rsidRPr="0040690B">
        <w:t xml:space="preserve"> In Canada, coverage varies by province</w:t>
      </w:r>
      <w:r w:rsidR="007C7176" w:rsidRPr="0040690B">
        <w:t>, with</w:t>
      </w:r>
      <w:r w:rsidR="0036318B" w:rsidRPr="0040690B">
        <w:t xml:space="preserve"> some </w:t>
      </w:r>
      <w:r w:rsidR="00B06F8C" w:rsidRPr="0040690B">
        <w:t xml:space="preserve">provinces </w:t>
      </w:r>
      <w:r w:rsidR="007C7176" w:rsidRPr="0040690B">
        <w:t>funding</w:t>
      </w:r>
      <w:r w:rsidR="0036318B" w:rsidRPr="0040690B">
        <w:t xml:space="preserve"> mastectomy bras within their provincial programs.</w:t>
      </w:r>
      <w:r w:rsidR="007B7939" w:rsidRPr="0040690B">
        <w:t>127F</w:t>
      </w:r>
      <w:r w:rsidR="007C7176" w:rsidRPr="0040690B">
        <w:rPr>
          <w:vertAlign w:val="superscript"/>
        </w:rPr>
        <w:footnoteReference w:id="119"/>
      </w:r>
    </w:p>
    <w:p w14:paraId="287CECB8" w14:textId="3F389173" w:rsidR="00D63461" w:rsidRPr="0040690B" w:rsidRDefault="00D63461" w:rsidP="0040690B">
      <w:r w:rsidRPr="0040690B">
        <w:t xml:space="preserve">Another key difference </w:t>
      </w:r>
      <w:r w:rsidR="00086BA5" w:rsidRPr="0040690B">
        <w:t xml:space="preserve">in </w:t>
      </w:r>
      <w:r w:rsidR="004E1333" w:rsidRPr="0040690B">
        <w:t>external breast prosthesis programs across the five countries is</w:t>
      </w:r>
      <w:r w:rsidRPr="0040690B">
        <w:t xml:space="preserve"> the funding models. </w:t>
      </w:r>
      <w:r w:rsidR="005722EB" w:rsidRPr="0040690B">
        <w:t xml:space="preserve">As outlined in Section </w:t>
      </w:r>
      <w:r w:rsidR="005722EB" w:rsidRPr="0040690B">
        <w:fldChar w:fldCharType="begin"/>
      </w:r>
      <w:r w:rsidR="005722EB" w:rsidRPr="0040690B">
        <w:instrText xml:space="preserve"> REF _Ref200567424 \r \h </w:instrText>
      </w:r>
      <w:r w:rsidR="0040690B">
        <w:instrText xml:space="preserve"> \* MERGEFORMAT </w:instrText>
      </w:r>
      <w:r w:rsidR="005722EB" w:rsidRPr="0040690B">
        <w:fldChar w:fldCharType="separate"/>
      </w:r>
      <w:r w:rsidR="00D955D8" w:rsidRPr="0040690B">
        <w:t>2.2.2</w:t>
      </w:r>
      <w:r w:rsidR="005722EB" w:rsidRPr="0040690B">
        <w:fldChar w:fldCharType="end"/>
      </w:r>
      <w:r w:rsidR="005722EB" w:rsidRPr="0040690B">
        <w:t xml:space="preserve">, </w:t>
      </w:r>
      <w:r w:rsidR="004D317E" w:rsidRPr="0040690B">
        <w:t>the</w:t>
      </w:r>
      <w:r w:rsidR="005722EB" w:rsidRPr="0040690B">
        <w:t xml:space="preserve"> </w:t>
      </w:r>
      <w:r w:rsidR="0070344F" w:rsidRPr="0040690B">
        <w:t>EBPRP</w:t>
      </w:r>
      <w:r w:rsidRPr="0040690B">
        <w:t xml:space="preserve"> </w:t>
      </w:r>
      <w:r w:rsidR="004D317E" w:rsidRPr="0040690B">
        <w:t>in Australia</w:t>
      </w:r>
      <w:r w:rsidRPr="0040690B">
        <w:t xml:space="preserve"> </w:t>
      </w:r>
      <w:r w:rsidR="0070344F" w:rsidRPr="0040690B">
        <w:t>operates under</w:t>
      </w:r>
      <w:r w:rsidRPr="0040690B">
        <w:t xml:space="preserve"> </w:t>
      </w:r>
      <w:r w:rsidR="00FB47C0" w:rsidRPr="0040690B">
        <w:t xml:space="preserve">a reimbursement model, requiring </w:t>
      </w:r>
      <w:r w:rsidR="004E1333" w:rsidRPr="0040690B">
        <w:t>individuals</w:t>
      </w:r>
      <w:r w:rsidR="00FB47C0" w:rsidRPr="0040690B">
        <w:t xml:space="preserve"> to pay upfront for their prostheses and then </w:t>
      </w:r>
      <w:r w:rsidR="00173879" w:rsidRPr="0040690B">
        <w:t>claim</w:t>
      </w:r>
      <w:r w:rsidR="008F38BB" w:rsidRPr="0040690B">
        <w:t xml:space="preserve"> the amount</w:t>
      </w:r>
      <w:r w:rsidR="00FB47C0" w:rsidRPr="0040690B">
        <w:t xml:space="preserve"> for reimbursement</w:t>
      </w:r>
      <w:r w:rsidR="008F38BB" w:rsidRPr="0040690B">
        <w:t xml:space="preserve"> through the n</w:t>
      </w:r>
      <w:r w:rsidR="00FB47C0" w:rsidRPr="0040690B">
        <w:t xml:space="preserve">ational program. </w:t>
      </w:r>
      <w:r w:rsidR="008F38BB" w:rsidRPr="0040690B">
        <w:t xml:space="preserve">This is </w:t>
      </w:r>
      <w:proofErr w:type="gramStart"/>
      <w:r w:rsidR="008F38BB" w:rsidRPr="0040690B">
        <w:t>similar to</w:t>
      </w:r>
      <w:proofErr w:type="gramEnd"/>
      <w:r w:rsidR="008F38BB" w:rsidRPr="0040690B">
        <w:t xml:space="preserve"> the external</w:t>
      </w:r>
      <w:r w:rsidR="00FB47C0" w:rsidRPr="0040690B">
        <w:t xml:space="preserve"> </w:t>
      </w:r>
      <w:r w:rsidR="00173879" w:rsidRPr="0040690B">
        <w:t xml:space="preserve">breast prostheses in </w:t>
      </w:r>
      <w:r w:rsidR="00FB47C0" w:rsidRPr="0040690B">
        <w:t>Canada</w:t>
      </w:r>
      <w:r w:rsidR="00173879" w:rsidRPr="0040690B">
        <w:t xml:space="preserve">, which </w:t>
      </w:r>
      <w:r w:rsidR="00B06F8C" w:rsidRPr="0040690B">
        <w:t>have a similar funding model but offer</w:t>
      </w:r>
      <w:r w:rsidR="00FB47C0" w:rsidRPr="0040690B">
        <w:t xml:space="preserve"> only reimbursement</w:t>
      </w:r>
      <w:r w:rsidR="00966F07" w:rsidRPr="0040690B">
        <w:t xml:space="preserve"> for part of the cost</w:t>
      </w:r>
      <w:r w:rsidR="00FB47C0" w:rsidRPr="0040690B">
        <w:t>, with amounts varying by province. New Zealand also uses a reimbursement model</w:t>
      </w:r>
      <w:r w:rsidR="00125518" w:rsidRPr="0040690B">
        <w:t>;</w:t>
      </w:r>
      <w:r w:rsidR="00FB47C0" w:rsidRPr="0040690B">
        <w:t xml:space="preserve"> however, unlike Australia and Canada, claims can be submitted either by the </w:t>
      </w:r>
      <w:r w:rsidR="00966F07" w:rsidRPr="0040690B">
        <w:t>individuals</w:t>
      </w:r>
      <w:r w:rsidR="00FB47C0" w:rsidRPr="0040690B">
        <w:t xml:space="preserve"> or by the </w:t>
      </w:r>
      <w:proofErr w:type="gramStart"/>
      <w:r w:rsidR="00966F07" w:rsidRPr="0040690B">
        <w:t>prostheses</w:t>
      </w:r>
      <w:proofErr w:type="gramEnd"/>
      <w:r w:rsidR="00966F07" w:rsidRPr="0040690B">
        <w:t xml:space="preserve"> provider</w:t>
      </w:r>
      <w:r w:rsidR="00FB47C0" w:rsidRPr="0040690B">
        <w:t xml:space="preserve">, which helps reduce the administrative burden on </w:t>
      </w:r>
      <w:r w:rsidR="00966F07" w:rsidRPr="0040690B">
        <w:t xml:space="preserve">individuals requiring a </w:t>
      </w:r>
      <w:proofErr w:type="gramStart"/>
      <w:r w:rsidR="00966F07" w:rsidRPr="0040690B">
        <w:t>prostheses</w:t>
      </w:r>
      <w:proofErr w:type="gramEnd"/>
      <w:r w:rsidR="00FB47C0" w:rsidRPr="0040690B">
        <w:t>.</w:t>
      </w:r>
    </w:p>
    <w:p w14:paraId="0A550AD9" w14:textId="0BF9962E" w:rsidR="00FB47C0" w:rsidRPr="009A4EB8" w:rsidRDefault="00966F07" w:rsidP="009A4EB8">
      <w:r w:rsidRPr="009A4EB8">
        <w:t>In</w:t>
      </w:r>
      <w:r w:rsidR="00FB47C0" w:rsidRPr="009A4EB8">
        <w:t xml:space="preserve"> contrast, the </w:t>
      </w:r>
      <w:r w:rsidRPr="009A4EB8">
        <w:t>UK</w:t>
      </w:r>
      <w:r w:rsidR="00FB47C0" w:rsidRPr="009A4EB8">
        <w:t xml:space="preserve"> and the Netherlands</w:t>
      </w:r>
      <w:r w:rsidRPr="009A4EB8">
        <w:t>’ external breast prostheses programs require n</w:t>
      </w:r>
      <w:r w:rsidR="00FB47C0" w:rsidRPr="009A4EB8">
        <w:t>o upfront payment</w:t>
      </w:r>
      <w:r w:rsidRPr="009A4EB8">
        <w:t xml:space="preserve"> by the individual</w:t>
      </w:r>
      <w:r w:rsidR="00FB47C0" w:rsidRPr="009A4EB8">
        <w:t xml:space="preserve">. </w:t>
      </w:r>
      <w:r w:rsidR="00125518" w:rsidRPr="009A4EB8">
        <w:t>Instead</w:t>
      </w:r>
      <w:r w:rsidRPr="009A4EB8">
        <w:t>, pr</w:t>
      </w:r>
      <w:r w:rsidR="00FB47C0" w:rsidRPr="009A4EB8">
        <w:t xml:space="preserve">ostheses are fully funded and provided directly through the public health system or approved providers, allowing </w:t>
      </w:r>
      <w:r w:rsidR="00B423D6" w:rsidRPr="009A4EB8">
        <w:t>individuals</w:t>
      </w:r>
      <w:r w:rsidR="00FB47C0" w:rsidRPr="009A4EB8">
        <w:t xml:space="preserve"> to access </w:t>
      </w:r>
      <w:r w:rsidR="00B423D6" w:rsidRPr="009A4EB8">
        <w:t>prostheses</w:t>
      </w:r>
      <w:r w:rsidR="00FB47C0" w:rsidRPr="009A4EB8">
        <w:t xml:space="preserve"> without financial barriers at the point of care. In the Netherlands, if a</w:t>
      </w:r>
      <w:r w:rsidR="00B423D6" w:rsidRPr="009A4EB8">
        <w:t>n individual</w:t>
      </w:r>
      <w:r w:rsidR="00FB47C0" w:rsidRPr="009A4EB8">
        <w:t xml:space="preserve"> chooses a non-contracted provider, a reimbursement model applies, generally offering partial reimbursement.</w:t>
      </w:r>
    </w:p>
    <w:p w14:paraId="39F600A4" w14:textId="311A6690" w:rsidR="00311038" w:rsidRPr="0040690B" w:rsidRDefault="001D21F1" w:rsidP="0040690B">
      <w:r w:rsidRPr="009A4EB8">
        <w:t>In summa</w:t>
      </w:r>
      <w:r>
        <w:t xml:space="preserve">ry, Australia’s external breast prostheses program </w:t>
      </w:r>
      <w:r w:rsidR="00CA0824">
        <w:t xml:space="preserve">is comparable in many ways to those in </w:t>
      </w:r>
      <w:r>
        <w:t>other countries</w:t>
      </w:r>
      <w:r w:rsidR="00CA0824">
        <w:t>, particularly</w:t>
      </w:r>
      <w:r>
        <w:t xml:space="preserve"> in its national approach and commitment to funding </w:t>
      </w:r>
      <w:r w:rsidR="005A2428">
        <w:t>breast prostheses</w:t>
      </w:r>
      <w:r w:rsidR="00CA0824">
        <w:t xml:space="preserve">. However, compared to the more comprehensive offerings in some countries, such as New Zealand’s inclusion of supplementary items in its </w:t>
      </w:r>
      <w:r w:rsidR="005A2428">
        <w:t xml:space="preserve">funding </w:t>
      </w:r>
      <w:r w:rsidR="00CA0824">
        <w:t xml:space="preserve">model, Australia’s program is more narrowly focused on core prostheses. </w:t>
      </w:r>
      <w:r w:rsidR="0070344F">
        <w:t>T</w:t>
      </w:r>
      <w:r w:rsidR="00024BA4">
        <w:t>he reimbursement model used in Australia</w:t>
      </w:r>
      <w:r w:rsidR="00CA0824">
        <w:t xml:space="preserve"> is</w:t>
      </w:r>
      <w:r w:rsidR="00024BA4">
        <w:t xml:space="preserve"> </w:t>
      </w:r>
      <w:proofErr w:type="gramStart"/>
      <w:r w:rsidR="0070344F">
        <w:t>similar to</w:t>
      </w:r>
      <w:proofErr w:type="gramEnd"/>
      <w:r w:rsidR="0070344F">
        <w:t xml:space="preserve"> the models used</w:t>
      </w:r>
      <w:r w:rsidR="00024BA4">
        <w:t xml:space="preserve"> in </w:t>
      </w:r>
      <w:r w:rsidR="0070344F">
        <w:t>New Zealand and Canada</w:t>
      </w:r>
      <w:r w:rsidR="00125518">
        <w:t xml:space="preserve">; however, it </w:t>
      </w:r>
      <w:r w:rsidR="00024BA4">
        <w:t xml:space="preserve">may present financial and administrative challenges for </w:t>
      </w:r>
      <w:r w:rsidR="00A441EF">
        <w:t>individuals</w:t>
      </w:r>
      <w:r w:rsidR="00024BA4">
        <w:t xml:space="preserve">, unlike the more direct access models seen in the UK and the Netherlands. </w:t>
      </w:r>
      <w:r w:rsidR="00CA0824">
        <w:t xml:space="preserve">These differences highlight that while </w:t>
      </w:r>
      <w:r w:rsidR="0070344F">
        <w:t>the EB</w:t>
      </w:r>
      <w:r w:rsidR="006C4B12">
        <w:t>PRP shares similarities with international models</w:t>
      </w:r>
      <w:r w:rsidR="00CA0824">
        <w:t xml:space="preserve">, it is not as expansive or streamlined as some of its </w:t>
      </w:r>
      <w:r w:rsidR="00125518">
        <w:t>global</w:t>
      </w:r>
      <w:r w:rsidR="00CA0824">
        <w:t xml:space="preserve"> counterparts.</w:t>
      </w:r>
    </w:p>
    <w:p w14:paraId="548D5D28" w14:textId="309DA1D5" w:rsidR="00E70316" w:rsidRPr="0040690B" w:rsidRDefault="00E70316" w:rsidP="0040690B">
      <w:pPr>
        <w:sectPr w:rsidR="00E70316" w:rsidRPr="0040690B" w:rsidSect="00E42C94">
          <w:headerReference w:type="default" r:id="rId67"/>
          <w:pgSz w:w="11906" w:h="16838"/>
          <w:pgMar w:top="1418" w:right="851" w:bottom="851" w:left="851" w:header="567" w:footer="283" w:gutter="0"/>
          <w:cols w:space="708"/>
          <w:docGrid w:linePitch="360"/>
        </w:sectPr>
      </w:pPr>
    </w:p>
    <w:p w14:paraId="53871CE0" w14:textId="5C89C536" w:rsidR="00CB73F9" w:rsidRDefault="00CB73F9" w:rsidP="00CB73F9">
      <w:pPr>
        <w:pStyle w:val="Caption"/>
      </w:pPr>
      <w:bookmarkStart w:id="100" w:name="_Ref200717683"/>
      <w:bookmarkStart w:id="101" w:name="_Toc207348579"/>
      <w:r>
        <w:t xml:space="preserve">Table </w:t>
      </w:r>
      <w:r w:rsidR="00D955D8">
        <w:fldChar w:fldCharType="begin"/>
      </w:r>
      <w:r w:rsidR="00D955D8">
        <w:instrText xml:space="preserve"> SEQ Table \* ARABIC </w:instrText>
      </w:r>
      <w:r w:rsidR="00D955D8">
        <w:fldChar w:fldCharType="separate"/>
      </w:r>
      <w:r w:rsidR="00D955D8">
        <w:rPr>
          <w:noProof/>
        </w:rPr>
        <w:t>14</w:t>
      </w:r>
      <w:r w:rsidR="00D955D8">
        <w:rPr>
          <w:noProof/>
        </w:rPr>
        <w:fldChar w:fldCharType="end"/>
      </w:r>
      <w:bookmarkEnd w:id="100"/>
      <w:r>
        <w:t>: International comparison of external breast prostheses programs and schemes</w:t>
      </w:r>
      <w:bookmarkEnd w:id="101"/>
    </w:p>
    <w:tbl>
      <w:tblPr>
        <w:tblStyle w:val="KPMGTable"/>
        <w:tblW w:w="15168" w:type="dxa"/>
        <w:tblLook w:val="04A0" w:firstRow="1" w:lastRow="0" w:firstColumn="1" w:lastColumn="0" w:noHBand="0" w:noVBand="1"/>
      </w:tblPr>
      <w:tblGrid>
        <w:gridCol w:w="1701"/>
        <w:gridCol w:w="2693"/>
        <w:gridCol w:w="2693"/>
        <w:gridCol w:w="2694"/>
        <w:gridCol w:w="2693"/>
        <w:gridCol w:w="2694"/>
      </w:tblGrid>
      <w:tr w:rsidR="00AD6F37" w:rsidRPr="007B154A" w14:paraId="57302C75" w14:textId="77777777" w:rsidTr="00B51F70">
        <w:trPr>
          <w:cnfStyle w:val="100000000000" w:firstRow="1" w:lastRow="0" w:firstColumn="0" w:lastColumn="0" w:oddVBand="0" w:evenVBand="0" w:oddHBand="0"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1701" w:type="dxa"/>
          </w:tcPr>
          <w:p w14:paraId="2728554A" w14:textId="116173DD" w:rsidR="009E5EE1" w:rsidRPr="002B343F" w:rsidRDefault="009E5EE1" w:rsidP="00B51F70">
            <w:pPr>
              <w:pStyle w:val="TableHeading"/>
              <w:rPr>
                <w:b w:val="0"/>
                <w:color w:val="FFFFFF" w:themeColor="background1"/>
                <w:szCs w:val="18"/>
              </w:rPr>
            </w:pPr>
            <w:r w:rsidRPr="002B343F">
              <w:t>Program details</w:t>
            </w:r>
          </w:p>
        </w:tc>
        <w:tc>
          <w:tcPr>
            <w:tcW w:w="2693" w:type="dxa"/>
          </w:tcPr>
          <w:p w14:paraId="515CCE33" w14:textId="3380C298" w:rsidR="009E5EE1" w:rsidRPr="002B343F" w:rsidRDefault="009E5EE1" w:rsidP="00B51F7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2B343F">
              <w:t>Australia</w:t>
            </w:r>
          </w:p>
        </w:tc>
        <w:tc>
          <w:tcPr>
            <w:tcW w:w="2693" w:type="dxa"/>
          </w:tcPr>
          <w:p w14:paraId="705F5DF4" w14:textId="346B2CD0" w:rsidR="009E5EE1" w:rsidRPr="002B343F" w:rsidRDefault="009E5EE1" w:rsidP="00B51F7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2B343F">
              <w:t>Canada</w:t>
            </w:r>
          </w:p>
        </w:tc>
        <w:tc>
          <w:tcPr>
            <w:tcW w:w="2694" w:type="dxa"/>
          </w:tcPr>
          <w:p w14:paraId="15A45B45" w14:textId="3B2BB26A" w:rsidR="009E5EE1" w:rsidRPr="002B343F" w:rsidRDefault="009E5EE1" w:rsidP="00B51F7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2B343F">
              <w:t>Netherlands</w:t>
            </w:r>
          </w:p>
        </w:tc>
        <w:tc>
          <w:tcPr>
            <w:tcW w:w="2693" w:type="dxa"/>
          </w:tcPr>
          <w:p w14:paraId="5D4E22D5" w14:textId="29BEC791" w:rsidR="009E5EE1" w:rsidRPr="002B343F" w:rsidRDefault="009E5EE1" w:rsidP="00B51F7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2B343F">
              <w:t>New Zealand</w:t>
            </w:r>
          </w:p>
        </w:tc>
        <w:tc>
          <w:tcPr>
            <w:tcW w:w="2694" w:type="dxa"/>
          </w:tcPr>
          <w:p w14:paraId="70D28473" w14:textId="4C0B4C00" w:rsidR="009E5EE1" w:rsidRPr="002B343F" w:rsidRDefault="009E5EE1" w:rsidP="00B51F7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2B343F">
              <w:t>UK</w:t>
            </w:r>
          </w:p>
        </w:tc>
      </w:tr>
      <w:tr w:rsidR="00AE1E92" w:rsidRPr="001B05CB" w14:paraId="051C787D" w14:textId="77777777" w:rsidTr="00B51F70">
        <w:trPr>
          <w:trHeight w:val="976"/>
        </w:trPr>
        <w:tc>
          <w:tcPr>
            <w:cnfStyle w:val="001000000000" w:firstRow="0" w:lastRow="0" w:firstColumn="1" w:lastColumn="0" w:oddVBand="0" w:evenVBand="0" w:oddHBand="0" w:evenHBand="0" w:firstRowFirstColumn="0" w:firstRowLastColumn="0" w:lastRowFirstColumn="0" w:lastRowLastColumn="0"/>
            <w:tcW w:w="1701" w:type="dxa"/>
          </w:tcPr>
          <w:p w14:paraId="6E2667EE" w14:textId="77777777" w:rsidR="009E5EE1" w:rsidRPr="002B343F" w:rsidRDefault="009E5EE1" w:rsidP="00B51F70">
            <w:pPr>
              <w:pStyle w:val="Tabletextbold"/>
              <w:rPr>
                <w:szCs w:val="18"/>
              </w:rPr>
            </w:pPr>
            <w:r w:rsidRPr="002B343F">
              <w:t>Program / scheme name</w:t>
            </w:r>
          </w:p>
        </w:tc>
        <w:tc>
          <w:tcPr>
            <w:tcW w:w="2693" w:type="dxa"/>
          </w:tcPr>
          <w:p w14:paraId="526E1716" w14:textId="77777777" w:rsidR="009E5EE1" w:rsidRPr="002B343F" w:rsidRDefault="009E5EE1"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National External Breast Prostheses Reimbursement Program (EBPRP)</w:t>
            </w:r>
          </w:p>
        </w:tc>
        <w:tc>
          <w:tcPr>
            <w:tcW w:w="2693" w:type="dxa"/>
          </w:tcPr>
          <w:p w14:paraId="64788A1F" w14:textId="3A9D104E" w:rsidR="009E5EE1" w:rsidRPr="002B343F" w:rsidRDefault="009E5EE1"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Provincial programs (e.g., Ontario</w:t>
            </w:r>
            <w:r w:rsidR="009D4CA4" w:rsidRPr="002B343F">
              <w:rPr>
                <w:szCs w:val="18"/>
              </w:rPr>
              <w:t>:</w:t>
            </w:r>
            <w:r w:rsidRPr="002B343F">
              <w:rPr>
                <w:szCs w:val="18"/>
              </w:rPr>
              <w:t xml:space="preserve"> Assistive Devices Program, Nova Scotia</w:t>
            </w:r>
            <w:r w:rsidR="009D4CA4" w:rsidRPr="002B343F">
              <w:rPr>
                <w:szCs w:val="18"/>
              </w:rPr>
              <w:t>:</w:t>
            </w:r>
            <w:r w:rsidRPr="002B343F">
              <w:rPr>
                <w:szCs w:val="18"/>
              </w:rPr>
              <w:t xml:space="preserve"> Breast Prosthesis Program)</w:t>
            </w:r>
          </w:p>
        </w:tc>
        <w:tc>
          <w:tcPr>
            <w:tcW w:w="2694" w:type="dxa"/>
          </w:tcPr>
          <w:p w14:paraId="7F57AD03" w14:textId="77777777" w:rsidR="009E5EE1" w:rsidRPr="002B343F" w:rsidRDefault="009E5EE1"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Basic Health Insurance</w:t>
            </w:r>
          </w:p>
        </w:tc>
        <w:tc>
          <w:tcPr>
            <w:tcW w:w="2693" w:type="dxa"/>
          </w:tcPr>
          <w:p w14:paraId="61953F8D" w14:textId="77777777" w:rsidR="009E5EE1" w:rsidRPr="002B343F" w:rsidRDefault="009E5EE1"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Breast Prosthesis Subsidy</w:t>
            </w:r>
          </w:p>
        </w:tc>
        <w:tc>
          <w:tcPr>
            <w:tcW w:w="2694" w:type="dxa"/>
          </w:tcPr>
          <w:p w14:paraId="55966138" w14:textId="77777777" w:rsidR="009E5EE1" w:rsidRPr="002B343F" w:rsidRDefault="009E5EE1"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NHS External Breast Prostheses Provision</w:t>
            </w:r>
          </w:p>
        </w:tc>
      </w:tr>
      <w:tr w:rsidR="00AE1E92" w:rsidRPr="00FA30FA" w14:paraId="477CA448" w14:textId="77777777" w:rsidTr="00B51F70">
        <w:trPr>
          <w:trHeight w:val="514"/>
        </w:trPr>
        <w:tc>
          <w:tcPr>
            <w:cnfStyle w:val="001000000000" w:firstRow="0" w:lastRow="0" w:firstColumn="1" w:lastColumn="0" w:oddVBand="0" w:evenVBand="0" w:oddHBand="0" w:evenHBand="0" w:firstRowFirstColumn="0" w:firstRowLastColumn="0" w:lastRowFirstColumn="0" w:lastRowLastColumn="0"/>
            <w:tcW w:w="1701" w:type="dxa"/>
          </w:tcPr>
          <w:p w14:paraId="30471067" w14:textId="7F875DAE" w:rsidR="009E5EE1" w:rsidRPr="002B343F" w:rsidRDefault="009E5EE1" w:rsidP="00B51F70">
            <w:pPr>
              <w:pStyle w:val="Tabletextbold"/>
              <w:rPr>
                <w:szCs w:val="18"/>
              </w:rPr>
            </w:pPr>
            <w:r w:rsidRPr="002B343F">
              <w:t>National or regional</w:t>
            </w:r>
            <w:r w:rsidR="009E6B05" w:rsidRPr="002B343F">
              <w:rPr>
                <w:szCs w:val="18"/>
              </w:rPr>
              <w:t xml:space="preserve"> model</w:t>
            </w:r>
          </w:p>
        </w:tc>
        <w:tc>
          <w:tcPr>
            <w:tcW w:w="2693" w:type="dxa"/>
          </w:tcPr>
          <w:p w14:paraId="314D13B7" w14:textId="77777777" w:rsidR="009E5EE1" w:rsidRPr="002B343F" w:rsidRDefault="009E5EE1"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National</w:t>
            </w:r>
          </w:p>
        </w:tc>
        <w:tc>
          <w:tcPr>
            <w:tcW w:w="2693" w:type="dxa"/>
          </w:tcPr>
          <w:p w14:paraId="74FA1437" w14:textId="5881B622" w:rsidR="009E5EE1" w:rsidRPr="002B343F" w:rsidRDefault="009E5EE1"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Regional</w:t>
            </w:r>
            <w:r w:rsidR="005C6475" w:rsidRPr="002B343F">
              <w:rPr>
                <w:szCs w:val="18"/>
              </w:rPr>
              <w:t xml:space="preserve"> (provincial)</w:t>
            </w:r>
          </w:p>
        </w:tc>
        <w:tc>
          <w:tcPr>
            <w:tcW w:w="2694" w:type="dxa"/>
          </w:tcPr>
          <w:p w14:paraId="38E67FC9" w14:textId="77777777" w:rsidR="009E5EE1" w:rsidRPr="002B343F" w:rsidRDefault="009E5EE1"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National</w:t>
            </w:r>
          </w:p>
        </w:tc>
        <w:tc>
          <w:tcPr>
            <w:tcW w:w="2693" w:type="dxa"/>
          </w:tcPr>
          <w:p w14:paraId="7DC11AF5" w14:textId="77777777" w:rsidR="009E5EE1" w:rsidRPr="002B343F" w:rsidRDefault="009E5EE1"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National</w:t>
            </w:r>
          </w:p>
        </w:tc>
        <w:tc>
          <w:tcPr>
            <w:tcW w:w="2694" w:type="dxa"/>
          </w:tcPr>
          <w:p w14:paraId="0DDBE213" w14:textId="77777777" w:rsidR="009E5EE1" w:rsidRPr="002B343F" w:rsidRDefault="009E5EE1"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National</w:t>
            </w:r>
          </w:p>
        </w:tc>
      </w:tr>
      <w:tr w:rsidR="00AE1E92" w:rsidRPr="00FA30FA" w14:paraId="6DF3D72E" w14:textId="77777777" w:rsidTr="00B51F70">
        <w:trPr>
          <w:trHeight w:val="514"/>
        </w:trPr>
        <w:tc>
          <w:tcPr>
            <w:cnfStyle w:val="001000000000" w:firstRow="0" w:lastRow="0" w:firstColumn="1" w:lastColumn="0" w:oddVBand="0" w:evenVBand="0" w:oddHBand="0" w:evenHBand="0" w:firstRowFirstColumn="0" w:firstRowLastColumn="0" w:lastRowFirstColumn="0" w:lastRowLastColumn="0"/>
            <w:tcW w:w="1701" w:type="dxa"/>
          </w:tcPr>
          <w:p w14:paraId="13B72C89" w14:textId="77777777" w:rsidR="009E5EE1" w:rsidRPr="002B343F" w:rsidRDefault="009E5EE1" w:rsidP="00B51F70">
            <w:pPr>
              <w:pStyle w:val="Tabletextbold"/>
              <w:rPr>
                <w:szCs w:val="18"/>
              </w:rPr>
            </w:pPr>
            <w:r w:rsidRPr="002B343F">
              <w:t>Eligibility criteria</w:t>
            </w:r>
          </w:p>
        </w:tc>
        <w:tc>
          <w:tcPr>
            <w:tcW w:w="2693" w:type="dxa"/>
          </w:tcPr>
          <w:p w14:paraId="75343718" w14:textId="77777777" w:rsidR="009E5EE1" w:rsidRPr="002B343F" w:rsidRDefault="009E5EE1"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 xml:space="preserve">Must be enrolled in </w:t>
            </w:r>
            <w:r w:rsidRPr="002B343F">
              <w:rPr>
                <w:szCs w:val="18"/>
              </w:rPr>
              <w:t>Medicare and have undergone breast surgery due to cancer or other medical conditions requiring prostheses</w:t>
            </w:r>
          </w:p>
        </w:tc>
        <w:tc>
          <w:tcPr>
            <w:tcW w:w="2693" w:type="dxa"/>
          </w:tcPr>
          <w:p w14:paraId="6F327DD1" w14:textId="3C266C7D" w:rsidR="009E5EE1" w:rsidRPr="002B343F" w:rsidRDefault="00C20A89"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Eligibility varies by province</w:t>
            </w:r>
            <w:r w:rsidR="009D4CA4" w:rsidRPr="002B343F">
              <w:rPr>
                <w:szCs w:val="18"/>
              </w:rPr>
              <w:t>.</w:t>
            </w:r>
            <w:r w:rsidRPr="002B343F">
              <w:rPr>
                <w:szCs w:val="18"/>
              </w:rPr>
              <w:t xml:space="preserve"> </w:t>
            </w:r>
            <w:proofErr w:type="gramStart"/>
            <w:r w:rsidR="009D4CA4" w:rsidRPr="002B343F">
              <w:rPr>
                <w:szCs w:val="18"/>
              </w:rPr>
              <w:t>G</w:t>
            </w:r>
            <w:r w:rsidRPr="002B343F">
              <w:rPr>
                <w:szCs w:val="18"/>
              </w:rPr>
              <w:t>enerally</w:t>
            </w:r>
            <w:proofErr w:type="gramEnd"/>
            <w:r w:rsidRPr="002B343F">
              <w:rPr>
                <w:szCs w:val="18"/>
              </w:rPr>
              <w:t xml:space="preserve"> requires a prescription or proof of surgery</w:t>
            </w:r>
            <w:r w:rsidR="009D4CA4" w:rsidRPr="002B343F">
              <w:rPr>
                <w:szCs w:val="18"/>
              </w:rPr>
              <w:t>,</w:t>
            </w:r>
            <w:r w:rsidRPr="002B343F">
              <w:rPr>
                <w:szCs w:val="18"/>
              </w:rPr>
              <w:t xml:space="preserve"> must be resident in the province </w:t>
            </w:r>
          </w:p>
        </w:tc>
        <w:tc>
          <w:tcPr>
            <w:tcW w:w="2694" w:type="dxa"/>
          </w:tcPr>
          <w:p w14:paraId="7F119C8E" w14:textId="3A6D12F2" w:rsidR="009E5EE1" w:rsidRPr="002B343F" w:rsidRDefault="00C20A89"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Requires a prescription from a general practitioner or nurse; insured under the statutory health insurance scheme.</w:t>
            </w:r>
          </w:p>
        </w:tc>
        <w:tc>
          <w:tcPr>
            <w:tcW w:w="2693" w:type="dxa"/>
          </w:tcPr>
          <w:p w14:paraId="61AFE780" w14:textId="3DDA1C32" w:rsidR="009E5EE1" w:rsidRPr="002B343F" w:rsidRDefault="00907AD9"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Requires a medical certificate from a GP or specialist, must be a resident eligible for public health service</w:t>
            </w:r>
          </w:p>
        </w:tc>
        <w:tc>
          <w:tcPr>
            <w:tcW w:w="2694" w:type="dxa"/>
          </w:tcPr>
          <w:p w14:paraId="20942248" w14:textId="737873AA" w:rsidR="009E5EE1" w:rsidRPr="002B343F" w:rsidRDefault="008E6C5C"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Must be registered with the NHS and have undergone breast surgery; referral or fitting arranged by breast care nurse or specialist</w:t>
            </w:r>
          </w:p>
        </w:tc>
      </w:tr>
      <w:tr w:rsidR="00AE1E92" w:rsidRPr="00FA30FA" w14:paraId="557AAE85" w14:textId="77777777" w:rsidTr="00B51F70">
        <w:trPr>
          <w:trHeight w:val="1102"/>
        </w:trPr>
        <w:tc>
          <w:tcPr>
            <w:cnfStyle w:val="001000000000" w:firstRow="0" w:lastRow="0" w:firstColumn="1" w:lastColumn="0" w:oddVBand="0" w:evenVBand="0" w:oddHBand="0" w:evenHBand="0" w:firstRowFirstColumn="0" w:firstRowLastColumn="0" w:lastRowFirstColumn="0" w:lastRowLastColumn="0"/>
            <w:tcW w:w="1701" w:type="dxa"/>
          </w:tcPr>
          <w:p w14:paraId="3E92F44D" w14:textId="77777777" w:rsidR="009E5EE1" w:rsidRPr="002B343F" w:rsidRDefault="009E5EE1" w:rsidP="00B51F70">
            <w:pPr>
              <w:pStyle w:val="Tabletextbold"/>
              <w:rPr>
                <w:szCs w:val="18"/>
              </w:rPr>
            </w:pPr>
            <w:r w:rsidRPr="002B343F">
              <w:t>Products and services included</w:t>
            </w:r>
          </w:p>
        </w:tc>
        <w:tc>
          <w:tcPr>
            <w:tcW w:w="2693" w:type="dxa"/>
          </w:tcPr>
          <w:p w14:paraId="6EF06BB9" w14:textId="194EED0C" w:rsidR="007F4475" w:rsidRPr="002B343F" w:rsidRDefault="007F4475"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External breast prostheses (new and replacement)</w:t>
            </w:r>
          </w:p>
          <w:p w14:paraId="26B2F9BA" w14:textId="5D540AAC" w:rsidR="009E5EE1" w:rsidRPr="002B343F" w:rsidRDefault="007F4475"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Supplementary items (e.g., bras) are not covered</w:t>
            </w:r>
          </w:p>
        </w:tc>
        <w:tc>
          <w:tcPr>
            <w:tcW w:w="2693" w:type="dxa"/>
          </w:tcPr>
          <w:p w14:paraId="38A84D10" w14:textId="57DBECEE" w:rsidR="00D62438" w:rsidRPr="002B343F" w:rsidRDefault="00D62438"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 xml:space="preserve">External breast prostheses </w:t>
            </w:r>
          </w:p>
          <w:p w14:paraId="3B23208C" w14:textId="7E00B690" w:rsidR="009E5EE1" w:rsidRPr="002B343F" w:rsidRDefault="00493055"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Some provinces include mastectomy bras</w:t>
            </w:r>
          </w:p>
        </w:tc>
        <w:tc>
          <w:tcPr>
            <w:tcW w:w="2694" w:type="dxa"/>
          </w:tcPr>
          <w:p w14:paraId="05C97FC9" w14:textId="19D8A95D" w:rsidR="002D1C8B" w:rsidRPr="002B343F" w:rsidRDefault="006117CB"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E</w:t>
            </w:r>
            <w:r w:rsidR="00D87E5B" w:rsidRPr="002B343F">
              <w:rPr>
                <w:szCs w:val="18"/>
              </w:rPr>
              <w:t xml:space="preserve">xternal breast prostheses </w:t>
            </w:r>
          </w:p>
          <w:p w14:paraId="4DA47BBE" w14:textId="77777777" w:rsidR="009E5EE1" w:rsidRPr="002B343F" w:rsidRDefault="009E5EE1" w:rsidP="00B51F70">
            <w:pPr>
              <w:pStyle w:val="TableText"/>
              <w:cnfStyle w:val="000000000000" w:firstRow="0" w:lastRow="0" w:firstColumn="0" w:lastColumn="0" w:oddVBand="0" w:evenVBand="0" w:oddHBand="0" w:evenHBand="0" w:firstRowFirstColumn="0" w:firstRowLastColumn="0" w:lastRowFirstColumn="0" w:lastRowLastColumn="0"/>
            </w:pPr>
          </w:p>
        </w:tc>
        <w:tc>
          <w:tcPr>
            <w:tcW w:w="2693" w:type="dxa"/>
          </w:tcPr>
          <w:p w14:paraId="4778DB82" w14:textId="77777777" w:rsidR="002D1C8B" w:rsidRPr="002B343F" w:rsidRDefault="002D1C8B"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Breast prostheses</w:t>
            </w:r>
          </w:p>
          <w:p w14:paraId="49B8FB8C" w14:textId="77777777" w:rsidR="002D1C8B" w:rsidRPr="002B343F" w:rsidRDefault="002D1C8B"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Swim forms</w:t>
            </w:r>
          </w:p>
          <w:p w14:paraId="31C72896" w14:textId="77777777" w:rsidR="002D1C8B" w:rsidRPr="002B343F" w:rsidRDefault="002D1C8B"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Surgical bras</w:t>
            </w:r>
          </w:p>
          <w:p w14:paraId="38B9A3A9" w14:textId="77777777" w:rsidR="002D1C8B" w:rsidRPr="002B343F" w:rsidRDefault="002D1C8B"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Prosthetic nipples</w:t>
            </w:r>
          </w:p>
          <w:p w14:paraId="3A2BFC8B" w14:textId="53504AC8" w:rsidR="009E5EE1" w:rsidRPr="002B343F" w:rsidRDefault="002D1C8B"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Modifications</w:t>
            </w:r>
          </w:p>
        </w:tc>
        <w:tc>
          <w:tcPr>
            <w:tcW w:w="2694" w:type="dxa"/>
          </w:tcPr>
          <w:p w14:paraId="42156B3C" w14:textId="1AC8964B" w:rsidR="008E150E" w:rsidRPr="002B343F" w:rsidRDefault="008E150E"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Wide range of breast prostheses</w:t>
            </w:r>
          </w:p>
          <w:p w14:paraId="1F1DCE29" w14:textId="42D852FB" w:rsidR="009E5EE1" w:rsidRPr="002B343F" w:rsidRDefault="008E150E"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Bras and swimwear are not routinely covered</w:t>
            </w:r>
          </w:p>
        </w:tc>
      </w:tr>
      <w:tr w:rsidR="00AE1E92" w:rsidRPr="00FA30FA" w14:paraId="041361EB" w14:textId="77777777" w:rsidTr="00B51F70">
        <w:trPr>
          <w:trHeight w:val="363"/>
        </w:trPr>
        <w:tc>
          <w:tcPr>
            <w:cnfStyle w:val="001000000000" w:firstRow="0" w:lastRow="0" w:firstColumn="1" w:lastColumn="0" w:oddVBand="0" w:evenVBand="0" w:oddHBand="0" w:evenHBand="0" w:firstRowFirstColumn="0" w:firstRowLastColumn="0" w:lastRowFirstColumn="0" w:lastRowLastColumn="0"/>
            <w:tcW w:w="1701" w:type="dxa"/>
          </w:tcPr>
          <w:p w14:paraId="5E8603EC" w14:textId="77777777" w:rsidR="009E5EE1" w:rsidRPr="002B343F" w:rsidRDefault="009E5EE1" w:rsidP="00B51F70">
            <w:pPr>
              <w:pStyle w:val="Tabletextbold"/>
              <w:rPr>
                <w:szCs w:val="18"/>
              </w:rPr>
            </w:pPr>
            <w:r w:rsidRPr="002B343F">
              <w:t>Funding source</w:t>
            </w:r>
          </w:p>
        </w:tc>
        <w:tc>
          <w:tcPr>
            <w:tcW w:w="2693" w:type="dxa"/>
          </w:tcPr>
          <w:p w14:paraId="56516C3E" w14:textId="1B7B99EC" w:rsidR="009E5EE1" w:rsidRPr="002B343F" w:rsidRDefault="007166CC"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t>Australian</w:t>
            </w:r>
            <w:r w:rsidR="00AF77BC" w:rsidRPr="002B343F">
              <w:rPr>
                <w:szCs w:val="18"/>
              </w:rPr>
              <w:t xml:space="preserve"> </w:t>
            </w:r>
            <w:r>
              <w:rPr>
                <w:szCs w:val="18"/>
              </w:rPr>
              <w:t>G</w:t>
            </w:r>
            <w:r w:rsidR="00AF77BC" w:rsidRPr="002B343F">
              <w:rPr>
                <w:szCs w:val="18"/>
              </w:rPr>
              <w:t>overnment</w:t>
            </w:r>
            <w:r w:rsidR="00D1660E" w:rsidRPr="002B343F">
              <w:rPr>
                <w:szCs w:val="18"/>
              </w:rPr>
              <w:t xml:space="preserve"> </w:t>
            </w:r>
          </w:p>
        </w:tc>
        <w:tc>
          <w:tcPr>
            <w:tcW w:w="2693" w:type="dxa"/>
          </w:tcPr>
          <w:p w14:paraId="0CB27BDD" w14:textId="6F4776C6" w:rsidR="009E5EE1" w:rsidRPr="002B343F" w:rsidRDefault="00AF77BC"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 xml:space="preserve">Provincial </w:t>
            </w:r>
            <w:r w:rsidRPr="002B343F">
              <w:rPr>
                <w:szCs w:val="18"/>
              </w:rPr>
              <w:t>governments</w:t>
            </w:r>
            <w:r w:rsidR="00D1660E" w:rsidRPr="002B343F">
              <w:rPr>
                <w:szCs w:val="18"/>
              </w:rPr>
              <w:t xml:space="preserve"> </w:t>
            </w:r>
          </w:p>
        </w:tc>
        <w:tc>
          <w:tcPr>
            <w:tcW w:w="2694" w:type="dxa"/>
          </w:tcPr>
          <w:p w14:paraId="364691FF" w14:textId="6F0E7682" w:rsidR="009E5EE1" w:rsidRPr="002B343F" w:rsidRDefault="00AF77BC"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Statutory health insurance</w:t>
            </w:r>
            <w:r w:rsidR="00D1660E" w:rsidRPr="002B343F">
              <w:rPr>
                <w:szCs w:val="18"/>
              </w:rPr>
              <w:t xml:space="preserve"> </w:t>
            </w:r>
          </w:p>
        </w:tc>
        <w:tc>
          <w:tcPr>
            <w:tcW w:w="2693" w:type="dxa"/>
          </w:tcPr>
          <w:p w14:paraId="4C5BACC4" w14:textId="36E5000F" w:rsidR="009E5EE1" w:rsidRPr="002B343F" w:rsidRDefault="001E3D89"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Federal government</w:t>
            </w:r>
          </w:p>
        </w:tc>
        <w:tc>
          <w:tcPr>
            <w:tcW w:w="2694" w:type="dxa"/>
          </w:tcPr>
          <w:p w14:paraId="356F260C" w14:textId="7B59E291" w:rsidR="009E5EE1" w:rsidRPr="002B343F" w:rsidRDefault="00D87E5B"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 xml:space="preserve">NHS </w:t>
            </w:r>
            <w:r w:rsidR="00FE709F" w:rsidRPr="002B343F">
              <w:rPr>
                <w:szCs w:val="18"/>
              </w:rPr>
              <w:t>(public funding)</w:t>
            </w:r>
          </w:p>
        </w:tc>
      </w:tr>
      <w:tr w:rsidR="00AE1E92" w:rsidRPr="00FA30FA" w14:paraId="3848E83B" w14:textId="77777777" w:rsidTr="00B51F70">
        <w:trPr>
          <w:trHeight w:val="514"/>
        </w:trPr>
        <w:tc>
          <w:tcPr>
            <w:cnfStyle w:val="001000000000" w:firstRow="0" w:lastRow="0" w:firstColumn="1" w:lastColumn="0" w:oddVBand="0" w:evenVBand="0" w:oddHBand="0" w:evenHBand="0" w:firstRowFirstColumn="0" w:firstRowLastColumn="0" w:lastRowFirstColumn="0" w:lastRowLastColumn="0"/>
            <w:tcW w:w="1701" w:type="dxa"/>
          </w:tcPr>
          <w:p w14:paraId="3B65204F" w14:textId="5F6F6FA6" w:rsidR="00931846" w:rsidRPr="002B343F" w:rsidRDefault="00931846" w:rsidP="00B51F70">
            <w:pPr>
              <w:pStyle w:val="Tabletextbold"/>
              <w:rPr>
                <w:szCs w:val="18"/>
              </w:rPr>
            </w:pPr>
            <w:r w:rsidRPr="002B343F">
              <w:t xml:space="preserve">Funding </w:t>
            </w:r>
            <w:r w:rsidRPr="002B343F">
              <w:rPr>
                <w:szCs w:val="18"/>
              </w:rPr>
              <w:t>model</w:t>
            </w:r>
          </w:p>
        </w:tc>
        <w:tc>
          <w:tcPr>
            <w:tcW w:w="2693" w:type="dxa"/>
          </w:tcPr>
          <w:p w14:paraId="3195576F" w14:textId="700C6F56" w:rsidR="00931846" w:rsidRPr="002B343F" w:rsidRDefault="00931846"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Reimbursement model</w:t>
            </w:r>
            <w:r w:rsidR="00030ECE" w:rsidRPr="002B343F">
              <w:rPr>
                <w:szCs w:val="18"/>
              </w:rPr>
              <w:t xml:space="preserve"> (up to $400 per prosthesis, every 2 years)</w:t>
            </w:r>
          </w:p>
        </w:tc>
        <w:tc>
          <w:tcPr>
            <w:tcW w:w="2693" w:type="dxa"/>
          </w:tcPr>
          <w:p w14:paraId="494803E8" w14:textId="0429E7F3" w:rsidR="00931846" w:rsidRPr="002B343F" w:rsidRDefault="00931846"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Partial reimbursement model</w:t>
            </w:r>
            <w:r w:rsidR="00030ECE" w:rsidRPr="002B343F">
              <w:rPr>
                <w:szCs w:val="18"/>
              </w:rPr>
              <w:t xml:space="preserve"> (amounts vary by province)</w:t>
            </w:r>
          </w:p>
        </w:tc>
        <w:tc>
          <w:tcPr>
            <w:tcW w:w="2694" w:type="dxa"/>
          </w:tcPr>
          <w:p w14:paraId="6ACAB92A" w14:textId="3578D3FC" w:rsidR="00931846" w:rsidRPr="002B343F" w:rsidRDefault="00931846"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 xml:space="preserve">Fully funded </w:t>
            </w:r>
            <w:r w:rsidR="00897331" w:rsidRPr="002B343F">
              <w:rPr>
                <w:szCs w:val="18"/>
              </w:rPr>
              <w:t>for</w:t>
            </w:r>
            <w:r w:rsidRPr="002B343F">
              <w:rPr>
                <w:szCs w:val="18"/>
              </w:rPr>
              <w:t xml:space="preserve"> contracted provider</w:t>
            </w:r>
            <w:r w:rsidR="00897331" w:rsidRPr="002B343F">
              <w:rPr>
                <w:szCs w:val="18"/>
              </w:rPr>
              <w:t>s</w:t>
            </w:r>
            <w:r w:rsidRPr="002B343F">
              <w:rPr>
                <w:szCs w:val="18"/>
              </w:rPr>
              <w:t>, 75% reimbursement for non-contracted providers</w:t>
            </w:r>
          </w:p>
        </w:tc>
        <w:tc>
          <w:tcPr>
            <w:tcW w:w="2693" w:type="dxa"/>
          </w:tcPr>
          <w:p w14:paraId="7E2E70F2" w14:textId="5CABE0A6" w:rsidR="00931846" w:rsidRPr="002B343F" w:rsidRDefault="00030ECE"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Reimbursement model (up to $ 613.33 per side every 4 years)</w:t>
            </w:r>
          </w:p>
        </w:tc>
        <w:tc>
          <w:tcPr>
            <w:tcW w:w="2694" w:type="dxa"/>
          </w:tcPr>
          <w:p w14:paraId="56AFFB4F" w14:textId="139D9BA1" w:rsidR="00931846" w:rsidRPr="002B343F" w:rsidRDefault="00FE709F"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Fully funded</w:t>
            </w:r>
          </w:p>
        </w:tc>
      </w:tr>
      <w:tr w:rsidR="00AE1E92" w:rsidRPr="00FA30FA" w14:paraId="4E0978B7" w14:textId="77777777" w:rsidTr="00B51F70">
        <w:trPr>
          <w:trHeight w:val="207"/>
        </w:trPr>
        <w:tc>
          <w:tcPr>
            <w:cnfStyle w:val="001000000000" w:firstRow="0" w:lastRow="0" w:firstColumn="1" w:lastColumn="0" w:oddVBand="0" w:evenVBand="0" w:oddHBand="0" w:evenHBand="0" w:firstRowFirstColumn="0" w:firstRowLastColumn="0" w:lastRowFirstColumn="0" w:lastRowLastColumn="0"/>
            <w:tcW w:w="1701" w:type="dxa"/>
          </w:tcPr>
          <w:p w14:paraId="76A039C0" w14:textId="2C0EF2FA" w:rsidR="009E5EE1" w:rsidRPr="002B343F" w:rsidRDefault="00A871E4" w:rsidP="00B51F70">
            <w:pPr>
              <w:pStyle w:val="Tabletextbold"/>
              <w:rPr>
                <w:szCs w:val="18"/>
              </w:rPr>
            </w:pPr>
            <w:r w:rsidRPr="002B343F">
              <w:t>P</w:t>
            </w:r>
            <w:r w:rsidR="009E5EE1" w:rsidRPr="002B343F">
              <w:rPr>
                <w:szCs w:val="18"/>
              </w:rPr>
              <w:t xml:space="preserve">rocess </w:t>
            </w:r>
            <w:r w:rsidRPr="002B343F">
              <w:rPr>
                <w:szCs w:val="18"/>
              </w:rPr>
              <w:t>for accessing a prosthesis</w:t>
            </w:r>
          </w:p>
          <w:p w14:paraId="7BD48297" w14:textId="77777777" w:rsidR="009E5EE1" w:rsidRPr="002B343F" w:rsidRDefault="009E5EE1" w:rsidP="00B51F70">
            <w:pPr>
              <w:pStyle w:val="Tabletextbold"/>
            </w:pPr>
          </w:p>
        </w:tc>
        <w:tc>
          <w:tcPr>
            <w:tcW w:w="2693" w:type="dxa"/>
          </w:tcPr>
          <w:p w14:paraId="22A2E733" w14:textId="2E46DED0" w:rsidR="009E5EE1" w:rsidRPr="002B343F" w:rsidRDefault="00445113"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P</w:t>
            </w:r>
            <w:r w:rsidR="00DB7F65" w:rsidRPr="002B343F">
              <w:rPr>
                <w:szCs w:val="18"/>
              </w:rPr>
              <w:t>urchase from retailer, pay upfront, claim reimbursement</w:t>
            </w:r>
            <w:r w:rsidR="007B7939">
              <w:rPr>
                <w:rFonts w:ascii="ZWAdobeF" w:hAnsi="ZWAdobeF" w:cs="ZWAdobeF"/>
                <w:color w:val="auto"/>
                <w:sz w:val="2"/>
                <w:szCs w:val="2"/>
              </w:rPr>
              <w:t>128F</w:t>
            </w:r>
            <w:r w:rsidR="00927649" w:rsidRPr="002B343F">
              <w:rPr>
                <w:rStyle w:val="FootnoteReference"/>
                <w:b/>
                <w:szCs w:val="18"/>
              </w:rPr>
              <w:footnoteReference w:id="120"/>
            </w:r>
          </w:p>
        </w:tc>
        <w:tc>
          <w:tcPr>
            <w:tcW w:w="2693" w:type="dxa"/>
          </w:tcPr>
          <w:p w14:paraId="5E8C4B3E" w14:textId="6FDEA3D5" w:rsidR="009E5EE1" w:rsidRPr="002B343F" w:rsidRDefault="00A871E4"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 xml:space="preserve">Purchase from approved provider, pay upfront, claim partial reimbursement </w:t>
            </w:r>
            <w:r w:rsidR="007B7939">
              <w:rPr>
                <w:rFonts w:ascii="ZWAdobeF" w:hAnsi="ZWAdobeF" w:cs="ZWAdobeF"/>
                <w:color w:val="auto"/>
                <w:sz w:val="2"/>
                <w:szCs w:val="2"/>
              </w:rPr>
              <w:t>129F</w:t>
            </w:r>
            <w:r w:rsidR="00D87E5B" w:rsidRPr="002B343F">
              <w:rPr>
                <w:rStyle w:val="FootnoteReference"/>
                <w:b/>
                <w:szCs w:val="18"/>
              </w:rPr>
              <w:footnoteReference w:id="121"/>
            </w:r>
          </w:p>
        </w:tc>
        <w:tc>
          <w:tcPr>
            <w:tcW w:w="2694" w:type="dxa"/>
          </w:tcPr>
          <w:p w14:paraId="472F80CF" w14:textId="4B400D27" w:rsidR="009E5EE1" w:rsidRPr="002B343F" w:rsidRDefault="00445113"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Obtain prescription, visit contracted provider</w:t>
            </w:r>
            <w:r w:rsidR="00030ECE" w:rsidRPr="002B343F">
              <w:rPr>
                <w:szCs w:val="18"/>
              </w:rPr>
              <w:t xml:space="preserve"> to obtain prosthesis. If non-contracted provider, pay</w:t>
            </w:r>
            <w:r w:rsidRPr="002B343F">
              <w:rPr>
                <w:szCs w:val="18"/>
              </w:rPr>
              <w:t xml:space="preserve"> upfront</w:t>
            </w:r>
            <w:r w:rsidR="00030ECE" w:rsidRPr="002B343F">
              <w:rPr>
                <w:szCs w:val="18"/>
              </w:rPr>
              <w:t>, claim</w:t>
            </w:r>
            <w:r w:rsidRPr="002B343F">
              <w:rPr>
                <w:szCs w:val="18"/>
              </w:rPr>
              <w:t xml:space="preserve"> reimbursement </w:t>
            </w:r>
            <w:r w:rsidR="007B7939">
              <w:rPr>
                <w:rFonts w:ascii="ZWAdobeF" w:hAnsi="ZWAdobeF" w:cs="ZWAdobeF"/>
                <w:color w:val="auto"/>
                <w:sz w:val="2"/>
                <w:szCs w:val="2"/>
              </w:rPr>
              <w:t>130F</w:t>
            </w:r>
            <w:r w:rsidR="00927649" w:rsidRPr="002B343F">
              <w:rPr>
                <w:rStyle w:val="FootnoteReference"/>
                <w:b/>
                <w:szCs w:val="18"/>
              </w:rPr>
              <w:footnoteReference w:id="122"/>
            </w:r>
          </w:p>
        </w:tc>
        <w:tc>
          <w:tcPr>
            <w:tcW w:w="2693" w:type="dxa"/>
          </w:tcPr>
          <w:p w14:paraId="046D65A3" w14:textId="734564DC" w:rsidR="009E5EE1" w:rsidRPr="002B343F" w:rsidRDefault="00D12403"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 xml:space="preserve">Purchase from supplier, </w:t>
            </w:r>
            <w:r w:rsidRPr="002B343F">
              <w:rPr>
                <w:szCs w:val="18"/>
              </w:rPr>
              <w:t>supplier or patient submits claim, subsidy</w:t>
            </w:r>
            <w:r w:rsidR="007B7939">
              <w:rPr>
                <w:rFonts w:ascii="ZWAdobeF" w:hAnsi="ZWAdobeF" w:cs="ZWAdobeF"/>
                <w:color w:val="auto"/>
                <w:sz w:val="2"/>
                <w:szCs w:val="2"/>
              </w:rPr>
              <w:t>131F</w:t>
            </w:r>
            <w:r w:rsidR="00927649" w:rsidRPr="002B343F">
              <w:rPr>
                <w:rStyle w:val="FootnoteReference"/>
                <w:b/>
                <w:szCs w:val="18"/>
              </w:rPr>
              <w:footnoteReference w:id="123"/>
            </w:r>
          </w:p>
        </w:tc>
        <w:tc>
          <w:tcPr>
            <w:tcW w:w="2694" w:type="dxa"/>
          </w:tcPr>
          <w:p w14:paraId="1188F41B" w14:textId="483B4801" w:rsidR="009E5EE1" w:rsidRPr="002B343F" w:rsidRDefault="00CB73F9"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2B343F">
              <w:t xml:space="preserve">Fitting arranged by breast care nurse at hospital or specialist clinic, prostheses provided </w:t>
            </w:r>
            <w:r w:rsidR="007B7939">
              <w:rPr>
                <w:rFonts w:ascii="ZWAdobeF" w:hAnsi="ZWAdobeF" w:cs="ZWAdobeF"/>
                <w:color w:val="auto"/>
                <w:sz w:val="2"/>
                <w:szCs w:val="2"/>
              </w:rPr>
              <w:t>132F</w:t>
            </w:r>
            <w:r w:rsidR="00D87E5B" w:rsidRPr="002B343F">
              <w:rPr>
                <w:rStyle w:val="FootnoteReference"/>
                <w:b/>
                <w:szCs w:val="18"/>
              </w:rPr>
              <w:footnoteReference w:id="124"/>
            </w:r>
          </w:p>
        </w:tc>
      </w:tr>
    </w:tbl>
    <w:p w14:paraId="4E3B9EE6" w14:textId="340C539F" w:rsidR="00E70316" w:rsidRPr="0040690B" w:rsidRDefault="00CB73F9" w:rsidP="008D3CA7">
      <w:pPr>
        <w:pStyle w:val="Caption-Source"/>
      </w:pPr>
      <w:r w:rsidRPr="00A441EF">
        <w:t xml:space="preserve">Source: </w:t>
      </w:r>
      <w:r w:rsidR="00120620" w:rsidRPr="00120620">
        <w:t>Independent reviewer</w:t>
      </w:r>
      <w:r w:rsidR="00584D02" w:rsidRPr="00A441EF">
        <w:t xml:space="preserve"> (</w:t>
      </w:r>
      <w:r w:rsidRPr="00A441EF">
        <w:t>2025</w:t>
      </w:r>
      <w:r w:rsidR="00584D02" w:rsidRPr="00A441EF">
        <w:t>)</w:t>
      </w:r>
    </w:p>
    <w:p w14:paraId="4BBF9379" w14:textId="77777777" w:rsidR="00E70316" w:rsidRPr="0040690B" w:rsidRDefault="00E70316" w:rsidP="0040690B"/>
    <w:p w14:paraId="13A5600A" w14:textId="77777777" w:rsidR="0040690B" w:rsidRPr="0040690B" w:rsidRDefault="0040690B" w:rsidP="0040690B">
      <w:pPr>
        <w:sectPr w:rsidR="0040690B" w:rsidRPr="0040690B" w:rsidSect="00E42C94">
          <w:pgSz w:w="16838" w:h="11906" w:orient="landscape"/>
          <w:pgMar w:top="1418" w:right="851" w:bottom="851" w:left="851" w:header="567" w:footer="283" w:gutter="0"/>
          <w:cols w:space="708"/>
          <w:docGrid w:linePitch="360"/>
        </w:sectPr>
      </w:pPr>
    </w:p>
    <w:p w14:paraId="458145A5" w14:textId="6C00E72F" w:rsidR="00927649" w:rsidRDefault="00927649" w:rsidP="008239ED">
      <w:pPr>
        <w:pStyle w:val="Heading2"/>
      </w:pPr>
      <w:bookmarkStart w:id="102" w:name="_Ref201924929"/>
      <w:bookmarkStart w:id="103" w:name="_Toc207348746"/>
      <w:r>
        <w:t xml:space="preserve">International </w:t>
      </w:r>
      <w:r w:rsidR="00B52118">
        <w:t>comparison</w:t>
      </w:r>
      <w:r>
        <w:t xml:space="preserve"> of limb prostheses </w:t>
      </w:r>
      <w:r w:rsidRPr="00E07324">
        <w:t>services, programs and schemes</w:t>
      </w:r>
      <w:bookmarkEnd w:id="102"/>
      <w:bookmarkEnd w:id="103"/>
    </w:p>
    <w:p w14:paraId="0211741B" w14:textId="5DB6DDDB" w:rsidR="003F2FB6" w:rsidRPr="0040690B" w:rsidRDefault="009867B3" w:rsidP="0040690B">
      <w:r w:rsidRPr="0040690B">
        <w:t xml:space="preserve">As outlined in Section </w:t>
      </w:r>
      <w:r w:rsidRPr="0040690B">
        <w:fldChar w:fldCharType="begin"/>
      </w:r>
      <w:r w:rsidRPr="0040690B">
        <w:instrText xml:space="preserve"> REF _Ref200453567 \n \h </w:instrText>
      </w:r>
      <w:r w:rsidR="0040690B">
        <w:instrText xml:space="preserve"> \* MERGEFORMAT </w:instrText>
      </w:r>
      <w:r w:rsidRPr="0040690B">
        <w:fldChar w:fldCharType="separate"/>
      </w:r>
      <w:r w:rsidR="00D955D8" w:rsidRPr="0040690B">
        <w:t>2.3</w:t>
      </w:r>
      <w:r w:rsidRPr="0040690B">
        <w:fldChar w:fldCharType="end"/>
      </w:r>
      <w:r w:rsidRPr="0040690B">
        <w:t xml:space="preserve">, the </w:t>
      </w:r>
      <w:r w:rsidR="00125518" w:rsidRPr="0040690B">
        <w:t xml:space="preserve">NDIS </w:t>
      </w:r>
      <w:r w:rsidR="001041BB" w:rsidRPr="0040690B">
        <w:t xml:space="preserve">is the </w:t>
      </w:r>
      <w:r w:rsidR="00000D8B" w:rsidRPr="0040690B">
        <w:t xml:space="preserve">primary </w:t>
      </w:r>
      <w:r w:rsidR="001041BB" w:rsidRPr="0040690B">
        <w:t>scheme through which</w:t>
      </w:r>
      <w:r w:rsidR="00000D8B" w:rsidRPr="0040690B">
        <w:t xml:space="preserve"> </w:t>
      </w:r>
      <w:r w:rsidRPr="0040690B">
        <w:t xml:space="preserve">limb prostheses </w:t>
      </w:r>
      <w:r w:rsidR="001041BB" w:rsidRPr="0040690B">
        <w:t xml:space="preserve">are accessed </w:t>
      </w:r>
      <w:r w:rsidR="00000D8B" w:rsidRPr="0040690B">
        <w:t xml:space="preserve">in Australia. However, due to the age eligibility criteria, people over the age of 65 are reliant on jurisdictional artificial limb schemes. </w:t>
      </w:r>
      <w:r w:rsidR="00B44ED7" w:rsidRPr="0040690B">
        <w:t xml:space="preserve">As a result, access to </w:t>
      </w:r>
      <w:r w:rsidR="000F191D" w:rsidRPr="0040690B">
        <w:t>limb prostheses, including</w:t>
      </w:r>
      <w:r w:rsidR="00C87E46" w:rsidRPr="0040690B">
        <w:t xml:space="preserve"> advanced component</w:t>
      </w:r>
      <w:r w:rsidR="000F191D" w:rsidRPr="0040690B">
        <w:t>ry and high-grade prostheses,</w:t>
      </w:r>
      <w:r w:rsidR="00C87E46" w:rsidRPr="0040690B">
        <w:t xml:space="preserve"> can vary significantly depending on an individual’s age</w:t>
      </w:r>
      <w:r w:rsidR="000F191D" w:rsidRPr="0040690B">
        <w:t xml:space="preserve"> and</w:t>
      </w:r>
      <w:r w:rsidR="00C87E46" w:rsidRPr="0040690B">
        <w:t xml:space="preserve"> location. </w:t>
      </w:r>
      <w:r w:rsidR="00E30498" w:rsidRPr="0040690B">
        <w:t xml:space="preserve">In contrast, Canada, the Netherlands, New Zealand, and the UK </w:t>
      </w:r>
      <w:r w:rsidR="00D805ED" w:rsidRPr="0040690B">
        <w:t xml:space="preserve">all </w:t>
      </w:r>
      <w:r w:rsidR="00D26C49" w:rsidRPr="0040690B">
        <w:t>employ either</w:t>
      </w:r>
      <w:r w:rsidR="00D805ED" w:rsidRPr="0040690B">
        <w:t xml:space="preserve"> nationally </w:t>
      </w:r>
      <w:r w:rsidR="00D26C49" w:rsidRPr="0040690B">
        <w:t xml:space="preserve">consistent </w:t>
      </w:r>
      <w:r w:rsidR="00D805ED" w:rsidRPr="0040690B">
        <w:t xml:space="preserve">or </w:t>
      </w:r>
      <w:r w:rsidR="001041BB" w:rsidRPr="0040690B">
        <w:t>province-based</w:t>
      </w:r>
      <w:r w:rsidR="00D26C49" w:rsidRPr="0040690B">
        <w:t xml:space="preserve"> </w:t>
      </w:r>
      <w:r w:rsidR="00D805ED" w:rsidRPr="0040690B">
        <w:t>systems</w:t>
      </w:r>
      <w:r w:rsidR="00D26C49" w:rsidRPr="0040690B">
        <w:t xml:space="preserve"> </w:t>
      </w:r>
      <w:r w:rsidR="001F4029" w:rsidRPr="0040690B">
        <w:t xml:space="preserve">with </w:t>
      </w:r>
      <w:r w:rsidR="00D805ED" w:rsidRPr="0040690B">
        <w:t>consistent eligibility based on residency, clinical need, or registration with th</w:t>
      </w:r>
      <w:r w:rsidR="00FB6B27" w:rsidRPr="0040690B">
        <w:t>eir respective</w:t>
      </w:r>
      <w:r w:rsidR="00D805ED" w:rsidRPr="0040690B">
        <w:t xml:space="preserve"> health service.</w:t>
      </w:r>
      <w:r w:rsidR="00C877E4" w:rsidRPr="0040690B">
        <w:t xml:space="preserve"> Details of each program are outlined in </w:t>
      </w:r>
      <w:r w:rsidR="00C877E4" w:rsidRPr="0040690B">
        <w:fldChar w:fldCharType="begin"/>
      </w:r>
      <w:r w:rsidR="00C877E4" w:rsidRPr="0040690B">
        <w:rPr>
          <w:highlight w:val="yellow"/>
        </w:rPr>
        <w:instrText xml:space="preserve"> REF _Ref200721986 \h </w:instrText>
      </w:r>
      <w:r w:rsidR="00655384" w:rsidRPr="0040690B">
        <w:rPr>
          <w:highlight w:val="yellow"/>
        </w:rPr>
        <w:instrText xml:space="preserve"> \* MERGEFORMAT </w:instrText>
      </w:r>
      <w:r w:rsidR="00C877E4" w:rsidRPr="0040690B">
        <w:fldChar w:fldCharType="separate"/>
      </w:r>
      <w:r w:rsidR="00D955D8" w:rsidRPr="0040690B">
        <w:t>Table 15</w:t>
      </w:r>
      <w:r w:rsidR="00C877E4" w:rsidRPr="0040690B">
        <w:fldChar w:fldCharType="end"/>
      </w:r>
      <w:r w:rsidR="00C877E4" w:rsidRPr="0040690B">
        <w:t>.</w:t>
      </w:r>
    </w:p>
    <w:p w14:paraId="7048FAA3" w14:textId="173A3763" w:rsidR="00B95C84" w:rsidRDefault="001E7E93" w:rsidP="0040690B">
      <w:r>
        <w:t xml:space="preserve">Canada </w:t>
      </w:r>
      <w:r w:rsidR="003D6165">
        <w:t xml:space="preserve">and the Netherlands </w:t>
      </w:r>
      <w:r w:rsidR="003119AD">
        <w:t xml:space="preserve">provide access to basic </w:t>
      </w:r>
      <w:r w:rsidR="003A1BDA">
        <w:t>limb prostheses</w:t>
      </w:r>
      <w:r w:rsidR="00785BBB">
        <w:t xml:space="preserve"> through their national </w:t>
      </w:r>
      <w:r w:rsidR="00655384">
        <w:t>program</w:t>
      </w:r>
      <w:r w:rsidR="00FD7E72">
        <w:t xml:space="preserve"> and</w:t>
      </w:r>
      <w:r w:rsidR="005342A7">
        <w:t xml:space="preserve"> are </w:t>
      </w:r>
      <w:r w:rsidR="00CF6C39">
        <w:t xml:space="preserve">more limited in their funding for advanced technologies compared to </w:t>
      </w:r>
      <w:r w:rsidR="00785BBB">
        <w:t>the</w:t>
      </w:r>
      <w:r w:rsidR="00CF6C39">
        <w:t xml:space="preserve"> NDIS</w:t>
      </w:r>
      <w:r w:rsidR="00785BBB">
        <w:t xml:space="preserve"> in </w:t>
      </w:r>
      <w:r w:rsidR="00CF6C39">
        <w:t>Australia,</w:t>
      </w:r>
      <w:r w:rsidR="00785BBB">
        <w:t xml:space="preserve"> as well as limb prostheses programs in</w:t>
      </w:r>
      <w:r w:rsidR="00CF6C39">
        <w:t xml:space="preserve"> New Zealand, and the UK. In Canada, some provinces partially fund </w:t>
      </w:r>
      <w:r w:rsidR="00655384">
        <w:t>microprocessor knees</w:t>
      </w:r>
      <w:r w:rsidR="00CF6C39">
        <w:t>.</w:t>
      </w:r>
      <w:r w:rsidR="007B7939">
        <w:rPr>
          <w:rFonts w:ascii="ZWAdobeF" w:hAnsi="ZWAdobeF" w:cs="ZWAdobeF"/>
          <w:color w:val="auto"/>
          <w:sz w:val="2"/>
          <w:szCs w:val="2"/>
        </w:rPr>
        <w:t>133F</w:t>
      </w:r>
      <w:r w:rsidR="00100719">
        <w:rPr>
          <w:rStyle w:val="FootnoteReference"/>
        </w:rPr>
        <w:footnoteReference w:id="125"/>
      </w:r>
      <w:r w:rsidR="00CF6C39">
        <w:t xml:space="preserve"> Similarly, in the Netherlands, </w:t>
      </w:r>
      <w:r w:rsidR="00655384">
        <w:t>microprocessor knees</w:t>
      </w:r>
      <w:r w:rsidR="00CF6C39">
        <w:t xml:space="preserve"> may be funded if deemed medically necessary, </w:t>
      </w:r>
      <w:r w:rsidR="001041BB">
        <w:t>however</w:t>
      </w:r>
      <w:r w:rsidR="00CF6C39">
        <w:t xml:space="preserve"> </w:t>
      </w:r>
      <w:r w:rsidR="00655384">
        <w:t xml:space="preserve">individuals </w:t>
      </w:r>
      <w:r w:rsidR="00CF6C39">
        <w:t xml:space="preserve">require approval </w:t>
      </w:r>
      <w:r w:rsidR="00655384">
        <w:t>by an insurer</w:t>
      </w:r>
      <w:r w:rsidR="00E8652F">
        <w:t>.</w:t>
      </w:r>
      <w:r w:rsidR="00AA3A16">
        <w:rPr>
          <w:rStyle w:val="FootnoteReference"/>
        </w:rPr>
        <w:footnoteReference w:id="126"/>
      </w:r>
      <w:r w:rsidR="007B7939">
        <w:rPr>
          <w:rFonts w:ascii="ZWAdobeF" w:hAnsi="ZWAdobeF" w:cs="ZWAdobeF"/>
          <w:color w:val="auto"/>
          <w:sz w:val="2"/>
          <w:szCs w:val="2"/>
        </w:rPr>
        <w:t>134F</w:t>
      </w:r>
      <w:r w:rsidR="00AA3A16" w:rsidRPr="00AA3A16">
        <w:rPr>
          <w:rFonts w:cstheme="minorHAnsi"/>
          <w:color w:val="auto"/>
          <w:szCs w:val="20"/>
          <w:vertAlign w:val="superscript"/>
        </w:rPr>
        <w:t>,</w:t>
      </w:r>
      <w:r w:rsidR="00100719">
        <w:rPr>
          <w:rStyle w:val="FootnoteReference"/>
        </w:rPr>
        <w:footnoteReference w:id="127"/>
      </w:r>
      <w:r w:rsidR="00E8652F">
        <w:t xml:space="preserve"> </w:t>
      </w:r>
      <w:r w:rsidR="00A87137">
        <w:t>Maintenance support is also limited, potentially affecting long-term d</w:t>
      </w:r>
      <w:r w:rsidR="00A87137" w:rsidRPr="009A4EB8">
        <w:t xml:space="preserve">evice use. </w:t>
      </w:r>
    </w:p>
    <w:p w14:paraId="58D646F6" w14:textId="5901D697" w:rsidR="00927649" w:rsidRDefault="001041BB" w:rsidP="0040690B">
      <w:r>
        <w:t>In contrast</w:t>
      </w:r>
      <w:r w:rsidR="0089426F">
        <w:t>, limb prostheses programs in</w:t>
      </w:r>
      <w:r w:rsidR="00FD7E72">
        <w:t xml:space="preserve"> </w:t>
      </w:r>
      <w:r w:rsidR="00A87137">
        <w:t>New Zealand and the UK</w:t>
      </w:r>
      <w:r w:rsidR="0015409C">
        <w:t xml:space="preserve"> fully fund </w:t>
      </w:r>
      <w:r w:rsidR="0089426F">
        <w:t>microprocessor knees</w:t>
      </w:r>
      <w:r w:rsidR="0015409C">
        <w:t xml:space="preserve"> for </w:t>
      </w:r>
      <w:r w:rsidR="0089426F">
        <w:t>individuals</w:t>
      </w:r>
      <w:r w:rsidR="0015409C">
        <w:t xml:space="preserve"> who meet clinical criteria. </w:t>
      </w:r>
      <w:r w:rsidR="00B55157">
        <w:t xml:space="preserve">This reflects both </w:t>
      </w:r>
      <w:r w:rsidR="00E87F75">
        <w:t>countries' health systems’</w:t>
      </w:r>
      <w:r>
        <w:t xml:space="preserve"> recognition of the long-term benefits associated with the advanced components of microprocessor knees,</w:t>
      </w:r>
      <w:r w:rsidR="00B55157">
        <w:t xml:space="preserve"> including reduced fall risk, fewer hospital admissions, improved mobility and better </w:t>
      </w:r>
      <w:r w:rsidR="000277BF">
        <w:t>downstream socioeconomic outcomes.</w:t>
      </w:r>
      <w:r w:rsidR="007B7939">
        <w:rPr>
          <w:rFonts w:ascii="ZWAdobeF" w:hAnsi="ZWAdobeF" w:cs="ZWAdobeF"/>
          <w:color w:val="auto"/>
          <w:sz w:val="2"/>
          <w:szCs w:val="2"/>
        </w:rPr>
        <w:t>135F</w:t>
      </w:r>
      <w:r w:rsidR="000277BF">
        <w:rPr>
          <w:rStyle w:val="FootnoteReference"/>
        </w:rPr>
        <w:footnoteReference w:id="128"/>
      </w:r>
      <w:r w:rsidR="000277BF">
        <w:t xml:space="preserve"> In addition to funding </w:t>
      </w:r>
      <w:r w:rsidR="0089426F">
        <w:t>microprocessor kne</w:t>
      </w:r>
      <w:r w:rsidR="00633D74">
        <w:t>e</w:t>
      </w:r>
      <w:r w:rsidR="0089426F">
        <w:t>s</w:t>
      </w:r>
      <w:r w:rsidR="000277BF">
        <w:t xml:space="preserve">, both New Zealand and the UK also fund support services, including repairs, rehabilitation, </w:t>
      </w:r>
      <w:r w:rsidR="000277BF" w:rsidRPr="009A4EB8">
        <w:t>and supplemen</w:t>
      </w:r>
      <w:r w:rsidR="000277BF">
        <w:t xml:space="preserve">tary accessories. </w:t>
      </w:r>
      <w:r w:rsidR="007B7939">
        <w:rPr>
          <w:rFonts w:ascii="ZWAdobeF" w:hAnsi="ZWAdobeF" w:cs="ZWAdobeF"/>
          <w:color w:val="auto"/>
          <w:sz w:val="2"/>
          <w:szCs w:val="2"/>
        </w:rPr>
        <w:t>136F</w:t>
      </w:r>
      <w:r w:rsidR="00584D44">
        <w:rPr>
          <w:rStyle w:val="FootnoteReference"/>
        </w:rPr>
        <w:footnoteReference w:id="129"/>
      </w:r>
      <w:r w:rsidR="00B55157">
        <w:t xml:space="preserve"> </w:t>
      </w:r>
    </w:p>
    <w:p w14:paraId="08A3697C" w14:textId="77777777" w:rsidR="009426FC" w:rsidRDefault="009426FC">
      <w:pPr>
        <w:spacing w:before="0" w:after="160" w:line="259" w:lineRule="auto"/>
        <w:sectPr w:rsidR="009426FC" w:rsidSect="00E42C94">
          <w:headerReference w:type="default" r:id="rId68"/>
          <w:pgSz w:w="11906" w:h="16838"/>
          <w:pgMar w:top="1418" w:right="851" w:bottom="1418" w:left="851" w:header="567" w:footer="284" w:gutter="0"/>
          <w:cols w:space="708"/>
          <w:docGrid w:linePitch="360"/>
        </w:sectPr>
      </w:pPr>
      <w:bookmarkStart w:id="104" w:name="_Ref200615844"/>
    </w:p>
    <w:p w14:paraId="78DF2CAB" w14:textId="2EB2152D" w:rsidR="009426FC" w:rsidRDefault="009426FC" w:rsidP="009426FC">
      <w:pPr>
        <w:pStyle w:val="Caption"/>
      </w:pPr>
      <w:bookmarkStart w:id="105" w:name="_Ref200721986"/>
      <w:bookmarkStart w:id="106" w:name="_Toc207348580"/>
      <w:r>
        <w:t xml:space="preserve">Table </w:t>
      </w:r>
      <w:r w:rsidR="00D955D8">
        <w:fldChar w:fldCharType="begin"/>
      </w:r>
      <w:r w:rsidR="00D955D8">
        <w:instrText xml:space="preserve"> SEQ Table \* ARABIC </w:instrText>
      </w:r>
      <w:r w:rsidR="00D955D8">
        <w:fldChar w:fldCharType="separate"/>
      </w:r>
      <w:r w:rsidR="00D955D8">
        <w:rPr>
          <w:noProof/>
        </w:rPr>
        <w:t>15</w:t>
      </w:r>
      <w:r w:rsidR="00D955D8">
        <w:rPr>
          <w:noProof/>
        </w:rPr>
        <w:fldChar w:fldCharType="end"/>
      </w:r>
      <w:bookmarkEnd w:id="105"/>
      <w:r>
        <w:t>: International comparison of limb prostheses programs and schemes</w:t>
      </w:r>
      <w:bookmarkEnd w:id="106"/>
    </w:p>
    <w:tbl>
      <w:tblPr>
        <w:tblStyle w:val="KPMGTable"/>
        <w:tblW w:w="15026" w:type="dxa"/>
        <w:tblLook w:val="04A0" w:firstRow="1" w:lastRow="0" w:firstColumn="1" w:lastColumn="0" w:noHBand="0" w:noVBand="1"/>
      </w:tblPr>
      <w:tblGrid>
        <w:gridCol w:w="1701"/>
        <w:gridCol w:w="2665"/>
        <w:gridCol w:w="2665"/>
        <w:gridCol w:w="2665"/>
        <w:gridCol w:w="2665"/>
        <w:gridCol w:w="2665"/>
      </w:tblGrid>
      <w:tr w:rsidR="00AD6F37" w:rsidRPr="007B154A" w14:paraId="36F066A5" w14:textId="77777777" w:rsidTr="00B51F70">
        <w:trPr>
          <w:cnfStyle w:val="100000000000" w:firstRow="1" w:lastRow="0" w:firstColumn="0" w:lastColumn="0" w:oddVBand="0" w:evenVBand="0" w:oddHBand="0"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1701" w:type="dxa"/>
          </w:tcPr>
          <w:p w14:paraId="24C18C84" w14:textId="77777777" w:rsidR="009426FC" w:rsidRDefault="009426FC" w:rsidP="00B51F70">
            <w:pPr>
              <w:pStyle w:val="TableHeading"/>
              <w:rPr>
                <w:b w:val="0"/>
                <w:color w:val="FFFFFF" w:themeColor="background1"/>
                <w:szCs w:val="18"/>
              </w:rPr>
            </w:pPr>
            <w:r>
              <w:t>Program details</w:t>
            </w:r>
          </w:p>
        </w:tc>
        <w:tc>
          <w:tcPr>
            <w:tcW w:w="2665" w:type="dxa"/>
          </w:tcPr>
          <w:p w14:paraId="3038691D" w14:textId="77777777" w:rsidR="009426FC" w:rsidRPr="00C10C27" w:rsidRDefault="009426FC" w:rsidP="00B51F7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t>Australia</w:t>
            </w:r>
          </w:p>
        </w:tc>
        <w:tc>
          <w:tcPr>
            <w:tcW w:w="2665" w:type="dxa"/>
          </w:tcPr>
          <w:p w14:paraId="7F254A1C" w14:textId="77777777" w:rsidR="009426FC" w:rsidRPr="00C10C27" w:rsidRDefault="009426FC" w:rsidP="00B51F7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t>Canada</w:t>
            </w:r>
          </w:p>
        </w:tc>
        <w:tc>
          <w:tcPr>
            <w:tcW w:w="2665" w:type="dxa"/>
          </w:tcPr>
          <w:p w14:paraId="54990670" w14:textId="77777777" w:rsidR="009426FC" w:rsidRPr="00C10C27" w:rsidRDefault="009426FC" w:rsidP="00B51F7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t>Netherlands</w:t>
            </w:r>
          </w:p>
        </w:tc>
        <w:tc>
          <w:tcPr>
            <w:tcW w:w="2665" w:type="dxa"/>
          </w:tcPr>
          <w:p w14:paraId="0D98D0AE" w14:textId="77777777" w:rsidR="009426FC" w:rsidRPr="00C10C27" w:rsidRDefault="009426FC" w:rsidP="00B51F7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t>New Zealand</w:t>
            </w:r>
          </w:p>
        </w:tc>
        <w:tc>
          <w:tcPr>
            <w:tcW w:w="2665" w:type="dxa"/>
          </w:tcPr>
          <w:p w14:paraId="6909C5A6" w14:textId="77777777" w:rsidR="009426FC" w:rsidRPr="00C10C27" w:rsidRDefault="009426FC" w:rsidP="00B51F7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t>UK</w:t>
            </w:r>
          </w:p>
        </w:tc>
      </w:tr>
      <w:tr w:rsidR="00AE1E92" w:rsidRPr="001B05CB" w14:paraId="429BAE7F" w14:textId="77777777" w:rsidTr="00B51F70">
        <w:trPr>
          <w:trHeight w:val="516"/>
        </w:trPr>
        <w:tc>
          <w:tcPr>
            <w:cnfStyle w:val="001000000000" w:firstRow="0" w:lastRow="0" w:firstColumn="1" w:lastColumn="0" w:oddVBand="0" w:evenVBand="0" w:oddHBand="0" w:evenHBand="0" w:firstRowFirstColumn="0" w:firstRowLastColumn="0" w:lastRowFirstColumn="0" w:lastRowLastColumn="0"/>
            <w:tcW w:w="1701" w:type="dxa"/>
          </w:tcPr>
          <w:p w14:paraId="3F9E8CA7" w14:textId="77777777" w:rsidR="009426FC" w:rsidRPr="00C10C27" w:rsidRDefault="009426FC" w:rsidP="00B51F70">
            <w:pPr>
              <w:pStyle w:val="Tabletextbold"/>
              <w:rPr>
                <w:szCs w:val="18"/>
              </w:rPr>
            </w:pPr>
            <w:r w:rsidRPr="002C6677">
              <w:t>Program</w:t>
            </w:r>
            <w:r>
              <w:rPr>
                <w:szCs w:val="18"/>
              </w:rPr>
              <w:t xml:space="preserve"> / s</w:t>
            </w:r>
            <w:r w:rsidRPr="002C6677">
              <w:rPr>
                <w:szCs w:val="18"/>
              </w:rPr>
              <w:t xml:space="preserve">cheme </w:t>
            </w:r>
            <w:r>
              <w:rPr>
                <w:szCs w:val="18"/>
              </w:rPr>
              <w:t>n</w:t>
            </w:r>
            <w:r w:rsidRPr="002C6677">
              <w:rPr>
                <w:szCs w:val="18"/>
              </w:rPr>
              <w:t>ame</w:t>
            </w:r>
          </w:p>
        </w:tc>
        <w:tc>
          <w:tcPr>
            <w:tcW w:w="2665" w:type="dxa"/>
          </w:tcPr>
          <w:p w14:paraId="4086ABCC" w14:textId="53BDFFED" w:rsidR="009426FC" w:rsidRPr="00E9562A" w:rsidRDefault="00074CF5"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t>NDIS</w:t>
            </w:r>
            <w:r w:rsidR="00A11CED">
              <w:rPr>
                <w:szCs w:val="18"/>
              </w:rPr>
              <w:t xml:space="preserve"> and state-based </w:t>
            </w:r>
            <w:r w:rsidR="007965AC">
              <w:rPr>
                <w:szCs w:val="18"/>
              </w:rPr>
              <w:t xml:space="preserve">limb </w:t>
            </w:r>
            <w:r w:rsidR="00A11CED">
              <w:rPr>
                <w:szCs w:val="18"/>
              </w:rPr>
              <w:t>schemes</w:t>
            </w:r>
          </w:p>
        </w:tc>
        <w:tc>
          <w:tcPr>
            <w:tcW w:w="2665" w:type="dxa"/>
          </w:tcPr>
          <w:p w14:paraId="097995BE" w14:textId="71E61A2C" w:rsidR="009426FC" w:rsidRPr="00E9562A" w:rsidRDefault="009426FC"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D2052F">
              <w:t xml:space="preserve">Provincial programs </w:t>
            </w:r>
          </w:p>
        </w:tc>
        <w:tc>
          <w:tcPr>
            <w:tcW w:w="2665" w:type="dxa"/>
          </w:tcPr>
          <w:p w14:paraId="18724B54" w14:textId="77777777" w:rsidR="009426FC" w:rsidRPr="00E9562A" w:rsidRDefault="009426FC"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B007EF">
              <w:t>Basic Health Insurance</w:t>
            </w:r>
          </w:p>
        </w:tc>
        <w:tc>
          <w:tcPr>
            <w:tcW w:w="2665" w:type="dxa"/>
          </w:tcPr>
          <w:p w14:paraId="73C09CEB" w14:textId="3E70FB87" w:rsidR="009426FC" w:rsidRPr="00E9562A" w:rsidRDefault="004804D9"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4804D9">
              <w:t xml:space="preserve">Peke </w:t>
            </w:r>
            <w:proofErr w:type="spellStart"/>
            <w:r w:rsidRPr="004804D9">
              <w:t>Waihanga</w:t>
            </w:r>
            <w:proofErr w:type="spellEnd"/>
            <w:r w:rsidRPr="004804D9">
              <w:t xml:space="preserve"> Artificial Limb Service</w:t>
            </w:r>
          </w:p>
        </w:tc>
        <w:tc>
          <w:tcPr>
            <w:tcW w:w="2665" w:type="dxa"/>
          </w:tcPr>
          <w:p w14:paraId="1DCFA939" w14:textId="03F93432" w:rsidR="009426FC" w:rsidRPr="00E9562A" w:rsidRDefault="00D87E5B"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E22804">
              <w:t xml:space="preserve">NHS </w:t>
            </w:r>
            <w:r w:rsidR="00B96B00">
              <w:rPr>
                <w:szCs w:val="18"/>
              </w:rPr>
              <w:t>Prosthetic Limb Service</w:t>
            </w:r>
          </w:p>
        </w:tc>
      </w:tr>
      <w:tr w:rsidR="00AE1E92" w:rsidRPr="00FA30FA" w14:paraId="5D050258" w14:textId="77777777" w:rsidTr="00886FA3">
        <w:trPr>
          <w:trHeight w:val="200"/>
        </w:trPr>
        <w:tc>
          <w:tcPr>
            <w:cnfStyle w:val="001000000000" w:firstRow="0" w:lastRow="0" w:firstColumn="1" w:lastColumn="0" w:oddVBand="0" w:evenVBand="0" w:oddHBand="0" w:evenHBand="0" w:firstRowFirstColumn="0" w:firstRowLastColumn="0" w:lastRowFirstColumn="0" w:lastRowLastColumn="0"/>
            <w:tcW w:w="1701" w:type="dxa"/>
          </w:tcPr>
          <w:p w14:paraId="69822037" w14:textId="455E95F4" w:rsidR="009426FC" w:rsidRPr="00C10C27" w:rsidRDefault="009426FC" w:rsidP="00B51F70">
            <w:pPr>
              <w:pStyle w:val="Tabletextbold"/>
              <w:rPr>
                <w:szCs w:val="18"/>
              </w:rPr>
            </w:pPr>
            <w:r w:rsidRPr="002C6677">
              <w:t>National</w:t>
            </w:r>
            <w:r>
              <w:rPr>
                <w:szCs w:val="18"/>
              </w:rPr>
              <w:t xml:space="preserve"> or r</w:t>
            </w:r>
            <w:r w:rsidRPr="002C6677">
              <w:rPr>
                <w:szCs w:val="18"/>
              </w:rPr>
              <w:t>egional</w:t>
            </w:r>
            <w:r w:rsidR="009E6B05">
              <w:rPr>
                <w:szCs w:val="18"/>
              </w:rPr>
              <w:t xml:space="preserve"> model</w:t>
            </w:r>
          </w:p>
        </w:tc>
        <w:tc>
          <w:tcPr>
            <w:tcW w:w="2665" w:type="dxa"/>
          </w:tcPr>
          <w:p w14:paraId="401AD544" w14:textId="41312F39" w:rsidR="009426FC" w:rsidRPr="00E9562A" w:rsidRDefault="00A11CED"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t xml:space="preserve">Mixed </w:t>
            </w:r>
          </w:p>
        </w:tc>
        <w:tc>
          <w:tcPr>
            <w:tcW w:w="2665" w:type="dxa"/>
          </w:tcPr>
          <w:p w14:paraId="60747222" w14:textId="1D0545FC" w:rsidR="009426FC" w:rsidRPr="00E9562A" w:rsidRDefault="009426FC"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t>Regional</w:t>
            </w:r>
            <w:r w:rsidR="005C6475">
              <w:rPr>
                <w:szCs w:val="18"/>
              </w:rPr>
              <w:t xml:space="preserve"> (provincial)</w:t>
            </w:r>
          </w:p>
        </w:tc>
        <w:tc>
          <w:tcPr>
            <w:tcW w:w="2665" w:type="dxa"/>
          </w:tcPr>
          <w:p w14:paraId="6E4B79C9" w14:textId="77777777" w:rsidR="009426FC" w:rsidRPr="00E9562A" w:rsidRDefault="009426FC"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t>National</w:t>
            </w:r>
          </w:p>
        </w:tc>
        <w:tc>
          <w:tcPr>
            <w:tcW w:w="2665" w:type="dxa"/>
          </w:tcPr>
          <w:p w14:paraId="608C0263" w14:textId="77777777" w:rsidR="009426FC" w:rsidRPr="00E9562A" w:rsidRDefault="009426FC"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t>National</w:t>
            </w:r>
          </w:p>
        </w:tc>
        <w:tc>
          <w:tcPr>
            <w:tcW w:w="2665" w:type="dxa"/>
          </w:tcPr>
          <w:p w14:paraId="3CD1F085" w14:textId="77777777" w:rsidR="009426FC" w:rsidRPr="00E9562A" w:rsidRDefault="009426FC"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t>National</w:t>
            </w:r>
          </w:p>
        </w:tc>
      </w:tr>
      <w:tr w:rsidR="00AE1E92" w:rsidRPr="00FA30FA" w14:paraId="0B5B7E05" w14:textId="77777777" w:rsidTr="00886FA3">
        <w:trPr>
          <w:trHeight w:val="660"/>
        </w:trPr>
        <w:tc>
          <w:tcPr>
            <w:cnfStyle w:val="001000000000" w:firstRow="0" w:lastRow="0" w:firstColumn="1" w:lastColumn="0" w:oddVBand="0" w:evenVBand="0" w:oddHBand="0" w:evenHBand="0" w:firstRowFirstColumn="0" w:firstRowLastColumn="0" w:lastRowFirstColumn="0" w:lastRowLastColumn="0"/>
            <w:tcW w:w="1701" w:type="dxa"/>
          </w:tcPr>
          <w:p w14:paraId="2437D69E" w14:textId="77777777" w:rsidR="009426FC" w:rsidRPr="000A4D7E" w:rsidRDefault="009426FC" w:rsidP="00B51F70">
            <w:pPr>
              <w:pStyle w:val="Tabletextbold"/>
              <w:rPr>
                <w:szCs w:val="18"/>
              </w:rPr>
            </w:pPr>
            <w:r>
              <w:t>Eligibility criteria</w:t>
            </w:r>
          </w:p>
        </w:tc>
        <w:tc>
          <w:tcPr>
            <w:tcW w:w="2665" w:type="dxa"/>
          </w:tcPr>
          <w:p w14:paraId="1A008A15" w14:textId="428D9D1D" w:rsidR="00DF5D83" w:rsidRDefault="00DF5D83"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DF5D83">
              <w:t xml:space="preserve">NDIS: </w:t>
            </w:r>
            <w:r w:rsidRPr="00DF5D83">
              <w:rPr>
                <w:szCs w:val="18"/>
              </w:rPr>
              <w:t>Under 65</w:t>
            </w:r>
            <w:r>
              <w:rPr>
                <w:szCs w:val="18"/>
              </w:rPr>
              <w:t xml:space="preserve"> years</w:t>
            </w:r>
            <w:r w:rsidRPr="00DF5D83">
              <w:rPr>
                <w:szCs w:val="18"/>
              </w:rPr>
              <w:t>, permanent disability</w:t>
            </w:r>
          </w:p>
          <w:p w14:paraId="0D312D6A" w14:textId="4D4882AD" w:rsidR="009426FC" w:rsidRPr="00C10C27" w:rsidRDefault="00DF5D83"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DF5D83">
              <w:t>State</w:t>
            </w:r>
            <w:r>
              <w:rPr>
                <w:szCs w:val="18"/>
              </w:rPr>
              <w:t xml:space="preserve"> schemes</w:t>
            </w:r>
            <w:r w:rsidRPr="00DF5D83">
              <w:rPr>
                <w:szCs w:val="18"/>
              </w:rPr>
              <w:t>: Over 65</w:t>
            </w:r>
            <w:r>
              <w:rPr>
                <w:szCs w:val="18"/>
              </w:rPr>
              <w:t xml:space="preserve"> years</w:t>
            </w:r>
            <w:r w:rsidRPr="00DF5D83">
              <w:rPr>
                <w:szCs w:val="18"/>
              </w:rPr>
              <w:t>, residency, Medicare, rehab completion</w:t>
            </w:r>
          </w:p>
        </w:tc>
        <w:tc>
          <w:tcPr>
            <w:tcW w:w="2665" w:type="dxa"/>
          </w:tcPr>
          <w:p w14:paraId="32A7EFF5" w14:textId="29C9E31F" w:rsidR="009426FC" w:rsidRPr="00C10C27" w:rsidRDefault="003F2AD3"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3F2AD3">
              <w:t>Provincial residency, medical prescription, amputation at</w:t>
            </w:r>
            <w:r>
              <w:rPr>
                <w:szCs w:val="18"/>
              </w:rPr>
              <w:t xml:space="preserve"> or </w:t>
            </w:r>
            <w:r w:rsidRPr="003F2AD3">
              <w:rPr>
                <w:szCs w:val="18"/>
              </w:rPr>
              <w:t>above trans-metatarsal</w:t>
            </w:r>
            <w:r>
              <w:rPr>
                <w:szCs w:val="18"/>
              </w:rPr>
              <w:t xml:space="preserve"> </w:t>
            </w:r>
            <w:r w:rsidRPr="003F2AD3">
              <w:rPr>
                <w:szCs w:val="18"/>
              </w:rPr>
              <w:t>/</w:t>
            </w:r>
            <w:r>
              <w:rPr>
                <w:szCs w:val="18"/>
              </w:rPr>
              <w:t xml:space="preserve"> </w:t>
            </w:r>
            <w:r w:rsidRPr="003F2AD3">
              <w:rPr>
                <w:szCs w:val="18"/>
              </w:rPr>
              <w:t>carpal</w:t>
            </w:r>
          </w:p>
        </w:tc>
        <w:tc>
          <w:tcPr>
            <w:tcW w:w="2665" w:type="dxa"/>
          </w:tcPr>
          <w:p w14:paraId="6FAD6989" w14:textId="38826CC0" w:rsidR="009426FC" w:rsidRPr="00C10C27" w:rsidRDefault="009426FC"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C20A89">
              <w:t xml:space="preserve">Requires a prescription from a general practitioner or </w:t>
            </w:r>
            <w:r w:rsidR="00BE68F9">
              <w:rPr>
                <w:szCs w:val="18"/>
              </w:rPr>
              <w:t>specialist,</w:t>
            </w:r>
            <w:r w:rsidRPr="00C20A89">
              <w:rPr>
                <w:szCs w:val="18"/>
              </w:rPr>
              <w:t xml:space="preserve"> insured under the statutory health insurance scheme.</w:t>
            </w:r>
          </w:p>
        </w:tc>
        <w:tc>
          <w:tcPr>
            <w:tcW w:w="2665" w:type="dxa"/>
          </w:tcPr>
          <w:p w14:paraId="6AB69D4F" w14:textId="33EC8001" w:rsidR="009426FC" w:rsidRPr="00C10C27" w:rsidRDefault="00510C9F"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510C9F">
              <w:t>NZ residency, medical referral, congenital limb deficiency or amputation</w:t>
            </w:r>
          </w:p>
        </w:tc>
        <w:tc>
          <w:tcPr>
            <w:tcW w:w="2665" w:type="dxa"/>
          </w:tcPr>
          <w:p w14:paraId="60467DF8" w14:textId="227562A0" w:rsidR="009426FC" w:rsidRPr="00C10C27" w:rsidRDefault="00D87E5B"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t>M</w:t>
            </w:r>
            <w:r w:rsidRPr="008E6C5C">
              <w:rPr>
                <w:szCs w:val="18"/>
              </w:rPr>
              <w:t>ust be registered with the NHS</w:t>
            </w:r>
            <w:r w:rsidR="00DC499A">
              <w:rPr>
                <w:szCs w:val="18"/>
              </w:rPr>
              <w:t>, have an</w:t>
            </w:r>
            <w:r w:rsidRPr="008E6C5C">
              <w:rPr>
                <w:szCs w:val="18"/>
              </w:rPr>
              <w:t xml:space="preserve"> </w:t>
            </w:r>
            <w:r w:rsidR="00DC499A" w:rsidRPr="00DC499A">
              <w:rPr>
                <w:szCs w:val="18"/>
              </w:rPr>
              <w:t>amputation/</w:t>
            </w:r>
            <w:r w:rsidR="00DC499A">
              <w:rPr>
                <w:szCs w:val="18"/>
              </w:rPr>
              <w:t xml:space="preserve"> </w:t>
            </w:r>
            <w:r w:rsidR="00DC499A" w:rsidRPr="00DC499A">
              <w:rPr>
                <w:szCs w:val="18"/>
              </w:rPr>
              <w:t>congenital limb deficiency</w:t>
            </w:r>
            <w:r w:rsidR="00DC499A">
              <w:rPr>
                <w:szCs w:val="18"/>
              </w:rPr>
              <w:t xml:space="preserve"> and </w:t>
            </w:r>
            <w:r w:rsidR="00DC499A" w:rsidRPr="00DC499A">
              <w:rPr>
                <w:szCs w:val="18"/>
              </w:rPr>
              <w:t>clinical referral</w:t>
            </w:r>
          </w:p>
        </w:tc>
      </w:tr>
      <w:tr w:rsidR="00AE1E92" w:rsidRPr="00FA30FA" w14:paraId="0DF48390" w14:textId="77777777" w:rsidTr="00886FA3">
        <w:trPr>
          <w:trHeight w:val="1698"/>
        </w:trPr>
        <w:tc>
          <w:tcPr>
            <w:cnfStyle w:val="001000000000" w:firstRow="0" w:lastRow="0" w:firstColumn="1" w:lastColumn="0" w:oddVBand="0" w:evenVBand="0" w:oddHBand="0" w:evenHBand="0" w:firstRowFirstColumn="0" w:firstRowLastColumn="0" w:lastRowFirstColumn="0" w:lastRowLastColumn="0"/>
            <w:tcW w:w="1701" w:type="dxa"/>
          </w:tcPr>
          <w:p w14:paraId="4FFE4102" w14:textId="77777777" w:rsidR="009426FC" w:rsidRPr="00C10C27" w:rsidRDefault="009426FC" w:rsidP="00B51F70">
            <w:pPr>
              <w:pStyle w:val="Tabletextbold"/>
              <w:rPr>
                <w:szCs w:val="18"/>
              </w:rPr>
            </w:pPr>
            <w:r w:rsidRPr="000A4D7E">
              <w:t>Products</w:t>
            </w:r>
            <w:r>
              <w:rPr>
                <w:szCs w:val="18"/>
              </w:rPr>
              <w:t xml:space="preserve"> and s</w:t>
            </w:r>
            <w:r w:rsidRPr="000A4D7E">
              <w:rPr>
                <w:szCs w:val="18"/>
              </w:rPr>
              <w:t xml:space="preserve">ervices </w:t>
            </w:r>
            <w:r>
              <w:rPr>
                <w:szCs w:val="18"/>
              </w:rPr>
              <w:t>i</w:t>
            </w:r>
            <w:r w:rsidRPr="000A4D7E">
              <w:rPr>
                <w:szCs w:val="18"/>
              </w:rPr>
              <w:t>ncluded</w:t>
            </w:r>
          </w:p>
        </w:tc>
        <w:tc>
          <w:tcPr>
            <w:tcW w:w="2665" w:type="dxa"/>
          </w:tcPr>
          <w:p w14:paraId="65133FB3" w14:textId="389F963A" w:rsidR="00CB03E6" w:rsidRDefault="00CB03E6"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CB03E6">
              <w:t>Prostheses (interim</w:t>
            </w:r>
            <w:r w:rsidR="00616616">
              <w:rPr>
                <w:szCs w:val="18"/>
              </w:rPr>
              <w:t xml:space="preserve"> and </w:t>
            </w:r>
            <w:r w:rsidRPr="00CB03E6">
              <w:rPr>
                <w:szCs w:val="18"/>
              </w:rPr>
              <w:t>definitive)</w:t>
            </w:r>
          </w:p>
          <w:p w14:paraId="31F47D62" w14:textId="03B465F4" w:rsidR="00CB03E6" w:rsidRDefault="00616616"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t>Advanced limbs available through NDIS and some state schemes</w:t>
            </w:r>
          </w:p>
          <w:p w14:paraId="0B7ADFDD" w14:textId="77777777" w:rsidR="003F2AD3" w:rsidRDefault="003F2AD3"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t>R</w:t>
            </w:r>
            <w:r w:rsidRPr="00CB03E6">
              <w:rPr>
                <w:szCs w:val="18"/>
              </w:rPr>
              <w:t>epairs</w:t>
            </w:r>
            <w:r>
              <w:rPr>
                <w:szCs w:val="18"/>
              </w:rPr>
              <w:t xml:space="preserve"> and </w:t>
            </w:r>
            <w:r w:rsidRPr="00CB03E6">
              <w:rPr>
                <w:szCs w:val="18"/>
              </w:rPr>
              <w:t>maintenance</w:t>
            </w:r>
          </w:p>
          <w:p w14:paraId="6905827F" w14:textId="74470014" w:rsidR="009426FC" w:rsidRPr="00C10C27" w:rsidRDefault="003F2AD3"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t>Accessories (e.g., s</w:t>
            </w:r>
            <w:r w:rsidRPr="00CB03E6">
              <w:rPr>
                <w:szCs w:val="18"/>
              </w:rPr>
              <w:t>ocks</w:t>
            </w:r>
            <w:r>
              <w:rPr>
                <w:szCs w:val="18"/>
              </w:rPr>
              <w:t>)</w:t>
            </w:r>
          </w:p>
        </w:tc>
        <w:tc>
          <w:tcPr>
            <w:tcW w:w="2665" w:type="dxa"/>
          </w:tcPr>
          <w:p w14:paraId="14E5E863" w14:textId="77777777" w:rsidR="009E1E10" w:rsidRDefault="009E1E10"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E1E10">
              <w:t>Conventional</w:t>
            </w:r>
            <w:r>
              <w:rPr>
                <w:szCs w:val="18"/>
              </w:rPr>
              <w:t xml:space="preserve"> </w:t>
            </w:r>
            <w:r w:rsidRPr="009E1E10">
              <w:rPr>
                <w:szCs w:val="18"/>
              </w:rPr>
              <w:t>/</w:t>
            </w:r>
            <w:r>
              <w:rPr>
                <w:szCs w:val="18"/>
              </w:rPr>
              <w:t xml:space="preserve"> </w:t>
            </w:r>
            <w:r w:rsidRPr="009E1E10">
              <w:rPr>
                <w:szCs w:val="18"/>
              </w:rPr>
              <w:t>externally powered prostheses</w:t>
            </w:r>
          </w:p>
          <w:p w14:paraId="612FA77A" w14:textId="5AE9DA5A" w:rsidR="003F2AD3" w:rsidRDefault="003F2AD3"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3F2AD3">
              <w:t xml:space="preserve">Some provinces partially fund </w:t>
            </w:r>
            <w:r w:rsidR="00A441EF">
              <w:rPr>
                <w:szCs w:val="18"/>
              </w:rPr>
              <w:t>high-grade prostheses</w:t>
            </w:r>
          </w:p>
          <w:p w14:paraId="2C54DABB" w14:textId="77777777" w:rsidR="009E1E10" w:rsidRDefault="009E1E10"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t>S</w:t>
            </w:r>
            <w:r w:rsidRPr="009E1E10">
              <w:rPr>
                <w:szCs w:val="18"/>
              </w:rPr>
              <w:t>ockets</w:t>
            </w:r>
            <w:r>
              <w:rPr>
                <w:szCs w:val="18"/>
              </w:rPr>
              <w:t xml:space="preserve"> and</w:t>
            </w:r>
            <w:r w:rsidRPr="009E1E10">
              <w:rPr>
                <w:szCs w:val="18"/>
              </w:rPr>
              <w:t xml:space="preserve"> components</w:t>
            </w:r>
          </w:p>
          <w:p w14:paraId="3984E8F0" w14:textId="4E5809FB" w:rsidR="009426FC" w:rsidRPr="00D62438" w:rsidRDefault="009E1E10"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t>R</w:t>
            </w:r>
            <w:r w:rsidRPr="009E1E10">
              <w:rPr>
                <w:szCs w:val="18"/>
              </w:rPr>
              <w:t>epairs</w:t>
            </w:r>
          </w:p>
        </w:tc>
        <w:tc>
          <w:tcPr>
            <w:tcW w:w="2665" w:type="dxa"/>
          </w:tcPr>
          <w:p w14:paraId="578CA829" w14:textId="77777777" w:rsidR="00AC17F6" w:rsidRDefault="00AC17F6"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AC17F6">
              <w:t>Basic prostheses</w:t>
            </w:r>
          </w:p>
          <w:p w14:paraId="6471D0D8" w14:textId="1AC3510F" w:rsidR="00BE68F9" w:rsidRDefault="00A441EF"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t>High-grade prostheses</w:t>
            </w:r>
            <w:r w:rsidR="00BE68F9" w:rsidRPr="00BE68F9">
              <w:rPr>
                <w:szCs w:val="18"/>
              </w:rPr>
              <w:t xml:space="preserve"> can be funded if clinically justified, subject to insurer approval and medical necessity</w:t>
            </w:r>
          </w:p>
          <w:p w14:paraId="744F0B18" w14:textId="77777777" w:rsidR="00AC17F6" w:rsidRDefault="00AC17F6"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t>O</w:t>
            </w:r>
            <w:r w:rsidRPr="00AC17F6">
              <w:rPr>
                <w:szCs w:val="18"/>
              </w:rPr>
              <w:t>sseointegration</w:t>
            </w:r>
          </w:p>
          <w:p w14:paraId="1783E07B" w14:textId="0AA5DEEF" w:rsidR="009426FC" w:rsidRPr="00C10C27" w:rsidRDefault="00AC17F6"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t>L</w:t>
            </w:r>
            <w:r w:rsidRPr="00AC17F6">
              <w:rPr>
                <w:szCs w:val="18"/>
              </w:rPr>
              <w:t>imited maintenance</w:t>
            </w:r>
          </w:p>
        </w:tc>
        <w:tc>
          <w:tcPr>
            <w:tcW w:w="2665" w:type="dxa"/>
          </w:tcPr>
          <w:p w14:paraId="565EE791" w14:textId="77777777" w:rsidR="004804D9" w:rsidRDefault="004804D9"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4804D9">
              <w:t>Prostheses</w:t>
            </w:r>
          </w:p>
          <w:p w14:paraId="550785BB" w14:textId="77777777" w:rsidR="004804D9" w:rsidRDefault="004804D9"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t>R</w:t>
            </w:r>
            <w:r w:rsidRPr="004804D9">
              <w:rPr>
                <w:szCs w:val="18"/>
              </w:rPr>
              <w:t>epairs</w:t>
            </w:r>
          </w:p>
          <w:p w14:paraId="607433BE" w14:textId="77777777" w:rsidR="004804D9" w:rsidRDefault="004804D9"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t>S</w:t>
            </w:r>
            <w:r w:rsidRPr="004804D9">
              <w:rPr>
                <w:szCs w:val="18"/>
              </w:rPr>
              <w:t>tump socks</w:t>
            </w:r>
          </w:p>
          <w:p w14:paraId="1F3073DF" w14:textId="308206D7" w:rsidR="009426FC" w:rsidRPr="00C10C27" w:rsidRDefault="004804D9"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t>S</w:t>
            </w:r>
            <w:r w:rsidRPr="004804D9">
              <w:rPr>
                <w:szCs w:val="18"/>
              </w:rPr>
              <w:t xml:space="preserve">ports limbs </w:t>
            </w:r>
            <w:r w:rsidR="00642C76">
              <w:rPr>
                <w:szCs w:val="18"/>
              </w:rPr>
              <w:t xml:space="preserve">and </w:t>
            </w:r>
            <w:r w:rsidR="00A441EF">
              <w:rPr>
                <w:szCs w:val="18"/>
              </w:rPr>
              <w:t>high-grade prostheses</w:t>
            </w:r>
            <w:r w:rsidR="00642C76">
              <w:rPr>
                <w:szCs w:val="18"/>
              </w:rPr>
              <w:t xml:space="preserve"> available subject to clinical review and funding limits</w:t>
            </w:r>
          </w:p>
        </w:tc>
        <w:tc>
          <w:tcPr>
            <w:tcW w:w="2665" w:type="dxa"/>
          </w:tcPr>
          <w:p w14:paraId="67015D25" w14:textId="77777777" w:rsidR="00F27A2C" w:rsidRDefault="00F27A2C"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F27A2C">
              <w:t>Prostheses (custom)</w:t>
            </w:r>
          </w:p>
          <w:p w14:paraId="1055D160" w14:textId="0DFF6A49" w:rsidR="00F27A2C" w:rsidRDefault="00F27A2C"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F27A2C">
              <w:t xml:space="preserve">Advanced limbs </w:t>
            </w:r>
            <w:r>
              <w:rPr>
                <w:szCs w:val="18"/>
              </w:rPr>
              <w:t>funded by NHS for eligible users</w:t>
            </w:r>
          </w:p>
          <w:p w14:paraId="4E5D697D" w14:textId="77777777" w:rsidR="00F27A2C" w:rsidRDefault="00F27A2C"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t>R</w:t>
            </w:r>
            <w:r w:rsidRPr="00F27A2C">
              <w:rPr>
                <w:szCs w:val="18"/>
              </w:rPr>
              <w:t>epairs</w:t>
            </w:r>
          </w:p>
          <w:p w14:paraId="402D7E4C" w14:textId="77777777" w:rsidR="00F27A2C" w:rsidRDefault="00F27A2C"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t>A</w:t>
            </w:r>
            <w:r w:rsidRPr="00F27A2C">
              <w:rPr>
                <w:szCs w:val="18"/>
              </w:rPr>
              <w:t>ccessories</w:t>
            </w:r>
          </w:p>
          <w:p w14:paraId="39D726B3" w14:textId="1888017E" w:rsidR="009426FC" w:rsidRPr="00927649" w:rsidRDefault="00F27A2C"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t>R</w:t>
            </w:r>
            <w:r w:rsidRPr="00F27A2C">
              <w:rPr>
                <w:szCs w:val="18"/>
              </w:rPr>
              <w:t>ehab</w:t>
            </w:r>
            <w:r>
              <w:rPr>
                <w:szCs w:val="18"/>
              </w:rPr>
              <w:t>ilitation services</w:t>
            </w:r>
          </w:p>
        </w:tc>
      </w:tr>
      <w:tr w:rsidR="00AE1E92" w:rsidRPr="00FA30FA" w14:paraId="566D0742" w14:textId="77777777" w:rsidTr="00B51F70">
        <w:trPr>
          <w:trHeight w:val="514"/>
        </w:trPr>
        <w:tc>
          <w:tcPr>
            <w:cnfStyle w:val="001000000000" w:firstRow="0" w:lastRow="0" w:firstColumn="1" w:lastColumn="0" w:oddVBand="0" w:evenVBand="0" w:oddHBand="0" w:evenHBand="0" w:firstRowFirstColumn="0" w:firstRowLastColumn="0" w:lastRowFirstColumn="0" w:lastRowLastColumn="0"/>
            <w:tcW w:w="1701" w:type="dxa"/>
          </w:tcPr>
          <w:p w14:paraId="7867D951" w14:textId="77777777" w:rsidR="009426FC" w:rsidRDefault="009426FC" w:rsidP="00B51F70">
            <w:pPr>
              <w:pStyle w:val="Tabletextbold"/>
              <w:rPr>
                <w:szCs w:val="18"/>
              </w:rPr>
            </w:pPr>
            <w:r>
              <w:t>Funding source</w:t>
            </w:r>
          </w:p>
        </w:tc>
        <w:tc>
          <w:tcPr>
            <w:tcW w:w="2665" w:type="dxa"/>
          </w:tcPr>
          <w:p w14:paraId="4308E67F" w14:textId="310DD96D" w:rsidR="009426FC" w:rsidRPr="00C10C27" w:rsidRDefault="009426FC"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AF77BC">
              <w:t>Federal</w:t>
            </w:r>
            <w:r w:rsidR="00A11CED">
              <w:rPr>
                <w:szCs w:val="18"/>
              </w:rPr>
              <w:t xml:space="preserve"> and state</w:t>
            </w:r>
            <w:r w:rsidRPr="00AF77BC">
              <w:rPr>
                <w:szCs w:val="18"/>
              </w:rPr>
              <w:t xml:space="preserve"> government</w:t>
            </w:r>
            <w:r w:rsidR="00A11CED">
              <w:rPr>
                <w:szCs w:val="18"/>
              </w:rPr>
              <w:t>s</w:t>
            </w:r>
          </w:p>
        </w:tc>
        <w:tc>
          <w:tcPr>
            <w:tcW w:w="2665" w:type="dxa"/>
          </w:tcPr>
          <w:p w14:paraId="477F6988" w14:textId="77777777" w:rsidR="009426FC" w:rsidRPr="00C10C27" w:rsidRDefault="009426FC"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AF77BC">
              <w:t>Provincial governments</w:t>
            </w:r>
          </w:p>
        </w:tc>
        <w:tc>
          <w:tcPr>
            <w:tcW w:w="2665" w:type="dxa"/>
          </w:tcPr>
          <w:p w14:paraId="7E00669C" w14:textId="77777777" w:rsidR="009426FC" w:rsidRPr="00C10C27" w:rsidRDefault="009426FC"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AF77BC">
              <w:t>Statutory health insurance</w:t>
            </w:r>
          </w:p>
        </w:tc>
        <w:tc>
          <w:tcPr>
            <w:tcW w:w="2665" w:type="dxa"/>
          </w:tcPr>
          <w:p w14:paraId="706D7790" w14:textId="029DBF96" w:rsidR="009426FC" w:rsidRPr="00C10C27" w:rsidRDefault="00382844"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AF77BC">
              <w:t>Federal government</w:t>
            </w:r>
          </w:p>
        </w:tc>
        <w:tc>
          <w:tcPr>
            <w:tcW w:w="2665" w:type="dxa"/>
          </w:tcPr>
          <w:p w14:paraId="77A6D602" w14:textId="356B416C" w:rsidR="009426FC" w:rsidRPr="00C10C27" w:rsidRDefault="009426FC"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AF77BC">
              <w:t>NHS (public funding)</w:t>
            </w:r>
          </w:p>
        </w:tc>
      </w:tr>
      <w:tr w:rsidR="00AE1E92" w:rsidRPr="00FA30FA" w14:paraId="68843614" w14:textId="77777777" w:rsidTr="00B51F70">
        <w:trPr>
          <w:trHeight w:val="305"/>
        </w:trPr>
        <w:tc>
          <w:tcPr>
            <w:cnfStyle w:val="001000000000" w:firstRow="0" w:lastRow="0" w:firstColumn="1" w:lastColumn="0" w:oddVBand="0" w:evenVBand="0" w:oddHBand="0" w:evenHBand="0" w:firstRowFirstColumn="0" w:firstRowLastColumn="0" w:lastRowFirstColumn="0" w:lastRowLastColumn="0"/>
            <w:tcW w:w="1701" w:type="dxa"/>
          </w:tcPr>
          <w:p w14:paraId="4715E24A" w14:textId="62B8C23F" w:rsidR="00897331" w:rsidRDefault="00897331" w:rsidP="00B51F70">
            <w:pPr>
              <w:pStyle w:val="Tabletextbold"/>
              <w:rPr>
                <w:szCs w:val="18"/>
              </w:rPr>
            </w:pPr>
            <w:r>
              <w:t>Funding model</w:t>
            </w:r>
          </w:p>
        </w:tc>
        <w:tc>
          <w:tcPr>
            <w:tcW w:w="2665" w:type="dxa"/>
          </w:tcPr>
          <w:p w14:paraId="2D96FBAA" w14:textId="354CFED8" w:rsidR="00897331" w:rsidRPr="00AF77BC" w:rsidRDefault="00897331"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t>Fully funded</w:t>
            </w:r>
          </w:p>
        </w:tc>
        <w:tc>
          <w:tcPr>
            <w:tcW w:w="2665" w:type="dxa"/>
          </w:tcPr>
          <w:p w14:paraId="144166E0" w14:textId="796AA894" w:rsidR="00897331" w:rsidRPr="00AF77BC" w:rsidRDefault="00897331"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F04319">
              <w:t>Fully funded</w:t>
            </w:r>
          </w:p>
        </w:tc>
        <w:tc>
          <w:tcPr>
            <w:tcW w:w="2665" w:type="dxa"/>
          </w:tcPr>
          <w:p w14:paraId="2C14691B" w14:textId="18D50F35" w:rsidR="00897331" w:rsidRPr="00AF77BC" w:rsidRDefault="00897331"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F04319">
              <w:t>Fully funded</w:t>
            </w:r>
          </w:p>
        </w:tc>
        <w:tc>
          <w:tcPr>
            <w:tcW w:w="2665" w:type="dxa"/>
          </w:tcPr>
          <w:p w14:paraId="26110076" w14:textId="00CBF68C" w:rsidR="00897331" w:rsidRPr="00AF77BC" w:rsidRDefault="00897331"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F04319">
              <w:t>Fully funded</w:t>
            </w:r>
          </w:p>
        </w:tc>
        <w:tc>
          <w:tcPr>
            <w:tcW w:w="2665" w:type="dxa"/>
          </w:tcPr>
          <w:p w14:paraId="754B6590" w14:textId="3311C641" w:rsidR="00897331" w:rsidRPr="00AF77BC" w:rsidRDefault="00897331"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F04319">
              <w:t>Fully funded</w:t>
            </w:r>
          </w:p>
        </w:tc>
      </w:tr>
      <w:tr w:rsidR="00AE1E92" w:rsidRPr="00FA30FA" w14:paraId="22FA0FAD" w14:textId="77777777" w:rsidTr="00886FA3">
        <w:trPr>
          <w:trHeight w:val="616"/>
        </w:trPr>
        <w:tc>
          <w:tcPr>
            <w:cnfStyle w:val="001000000000" w:firstRow="0" w:lastRow="0" w:firstColumn="1" w:lastColumn="0" w:oddVBand="0" w:evenVBand="0" w:oddHBand="0" w:evenHBand="0" w:firstRowFirstColumn="0" w:firstRowLastColumn="0" w:lastRowFirstColumn="0" w:lastRowLastColumn="0"/>
            <w:tcW w:w="1701" w:type="dxa"/>
          </w:tcPr>
          <w:p w14:paraId="64A152D7" w14:textId="023B49CB" w:rsidR="009426FC" w:rsidRPr="00C10C27" w:rsidRDefault="009426FC" w:rsidP="00B51F70">
            <w:pPr>
              <w:pStyle w:val="Tabletextbold"/>
              <w:rPr>
                <w:szCs w:val="18"/>
              </w:rPr>
            </w:pPr>
            <w:r>
              <w:t xml:space="preserve">Process for accessing a </w:t>
            </w:r>
            <w:r>
              <w:rPr>
                <w:szCs w:val="18"/>
              </w:rPr>
              <w:t>prosthesis</w:t>
            </w:r>
          </w:p>
        </w:tc>
        <w:tc>
          <w:tcPr>
            <w:tcW w:w="2665" w:type="dxa"/>
          </w:tcPr>
          <w:p w14:paraId="1BF3DC19" w14:textId="0AFFB534" w:rsidR="009426FC" w:rsidRPr="00C10C27" w:rsidRDefault="00715CD4"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715CD4">
              <w:t>Referral to accredited amputee clinic</w:t>
            </w:r>
            <w:r>
              <w:rPr>
                <w:szCs w:val="18"/>
              </w:rPr>
              <w:t>, m</w:t>
            </w:r>
            <w:r w:rsidRPr="00715CD4">
              <w:rPr>
                <w:szCs w:val="18"/>
              </w:rPr>
              <w:t xml:space="preserve">ultidisciplinary </w:t>
            </w:r>
            <w:proofErr w:type="gramStart"/>
            <w:r w:rsidRPr="00715CD4">
              <w:rPr>
                <w:szCs w:val="18"/>
              </w:rPr>
              <w:t>assessment</w:t>
            </w:r>
            <w:r>
              <w:rPr>
                <w:szCs w:val="18"/>
              </w:rPr>
              <w:t xml:space="preserve">, </w:t>
            </w:r>
            <w:r w:rsidRPr="00715CD4">
              <w:rPr>
                <w:szCs w:val="18"/>
              </w:rPr>
              <w:t xml:space="preserve"> </w:t>
            </w:r>
            <w:r>
              <w:rPr>
                <w:szCs w:val="18"/>
              </w:rPr>
              <w:t>p</w:t>
            </w:r>
            <w:r w:rsidRPr="00715CD4">
              <w:rPr>
                <w:szCs w:val="18"/>
              </w:rPr>
              <w:t>rescription</w:t>
            </w:r>
            <w:proofErr w:type="gramEnd"/>
            <w:r w:rsidR="00504E47">
              <w:rPr>
                <w:szCs w:val="18"/>
              </w:rPr>
              <w:t xml:space="preserve"> by prosthetist</w:t>
            </w:r>
            <w:r>
              <w:rPr>
                <w:szCs w:val="18"/>
              </w:rPr>
              <w:t>, a</w:t>
            </w:r>
            <w:r w:rsidRPr="00715CD4">
              <w:rPr>
                <w:szCs w:val="18"/>
              </w:rPr>
              <w:t>pproval by funder (NDIS or state)</w:t>
            </w:r>
            <w:r w:rsidR="00504E47">
              <w:rPr>
                <w:szCs w:val="18"/>
              </w:rPr>
              <w:t>, p</w:t>
            </w:r>
            <w:r w:rsidRPr="00715CD4">
              <w:rPr>
                <w:szCs w:val="18"/>
              </w:rPr>
              <w:t>rosthesis manufactured and fitted</w:t>
            </w:r>
            <w:r w:rsidR="00504E47">
              <w:rPr>
                <w:szCs w:val="18"/>
              </w:rPr>
              <w:t>, f</w:t>
            </w:r>
            <w:r w:rsidRPr="00715CD4">
              <w:rPr>
                <w:szCs w:val="18"/>
              </w:rPr>
              <w:t xml:space="preserve">ollow-up and </w:t>
            </w:r>
            <w:r w:rsidRPr="00824B67">
              <w:rPr>
                <w:szCs w:val="18"/>
              </w:rPr>
              <w:t>adjustments</w:t>
            </w:r>
            <w:r w:rsidR="009426FC" w:rsidRPr="00824B67">
              <w:rPr>
                <w:rStyle w:val="FootnoteReference"/>
                <w:b/>
                <w:szCs w:val="18"/>
              </w:rPr>
              <w:t xml:space="preserve"> </w:t>
            </w:r>
            <w:r w:rsidR="007B7939">
              <w:rPr>
                <w:rFonts w:ascii="ZWAdobeF" w:hAnsi="ZWAdobeF" w:cs="ZWAdobeF"/>
                <w:color w:val="auto"/>
                <w:sz w:val="2"/>
                <w:szCs w:val="2"/>
              </w:rPr>
              <w:t>137F</w:t>
            </w:r>
            <w:r w:rsidR="009426FC" w:rsidRPr="00824B67">
              <w:rPr>
                <w:rStyle w:val="FootnoteReference"/>
                <w:b/>
                <w:szCs w:val="18"/>
              </w:rPr>
              <w:footnoteReference w:id="130"/>
            </w:r>
          </w:p>
        </w:tc>
        <w:tc>
          <w:tcPr>
            <w:tcW w:w="2665" w:type="dxa"/>
          </w:tcPr>
          <w:p w14:paraId="754F6453" w14:textId="0C17E02C" w:rsidR="009426FC" w:rsidRPr="00C10C27" w:rsidRDefault="00886FA3"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t>P</w:t>
            </w:r>
            <w:r w:rsidR="00267910" w:rsidRPr="00267910">
              <w:t>rescription from physician or nurse practitioner</w:t>
            </w:r>
            <w:r w:rsidR="00267910">
              <w:rPr>
                <w:szCs w:val="18"/>
              </w:rPr>
              <w:t>, a</w:t>
            </w:r>
            <w:r w:rsidR="00267910" w:rsidRPr="00267910">
              <w:rPr>
                <w:szCs w:val="18"/>
              </w:rPr>
              <w:t>ssessment by licensed prosthetist</w:t>
            </w:r>
            <w:r w:rsidR="00267910">
              <w:rPr>
                <w:szCs w:val="18"/>
              </w:rPr>
              <w:t>, a</w:t>
            </w:r>
            <w:r w:rsidR="00267910" w:rsidRPr="00267910">
              <w:rPr>
                <w:szCs w:val="18"/>
              </w:rPr>
              <w:t>pplication to provincial program</w:t>
            </w:r>
            <w:r>
              <w:rPr>
                <w:szCs w:val="18"/>
              </w:rPr>
              <w:t>,</w:t>
            </w:r>
            <w:r w:rsidR="00267910">
              <w:rPr>
                <w:szCs w:val="18"/>
              </w:rPr>
              <w:t xml:space="preserve"> d</w:t>
            </w:r>
            <w:r w:rsidR="00267910" w:rsidRPr="00267910">
              <w:rPr>
                <w:szCs w:val="18"/>
              </w:rPr>
              <w:t>evice fabricated and fitted</w:t>
            </w:r>
            <w:r w:rsidR="00267910">
              <w:rPr>
                <w:szCs w:val="18"/>
              </w:rPr>
              <w:t>, r</w:t>
            </w:r>
            <w:r w:rsidR="00267910" w:rsidRPr="00267910">
              <w:rPr>
                <w:szCs w:val="18"/>
              </w:rPr>
              <w:t xml:space="preserve">eimbursement or direct payment by </w:t>
            </w:r>
            <w:r w:rsidR="00267910" w:rsidRPr="00824B67">
              <w:rPr>
                <w:szCs w:val="18"/>
              </w:rPr>
              <w:t>province</w:t>
            </w:r>
            <w:r w:rsidR="007B7939">
              <w:rPr>
                <w:rFonts w:ascii="ZWAdobeF" w:hAnsi="ZWAdobeF" w:cs="ZWAdobeF"/>
                <w:color w:val="auto"/>
                <w:sz w:val="2"/>
                <w:szCs w:val="2"/>
              </w:rPr>
              <w:t>138F</w:t>
            </w:r>
            <w:r w:rsidR="009426FC" w:rsidRPr="00824B67">
              <w:rPr>
                <w:rStyle w:val="FootnoteReference"/>
                <w:b/>
                <w:szCs w:val="18"/>
              </w:rPr>
              <w:footnoteReference w:id="131"/>
            </w:r>
          </w:p>
        </w:tc>
        <w:tc>
          <w:tcPr>
            <w:tcW w:w="2665" w:type="dxa"/>
          </w:tcPr>
          <w:p w14:paraId="01C8BBAB" w14:textId="7D442721" w:rsidR="009426FC" w:rsidRPr="00C10C27" w:rsidRDefault="00BE68F9"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BE68F9">
              <w:t>Assessment by rehabilitation physician and prosthetist</w:t>
            </w:r>
            <w:r>
              <w:rPr>
                <w:szCs w:val="18"/>
              </w:rPr>
              <w:t>, p</w:t>
            </w:r>
            <w:r w:rsidRPr="00BE68F9">
              <w:rPr>
                <w:szCs w:val="18"/>
              </w:rPr>
              <w:t>rescription based on mobility/activity level</w:t>
            </w:r>
            <w:r>
              <w:rPr>
                <w:szCs w:val="18"/>
              </w:rPr>
              <w:t>, s</w:t>
            </w:r>
            <w:r w:rsidRPr="00BE68F9">
              <w:rPr>
                <w:szCs w:val="18"/>
              </w:rPr>
              <w:t>ubmission to insurer for approval</w:t>
            </w:r>
            <w:r>
              <w:rPr>
                <w:szCs w:val="18"/>
              </w:rPr>
              <w:t>, p</w:t>
            </w:r>
            <w:r w:rsidRPr="00BE68F9">
              <w:rPr>
                <w:szCs w:val="18"/>
              </w:rPr>
              <w:t>rosthesis manufactured and fitted</w:t>
            </w:r>
            <w:r>
              <w:rPr>
                <w:szCs w:val="18"/>
              </w:rPr>
              <w:t>, f</w:t>
            </w:r>
            <w:r w:rsidRPr="00BE68F9">
              <w:rPr>
                <w:szCs w:val="18"/>
              </w:rPr>
              <w:t>o</w:t>
            </w:r>
            <w:r w:rsidRPr="00824B67">
              <w:rPr>
                <w:szCs w:val="18"/>
              </w:rPr>
              <w:t>llow-up and evaluation</w:t>
            </w:r>
            <w:r w:rsidR="00590DFF">
              <w:rPr>
                <w:rStyle w:val="FootnoteReference"/>
                <w:szCs w:val="18"/>
              </w:rPr>
              <w:footnoteReference w:id="132"/>
            </w:r>
            <w:r w:rsidR="00F42273" w:rsidRPr="00F42273">
              <w:rPr>
                <w:szCs w:val="18"/>
                <w:vertAlign w:val="superscript"/>
              </w:rPr>
              <w:t>,</w:t>
            </w:r>
            <w:r w:rsidR="007B7939">
              <w:rPr>
                <w:rFonts w:ascii="ZWAdobeF" w:hAnsi="ZWAdobeF" w:cs="ZWAdobeF"/>
                <w:color w:val="auto"/>
                <w:sz w:val="2"/>
                <w:szCs w:val="2"/>
              </w:rPr>
              <w:t>139F</w:t>
            </w:r>
            <w:r w:rsidR="009426FC" w:rsidRPr="00824B67">
              <w:rPr>
                <w:rStyle w:val="FootnoteReference"/>
                <w:b/>
                <w:szCs w:val="18"/>
              </w:rPr>
              <w:footnoteReference w:id="133"/>
            </w:r>
          </w:p>
        </w:tc>
        <w:tc>
          <w:tcPr>
            <w:tcW w:w="2665" w:type="dxa"/>
          </w:tcPr>
          <w:p w14:paraId="0CD437D0" w14:textId="67308A12" w:rsidR="009426FC" w:rsidRPr="00C10C27" w:rsidRDefault="00510C9F"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510C9F">
              <w:t>Hospital or GP referral to Artificial Limb Centre</w:t>
            </w:r>
            <w:r>
              <w:rPr>
                <w:szCs w:val="18"/>
              </w:rPr>
              <w:t>, m</w:t>
            </w:r>
            <w:r w:rsidRPr="00510C9F">
              <w:rPr>
                <w:szCs w:val="18"/>
              </w:rPr>
              <w:t>ultidisciplinary team assessment</w:t>
            </w:r>
            <w:r>
              <w:rPr>
                <w:szCs w:val="18"/>
              </w:rPr>
              <w:t>, m</w:t>
            </w:r>
            <w:r w:rsidRPr="00510C9F">
              <w:rPr>
                <w:szCs w:val="18"/>
              </w:rPr>
              <w:t>easurements/casting</w:t>
            </w:r>
            <w:r>
              <w:rPr>
                <w:szCs w:val="18"/>
              </w:rPr>
              <w:t>, c</w:t>
            </w:r>
            <w:r w:rsidRPr="00510C9F">
              <w:rPr>
                <w:szCs w:val="18"/>
              </w:rPr>
              <w:t>ustom prosthesis made and fitted</w:t>
            </w:r>
            <w:r>
              <w:rPr>
                <w:szCs w:val="18"/>
              </w:rPr>
              <w:t>, m</w:t>
            </w:r>
            <w:r w:rsidRPr="00510C9F">
              <w:rPr>
                <w:szCs w:val="18"/>
              </w:rPr>
              <w:t>ultiple fittings and follow-up appointmen</w:t>
            </w:r>
            <w:r w:rsidRPr="00824B67">
              <w:rPr>
                <w:szCs w:val="18"/>
              </w:rPr>
              <w:t>ts</w:t>
            </w:r>
            <w:r w:rsidR="005973F6">
              <w:rPr>
                <w:rStyle w:val="FootnoteReference"/>
                <w:szCs w:val="18"/>
              </w:rPr>
              <w:footnoteReference w:id="134"/>
            </w:r>
            <w:r w:rsidR="005973F6" w:rsidRPr="005973F6">
              <w:rPr>
                <w:szCs w:val="18"/>
                <w:vertAlign w:val="superscript"/>
              </w:rPr>
              <w:t>,</w:t>
            </w:r>
            <w:r w:rsidR="007B7939">
              <w:rPr>
                <w:rFonts w:ascii="ZWAdobeF" w:hAnsi="ZWAdobeF" w:cs="ZWAdobeF"/>
                <w:color w:val="auto"/>
                <w:sz w:val="2"/>
                <w:szCs w:val="2"/>
              </w:rPr>
              <w:t>140F</w:t>
            </w:r>
            <w:r w:rsidR="009426FC" w:rsidRPr="00824B67">
              <w:rPr>
                <w:rStyle w:val="FootnoteReference"/>
                <w:b/>
                <w:szCs w:val="18"/>
              </w:rPr>
              <w:footnoteReference w:id="135"/>
            </w:r>
          </w:p>
        </w:tc>
        <w:tc>
          <w:tcPr>
            <w:tcW w:w="2665" w:type="dxa"/>
          </w:tcPr>
          <w:p w14:paraId="433352BE" w14:textId="716CA927" w:rsidR="009426FC" w:rsidRPr="00C10C27" w:rsidRDefault="00EA6153"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EA6153">
              <w:t>Referral by hospital or GP to specialist limb centre</w:t>
            </w:r>
            <w:r>
              <w:rPr>
                <w:szCs w:val="18"/>
              </w:rPr>
              <w:t>, m</w:t>
            </w:r>
            <w:r w:rsidRPr="00EA6153">
              <w:rPr>
                <w:szCs w:val="18"/>
              </w:rPr>
              <w:t>ultidisciplinary team assessment</w:t>
            </w:r>
            <w:r>
              <w:rPr>
                <w:szCs w:val="18"/>
              </w:rPr>
              <w:t>, p</w:t>
            </w:r>
            <w:r w:rsidRPr="00EA6153">
              <w:rPr>
                <w:szCs w:val="18"/>
              </w:rPr>
              <w:t>rescription and fitting by prosthetist</w:t>
            </w:r>
            <w:r>
              <w:rPr>
                <w:szCs w:val="18"/>
              </w:rPr>
              <w:t>, p</w:t>
            </w:r>
            <w:r w:rsidRPr="00EA6153">
              <w:rPr>
                <w:szCs w:val="18"/>
              </w:rPr>
              <w:t>rosthesis manufactured and fitted</w:t>
            </w:r>
            <w:r>
              <w:rPr>
                <w:szCs w:val="18"/>
              </w:rPr>
              <w:t>, f</w:t>
            </w:r>
            <w:r w:rsidRPr="00EA6153">
              <w:rPr>
                <w:szCs w:val="18"/>
              </w:rPr>
              <w:t xml:space="preserve">ollow-up, repairs, and </w:t>
            </w:r>
            <w:r w:rsidRPr="00824B67">
              <w:rPr>
                <w:szCs w:val="18"/>
              </w:rPr>
              <w:t>reviews</w:t>
            </w:r>
            <w:r w:rsidR="007B7939">
              <w:rPr>
                <w:rFonts w:ascii="ZWAdobeF" w:hAnsi="ZWAdobeF" w:cs="ZWAdobeF"/>
                <w:color w:val="auto"/>
                <w:sz w:val="2"/>
                <w:szCs w:val="2"/>
              </w:rPr>
              <w:t>141F</w:t>
            </w:r>
            <w:r w:rsidR="00D87E5B" w:rsidRPr="00824B67">
              <w:rPr>
                <w:rStyle w:val="FootnoteReference"/>
                <w:b/>
                <w:szCs w:val="18"/>
              </w:rPr>
              <w:footnoteReference w:id="136"/>
            </w:r>
          </w:p>
        </w:tc>
      </w:tr>
    </w:tbl>
    <w:p w14:paraId="6E3832B7" w14:textId="2A8EA3AE" w:rsidR="009426FC" w:rsidRPr="00CD3106" w:rsidRDefault="009426FC" w:rsidP="00B51F70">
      <w:pPr>
        <w:pStyle w:val="Caption-Source"/>
      </w:pPr>
      <w:r w:rsidRPr="00CF2241">
        <w:t xml:space="preserve">Source: </w:t>
      </w:r>
      <w:r w:rsidR="00120620" w:rsidRPr="00120620">
        <w:t>Independent reviewer</w:t>
      </w:r>
      <w:r w:rsidR="00584D02" w:rsidRPr="00CD3106">
        <w:t xml:space="preserve"> (</w:t>
      </w:r>
      <w:r w:rsidRPr="00CD3106">
        <w:t>2025</w:t>
      </w:r>
      <w:r w:rsidR="00584D02" w:rsidRPr="00CD3106">
        <w:t>)</w:t>
      </w:r>
    </w:p>
    <w:p w14:paraId="00125E2B" w14:textId="77777777" w:rsidR="009426FC" w:rsidRDefault="009426FC" w:rsidP="00B51F70">
      <w:pPr>
        <w:pStyle w:val="Caption-Source"/>
        <w:sectPr w:rsidR="009426FC" w:rsidSect="00E42C94">
          <w:pgSz w:w="16838" w:h="11906" w:orient="landscape"/>
          <w:pgMar w:top="1418" w:right="851" w:bottom="1134" w:left="851" w:header="567" w:footer="284" w:gutter="0"/>
          <w:cols w:space="708"/>
          <w:docGrid w:linePitch="360"/>
        </w:sectPr>
      </w:pPr>
    </w:p>
    <w:p w14:paraId="424F43EF" w14:textId="61A58C5D" w:rsidR="00E70316" w:rsidRDefault="00D117D3" w:rsidP="008239ED">
      <w:pPr>
        <w:pStyle w:val="Heading2"/>
      </w:pPr>
      <w:bookmarkStart w:id="107" w:name="_Ref200615850"/>
      <w:bookmarkStart w:id="108" w:name="_Toc207348747"/>
      <w:bookmarkEnd w:id="104"/>
      <w:r>
        <w:t>International comparison of o</w:t>
      </w:r>
      <w:r w:rsidR="00E70316">
        <w:t xml:space="preserve">ther prostheses </w:t>
      </w:r>
      <w:bookmarkEnd w:id="107"/>
      <w:r>
        <w:t>services, programs and schemes</w:t>
      </w:r>
      <w:bookmarkEnd w:id="108"/>
    </w:p>
    <w:p w14:paraId="1AAA99C7" w14:textId="1144BDFF" w:rsidR="000016A2" w:rsidRPr="0040690B" w:rsidRDefault="00FE3894" w:rsidP="0040690B">
      <w:r w:rsidRPr="0040690B">
        <w:t xml:space="preserve">As described </w:t>
      </w:r>
      <w:r w:rsidR="000016A2" w:rsidRPr="0040690B">
        <w:t xml:space="preserve">previously </w:t>
      </w:r>
      <w:r w:rsidRPr="0040690B">
        <w:t>in this report, other prostheses</w:t>
      </w:r>
      <w:r w:rsidR="00BB6E11" w:rsidRPr="0040690B">
        <w:t xml:space="preserve">, including non-indwelling voice prostheses, external male reproductive prostheses and oral prostheses, fell outside the scope of this review; however, they </w:t>
      </w:r>
      <w:r w:rsidR="008B3F84" w:rsidRPr="0040690B">
        <w:t xml:space="preserve">have been included </w:t>
      </w:r>
      <w:r w:rsidR="00F528A3" w:rsidRPr="0040690B">
        <w:t>in the international</w:t>
      </w:r>
      <w:r w:rsidR="00D03860" w:rsidRPr="0040690B">
        <w:t xml:space="preserve"> comparative analysis </w:t>
      </w:r>
      <w:r w:rsidR="00F528A3" w:rsidRPr="0040690B">
        <w:t>for completeness</w:t>
      </w:r>
      <w:r w:rsidR="00146A16" w:rsidRPr="0040690B">
        <w:t xml:space="preserve">. </w:t>
      </w:r>
    </w:p>
    <w:p w14:paraId="7F1A6057" w14:textId="77777777" w:rsidR="000350BC" w:rsidRDefault="000350BC" w:rsidP="000350BC">
      <w:pPr>
        <w:pStyle w:val="Heading3"/>
      </w:pPr>
      <w:r>
        <w:t xml:space="preserve">Voice prostheses </w:t>
      </w:r>
    </w:p>
    <w:p w14:paraId="09FE3301" w14:textId="1775456E" w:rsidR="00161EA2" w:rsidRPr="0040690B" w:rsidRDefault="00117C39" w:rsidP="0040690B">
      <w:r w:rsidRPr="0040690B">
        <w:t xml:space="preserve">In Australia, funding for voice prostheses is limited primarily to select </w:t>
      </w:r>
      <w:r w:rsidR="00F14B1B" w:rsidRPr="0040690B">
        <w:t>jurisdictions</w:t>
      </w:r>
      <w:r w:rsidR="008E4562" w:rsidRPr="0040690B">
        <w:t xml:space="preserve"> (NSW, VIC, QLD, and TAS), leaving </w:t>
      </w:r>
      <w:r w:rsidR="00F14B1B" w:rsidRPr="0040690B">
        <w:t>individuals</w:t>
      </w:r>
      <w:r w:rsidR="008E4562" w:rsidRPr="0040690B">
        <w:t xml:space="preserve"> in other </w:t>
      </w:r>
      <w:r w:rsidR="00F14B1B" w:rsidRPr="0040690B">
        <w:t>states and territories</w:t>
      </w:r>
      <w:r w:rsidR="008E4562" w:rsidRPr="0040690B">
        <w:t xml:space="preserve"> without public support. </w:t>
      </w:r>
      <w:r w:rsidR="00161EA2" w:rsidRPr="0040690B">
        <w:t>In contrast</w:t>
      </w:r>
      <w:r w:rsidR="00375379" w:rsidRPr="0040690B">
        <w:t xml:space="preserve">, Canada, the Netherlands, and the UK operate under more </w:t>
      </w:r>
      <w:r w:rsidR="00BB6E11" w:rsidRPr="0040690B">
        <w:t>consistent</w:t>
      </w:r>
      <w:r w:rsidR="00375379" w:rsidRPr="0040690B">
        <w:t xml:space="preserve"> models that provide formal pathways to access and </w:t>
      </w:r>
      <w:r w:rsidR="00BB6E11" w:rsidRPr="0040690B">
        <w:t>more explicit</w:t>
      </w:r>
      <w:r w:rsidR="00375379" w:rsidRPr="0040690B">
        <w:t xml:space="preserve"> eligibility criteria. </w:t>
      </w:r>
      <w:r w:rsidR="007737B8" w:rsidRPr="0040690B">
        <w:t xml:space="preserve">These programs are administered either provincially or nationally. </w:t>
      </w:r>
      <w:r w:rsidR="00C21B45" w:rsidRPr="0040690B">
        <w:fldChar w:fldCharType="begin"/>
      </w:r>
      <w:r w:rsidR="00C21B45" w:rsidRPr="0040690B">
        <w:instrText xml:space="preserve"> REF _Ref201868345 \h </w:instrText>
      </w:r>
      <w:r w:rsidR="0040690B">
        <w:instrText xml:space="preserve"> \* MERGEFORMAT </w:instrText>
      </w:r>
      <w:r w:rsidR="00C21B45" w:rsidRPr="0040690B">
        <w:fldChar w:fldCharType="separate"/>
      </w:r>
      <w:r w:rsidR="00D955D8" w:rsidRPr="0040690B">
        <w:t>Table 16</w:t>
      </w:r>
      <w:r w:rsidR="00C21B45" w:rsidRPr="0040690B">
        <w:fldChar w:fldCharType="end"/>
      </w:r>
      <w:r w:rsidR="00C21B45" w:rsidRPr="0040690B">
        <w:t xml:space="preserve"> provides </w:t>
      </w:r>
      <w:r w:rsidR="00BB6E11" w:rsidRPr="0040690B">
        <w:t>further</w:t>
      </w:r>
      <w:r w:rsidR="00C21B45" w:rsidRPr="0040690B">
        <w:t xml:space="preserve"> detail on the national voice prostheses programs and schemes available in each country.</w:t>
      </w:r>
    </w:p>
    <w:p w14:paraId="6E8052D1" w14:textId="21008AB4" w:rsidR="00912A56" w:rsidRPr="0040690B" w:rsidRDefault="00DE0EE6" w:rsidP="0040690B">
      <w:r w:rsidRPr="0040690B">
        <w:t xml:space="preserve">Canada uses a partial reimbursement model, covering up to 75% of costs </w:t>
      </w:r>
      <w:r w:rsidR="00EF4979" w:rsidRPr="0040690B">
        <w:t xml:space="preserve">for </w:t>
      </w:r>
      <w:r w:rsidR="00C21B45" w:rsidRPr="0040690B">
        <w:t xml:space="preserve">voice </w:t>
      </w:r>
      <w:r w:rsidR="00EF4979" w:rsidRPr="0040690B">
        <w:t xml:space="preserve">prostheses. </w:t>
      </w:r>
      <w:r w:rsidR="006D39D9" w:rsidRPr="0040690B">
        <w:t>Eligibility</w:t>
      </w:r>
      <w:r w:rsidR="00EF4979" w:rsidRPr="0040690B">
        <w:t xml:space="preserve"> is based on residency</w:t>
      </w:r>
      <w:r w:rsidR="00250FC3" w:rsidRPr="0040690B">
        <w:t>, health coverage, and specific clinical needs</w:t>
      </w:r>
      <w:r w:rsidR="00C21B45" w:rsidRPr="0040690B">
        <w:t xml:space="preserve">, which include individuals </w:t>
      </w:r>
      <w:r w:rsidR="00116E66" w:rsidRPr="0040690B">
        <w:t xml:space="preserve">who have both an inability to communicate </w:t>
      </w:r>
      <w:r w:rsidR="00BB6E11" w:rsidRPr="0040690B">
        <w:t>verbally and an inability to communicate</w:t>
      </w:r>
      <w:r w:rsidR="00116E66" w:rsidRPr="0040690B">
        <w:t xml:space="preserve"> through writing.</w:t>
      </w:r>
      <w:r w:rsidR="007B7939" w:rsidRPr="0040690B">
        <w:t>149F</w:t>
      </w:r>
      <w:r w:rsidR="00896EAB" w:rsidRPr="0040690B">
        <w:rPr>
          <w:vertAlign w:val="superscript"/>
        </w:rPr>
        <w:footnoteReference w:id="137"/>
      </w:r>
      <w:r w:rsidR="00C21B45" w:rsidRPr="0040690B">
        <w:t xml:space="preserve"> </w:t>
      </w:r>
      <w:r w:rsidR="00C802BC" w:rsidRPr="0040690B">
        <w:t xml:space="preserve">The Netherlands and the UK </w:t>
      </w:r>
      <w:r w:rsidR="00BB6E11" w:rsidRPr="0040690B">
        <w:t>have</w:t>
      </w:r>
      <w:r w:rsidR="00C802BC" w:rsidRPr="0040690B">
        <w:t xml:space="preserve"> more comprehensive public funding models. In the Netherlands, access to voice prostheses is provided </w:t>
      </w:r>
      <w:r w:rsidR="00BB6E11" w:rsidRPr="0040690B">
        <w:t>through the statutory health insurance system, with up to six prostheses and related devices funded annually</w:t>
      </w:r>
      <w:r w:rsidR="00F60A9C" w:rsidRPr="0040690B">
        <w:t xml:space="preserve">. </w:t>
      </w:r>
      <w:r w:rsidR="00C21B45" w:rsidRPr="0040690B">
        <w:t>Individuals</w:t>
      </w:r>
      <w:r w:rsidR="00F60A9C" w:rsidRPr="0040690B">
        <w:t xml:space="preserve"> in the Netherlands pay a fixed annual contribution towards healthcare costs, after which </w:t>
      </w:r>
      <w:r w:rsidR="008C0558" w:rsidRPr="0040690B">
        <w:t xml:space="preserve">additional </w:t>
      </w:r>
      <w:r w:rsidR="00DC04A5" w:rsidRPr="0040690B">
        <w:t>fees</w:t>
      </w:r>
      <w:r w:rsidR="008C0558" w:rsidRPr="0040690B">
        <w:t xml:space="preserve"> are reimbursed by the system.</w:t>
      </w:r>
      <w:r w:rsidR="007B7939" w:rsidRPr="0040690B">
        <w:t>150F</w:t>
      </w:r>
      <w:r w:rsidR="00D87406" w:rsidRPr="0040690B">
        <w:footnoteReference w:id="138"/>
      </w:r>
      <w:r w:rsidR="008C0558" w:rsidRPr="0040690B">
        <w:t xml:space="preserve"> In the UK, the NHS provides fully funded prostheses and consumables to eligible individuals based on clinical need. </w:t>
      </w:r>
      <w:r w:rsidR="00DC04A5" w:rsidRPr="0040690B">
        <w:t>Currently, there is</w:t>
      </w:r>
      <w:r w:rsidR="008C0558" w:rsidRPr="0040690B">
        <w:t xml:space="preserve"> no publicly available information on how access</w:t>
      </w:r>
      <w:r w:rsidR="00844D06" w:rsidRPr="0040690B">
        <w:t xml:space="preserve"> to</w:t>
      </w:r>
      <w:r w:rsidR="008C0558" w:rsidRPr="0040690B">
        <w:t xml:space="preserve"> voice prostheses</w:t>
      </w:r>
      <w:r w:rsidR="003C40F0" w:rsidRPr="0040690B">
        <w:t xml:space="preserve"> is funded or delivered in New Zealand</w:t>
      </w:r>
      <w:r w:rsidR="00896EAB" w:rsidRPr="0040690B">
        <w:t>.</w:t>
      </w:r>
    </w:p>
    <w:p w14:paraId="75223EC6" w14:textId="5F0E236F" w:rsidR="00161BA0" w:rsidRPr="0040690B" w:rsidRDefault="00161BA0" w:rsidP="0040690B">
      <w:pPr>
        <w:sectPr w:rsidR="00161BA0" w:rsidRPr="0040690B" w:rsidSect="00467793">
          <w:pgSz w:w="11906" w:h="16838"/>
          <w:pgMar w:top="1418" w:right="851" w:bottom="1418" w:left="851" w:header="567" w:footer="284" w:gutter="0"/>
          <w:cols w:space="708"/>
          <w:docGrid w:linePitch="360"/>
        </w:sectPr>
      </w:pPr>
    </w:p>
    <w:p w14:paraId="24ED803A" w14:textId="37F5F46F" w:rsidR="00460CA9" w:rsidRDefault="00460CA9" w:rsidP="00460CA9">
      <w:pPr>
        <w:pStyle w:val="Caption"/>
      </w:pPr>
      <w:bookmarkStart w:id="109" w:name="_Ref201868345"/>
      <w:bookmarkStart w:id="110" w:name="_Toc207348581"/>
      <w:r>
        <w:t xml:space="preserve">Table </w:t>
      </w:r>
      <w:r w:rsidR="00D955D8">
        <w:fldChar w:fldCharType="begin"/>
      </w:r>
      <w:r w:rsidR="00D955D8">
        <w:instrText xml:space="preserve"> SEQ Table \* ARABIC </w:instrText>
      </w:r>
      <w:r w:rsidR="00D955D8">
        <w:fldChar w:fldCharType="separate"/>
      </w:r>
      <w:r w:rsidR="00D955D8">
        <w:rPr>
          <w:noProof/>
        </w:rPr>
        <w:t>16</w:t>
      </w:r>
      <w:r w:rsidR="00D955D8">
        <w:rPr>
          <w:noProof/>
        </w:rPr>
        <w:fldChar w:fldCharType="end"/>
      </w:r>
      <w:bookmarkEnd w:id="109"/>
      <w:r>
        <w:t xml:space="preserve">: </w:t>
      </w:r>
      <w:r w:rsidRPr="00882292">
        <w:t xml:space="preserve">International comparison of </w:t>
      </w:r>
      <w:r>
        <w:t>voice</w:t>
      </w:r>
      <w:r w:rsidRPr="00882292">
        <w:t xml:space="preserve"> prostheses programs and schemes</w:t>
      </w:r>
      <w:bookmarkEnd w:id="110"/>
    </w:p>
    <w:tbl>
      <w:tblPr>
        <w:tblStyle w:val="KPMGTable"/>
        <w:tblW w:w="15026" w:type="dxa"/>
        <w:tblLook w:val="04A0" w:firstRow="1" w:lastRow="0" w:firstColumn="1" w:lastColumn="0" w:noHBand="0" w:noVBand="1"/>
      </w:tblPr>
      <w:tblGrid>
        <w:gridCol w:w="1701"/>
        <w:gridCol w:w="2665"/>
        <w:gridCol w:w="2665"/>
        <w:gridCol w:w="2665"/>
        <w:gridCol w:w="2665"/>
        <w:gridCol w:w="2665"/>
      </w:tblGrid>
      <w:tr w:rsidR="00AD6F37" w:rsidRPr="00901045" w14:paraId="3A0C2CB4" w14:textId="77777777" w:rsidTr="00B51F70">
        <w:trPr>
          <w:cnfStyle w:val="100000000000" w:firstRow="1" w:lastRow="0" w:firstColumn="0" w:lastColumn="0" w:oddVBand="0" w:evenVBand="0" w:oddHBand="0"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1701" w:type="dxa"/>
          </w:tcPr>
          <w:p w14:paraId="4C542C03" w14:textId="77777777" w:rsidR="00E6568C" w:rsidRPr="00901045" w:rsidRDefault="00E6568C" w:rsidP="00B51F70">
            <w:pPr>
              <w:pStyle w:val="TableHeading"/>
              <w:rPr>
                <w:b w:val="0"/>
                <w:color w:val="FFFFFF" w:themeColor="background1"/>
                <w:szCs w:val="18"/>
              </w:rPr>
            </w:pPr>
            <w:r w:rsidRPr="00901045">
              <w:t>Program details</w:t>
            </w:r>
          </w:p>
        </w:tc>
        <w:tc>
          <w:tcPr>
            <w:tcW w:w="2665" w:type="dxa"/>
          </w:tcPr>
          <w:p w14:paraId="542950A5" w14:textId="77777777" w:rsidR="00E6568C" w:rsidRPr="00901045" w:rsidRDefault="00E6568C" w:rsidP="00B51F7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901045">
              <w:t>Australia</w:t>
            </w:r>
          </w:p>
        </w:tc>
        <w:tc>
          <w:tcPr>
            <w:tcW w:w="2665" w:type="dxa"/>
          </w:tcPr>
          <w:p w14:paraId="5007B6D0" w14:textId="77777777" w:rsidR="00E6568C" w:rsidRPr="00901045" w:rsidRDefault="00E6568C" w:rsidP="00B51F7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901045">
              <w:t>Canada</w:t>
            </w:r>
          </w:p>
        </w:tc>
        <w:tc>
          <w:tcPr>
            <w:tcW w:w="2665" w:type="dxa"/>
          </w:tcPr>
          <w:p w14:paraId="52FD207A" w14:textId="77777777" w:rsidR="00E6568C" w:rsidRPr="00901045" w:rsidRDefault="00E6568C" w:rsidP="00B51F7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901045">
              <w:t>Netherlands</w:t>
            </w:r>
          </w:p>
        </w:tc>
        <w:tc>
          <w:tcPr>
            <w:tcW w:w="2665" w:type="dxa"/>
          </w:tcPr>
          <w:p w14:paraId="53D3DD22" w14:textId="77777777" w:rsidR="00E6568C" w:rsidRPr="000D6A58" w:rsidRDefault="00E6568C" w:rsidP="00B51F70">
            <w:pPr>
              <w:pStyle w:val="TableHeading"/>
              <w:cnfStyle w:val="100000000000" w:firstRow="1" w:lastRow="0" w:firstColumn="0" w:lastColumn="0" w:oddVBand="0" w:evenVBand="0" w:oddHBand="0" w:evenHBand="0" w:firstRowFirstColumn="0" w:firstRowLastColumn="0" w:lastRowFirstColumn="0" w:lastRowLastColumn="0"/>
              <w:rPr>
                <w:b w:val="0"/>
                <w:color w:val="002669" w:themeColor="text2" w:themeShade="BF"/>
                <w:szCs w:val="18"/>
              </w:rPr>
            </w:pPr>
            <w:r w:rsidRPr="000D6A58">
              <w:rPr>
                <w:color w:val="002669" w:themeColor="text2" w:themeShade="BF"/>
              </w:rPr>
              <w:t xml:space="preserve">New </w:t>
            </w:r>
            <w:r w:rsidRPr="000D6A58">
              <w:rPr>
                <w:b w:val="0"/>
                <w:color w:val="002669" w:themeColor="text2" w:themeShade="BF"/>
                <w:szCs w:val="18"/>
              </w:rPr>
              <w:t>Zealand</w:t>
            </w:r>
          </w:p>
        </w:tc>
        <w:tc>
          <w:tcPr>
            <w:tcW w:w="2665" w:type="dxa"/>
          </w:tcPr>
          <w:p w14:paraId="01D74203" w14:textId="77777777" w:rsidR="00E6568C" w:rsidRPr="00901045" w:rsidRDefault="00E6568C" w:rsidP="00B51F7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901045">
              <w:t>UK</w:t>
            </w:r>
          </w:p>
        </w:tc>
      </w:tr>
      <w:tr w:rsidR="00AE1E92" w:rsidRPr="00901045" w14:paraId="2845690E" w14:textId="77777777" w:rsidTr="00B51F70">
        <w:trPr>
          <w:trHeight w:val="516"/>
        </w:trPr>
        <w:tc>
          <w:tcPr>
            <w:cnfStyle w:val="001000000000" w:firstRow="0" w:lastRow="0" w:firstColumn="1" w:lastColumn="0" w:oddVBand="0" w:evenVBand="0" w:oddHBand="0" w:evenHBand="0" w:firstRowFirstColumn="0" w:firstRowLastColumn="0" w:lastRowFirstColumn="0" w:lastRowLastColumn="0"/>
            <w:tcW w:w="1701" w:type="dxa"/>
          </w:tcPr>
          <w:p w14:paraId="001BD767" w14:textId="77777777" w:rsidR="00E6568C" w:rsidRPr="00901045" w:rsidRDefault="00E6568C" w:rsidP="00B51F70">
            <w:pPr>
              <w:pStyle w:val="Tabletextbold"/>
              <w:rPr>
                <w:szCs w:val="18"/>
              </w:rPr>
            </w:pPr>
            <w:r w:rsidRPr="00901045">
              <w:t>Program / scheme name</w:t>
            </w:r>
          </w:p>
        </w:tc>
        <w:tc>
          <w:tcPr>
            <w:tcW w:w="2665" w:type="dxa"/>
          </w:tcPr>
          <w:p w14:paraId="47234503" w14:textId="77777777" w:rsidR="00E6568C" w:rsidRPr="00901045" w:rsidRDefault="00E6568C"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N/A</w:t>
            </w:r>
          </w:p>
        </w:tc>
        <w:tc>
          <w:tcPr>
            <w:tcW w:w="2665" w:type="dxa"/>
          </w:tcPr>
          <w:p w14:paraId="2F1B5F95" w14:textId="77777777" w:rsidR="00E6568C" w:rsidRPr="00901045" w:rsidRDefault="00E6568C"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Provincial programs (e.g., Ontario ADP)</w:t>
            </w:r>
          </w:p>
        </w:tc>
        <w:tc>
          <w:tcPr>
            <w:tcW w:w="2665" w:type="dxa"/>
          </w:tcPr>
          <w:p w14:paraId="482E90AC" w14:textId="0A46BEFE" w:rsidR="00E6568C" w:rsidRPr="00901045" w:rsidRDefault="00D92845"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 xml:space="preserve">Basic </w:t>
            </w:r>
            <w:r w:rsidR="00E8042B" w:rsidRPr="00901045">
              <w:rPr>
                <w:szCs w:val="18"/>
              </w:rPr>
              <w:t>H</w:t>
            </w:r>
            <w:r w:rsidRPr="00901045">
              <w:rPr>
                <w:szCs w:val="18"/>
              </w:rPr>
              <w:t>ealth Insurance</w:t>
            </w:r>
          </w:p>
        </w:tc>
        <w:tc>
          <w:tcPr>
            <w:tcW w:w="2665" w:type="dxa"/>
          </w:tcPr>
          <w:p w14:paraId="3D710381" w14:textId="4FAFA936" w:rsidR="00E6568C" w:rsidRPr="00901045" w:rsidRDefault="00C3500D"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No information available</w:t>
            </w:r>
          </w:p>
        </w:tc>
        <w:tc>
          <w:tcPr>
            <w:tcW w:w="2665" w:type="dxa"/>
          </w:tcPr>
          <w:p w14:paraId="33A050B8" w14:textId="600FD164" w:rsidR="00E6568C" w:rsidRPr="00901045" w:rsidRDefault="00037A3E"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NHS</w:t>
            </w:r>
          </w:p>
        </w:tc>
      </w:tr>
      <w:tr w:rsidR="00AE1E92" w:rsidRPr="00901045" w14:paraId="274B9418" w14:textId="77777777" w:rsidTr="00B51F70">
        <w:trPr>
          <w:trHeight w:val="514"/>
        </w:trPr>
        <w:tc>
          <w:tcPr>
            <w:cnfStyle w:val="001000000000" w:firstRow="0" w:lastRow="0" w:firstColumn="1" w:lastColumn="0" w:oddVBand="0" w:evenVBand="0" w:oddHBand="0" w:evenHBand="0" w:firstRowFirstColumn="0" w:firstRowLastColumn="0" w:lastRowFirstColumn="0" w:lastRowLastColumn="0"/>
            <w:tcW w:w="1701" w:type="dxa"/>
          </w:tcPr>
          <w:p w14:paraId="09DBF922" w14:textId="77777777" w:rsidR="00E6568C" w:rsidRPr="00901045" w:rsidRDefault="00E6568C" w:rsidP="00B51F70">
            <w:pPr>
              <w:pStyle w:val="Tabletextbold"/>
              <w:rPr>
                <w:szCs w:val="18"/>
              </w:rPr>
            </w:pPr>
            <w:r w:rsidRPr="00901045">
              <w:t>National or regional model</w:t>
            </w:r>
          </w:p>
        </w:tc>
        <w:tc>
          <w:tcPr>
            <w:tcW w:w="2665" w:type="dxa"/>
          </w:tcPr>
          <w:p w14:paraId="56F145EC" w14:textId="77777777" w:rsidR="00E6568C" w:rsidRPr="00901045" w:rsidRDefault="00E6568C"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 xml:space="preserve">N/A </w:t>
            </w:r>
          </w:p>
        </w:tc>
        <w:tc>
          <w:tcPr>
            <w:tcW w:w="2665" w:type="dxa"/>
          </w:tcPr>
          <w:p w14:paraId="01144DE6" w14:textId="77777777" w:rsidR="00E6568C" w:rsidRPr="00901045" w:rsidRDefault="00E6568C"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Regional (provincial)</w:t>
            </w:r>
          </w:p>
        </w:tc>
        <w:tc>
          <w:tcPr>
            <w:tcW w:w="2665" w:type="dxa"/>
          </w:tcPr>
          <w:p w14:paraId="02FD17E5" w14:textId="388F12C7" w:rsidR="00E6568C" w:rsidRPr="00901045" w:rsidRDefault="00E8042B"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National</w:t>
            </w:r>
          </w:p>
        </w:tc>
        <w:tc>
          <w:tcPr>
            <w:tcW w:w="2665" w:type="dxa"/>
          </w:tcPr>
          <w:p w14:paraId="428A6D88" w14:textId="10F8EC24" w:rsidR="00E6568C" w:rsidRPr="00901045" w:rsidRDefault="00C3500D"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No information available</w:t>
            </w:r>
          </w:p>
        </w:tc>
        <w:tc>
          <w:tcPr>
            <w:tcW w:w="2665" w:type="dxa"/>
          </w:tcPr>
          <w:p w14:paraId="5398C85E" w14:textId="1E41F1E0" w:rsidR="00E6568C" w:rsidRPr="00901045" w:rsidRDefault="00103C81"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National</w:t>
            </w:r>
          </w:p>
        </w:tc>
      </w:tr>
      <w:tr w:rsidR="00AE1E92" w:rsidRPr="00901045" w14:paraId="2B6157E7" w14:textId="77777777" w:rsidTr="00B51F70">
        <w:trPr>
          <w:trHeight w:val="514"/>
        </w:trPr>
        <w:tc>
          <w:tcPr>
            <w:cnfStyle w:val="001000000000" w:firstRow="0" w:lastRow="0" w:firstColumn="1" w:lastColumn="0" w:oddVBand="0" w:evenVBand="0" w:oddHBand="0" w:evenHBand="0" w:firstRowFirstColumn="0" w:firstRowLastColumn="0" w:lastRowFirstColumn="0" w:lastRowLastColumn="0"/>
            <w:tcW w:w="1701" w:type="dxa"/>
          </w:tcPr>
          <w:p w14:paraId="197D1D4F" w14:textId="77777777" w:rsidR="00E6568C" w:rsidRPr="00901045" w:rsidRDefault="00E6568C" w:rsidP="00B51F70">
            <w:pPr>
              <w:pStyle w:val="Tabletextbold"/>
              <w:rPr>
                <w:szCs w:val="18"/>
              </w:rPr>
            </w:pPr>
            <w:r w:rsidRPr="00901045">
              <w:t xml:space="preserve">Eligibility </w:t>
            </w:r>
            <w:r w:rsidRPr="00901045">
              <w:rPr>
                <w:szCs w:val="18"/>
              </w:rPr>
              <w:t>criteria</w:t>
            </w:r>
          </w:p>
        </w:tc>
        <w:tc>
          <w:tcPr>
            <w:tcW w:w="2665" w:type="dxa"/>
          </w:tcPr>
          <w:p w14:paraId="6FDA2934" w14:textId="77777777" w:rsidR="00E6568C" w:rsidRPr="00901045" w:rsidRDefault="00E6568C"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N/A</w:t>
            </w:r>
          </w:p>
        </w:tc>
        <w:tc>
          <w:tcPr>
            <w:tcW w:w="2665" w:type="dxa"/>
          </w:tcPr>
          <w:p w14:paraId="1F6B9100" w14:textId="49F87E95" w:rsidR="00E6568C" w:rsidRPr="00901045" w:rsidRDefault="00E6568C"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 xml:space="preserve">Provincial residency, valid health card, </w:t>
            </w:r>
            <w:r w:rsidR="00AB52C4" w:rsidRPr="00901045">
              <w:rPr>
                <w:szCs w:val="18"/>
              </w:rPr>
              <w:t>inability to speak, inability to use a pen and paper to write due to disability</w:t>
            </w:r>
          </w:p>
        </w:tc>
        <w:tc>
          <w:tcPr>
            <w:tcW w:w="2665" w:type="dxa"/>
          </w:tcPr>
          <w:p w14:paraId="7CA6700F" w14:textId="003DB5AD" w:rsidR="00E6568C" w:rsidRPr="00901045" w:rsidRDefault="00D72017"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Insured under statutory health insurance, treatment by physician</w:t>
            </w:r>
          </w:p>
        </w:tc>
        <w:tc>
          <w:tcPr>
            <w:tcW w:w="2665" w:type="dxa"/>
          </w:tcPr>
          <w:p w14:paraId="1825DF18" w14:textId="465E17D8" w:rsidR="00E6568C" w:rsidRPr="00901045" w:rsidRDefault="00C3500D"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No information available</w:t>
            </w:r>
          </w:p>
        </w:tc>
        <w:tc>
          <w:tcPr>
            <w:tcW w:w="2665" w:type="dxa"/>
          </w:tcPr>
          <w:p w14:paraId="7FEC6811" w14:textId="7A48CA27" w:rsidR="00E6568C" w:rsidRPr="00901045" w:rsidRDefault="00480F86"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Must be registered with the NHS, have a referral from GP / specialist, clinical need (e.g., post-cancer, trauma)</w:t>
            </w:r>
          </w:p>
        </w:tc>
      </w:tr>
      <w:tr w:rsidR="00AE1E92" w:rsidRPr="00901045" w14:paraId="7E35D415" w14:textId="77777777" w:rsidTr="00B51F70">
        <w:trPr>
          <w:trHeight w:val="1329"/>
        </w:trPr>
        <w:tc>
          <w:tcPr>
            <w:cnfStyle w:val="001000000000" w:firstRow="0" w:lastRow="0" w:firstColumn="1" w:lastColumn="0" w:oddVBand="0" w:evenVBand="0" w:oddHBand="0" w:evenHBand="0" w:firstRowFirstColumn="0" w:firstRowLastColumn="0" w:lastRowFirstColumn="0" w:lastRowLastColumn="0"/>
            <w:tcW w:w="1701" w:type="dxa"/>
          </w:tcPr>
          <w:p w14:paraId="5075F8FB" w14:textId="77777777" w:rsidR="00E6568C" w:rsidRPr="00901045" w:rsidRDefault="00E6568C" w:rsidP="00B51F70">
            <w:pPr>
              <w:pStyle w:val="Tabletextbold"/>
              <w:rPr>
                <w:szCs w:val="18"/>
              </w:rPr>
            </w:pPr>
            <w:r w:rsidRPr="00901045">
              <w:t>Products and services included</w:t>
            </w:r>
          </w:p>
        </w:tc>
        <w:tc>
          <w:tcPr>
            <w:tcW w:w="2665" w:type="dxa"/>
          </w:tcPr>
          <w:p w14:paraId="58DD9AA3" w14:textId="1519478A" w:rsidR="00E6568C" w:rsidRPr="00901045" w:rsidRDefault="00EE00BD"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Voice prostheses (up to 3 per year)</w:t>
            </w:r>
            <w:r w:rsidR="0037599A">
              <w:rPr>
                <w:szCs w:val="18"/>
              </w:rPr>
              <w:t xml:space="preserve"> and l</w:t>
            </w:r>
            <w:r w:rsidRPr="00901045">
              <w:rPr>
                <w:szCs w:val="18"/>
              </w:rPr>
              <w:t>aryngectomy consumables</w:t>
            </w:r>
            <w:r w:rsidR="0037599A">
              <w:rPr>
                <w:szCs w:val="18"/>
              </w:rPr>
              <w:t xml:space="preserve"> </w:t>
            </w:r>
            <w:r w:rsidR="008A582D">
              <w:rPr>
                <w:szCs w:val="18"/>
              </w:rPr>
              <w:t xml:space="preserve">– </w:t>
            </w:r>
            <w:r w:rsidR="0037599A">
              <w:rPr>
                <w:szCs w:val="18"/>
              </w:rPr>
              <w:t>o</w:t>
            </w:r>
            <w:r w:rsidR="0037599A" w:rsidRPr="00901045">
              <w:rPr>
                <w:szCs w:val="18"/>
              </w:rPr>
              <w:t>nly</w:t>
            </w:r>
            <w:r w:rsidR="008A582D">
              <w:rPr>
                <w:szCs w:val="18"/>
              </w:rPr>
              <w:t xml:space="preserve"> </w:t>
            </w:r>
            <w:r w:rsidR="0037599A" w:rsidRPr="00901045">
              <w:rPr>
                <w:szCs w:val="18"/>
              </w:rPr>
              <w:t>available in NSW, VIC, QLD, TAS</w:t>
            </w:r>
          </w:p>
        </w:tc>
        <w:tc>
          <w:tcPr>
            <w:tcW w:w="2665" w:type="dxa"/>
          </w:tcPr>
          <w:p w14:paraId="01B62CC7" w14:textId="77777777" w:rsidR="00E6568C" w:rsidRPr="00901045" w:rsidRDefault="00EE00BD"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Voice prostheses</w:t>
            </w:r>
          </w:p>
          <w:p w14:paraId="35F39281" w14:textId="39B195B4" w:rsidR="00EE00BD" w:rsidRPr="00901045" w:rsidRDefault="00896EAB"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Electrolarynxes</w:t>
            </w:r>
          </w:p>
          <w:p w14:paraId="48E3E2CA" w14:textId="154F1365" w:rsidR="00E6568C" w:rsidRPr="00901045" w:rsidRDefault="00EE00BD"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Voice amplifiers</w:t>
            </w:r>
          </w:p>
        </w:tc>
        <w:tc>
          <w:tcPr>
            <w:tcW w:w="2665" w:type="dxa"/>
          </w:tcPr>
          <w:p w14:paraId="76AD76BA" w14:textId="3960EB47" w:rsidR="00E6568C" w:rsidRPr="00901045" w:rsidRDefault="00CC1909"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Voice prostheses</w:t>
            </w:r>
            <w:r w:rsidR="00855263" w:rsidRPr="00901045">
              <w:rPr>
                <w:szCs w:val="18"/>
              </w:rPr>
              <w:t xml:space="preserve"> (up to 6 per year)</w:t>
            </w:r>
          </w:p>
          <w:p w14:paraId="6980480E" w14:textId="734805FE" w:rsidR="00E6568C" w:rsidRPr="00901045" w:rsidRDefault="00CC1909"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H</w:t>
            </w:r>
            <w:r w:rsidR="00D92845" w:rsidRPr="00901045">
              <w:rPr>
                <w:szCs w:val="18"/>
              </w:rPr>
              <w:t xml:space="preserve">eat </w:t>
            </w:r>
            <w:r w:rsidR="00103C81" w:rsidRPr="00901045">
              <w:rPr>
                <w:szCs w:val="18"/>
              </w:rPr>
              <w:t xml:space="preserve">and </w:t>
            </w:r>
            <w:r w:rsidR="00D92845" w:rsidRPr="00901045">
              <w:rPr>
                <w:szCs w:val="18"/>
              </w:rPr>
              <w:t>moisture exchang</w:t>
            </w:r>
            <w:r w:rsidR="00E8296E" w:rsidRPr="00901045">
              <w:rPr>
                <w:szCs w:val="18"/>
              </w:rPr>
              <w:t>e</w:t>
            </w:r>
            <w:r w:rsidR="00103C81" w:rsidRPr="00901045">
              <w:rPr>
                <w:szCs w:val="18"/>
              </w:rPr>
              <w:t>r</w:t>
            </w:r>
          </w:p>
        </w:tc>
        <w:tc>
          <w:tcPr>
            <w:tcW w:w="2665" w:type="dxa"/>
          </w:tcPr>
          <w:p w14:paraId="7563E9EF" w14:textId="4AFA6B13" w:rsidR="00E6568C" w:rsidRPr="00901045" w:rsidRDefault="00C3500D"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 xml:space="preserve">No information available </w:t>
            </w:r>
          </w:p>
        </w:tc>
        <w:tc>
          <w:tcPr>
            <w:tcW w:w="2665" w:type="dxa"/>
          </w:tcPr>
          <w:p w14:paraId="2F96AC0A" w14:textId="77777777" w:rsidR="00E6568C" w:rsidRPr="00901045" w:rsidRDefault="00103C81"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Voice prostheses</w:t>
            </w:r>
          </w:p>
          <w:p w14:paraId="1512683E" w14:textId="48F4CB3F" w:rsidR="00E6568C" w:rsidRPr="00901045" w:rsidRDefault="00103C81"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Heat and moisture exchanger</w:t>
            </w:r>
          </w:p>
        </w:tc>
      </w:tr>
      <w:tr w:rsidR="00AE1E92" w:rsidRPr="00901045" w14:paraId="5FF099E9" w14:textId="77777777" w:rsidTr="00B51F70">
        <w:trPr>
          <w:trHeight w:val="986"/>
        </w:trPr>
        <w:tc>
          <w:tcPr>
            <w:cnfStyle w:val="001000000000" w:firstRow="0" w:lastRow="0" w:firstColumn="1" w:lastColumn="0" w:oddVBand="0" w:evenVBand="0" w:oddHBand="0" w:evenHBand="0" w:firstRowFirstColumn="0" w:firstRowLastColumn="0" w:lastRowFirstColumn="0" w:lastRowLastColumn="0"/>
            <w:tcW w:w="1701" w:type="dxa"/>
          </w:tcPr>
          <w:p w14:paraId="7216275B" w14:textId="77777777" w:rsidR="00E6568C" w:rsidRPr="00901045" w:rsidRDefault="00E6568C" w:rsidP="00B51F70">
            <w:pPr>
              <w:pStyle w:val="Tabletextbold"/>
              <w:rPr>
                <w:szCs w:val="18"/>
              </w:rPr>
            </w:pPr>
            <w:r w:rsidRPr="00901045">
              <w:t>Funding source</w:t>
            </w:r>
          </w:p>
        </w:tc>
        <w:tc>
          <w:tcPr>
            <w:tcW w:w="2665" w:type="dxa"/>
          </w:tcPr>
          <w:p w14:paraId="56F0C678" w14:textId="77777777" w:rsidR="00E6568C" w:rsidRPr="00901045" w:rsidRDefault="00E6568C"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 xml:space="preserve">Mostly self-funded, partial funding from some state governments </w:t>
            </w:r>
          </w:p>
        </w:tc>
        <w:tc>
          <w:tcPr>
            <w:tcW w:w="2665" w:type="dxa"/>
          </w:tcPr>
          <w:p w14:paraId="6DFABF89" w14:textId="77777777" w:rsidR="00E6568C" w:rsidRPr="00901045" w:rsidRDefault="00E6568C"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 xml:space="preserve">Provincial governments </w:t>
            </w:r>
          </w:p>
        </w:tc>
        <w:tc>
          <w:tcPr>
            <w:tcW w:w="2665" w:type="dxa"/>
          </w:tcPr>
          <w:p w14:paraId="4792D1B9" w14:textId="7CCD6C25" w:rsidR="00E6568C" w:rsidRPr="00901045" w:rsidRDefault="00417EA7"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Self</w:t>
            </w:r>
            <w:r w:rsidR="00D72017" w:rsidRPr="00901045">
              <w:rPr>
                <w:szCs w:val="18"/>
              </w:rPr>
              <w:t>-</w:t>
            </w:r>
            <w:r w:rsidRPr="00901045">
              <w:rPr>
                <w:szCs w:val="18"/>
              </w:rPr>
              <w:t>funded and s</w:t>
            </w:r>
            <w:r w:rsidR="00EB741B" w:rsidRPr="00901045">
              <w:rPr>
                <w:szCs w:val="18"/>
              </w:rPr>
              <w:t>tatutory health insurance</w:t>
            </w:r>
            <w:r w:rsidR="008C51A6" w:rsidRPr="00901045">
              <w:rPr>
                <w:szCs w:val="18"/>
              </w:rPr>
              <w:t xml:space="preserve"> </w:t>
            </w:r>
          </w:p>
        </w:tc>
        <w:tc>
          <w:tcPr>
            <w:tcW w:w="2665" w:type="dxa"/>
          </w:tcPr>
          <w:p w14:paraId="66846FDC" w14:textId="3A9F3205" w:rsidR="00E6568C" w:rsidRPr="00901045" w:rsidRDefault="00C3500D"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No information available</w:t>
            </w:r>
          </w:p>
        </w:tc>
        <w:tc>
          <w:tcPr>
            <w:tcW w:w="2665" w:type="dxa"/>
          </w:tcPr>
          <w:p w14:paraId="01C439F8" w14:textId="2C203E69" w:rsidR="00E6568C" w:rsidRPr="00901045" w:rsidRDefault="008C51A6" w:rsidP="00B51F70">
            <w:pPr>
              <w:pStyle w:val="TableText"/>
              <w:cnfStyle w:val="000000000000" w:firstRow="0" w:lastRow="0" w:firstColumn="0" w:lastColumn="0" w:oddVBand="0" w:evenVBand="0" w:oddHBand="0" w:evenHBand="0" w:firstRowFirstColumn="0" w:firstRowLastColumn="0" w:lastRowFirstColumn="0" w:lastRowLastColumn="0"/>
              <w:rPr>
                <w:szCs w:val="18"/>
              </w:rPr>
            </w:pPr>
            <w:proofErr w:type="gramStart"/>
            <w:r w:rsidRPr="00901045">
              <w:t>Fully-funded</w:t>
            </w:r>
            <w:proofErr w:type="gramEnd"/>
          </w:p>
        </w:tc>
      </w:tr>
      <w:tr w:rsidR="00AE1E92" w:rsidRPr="00901045" w14:paraId="2F89B020" w14:textId="77777777" w:rsidTr="00B51F70">
        <w:trPr>
          <w:trHeight w:val="728"/>
        </w:trPr>
        <w:tc>
          <w:tcPr>
            <w:cnfStyle w:val="001000000000" w:firstRow="0" w:lastRow="0" w:firstColumn="1" w:lastColumn="0" w:oddVBand="0" w:evenVBand="0" w:oddHBand="0" w:evenHBand="0" w:firstRowFirstColumn="0" w:firstRowLastColumn="0" w:lastRowFirstColumn="0" w:lastRowLastColumn="0"/>
            <w:tcW w:w="1701" w:type="dxa"/>
          </w:tcPr>
          <w:p w14:paraId="2C4D700A" w14:textId="77777777" w:rsidR="00E6568C" w:rsidRPr="00901045" w:rsidRDefault="00E6568C" w:rsidP="00B51F70">
            <w:pPr>
              <w:pStyle w:val="Tabletextbold"/>
              <w:rPr>
                <w:szCs w:val="18"/>
              </w:rPr>
            </w:pPr>
            <w:r w:rsidRPr="00901045">
              <w:t>Funding model</w:t>
            </w:r>
          </w:p>
        </w:tc>
        <w:tc>
          <w:tcPr>
            <w:tcW w:w="2665" w:type="dxa"/>
          </w:tcPr>
          <w:p w14:paraId="31D00BCC" w14:textId="77777777" w:rsidR="00E6568C" w:rsidRPr="00901045" w:rsidRDefault="00E6568C"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Mostly self-funded</w:t>
            </w:r>
          </w:p>
        </w:tc>
        <w:tc>
          <w:tcPr>
            <w:tcW w:w="2665" w:type="dxa"/>
          </w:tcPr>
          <w:p w14:paraId="1561549F" w14:textId="77777777" w:rsidR="00E6568C" w:rsidRPr="00901045" w:rsidRDefault="00E6568C"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Partial reimbursement model, ~75% of costs</w:t>
            </w:r>
          </w:p>
        </w:tc>
        <w:tc>
          <w:tcPr>
            <w:tcW w:w="2665" w:type="dxa"/>
          </w:tcPr>
          <w:p w14:paraId="51F8247D" w14:textId="01FD48C4" w:rsidR="00E6568C" w:rsidRPr="00901045" w:rsidRDefault="00417EA7"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Self-funded (</w:t>
            </w:r>
            <w:r w:rsidR="00FF6975" w:rsidRPr="00901045">
              <w:rPr>
                <w:szCs w:val="18"/>
              </w:rPr>
              <w:t>for an annual fixed amount), then a reimbursement model for the remaining costs</w:t>
            </w:r>
          </w:p>
        </w:tc>
        <w:tc>
          <w:tcPr>
            <w:tcW w:w="2665" w:type="dxa"/>
          </w:tcPr>
          <w:p w14:paraId="379CA940" w14:textId="20FB636C" w:rsidR="00E6568C" w:rsidRPr="00901045" w:rsidRDefault="00C3500D"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No information available</w:t>
            </w:r>
          </w:p>
        </w:tc>
        <w:tc>
          <w:tcPr>
            <w:tcW w:w="2665" w:type="dxa"/>
          </w:tcPr>
          <w:p w14:paraId="1015CDED" w14:textId="309A27EA" w:rsidR="00E6568C" w:rsidRPr="00901045" w:rsidRDefault="003074AE"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NHS (public funding)</w:t>
            </w:r>
          </w:p>
        </w:tc>
      </w:tr>
      <w:tr w:rsidR="00AE1E92" w:rsidRPr="00901045" w14:paraId="1E8C7617" w14:textId="77777777" w:rsidTr="00B51F70">
        <w:trPr>
          <w:trHeight w:val="73"/>
        </w:trPr>
        <w:tc>
          <w:tcPr>
            <w:cnfStyle w:val="001000000000" w:firstRow="0" w:lastRow="0" w:firstColumn="1" w:lastColumn="0" w:oddVBand="0" w:evenVBand="0" w:oddHBand="0" w:evenHBand="0" w:firstRowFirstColumn="0" w:firstRowLastColumn="0" w:lastRowFirstColumn="0" w:lastRowLastColumn="0"/>
            <w:tcW w:w="1701" w:type="dxa"/>
          </w:tcPr>
          <w:p w14:paraId="503689D9" w14:textId="77777777" w:rsidR="00E6568C" w:rsidRPr="00901045" w:rsidRDefault="00E6568C" w:rsidP="00B51F70">
            <w:pPr>
              <w:pStyle w:val="Tabletextbold"/>
              <w:rPr>
                <w:b/>
                <w:szCs w:val="18"/>
              </w:rPr>
            </w:pPr>
            <w:r w:rsidRPr="00901045">
              <w:t>Process for accessing a prosthesis</w:t>
            </w:r>
          </w:p>
          <w:p w14:paraId="57533BF2" w14:textId="77777777" w:rsidR="00E6568C" w:rsidRPr="00901045" w:rsidRDefault="00E6568C" w:rsidP="00B51F70">
            <w:pPr>
              <w:pStyle w:val="Tabletextbold"/>
            </w:pPr>
          </w:p>
        </w:tc>
        <w:tc>
          <w:tcPr>
            <w:tcW w:w="2665" w:type="dxa"/>
          </w:tcPr>
          <w:p w14:paraId="2F2FA542" w14:textId="47335C93" w:rsidR="00E6568C" w:rsidRPr="00901045" w:rsidRDefault="009C4E45"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Specialist assessment, specialist prescription</w:t>
            </w:r>
            <w:r w:rsidR="00E6568C" w:rsidRPr="00901045">
              <w:rPr>
                <w:szCs w:val="18"/>
              </w:rPr>
              <w:t xml:space="preserve"> </w:t>
            </w:r>
          </w:p>
        </w:tc>
        <w:tc>
          <w:tcPr>
            <w:tcW w:w="2665" w:type="dxa"/>
          </w:tcPr>
          <w:p w14:paraId="51E38F7F" w14:textId="3E7E3B1A" w:rsidR="00E6568C" w:rsidRPr="00901045" w:rsidRDefault="009C4E45"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 xml:space="preserve">Examination by speech language pathologist or occupation therapist, </w:t>
            </w:r>
            <w:r w:rsidR="00C021F0" w:rsidRPr="00901045">
              <w:rPr>
                <w:szCs w:val="18"/>
              </w:rPr>
              <w:t>prostheses fitting,</w:t>
            </w:r>
            <w:r w:rsidR="00E6568C" w:rsidRPr="00901045">
              <w:rPr>
                <w:szCs w:val="18"/>
              </w:rPr>
              <w:t xml:space="preserve"> </w:t>
            </w:r>
            <w:r w:rsidR="000C5DC3" w:rsidRPr="00901045">
              <w:rPr>
                <w:szCs w:val="18"/>
              </w:rPr>
              <w:t>application to ADP</w:t>
            </w:r>
            <w:r w:rsidR="007B7939" w:rsidRPr="00901045">
              <w:rPr>
                <w:rFonts w:ascii="ZWAdobeF" w:hAnsi="ZWAdobeF" w:cs="ZWAdobeF"/>
                <w:color w:val="auto"/>
                <w:szCs w:val="18"/>
              </w:rPr>
              <w:t>151F</w:t>
            </w:r>
            <w:r w:rsidR="00C021F0" w:rsidRPr="00901045">
              <w:rPr>
                <w:rStyle w:val="FootnoteReference"/>
                <w:szCs w:val="18"/>
              </w:rPr>
              <w:footnoteReference w:id="139"/>
            </w:r>
          </w:p>
        </w:tc>
        <w:tc>
          <w:tcPr>
            <w:tcW w:w="2665" w:type="dxa"/>
          </w:tcPr>
          <w:p w14:paraId="2204CFA8" w14:textId="32388EF4" w:rsidR="00E6568C" w:rsidRPr="00901045" w:rsidRDefault="004C63A3"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 xml:space="preserve">Specialist assessment, </w:t>
            </w:r>
            <w:r w:rsidR="00E5661E" w:rsidRPr="00901045">
              <w:rPr>
                <w:szCs w:val="18"/>
              </w:rPr>
              <w:t>treatment through head and neck cancers</w:t>
            </w:r>
            <w:r w:rsidR="007B7939" w:rsidRPr="00901045">
              <w:rPr>
                <w:rFonts w:ascii="ZWAdobeF" w:hAnsi="ZWAdobeF" w:cs="ZWAdobeF"/>
                <w:color w:val="auto"/>
                <w:szCs w:val="18"/>
              </w:rPr>
              <w:t>152F</w:t>
            </w:r>
            <w:r w:rsidR="00D72017" w:rsidRPr="00901045">
              <w:rPr>
                <w:rStyle w:val="FootnoteReference"/>
                <w:szCs w:val="18"/>
              </w:rPr>
              <w:footnoteReference w:id="140"/>
            </w:r>
            <w:r w:rsidR="00956623" w:rsidRPr="00901045">
              <w:rPr>
                <w:szCs w:val="18"/>
                <w:vertAlign w:val="superscript"/>
              </w:rPr>
              <w:t xml:space="preserve">, </w:t>
            </w:r>
            <w:r w:rsidR="007B7939" w:rsidRPr="00901045">
              <w:rPr>
                <w:rFonts w:ascii="ZWAdobeF" w:hAnsi="ZWAdobeF" w:cs="ZWAdobeF"/>
                <w:color w:val="auto"/>
                <w:szCs w:val="18"/>
              </w:rPr>
              <w:t>153F</w:t>
            </w:r>
            <w:r w:rsidR="00956623" w:rsidRPr="00901045">
              <w:rPr>
                <w:rStyle w:val="FootnoteReference"/>
                <w:szCs w:val="18"/>
              </w:rPr>
              <w:footnoteReference w:id="141"/>
            </w:r>
          </w:p>
        </w:tc>
        <w:tc>
          <w:tcPr>
            <w:tcW w:w="2665" w:type="dxa"/>
          </w:tcPr>
          <w:p w14:paraId="2D9F35AD" w14:textId="6721E1CD" w:rsidR="00E6568C" w:rsidRPr="00901045" w:rsidRDefault="00C3500D"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No information available</w:t>
            </w:r>
          </w:p>
        </w:tc>
        <w:tc>
          <w:tcPr>
            <w:tcW w:w="2665" w:type="dxa"/>
          </w:tcPr>
          <w:p w14:paraId="4FDAF8ED" w14:textId="72710756" w:rsidR="00E6568C" w:rsidRPr="00901045" w:rsidRDefault="00AA0B5D" w:rsidP="00B51F70">
            <w:pPr>
              <w:pStyle w:val="TableText"/>
              <w:cnfStyle w:val="000000000000" w:firstRow="0" w:lastRow="0" w:firstColumn="0" w:lastColumn="0" w:oddVBand="0" w:evenVBand="0" w:oddHBand="0" w:evenHBand="0" w:firstRowFirstColumn="0" w:firstRowLastColumn="0" w:lastRowFirstColumn="0" w:lastRowLastColumn="0"/>
              <w:rPr>
                <w:szCs w:val="18"/>
              </w:rPr>
            </w:pPr>
            <w:r w:rsidRPr="00901045">
              <w:t>Part of laryngectomy operation</w:t>
            </w:r>
            <w:r w:rsidR="007B7939" w:rsidRPr="00901045">
              <w:rPr>
                <w:rFonts w:ascii="ZWAdobeF" w:hAnsi="ZWAdobeF" w:cs="ZWAdobeF"/>
                <w:color w:val="auto"/>
                <w:szCs w:val="18"/>
              </w:rPr>
              <w:t>154F</w:t>
            </w:r>
            <w:r w:rsidRPr="00901045">
              <w:rPr>
                <w:rStyle w:val="FootnoteReference"/>
                <w:szCs w:val="18"/>
              </w:rPr>
              <w:footnoteReference w:id="142"/>
            </w:r>
            <w:r w:rsidR="007B7939" w:rsidRPr="00901045">
              <w:rPr>
                <w:rFonts w:ascii="ZWAdobeF" w:hAnsi="ZWAdobeF" w:cs="ZWAdobeF"/>
                <w:color w:val="auto"/>
                <w:szCs w:val="18"/>
              </w:rPr>
              <w:t>155F</w:t>
            </w:r>
            <w:r w:rsidRPr="00901045">
              <w:rPr>
                <w:rStyle w:val="FootnoteReference"/>
                <w:szCs w:val="18"/>
              </w:rPr>
              <w:footnoteReference w:id="143"/>
            </w:r>
          </w:p>
        </w:tc>
      </w:tr>
    </w:tbl>
    <w:p w14:paraId="3DCF23F9" w14:textId="7C7B8788" w:rsidR="00912A56" w:rsidRPr="00EE23ED" w:rsidRDefault="00460CA9" w:rsidP="00B51F70">
      <w:pPr>
        <w:pStyle w:val="Caption-Source"/>
        <w:rPr>
          <w:i/>
          <w:szCs w:val="20"/>
        </w:rPr>
        <w:sectPr w:rsidR="00912A56" w:rsidRPr="00EE23ED" w:rsidSect="00467793">
          <w:pgSz w:w="16838" w:h="11906" w:orient="landscape"/>
          <w:pgMar w:top="1418" w:right="851" w:bottom="1134" w:left="851" w:header="567" w:footer="284" w:gutter="0"/>
          <w:cols w:space="708"/>
          <w:docGrid w:linePitch="360"/>
        </w:sectPr>
      </w:pPr>
      <w:r w:rsidRPr="00896EAB">
        <w:t xml:space="preserve">Source: </w:t>
      </w:r>
      <w:r w:rsidR="00120620" w:rsidRPr="00120620">
        <w:t>Independent reviewer</w:t>
      </w:r>
      <w:r w:rsidR="00584D02" w:rsidRPr="00CD3106">
        <w:t xml:space="preserve"> (</w:t>
      </w:r>
      <w:r w:rsidRPr="00CD3106">
        <w:t>2025</w:t>
      </w:r>
      <w:r w:rsidR="00584D02" w:rsidRPr="00CD3106">
        <w:t>)</w:t>
      </w:r>
    </w:p>
    <w:p w14:paraId="364FF327" w14:textId="2102F100" w:rsidR="000350BC" w:rsidRDefault="0098124E" w:rsidP="000350BC">
      <w:pPr>
        <w:pStyle w:val="Heading3"/>
      </w:pPr>
      <w:r>
        <w:t>Male reproductive</w:t>
      </w:r>
      <w:r w:rsidR="000350BC">
        <w:t xml:space="preserve"> prostheses</w:t>
      </w:r>
    </w:p>
    <w:p w14:paraId="7CADE1F3" w14:textId="66688D8C" w:rsidR="007E6CDA" w:rsidRPr="0040690B" w:rsidRDefault="00861917" w:rsidP="0040690B">
      <w:r w:rsidRPr="0040690B">
        <w:t>Australia</w:t>
      </w:r>
      <w:r w:rsidR="005A4C5E" w:rsidRPr="0040690B">
        <w:t>, Canada</w:t>
      </w:r>
      <w:r w:rsidR="00F260A1" w:rsidRPr="0040690B">
        <w:t xml:space="preserve"> </w:t>
      </w:r>
      <w:r w:rsidRPr="0040690B">
        <w:t xml:space="preserve">and New </w:t>
      </w:r>
      <w:r w:rsidR="00F260A1" w:rsidRPr="0040690B">
        <w:t xml:space="preserve">Zealand offer limited or no public funding for </w:t>
      </w:r>
      <w:r w:rsidR="005A4C5E" w:rsidRPr="0040690B">
        <w:t xml:space="preserve">external </w:t>
      </w:r>
      <w:r w:rsidR="00F260A1" w:rsidRPr="0040690B">
        <w:t xml:space="preserve">male reproductive prostheses, leaving most </w:t>
      </w:r>
      <w:r w:rsidR="00DE388E" w:rsidRPr="0040690B">
        <w:t>people requiring prostheses</w:t>
      </w:r>
      <w:r w:rsidR="00F260A1" w:rsidRPr="0040690B">
        <w:t xml:space="preserve"> to navigate the system through self-funding. In Australia, public access is restricted only to eligible veterans through the DVA</w:t>
      </w:r>
      <w:r w:rsidR="0016416A" w:rsidRPr="0040690B">
        <w:t xml:space="preserve">, with all other </w:t>
      </w:r>
      <w:r w:rsidR="00DE388E" w:rsidRPr="0040690B">
        <w:t>individual</w:t>
      </w:r>
      <w:r w:rsidR="0016416A" w:rsidRPr="0040690B">
        <w:t xml:space="preserve">s having to pay for prostheses privately. Similarly, in </w:t>
      </w:r>
      <w:r w:rsidR="005A4C5E" w:rsidRPr="0040690B">
        <w:t>Canada and</w:t>
      </w:r>
      <w:r w:rsidR="0016416A" w:rsidRPr="0040690B">
        <w:t xml:space="preserve"> New Zealand, </w:t>
      </w:r>
      <w:r w:rsidR="00DE388E" w:rsidRPr="0040690B">
        <w:t>individual</w:t>
      </w:r>
      <w:r w:rsidR="0016416A" w:rsidRPr="0040690B">
        <w:t xml:space="preserve">s requiring </w:t>
      </w:r>
      <w:r w:rsidR="005A4C5E" w:rsidRPr="0040690B">
        <w:t xml:space="preserve">external </w:t>
      </w:r>
      <w:r w:rsidR="0016416A" w:rsidRPr="0040690B">
        <w:t xml:space="preserve">prostheses must </w:t>
      </w:r>
      <w:r w:rsidR="00D857A9" w:rsidRPr="0040690B">
        <w:t>pay the full out-of-pocket costs themselves.</w:t>
      </w:r>
      <w:r w:rsidR="007E6CDA" w:rsidRPr="0040690B">
        <w:t xml:space="preserve"> The Netherlands lacks publicly available information on whether any national or regional funding mechanisms exist, which may indicate the absence of a formalised public program for these prostheses. </w:t>
      </w:r>
    </w:p>
    <w:p w14:paraId="24B2725D" w14:textId="1A50AEB3" w:rsidR="00FE714B" w:rsidRPr="0040690B" w:rsidRDefault="00D857A9" w:rsidP="0040690B">
      <w:r w:rsidRPr="0040690B">
        <w:t>In contrast, the UK allow</w:t>
      </w:r>
      <w:r w:rsidR="0000004D" w:rsidRPr="0040690B">
        <w:t>s</w:t>
      </w:r>
      <w:r w:rsidRPr="0040690B">
        <w:t xml:space="preserve"> access to </w:t>
      </w:r>
      <w:r w:rsidR="0000004D" w:rsidRPr="0040690B">
        <w:t xml:space="preserve">external </w:t>
      </w:r>
      <w:r w:rsidRPr="0040690B">
        <w:t>male reproductive prostheses</w:t>
      </w:r>
      <w:r w:rsidR="0000004D" w:rsidRPr="0040690B">
        <w:t xml:space="preserve"> through the NHS</w:t>
      </w:r>
      <w:r w:rsidRPr="0040690B">
        <w:t xml:space="preserve"> under defined clinical conditions.</w:t>
      </w:r>
      <w:r w:rsidR="0000004D" w:rsidRPr="0040690B">
        <w:t xml:space="preserve"> </w:t>
      </w:r>
      <w:r w:rsidR="00B306D5" w:rsidRPr="0040690B">
        <w:t>Eligibility</w:t>
      </w:r>
      <w:r w:rsidR="007E4D34" w:rsidRPr="0040690B">
        <w:t xml:space="preserve"> is determined through </w:t>
      </w:r>
      <w:r w:rsidR="00B6659A" w:rsidRPr="0040690B">
        <w:t>GP assessment</w:t>
      </w:r>
      <w:r w:rsidR="00E5266C" w:rsidRPr="0040690B">
        <w:t xml:space="preserve"> and based on whether the clinical need is due to a medical condition (which includes prostate cancer). </w:t>
      </w:r>
      <w:r w:rsidR="00212B1B" w:rsidRPr="0040690B">
        <w:t xml:space="preserve">Following the GP assessment, an NHS prescription is </w:t>
      </w:r>
      <w:proofErr w:type="gramStart"/>
      <w:r w:rsidR="00212B1B" w:rsidRPr="0040690B">
        <w:t>provided</w:t>
      </w:r>
      <w:proofErr w:type="gramEnd"/>
      <w:r w:rsidR="00212B1B" w:rsidRPr="0040690B">
        <w:t xml:space="preserve"> and the device is dispensed at </w:t>
      </w:r>
      <w:r w:rsidR="00D57F23" w:rsidRPr="0040690B">
        <w:t xml:space="preserve">a pharmacy. </w:t>
      </w:r>
    </w:p>
    <w:p w14:paraId="5C6DB016" w14:textId="776A4A2F" w:rsidR="00D36395" w:rsidRPr="0040690B" w:rsidRDefault="000467DD" w:rsidP="0040690B">
      <w:pPr>
        <w:sectPr w:rsidR="00D36395" w:rsidRPr="0040690B" w:rsidSect="00E42C94">
          <w:pgSz w:w="11906" w:h="16838"/>
          <w:pgMar w:top="1418" w:right="851" w:bottom="851" w:left="851" w:header="567" w:footer="284" w:gutter="0"/>
          <w:cols w:space="708"/>
          <w:docGrid w:linePitch="360"/>
        </w:sectPr>
      </w:pPr>
      <w:r w:rsidRPr="0040690B">
        <w:t>In summary, the UK offer</w:t>
      </w:r>
      <w:r w:rsidR="00D57F23" w:rsidRPr="0040690B">
        <w:t>s</w:t>
      </w:r>
      <w:r w:rsidRPr="0040690B">
        <w:t xml:space="preserve"> the most accessible public pathways for </w:t>
      </w:r>
      <w:r w:rsidR="00D57F23" w:rsidRPr="0040690B">
        <w:t>external</w:t>
      </w:r>
      <w:r w:rsidRPr="0040690B">
        <w:t xml:space="preserve"> male reproductive prostheses, guided by clinical need and provided at no cost to eligible patients. In contrast, Australia</w:t>
      </w:r>
      <w:r w:rsidR="00D57F23" w:rsidRPr="0040690B">
        <w:t>, Canada,</w:t>
      </w:r>
      <w:r w:rsidRPr="0040690B">
        <w:t xml:space="preserve"> and New Zealand rely on self-funding models, limiting access to those who can afford to pay privately. The absence of clear information from the Netherlands suggests a lack of formal public </w:t>
      </w:r>
      <w:r w:rsidR="00FE0133" w:rsidRPr="0040690B">
        <w:t xml:space="preserve">or </w:t>
      </w:r>
      <w:proofErr w:type="gramStart"/>
      <w:r w:rsidR="00FE0133" w:rsidRPr="0040690B">
        <w:t>privately-funded</w:t>
      </w:r>
      <w:proofErr w:type="gramEnd"/>
      <w:r w:rsidR="00FE0133" w:rsidRPr="0040690B">
        <w:t xml:space="preserve"> provision, highlighting international disparities in access to male reproductive prostheses. </w:t>
      </w:r>
    </w:p>
    <w:p w14:paraId="795CF9A7" w14:textId="345895C5" w:rsidR="00460CA9" w:rsidRDefault="00460CA9" w:rsidP="00460CA9">
      <w:pPr>
        <w:pStyle w:val="Caption"/>
      </w:pPr>
      <w:bookmarkStart w:id="111" w:name="_Toc207348582"/>
      <w:r>
        <w:t xml:space="preserve">Table </w:t>
      </w:r>
      <w:r w:rsidR="00D955D8">
        <w:fldChar w:fldCharType="begin"/>
      </w:r>
      <w:r w:rsidR="00D955D8">
        <w:instrText xml:space="preserve"> SEQ Table \* ARABIC </w:instrText>
      </w:r>
      <w:r w:rsidR="00D955D8">
        <w:fldChar w:fldCharType="separate"/>
      </w:r>
      <w:r w:rsidR="00D955D8">
        <w:rPr>
          <w:noProof/>
        </w:rPr>
        <w:t>17</w:t>
      </w:r>
      <w:r w:rsidR="00D955D8">
        <w:rPr>
          <w:noProof/>
        </w:rPr>
        <w:fldChar w:fldCharType="end"/>
      </w:r>
      <w:r>
        <w:t xml:space="preserve">: </w:t>
      </w:r>
      <w:r w:rsidRPr="00AD6E2A">
        <w:t xml:space="preserve">International comparison </w:t>
      </w:r>
      <w:r>
        <w:t xml:space="preserve">of </w:t>
      </w:r>
      <w:r w:rsidR="003E6486">
        <w:t>male reproductive</w:t>
      </w:r>
      <w:r>
        <w:t xml:space="preserve"> </w:t>
      </w:r>
      <w:r w:rsidRPr="00AD6E2A">
        <w:t>prostheses programs and schemes</w:t>
      </w:r>
      <w:bookmarkEnd w:id="111"/>
    </w:p>
    <w:tbl>
      <w:tblPr>
        <w:tblStyle w:val="KPMGTable"/>
        <w:tblW w:w="15026" w:type="dxa"/>
        <w:tblLook w:val="04A0" w:firstRow="1" w:lastRow="0" w:firstColumn="1" w:lastColumn="0" w:noHBand="0" w:noVBand="1"/>
      </w:tblPr>
      <w:tblGrid>
        <w:gridCol w:w="1701"/>
        <w:gridCol w:w="2665"/>
        <w:gridCol w:w="2665"/>
        <w:gridCol w:w="2665"/>
        <w:gridCol w:w="2665"/>
        <w:gridCol w:w="2665"/>
      </w:tblGrid>
      <w:tr w:rsidR="00AD6F37" w:rsidRPr="00C10C27" w14:paraId="3FCF5009" w14:textId="77777777" w:rsidTr="00B96BF0">
        <w:trPr>
          <w:cnfStyle w:val="100000000000" w:firstRow="1" w:lastRow="0" w:firstColumn="0" w:lastColumn="0" w:oddVBand="0" w:evenVBand="0" w:oddHBand="0"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1701" w:type="dxa"/>
          </w:tcPr>
          <w:p w14:paraId="40C4F060" w14:textId="77777777" w:rsidR="00D36395" w:rsidRDefault="00D36395" w:rsidP="00B96BF0">
            <w:pPr>
              <w:pStyle w:val="TableHeading"/>
            </w:pPr>
            <w:r>
              <w:t>Program details</w:t>
            </w:r>
          </w:p>
        </w:tc>
        <w:tc>
          <w:tcPr>
            <w:tcW w:w="2665" w:type="dxa"/>
          </w:tcPr>
          <w:p w14:paraId="5E466838" w14:textId="77777777" w:rsidR="00D36395" w:rsidRPr="00C10C27" w:rsidRDefault="00D36395" w:rsidP="00B96BF0">
            <w:pPr>
              <w:pStyle w:val="TableHeading"/>
              <w:cnfStyle w:val="100000000000" w:firstRow="1" w:lastRow="0" w:firstColumn="0" w:lastColumn="0" w:oddVBand="0" w:evenVBand="0" w:oddHBand="0" w:evenHBand="0" w:firstRowFirstColumn="0" w:firstRowLastColumn="0" w:lastRowFirstColumn="0" w:lastRowLastColumn="0"/>
            </w:pPr>
            <w:r>
              <w:t>Australia</w:t>
            </w:r>
          </w:p>
        </w:tc>
        <w:tc>
          <w:tcPr>
            <w:tcW w:w="2665" w:type="dxa"/>
          </w:tcPr>
          <w:p w14:paraId="4E1901E9" w14:textId="77777777" w:rsidR="00D36395" w:rsidRPr="00C10C27" w:rsidRDefault="00D36395" w:rsidP="00B96BF0">
            <w:pPr>
              <w:pStyle w:val="TableHeading"/>
              <w:cnfStyle w:val="100000000000" w:firstRow="1" w:lastRow="0" w:firstColumn="0" w:lastColumn="0" w:oddVBand="0" w:evenVBand="0" w:oddHBand="0" w:evenHBand="0" w:firstRowFirstColumn="0" w:firstRowLastColumn="0" w:lastRowFirstColumn="0" w:lastRowLastColumn="0"/>
            </w:pPr>
            <w:r>
              <w:t>Canada</w:t>
            </w:r>
          </w:p>
        </w:tc>
        <w:tc>
          <w:tcPr>
            <w:tcW w:w="2665" w:type="dxa"/>
          </w:tcPr>
          <w:p w14:paraId="306B321E" w14:textId="77777777" w:rsidR="00D36395" w:rsidRPr="00C10C27" w:rsidRDefault="00D36395" w:rsidP="00B96BF0">
            <w:pPr>
              <w:pStyle w:val="TableHeading"/>
              <w:cnfStyle w:val="100000000000" w:firstRow="1" w:lastRow="0" w:firstColumn="0" w:lastColumn="0" w:oddVBand="0" w:evenVBand="0" w:oddHBand="0" w:evenHBand="0" w:firstRowFirstColumn="0" w:firstRowLastColumn="0" w:lastRowFirstColumn="0" w:lastRowLastColumn="0"/>
            </w:pPr>
            <w:r>
              <w:t>Netherlands</w:t>
            </w:r>
          </w:p>
        </w:tc>
        <w:tc>
          <w:tcPr>
            <w:tcW w:w="2665" w:type="dxa"/>
          </w:tcPr>
          <w:p w14:paraId="1B6E8703" w14:textId="77777777" w:rsidR="00D36395" w:rsidRPr="00C10C27" w:rsidRDefault="00D36395" w:rsidP="00B96BF0">
            <w:pPr>
              <w:pStyle w:val="TableHeading"/>
              <w:cnfStyle w:val="100000000000" w:firstRow="1" w:lastRow="0" w:firstColumn="0" w:lastColumn="0" w:oddVBand="0" w:evenVBand="0" w:oddHBand="0" w:evenHBand="0" w:firstRowFirstColumn="0" w:firstRowLastColumn="0" w:lastRowFirstColumn="0" w:lastRowLastColumn="0"/>
            </w:pPr>
            <w:r>
              <w:t>New Zealand</w:t>
            </w:r>
          </w:p>
        </w:tc>
        <w:tc>
          <w:tcPr>
            <w:tcW w:w="2665" w:type="dxa"/>
          </w:tcPr>
          <w:p w14:paraId="7A3E36F5" w14:textId="77777777" w:rsidR="00D36395" w:rsidRPr="00C10C27" w:rsidRDefault="00D36395" w:rsidP="00B96BF0">
            <w:pPr>
              <w:pStyle w:val="TableHeading"/>
              <w:cnfStyle w:val="100000000000" w:firstRow="1" w:lastRow="0" w:firstColumn="0" w:lastColumn="0" w:oddVBand="0" w:evenVBand="0" w:oddHBand="0" w:evenHBand="0" w:firstRowFirstColumn="0" w:firstRowLastColumn="0" w:lastRowFirstColumn="0" w:lastRowLastColumn="0"/>
            </w:pPr>
            <w:r>
              <w:t>UK</w:t>
            </w:r>
          </w:p>
        </w:tc>
      </w:tr>
      <w:tr w:rsidR="00AE1E92" w:rsidRPr="00E9562A" w14:paraId="63AD6A5E" w14:textId="77777777" w:rsidTr="00B96BF0">
        <w:trPr>
          <w:trHeight w:val="516"/>
        </w:trPr>
        <w:tc>
          <w:tcPr>
            <w:cnfStyle w:val="001000000000" w:firstRow="0" w:lastRow="0" w:firstColumn="1" w:lastColumn="0" w:oddVBand="0" w:evenVBand="0" w:oddHBand="0" w:evenHBand="0" w:firstRowFirstColumn="0" w:firstRowLastColumn="0" w:lastRowFirstColumn="0" w:lastRowLastColumn="0"/>
            <w:tcW w:w="1701" w:type="dxa"/>
          </w:tcPr>
          <w:p w14:paraId="0F3E4D01" w14:textId="77777777" w:rsidR="00E23F35" w:rsidRPr="00C10C27" w:rsidRDefault="00E23F35" w:rsidP="00B96BF0">
            <w:pPr>
              <w:pStyle w:val="Tabletextbold"/>
            </w:pPr>
            <w:r w:rsidRPr="002C6677">
              <w:t>Program</w:t>
            </w:r>
            <w:r>
              <w:t xml:space="preserve"> / s</w:t>
            </w:r>
            <w:r w:rsidRPr="002C6677">
              <w:t xml:space="preserve">cheme </w:t>
            </w:r>
            <w:r>
              <w:t>n</w:t>
            </w:r>
            <w:r w:rsidRPr="002C6677">
              <w:t>ame</w:t>
            </w:r>
          </w:p>
        </w:tc>
        <w:tc>
          <w:tcPr>
            <w:tcW w:w="2665" w:type="dxa"/>
          </w:tcPr>
          <w:p w14:paraId="641CC9C5" w14:textId="7A9453F4" w:rsidR="00E23F35" w:rsidRPr="00E9562A" w:rsidRDefault="00CD2F50" w:rsidP="00B96BF0">
            <w:pPr>
              <w:pStyle w:val="TableText"/>
              <w:cnfStyle w:val="000000000000" w:firstRow="0" w:lastRow="0" w:firstColumn="0" w:lastColumn="0" w:oddVBand="0" w:evenVBand="0" w:oddHBand="0" w:evenHBand="0" w:firstRowFirstColumn="0" w:firstRowLastColumn="0" w:lastRowFirstColumn="0" w:lastRowLastColumn="0"/>
            </w:pPr>
            <w:r>
              <w:t xml:space="preserve">N/A (outside of </w:t>
            </w:r>
            <w:r w:rsidR="00E90451">
              <w:t xml:space="preserve">the </w:t>
            </w:r>
            <w:r>
              <w:t>DVA)</w:t>
            </w:r>
          </w:p>
        </w:tc>
        <w:tc>
          <w:tcPr>
            <w:tcW w:w="2665" w:type="dxa"/>
          </w:tcPr>
          <w:p w14:paraId="3F75836D" w14:textId="10482C28" w:rsidR="00E23F35" w:rsidRPr="00E23F35" w:rsidRDefault="000E70E0" w:rsidP="00B96BF0">
            <w:pPr>
              <w:pStyle w:val="TableText"/>
              <w:cnfStyle w:val="000000000000" w:firstRow="0" w:lastRow="0" w:firstColumn="0" w:lastColumn="0" w:oddVBand="0" w:evenVBand="0" w:oddHBand="0" w:evenHBand="0" w:firstRowFirstColumn="0" w:firstRowLastColumn="0" w:lastRowFirstColumn="0" w:lastRowLastColumn="0"/>
            </w:pPr>
            <w:r>
              <w:t>N/A</w:t>
            </w:r>
          </w:p>
        </w:tc>
        <w:tc>
          <w:tcPr>
            <w:tcW w:w="2665" w:type="dxa"/>
          </w:tcPr>
          <w:p w14:paraId="1A3FC5EA" w14:textId="031EF2A3" w:rsidR="00E23F35" w:rsidRPr="00E23F35" w:rsidRDefault="00E23F35" w:rsidP="00B96BF0">
            <w:pPr>
              <w:pStyle w:val="TableText"/>
              <w:cnfStyle w:val="000000000000" w:firstRow="0" w:lastRow="0" w:firstColumn="0" w:lastColumn="0" w:oddVBand="0" w:evenVBand="0" w:oddHBand="0" w:evenHBand="0" w:firstRowFirstColumn="0" w:firstRowLastColumn="0" w:lastRowFirstColumn="0" w:lastRowLastColumn="0"/>
            </w:pPr>
            <w:r w:rsidRPr="00E23F35">
              <w:t>No information available</w:t>
            </w:r>
          </w:p>
        </w:tc>
        <w:tc>
          <w:tcPr>
            <w:tcW w:w="2665" w:type="dxa"/>
          </w:tcPr>
          <w:p w14:paraId="1B986944" w14:textId="23728CB6" w:rsidR="00E23F35" w:rsidRPr="00E9562A" w:rsidRDefault="00035395" w:rsidP="00B96BF0">
            <w:pPr>
              <w:pStyle w:val="TableText"/>
              <w:cnfStyle w:val="000000000000" w:firstRow="0" w:lastRow="0" w:firstColumn="0" w:lastColumn="0" w:oddVBand="0" w:evenVBand="0" w:oddHBand="0" w:evenHBand="0" w:firstRowFirstColumn="0" w:firstRowLastColumn="0" w:lastRowFirstColumn="0" w:lastRowLastColumn="0"/>
            </w:pPr>
            <w:r>
              <w:t>N/A</w:t>
            </w:r>
          </w:p>
        </w:tc>
        <w:tc>
          <w:tcPr>
            <w:tcW w:w="2665" w:type="dxa"/>
          </w:tcPr>
          <w:p w14:paraId="410B2594" w14:textId="1CBEC41F" w:rsidR="00E23F35" w:rsidRPr="00E9562A" w:rsidRDefault="006B1A02" w:rsidP="00B96BF0">
            <w:pPr>
              <w:pStyle w:val="TableText"/>
              <w:cnfStyle w:val="000000000000" w:firstRow="0" w:lastRow="0" w:firstColumn="0" w:lastColumn="0" w:oddVBand="0" w:evenVBand="0" w:oddHBand="0" w:evenHBand="0" w:firstRowFirstColumn="0" w:firstRowLastColumn="0" w:lastRowFirstColumn="0" w:lastRowLastColumn="0"/>
            </w:pPr>
            <w:r>
              <w:t>NHS</w:t>
            </w:r>
          </w:p>
        </w:tc>
      </w:tr>
      <w:tr w:rsidR="00AE1E92" w:rsidRPr="00E9562A" w14:paraId="7A408FBA" w14:textId="77777777" w:rsidTr="00B96BF0">
        <w:trPr>
          <w:trHeight w:val="514"/>
        </w:trPr>
        <w:tc>
          <w:tcPr>
            <w:cnfStyle w:val="001000000000" w:firstRow="0" w:lastRow="0" w:firstColumn="1" w:lastColumn="0" w:oddVBand="0" w:evenVBand="0" w:oddHBand="0" w:evenHBand="0" w:firstRowFirstColumn="0" w:firstRowLastColumn="0" w:lastRowFirstColumn="0" w:lastRowLastColumn="0"/>
            <w:tcW w:w="1701" w:type="dxa"/>
          </w:tcPr>
          <w:p w14:paraId="0ED67C8E" w14:textId="77777777" w:rsidR="00E23F35" w:rsidRPr="00C10C27" w:rsidRDefault="00E23F35" w:rsidP="00B96BF0">
            <w:pPr>
              <w:pStyle w:val="Tabletextbold"/>
            </w:pPr>
            <w:r w:rsidRPr="002C6677">
              <w:t>National</w:t>
            </w:r>
            <w:r>
              <w:t xml:space="preserve"> or r</w:t>
            </w:r>
            <w:r w:rsidRPr="002C6677">
              <w:t>egional</w:t>
            </w:r>
            <w:r>
              <w:t xml:space="preserve"> model</w:t>
            </w:r>
          </w:p>
        </w:tc>
        <w:tc>
          <w:tcPr>
            <w:tcW w:w="2665" w:type="dxa"/>
          </w:tcPr>
          <w:p w14:paraId="55751659" w14:textId="6E89682F" w:rsidR="00E23F35" w:rsidRPr="00E9562A" w:rsidRDefault="00CD2F50" w:rsidP="00B96BF0">
            <w:pPr>
              <w:pStyle w:val="TableText"/>
              <w:cnfStyle w:val="000000000000" w:firstRow="0" w:lastRow="0" w:firstColumn="0" w:lastColumn="0" w:oddVBand="0" w:evenVBand="0" w:oddHBand="0" w:evenHBand="0" w:firstRowFirstColumn="0" w:firstRowLastColumn="0" w:lastRowFirstColumn="0" w:lastRowLastColumn="0"/>
            </w:pPr>
            <w:r>
              <w:t>N/A</w:t>
            </w:r>
          </w:p>
        </w:tc>
        <w:tc>
          <w:tcPr>
            <w:tcW w:w="2665" w:type="dxa"/>
          </w:tcPr>
          <w:p w14:paraId="07E7281B" w14:textId="0BF8CA0B" w:rsidR="00E23F35" w:rsidRPr="00E23F35" w:rsidRDefault="000E70E0" w:rsidP="00B96BF0">
            <w:pPr>
              <w:pStyle w:val="TableText"/>
              <w:cnfStyle w:val="000000000000" w:firstRow="0" w:lastRow="0" w:firstColumn="0" w:lastColumn="0" w:oddVBand="0" w:evenVBand="0" w:oddHBand="0" w:evenHBand="0" w:firstRowFirstColumn="0" w:firstRowLastColumn="0" w:lastRowFirstColumn="0" w:lastRowLastColumn="0"/>
            </w:pPr>
            <w:r>
              <w:t>N/A</w:t>
            </w:r>
          </w:p>
        </w:tc>
        <w:tc>
          <w:tcPr>
            <w:tcW w:w="2665" w:type="dxa"/>
          </w:tcPr>
          <w:p w14:paraId="49FA4A22" w14:textId="554EFD0D" w:rsidR="00E23F35" w:rsidRPr="00E23F35" w:rsidRDefault="00E23F35" w:rsidP="00B96BF0">
            <w:pPr>
              <w:pStyle w:val="TableText"/>
              <w:cnfStyle w:val="000000000000" w:firstRow="0" w:lastRow="0" w:firstColumn="0" w:lastColumn="0" w:oddVBand="0" w:evenVBand="0" w:oddHBand="0" w:evenHBand="0" w:firstRowFirstColumn="0" w:firstRowLastColumn="0" w:lastRowFirstColumn="0" w:lastRowLastColumn="0"/>
            </w:pPr>
            <w:r w:rsidRPr="00E23F35">
              <w:t>No information available</w:t>
            </w:r>
          </w:p>
        </w:tc>
        <w:tc>
          <w:tcPr>
            <w:tcW w:w="2665" w:type="dxa"/>
          </w:tcPr>
          <w:p w14:paraId="21FAC847" w14:textId="0642A3A5" w:rsidR="00E23F35" w:rsidRPr="00E9562A" w:rsidRDefault="00035395" w:rsidP="00B96BF0">
            <w:pPr>
              <w:pStyle w:val="TableText"/>
              <w:cnfStyle w:val="000000000000" w:firstRow="0" w:lastRow="0" w:firstColumn="0" w:lastColumn="0" w:oddVBand="0" w:evenVBand="0" w:oddHBand="0" w:evenHBand="0" w:firstRowFirstColumn="0" w:firstRowLastColumn="0" w:lastRowFirstColumn="0" w:lastRowLastColumn="0"/>
            </w:pPr>
            <w:r>
              <w:t>N/A</w:t>
            </w:r>
          </w:p>
        </w:tc>
        <w:tc>
          <w:tcPr>
            <w:tcW w:w="2665" w:type="dxa"/>
          </w:tcPr>
          <w:p w14:paraId="2CE22209" w14:textId="14203BE8" w:rsidR="00E23F35" w:rsidRPr="00E9562A" w:rsidRDefault="006B1A02" w:rsidP="00B96BF0">
            <w:pPr>
              <w:pStyle w:val="TableText"/>
              <w:cnfStyle w:val="000000000000" w:firstRow="0" w:lastRow="0" w:firstColumn="0" w:lastColumn="0" w:oddVBand="0" w:evenVBand="0" w:oddHBand="0" w:evenHBand="0" w:firstRowFirstColumn="0" w:firstRowLastColumn="0" w:lastRowFirstColumn="0" w:lastRowLastColumn="0"/>
            </w:pPr>
            <w:r>
              <w:t>National</w:t>
            </w:r>
          </w:p>
        </w:tc>
      </w:tr>
      <w:tr w:rsidR="00AE1E92" w:rsidRPr="00C10C27" w14:paraId="62524BEA" w14:textId="77777777" w:rsidTr="00B96BF0">
        <w:trPr>
          <w:trHeight w:val="514"/>
        </w:trPr>
        <w:tc>
          <w:tcPr>
            <w:cnfStyle w:val="001000000000" w:firstRow="0" w:lastRow="0" w:firstColumn="1" w:lastColumn="0" w:oddVBand="0" w:evenVBand="0" w:oddHBand="0" w:evenHBand="0" w:firstRowFirstColumn="0" w:firstRowLastColumn="0" w:lastRowFirstColumn="0" w:lastRowLastColumn="0"/>
            <w:tcW w:w="1701" w:type="dxa"/>
          </w:tcPr>
          <w:p w14:paraId="19D6D852" w14:textId="77777777" w:rsidR="00E23F35" w:rsidRPr="000A4D7E" w:rsidRDefault="00E23F35" w:rsidP="00B96BF0">
            <w:pPr>
              <w:pStyle w:val="Tabletextbold"/>
            </w:pPr>
            <w:r>
              <w:t>Eligibility criteria</w:t>
            </w:r>
          </w:p>
        </w:tc>
        <w:tc>
          <w:tcPr>
            <w:tcW w:w="2665" w:type="dxa"/>
          </w:tcPr>
          <w:p w14:paraId="62357E1B" w14:textId="01D73905" w:rsidR="00E23F35" w:rsidRPr="00C10C27" w:rsidRDefault="00FB4015" w:rsidP="00B96BF0">
            <w:pPr>
              <w:pStyle w:val="TableText"/>
              <w:cnfStyle w:val="000000000000" w:firstRow="0" w:lastRow="0" w:firstColumn="0" w:lastColumn="0" w:oddVBand="0" w:evenVBand="0" w:oddHBand="0" w:evenHBand="0" w:firstRowFirstColumn="0" w:firstRowLastColumn="0" w:lastRowFirstColumn="0" w:lastRowLastColumn="0"/>
            </w:pPr>
            <w:r>
              <w:t>N/A (outside of</w:t>
            </w:r>
            <w:r w:rsidR="00E90451">
              <w:t xml:space="preserve"> the</w:t>
            </w:r>
            <w:r>
              <w:t xml:space="preserve"> DVA, where veterans and dependents are eligible)</w:t>
            </w:r>
          </w:p>
        </w:tc>
        <w:tc>
          <w:tcPr>
            <w:tcW w:w="2665" w:type="dxa"/>
          </w:tcPr>
          <w:p w14:paraId="3933B41E" w14:textId="4AFC2470" w:rsidR="00E23F35" w:rsidRPr="00C10C27" w:rsidRDefault="000E70E0" w:rsidP="00B96BF0">
            <w:pPr>
              <w:pStyle w:val="TableText"/>
              <w:cnfStyle w:val="000000000000" w:firstRow="0" w:lastRow="0" w:firstColumn="0" w:lastColumn="0" w:oddVBand="0" w:evenVBand="0" w:oddHBand="0" w:evenHBand="0" w:firstRowFirstColumn="0" w:firstRowLastColumn="0" w:lastRowFirstColumn="0" w:lastRowLastColumn="0"/>
            </w:pPr>
            <w:r>
              <w:t>N/A</w:t>
            </w:r>
          </w:p>
        </w:tc>
        <w:tc>
          <w:tcPr>
            <w:tcW w:w="2665" w:type="dxa"/>
          </w:tcPr>
          <w:p w14:paraId="0F91A25E" w14:textId="524ED183" w:rsidR="00E23F35" w:rsidRPr="00E23F35" w:rsidRDefault="00E23F35" w:rsidP="00B96BF0">
            <w:pPr>
              <w:pStyle w:val="TableText"/>
              <w:cnfStyle w:val="000000000000" w:firstRow="0" w:lastRow="0" w:firstColumn="0" w:lastColumn="0" w:oddVBand="0" w:evenVBand="0" w:oddHBand="0" w:evenHBand="0" w:firstRowFirstColumn="0" w:firstRowLastColumn="0" w:lastRowFirstColumn="0" w:lastRowLastColumn="0"/>
            </w:pPr>
            <w:r w:rsidRPr="00E23F35">
              <w:t>No information available</w:t>
            </w:r>
          </w:p>
        </w:tc>
        <w:tc>
          <w:tcPr>
            <w:tcW w:w="2665" w:type="dxa"/>
          </w:tcPr>
          <w:p w14:paraId="610E9DDA" w14:textId="7F99D83E" w:rsidR="00E23F35" w:rsidRPr="00C10C27" w:rsidRDefault="00035395" w:rsidP="00B96BF0">
            <w:pPr>
              <w:pStyle w:val="TableText"/>
              <w:cnfStyle w:val="000000000000" w:firstRow="0" w:lastRow="0" w:firstColumn="0" w:lastColumn="0" w:oddVBand="0" w:evenVBand="0" w:oddHBand="0" w:evenHBand="0" w:firstRowFirstColumn="0" w:firstRowLastColumn="0" w:lastRowFirstColumn="0" w:lastRowLastColumn="0"/>
            </w:pPr>
            <w:r>
              <w:t>N/A</w:t>
            </w:r>
          </w:p>
        </w:tc>
        <w:tc>
          <w:tcPr>
            <w:tcW w:w="2665" w:type="dxa"/>
          </w:tcPr>
          <w:p w14:paraId="08CAACC2" w14:textId="0E617FF4" w:rsidR="00E23F35" w:rsidRPr="00C10C27" w:rsidRDefault="00B1109F" w:rsidP="00B96BF0">
            <w:pPr>
              <w:pStyle w:val="TableText"/>
              <w:cnfStyle w:val="000000000000" w:firstRow="0" w:lastRow="0" w:firstColumn="0" w:lastColumn="0" w:oddVBand="0" w:evenVBand="0" w:oddHBand="0" w:evenHBand="0" w:firstRowFirstColumn="0" w:firstRowLastColumn="0" w:lastRowFirstColumn="0" w:lastRowLastColumn="0"/>
            </w:pPr>
            <w:r>
              <w:t>Clinical need,</w:t>
            </w:r>
            <w:r w:rsidR="002A7D61">
              <w:t xml:space="preserve"> cause of erectile dysfunction is due to a specific set of medical conditions (including prostate cancer)</w:t>
            </w:r>
          </w:p>
        </w:tc>
      </w:tr>
      <w:tr w:rsidR="00AE1E92" w:rsidRPr="00927649" w14:paraId="40A7CFAF" w14:textId="77777777" w:rsidTr="00B96BF0">
        <w:trPr>
          <w:trHeight w:val="1329"/>
        </w:trPr>
        <w:tc>
          <w:tcPr>
            <w:cnfStyle w:val="001000000000" w:firstRow="0" w:lastRow="0" w:firstColumn="1" w:lastColumn="0" w:oddVBand="0" w:evenVBand="0" w:oddHBand="0" w:evenHBand="0" w:firstRowFirstColumn="0" w:firstRowLastColumn="0" w:lastRowFirstColumn="0" w:lastRowLastColumn="0"/>
            <w:tcW w:w="1701" w:type="dxa"/>
          </w:tcPr>
          <w:p w14:paraId="0A374E1E" w14:textId="77777777" w:rsidR="00E23F35" w:rsidRPr="00C10C27" w:rsidRDefault="00E23F35" w:rsidP="00B96BF0">
            <w:pPr>
              <w:pStyle w:val="Tabletextbold"/>
            </w:pPr>
            <w:r w:rsidRPr="000A4D7E">
              <w:t>Products</w:t>
            </w:r>
            <w:r>
              <w:t xml:space="preserve"> and s</w:t>
            </w:r>
            <w:r w:rsidRPr="000A4D7E">
              <w:t xml:space="preserve">ervices </w:t>
            </w:r>
            <w:r>
              <w:t>i</w:t>
            </w:r>
            <w:r w:rsidRPr="000A4D7E">
              <w:t>ncluded</w:t>
            </w:r>
          </w:p>
        </w:tc>
        <w:tc>
          <w:tcPr>
            <w:tcW w:w="2665" w:type="dxa"/>
          </w:tcPr>
          <w:p w14:paraId="081536FB" w14:textId="5B29129C" w:rsidR="00E23F35" w:rsidRPr="003F2AD3" w:rsidRDefault="00E90451" w:rsidP="00B96BF0">
            <w:pPr>
              <w:pStyle w:val="TableText"/>
              <w:cnfStyle w:val="000000000000" w:firstRow="0" w:lastRow="0" w:firstColumn="0" w:lastColumn="0" w:oddVBand="0" w:evenVBand="0" w:oddHBand="0" w:evenHBand="0" w:firstRowFirstColumn="0" w:firstRowLastColumn="0" w:lastRowFirstColumn="0" w:lastRowLastColumn="0"/>
            </w:pPr>
            <w:r>
              <w:t>Vacuum erection devices</w:t>
            </w:r>
          </w:p>
        </w:tc>
        <w:tc>
          <w:tcPr>
            <w:tcW w:w="2665" w:type="dxa"/>
          </w:tcPr>
          <w:p w14:paraId="264F8B4D" w14:textId="77777777" w:rsidR="00E23F35" w:rsidRDefault="000D604F" w:rsidP="00B96BF0">
            <w:pPr>
              <w:pStyle w:val="TableText"/>
              <w:cnfStyle w:val="000000000000" w:firstRow="0" w:lastRow="0" w:firstColumn="0" w:lastColumn="0" w:oddVBand="0" w:evenVBand="0" w:oddHBand="0" w:evenHBand="0" w:firstRowFirstColumn="0" w:firstRowLastColumn="0" w:lastRowFirstColumn="0" w:lastRowLastColumn="0"/>
              <w:rPr>
                <w:szCs w:val="18"/>
              </w:rPr>
            </w:pPr>
            <w:r>
              <w:t>Vacuum erection devices</w:t>
            </w:r>
          </w:p>
          <w:p w14:paraId="5A2EB931" w14:textId="193BCB42" w:rsidR="00E23F35" w:rsidRPr="003F2AD3" w:rsidRDefault="00FF21EB" w:rsidP="00B96BF0">
            <w:pPr>
              <w:pStyle w:val="TableText"/>
              <w:cnfStyle w:val="000000000000" w:firstRow="0" w:lastRow="0" w:firstColumn="0" w:lastColumn="0" w:oddVBand="0" w:evenVBand="0" w:oddHBand="0" w:evenHBand="0" w:firstRowFirstColumn="0" w:firstRowLastColumn="0" w:lastRowFirstColumn="0" w:lastRowLastColumn="0"/>
            </w:pPr>
            <w:r>
              <w:t>Constrictive bands</w:t>
            </w:r>
          </w:p>
        </w:tc>
        <w:tc>
          <w:tcPr>
            <w:tcW w:w="2665" w:type="dxa"/>
          </w:tcPr>
          <w:p w14:paraId="491EA40C" w14:textId="34C86DC0" w:rsidR="00E23F35" w:rsidRPr="00E23F35" w:rsidRDefault="00E23F35" w:rsidP="00B96BF0">
            <w:pPr>
              <w:pStyle w:val="TableText"/>
              <w:cnfStyle w:val="000000000000" w:firstRow="0" w:lastRow="0" w:firstColumn="0" w:lastColumn="0" w:oddVBand="0" w:evenVBand="0" w:oddHBand="0" w:evenHBand="0" w:firstRowFirstColumn="0" w:firstRowLastColumn="0" w:lastRowFirstColumn="0" w:lastRowLastColumn="0"/>
            </w:pPr>
            <w:r w:rsidRPr="00E23F35">
              <w:t xml:space="preserve">No information available </w:t>
            </w:r>
          </w:p>
        </w:tc>
        <w:tc>
          <w:tcPr>
            <w:tcW w:w="2665" w:type="dxa"/>
          </w:tcPr>
          <w:p w14:paraId="378831BB" w14:textId="20AF1EBF" w:rsidR="00DF68EC" w:rsidRPr="00C10C27" w:rsidRDefault="002D26BD" w:rsidP="00B96BF0">
            <w:pPr>
              <w:pStyle w:val="TableText"/>
              <w:cnfStyle w:val="000000000000" w:firstRow="0" w:lastRow="0" w:firstColumn="0" w:lastColumn="0" w:oddVBand="0" w:evenVBand="0" w:oddHBand="0" w:evenHBand="0" w:firstRowFirstColumn="0" w:firstRowLastColumn="0" w:lastRowFirstColumn="0" w:lastRowLastColumn="0"/>
            </w:pPr>
            <w:r>
              <w:t>Vacuum erection devices</w:t>
            </w:r>
          </w:p>
        </w:tc>
        <w:tc>
          <w:tcPr>
            <w:tcW w:w="2665" w:type="dxa"/>
          </w:tcPr>
          <w:p w14:paraId="40BA2846" w14:textId="157D6F70" w:rsidR="00E23F35" w:rsidRPr="00927649" w:rsidRDefault="00D47843" w:rsidP="00B96BF0">
            <w:pPr>
              <w:pStyle w:val="TableText"/>
              <w:cnfStyle w:val="000000000000" w:firstRow="0" w:lastRow="0" w:firstColumn="0" w:lastColumn="0" w:oddVBand="0" w:evenVBand="0" w:oddHBand="0" w:evenHBand="0" w:firstRowFirstColumn="0" w:firstRowLastColumn="0" w:lastRowFirstColumn="0" w:lastRowLastColumn="0"/>
            </w:pPr>
            <w:r>
              <w:t>Vacuum erection devices</w:t>
            </w:r>
          </w:p>
        </w:tc>
      </w:tr>
      <w:tr w:rsidR="00AE1E92" w:rsidRPr="00C10C27" w14:paraId="20FB383C" w14:textId="77777777" w:rsidTr="00B96BF0">
        <w:trPr>
          <w:trHeight w:val="986"/>
        </w:trPr>
        <w:tc>
          <w:tcPr>
            <w:cnfStyle w:val="001000000000" w:firstRow="0" w:lastRow="0" w:firstColumn="1" w:lastColumn="0" w:oddVBand="0" w:evenVBand="0" w:oddHBand="0" w:evenHBand="0" w:firstRowFirstColumn="0" w:firstRowLastColumn="0" w:lastRowFirstColumn="0" w:lastRowLastColumn="0"/>
            <w:tcW w:w="1701" w:type="dxa"/>
          </w:tcPr>
          <w:p w14:paraId="00D746A4" w14:textId="77777777" w:rsidR="00AA35E3" w:rsidRDefault="00AA35E3" w:rsidP="00B96BF0">
            <w:pPr>
              <w:pStyle w:val="Tabletextbold"/>
            </w:pPr>
            <w:r>
              <w:t>Funding source</w:t>
            </w:r>
          </w:p>
        </w:tc>
        <w:tc>
          <w:tcPr>
            <w:tcW w:w="2665" w:type="dxa"/>
          </w:tcPr>
          <w:p w14:paraId="5DBDC1CA" w14:textId="7020F7A3" w:rsidR="00AA35E3" w:rsidRPr="00C10C27" w:rsidRDefault="00E90451" w:rsidP="00B96BF0">
            <w:pPr>
              <w:pStyle w:val="TableText"/>
              <w:cnfStyle w:val="000000000000" w:firstRow="0" w:lastRow="0" w:firstColumn="0" w:lastColumn="0" w:oddVBand="0" w:evenVBand="0" w:oddHBand="0" w:evenHBand="0" w:firstRowFirstColumn="0" w:firstRowLastColumn="0" w:lastRowFirstColumn="0" w:lastRowLastColumn="0"/>
            </w:pPr>
            <w:r>
              <w:t>Self-funded (outside of the DVA)</w:t>
            </w:r>
          </w:p>
        </w:tc>
        <w:tc>
          <w:tcPr>
            <w:tcW w:w="2665" w:type="dxa"/>
          </w:tcPr>
          <w:p w14:paraId="53C055C6" w14:textId="76850B52" w:rsidR="00AA35E3" w:rsidRPr="00C10C27" w:rsidRDefault="000E70E0" w:rsidP="00B96BF0">
            <w:pPr>
              <w:pStyle w:val="TableText"/>
              <w:cnfStyle w:val="000000000000" w:firstRow="0" w:lastRow="0" w:firstColumn="0" w:lastColumn="0" w:oddVBand="0" w:evenVBand="0" w:oddHBand="0" w:evenHBand="0" w:firstRowFirstColumn="0" w:firstRowLastColumn="0" w:lastRowFirstColumn="0" w:lastRowLastColumn="0"/>
            </w:pPr>
            <w:r>
              <w:t>Self-funded</w:t>
            </w:r>
          </w:p>
        </w:tc>
        <w:tc>
          <w:tcPr>
            <w:tcW w:w="2665" w:type="dxa"/>
          </w:tcPr>
          <w:p w14:paraId="14A767BF" w14:textId="08272C74" w:rsidR="00AA35E3" w:rsidRPr="00E23F35" w:rsidRDefault="00AA35E3" w:rsidP="00B96BF0">
            <w:pPr>
              <w:pStyle w:val="TableText"/>
              <w:cnfStyle w:val="000000000000" w:firstRow="0" w:lastRow="0" w:firstColumn="0" w:lastColumn="0" w:oddVBand="0" w:evenVBand="0" w:oddHBand="0" w:evenHBand="0" w:firstRowFirstColumn="0" w:firstRowLastColumn="0" w:lastRowFirstColumn="0" w:lastRowLastColumn="0"/>
            </w:pPr>
            <w:r w:rsidRPr="00E23F35">
              <w:t>No information available</w:t>
            </w:r>
          </w:p>
        </w:tc>
        <w:tc>
          <w:tcPr>
            <w:tcW w:w="2665" w:type="dxa"/>
          </w:tcPr>
          <w:p w14:paraId="7543C38E" w14:textId="7E266E5E" w:rsidR="00AA35E3" w:rsidRPr="00C10C27" w:rsidRDefault="00AA35E3" w:rsidP="00B96BF0">
            <w:pPr>
              <w:pStyle w:val="TableText"/>
              <w:cnfStyle w:val="000000000000" w:firstRow="0" w:lastRow="0" w:firstColumn="0" w:lastColumn="0" w:oddVBand="0" w:evenVBand="0" w:oddHBand="0" w:evenHBand="0" w:firstRowFirstColumn="0" w:firstRowLastColumn="0" w:lastRowFirstColumn="0" w:lastRowLastColumn="0"/>
            </w:pPr>
            <w:r>
              <w:t>Self-funded</w:t>
            </w:r>
          </w:p>
        </w:tc>
        <w:tc>
          <w:tcPr>
            <w:tcW w:w="2665" w:type="dxa"/>
          </w:tcPr>
          <w:p w14:paraId="43B20F21" w14:textId="3120F6A0" w:rsidR="00AA35E3" w:rsidRPr="00C10C27" w:rsidRDefault="00AA35E3" w:rsidP="00B96BF0">
            <w:pPr>
              <w:pStyle w:val="TableText"/>
              <w:cnfStyle w:val="000000000000" w:firstRow="0" w:lastRow="0" w:firstColumn="0" w:lastColumn="0" w:oddVBand="0" w:evenVBand="0" w:oddHBand="0" w:evenHBand="0" w:firstRowFirstColumn="0" w:firstRowLastColumn="0" w:lastRowFirstColumn="0" w:lastRowLastColumn="0"/>
            </w:pPr>
            <w:proofErr w:type="gramStart"/>
            <w:r w:rsidRPr="00821713">
              <w:rPr>
                <w:szCs w:val="20"/>
              </w:rPr>
              <w:t>Fully-funded</w:t>
            </w:r>
            <w:proofErr w:type="gramEnd"/>
          </w:p>
        </w:tc>
      </w:tr>
      <w:tr w:rsidR="00AE1E92" w:rsidRPr="00AF77BC" w14:paraId="278C5B11" w14:textId="77777777" w:rsidTr="00B96BF0">
        <w:trPr>
          <w:trHeight w:val="728"/>
        </w:trPr>
        <w:tc>
          <w:tcPr>
            <w:cnfStyle w:val="001000000000" w:firstRow="0" w:lastRow="0" w:firstColumn="1" w:lastColumn="0" w:oddVBand="0" w:evenVBand="0" w:oddHBand="0" w:evenHBand="0" w:firstRowFirstColumn="0" w:firstRowLastColumn="0" w:lastRowFirstColumn="0" w:lastRowLastColumn="0"/>
            <w:tcW w:w="1701" w:type="dxa"/>
          </w:tcPr>
          <w:p w14:paraId="60A92811" w14:textId="77777777" w:rsidR="00AA35E3" w:rsidRDefault="00AA35E3" w:rsidP="00B96BF0">
            <w:pPr>
              <w:pStyle w:val="Tabletextbold"/>
            </w:pPr>
            <w:r>
              <w:t>Funding model</w:t>
            </w:r>
          </w:p>
        </w:tc>
        <w:tc>
          <w:tcPr>
            <w:tcW w:w="2665" w:type="dxa"/>
          </w:tcPr>
          <w:p w14:paraId="5472FEF3" w14:textId="622A3C65" w:rsidR="00AA35E3" w:rsidRDefault="0059542D" w:rsidP="00B96BF0">
            <w:pPr>
              <w:pStyle w:val="TableText"/>
              <w:cnfStyle w:val="000000000000" w:firstRow="0" w:lastRow="0" w:firstColumn="0" w:lastColumn="0" w:oddVBand="0" w:evenVBand="0" w:oddHBand="0" w:evenHBand="0" w:firstRowFirstColumn="0" w:firstRowLastColumn="0" w:lastRowFirstColumn="0" w:lastRowLastColumn="0"/>
            </w:pPr>
            <w:r>
              <w:t>Self-funded (outside of the DVA)</w:t>
            </w:r>
          </w:p>
        </w:tc>
        <w:tc>
          <w:tcPr>
            <w:tcW w:w="2665" w:type="dxa"/>
          </w:tcPr>
          <w:p w14:paraId="5AAB83E5" w14:textId="57F96AC4" w:rsidR="00AA35E3" w:rsidRPr="00AF77BC" w:rsidRDefault="000E70E0" w:rsidP="00B96BF0">
            <w:pPr>
              <w:pStyle w:val="TableText"/>
              <w:cnfStyle w:val="000000000000" w:firstRow="0" w:lastRow="0" w:firstColumn="0" w:lastColumn="0" w:oddVBand="0" w:evenVBand="0" w:oddHBand="0" w:evenHBand="0" w:firstRowFirstColumn="0" w:firstRowLastColumn="0" w:lastRowFirstColumn="0" w:lastRowLastColumn="0"/>
            </w:pPr>
            <w:r>
              <w:t>Self</w:t>
            </w:r>
            <w:r w:rsidR="00AA35E3">
              <w:t>-funded</w:t>
            </w:r>
          </w:p>
        </w:tc>
        <w:tc>
          <w:tcPr>
            <w:tcW w:w="2665" w:type="dxa"/>
          </w:tcPr>
          <w:p w14:paraId="00EFDD4F" w14:textId="61E11F7A" w:rsidR="00AA35E3" w:rsidRPr="00E23F35" w:rsidRDefault="00AA35E3" w:rsidP="00B96BF0">
            <w:pPr>
              <w:pStyle w:val="TableText"/>
              <w:cnfStyle w:val="000000000000" w:firstRow="0" w:lastRow="0" w:firstColumn="0" w:lastColumn="0" w:oddVBand="0" w:evenVBand="0" w:oddHBand="0" w:evenHBand="0" w:firstRowFirstColumn="0" w:firstRowLastColumn="0" w:lastRowFirstColumn="0" w:lastRowLastColumn="0"/>
            </w:pPr>
            <w:r w:rsidRPr="00E23F35">
              <w:t>No information available</w:t>
            </w:r>
          </w:p>
        </w:tc>
        <w:tc>
          <w:tcPr>
            <w:tcW w:w="2665" w:type="dxa"/>
          </w:tcPr>
          <w:p w14:paraId="0D09CF82" w14:textId="78283D10" w:rsidR="00AA35E3" w:rsidRPr="00AF77BC" w:rsidRDefault="00AA35E3" w:rsidP="00B96BF0">
            <w:pPr>
              <w:pStyle w:val="TableText"/>
              <w:cnfStyle w:val="000000000000" w:firstRow="0" w:lastRow="0" w:firstColumn="0" w:lastColumn="0" w:oddVBand="0" w:evenVBand="0" w:oddHBand="0" w:evenHBand="0" w:firstRowFirstColumn="0" w:firstRowLastColumn="0" w:lastRowFirstColumn="0" w:lastRowLastColumn="0"/>
            </w:pPr>
            <w:r>
              <w:t>Self-funded</w:t>
            </w:r>
          </w:p>
        </w:tc>
        <w:tc>
          <w:tcPr>
            <w:tcW w:w="2665" w:type="dxa"/>
          </w:tcPr>
          <w:p w14:paraId="4C6A5D5B" w14:textId="58A2382F" w:rsidR="00AA35E3" w:rsidRPr="00AF77BC" w:rsidRDefault="00AA35E3" w:rsidP="00B96BF0">
            <w:pPr>
              <w:pStyle w:val="TableText"/>
              <w:cnfStyle w:val="000000000000" w:firstRow="0" w:lastRow="0" w:firstColumn="0" w:lastColumn="0" w:oddVBand="0" w:evenVBand="0" w:oddHBand="0" w:evenHBand="0" w:firstRowFirstColumn="0" w:firstRowLastColumn="0" w:lastRowFirstColumn="0" w:lastRowLastColumn="0"/>
            </w:pPr>
            <w:r w:rsidRPr="00821713">
              <w:rPr>
                <w:szCs w:val="20"/>
              </w:rPr>
              <w:t>NHS (public funding)</w:t>
            </w:r>
          </w:p>
        </w:tc>
      </w:tr>
      <w:tr w:rsidR="00AE1E92" w:rsidRPr="00824B67" w14:paraId="4C2E897F" w14:textId="77777777" w:rsidTr="00B96BF0">
        <w:trPr>
          <w:trHeight w:val="73"/>
        </w:trPr>
        <w:tc>
          <w:tcPr>
            <w:cnfStyle w:val="001000000000" w:firstRow="0" w:lastRow="0" w:firstColumn="1" w:lastColumn="0" w:oddVBand="0" w:evenVBand="0" w:oddHBand="0" w:evenHBand="0" w:firstRowFirstColumn="0" w:firstRowLastColumn="0" w:lastRowFirstColumn="0" w:lastRowLastColumn="0"/>
            <w:tcW w:w="1701" w:type="dxa"/>
          </w:tcPr>
          <w:p w14:paraId="47DEA6A3" w14:textId="6B06183B" w:rsidR="00E23F35" w:rsidRPr="00C10C27" w:rsidRDefault="00E23F35" w:rsidP="00B96BF0">
            <w:pPr>
              <w:pStyle w:val="Tabletextbold"/>
            </w:pPr>
            <w:r>
              <w:t>Process for accessing a prosthesis</w:t>
            </w:r>
          </w:p>
        </w:tc>
        <w:tc>
          <w:tcPr>
            <w:tcW w:w="2665" w:type="dxa"/>
          </w:tcPr>
          <w:p w14:paraId="43AB956E" w14:textId="75336659" w:rsidR="00E23F35" w:rsidRPr="00824B67" w:rsidRDefault="000A448E" w:rsidP="00B96BF0">
            <w:pPr>
              <w:pStyle w:val="TableText"/>
              <w:cnfStyle w:val="000000000000" w:firstRow="0" w:lastRow="0" w:firstColumn="0" w:lastColumn="0" w:oddVBand="0" w:evenVBand="0" w:oddHBand="0" w:evenHBand="0" w:firstRowFirstColumn="0" w:firstRowLastColumn="0" w:lastRowFirstColumn="0" w:lastRowLastColumn="0"/>
            </w:pPr>
            <w:r>
              <w:t>Specialist assessment, surgical implant</w:t>
            </w:r>
            <w:r w:rsidR="007B7939">
              <w:rPr>
                <w:rFonts w:ascii="ZWAdobeF" w:hAnsi="ZWAdobeF" w:cs="ZWAdobeF"/>
                <w:color w:val="auto"/>
                <w:sz w:val="2"/>
                <w:szCs w:val="2"/>
              </w:rPr>
              <w:t>156F</w:t>
            </w:r>
            <w:r w:rsidR="00E84D65">
              <w:rPr>
                <w:rStyle w:val="FootnoteReference"/>
                <w:szCs w:val="18"/>
              </w:rPr>
              <w:footnoteReference w:id="144"/>
            </w:r>
          </w:p>
        </w:tc>
        <w:tc>
          <w:tcPr>
            <w:tcW w:w="2665" w:type="dxa"/>
          </w:tcPr>
          <w:p w14:paraId="28906B1D" w14:textId="4FEA6B21" w:rsidR="00E23F35" w:rsidRPr="00824B67" w:rsidRDefault="00FB4D43" w:rsidP="00B96BF0">
            <w:pPr>
              <w:pStyle w:val="TableText"/>
              <w:cnfStyle w:val="000000000000" w:firstRow="0" w:lastRow="0" w:firstColumn="0" w:lastColumn="0" w:oddVBand="0" w:evenVBand="0" w:oddHBand="0" w:evenHBand="0" w:firstRowFirstColumn="0" w:firstRowLastColumn="0" w:lastRowFirstColumn="0" w:lastRowLastColumn="0"/>
            </w:pPr>
            <w:r>
              <w:t>Available without a prescription or a doctor’s referral</w:t>
            </w:r>
            <w:r w:rsidR="007B7939">
              <w:rPr>
                <w:rFonts w:ascii="ZWAdobeF" w:hAnsi="ZWAdobeF" w:cs="ZWAdobeF"/>
                <w:color w:val="auto"/>
                <w:sz w:val="2"/>
                <w:szCs w:val="2"/>
              </w:rPr>
              <w:t>157F</w:t>
            </w:r>
            <w:r w:rsidR="00E23F35">
              <w:rPr>
                <w:rStyle w:val="FootnoteReference"/>
                <w:szCs w:val="18"/>
              </w:rPr>
              <w:footnoteReference w:id="145"/>
            </w:r>
          </w:p>
        </w:tc>
        <w:tc>
          <w:tcPr>
            <w:tcW w:w="2665" w:type="dxa"/>
          </w:tcPr>
          <w:p w14:paraId="4769FC52" w14:textId="14817426" w:rsidR="00E23F35" w:rsidRPr="00E23F35" w:rsidRDefault="00E23F35" w:rsidP="00B96BF0">
            <w:pPr>
              <w:pStyle w:val="TableText"/>
              <w:cnfStyle w:val="000000000000" w:firstRow="0" w:lastRow="0" w:firstColumn="0" w:lastColumn="0" w:oddVBand="0" w:evenVBand="0" w:oddHBand="0" w:evenHBand="0" w:firstRowFirstColumn="0" w:firstRowLastColumn="0" w:lastRowFirstColumn="0" w:lastRowLastColumn="0"/>
            </w:pPr>
            <w:r w:rsidRPr="00E23F35">
              <w:t>No information available</w:t>
            </w:r>
          </w:p>
        </w:tc>
        <w:tc>
          <w:tcPr>
            <w:tcW w:w="2665" w:type="dxa"/>
          </w:tcPr>
          <w:p w14:paraId="4801A5E3" w14:textId="3884E7B1" w:rsidR="00E23F35" w:rsidRPr="00824B67" w:rsidRDefault="007E0962" w:rsidP="00B96BF0">
            <w:pPr>
              <w:pStyle w:val="TableText"/>
              <w:cnfStyle w:val="000000000000" w:firstRow="0" w:lastRow="0" w:firstColumn="0" w:lastColumn="0" w:oddVBand="0" w:evenVBand="0" w:oddHBand="0" w:evenHBand="0" w:firstRowFirstColumn="0" w:firstRowLastColumn="0" w:lastRowFirstColumn="0" w:lastRowLastColumn="0"/>
            </w:pPr>
            <w:r>
              <w:t>GP assessment</w:t>
            </w:r>
            <w:r w:rsidR="003D56E6">
              <w:t>, prescription</w:t>
            </w:r>
            <w:r w:rsidR="007B7939">
              <w:rPr>
                <w:rFonts w:ascii="ZWAdobeF" w:hAnsi="ZWAdobeF" w:cs="ZWAdobeF"/>
                <w:color w:val="auto"/>
                <w:sz w:val="2"/>
                <w:szCs w:val="2"/>
              </w:rPr>
              <w:t>158F</w:t>
            </w:r>
            <w:r w:rsidR="00A14292">
              <w:rPr>
                <w:rStyle w:val="FootnoteReference"/>
                <w:szCs w:val="18"/>
              </w:rPr>
              <w:footnoteReference w:id="146"/>
            </w:r>
            <w:r w:rsidR="00FC0BFA">
              <w:rPr>
                <w:vertAlign w:val="superscript"/>
              </w:rPr>
              <w:t xml:space="preserve">, </w:t>
            </w:r>
            <w:r w:rsidR="007B7939">
              <w:rPr>
                <w:rFonts w:ascii="ZWAdobeF" w:hAnsi="ZWAdobeF" w:cs="ZWAdobeF"/>
                <w:color w:val="auto"/>
                <w:sz w:val="2"/>
                <w:szCs w:val="2"/>
              </w:rPr>
              <w:t>159F</w:t>
            </w:r>
            <w:r w:rsidR="00A26314">
              <w:rPr>
                <w:rStyle w:val="FootnoteReference"/>
                <w:szCs w:val="18"/>
              </w:rPr>
              <w:footnoteReference w:id="147"/>
            </w:r>
          </w:p>
        </w:tc>
        <w:tc>
          <w:tcPr>
            <w:tcW w:w="2665" w:type="dxa"/>
          </w:tcPr>
          <w:p w14:paraId="0245D5FA" w14:textId="255F99F7" w:rsidR="00E23F35" w:rsidRPr="00824B67" w:rsidRDefault="006A516A" w:rsidP="00B96BF0">
            <w:pPr>
              <w:pStyle w:val="TableText"/>
              <w:cnfStyle w:val="000000000000" w:firstRow="0" w:lastRow="0" w:firstColumn="0" w:lastColumn="0" w:oddVBand="0" w:evenVBand="0" w:oddHBand="0" w:evenHBand="0" w:firstRowFirstColumn="0" w:firstRowLastColumn="0" w:lastRowFirstColumn="0" w:lastRowLastColumn="0"/>
            </w:pPr>
            <w:r>
              <w:t xml:space="preserve">GP </w:t>
            </w:r>
            <w:r w:rsidR="005219FC">
              <w:t>assessment, NHS prescription, dispensed at pharmacy</w:t>
            </w:r>
            <w:r w:rsidR="007B7939">
              <w:rPr>
                <w:rFonts w:ascii="ZWAdobeF" w:hAnsi="ZWAdobeF" w:cs="ZWAdobeF"/>
                <w:color w:val="auto"/>
                <w:sz w:val="2"/>
                <w:szCs w:val="2"/>
              </w:rPr>
              <w:t>160F</w:t>
            </w:r>
            <w:r w:rsidR="00FC0BFA">
              <w:rPr>
                <w:rStyle w:val="FootnoteReference"/>
                <w:szCs w:val="18"/>
              </w:rPr>
              <w:footnoteReference w:id="148"/>
            </w:r>
            <w:r w:rsidR="0000004D">
              <w:rPr>
                <w:vertAlign w:val="superscript"/>
              </w:rPr>
              <w:t xml:space="preserve">, </w:t>
            </w:r>
            <w:r w:rsidR="007B7939">
              <w:rPr>
                <w:rFonts w:ascii="ZWAdobeF" w:hAnsi="ZWAdobeF" w:cs="ZWAdobeF"/>
                <w:color w:val="auto"/>
                <w:sz w:val="2"/>
                <w:szCs w:val="2"/>
              </w:rPr>
              <w:t>161F</w:t>
            </w:r>
            <w:r w:rsidR="0000004D">
              <w:rPr>
                <w:rStyle w:val="FootnoteReference"/>
                <w:szCs w:val="18"/>
              </w:rPr>
              <w:footnoteReference w:id="149"/>
            </w:r>
          </w:p>
        </w:tc>
      </w:tr>
    </w:tbl>
    <w:p w14:paraId="4C7F46A1" w14:textId="761F70AD" w:rsidR="00D36395" w:rsidRDefault="00460CA9" w:rsidP="00B96BF0">
      <w:pPr>
        <w:pStyle w:val="Caption-Source"/>
      </w:pPr>
      <w:r w:rsidRPr="00E75895">
        <w:t xml:space="preserve">Source: </w:t>
      </w:r>
      <w:r w:rsidR="00120620" w:rsidRPr="00120620">
        <w:t>Independent reviewer</w:t>
      </w:r>
      <w:r w:rsidR="00584D02" w:rsidRPr="00E75895">
        <w:t xml:space="preserve"> (</w:t>
      </w:r>
      <w:r w:rsidRPr="00E75895">
        <w:t>2025</w:t>
      </w:r>
      <w:r w:rsidR="00584D02" w:rsidRPr="00E75895">
        <w:t>)</w:t>
      </w:r>
    </w:p>
    <w:p w14:paraId="0B9133B6" w14:textId="77777777" w:rsidR="0040690B" w:rsidRPr="0040690B" w:rsidRDefault="0040690B" w:rsidP="0040690B"/>
    <w:p w14:paraId="62991EA5" w14:textId="77777777" w:rsidR="00AB52EA" w:rsidRPr="0040690B" w:rsidRDefault="00AB52EA" w:rsidP="0040690B">
      <w:pPr>
        <w:sectPr w:rsidR="00AB52EA" w:rsidRPr="0040690B" w:rsidSect="00467793">
          <w:pgSz w:w="16838" w:h="11906" w:orient="landscape"/>
          <w:pgMar w:top="1418" w:right="851" w:bottom="1134" w:left="851" w:header="567" w:footer="284" w:gutter="0"/>
          <w:cols w:space="708"/>
          <w:docGrid w:linePitch="360"/>
        </w:sectPr>
      </w:pPr>
    </w:p>
    <w:p w14:paraId="77533EE2" w14:textId="77777777" w:rsidR="00E93ABC" w:rsidRDefault="00E93ABC" w:rsidP="00E93ABC">
      <w:pPr>
        <w:pStyle w:val="Heading3"/>
      </w:pPr>
      <w:r>
        <w:t xml:space="preserve">Oral prostheses </w:t>
      </w:r>
    </w:p>
    <w:p w14:paraId="4FA055C4" w14:textId="3ACA8D86" w:rsidR="00E93ABC" w:rsidRPr="0040690B" w:rsidRDefault="00E93ABC" w:rsidP="0040690B">
      <w:r w:rsidRPr="0040690B">
        <w:t>Access to oral prostheses in Australia is limited within the public system</w:t>
      </w:r>
      <w:r w:rsidR="00BA4487" w:rsidRPr="0040690B">
        <w:t>,</w:t>
      </w:r>
      <w:r w:rsidRPr="0040690B">
        <w:t xml:space="preserve"> and funding is only available to those eligible under the DVA scheme. Outside of </w:t>
      </w:r>
      <w:r w:rsidR="00831BE4" w:rsidRPr="0040690B">
        <w:t>the DVA</w:t>
      </w:r>
      <w:r w:rsidRPr="0040690B">
        <w:t xml:space="preserve">, </w:t>
      </w:r>
      <w:r w:rsidR="00DE388E" w:rsidRPr="0040690B">
        <w:t>individual</w:t>
      </w:r>
      <w:r w:rsidRPr="0040690B">
        <w:t>s must rely on self-funding or private health insurance to access oral prostheses. This gap in funding access contrasts with the more structured and inclusive models seen in other countries.</w:t>
      </w:r>
    </w:p>
    <w:p w14:paraId="55072F2C" w14:textId="659976F7" w:rsidR="00E93ABC" w:rsidRPr="0040690B" w:rsidRDefault="00E93ABC" w:rsidP="0040690B">
      <w:r w:rsidRPr="0040690B">
        <w:t>Canada and the Netherlands offer structured reimbursement models through their national health systems. Unlike other prostheses programs, Canada uses a national scheme to fund oral prostheses</w:t>
      </w:r>
      <w:r w:rsidR="00D60066" w:rsidRPr="0040690B">
        <w:t>,</w:t>
      </w:r>
      <w:r w:rsidRPr="0040690B">
        <w:t xml:space="preserve"> the Canadian Dental Care Plan (CDCP). This scheme is available to all Canadian residents </w:t>
      </w:r>
      <w:r w:rsidR="00BA4487" w:rsidRPr="0040690B">
        <w:t xml:space="preserve">with an income below a certain </w:t>
      </w:r>
      <w:r w:rsidRPr="0040690B">
        <w:t xml:space="preserve">threshold. Eligibility for oral prostheses funded by the CDCP is based on clinical need. The Netherlands similarly includes prosthetic dental care through its statutory health insurance. </w:t>
      </w:r>
      <w:r w:rsidR="00DE388E" w:rsidRPr="0040690B">
        <w:t>Individual</w:t>
      </w:r>
      <w:r w:rsidRPr="0040690B">
        <w:t xml:space="preserve">s can receive up to 75% reimbursement after obtaining a referral from a dental professional. </w:t>
      </w:r>
    </w:p>
    <w:p w14:paraId="0FA98534" w14:textId="09DF0E4A" w:rsidR="00E93ABC" w:rsidRPr="0040690B" w:rsidRDefault="00E93ABC" w:rsidP="0040690B">
      <w:r w:rsidRPr="0040690B">
        <w:t xml:space="preserve">New Zealand and the UK operate fully funded public models for oral prostheses, but with relatively narrow clinical eligibility criteria. In New Zealand, </w:t>
      </w:r>
      <w:r w:rsidR="00BA4487" w:rsidRPr="0040690B">
        <w:t>District Health Boards cover oral prostheses. Still, they</w:t>
      </w:r>
      <w:r w:rsidRPr="0040690B">
        <w:t xml:space="preserve"> are only available for </w:t>
      </w:r>
      <w:r w:rsidR="00DE388E" w:rsidRPr="0040690B">
        <w:t>individual</w:t>
      </w:r>
      <w:r w:rsidRPr="0040690B">
        <w:t xml:space="preserve">s diagnosed with head and neck cancer, and only when prosthetics are deemed the most appropriate treatment to restore function and appearance. The NHS in the UK also fully funds oral prostheses for </w:t>
      </w:r>
      <w:r w:rsidR="00DE388E" w:rsidRPr="0040690B">
        <w:t>individual</w:t>
      </w:r>
      <w:r w:rsidRPr="0040690B">
        <w:t>s who have lost their teeth due to cancer. It has a comprehensive system available with relatively broad access.</w:t>
      </w:r>
    </w:p>
    <w:p w14:paraId="64148FFE" w14:textId="3FF65BE4" w:rsidR="00E93ABC" w:rsidRPr="0040690B" w:rsidRDefault="00E93ABC" w:rsidP="0040690B">
      <w:r w:rsidRPr="0040690B">
        <w:t xml:space="preserve">In summary, Australia relies primarily on self-funding or private health insurance for access to oral prostheses, with public support limited to eligible veterans under the Department of Veterans’ Affairs. In contrast, Canada, the Netherlands, New Zealand, and the UK offer varying degrees of public support through either partial reimbursement or full funding models. Canada’s CDCP is particularly notable, as it </w:t>
      </w:r>
      <w:r w:rsidR="00BA4487" w:rsidRPr="0040690B">
        <w:t xml:space="preserve">targets </w:t>
      </w:r>
      <w:r w:rsidR="00415A1C" w:rsidRPr="0040690B">
        <w:t>individuals who face financial barriers to accessing oral prostheses, which is a significant barrier for</w:t>
      </w:r>
      <w:r w:rsidRPr="0040690B">
        <w:t xml:space="preserve"> Australians as well.  </w:t>
      </w:r>
    </w:p>
    <w:p w14:paraId="0327F7FB" w14:textId="77777777" w:rsidR="00E93ABC" w:rsidRPr="0040690B" w:rsidRDefault="00E93ABC" w:rsidP="0040690B">
      <w:pPr>
        <w:sectPr w:rsidR="00E93ABC" w:rsidRPr="0040690B" w:rsidSect="00E42C94">
          <w:pgSz w:w="11906" w:h="16838"/>
          <w:pgMar w:top="1418" w:right="851" w:bottom="851" w:left="851" w:header="567" w:footer="284" w:gutter="0"/>
          <w:cols w:space="708"/>
          <w:docGrid w:linePitch="360"/>
        </w:sectPr>
      </w:pPr>
    </w:p>
    <w:p w14:paraId="24AC2636" w14:textId="74EE5D4C" w:rsidR="003326CA" w:rsidRDefault="003326CA" w:rsidP="003326CA">
      <w:pPr>
        <w:pStyle w:val="Caption"/>
      </w:pPr>
      <w:bookmarkStart w:id="112" w:name="_Toc207348583"/>
      <w:r>
        <w:t xml:space="preserve">Table </w:t>
      </w:r>
      <w:r w:rsidR="00D955D8">
        <w:fldChar w:fldCharType="begin"/>
      </w:r>
      <w:r w:rsidR="00D955D8">
        <w:instrText xml:space="preserve"> SEQ Table \* ARABIC </w:instrText>
      </w:r>
      <w:r w:rsidR="00D955D8">
        <w:fldChar w:fldCharType="separate"/>
      </w:r>
      <w:r w:rsidR="00D955D8">
        <w:rPr>
          <w:noProof/>
        </w:rPr>
        <w:t>18</w:t>
      </w:r>
      <w:r w:rsidR="00D955D8">
        <w:rPr>
          <w:noProof/>
        </w:rPr>
        <w:fldChar w:fldCharType="end"/>
      </w:r>
      <w:r>
        <w:t xml:space="preserve">: </w:t>
      </w:r>
      <w:r w:rsidRPr="007C7261">
        <w:t xml:space="preserve">International comparison of </w:t>
      </w:r>
      <w:r>
        <w:t xml:space="preserve">oral </w:t>
      </w:r>
      <w:r w:rsidRPr="007C7261">
        <w:t>prostheses programs and schemes</w:t>
      </w:r>
      <w:bookmarkEnd w:id="112"/>
    </w:p>
    <w:tbl>
      <w:tblPr>
        <w:tblStyle w:val="KPMGTable"/>
        <w:tblW w:w="15026" w:type="dxa"/>
        <w:tblLook w:val="04A0" w:firstRow="1" w:lastRow="0" w:firstColumn="1" w:lastColumn="0" w:noHBand="0" w:noVBand="1"/>
      </w:tblPr>
      <w:tblGrid>
        <w:gridCol w:w="1701"/>
        <w:gridCol w:w="2665"/>
        <w:gridCol w:w="2665"/>
        <w:gridCol w:w="2665"/>
        <w:gridCol w:w="2665"/>
        <w:gridCol w:w="2665"/>
      </w:tblGrid>
      <w:tr w:rsidR="00AD6F37" w:rsidRPr="00C10C27" w14:paraId="07B336F3" w14:textId="77777777" w:rsidTr="00B96BF0">
        <w:trPr>
          <w:cnfStyle w:val="100000000000" w:firstRow="1" w:lastRow="0" w:firstColumn="0" w:lastColumn="0" w:oddVBand="0" w:evenVBand="0" w:oddHBand="0"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1701" w:type="dxa"/>
          </w:tcPr>
          <w:p w14:paraId="7B42AA8C" w14:textId="77777777" w:rsidR="003326CA" w:rsidRDefault="003326CA" w:rsidP="00B96BF0">
            <w:pPr>
              <w:pStyle w:val="TableHeading"/>
            </w:pPr>
            <w:r>
              <w:t>Program details</w:t>
            </w:r>
          </w:p>
        </w:tc>
        <w:tc>
          <w:tcPr>
            <w:tcW w:w="2665" w:type="dxa"/>
          </w:tcPr>
          <w:p w14:paraId="4795C142" w14:textId="77777777" w:rsidR="003326CA" w:rsidRPr="00C10C27" w:rsidRDefault="003326CA" w:rsidP="00B96BF0">
            <w:pPr>
              <w:pStyle w:val="TableHeading"/>
              <w:cnfStyle w:val="100000000000" w:firstRow="1" w:lastRow="0" w:firstColumn="0" w:lastColumn="0" w:oddVBand="0" w:evenVBand="0" w:oddHBand="0" w:evenHBand="0" w:firstRowFirstColumn="0" w:firstRowLastColumn="0" w:lastRowFirstColumn="0" w:lastRowLastColumn="0"/>
            </w:pPr>
            <w:r>
              <w:t>Australia</w:t>
            </w:r>
          </w:p>
        </w:tc>
        <w:tc>
          <w:tcPr>
            <w:tcW w:w="2665" w:type="dxa"/>
          </w:tcPr>
          <w:p w14:paraId="5723D951" w14:textId="77777777" w:rsidR="003326CA" w:rsidRPr="00C10C27" w:rsidRDefault="003326CA" w:rsidP="00B96BF0">
            <w:pPr>
              <w:pStyle w:val="TableHeading"/>
              <w:cnfStyle w:val="100000000000" w:firstRow="1" w:lastRow="0" w:firstColumn="0" w:lastColumn="0" w:oddVBand="0" w:evenVBand="0" w:oddHBand="0" w:evenHBand="0" w:firstRowFirstColumn="0" w:firstRowLastColumn="0" w:lastRowFirstColumn="0" w:lastRowLastColumn="0"/>
            </w:pPr>
            <w:r>
              <w:t>Canada</w:t>
            </w:r>
          </w:p>
        </w:tc>
        <w:tc>
          <w:tcPr>
            <w:tcW w:w="2665" w:type="dxa"/>
          </w:tcPr>
          <w:p w14:paraId="1554D830" w14:textId="77777777" w:rsidR="003326CA" w:rsidRPr="00C10C27" w:rsidRDefault="003326CA" w:rsidP="00B96BF0">
            <w:pPr>
              <w:pStyle w:val="TableHeading"/>
              <w:cnfStyle w:val="100000000000" w:firstRow="1" w:lastRow="0" w:firstColumn="0" w:lastColumn="0" w:oddVBand="0" w:evenVBand="0" w:oddHBand="0" w:evenHBand="0" w:firstRowFirstColumn="0" w:firstRowLastColumn="0" w:lastRowFirstColumn="0" w:lastRowLastColumn="0"/>
            </w:pPr>
            <w:r>
              <w:t>Netherlands</w:t>
            </w:r>
          </w:p>
        </w:tc>
        <w:tc>
          <w:tcPr>
            <w:tcW w:w="2665" w:type="dxa"/>
          </w:tcPr>
          <w:p w14:paraId="72F66228" w14:textId="77777777" w:rsidR="003326CA" w:rsidRPr="00C10C27" w:rsidRDefault="003326CA" w:rsidP="00B96BF0">
            <w:pPr>
              <w:pStyle w:val="TableHeading"/>
              <w:cnfStyle w:val="100000000000" w:firstRow="1" w:lastRow="0" w:firstColumn="0" w:lastColumn="0" w:oddVBand="0" w:evenVBand="0" w:oddHBand="0" w:evenHBand="0" w:firstRowFirstColumn="0" w:firstRowLastColumn="0" w:lastRowFirstColumn="0" w:lastRowLastColumn="0"/>
            </w:pPr>
            <w:r>
              <w:t>New Zealand</w:t>
            </w:r>
          </w:p>
        </w:tc>
        <w:tc>
          <w:tcPr>
            <w:tcW w:w="2665" w:type="dxa"/>
          </w:tcPr>
          <w:p w14:paraId="712085A0" w14:textId="77777777" w:rsidR="003326CA" w:rsidRPr="00C10C27" w:rsidRDefault="003326CA" w:rsidP="00B96BF0">
            <w:pPr>
              <w:pStyle w:val="TableHeading"/>
              <w:cnfStyle w:val="100000000000" w:firstRow="1" w:lastRow="0" w:firstColumn="0" w:lastColumn="0" w:oddVBand="0" w:evenVBand="0" w:oddHBand="0" w:evenHBand="0" w:firstRowFirstColumn="0" w:firstRowLastColumn="0" w:lastRowFirstColumn="0" w:lastRowLastColumn="0"/>
            </w:pPr>
            <w:r>
              <w:t>UK</w:t>
            </w:r>
          </w:p>
        </w:tc>
      </w:tr>
      <w:tr w:rsidR="00AE1E92" w:rsidRPr="00E9562A" w14:paraId="2AFB33F7" w14:textId="77777777" w:rsidTr="00B96BF0">
        <w:trPr>
          <w:trHeight w:val="516"/>
        </w:trPr>
        <w:tc>
          <w:tcPr>
            <w:cnfStyle w:val="001000000000" w:firstRow="0" w:lastRow="0" w:firstColumn="1" w:lastColumn="0" w:oddVBand="0" w:evenVBand="0" w:oddHBand="0" w:evenHBand="0" w:firstRowFirstColumn="0" w:firstRowLastColumn="0" w:lastRowFirstColumn="0" w:lastRowLastColumn="0"/>
            <w:tcW w:w="1701" w:type="dxa"/>
          </w:tcPr>
          <w:p w14:paraId="014FCA71" w14:textId="77777777" w:rsidR="003326CA" w:rsidRPr="00C10C27" w:rsidRDefault="003326CA" w:rsidP="00B96BF0">
            <w:pPr>
              <w:pStyle w:val="Tabletextbold"/>
            </w:pPr>
            <w:r w:rsidRPr="002C6677">
              <w:t>Program</w:t>
            </w:r>
            <w:r>
              <w:t xml:space="preserve"> / s</w:t>
            </w:r>
            <w:r w:rsidRPr="002C6677">
              <w:t xml:space="preserve">cheme </w:t>
            </w:r>
            <w:r>
              <w:t>n</w:t>
            </w:r>
            <w:r w:rsidRPr="002C6677">
              <w:t>ame</w:t>
            </w:r>
          </w:p>
        </w:tc>
        <w:tc>
          <w:tcPr>
            <w:tcW w:w="2665" w:type="dxa"/>
          </w:tcPr>
          <w:p w14:paraId="6D16136F" w14:textId="77777777" w:rsidR="003326CA" w:rsidRPr="00E9562A" w:rsidRDefault="003326CA" w:rsidP="00B96BF0">
            <w:pPr>
              <w:pStyle w:val="TableText"/>
              <w:cnfStyle w:val="000000000000" w:firstRow="0" w:lastRow="0" w:firstColumn="0" w:lastColumn="0" w:oddVBand="0" w:evenVBand="0" w:oddHBand="0" w:evenHBand="0" w:firstRowFirstColumn="0" w:firstRowLastColumn="0" w:lastRowFirstColumn="0" w:lastRowLastColumn="0"/>
            </w:pPr>
            <w:r>
              <w:t>N/A (outside of the DVA)</w:t>
            </w:r>
          </w:p>
        </w:tc>
        <w:tc>
          <w:tcPr>
            <w:tcW w:w="2665" w:type="dxa"/>
          </w:tcPr>
          <w:p w14:paraId="02F486FC" w14:textId="77777777" w:rsidR="003326CA" w:rsidRPr="00E9562A" w:rsidRDefault="003326CA" w:rsidP="00B96BF0">
            <w:pPr>
              <w:pStyle w:val="TableText"/>
              <w:cnfStyle w:val="000000000000" w:firstRow="0" w:lastRow="0" w:firstColumn="0" w:lastColumn="0" w:oddVBand="0" w:evenVBand="0" w:oddHBand="0" w:evenHBand="0" w:firstRowFirstColumn="0" w:firstRowLastColumn="0" w:lastRowFirstColumn="0" w:lastRowLastColumn="0"/>
            </w:pPr>
            <w:r>
              <w:t>Canadian Dental Care Plan (CDCP)</w:t>
            </w:r>
          </w:p>
        </w:tc>
        <w:tc>
          <w:tcPr>
            <w:tcW w:w="2665" w:type="dxa"/>
          </w:tcPr>
          <w:p w14:paraId="79EB21B9" w14:textId="77777777" w:rsidR="003326CA" w:rsidRPr="00E9562A" w:rsidRDefault="003326CA" w:rsidP="00B96BF0">
            <w:pPr>
              <w:pStyle w:val="TableText"/>
              <w:cnfStyle w:val="000000000000" w:firstRow="0" w:lastRow="0" w:firstColumn="0" w:lastColumn="0" w:oddVBand="0" w:evenVBand="0" w:oddHBand="0" w:evenHBand="0" w:firstRowFirstColumn="0" w:firstRowLastColumn="0" w:lastRowFirstColumn="0" w:lastRowLastColumn="0"/>
            </w:pPr>
            <w:r>
              <w:t xml:space="preserve">Basic Health Insurance </w:t>
            </w:r>
          </w:p>
        </w:tc>
        <w:tc>
          <w:tcPr>
            <w:tcW w:w="2665" w:type="dxa"/>
          </w:tcPr>
          <w:p w14:paraId="4C79AE8B" w14:textId="77777777" w:rsidR="003326CA" w:rsidRPr="00E9562A" w:rsidRDefault="003326CA" w:rsidP="00B96BF0">
            <w:pPr>
              <w:pStyle w:val="TableText"/>
              <w:cnfStyle w:val="000000000000" w:firstRow="0" w:lastRow="0" w:firstColumn="0" w:lastColumn="0" w:oddVBand="0" w:evenVBand="0" w:oddHBand="0" w:evenHBand="0" w:firstRowFirstColumn="0" w:firstRowLastColumn="0" w:lastRowFirstColumn="0" w:lastRowLastColumn="0"/>
            </w:pPr>
            <w:r>
              <w:t>N/A</w:t>
            </w:r>
          </w:p>
        </w:tc>
        <w:tc>
          <w:tcPr>
            <w:tcW w:w="2665" w:type="dxa"/>
          </w:tcPr>
          <w:p w14:paraId="7329F078" w14:textId="77777777" w:rsidR="003326CA" w:rsidRPr="00E9562A" w:rsidRDefault="003326CA" w:rsidP="00B96BF0">
            <w:pPr>
              <w:pStyle w:val="TableText"/>
              <w:cnfStyle w:val="000000000000" w:firstRow="0" w:lastRow="0" w:firstColumn="0" w:lastColumn="0" w:oddVBand="0" w:evenVBand="0" w:oddHBand="0" w:evenHBand="0" w:firstRowFirstColumn="0" w:firstRowLastColumn="0" w:lastRowFirstColumn="0" w:lastRowLastColumn="0"/>
            </w:pPr>
            <w:r>
              <w:t>NHS</w:t>
            </w:r>
          </w:p>
        </w:tc>
      </w:tr>
      <w:tr w:rsidR="00AE1E92" w:rsidRPr="00E9562A" w14:paraId="4D85F1E6" w14:textId="77777777" w:rsidTr="00B96BF0">
        <w:trPr>
          <w:trHeight w:val="514"/>
        </w:trPr>
        <w:tc>
          <w:tcPr>
            <w:cnfStyle w:val="001000000000" w:firstRow="0" w:lastRow="0" w:firstColumn="1" w:lastColumn="0" w:oddVBand="0" w:evenVBand="0" w:oddHBand="0" w:evenHBand="0" w:firstRowFirstColumn="0" w:firstRowLastColumn="0" w:lastRowFirstColumn="0" w:lastRowLastColumn="0"/>
            <w:tcW w:w="1701" w:type="dxa"/>
          </w:tcPr>
          <w:p w14:paraId="020554B0" w14:textId="77777777" w:rsidR="003326CA" w:rsidRPr="00C10C27" w:rsidRDefault="003326CA" w:rsidP="00B96BF0">
            <w:pPr>
              <w:pStyle w:val="Tabletextbold"/>
            </w:pPr>
            <w:r w:rsidRPr="002C6677">
              <w:t>National</w:t>
            </w:r>
            <w:r>
              <w:t xml:space="preserve"> or r</w:t>
            </w:r>
            <w:r w:rsidRPr="002C6677">
              <w:t>egional</w:t>
            </w:r>
            <w:r>
              <w:t xml:space="preserve"> model</w:t>
            </w:r>
          </w:p>
        </w:tc>
        <w:tc>
          <w:tcPr>
            <w:tcW w:w="2665" w:type="dxa"/>
          </w:tcPr>
          <w:p w14:paraId="218EA221" w14:textId="77777777" w:rsidR="003326CA" w:rsidRPr="00E9562A" w:rsidRDefault="003326CA" w:rsidP="00B96BF0">
            <w:pPr>
              <w:pStyle w:val="TableText"/>
              <w:cnfStyle w:val="000000000000" w:firstRow="0" w:lastRow="0" w:firstColumn="0" w:lastColumn="0" w:oddVBand="0" w:evenVBand="0" w:oddHBand="0" w:evenHBand="0" w:firstRowFirstColumn="0" w:firstRowLastColumn="0" w:lastRowFirstColumn="0" w:lastRowLastColumn="0"/>
            </w:pPr>
            <w:r>
              <w:t>N/A</w:t>
            </w:r>
          </w:p>
        </w:tc>
        <w:tc>
          <w:tcPr>
            <w:tcW w:w="2665" w:type="dxa"/>
          </w:tcPr>
          <w:p w14:paraId="77EE9CAF" w14:textId="77777777" w:rsidR="003326CA" w:rsidRPr="00E9562A" w:rsidRDefault="003326CA" w:rsidP="00B96BF0">
            <w:pPr>
              <w:pStyle w:val="TableText"/>
              <w:cnfStyle w:val="000000000000" w:firstRow="0" w:lastRow="0" w:firstColumn="0" w:lastColumn="0" w:oddVBand="0" w:evenVBand="0" w:oddHBand="0" w:evenHBand="0" w:firstRowFirstColumn="0" w:firstRowLastColumn="0" w:lastRowFirstColumn="0" w:lastRowLastColumn="0"/>
            </w:pPr>
            <w:r>
              <w:t>National</w:t>
            </w:r>
          </w:p>
        </w:tc>
        <w:tc>
          <w:tcPr>
            <w:tcW w:w="2665" w:type="dxa"/>
          </w:tcPr>
          <w:p w14:paraId="17FDEE79" w14:textId="77777777" w:rsidR="003326CA" w:rsidRPr="00E9562A" w:rsidRDefault="003326CA" w:rsidP="00B96BF0">
            <w:pPr>
              <w:pStyle w:val="TableText"/>
              <w:cnfStyle w:val="000000000000" w:firstRow="0" w:lastRow="0" w:firstColumn="0" w:lastColumn="0" w:oddVBand="0" w:evenVBand="0" w:oddHBand="0" w:evenHBand="0" w:firstRowFirstColumn="0" w:firstRowLastColumn="0" w:lastRowFirstColumn="0" w:lastRowLastColumn="0"/>
            </w:pPr>
            <w:r>
              <w:t>National</w:t>
            </w:r>
          </w:p>
        </w:tc>
        <w:tc>
          <w:tcPr>
            <w:tcW w:w="2665" w:type="dxa"/>
          </w:tcPr>
          <w:p w14:paraId="03B2460B" w14:textId="77777777" w:rsidR="003326CA" w:rsidRPr="00E9562A" w:rsidRDefault="003326CA" w:rsidP="00B96BF0">
            <w:pPr>
              <w:pStyle w:val="TableText"/>
              <w:cnfStyle w:val="000000000000" w:firstRow="0" w:lastRow="0" w:firstColumn="0" w:lastColumn="0" w:oddVBand="0" w:evenVBand="0" w:oddHBand="0" w:evenHBand="0" w:firstRowFirstColumn="0" w:firstRowLastColumn="0" w:lastRowFirstColumn="0" w:lastRowLastColumn="0"/>
            </w:pPr>
            <w:r>
              <w:t>National</w:t>
            </w:r>
          </w:p>
        </w:tc>
        <w:tc>
          <w:tcPr>
            <w:tcW w:w="2665" w:type="dxa"/>
          </w:tcPr>
          <w:p w14:paraId="6935BC4E" w14:textId="77777777" w:rsidR="003326CA" w:rsidRPr="00E9562A" w:rsidRDefault="003326CA" w:rsidP="00B96BF0">
            <w:pPr>
              <w:pStyle w:val="TableText"/>
              <w:cnfStyle w:val="000000000000" w:firstRow="0" w:lastRow="0" w:firstColumn="0" w:lastColumn="0" w:oddVBand="0" w:evenVBand="0" w:oddHBand="0" w:evenHBand="0" w:firstRowFirstColumn="0" w:firstRowLastColumn="0" w:lastRowFirstColumn="0" w:lastRowLastColumn="0"/>
            </w:pPr>
            <w:r>
              <w:t>National</w:t>
            </w:r>
          </w:p>
        </w:tc>
      </w:tr>
      <w:tr w:rsidR="00AE1E92" w:rsidRPr="00C10C27" w14:paraId="4B2A8FA5" w14:textId="77777777" w:rsidTr="00B96BF0">
        <w:trPr>
          <w:trHeight w:val="514"/>
        </w:trPr>
        <w:tc>
          <w:tcPr>
            <w:cnfStyle w:val="001000000000" w:firstRow="0" w:lastRow="0" w:firstColumn="1" w:lastColumn="0" w:oddVBand="0" w:evenVBand="0" w:oddHBand="0" w:evenHBand="0" w:firstRowFirstColumn="0" w:firstRowLastColumn="0" w:lastRowFirstColumn="0" w:lastRowLastColumn="0"/>
            <w:tcW w:w="1701" w:type="dxa"/>
          </w:tcPr>
          <w:p w14:paraId="269DDE2C" w14:textId="77777777" w:rsidR="003326CA" w:rsidRPr="000A4D7E" w:rsidRDefault="003326CA" w:rsidP="00B96BF0">
            <w:pPr>
              <w:pStyle w:val="Tabletextbold"/>
            </w:pPr>
            <w:r>
              <w:t>Eligibility criteria</w:t>
            </w:r>
          </w:p>
        </w:tc>
        <w:tc>
          <w:tcPr>
            <w:tcW w:w="2665" w:type="dxa"/>
          </w:tcPr>
          <w:p w14:paraId="1160FAC1" w14:textId="77777777" w:rsidR="003326CA" w:rsidRPr="00C10C27" w:rsidRDefault="003326CA" w:rsidP="00B96BF0">
            <w:pPr>
              <w:pStyle w:val="TableText"/>
              <w:cnfStyle w:val="000000000000" w:firstRow="0" w:lastRow="0" w:firstColumn="0" w:lastColumn="0" w:oddVBand="0" w:evenVBand="0" w:oddHBand="0" w:evenHBand="0" w:firstRowFirstColumn="0" w:firstRowLastColumn="0" w:lastRowFirstColumn="0" w:lastRowLastColumn="0"/>
            </w:pPr>
            <w:r>
              <w:t>N/A (outside of the DVA, where veterans and dependents are eligible)</w:t>
            </w:r>
          </w:p>
        </w:tc>
        <w:tc>
          <w:tcPr>
            <w:tcW w:w="2665" w:type="dxa"/>
          </w:tcPr>
          <w:p w14:paraId="50807D80" w14:textId="77777777" w:rsidR="003326CA" w:rsidRPr="00C10C27" w:rsidRDefault="003326CA" w:rsidP="00B96BF0">
            <w:pPr>
              <w:pStyle w:val="TableText"/>
              <w:cnfStyle w:val="000000000000" w:firstRow="0" w:lastRow="0" w:firstColumn="0" w:lastColumn="0" w:oddVBand="0" w:evenVBand="0" w:oddHBand="0" w:evenHBand="0" w:firstRowFirstColumn="0" w:firstRowLastColumn="0" w:lastRowFirstColumn="0" w:lastRowLastColumn="0"/>
            </w:pPr>
            <w:r>
              <w:t>Registered under the CDCP, clinical need</w:t>
            </w:r>
          </w:p>
        </w:tc>
        <w:tc>
          <w:tcPr>
            <w:tcW w:w="2665" w:type="dxa"/>
          </w:tcPr>
          <w:p w14:paraId="6C5B8AF6" w14:textId="77777777" w:rsidR="003326CA" w:rsidRPr="00C10C27" w:rsidRDefault="003326CA" w:rsidP="00B96BF0">
            <w:pPr>
              <w:pStyle w:val="TableText"/>
              <w:cnfStyle w:val="000000000000" w:firstRow="0" w:lastRow="0" w:firstColumn="0" w:lastColumn="0" w:oddVBand="0" w:evenVBand="0" w:oddHBand="0" w:evenHBand="0" w:firstRowFirstColumn="0" w:firstRowLastColumn="0" w:lastRowFirstColumn="0" w:lastRowLastColumn="0"/>
            </w:pPr>
            <w:r w:rsidRPr="007B4BD4">
              <w:t>Insured under statutory health insuranc</w:t>
            </w:r>
            <w:r>
              <w:t>e, referral from dentist, dental surgeon or orthodontist</w:t>
            </w:r>
          </w:p>
        </w:tc>
        <w:tc>
          <w:tcPr>
            <w:tcW w:w="2665" w:type="dxa"/>
          </w:tcPr>
          <w:p w14:paraId="0EEEFC0D" w14:textId="77777777" w:rsidR="003326CA" w:rsidRPr="00C10C27" w:rsidRDefault="003326CA" w:rsidP="00B96BF0">
            <w:pPr>
              <w:pStyle w:val="TableText"/>
              <w:cnfStyle w:val="000000000000" w:firstRow="0" w:lastRow="0" w:firstColumn="0" w:lastColumn="0" w:oddVBand="0" w:evenVBand="0" w:oddHBand="0" w:evenHBand="0" w:firstRowFirstColumn="0" w:firstRowLastColumn="0" w:lastRowFirstColumn="0" w:lastRowLastColumn="0"/>
            </w:pPr>
            <w:r>
              <w:t>Diagnosis of head and neck cancer, if prostheses are the most appropriate treatment modality to restore form and function</w:t>
            </w:r>
          </w:p>
        </w:tc>
        <w:tc>
          <w:tcPr>
            <w:tcW w:w="2665" w:type="dxa"/>
          </w:tcPr>
          <w:p w14:paraId="01483BCB" w14:textId="77777777" w:rsidR="003326CA" w:rsidRPr="00C10C27" w:rsidRDefault="003326CA" w:rsidP="00B96BF0">
            <w:pPr>
              <w:pStyle w:val="TableText"/>
              <w:cnfStyle w:val="000000000000" w:firstRow="0" w:lastRow="0" w:firstColumn="0" w:lastColumn="0" w:oddVBand="0" w:evenVBand="0" w:oddHBand="0" w:evenHBand="0" w:firstRowFirstColumn="0" w:firstRowLastColumn="0" w:lastRowFirstColumn="0" w:lastRowLastColumn="0"/>
            </w:pPr>
            <w:r>
              <w:t>M</w:t>
            </w:r>
            <w:r w:rsidRPr="008E6C5C">
              <w:t>ust be registered with the NHS</w:t>
            </w:r>
            <w:r>
              <w:t>, lost teeth due to cancer</w:t>
            </w:r>
          </w:p>
        </w:tc>
      </w:tr>
      <w:tr w:rsidR="00AE1E92" w:rsidRPr="00927649" w14:paraId="041F3994" w14:textId="77777777" w:rsidTr="00B96BF0">
        <w:trPr>
          <w:trHeight w:val="1329"/>
        </w:trPr>
        <w:tc>
          <w:tcPr>
            <w:cnfStyle w:val="001000000000" w:firstRow="0" w:lastRow="0" w:firstColumn="1" w:lastColumn="0" w:oddVBand="0" w:evenVBand="0" w:oddHBand="0" w:evenHBand="0" w:firstRowFirstColumn="0" w:firstRowLastColumn="0" w:lastRowFirstColumn="0" w:lastRowLastColumn="0"/>
            <w:tcW w:w="1701" w:type="dxa"/>
          </w:tcPr>
          <w:p w14:paraId="3AD58FEC" w14:textId="77777777" w:rsidR="003326CA" w:rsidRPr="00C10C27" w:rsidRDefault="003326CA" w:rsidP="00B96BF0">
            <w:pPr>
              <w:pStyle w:val="Tabletextbold"/>
            </w:pPr>
            <w:r w:rsidRPr="000A4D7E">
              <w:t>Products</w:t>
            </w:r>
            <w:r>
              <w:t xml:space="preserve"> and s</w:t>
            </w:r>
            <w:r w:rsidRPr="000A4D7E">
              <w:t xml:space="preserve">ervices </w:t>
            </w:r>
            <w:r>
              <w:t>i</w:t>
            </w:r>
            <w:r w:rsidRPr="000A4D7E">
              <w:t>ncluded</w:t>
            </w:r>
          </w:p>
        </w:tc>
        <w:tc>
          <w:tcPr>
            <w:tcW w:w="2665" w:type="dxa"/>
          </w:tcPr>
          <w:p w14:paraId="2DFF3404" w14:textId="77777777" w:rsidR="003326CA" w:rsidRDefault="003326CA" w:rsidP="00B96BF0">
            <w:pPr>
              <w:pStyle w:val="TableText"/>
              <w:cnfStyle w:val="000000000000" w:firstRow="0" w:lastRow="0" w:firstColumn="0" w:lastColumn="0" w:oddVBand="0" w:evenVBand="0" w:oddHBand="0" w:evenHBand="0" w:firstRowFirstColumn="0" w:firstRowLastColumn="0" w:lastRowFirstColumn="0" w:lastRowLastColumn="0"/>
              <w:rPr>
                <w:szCs w:val="18"/>
              </w:rPr>
            </w:pPr>
            <w:r>
              <w:t>Dentures (complete and partial)</w:t>
            </w:r>
          </w:p>
          <w:p w14:paraId="327B4AC8" w14:textId="77777777" w:rsidR="003326CA" w:rsidRDefault="003326CA" w:rsidP="00B96BF0">
            <w:pPr>
              <w:pStyle w:val="TableText"/>
              <w:cnfStyle w:val="000000000000" w:firstRow="0" w:lastRow="0" w:firstColumn="0" w:lastColumn="0" w:oddVBand="0" w:evenVBand="0" w:oddHBand="0" w:evenHBand="0" w:firstRowFirstColumn="0" w:firstRowLastColumn="0" w:lastRowFirstColumn="0" w:lastRowLastColumn="0"/>
              <w:rPr>
                <w:szCs w:val="18"/>
              </w:rPr>
            </w:pPr>
            <w:r>
              <w:t>Partial plates</w:t>
            </w:r>
          </w:p>
          <w:p w14:paraId="3EF09F84" w14:textId="77777777" w:rsidR="003326CA" w:rsidRPr="003F2AD3" w:rsidRDefault="003326CA" w:rsidP="00B96BF0">
            <w:pPr>
              <w:pStyle w:val="TableText"/>
              <w:cnfStyle w:val="000000000000" w:firstRow="0" w:lastRow="0" w:firstColumn="0" w:lastColumn="0" w:oddVBand="0" w:evenVBand="0" w:oddHBand="0" w:evenHBand="0" w:firstRowFirstColumn="0" w:firstRowLastColumn="0" w:lastRowFirstColumn="0" w:lastRowLastColumn="0"/>
            </w:pPr>
            <w:r>
              <w:t>Prosthetic teeth</w:t>
            </w:r>
          </w:p>
        </w:tc>
        <w:tc>
          <w:tcPr>
            <w:tcW w:w="2665" w:type="dxa"/>
          </w:tcPr>
          <w:p w14:paraId="30246205" w14:textId="77777777" w:rsidR="003326CA" w:rsidRPr="003F2AD3" w:rsidRDefault="003326CA" w:rsidP="00B96BF0">
            <w:pPr>
              <w:pStyle w:val="TableText"/>
              <w:cnfStyle w:val="000000000000" w:firstRow="0" w:lastRow="0" w:firstColumn="0" w:lastColumn="0" w:oddVBand="0" w:evenVBand="0" w:oddHBand="0" w:evenHBand="0" w:firstRowFirstColumn="0" w:firstRowLastColumn="0" w:lastRowFirstColumn="0" w:lastRowLastColumn="0"/>
            </w:pPr>
            <w:r>
              <w:t>Dentures (complete and partial)</w:t>
            </w:r>
          </w:p>
        </w:tc>
        <w:tc>
          <w:tcPr>
            <w:tcW w:w="2665" w:type="dxa"/>
          </w:tcPr>
          <w:p w14:paraId="7ED13633" w14:textId="77777777" w:rsidR="003326CA" w:rsidRDefault="003326CA" w:rsidP="00B96BF0">
            <w:pPr>
              <w:pStyle w:val="TableText"/>
              <w:cnfStyle w:val="000000000000" w:firstRow="0" w:lastRow="0" w:firstColumn="0" w:lastColumn="0" w:oddVBand="0" w:evenVBand="0" w:oddHBand="0" w:evenHBand="0" w:firstRowFirstColumn="0" w:firstRowLastColumn="0" w:lastRowFirstColumn="0" w:lastRowLastColumn="0"/>
              <w:rPr>
                <w:szCs w:val="18"/>
              </w:rPr>
            </w:pPr>
            <w:r>
              <w:t>Prostheses</w:t>
            </w:r>
          </w:p>
          <w:p w14:paraId="3B19414E" w14:textId="43E3E516" w:rsidR="003326CA" w:rsidRPr="00D87E5B" w:rsidRDefault="003326CA" w:rsidP="00B96BF0">
            <w:pPr>
              <w:pStyle w:val="TableText"/>
              <w:cnfStyle w:val="000000000000" w:firstRow="0" w:lastRow="0" w:firstColumn="0" w:lastColumn="0" w:oddVBand="0" w:evenVBand="0" w:oddHBand="0" w:evenHBand="0" w:firstRowFirstColumn="0" w:firstRowLastColumn="0" w:lastRowFirstColumn="0" w:lastRowLastColumn="0"/>
            </w:pPr>
          </w:p>
        </w:tc>
        <w:tc>
          <w:tcPr>
            <w:tcW w:w="2665" w:type="dxa"/>
          </w:tcPr>
          <w:p w14:paraId="243924C7" w14:textId="48FA42DD" w:rsidR="003326CA" w:rsidRDefault="003326CA" w:rsidP="00B96BF0">
            <w:pPr>
              <w:pStyle w:val="TableText"/>
              <w:cnfStyle w:val="000000000000" w:firstRow="0" w:lastRow="0" w:firstColumn="0" w:lastColumn="0" w:oddVBand="0" w:evenVBand="0" w:oddHBand="0" w:evenHBand="0" w:firstRowFirstColumn="0" w:firstRowLastColumn="0" w:lastRowFirstColumn="0" w:lastRowLastColumn="0"/>
              <w:rPr>
                <w:szCs w:val="18"/>
              </w:rPr>
            </w:pPr>
            <w:r>
              <w:t>Prostheses</w:t>
            </w:r>
          </w:p>
          <w:p w14:paraId="3F44AD66" w14:textId="77777777" w:rsidR="003326CA" w:rsidRPr="00C10C27" w:rsidRDefault="003326CA" w:rsidP="00B96BF0">
            <w:pPr>
              <w:pStyle w:val="TableText"/>
              <w:cnfStyle w:val="000000000000" w:firstRow="0" w:lastRow="0" w:firstColumn="0" w:lastColumn="0" w:oddVBand="0" w:evenVBand="0" w:oddHBand="0" w:evenHBand="0" w:firstRowFirstColumn="0" w:firstRowLastColumn="0" w:lastRowFirstColumn="0" w:lastRowLastColumn="0"/>
            </w:pPr>
            <w:r>
              <w:t>Crown and bridge</w:t>
            </w:r>
          </w:p>
        </w:tc>
        <w:tc>
          <w:tcPr>
            <w:tcW w:w="2665" w:type="dxa"/>
          </w:tcPr>
          <w:p w14:paraId="48BD0A5B" w14:textId="77777777" w:rsidR="003326CA" w:rsidRDefault="003326CA" w:rsidP="00B96BF0">
            <w:pPr>
              <w:pStyle w:val="TableText"/>
              <w:cnfStyle w:val="000000000000" w:firstRow="0" w:lastRow="0" w:firstColumn="0" w:lastColumn="0" w:oddVBand="0" w:evenVBand="0" w:oddHBand="0" w:evenHBand="0" w:firstRowFirstColumn="0" w:firstRowLastColumn="0" w:lastRowFirstColumn="0" w:lastRowLastColumn="0"/>
              <w:rPr>
                <w:szCs w:val="18"/>
              </w:rPr>
            </w:pPr>
            <w:r>
              <w:t>Dentures (complete, partial, removable, overdenture)</w:t>
            </w:r>
          </w:p>
          <w:p w14:paraId="174318E8" w14:textId="3069C09D" w:rsidR="003326CA" w:rsidRPr="00927649" w:rsidRDefault="003326CA" w:rsidP="00B96BF0">
            <w:pPr>
              <w:pStyle w:val="TableText"/>
              <w:cnfStyle w:val="000000000000" w:firstRow="0" w:lastRow="0" w:firstColumn="0" w:lastColumn="0" w:oddVBand="0" w:evenVBand="0" w:oddHBand="0" w:evenHBand="0" w:firstRowFirstColumn="0" w:firstRowLastColumn="0" w:lastRowFirstColumn="0" w:lastRowLastColumn="0"/>
            </w:pPr>
          </w:p>
        </w:tc>
      </w:tr>
      <w:tr w:rsidR="00AE1E92" w:rsidRPr="00C10C27" w14:paraId="1DD70D37" w14:textId="77777777" w:rsidTr="00B96BF0">
        <w:trPr>
          <w:trHeight w:val="986"/>
        </w:trPr>
        <w:tc>
          <w:tcPr>
            <w:cnfStyle w:val="001000000000" w:firstRow="0" w:lastRow="0" w:firstColumn="1" w:lastColumn="0" w:oddVBand="0" w:evenVBand="0" w:oddHBand="0" w:evenHBand="0" w:firstRowFirstColumn="0" w:firstRowLastColumn="0" w:lastRowFirstColumn="0" w:lastRowLastColumn="0"/>
            <w:tcW w:w="1701" w:type="dxa"/>
          </w:tcPr>
          <w:p w14:paraId="3CF08635" w14:textId="77777777" w:rsidR="003326CA" w:rsidRDefault="003326CA" w:rsidP="00B96BF0">
            <w:pPr>
              <w:pStyle w:val="Tabletextbold"/>
            </w:pPr>
            <w:r>
              <w:t>Funding source</w:t>
            </w:r>
          </w:p>
        </w:tc>
        <w:tc>
          <w:tcPr>
            <w:tcW w:w="2665" w:type="dxa"/>
          </w:tcPr>
          <w:p w14:paraId="725975DE" w14:textId="77777777" w:rsidR="003326CA" w:rsidRPr="00C10C27" w:rsidRDefault="003326CA" w:rsidP="00B96BF0">
            <w:pPr>
              <w:pStyle w:val="TableText"/>
              <w:cnfStyle w:val="000000000000" w:firstRow="0" w:lastRow="0" w:firstColumn="0" w:lastColumn="0" w:oddVBand="0" w:evenVBand="0" w:oddHBand="0" w:evenHBand="0" w:firstRowFirstColumn="0" w:firstRowLastColumn="0" w:lastRowFirstColumn="0" w:lastRowLastColumn="0"/>
            </w:pPr>
            <w:r>
              <w:t>Self-funded, private health insurance, or through DVA</w:t>
            </w:r>
          </w:p>
        </w:tc>
        <w:tc>
          <w:tcPr>
            <w:tcW w:w="2665" w:type="dxa"/>
          </w:tcPr>
          <w:p w14:paraId="6D0BC4F3" w14:textId="77777777" w:rsidR="003326CA" w:rsidRPr="00C10C27" w:rsidRDefault="003326CA" w:rsidP="00B96BF0">
            <w:pPr>
              <w:pStyle w:val="TableText"/>
              <w:cnfStyle w:val="000000000000" w:firstRow="0" w:lastRow="0" w:firstColumn="0" w:lastColumn="0" w:oddVBand="0" w:evenVBand="0" w:oddHBand="0" w:evenHBand="0" w:firstRowFirstColumn="0" w:firstRowLastColumn="0" w:lastRowFirstColumn="0" w:lastRowLastColumn="0"/>
            </w:pPr>
            <w:r>
              <w:t>National government</w:t>
            </w:r>
          </w:p>
        </w:tc>
        <w:tc>
          <w:tcPr>
            <w:tcW w:w="2665" w:type="dxa"/>
          </w:tcPr>
          <w:p w14:paraId="778F8F7E" w14:textId="77777777" w:rsidR="003326CA" w:rsidRPr="00C10C27" w:rsidRDefault="003326CA" w:rsidP="00B96BF0">
            <w:pPr>
              <w:pStyle w:val="TableText"/>
              <w:cnfStyle w:val="000000000000" w:firstRow="0" w:lastRow="0" w:firstColumn="0" w:lastColumn="0" w:oddVBand="0" w:evenVBand="0" w:oddHBand="0" w:evenHBand="0" w:firstRowFirstColumn="0" w:firstRowLastColumn="0" w:lastRowFirstColumn="0" w:lastRowLastColumn="0"/>
            </w:pPr>
            <w:r>
              <w:t>Statutory health insurance</w:t>
            </w:r>
          </w:p>
        </w:tc>
        <w:tc>
          <w:tcPr>
            <w:tcW w:w="2665" w:type="dxa"/>
          </w:tcPr>
          <w:p w14:paraId="5980C04B" w14:textId="77777777" w:rsidR="003326CA" w:rsidRPr="00C10C27" w:rsidRDefault="003326CA" w:rsidP="00B96BF0">
            <w:pPr>
              <w:pStyle w:val="TableText"/>
              <w:cnfStyle w:val="000000000000" w:firstRow="0" w:lastRow="0" w:firstColumn="0" w:lastColumn="0" w:oddVBand="0" w:evenVBand="0" w:oddHBand="0" w:evenHBand="0" w:firstRowFirstColumn="0" w:firstRowLastColumn="0" w:lastRowFirstColumn="0" w:lastRowLastColumn="0"/>
            </w:pPr>
            <w:r>
              <w:t>District Health Boards (public funding)</w:t>
            </w:r>
          </w:p>
        </w:tc>
        <w:tc>
          <w:tcPr>
            <w:tcW w:w="2665" w:type="dxa"/>
          </w:tcPr>
          <w:p w14:paraId="3B5DF043" w14:textId="77777777" w:rsidR="003326CA" w:rsidRPr="00C10C27" w:rsidRDefault="003326CA" w:rsidP="00B96BF0">
            <w:pPr>
              <w:pStyle w:val="TableText"/>
              <w:cnfStyle w:val="000000000000" w:firstRow="0" w:lastRow="0" w:firstColumn="0" w:lastColumn="0" w:oddVBand="0" w:evenVBand="0" w:oddHBand="0" w:evenHBand="0" w:firstRowFirstColumn="0" w:firstRowLastColumn="0" w:lastRowFirstColumn="0" w:lastRowLastColumn="0"/>
            </w:pPr>
            <w:r w:rsidRPr="00AF77BC">
              <w:t>NHS (public funding)</w:t>
            </w:r>
          </w:p>
        </w:tc>
      </w:tr>
      <w:tr w:rsidR="00AE1E92" w:rsidRPr="00AF77BC" w14:paraId="5F698588" w14:textId="77777777" w:rsidTr="00B96BF0">
        <w:trPr>
          <w:trHeight w:val="728"/>
        </w:trPr>
        <w:tc>
          <w:tcPr>
            <w:cnfStyle w:val="001000000000" w:firstRow="0" w:lastRow="0" w:firstColumn="1" w:lastColumn="0" w:oddVBand="0" w:evenVBand="0" w:oddHBand="0" w:evenHBand="0" w:firstRowFirstColumn="0" w:firstRowLastColumn="0" w:lastRowFirstColumn="0" w:lastRowLastColumn="0"/>
            <w:tcW w:w="1701" w:type="dxa"/>
          </w:tcPr>
          <w:p w14:paraId="5E22A669" w14:textId="77777777" w:rsidR="003326CA" w:rsidRDefault="003326CA" w:rsidP="00B96BF0">
            <w:pPr>
              <w:pStyle w:val="Tabletextbold"/>
            </w:pPr>
            <w:r>
              <w:t>Funding model</w:t>
            </w:r>
          </w:p>
        </w:tc>
        <w:tc>
          <w:tcPr>
            <w:tcW w:w="2665" w:type="dxa"/>
          </w:tcPr>
          <w:p w14:paraId="7256E328" w14:textId="77777777" w:rsidR="003326CA" w:rsidRDefault="003326CA" w:rsidP="00B96BF0">
            <w:pPr>
              <w:pStyle w:val="TableText"/>
              <w:cnfStyle w:val="000000000000" w:firstRow="0" w:lastRow="0" w:firstColumn="0" w:lastColumn="0" w:oddVBand="0" w:evenVBand="0" w:oddHBand="0" w:evenHBand="0" w:firstRowFirstColumn="0" w:firstRowLastColumn="0" w:lastRowFirstColumn="0" w:lastRowLastColumn="0"/>
            </w:pPr>
            <w:r>
              <w:t>Self-funded, private health insurance, or through DVA</w:t>
            </w:r>
          </w:p>
        </w:tc>
        <w:tc>
          <w:tcPr>
            <w:tcW w:w="2665" w:type="dxa"/>
          </w:tcPr>
          <w:p w14:paraId="0A556DA5" w14:textId="77777777" w:rsidR="003326CA" w:rsidRPr="00AF77BC" w:rsidRDefault="003326CA" w:rsidP="00B96BF0">
            <w:pPr>
              <w:pStyle w:val="TableText"/>
              <w:cnfStyle w:val="000000000000" w:firstRow="0" w:lastRow="0" w:firstColumn="0" w:lastColumn="0" w:oddVBand="0" w:evenVBand="0" w:oddHBand="0" w:evenHBand="0" w:firstRowFirstColumn="0" w:firstRowLastColumn="0" w:lastRowFirstColumn="0" w:lastRowLastColumn="0"/>
            </w:pPr>
            <w:r>
              <w:t>Reimbursement model, based on income and cost of services</w:t>
            </w:r>
          </w:p>
        </w:tc>
        <w:tc>
          <w:tcPr>
            <w:tcW w:w="2665" w:type="dxa"/>
          </w:tcPr>
          <w:p w14:paraId="0A5C0D04" w14:textId="77777777" w:rsidR="003326CA" w:rsidRPr="00AF77BC" w:rsidRDefault="003326CA" w:rsidP="00B96BF0">
            <w:pPr>
              <w:pStyle w:val="TableText"/>
              <w:cnfStyle w:val="000000000000" w:firstRow="0" w:lastRow="0" w:firstColumn="0" w:lastColumn="0" w:oddVBand="0" w:evenVBand="0" w:oddHBand="0" w:evenHBand="0" w:firstRowFirstColumn="0" w:firstRowLastColumn="0" w:lastRowFirstColumn="0" w:lastRowLastColumn="0"/>
            </w:pPr>
            <w:r>
              <w:t>Reimbursement model (up to 75%)</w:t>
            </w:r>
          </w:p>
        </w:tc>
        <w:tc>
          <w:tcPr>
            <w:tcW w:w="2665" w:type="dxa"/>
          </w:tcPr>
          <w:p w14:paraId="086BFD2A" w14:textId="77777777" w:rsidR="003326CA" w:rsidRPr="00AF77BC" w:rsidRDefault="003326CA" w:rsidP="00B96BF0">
            <w:pPr>
              <w:pStyle w:val="TableText"/>
              <w:cnfStyle w:val="000000000000" w:firstRow="0" w:lastRow="0" w:firstColumn="0" w:lastColumn="0" w:oddVBand="0" w:evenVBand="0" w:oddHBand="0" w:evenHBand="0" w:firstRowFirstColumn="0" w:firstRowLastColumn="0" w:lastRowFirstColumn="0" w:lastRowLastColumn="0"/>
            </w:pPr>
            <w:r>
              <w:t>Fully funded</w:t>
            </w:r>
          </w:p>
        </w:tc>
        <w:tc>
          <w:tcPr>
            <w:tcW w:w="2665" w:type="dxa"/>
          </w:tcPr>
          <w:p w14:paraId="31DBFC44" w14:textId="77777777" w:rsidR="003326CA" w:rsidRPr="00AF77BC" w:rsidRDefault="003326CA" w:rsidP="00B96BF0">
            <w:pPr>
              <w:pStyle w:val="TableText"/>
              <w:cnfStyle w:val="000000000000" w:firstRow="0" w:lastRow="0" w:firstColumn="0" w:lastColumn="0" w:oddVBand="0" w:evenVBand="0" w:oddHBand="0" w:evenHBand="0" w:firstRowFirstColumn="0" w:firstRowLastColumn="0" w:lastRowFirstColumn="0" w:lastRowLastColumn="0"/>
            </w:pPr>
            <w:r>
              <w:t>Fully funded</w:t>
            </w:r>
          </w:p>
        </w:tc>
      </w:tr>
      <w:tr w:rsidR="00AE1E92" w:rsidRPr="00824B67" w14:paraId="2ED852EB" w14:textId="77777777" w:rsidTr="00B96BF0">
        <w:trPr>
          <w:trHeight w:val="73"/>
        </w:trPr>
        <w:tc>
          <w:tcPr>
            <w:cnfStyle w:val="001000000000" w:firstRow="0" w:lastRow="0" w:firstColumn="1" w:lastColumn="0" w:oddVBand="0" w:evenVBand="0" w:oddHBand="0" w:evenHBand="0" w:firstRowFirstColumn="0" w:firstRowLastColumn="0" w:lastRowFirstColumn="0" w:lastRowLastColumn="0"/>
            <w:tcW w:w="1701" w:type="dxa"/>
          </w:tcPr>
          <w:p w14:paraId="742579D4" w14:textId="36B9CCA3" w:rsidR="003326CA" w:rsidRPr="00C10C27" w:rsidRDefault="003326CA" w:rsidP="00B96BF0">
            <w:pPr>
              <w:pStyle w:val="Tabletextbold"/>
            </w:pPr>
            <w:r>
              <w:t>Process for accessing a prosthesis</w:t>
            </w:r>
          </w:p>
        </w:tc>
        <w:tc>
          <w:tcPr>
            <w:tcW w:w="2665" w:type="dxa"/>
          </w:tcPr>
          <w:p w14:paraId="5CBFA66F" w14:textId="5FA24EC1" w:rsidR="003326CA" w:rsidRPr="00824B67" w:rsidRDefault="003326CA" w:rsidP="00B96BF0">
            <w:pPr>
              <w:pStyle w:val="TableText"/>
              <w:cnfStyle w:val="000000000000" w:firstRow="0" w:lastRow="0" w:firstColumn="0" w:lastColumn="0" w:oddVBand="0" w:evenVBand="0" w:oddHBand="0" w:evenHBand="0" w:firstRowFirstColumn="0" w:firstRowLastColumn="0" w:lastRowFirstColumn="0" w:lastRowLastColumn="0"/>
            </w:pPr>
            <w:r>
              <w:t>Dentist referral, specialist assessment, fitting</w:t>
            </w:r>
            <w:r w:rsidR="007B7939">
              <w:rPr>
                <w:rFonts w:ascii="ZWAdobeF" w:hAnsi="ZWAdobeF" w:cs="ZWAdobeF"/>
                <w:color w:val="auto"/>
                <w:sz w:val="2"/>
                <w:szCs w:val="2"/>
              </w:rPr>
              <w:t>162F</w:t>
            </w:r>
            <w:r>
              <w:rPr>
                <w:rStyle w:val="FootnoteReference"/>
                <w:szCs w:val="18"/>
              </w:rPr>
              <w:footnoteReference w:id="150"/>
            </w:r>
          </w:p>
        </w:tc>
        <w:tc>
          <w:tcPr>
            <w:tcW w:w="2665" w:type="dxa"/>
          </w:tcPr>
          <w:p w14:paraId="3F60EA3C" w14:textId="486A93C5" w:rsidR="003326CA" w:rsidRPr="00824B67" w:rsidRDefault="003326CA" w:rsidP="00B96BF0">
            <w:pPr>
              <w:pStyle w:val="TableText"/>
              <w:cnfStyle w:val="000000000000" w:firstRow="0" w:lastRow="0" w:firstColumn="0" w:lastColumn="0" w:oddVBand="0" w:evenVBand="0" w:oddHBand="0" w:evenHBand="0" w:firstRowFirstColumn="0" w:firstRowLastColumn="0" w:lastRowFirstColumn="0" w:lastRowLastColumn="0"/>
            </w:pPr>
            <w:r>
              <w:t>Dentist referral, specialist assessment, fitting</w:t>
            </w:r>
            <w:r w:rsidR="007B7939">
              <w:rPr>
                <w:rFonts w:ascii="ZWAdobeF" w:hAnsi="ZWAdobeF" w:cs="ZWAdobeF"/>
                <w:color w:val="auto"/>
                <w:sz w:val="2"/>
                <w:szCs w:val="2"/>
              </w:rPr>
              <w:t>163F</w:t>
            </w:r>
            <w:r>
              <w:rPr>
                <w:rStyle w:val="FootnoteReference"/>
                <w:szCs w:val="18"/>
              </w:rPr>
              <w:footnoteReference w:id="151"/>
            </w:r>
            <w:r>
              <w:rPr>
                <w:vertAlign w:val="superscript"/>
              </w:rPr>
              <w:t xml:space="preserve">, </w:t>
            </w:r>
            <w:r w:rsidR="007B7939">
              <w:rPr>
                <w:rFonts w:ascii="ZWAdobeF" w:hAnsi="ZWAdobeF" w:cs="ZWAdobeF"/>
                <w:color w:val="auto"/>
                <w:sz w:val="2"/>
                <w:szCs w:val="2"/>
              </w:rPr>
              <w:t>164F</w:t>
            </w:r>
            <w:r>
              <w:rPr>
                <w:rStyle w:val="FootnoteReference"/>
                <w:szCs w:val="18"/>
              </w:rPr>
              <w:footnoteReference w:id="152"/>
            </w:r>
          </w:p>
        </w:tc>
        <w:tc>
          <w:tcPr>
            <w:tcW w:w="2665" w:type="dxa"/>
          </w:tcPr>
          <w:p w14:paraId="0406C795" w14:textId="7AFD5361" w:rsidR="003326CA" w:rsidRPr="00824B67" w:rsidRDefault="003326CA" w:rsidP="00B96BF0">
            <w:pPr>
              <w:pStyle w:val="TableText"/>
              <w:cnfStyle w:val="000000000000" w:firstRow="0" w:lastRow="0" w:firstColumn="0" w:lastColumn="0" w:oddVBand="0" w:evenVBand="0" w:oddHBand="0" w:evenHBand="0" w:firstRowFirstColumn="0" w:firstRowLastColumn="0" w:lastRowFirstColumn="0" w:lastRowLastColumn="0"/>
            </w:pPr>
            <w:r>
              <w:t>Impression taking, fitting and testing, permanent testing</w:t>
            </w:r>
            <w:r w:rsidR="007B7939">
              <w:rPr>
                <w:rFonts w:ascii="ZWAdobeF" w:hAnsi="ZWAdobeF" w:cs="ZWAdobeF"/>
                <w:color w:val="auto"/>
                <w:sz w:val="2"/>
                <w:szCs w:val="2"/>
              </w:rPr>
              <w:t>165F</w:t>
            </w:r>
            <w:r>
              <w:rPr>
                <w:rStyle w:val="FootnoteReference"/>
                <w:szCs w:val="18"/>
              </w:rPr>
              <w:footnoteReference w:id="153"/>
            </w:r>
            <w:r>
              <w:rPr>
                <w:vertAlign w:val="superscript"/>
              </w:rPr>
              <w:t xml:space="preserve">, </w:t>
            </w:r>
            <w:r w:rsidR="007B7939">
              <w:rPr>
                <w:rFonts w:ascii="ZWAdobeF" w:hAnsi="ZWAdobeF" w:cs="ZWAdobeF"/>
                <w:color w:val="auto"/>
                <w:sz w:val="2"/>
                <w:szCs w:val="2"/>
              </w:rPr>
              <w:t>166F</w:t>
            </w:r>
            <w:r>
              <w:rPr>
                <w:rStyle w:val="FootnoteReference"/>
                <w:szCs w:val="18"/>
              </w:rPr>
              <w:footnoteReference w:id="154"/>
            </w:r>
          </w:p>
        </w:tc>
        <w:tc>
          <w:tcPr>
            <w:tcW w:w="2665" w:type="dxa"/>
          </w:tcPr>
          <w:p w14:paraId="1323530F" w14:textId="6374BAC7" w:rsidR="003326CA" w:rsidRPr="00824B67" w:rsidRDefault="003326CA" w:rsidP="00B96BF0">
            <w:pPr>
              <w:pStyle w:val="TableText"/>
              <w:cnfStyle w:val="000000000000" w:firstRow="0" w:lastRow="0" w:firstColumn="0" w:lastColumn="0" w:oddVBand="0" w:evenVBand="0" w:oddHBand="0" w:evenHBand="0" w:firstRowFirstColumn="0" w:firstRowLastColumn="0" w:lastRowFirstColumn="0" w:lastRowLastColumn="0"/>
            </w:pPr>
            <w:r>
              <w:t>Dentist referral, specialist assessment, impression taking</w:t>
            </w:r>
            <w:r w:rsidR="007B7939">
              <w:rPr>
                <w:rFonts w:ascii="ZWAdobeF" w:hAnsi="ZWAdobeF" w:cs="ZWAdobeF"/>
                <w:color w:val="auto"/>
                <w:sz w:val="2"/>
                <w:szCs w:val="2"/>
              </w:rPr>
              <w:t>167F</w:t>
            </w:r>
            <w:r>
              <w:rPr>
                <w:rStyle w:val="FootnoteReference"/>
                <w:szCs w:val="18"/>
              </w:rPr>
              <w:footnoteReference w:id="155"/>
            </w:r>
          </w:p>
        </w:tc>
        <w:tc>
          <w:tcPr>
            <w:tcW w:w="2665" w:type="dxa"/>
          </w:tcPr>
          <w:p w14:paraId="4D361534" w14:textId="5DFD7761" w:rsidR="003326CA" w:rsidRPr="00824B67" w:rsidRDefault="003326CA" w:rsidP="00B96BF0">
            <w:pPr>
              <w:pStyle w:val="TableText"/>
              <w:cnfStyle w:val="000000000000" w:firstRow="0" w:lastRow="0" w:firstColumn="0" w:lastColumn="0" w:oddVBand="0" w:evenVBand="0" w:oddHBand="0" w:evenHBand="0" w:firstRowFirstColumn="0" w:firstRowLastColumn="0" w:lastRowFirstColumn="0" w:lastRowLastColumn="0"/>
            </w:pPr>
            <w:r>
              <w:t>Specialist assessment, impression taking, adjustments, permanent fitting</w:t>
            </w:r>
            <w:r w:rsidR="007B7939">
              <w:rPr>
                <w:rFonts w:ascii="ZWAdobeF" w:hAnsi="ZWAdobeF" w:cs="ZWAdobeF"/>
                <w:color w:val="auto"/>
                <w:sz w:val="2"/>
                <w:szCs w:val="2"/>
              </w:rPr>
              <w:t>168F</w:t>
            </w:r>
            <w:r>
              <w:rPr>
                <w:rStyle w:val="FootnoteReference"/>
                <w:szCs w:val="18"/>
              </w:rPr>
              <w:footnoteReference w:id="156"/>
            </w:r>
            <w:r>
              <w:rPr>
                <w:vertAlign w:val="superscript"/>
              </w:rPr>
              <w:t xml:space="preserve">, </w:t>
            </w:r>
            <w:r w:rsidR="007B7939">
              <w:rPr>
                <w:rFonts w:ascii="ZWAdobeF" w:hAnsi="ZWAdobeF" w:cs="ZWAdobeF"/>
                <w:color w:val="auto"/>
                <w:sz w:val="2"/>
                <w:szCs w:val="2"/>
              </w:rPr>
              <w:t>169F</w:t>
            </w:r>
            <w:r>
              <w:rPr>
                <w:rStyle w:val="FootnoteReference"/>
                <w:szCs w:val="18"/>
              </w:rPr>
              <w:footnoteReference w:id="157"/>
            </w:r>
          </w:p>
        </w:tc>
      </w:tr>
    </w:tbl>
    <w:p w14:paraId="3BF1D1D8" w14:textId="1EAAE7BF" w:rsidR="003326CA" w:rsidRPr="003326CA" w:rsidRDefault="003326CA" w:rsidP="00B96BF0">
      <w:pPr>
        <w:pStyle w:val="Caption-Source"/>
        <w:rPr>
          <w:i/>
          <w:iCs w:val="0"/>
          <w:szCs w:val="20"/>
        </w:rPr>
      </w:pPr>
      <w:r w:rsidRPr="003326CA">
        <w:t xml:space="preserve">Source: </w:t>
      </w:r>
      <w:r w:rsidR="00120620" w:rsidRPr="00120620">
        <w:t>Independent reviewer</w:t>
      </w:r>
      <w:r w:rsidRPr="003326CA">
        <w:t xml:space="preserve"> (2025)</w:t>
      </w:r>
    </w:p>
    <w:p w14:paraId="2904E461" w14:textId="77777777" w:rsidR="00E93ABC" w:rsidRDefault="00E93ABC" w:rsidP="00B96BF0">
      <w:pPr>
        <w:pStyle w:val="Caption-Source"/>
        <w:rPr>
          <w:color w:val="auto"/>
        </w:rPr>
        <w:sectPr w:rsidR="00E93ABC" w:rsidSect="0004056B">
          <w:pgSz w:w="16838" w:h="11906" w:orient="landscape"/>
          <w:pgMar w:top="1418" w:right="851" w:bottom="1134" w:left="851" w:header="567" w:footer="284" w:gutter="0"/>
          <w:cols w:space="708"/>
          <w:docGrid w:linePitch="360"/>
        </w:sectPr>
      </w:pPr>
    </w:p>
    <w:p w14:paraId="5666CC9B" w14:textId="0292903E" w:rsidR="00496181" w:rsidRPr="00496181" w:rsidRDefault="008F1452" w:rsidP="005822FA">
      <w:pPr>
        <w:pStyle w:val="DividerTitle1White"/>
        <w:sectPr w:rsidR="00496181" w:rsidRPr="00496181" w:rsidSect="00CC7435">
          <w:headerReference w:type="default" r:id="rId69"/>
          <w:pgSz w:w="11906" w:h="16838"/>
          <w:pgMar w:top="851" w:right="851" w:bottom="851" w:left="851" w:header="567" w:footer="283" w:gutter="0"/>
          <w:cols w:space="708"/>
          <w:docGrid w:linePitch="360"/>
        </w:sectPr>
      </w:pPr>
      <w:r w:rsidRPr="00C20260">
        <w:rPr>
          <w:noProof/>
        </w:rPr>
        <w:drawing>
          <wp:anchor distT="0" distB="0" distL="114300" distR="114300" simplePos="0" relativeHeight="251658242" behindDoc="1" locked="1" layoutInCell="1" allowOverlap="1" wp14:anchorId="4BB45D6F" wp14:editId="00A7C338">
            <wp:simplePos x="0" y="0"/>
            <wp:positionH relativeFrom="page">
              <wp:align>left</wp:align>
            </wp:positionH>
            <wp:positionV relativeFrom="page">
              <wp:align>top</wp:align>
            </wp:positionV>
            <wp:extent cx="7559675" cy="10691495"/>
            <wp:effectExtent l="0" t="0" r="3175" b="0"/>
            <wp:wrapNone/>
            <wp:docPr id="156318598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185980" name="Graphic 1">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Lst>
                    </a:blip>
                    <a:stretch>
                      <a:fillRect/>
                    </a:stretch>
                  </pic:blipFill>
                  <pic:spPr>
                    <a:xfrm>
                      <a:off x="0" y="0"/>
                      <a:ext cx="7559847" cy="10692000"/>
                    </a:xfrm>
                    <a:prstGeom prst="rect">
                      <a:avLst/>
                    </a:prstGeom>
                  </pic:spPr>
                </pic:pic>
              </a:graphicData>
            </a:graphic>
            <wp14:sizeRelH relativeFrom="margin">
              <wp14:pctWidth>0</wp14:pctWidth>
            </wp14:sizeRelH>
            <wp14:sizeRelV relativeFrom="margin">
              <wp14:pctHeight>0</wp14:pctHeight>
            </wp14:sizeRelV>
          </wp:anchor>
        </w:drawing>
      </w:r>
    </w:p>
    <w:p w14:paraId="5E00D6C4" w14:textId="35BCA159" w:rsidR="00503786" w:rsidRDefault="00503786" w:rsidP="00503786">
      <w:pPr>
        <w:pStyle w:val="Heading1"/>
      </w:pPr>
      <w:bookmarkStart w:id="113" w:name="_Ref201910748"/>
      <w:bookmarkStart w:id="114" w:name="_Toc207348748"/>
      <w:r>
        <w:t>Equity of access to prostheses for people living with or post a cancer diagnosis</w:t>
      </w:r>
      <w:bookmarkEnd w:id="113"/>
      <w:bookmarkEnd w:id="114"/>
      <w:r w:rsidR="00496181">
        <w:t xml:space="preserve"> </w:t>
      </w:r>
    </w:p>
    <w:p w14:paraId="24457016" w14:textId="77777777" w:rsidR="009E763E" w:rsidRPr="009A4EB8" w:rsidRDefault="009E763E" w:rsidP="009A4EB8">
      <w:r w:rsidRPr="009A4EB8">
        <w:t xml:space="preserve">This section outlines findings related to the following review questions.  </w:t>
      </w:r>
    </w:p>
    <w:p w14:paraId="7E95E329" w14:textId="77777777" w:rsidR="008D0E8A" w:rsidRDefault="008D0E8A" w:rsidP="00E808C4">
      <w:pPr>
        <w:pStyle w:val="Callout-Summaryofkeyfindingbullet"/>
      </w:pPr>
      <w:r w:rsidRPr="0042443F">
        <w:rPr>
          <w:rStyle w:val="Strong"/>
        </w:rPr>
        <w:t>KRQ 4:</w:t>
      </w:r>
      <w:r>
        <w:t xml:space="preserve"> </w:t>
      </w:r>
      <w:r w:rsidRPr="0035559F">
        <w:t>What are the current barriers faced by people living with or who have lived experience of cancer in accessing prostheses?</w:t>
      </w:r>
    </w:p>
    <w:p w14:paraId="57388EC2" w14:textId="77777777" w:rsidR="008D0E8A" w:rsidRDefault="008D0E8A" w:rsidP="00E808C4">
      <w:pPr>
        <w:pStyle w:val="Callout-Summaryofkeyfindingbullet"/>
      </w:pPr>
      <w:r w:rsidRPr="0042443F">
        <w:rPr>
          <w:rStyle w:val="Strong"/>
        </w:rPr>
        <w:t>KRQ 5:</w:t>
      </w:r>
      <w:r>
        <w:t xml:space="preserve"> </w:t>
      </w:r>
      <w:r w:rsidRPr="0035559F">
        <w:t>Are there particular prosthesis types that are more difficult than others to access? Are there particular prosthesis types that are not covered by any existing support schemes?</w:t>
      </w:r>
    </w:p>
    <w:p w14:paraId="6231CC22" w14:textId="2FC993DA" w:rsidR="008D0E8A" w:rsidRDefault="008D0E8A" w:rsidP="00E808C4">
      <w:pPr>
        <w:pStyle w:val="Callout-Summaryofkeyfindingbullet"/>
      </w:pPr>
      <w:r w:rsidRPr="0042443F">
        <w:rPr>
          <w:rStyle w:val="Strong"/>
        </w:rPr>
        <w:t>KRQ 6:</w:t>
      </w:r>
      <w:r>
        <w:t xml:space="preserve"> </w:t>
      </w:r>
      <w:r w:rsidRPr="0035559F">
        <w:t>Is there a gap in equity and access to prosthetics for individuals living with or post a cancer diagnosis?</w:t>
      </w:r>
    </w:p>
    <w:p w14:paraId="73CEE4DD" w14:textId="112E7831" w:rsidR="009E763E" w:rsidRPr="009A4EB8" w:rsidRDefault="009E763E" w:rsidP="009A4EB8">
      <w:r w:rsidRPr="009A4EB8">
        <w:t>The findings in this section are presented</w:t>
      </w:r>
      <w:r w:rsidR="0035559F" w:rsidRPr="009A4EB8">
        <w:t xml:space="preserve"> </w:t>
      </w:r>
      <w:r w:rsidR="00D662C6" w:rsidRPr="009A4EB8">
        <w:t>as follows</w:t>
      </w:r>
      <w:r w:rsidRPr="009A4EB8">
        <w:t xml:space="preserve">: </w:t>
      </w:r>
    </w:p>
    <w:p w14:paraId="632EF509" w14:textId="24F279B2" w:rsidR="009E763E" w:rsidRPr="00EA3BFE" w:rsidRDefault="009E763E" w:rsidP="008D0E8A">
      <w:pPr>
        <w:pStyle w:val="Bullet1stlevel"/>
      </w:pPr>
      <w:r w:rsidRPr="00EA3BFE">
        <w:t>Section</w:t>
      </w:r>
      <w:r w:rsidR="00A17962">
        <w:t xml:space="preserve"> 4.1</w:t>
      </w:r>
      <w:r w:rsidRPr="00EA3BFE">
        <w:t xml:space="preserve">: </w:t>
      </w:r>
      <w:r w:rsidR="00F12B86">
        <w:t xml:space="preserve">Barriers to </w:t>
      </w:r>
      <w:r w:rsidR="00F12B86" w:rsidRPr="00F12B86">
        <w:t>accessing prostheses</w:t>
      </w:r>
      <w:r w:rsidR="00F12B86">
        <w:t xml:space="preserve"> </w:t>
      </w:r>
      <w:r w:rsidR="00DF03C9">
        <w:t>services</w:t>
      </w:r>
    </w:p>
    <w:p w14:paraId="1B7B32C3" w14:textId="10EB9E2E" w:rsidR="009E763E" w:rsidRPr="00EA3BFE" w:rsidRDefault="009E763E" w:rsidP="008D0E8A">
      <w:pPr>
        <w:pStyle w:val="Bullet1stlevel"/>
      </w:pPr>
      <w:r w:rsidRPr="00EA3BFE">
        <w:t>Sectio</w:t>
      </w:r>
      <w:r w:rsidR="00A17962">
        <w:t>n 4.2</w:t>
      </w:r>
      <w:r w:rsidRPr="00EA3BFE">
        <w:t xml:space="preserve">: </w:t>
      </w:r>
      <w:r w:rsidR="00F12B86">
        <w:t xml:space="preserve">Equity issues. </w:t>
      </w:r>
    </w:p>
    <w:p w14:paraId="28017C80" w14:textId="77777777" w:rsidR="009E763E" w:rsidRPr="009A4EB8" w:rsidRDefault="009E763E" w:rsidP="009A4EB8">
      <w:r w:rsidRPr="009A4EB8">
        <w:t xml:space="preserve">A summary of the key findings outlined within this section is provided below. </w:t>
      </w:r>
    </w:p>
    <w:p w14:paraId="69E25FE8" w14:textId="03F31C8B" w:rsidR="00277815" w:rsidRDefault="000E0738" w:rsidP="00FD688B">
      <w:pPr>
        <w:pStyle w:val="Heading2Summaryofkeyfindings"/>
      </w:pPr>
      <w:r w:rsidRPr="00FD688B">
        <w:t>Summary</w:t>
      </w:r>
      <w:r>
        <w:t xml:space="preserve"> of findings</w:t>
      </w:r>
    </w:p>
    <w:p w14:paraId="4BF6B95E" w14:textId="77777777" w:rsidR="000E0738" w:rsidRPr="005A6CA2" w:rsidRDefault="000E0738" w:rsidP="005A6CA2">
      <w:pPr>
        <w:pStyle w:val="Calloutbodytext"/>
      </w:pPr>
      <w:r w:rsidRPr="005A6CA2">
        <w:t xml:space="preserve">A range of barriers were identified for people living with or who have lived experience of cancer in accessing prostheses services. These included: </w:t>
      </w:r>
    </w:p>
    <w:p w14:paraId="53322FB4" w14:textId="77777777" w:rsidR="000E0738" w:rsidRPr="00EB52F2" w:rsidRDefault="000E0738" w:rsidP="005A6CA2">
      <w:pPr>
        <w:pStyle w:val="Callout-Summaryofkeyfindingbullet"/>
      </w:pPr>
      <w:r w:rsidRPr="0042443F">
        <w:rPr>
          <w:rStyle w:val="Strong"/>
        </w:rPr>
        <w:t>System navigation and access issues</w:t>
      </w:r>
      <w:r>
        <w:rPr>
          <w:b/>
        </w:rPr>
        <w:t>,</w:t>
      </w:r>
      <w:r w:rsidRPr="00EB52F2">
        <w:t xml:space="preserve"> including unclear care pathways and system complexity, a lack of awareness of existing services and schemes and issues relating to </w:t>
      </w:r>
      <w:r w:rsidRPr="005A6CA2">
        <w:t>eligibility</w:t>
      </w:r>
      <w:r w:rsidRPr="00EB52F2">
        <w:t xml:space="preserve"> criteria for existing schemes </w:t>
      </w:r>
    </w:p>
    <w:p w14:paraId="475CDD17" w14:textId="77777777" w:rsidR="000E0738" w:rsidRPr="00EB52F2" w:rsidRDefault="000E0738" w:rsidP="005A6CA2">
      <w:pPr>
        <w:pStyle w:val="Callout-Summaryofkeyfindingbullet"/>
      </w:pPr>
      <w:r w:rsidRPr="0042443F">
        <w:rPr>
          <w:rStyle w:val="Strong"/>
        </w:rPr>
        <w:t>Availability of prostheses services</w:t>
      </w:r>
      <w:r>
        <w:rPr>
          <w:b/>
          <w:bCs/>
        </w:rPr>
        <w:t>,</w:t>
      </w:r>
      <w:r w:rsidRPr="00EB52F2">
        <w:t xml:space="preserve"> including a lack of services, particularly in regional, rural and remote areas, long wait times to access services and limited </w:t>
      </w:r>
      <w:r>
        <w:t xml:space="preserve">availability of </w:t>
      </w:r>
      <w:r w:rsidRPr="00EB52F2">
        <w:t>culturally safe and accessible prostheses services for Aboriginal and Torres Strait Islander and CALD communities.</w:t>
      </w:r>
    </w:p>
    <w:p w14:paraId="509A86E2" w14:textId="77777777" w:rsidR="000E0738" w:rsidRPr="00EB52F2" w:rsidRDefault="000E0738" w:rsidP="005A6CA2">
      <w:pPr>
        <w:pStyle w:val="Callout-Summaryofkeyfindingbullet"/>
      </w:pPr>
      <w:r w:rsidRPr="0042443F">
        <w:rPr>
          <w:rStyle w:val="Strong"/>
        </w:rPr>
        <w:t>Workforce issues</w:t>
      </w:r>
      <w:r>
        <w:rPr>
          <w:b/>
          <w:bCs/>
        </w:rPr>
        <w:t>,</w:t>
      </w:r>
      <w:r w:rsidRPr="00EB52F2">
        <w:t xml:space="preserve"> including a shortage of skilled prosthetic providers, particularly for facial prostheses, no clear or formal education and qualification pathways for providers of facial prostheses and a lack of regulation and accreditation standards for providers of facial prostheses.</w:t>
      </w:r>
    </w:p>
    <w:p w14:paraId="53356989" w14:textId="77777777" w:rsidR="000E0738" w:rsidRPr="00EB52F2" w:rsidRDefault="000E0738" w:rsidP="005A6CA2">
      <w:pPr>
        <w:pStyle w:val="Callout-Summaryofkeyfindingbullet"/>
      </w:pPr>
      <w:r w:rsidRPr="0042443F">
        <w:rPr>
          <w:rStyle w:val="Strong"/>
        </w:rPr>
        <w:t>Cost and funding models</w:t>
      </w:r>
      <w:r>
        <w:rPr>
          <w:b/>
          <w:bCs/>
        </w:rPr>
        <w:t>,</w:t>
      </w:r>
      <w:r w:rsidRPr="00EB52F2">
        <w:t xml:space="preserve"> including out-of-pocket costs for prostheses not covered by existing schemes, upfront payments required under existing reimbursement models and travel costs for patients who cannot access prostheses services where they live.</w:t>
      </w:r>
    </w:p>
    <w:p w14:paraId="431E9A04" w14:textId="77777777" w:rsidR="000E0738" w:rsidRPr="00263557" w:rsidRDefault="000E0738" w:rsidP="005A6CA2">
      <w:pPr>
        <w:pStyle w:val="Calloutbodytext"/>
      </w:pPr>
      <w:r w:rsidRPr="00263557">
        <w:t xml:space="preserve">In considering these barriers, issues related to equitable access to prostheses were identified, as follows: </w:t>
      </w:r>
    </w:p>
    <w:p w14:paraId="08075EDA" w14:textId="77777777" w:rsidR="000E0738" w:rsidRDefault="000E0738" w:rsidP="005A6CA2">
      <w:pPr>
        <w:pStyle w:val="Callout-Summaryofkeyfindingbullet"/>
      </w:pPr>
      <w:r w:rsidRPr="0042443F">
        <w:rPr>
          <w:rStyle w:val="Strong"/>
        </w:rPr>
        <w:t>Differences in equitable access between different types of prostheses</w:t>
      </w:r>
      <w:r>
        <w:rPr>
          <w:b/>
        </w:rPr>
        <w:t xml:space="preserve">, </w:t>
      </w:r>
      <w:r w:rsidRPr="005231F4">
        <w:t>including inconsistent availability of national programs and schemes, and inconsistent funding mo</w:t>
      </w:r>
      <w:r w:rsidRPr="00F553D5">
        <w:t xml:space="preserve">dels used by existing national programs and schemes. </w:t>
      </w:r>
    </w:p>
    <w:p w14:paraId="1DCE8B0B" w14:textId="77777777" w:rsidR="000E0738" w:rsidRPr="005231F4" w:rsidRDefault="000E0738" w:rsidP="005A6CA2">
      <w:pPr>
        <w:pStyle w:val="Callout-Summaryofkeyfindingbullet"/>
      </w:pPr>
      <w:r w:rsidRPr="0042443F">
        <w:rPr>
          <w:rStyle w:val="Strong"/>
        </w:rPr>
        <w:t>Differences in equitable access within the same type of prosthesis</w:t>
      </w:r>
      <w:r>
        <w:rPr>
          <w:b/>
        </w:rPr>
        <w:t xml:space="preserve">, </w:t>
      </w:r>
      <w:r w:rsidRPr="005231F4">
        <w:t xml:space="preserve">including variability in availability of facial prostheses services between jurisdictions, variability in prostheses available under the NDIS and jurisdictional limb schemes and variability between jurisdictional limb schemes, including funding per person, treatment approaches, prosthetic componentry and consumables provided. </w:t>
      </w:r>
    </w:p>
    <w:p w14:paraId="76D9A975" w14:textId="77777777" w:rsidR="00EB0A89" w:rsidRDefault="000E0738" w:rsidP="005A6CA2">
      <w:pPr>
        <w:pStyle w:val="Callout-Summaryofkeyfindingbullet"/>
      </w:pPr>
      <w:r w:rsidRPr="0042443F">
        <w:rPr>
          <w:rStyle w:val="Strong"/>
        </w:rPr>
        <w:t>Additional access issues experienced by priority population groups,</w:t>
      </w:r>
      <w:r w:rsidRPr="00F553D5">
        <w:rPr>
          <w:b/>
        </w:rPr>
        <w:t xml:space="preserve"> </w:t>
      </w:r>
      <w:r w:rsidRPr="00F553D5">
        <w:t xml:space="preserve">including limited services available in rural and remote areas, significant financial barriers for people in lower socioeconomic groups and additional financial burden for young people requiring facial prostheses </w:t>
      </w:r>
      <w:proofErr w:type="gramStart"/>
      <w:r w:rsidRPr="00F553D5">
        <w:t>as a result of</w:t>
      </w:r>
      <w:proofErr w:type="gramEnd"/>
      <w:r w:rsidRPr="00F553D5">
        <w:t xml:space="preserve"> the need for more frequent replacement prostheses as they grow.</w:t>
      </w:r>
      <w:r w:rsidR="00EB0A89">
        <w:br w:type="page"/>
      </w:r>
    </w:p>
    <w:p w14:paraId="50F527E9" w14:textId="11AE4B88" w:rsidR="00AD3326" w:rsidRDefault="00E25795" w:rsidP="008239ED">
      <w:pPr>
        <w:pStyle w:val="Heading2"/>
      </w:pPr>
      <w:bookmarkStart w:id="115" w:name="_Toc207348749"/>
      <w:r>
        <w:t>Barriers</w:t>
      </w:r>
      <w:r w:rsidR="00386F62">
        <w:t xml:space="preserve"> to access</w:t>
      </w:r>
      <w:r w:rsidR="00075133">
        <w:t>ing prostheses</w:t>
      </w:r>
      <w:r w:rsidR="009518AA">
        <w:t xml:space="preserve"> for </w:t>
      </w:r>
      <w:r w:rsidR="009518AA" w:rsidRPr="009518AA">
        <w:t>people living with or who have lived experience of cancer</w:t>
      </w:r>
      <w:bookmarkEnd w:id="115"/>
    </w:p>
    <w:p w14:paraId="06685A7B" w14:textId="06F54B16" w:rsidR="007E2557" w:rsidRDefault="0066710D" w:rsidP="009A4EB8">
      <w:r>
        <w:t xml:space="preserve">In the survey distributed to </w:t>
      </w:r>
      <w:r w:rsidRPr="00E1506F">
        <w:t xml:space="preserve">people living with or with lived experience of cancer and their </w:t>
      </w:r>
      <w:proofErr w:type="spellStart"/>
      <w:r w:rsidRPr="00E1506F">
        <w:t>carer</w:t>
      </w:r>
      <w:r>
        <w:t>s</w:t>
      </w:r>
      <w:proofErr w:type="spellEnd"/>
      <w:r>
        <w:t>,</w:t>
      </w:r>
      <w:r w:rsidR="00FA4424">
        <w:t xml:space="preserve"> almost two-thirds of</w:t>
      </w:r>
      <w:r>
        <w:t xml:space="preserve"> respondents </w:t>
      </w:r>
      <w:r w:rsidR="00FA4424">
        <w:t xml:space="preserve">indicated that they had experienced barriers </w:t>
      </w:r>
      <w:r w:rsidR="00411587">
        <w:t xml:space="preserve">to accessing prostheses </w:t>
      </w:r>
      <w:r w:rsidR="00FA4424">
        <w:t>(</w:t>
      </w:r>
      <w:r w:rsidR="00362DA6">
        <w:t xml:space="preserve">37 out of 61 respondents or 61 per cent). </w:t>
      </w:r>
    </w:p>
    <w:p w14:paraId="3D728076" w14:textId="39EE1308" w:rsidR="00C20D0E" w:rsidRDefault="00C20D0E" w:rsidP="00592939">
      <w:pPr>
        <w:pStyle w:val="Bodytext-quote2"/>
      </w:pPr>
      <w:r w:rsidRPr="00C20D0E">
        <w:t>61%</w:t>
      </w:r>
      <w:r>
        <w:t xml:space="preserve"> </w:t>
      </w:r>
      <w:r w:rsidRPr="00C20D0E">
        <w:t>of survey respondents reported that they had experienced barriers to accessing prostheses</w:t>
      </w:r>
    </w:p>
    <w:p w14:paraId="7C3F469E" w14:textId="44397A69" w:rsidR="00C20D0E" w:rsidRDefault="00C20D0E" w:rsidP="00E71108">
      <w:pPr>
        <w:pStyle w:val="Bodytextquote2strong"/>
      </w:pPr>
      <w:r w:rsidRPr="00C20D0E">
        <w:t xml:space="preserve">- </w:t>
      </w:r>
      <w:r w:rsidR="00120620">
        <w:t>S</w:t>
      </w:r>
      <w:r w:rsidRPr="00C20D0E">
        <w:t>urvey of people living with or with lived experience of cancer and their carers</w:t>
      </w:r>
    </w:p>
    <w:p w14:paraId="11DC9729" w14:textId="7FBCA4B0" w:rsidR="00411587" w:rsidRDefault="00362DA6" w:rsidP="009A4EB8">
      <w:r>
        <w:t xml:space="preserve">This section details </w:t>
      </w:r>
      <w:r w:rsidR="00893D28">
        <w:t>the</w:t>
      </w:r>
      <w:r>
        <w:t xml:space="preserve"> barriers identified </w:t>
      </w:r>
      <w:r w:rsidR="00411587">
        <w:t xml:space="preserve">for people living with or who have lived experience of cancer </w:t>
      </w:r>
      <w:r>
        <w:t>in accessing prostheses services, with supporting stakeholder quotes provided where relevant to illustrate the impact of these barriers.</w:t>
      </w:r>
      <w:r w:rsidR="007C4070">
        <w:t xml:space="preserve"> As outlined in </w:t>
      </w:r>
      <w:r w:rsidR="007C4070">
        <w:fldChar w:fldCharType="begin"/>
      </w:r>
      <w:r w:rsidR="007C4070">
        <w:instrText xml:space="preserve"> REF _Ref201397215 \h </w:instrText>
      </w:r>
      <w:r w:rsidR="007C4070">
        <w:fldChar w:fldCharType="separate"/>
      </w:r>
      <w:r w:rsidR="00D955D8">
        <w:t xml:space="preserve">Table </w:t>
      </w:r>
      <w:r w:rsidR="00D955D8">
        <w:rPr>
          <w:noProof/>
        </w:rPr>
        <w:t>19</w:t>
      </w:r>
      <w:r w:rsidR="007C4070">
        <w:fldChar w:fldCharType="end"/>
      </w:r>
      <w:r w:rsidR="007C4070">
        <w:t xml:space="preserve"> below,</w:t>
      </w:r>
      <w:r w:rsidR="003F4FDE" w:rsidRPr="003F4FDE">
        <w:t xml:space="preserve"> barriers </w:t>
      </w:r>
      <w:r w:rsidR="007C4070">
        <w:t xml:space="preserve">have been themed into four categories: </w:t>
      </w:r>
    </w:p>
    <w:p w14:paraId="7B212169" w14:textId="77F011CB" w:rsidR="007C4070" w:rsidRDefault="007C4070" w:rsidP="00E214B7">
      <w:pPr>
        <w:pStyle w:val="Bullet1stlevel"/>
      </w:pPr>
      <w:r>
        <w:t>System navigation and access issues</w:t>
      </w:r>
    </w:p>
    <w:p w14:paraId="55F2997F" w14:textId="403C5720" w:rsidR="007C4070" w:rsidRDefault="007C4070" w:rsidP="00E214B7">
      <w:pPr>
        <w:pStyle w:val="Bullet1stlevel"/>
      </w:pPr>
      <w:r>
        <w:t>Availability of prostheses services</w:t>
      </w:r>
    </w:p>
    <w:p w14:paraId="713CA272" w14:textId="24666BF3" w:rsidR="007C4070" w:rsidRDefault="007C4070" w:rsidP="00E214B7">
      <w:pPr>
        <w:pStyle w:val="Bullet1stlevel"/>
      </w:pPr>
      <w:r>
        <w:t>Workforce issues</w:t>
      </w:r>
    </w:p>
    <w:p w14:paraId="4CE647B7" w14:textId="5DC043E7" w:rsidR="007C4070" w:rsidRDefault="007C4070" w:rsidP="00E214B7">
      <w:pPr>
        <w:pStyle w:val="Bullet1stlevel"/>
      </w:pPr>
      <w:r>
        <w:t xml:space="preserve">Cost and funding models. </w:t>
      </w:r>
    </w:p>
    <w:p w14:paraId="5C5364FB" w14:textId="4339B699" w:rsidR="003F4FDE" w:rsidRDefault="002F50F8" w:rsidP="00362DA6">
      <w:pPr>
        <w:spacing w:after="120"/>
      </w:pPr>
      <w:r>
        <w:t>B</w:t>
      </w:r>
      <w:r w:rsidR="003F4FDE" w:rsidRPr="003F4FDE">
        <w:t xml:space="preserve">arriers </w:t>
      </w:r>
      <w:r w:rsidR="003579F0">
        <w:t xml:space="preserve">to accessing prostheses services </w:t>
      </w:r>
      <w:r w:rsidR="003F4FDE" w:rsidRPr="003F4FDE">
        <w:t xml:space="preserve">were identified </w:t>
      </w:r>
      <w:r w:rsidR="00D416A4">
        <w:t>through</w:t>
      </w:r>
      <w:r w:rsidR="003F4FDE" w:rsidRPr="003F4FDE">
        <w:t xml:space="preserve"> </w:t>
      </w:r>
      <w:r>
        <w:t>a variety of sources</w:t>
      </w:r>
      <w:r w:rsidR="005231F4">
        <w:t>, including desktop research and mapping of available schemes and programs for prostheses, consultations with stakeholders, including clinicians involved in prostheses service delivery</w:t>
      </w:r>
      <w:r w:rsidR="00D774CB">
        <w:t xml:space="preserve"> and people living with or who have lived experience of cancer</w:t>
      </w:r>
      <w:r w:rsidR="003F4FDE" w:rsidRPr="003F4FDE">
        <w:t>, and</w:t>
      </w:r>
      <w:r w:rsidR="00D774CB">
        <w:t xml:space="preserve"> stakeholder</w:t>
      </w:r>
      <w:r w:rsidR="003F4FDE" w:rsidRPr="003F4FDE">
        <w:t xml:space="preserve"> survey</w:t>
      </w:r>
      <w:r w:rsidR="00D774CB">
        <w:t xml:space="preserve"> </w:t>
      </w:r>
      <w:r w:rsidR="003579F0">
        <w:t>responses</w:t>
      </w:r>
      <w:r w:rsidR="003F4FDE" w:rsidRPr="003F4FDE">
        <w:t>.</w:t>
      </w:r>
    </w:p>
    <w:p w14:paraId="75EE3AE4" w14:textId="4759FF1D" w:rsidR="00406186" w:rsidRDefault="00406186" w:rsidP="00406186">
      <w:pPr>
        <w:pStyle w:val="Caption"/>
      </w:pPr>
      <w:bookmarkStart w:id="116" w:name="_Ref201397215"/>
      <w:bookmarkStart w:id="117" w:name="_Toc207348584"/>
      <w:r>
        <w:t xml:space="preserve">Table </w:t>
      </w:r>
      <w:r w:rsidR="00D955D8">
        <w:fldChar w:fldCharType="begin"/>
      </w:r>
      <w:r w:rsidR="00D955D8">
        <w:instrText xml:space="preserve"> SEQ Table \* ARABIC </w:instrText>
      </w:r>
      <w:r w:rsidR="00D955D8">
        <w:fldChar w:fldCharType="separate"/>
      </w:r>
      <w:r w:rsidR="00D955D8">
        <w:rPr>
          <w:noProof/>
        </w:rPr>
        <w:t>19</w:t>
      </w:r>
      <w:r w:rsidR="00D955D8">
        <w:rPr>
          <w:noProof/>
        </w:rPr>
        <w:fldChar w:fldCharType="end"/>
      </w:r>
      <w:bookmarkEnd w:id="116"/>
      <w:r>
        <w:t>: Summary of barriers to accessing prostheses for people living with or who have lived experience of cancer</w:t>
      </w:r>
      <w:bookmarkEnd w:id="117"/>
    </w:p>
    <w:tbl>
      <w:tblPr>
        <w:tblStyle w:val="KPMGTable"/>
        <w:tblW w:w="9977" w:type="dxa"/>
        <w:tblLook w:val="04A0" w:firstRow="1" w:lastRow="0" w:firstColumn="1" w:lastColumn="0" w:noHBand="0" w:noVBand="1"/>
      </w:tblPr>
      <w:tblGrid>
        <w:gridCol w:w="2280"/>
        <w:gridCol w:w="7697"/>
      </w:tblGrid>
      <w:tr w:rsidR="00772257" w:rsidRPr="007B154A" w14:paraId="0E310F9B" w14:textId="77777777" w:rsidTr="00CF71F6">
        <w:trPr>
          <w:cnfStyle w:val="100000000000" w:firstRow="1" w:lastRow="0" w:firstColumn="0" w:lastColumn="0" w:oddVBand="0" w:evenVBand="0" w:oddHBand="0"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2280" w:type="dxa"/>
          </w:tcPr>
          <w:p w14:paraId="69924C74" w14:textId="3940F5B1" w:rsidR="002775C6" w:rsidRPr="00C10C27" w:rsidRDefault="00BE2A01" w:rsidP="00E214B7">
            <w:pPr>
              <w:pStyle w:val="TableHeading"/>
              <w:rPr>
                <w:b w:val="0"/>
                <w:color w:val="FFFFFF" w:themeColor="background1"/>
                <w:szCs w:val="18"/>
              </w:rPr>
            </w:pPr>
            <w:r w:rsidRPr="00CF71F6">
              <w:t>Theme</w:t>
            </w:r>
          </w:p>
        </w:tc>
        <w:tc>
          <w:tcPr>
            <w:tcW w:w="7697" w:type="dxa"/>
          </w:tcPr>
          <w:p w14:paraId="2C8BE731" w14:textId="4E7D703B" w:rsidR="002775C6" w:rsidRPr="00C10C27" w:rsidRDefault="00A44F4D" w:rsidP="00E214B7">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CF71F6">
              <w:t>Barriers to accessing prostheses services</w:t>
            </w:r>
          </w:p>
        </w:tc>
      </w:tr>
      <w:tr w:rsidR="00AE1E92" w:rsidRPr="001B05CB" w14:paraId="3D269A50" w14:textId="77777777" w:rsidTr="00CF71F6">
        <w:trPr>
          <w:trHeight w:val="522"/>
        </w:trPr>
        <w:tc>
          <w:tcPr>
            <w:cnfStyle w:val="001000000000" w:firstRow="0" w:lastRow="0" w:firstColumn="1" w:lastColumn="0" w:oddVBand="0" w:evenVBand="0" w:oddHBand="0" w:evenHBand="0" w:firstRowFirstColumn="0" w:firstRowLastColumn="0" w:lastRowFirstColumn="0" w:lastRowLastColumn="0"/>
            <w:tcW w:w="2280" w:type="dxa"/>
          </w:tcPr>
          <w:p w14:paraId="0B3067C2" w14:textId="24876DE7" w:rsidR="002775C6" w:rsidRPr="00C10C27" w:rsidRDefault="002775C6" w:rsidP="00BE0A02">
            <w:pPr>
              <w:pStyle w:val="Tabletextbold"/>
              <w:rPr>
                <w:szCs w:val="18"/>
              </w:rPr>
            </w:pPr>
            <w:r w:rsidRPr="002775C6">
              <w:t xml:space="preserve">System navigation </w:t>
            </w:r>
            <w:r w:rsidR="00052D12">
              <w:rPr>
                <w:szCs w:val="18"/>
              </w:rPr>
              <w:br/>
            </w:r>
            <w:r w:rsidRPr="002775C6">
              <w:rPr>
                <w:szCs w:val="18"/>
              </w:rPr>
              <w:t>and access issues</w:t>
            </w:r>
          </w:p>
        </w:tc>
        <w:tc>
          <w:tcPr>
            <w:tcW w:w="7697" w:type="dxa"/>
          </w:tcPr>
          <w:p w14:paraId="490DDD2B" w14:textId="77777777" w:rsidR="002775C6" w:rsidRPr="00814FDE" w:rsidRDefault="002775C6" w:rsidP="00814FDE">
            <w:pPr>
              <w:pStyle w:val="TableBullet1stlevel"/>
              <w:cnfStyle w:val="000000000000" w:firstRow="0" w:lastRow="0" w:firstColumn="0" w:lastColumn="0" w:oddVBand="0" w:evenVBand="0" w:oddHBand="0" w:evenHBand="0" w:firstRowFirstColumn="0" w:firstRowLastColumn="0" w:lastRowFirstColumn="0" w:lastRowLastColumn="0"/>
            </w:pPr>
            <w:r w:rsidRPr="00814FDE">
              <w:t>Unclear care pathways and system complexity</w:t>
            </w:r>
          </w:p>
          <w:p w14:paraId="21D37E99" w14:textId="3B3B2774" w:rsidR="002775C6" w:rsidRPr="002775C6" w:rsidRDefault="002775C6" w:rsidP="00814FDE">
            <w:pPr>
              <w:pStyle w:val="TableBullet1stlevel"/>
              <w:cnfStyle w:val="000000000000" w:firstRow="0" w:lastRow="0" w:firstColumn="0" w:lastColumn="0" w:oddVBand="0" w:evenVBand="0" w:oddHBand="0" w:evenHBand="0" w:firstRowFirstColumn="0" w:firstRowLastColumn="0" w:lastRowFirstColumn="0" w:lastRowLastColumn="0"/>
            </w:pPr>
            <w:r w:rsidRPr="002775C6">
              <w:t xml:space="preserve">Lack of awareness of existing services and schemes, including </w:t>
            </w:r>
            <w:r w:rsidR="00415D2B">
              <w:t xml:space="preserve">from </w:t>
            </w:r>
            <w:r w:rsidRPr="002775C6">
              <w:t xml:space="preserve">both clinicians and </w:t>
            </w:r>
            <w:r w:rsidR="00DE388E">
              <w:t>people with liv</w:t>
            </w:r>
            <w:r w:rsidR="00255CBA">
              <w:t>ed experience</w:t>
            </w:r>
          </w:p>
          <w:p w14:paraId="5EFD7962" w14:textId="49AC6F86" w:rsidR="002775C6" w:rsidRPr="00E9562A" w:rsidRDefault="002775C6" w:rsidP="00814FDE">
            <w:pPr>
              <w:pStyle w:val="TableBullet1stlevel"/>
              <w:cnfStyle w:val="000000000000" w:firstRow="0" w:lastRow="0" w:firstColumn="0" w:lastColumn="0" w:oddVBand="0" w:evenVBand="0" w:oddHBand="0" w:evenHBand="0" w:firstRowFirstColumn="0" w:firstRowLastColumn="0" w:lastRowFirstColumn="0" w:lastRowLastColumn="0"/>
            </w:pPr>
            <w:r w:rsidRPr="002775C6">
              <w:t>Eligibility criteria for existing schemes (e.g., NDIS).</w:t>
            </w:r>
          </w:p>
        </w:tc>
      </w:tr>
      <w:tr w:rsidR="00AE1E92" w:rsidRPr="00FA30FA" w14:paraId="49F9F538" w14:textId="77777777" w:rsidTr="00CF71F6">
        <w:trPr>
          <w:trHeight w:val="520"/>
        </w:trPr>
        <w:tc>
          <w:tcPr>
            <w:cnfStyle w:val="001000000000" w:firstRow="0" w:lastRow="0" w:firstColumn="1" w:lastColumn="0" w:oddVBand="0" w:evenVBand="0" w:oddHBand="0" w:evenHBand="0" w:firstRowFirstColumn="0" w:firstRowLastColumn="0" w:lastRowFirstColumn="0" w:lastRowLastColumn="0"/>
            <w:tcW w:w="2280" w:type="dxa"/>
          </w:tcPr>
          <w:p w14:paraId="0CFAD69E" w14:textId="6BF08ADD" w:rsidR="002775C6" w:rsidRPr="00C10C27" w:rsidRDefault="002775C6" w:rsidP="00BE0A02">
            <w:pPr>
              <w:pStyle w:val="Tabletextbold"/>
              <w:rPr>
                <w:szCs w:val="18"/>
              </w:rPr>
            </w:pPr>
            <w:r w:rsidRPr="002775C6">
              <w:t>Availability of prostheses services</w:t>
            </w:r>
          </w:p>
        </w:tc>
        <w:tc>
          <w:tcPr>
            <w:tcW w:w="7697" w:type="dxa"/>
          </w:tcPr>
          <w:p w14:paraId="7A714FC5" w14:textId="75AC77D1" w:rsidR="00DD645A" w:rsidRPr="00DD645A" w:rsidRDefault="00DD645A" w:rsidP="00814FDE">
            <w:pPr>
              <w:pStyle w:val="TableBullet1stlevel"/>
              <w:cnfStyle w:val="000000000000" w:firstRow="0" w:lastRow="0" w:firstColumn="0" w:lastColumn="0" w:oddVBand="0" w:evenVBand="0" w:oddHBand="0" w:evenHBand="0" w:firstRowFirstColumn="0" w:firstRowLastColumn="0" w:lastRowFirstColumn="0" w:lastRowLastColumn="0"/>
            </w:pPr>
            <w:r w:rsidRPr="00DD645A">
              <w:t>A lack of prostheses services, particularly in regional, rural and remote areas</w:t>
            </w:r>
          </w:p>
          <w:p w14:paraId="2B17924A" w14:textId="3D866DC7" w:rsidR="002775C6" w:rsidRPr="002775C6" w:rsidRDefault="002775C6" w:rsidP="00814FDE">
            <w:pPr>
              <w:pStyle w:val="TableBullet1stlevel"/>
              <w:cnfStyle w:val="000000000000" w:firstRow="0" w:lastRow="0" w:firstColumn="0" w:lastColumn="0" w:oddVBand="0" w:evenVBand="0" w:oddHBand="0" w:evenHBand="0" w:firstRowFirstColumn="0" w:firstRowLastColumn="0" w:lastRowFirstColumn="0" w:lastRowLastColumn="0"/>
            </w:pPr>
            <w:r w:rsidRPr="002775C6">
              <w:t xml:space="preserve">Long wait times for existing prostheses services, </w:t>
            </w:r>
            <w:r w:rsidR="009E7330">
              <w:t xml:space="preserve">including </w:t>
            </w:r>
            <w:r w:rsidRPr="002775C6">
              <w:t>both publicly</w:t>
            </w:r>
            <w:r w:rsidR="009E7330" w:rsidRPr="002775C6">
              <w:t xml:space="preserve"> </w:t>
            </w:r>
            <w:r w:rsidRPr="002775C6">
              <w:t>funded and private services</w:t>
            </w:r>
          </w:p>
          <w:p w14:paraId="68BD873C" w14:textId="7538713F" w:rsidR="002775C6" w:rsidRPr="00E9562A" w:rsidRDefault="00064DE9" w:rsidP="00814FDE">
            <w:pPr>
              <w:pStyle w:val="TableBullet1stlevel"/>
              <w:cnfStyle w:val="000000000000" w:firstRow="0" w:lastRow="0" w:firstColumn="0" w:lastColumn="0" w:oddVBand="0" w:evenVBand="0" w:oddHBand="0" w:evenHBand="0" w:firstRowFirstColumn="0" w:firstRowLastColumn="0" w:lastRowFirstColumn="0" w:lastRowLastColumn="0"/>
            </w:pPr>
            <w:r>
              <w:t>Limited</w:t>
            </w:r>
            <w:r w:rsidR="002775C6" w:rsidRPr="002775C6">
              <w:t xml:space="preserve"> culturally safe and accessible </w:t>
            </w:r>
            <w:r>
              <w:t>prostheses services</w:t>
            </w:r>
            <w:r w:rsidR="002775C6" w:rsidRPr="002775C6">
              <w:t xml:space="preserve"> for Aboriginal and Torres Strait Islander and CALD communities.</w:t>
            </w:r>
          </w:p>
        </w:tc>
      </w:tr>
      <w:tr w:rsidR="00AE1E92" w:rsidRPr="00FA30FA" w14:paraId="69368E48" w14:textId="77777777" w:rsidTr="00CF71F6">
        <w:trPr>
          <w:trHeight w:val="520"/>
        </w:trPr>
        <w:tc>
          <w:tcPr>
            <w:cnfStyle w:val="001000000000" w:firstRow="0" w:lastRow="0" w:firstColumn="1" w:lastColumn="0" w:oddVBand="0" w:evenVBand="0" w:oddHBand="0" w:evenHBand="0" w:firstRowFirstColumn="0" w:firstRowLastColumn="0" w:lastRowFirstColumn="0" w:lastRowLastColumn="0"/>
            <w:tcW w:w="2280" w:type="dxa"/>
          </w:tcPr>
          <w:p w14:paraId="154138D1" w14:textId="41D0E20D" w:rsidR="002775C6" w:rsidRPr="00C10C27" w:rsidRDefault="002775C6" w:rsidP="00BE0A02">
            <w:pPr>
              <w:pStyle w:val="Tabletextbold"/>
              <w:rPr>
                <w:szCs w:val="18"/>
              </w:rPr>
            </w:pPr>
            <w:r w:rsidRPr="002775C6">
              <w:t>Workforce issues</w:t>
            </w:r>
          </w:p>
        </w:tc>
        <w:tc>
          <w:tcPr>
            <w:tcW w:w="7697" w:type="dxa"/>
          </w:tcPr>
          <w:p w14:paraId="0FF9BEA8" w14:textId="77777777" w:rsidR="006D15C9" w:rsidRPr="006D15C9" w:rsidRDefault="006D15C9" w:rsidP="00814FDE">
            <w:pPr>
              <w:pStyle w:val="TableBullet1stlevel"/>
              <w:cnfStyle w:val="000000000000" w:firstRow="0" w:lastRow="0" w:firstColumn="0" w:lastColumn="0" w:oddVBand="0" w:evenVBand="0" w:oddHBand="0" w:evenHBand="0" w:firstRowFirstColumn="0" w:firstRowLastColumn="0" w:lastRowFirstColumn="0" w:lastRowLastColumn="0"/>
            </w:pPr>
            <w:r w:rsidRPr="006D15C9">
              <w:t xml:space="preserve">Shortage of skilled prosthetic providers, particularly for facial prostheses </w:t>
            </w:r>
          </w:p>
          <w:p w14:paraId="7B13DA71" w14:textId="0202BF1B" w:rsidR="006D15C9" w:rsidRPr="006D15C9" w:rsidRDefault="006D15C9" w:rsidP="00814FDE">
            <w:pPr>
              <w:pStyle w:val="TableBullet1stlevel"/>
              <w:cnfStyle w:val="000000000000" w:firstRow="0" w:lastRow="0" w:firstColumn="0" w:lastColumn="0" w:oddVBand="0" w:evenVBand="0" w:oddHBand="0" w:evenHBand="0" w:firstRowFirstColumn="0" w:firstRowLastColumn="0" w:lastRowFirstColumn="0" w:lastRowLastColumn="0"/>
            </w:pPr>
            <w:r w:rsidRPr="006D15C9">
              <w:t xml:space="preserve">Lack of clear </w:t>
            </w:r>
            <w:r w:rsidR="009E7330">
              <w:t>or</w:t>
            </w:r>
            <w:r w:rsidRPr="006D15C9">
              <w:t xml:space="preserve"> formal education and qualification pathway</w:t>
            </w:r>
            <w:r w:rsidR="009E7330">
              <w:t>s</w:t>
            </w:r>
            <w:r w:rsidRPr="006D15C9">
              <w:t xml:space="preserve"> for providers of facial prostheses</w:t>
            </w:r>
          </w:p>
          <w:p w14:paraId="2364B312" w14:textId="43B00FB8" w:rsidR="002775C6" w:rsidRPr="00C10C27" w:rsidRDefault="006D15C9" w:rsidP="00814FDE">
            <w:pPr>
              <w:pStyle w:val="TableBullet1stlevel"/>
              <w:cnfStyle w:val="000000000000" w:firstRow="0" w:lastRow="0" w:firstColumn="0" w:lastColumn="0" w:oddVBand="0" w:evenVBand="0" w:oddHBand="0" w:evenHBand="0" w:firstRowFirstColumn="0" w:firstRowLastColumn="0" w:lastRowFirstColumn="0" w:lastRowLastColumn="0"/>
            </w:pPr>
            <w:r w:rsidRPr="006D15C9">
              <w:rPr>
                <w:rFonts w:asciiTheme="minorHAnsi" w:hAnsiTheme="minorHAnsi"/>
              </w:rPr>
              <w:t>Lack of regulation and accreditation standards, particularly for providers of facial prostheses.</w:t>
            </w:r>
          </w:p>
        </w:tc>
      </w:tr>
      <w:tr w:rsidR="00AE1E92" w:rsidRPr="00FA30FA" w14:paraId="6A809323" w14:textId="77777777" w:rsidTr="00CF71F6">
        <w:trPr>
          <w:trHeight w:val="520"/>
        </w:trPr>
        <w:tc>
          <w:tcPr>
            <w:cnfStyle w:val="001000000000" w:firstRow="0" w:lastRow="0" w:firstColumn="1" w:lastColumn="0" w:oddVBand="0" w:evenVBand="0" w:oddHBand="0" w:evenHBand="0" w:firstRowFirstColumn="0" w:firstRowLastColumn="0" w:lastRowFirstColumn="0" w:lastRowLastColumn="0"/>
            <w:tcW w:w="2280" w:type="dxa"/>
          </w:tcPr>
          <w:p w14:paraId="6CFD61B4" w14:textId="5735165B" w:rsidR="002775C6" w:rsidRPr="00C10C27" w:rsidRDefault="006D15C9" w:rsidP="00BE0A02">
            <w:pPr>
              <w:pStyle w:val="Tabletextbold"/>
              <w:rPr>
                <w:szCs w:val="18"/>
              </w:rPr>
            </w:pPr>
            <w:r w:rsidRPr="006D15C9">
              <w:t>Cost and funding models</w:t>
            </w:r>
          </w:p>
        </w:tc>
        <w:tc>
          <w:tcPr>
            <w:tcW w:w="7697" w:type="dxa"/>
          </w:tcPr>
          <w:p w14:paraId="27BAA201" w14:textId="77777777" w:rsidR="006D15C9" w:rsidRPr="006D15C9" w:rsidRDefault="006D15C9" w:rsidP="00814FDE">
            <w:pPr>
              <w:pStyle w:val="TableBullet1stlevel"/>
              <w:cnfStyle w:val="000000000000" w:firstRow="0" w:lastRow="0" w:firstColumn="0" w:lastColumn="0" w:oddVBand="0" w:evenVBand="0" w:oddHBand="0" w:evenHBand="0" w:firstRowFirstColumn="0" w:firstRowLastColumn="0" w:lastRowFirstColumn="0" w:lastRowLastColumn="0"/>
            </w:pPr>
            <w:r w:rsidRPr="006D15C9">
              <w:t>Out-of-pocket costs for prostheses not covered by existing schemes</w:t>
            </w:r>
          </w:p>
          <w:p w14:paraId="3DE5CB38" w14:textId="77777777" w:rsidR="006D15C9" w:rsidRPr="006D15C9" w:rsidRDefault="006D15C9" w:rsidP="00814FDE">
            <w:pPr>
              <w:pStyle w:val="TableBullet1stlevel"/>
              <w:cnfStyle w:val="000000000000" w:firstRow="0" w:lastRow="0" w:firstColumn="0" w:lastColumn="0" w:oddVBand="0" w:evenVBand="0" w:oddHBand="0" w:evenHBand="0" w:firstRowFirstColumn="0" w:firstRowLastColumn="0" w:lastRowFirstColumn="0" w:lastRowLastColumn="0"/>
            </w:pPr>
            <w:r w:rsidRPr="006D15C9">
              <w:t xml:space="preserve">Upfront payments required under existing reimbursement models </w:t>
            </w:r>
          </w:p>
          <w:p w14:paraId="4F9A38C4" w14:textId="33B1E86E" w:rsidR="002775C6" w:rsidRPr="00C10C27" w:rsidRDefault="006D15C9" w:rsidP="00814FDE">
            <w:pPr>
              <w:pStyle w:val="TableBullet1stlevel"/>
              <w:cnfStyle w:val="000000000000" w:firstRow="0" w:lastRow="0" w:firstColumn="0" w:lastColumn="0" w:oddVBand="0" w:evenVBand="0" w:oddHBand="0" w:evenHBand="0" w:firstRowFirstColumn="0" w:firstRowLastColumn="0" w:lastRowFirstColumn="0" w:lastRowLastColumn="0"/>
            </w:pPr>
            <w:r w:rsidRPr="006D15C9">
              <w:rPr>
                <w:rFonts w:asciiTheme="minorHAnsi" w:hAnsiTheme="minorHAnsi"/>
              </w:rPr>
              <w:t>Travel costs for patients who cannot access prostheses services where they live.</w:t>
            </w:r>
          </w:p>
        </w:tc>
      </w:tr>
    </w:tbl>
    <w:p w14:paraId="4AFD69B6" w14:textId="5A8437E5" w:rsidR="00A636C3" w:rsidRPr="00E75895" w:rsidRDefault="00A636C3" w:rsidP="00814FDE">
      <w:pPr>
        <w:pStyle w:val="Caption-Source"/>
      </w:pPr>
      <w:r w:rsidRPr="00E75895">
        <w:t xml:space="preserve">Source: </w:t>
      </w:r>
      <w:r w:rsidR="00120620" w:rsidRPr="00120620">
        <w:t>Independent reviewer</w:t>
      </w:r>
      <w:r w:rsidR="00584D02" w:rsidRPr="00E75895">
        <w:t xml:space="preserve"> (</w:t>
      </w:r>
      <w:r w:rsidRPr="00E75895">
        <w:t>2025</w:t>
      </w:r>
      <w:r w:rsidR="00584D02" w:rsidRPr="00E75895">
        <w:t>)</w:t>
      </w:r>
    </w:p>
    <w:p w14:paraId="4EA3E02B" w14:textId="77777777" w:rsidR="00B42C78" w:rsidRPr="009A4EB8" w:rsidRDefault="00B42C78" w:rsidP="009A4EB8">
      <w:r w:rsidRPr="009A4EB8">
        <w:br w:type="page"/>
      </w:r>
    </w:p>
    <w:p w14:paraId="28C110DD" w14:textId="77777777" w:rsidR="001732F9" w:rsidRDefault="001732F9" w:rsidP="001732F9">
      <w:pPr>
        <w:pStyle w:val="Heading3"/>
      </w:pPr>
      <w:bookmarkStart w:id="118" w:name="_Ref201761458"/>
      <w:r w:rsidRPr="001732F9">
        <w:t>System navigation and access issues</w:t>
      </w:r>
      <w:bookmarkEnd w:id="118"/>
    </w:p>
    <w:p w14:paraId="11B0ABE1" w14:textId="77777777" w:rsidR="00802B26" w:rsidRPr="0040690B" w:rsidRDefault="00802B26" w:rsidP="0040690B">
      <w:r w:rsidRPr="0040690B">
        <w:t xml:space="preserve">Several issues related to health system navigation and the ability to access existing prostheses services, schemes and programs were identified for people living with or who have lived experience of cancer. These issues included: </w:t>
      </w:r>
    </w:p>
    <w:p w14:paraId="41BE960E" w14:textId="77777777" w:rsidR="00802B26" w:rsidRDefault="00802B26" w:rsidP="00FF1A19">
      <w:pPr>
        <w:pStyle w:val="Bullet1stlevel"/>
      </w:pPr>
      <w:r>
        <w:t>Unclear care pathways and system complexity</w:t>
      </w:r>
    </w:p>
    <w:p w14:paraId="478F5D38" w14:textId="77777777" w:rsidR="00802B26" w:rsidRDefault="00802B26" w:rsidP="00FF1A19">
      <w:pPr>
        <w:pStyle w:val="Bullet1stlevel"/>
      </w:pPr>
      <w:r>
        <w:t xml:space="preserve">A lack of awareness of existing services and schemes </w:t>
      </w:r>
    </w:p>
    <w:p w14:paraId="61F807C8" w14:textId="556D4196" w:rsidR="00802B26" w:rsidRPr="00337079" w:rsidRDefault="00802B26" w:rsidP="00FF1A19">
      <w:pPr>
        <w:pStyle w:val="Bullet1stlevel"/>
      </w:pPr>
      <w:r>
        <w:t>Strict eligibility criteria for</w:t>
      </w:r>
      <w:r w:rsidR="00B83620">
        <w:t xml:space="preserve"> existing</w:t>
      </w:r>
      <w:r>
        <w:t xml:space="preserve"> schemes. </w:t>
      </w:r>
    </w:p>
    <w:p w14:paraId="034F66B7" w14:textId="77777777" w:rsidR="00802B26" w:rsidRDefault="00802B26" w:rsidP="00FD54A5">
      <w:pPr>
        <w:pStyle w:val="Heading4"/>
      </w:pPr>
      <w:r w:rsidRPr="00E66382">
        <w:t>Unclear care pathways and system complexity</w:t>
      </w:r>
    </w:p>
    <w:p w14:paraId="7269227E" w14:textId="68C2A405" w:rsidR="00D26187" w:rsidRPr="0040690B" w:rsidRDefault="00802B26" w:rsidP="0040690B">
      <w:r w:rsidRPr="009A4EB8">
        <w:t xml:space="preserve">As described in Section 2, </w:t>
      </w:r>
      <w:r w:rsidR="00D26187" w:rsidRPr="009A4EB8">
        <w:t>the prosthes</w:t>
      </w:r>
      <w:r w:rsidR="008A0A52" w:rsidRPr="009A4EB8">
        <w:t>i</w:t>
      </w:r>
      <w:r w:rsidR="00D26187" w:rsidRPr="009A4EB8">
        <w:t xml:space="preserve">s service landscape is </w:t>
      </w:r>
      <w:r w:rsidRPr="009A4EB8">
        <w:t>complex</w:t>
      </w:r>
      <w:r w:rsidR="00D26187" w:rsidRPr="009A4EB8">
        <w:t xml:space="preserve">, with a range of different programs and </w:t>
      </w:r>
      <w:r w:rsidR="00D26187">
        <w:t xml:space="preserve">schemes </w:t>
      </w:r>
      <w:r w:rsidR="00366A54">
        <w:t>operating</w:t>
      </w:r>
      <w:r w:rsidR="00D26187">
        <w:t xml:space="preserve"> at both national and jurisdictional level</w:t>
      </w:r>
      <w:r w:rsidR="00366A54">
        <w:t>s</w:t>
      </w:r>
      <w:r w:rsidR="008F42C6">
        <w:t xml:space="preserve"> </w:t>
      </w:r>
      <w:r w:rsidR="008802B7">
        <w:t xml:space="preserve">and </w:t>
      </w:r>
      <w:r w:rsidR="00207565">
        <w:t xml:space="preserve">fragmented services that </w:t>
      </w:r>
      <w:r w:rsidR="00366A54">
        <w:t xml:space="preserve">can </w:t>
      </w:r>
      <w:r w:rsidR="00207565">
        <w:t xml:space="preserve">vary significantly </w:t>
      </w:r>
      <w:r w:rsidR="00366A54">
        <w:t>both between</w:t>
      </w:r>
      <w:r w:rsidR="009352DE">
        <w:t xml:space="preserve"> and within</w:t>
      </w:r>
      <w:r w:rsidR="00366A54">
        <w:t xml:space="preserve"> states and territories. </w:t>
      </w:r>
      <w:r w:rsidR="000312E7" w:rsidRPr="000312E7">
        <w:t xml:space="preserve">Both </w:t>
      </w:r>
      <w:r w:rsidR="00255CBA">
        <w:t>people with lived experience</w:t>
      </w:r>
      <w:r w:rsidR="000312E7">
        <w:t xml:space="preserve"> and </w:t>
      </w:r>
      <w:r w:rsidR="000312E7" w:rsidRPr="000312E7">
        <w:t>clinicians describe</w:t>
      </w:r>
      <w:r w:rsidR="000312E7">
        <w:t>d</w:t>
      </w:r>
      <w:r w:rsidR="000312E7" w:rsidRPr="000312E7">
        <w:t xml:space="preserve"> </w:t>
      </w:r>
      <w:r w:rsidR="000312E7">
        <w:t xml:space="preserve">the </w:t>
      </w:r>
      <w:r w:rsidR="000312E7" w:rsidRPr="000312E7">
        <w:t xml:space="preserve">care </w:t>
      </w:r>
      <w:r w:rsidR="000312E7" w:rsidRPr="0040690B">
        <w:t xml:space="preserve">pathways </w:t>
      </w:r>
      <w:r w:rsidR="00FE309C" w:rsidRPr="0040690B">
        <w:t xml:space="preserve">for accessing prostheses </w:t>
      </w:r>
      <w:r w:rsidR="000312E7" w:rsidRPr="0040690B">
        <w:t>as unclear and the system as complex, which</w:t>
      </w:r>
      <w:r w:rsidR="008802B7" w:rsidRPr="0040690B">
        <w:t xml:space="preserve"> can </w:t>
      </w:r>
      <w:r w:rsidR="00FE309C" w:rsidRPr="0040690B">
        <w:t>lead</w:t>
      </w:r>
      <w:r w:rsidR="000312E7" w:rsidRPr="0040690B">
        <w:t xml:space="preserve"> to confusion and delays </w:t>
      </w:r>
      <w:r w:rsidR="00980D87" w:rsidRPr="0040690B">
        <w:t>in</w:t>
      </w:r>
      <w:r w:rsidR="000312E7" w:rsidRPr="0040690B">
        <w:t xml:space="preserve"> access</w:t>
      </w:r>
      <w:r w:rsidR="00980D87" w:rsidRPr="0040690B">
        <w:t>ing</w:t>
      </w:r>
      <w:r w:rsidR="000312E7" w:rsidRPr="0040690B">
        <w:t xml:space="preserve"> necessary prosthetic devices</w:t>
      </w:r>
      <w:r w:rsidR="00FE309C" w:rsidRPr="0040690B">
        <w:t xml:space="preserve">. </w:t>
      </w:r>
    </w:p>
    <w:p w14:paraId="5BF2AB8F" w14:textId="0E1B499B" w:rsidR="00DD77B7" w:rsidRPr="0040690B" w:rsidRDefault="00634892" w:rsidP="0040690B">
      <w:r w:rsidRPr="0040690B">
        <w:t>Individuals with lived or living experience of cancer</w:t>
      </w:r>
      <w:r w:rsidR="00802B26" w:rsidRPr="0040690B">
        <w:t>, clinicians</w:t>
      </w:r>
      <w:r w:rsidR="008E09F9" w:rsidRPr="0040690B">
        <w:t xml:space="preserve"> and</w:t>
      </w:r>
      <w:r w:rsidR="00802B26" w:rsidRPr="0040690B">
        <w:t xml:space="preserve"> peak body </w:t>
      </w:r>
      <w:r w:rsidR="00FC06C1" w:rsidRPr="0040690B">
        <w:t>representatives</w:t>
      </w:r>
      <w:r w:rsidR="00802B26" w:rsidRPr="0040690B">
        <w:t xml:space="preserve"> consistently d</w:t>
      </w:r>
      <w:r w:rsidR="00FC06C1" w:rsidRPr="0040690B">
        <w:t>escribed</w:t>
      </w:r>
      <w:r w:rsidR="00802B26" w:rsidRPr="0040690B">
        <w:t xml:space="preserve"> the </w:t>
      </w:r>
      <w:r w:rsidR="00175847" w:rsidRPr="0040690B">
        <w:t xml:space="preserve">significant </w:t>
      </w:r>
      <w:r w:rsidR="00E96C5C" w:rsidRPr="0040690B">
        <w:t xml:space="preserve">mental burden associated with </w:t>
      </w:r>
      <w:r w:rsidR="00DD77B7" w:rsidRPr="0040690B">
        <w:t>trying to understand, navigate and then access prostheses services and programs</w:t>
      </w:r>
      <w:r w:rsidR="00843C96" w:rsidRPr="0040690B">
        <w:t>.</w:t>
      </w:r>
      <w:r w:rsidR="00175847" w:rsidRPr="0040690B">
        <w:t xml:space="preserve"> </w:t>
      </w:r>
      <w:r w:rsidR="00196DA9" w:rsidRPr="0040690B">
        <w:t>It was highlighted that</w:t>
      </w:r>
      <w:r w:rsidR="002F25DB" w:rsidRPr="0040690B">
        <w:t xml:space="preserve"> </w:t>
      </w:r>
      <w:r w:rsidRPr="0040690B">
        <w:t>individuals</w:t>
      </w:r>
      <w:r w:rsidR="002F25DB" w:rsidRPr="0040690B">
        <w:t xml:space="preserve"> and their </w:t>
      </w:r>
      <w:proofErr w:type="spellStart"/>
      <w:r w:rsidR="002F25DB" w:rsidRPr="0040690B">
        <w:t>carers</w:t>
      </w:r>
      <w:proofErr w:type="spellEnd"/>
      <w:r w:rsidR="002F25DB" w:rsidRPr="0040690B">
        <w:t xml:space="preserve"> are often</w:t>
      </w:r>
      <w:r w:rsidR="00381AEE" w:rsidRPr="0040690B">
        <w:t xml:space="preserve"> already</w:t>
      </w:r>
      <w:r w:rsidR="002F25DB" w:rsidRPr="0040690B">
        <w:t xml:space="preserve"> experiencing </w:t>
      </w:r>
      <w:r w:rsidR="00F442B3" w:rsidRPr="0040690B">
        <w:t xml:space="preserve">significant stress during </w:t>
      </w:r>
      <w:r w:rsidR="00381AEE" w:rsidRPr="0040690B">
        <w:t>this period of their lives</w:t>
      </w:r>
      <w:r w:rsidR="000A3280" w:rsidRPr="0040690B">
        <w:t xml:space="preserve">, </w:t>
      </w:r>
      <w:r w:rsidR="008B48BF" w:rsidRPr="0040690B">
        <w:t xml:space="preserve">dealing with the </w:t>
      </w:r>
      <w:r w:rsidR="009B6190" w:rsidRPr="0040690B">
        <w:t xml:space="preserve">shock </w:t>
      </w:r>
      <w:r w:rsidR="008B48BF" w:rsidRPr="0040690B">
        <w:t>of</w:t>
      </w:r>
      <w:r w:rsidR="009B6190" w:rsidRPr="0040690B">
        <w:t xml:space="preserve"> their diagnosis, </w:t>
      </w:r>
      <w:r w:rsidR="00381AEE" w:rsidRPr="0040690B">
        <w:t xml:space="preserve">the </w:t>
      </w:r>
      <w:r w:rsidR="009B6190" w:rsidRPr="0040690B">
        <w:t xml:space="preserve">physical and emotional stress </w:t>
      </w:r>
      <w:r w:rsidR="008B48BF" w:rsidRPr="0040690B">
        <w:t xml:space="preserve">related to their </w:t>
      </w:r>
      <w:r w:rsidR="00811D90" w:rsidRPr="0040690B">
        <w:t xml:space="preserve">other </w:t>
      </w:r>
      <w:r w:rsidR="008B48BF" w:rsidRPr="0040690B">
        <w:t>cancer</w:t>
      </w:r>
      <w:r w:rsidR="009B6190" w:rsidRPr="0040690B">
        <w:t xml:space="preserve"> treatment</w:t>
      </w:r>
      <w:r w:rsidR="00980D87" w:rsidRPr="0040690B">
        <w:t>s</w:t>
      </w:r>
      <w:r w:rsidR="009352DE" w:rsidRPr="0040690B">
        <w:t>,</w:t>
      </w:r>
      <w:r w:rsidR="00381AEE" w:rsidRPr="0040690B">
        <w:t xml:space="preserve"> </w:t>
      </w:r>
      <w:r w:rsidR="008B48BF" w:rsidRPr="0040690B">
        <w:t xml:space="preserve">as well as the </w:t>
      </w:r>
      <w:r w:rsidR="000F03BC" w:rsidRPr="0040690B">
        <w:t xml:space="preserve">distress caused by having a body part removed. </w:t>
      </w:r>
    </w:p>
    <w:p w14:paraId="10D23FAB" w14:textId="5EEACE28" w:rsidR="000F03BC" w:rsidRPr="0040690B" w:rsidRDefault="00EC5396" w:rsidP="0040690B">
      <w:r w:rsidRPr="009A4EB8">
        <w:t xml:space="preserve">In addition </w:t>
      </w:r>
      <w:r w:rsidR="00811D90" w:rsidRPr="009A4EB8">
        <w:t>to this stress</w:t>
      </w:r>
      <w:r w:rsidRPr="009A4EB8">
        <w:t xml:space="preserve">, many </w:t>
      </w:r>
      <w:r w:rsidR="00634892" w:rsidRPr="009A4EB8">
        <w:t>individuals with living or lived experience of cancer</w:t>
      </w:r>
      <w:r w:rsidRPr="009A4EB8">
        <w:t xml:space="preserve"> described the process of trying to </w:t>
      </w:r>
      <w:r w:rsidR="00980D87" w:rsidRPr="009A4EB8">
        <w:t>understan</w:t>
      </w:r>
      <w:r w:rsidR="00980D87">
        <w:t xml:space="preserve">d and </w:t>
      </w:r>
      <w:r>
        <w:t xml:space="preserve">access prostheses services </w:t>
      </w:r>
      <w:r w:rsidRPr="00EC5396">
        <w:t xml:space="preserve">as </w:t>
      </w:r>
      <w:r w:rsidR="00811D90">
        <w:t xml:space="preserve">highly </w:t>
      </w:r>
      <w:r w:rsidRPr="00EC5396">
        <w:t xml:space="preserve">confusing and difficult to </w:t>
      </w:r>
      <w:r w:rsidR="00980D87">
        <w:t>navigate</w:t>
      </w:r>
      <w:r w:rsidR="00811D90">
        <w:t xml:space="preserve">. It was highlighted that there is </w:t>
      </w:r>
      <w:r w:rsidRPr="00EC5396">
        <w:t xml:space="preserve">often </w:t>
      </w:r>
      <w:r w:rsidR="00811D90">
        <w:t>a lack of</w:t>
      </w:r>
      <w:r w:rsidRPr="00EC5396">
        <w:t xml:space="preserve"> information </w:t>
      </w:r>
      <w:r w:rsidR="00980D87">
        <w:t xml:space="preserve">available </w:t>
      </w:r>
      <w:r w:rsidRPr="00EC5396">
        <w:t xml:space="preserve">about </w:t>
      </w:r>
      <w:r w:rsidR="00D32990">
        <w:t>referral pathways</w:t>
      </w:r>
      <w:r w:rsidR="00980D87">
        <w:t xml:space="preserve"> and </w:t>
      </w:r>
      <w:r w:rsidR="00980D87" w:rsidRPr="00EC5396">
        <w:t xml:space="preserve">eligibility </w:t>
      </w:r>
      <w:r w:rsidR="00980D87">
        <w:t xml:space="preserve">criteria </w:t>
      </w:r>
      <w:r w:rsidR="00980D87" w:rsidRPr="00EC5396">
        <w:t>for</w:t>
      </w:r>
      <w:r w:rsidR="00980D87">
        <w:t xml:space="preserve"> programs and</w:t>
      </w:r>
      <w:r w:rsidR="00980D87" w:rsidRPr="00EC5396">
        <w:t xml:space="preserve"> funding</w:t>
      </w:r>
      <w:r w:rsidR="00980D87">
        <w:t xml:space="preserve"> schemes</w:t>
      </w:r>
      <w:r w:rsidR="00D32990">
        <w:t xml:space="preserve">, which </w:t>
      </w:r>
      <w:r w:rsidR="000A3280">
        <w:t xml:space="preserve">can </w:t>
      </w:r>
      <w:r w:rsidR="00D32990">
        <w:t xml:space="preserve">lead to confusion </w:t>
      </w:r>
      <w:r w:rsidR="00980D87">
        <w:t xml:space="preserve">for </w:t>
      </w:r>
      <w:r w:rsidR="00634892">
        <w:t>people</w:t>
      </w:r>
      <w:r w:rsidR="00980D87">
        <w:t xml:space="preserve"> about their next steps following</w:t>
      </w:r>
      <w:r w:rsidRPr="00EC5396">
        <w:t xml:space="preserve"> hospital discharge. </w:t>
      </w:r>
      <w:r w:rsidR="00D107A5">
        <w:t xml:space="preserve">It was </w:t>
      </w:r>
      <w:r w:rsidR="00D107A5" w:rsidRPr="0040690B">
        <w:t xml:space="preserve">reported that this often </w:t>
      </w:r>
      <w:r w:rsidR="000A3280" w:rsidRPr="0040690B">
        <w:t>results</w:t>
      </w:r>
      <w:r w:rsidRPr="0040690B">
        <w:t xml:space="preserve"> </w:t>
      </w:r>
      <w:r w:rsidR="000A3280" w:rsidRPr="0040690B">
        <w:t>in</w:t>
      </w:r>
      <w:r w:rsidRPr="0040690B">
        <w:t xml:space="preserve"> </w:t>
      </w:r>
      <w:r w:rsidR="00D107A5" w:rsidRPr="0040690B">
        <w:t xml:space="preserve">significant </w:t>
      </w:r>
      <w:r w:rsidRPr="0040690B">
        <w:t>delays</w:t>
      </w:r>
      <w:r w:rsidR="00E43436" w:rsidRPr="0040690B">
        <w:t xml:space="preserve"> for people</w:t>
      </w:r>
      <w:r w:rsidRPr="0040690B">
        <w:t xml:space="preserve"> in accessing prostheses and, in some cases, </w:t>
      </w:r>
      <w:r w:rsidR="00E43436" w:rsidRPr="0040690B">
        <w:t xml:space="preserve">means that </w:t>
      </w:r>
      <w:r w:rsidR="008802B7" w:rsidRPr="0040690B">
        <w:t>people may</w:t>
      </w:r>
      <w:r w:rsidRPr="0040690B">
        <w:t xml:space="preserve"> miss</w:t>
      </w:r>
      <w:r w:rsidR="008802B7" w:rsidRPr="0040690B">
        <w:t xml:space="preserve"> </w:t>
      </w:r>
      <w:r w:rsidRPr="0040690B">
        <w:t>out on support entirely.</w:t>
      </w:r>
    </w:p>
    <w:p w14:paraId="199C1F05" w14:textId="053CF991" w:rsidR="009A5B12" w:rsidRPr="0040690B" w:rsidRDefault="00FA7E15" w:rsidP="0040690B">
      <w:r w:rsidRPr="0040690B">
        <w:t xml:space="preserve">This challenge was particularly </w:t>
      </w:r>
      <w:r w:rsidR="009352DE" w:rsidRPr="0040690B">
        <w:t>notable for individuals requiring facial prostheses, where the pathway to accessing</w:t>
      </w:r>
      <w:r w:rsidR="009A5B12" w:rsidRPr="0040690B">
        <w:t xml:space="preserve"> a prosthesis is</w:t>
      </w:r>
      <w:r w:rsidR="0082369A" w:rsidRPr="0040690B">
        <w:t xml:space="preserve"> seen as</w:t>
      </w:r>
      <w:r w:rsidR="009A5B12" w:rsidRPr="0040690B">
        <w:t xml:space="preserve"> less clear than for other types of prostheses. It was reported that anaplastologists, ocularists, and prosthodontists are </w:t>
      </w:r>
      <w:r w:rsidR="0082369A" w:rsidRPr="0040690B">
        <w:t xml:space="preserve">not </w:t>
      </w:r>
      <w:r w:rsidR="009A5B12" w:rsidRPr="0040690B">
        <w:t xml:space="preserve">typically involved in the multidisciplinary treatment team </w:t>
      </w:r>
      <w:r w:rsidR="009352DE" w:rsidRPr="0040690B">
        <w:t>before</w:t>
      </w:r>
      <w:r w:rsidR="009A5B12" w:rsidRPr="0040690B">
        <w:t xml:space="preserve"> surgery</w:t>
      </w:r>
      <w:r w:rsidR="00DB34D8" w:rsidRPr="0040690B">
        <w:t xml:space="preserve"> and </w:t>
      </w:r>
      <w:r w:rsidR="0082369A" w:rsidRPr="0040690B">
        <w:t xml:space="preserve">that </w:t>
      </w:r>
      <w:r w:rsidR="00DB34D8" w:rsidRPr="0040690B">
        <w:t>facial prostheses are often not discussed or planned for at the time of surgery</w:t>
      </w:r>
      <w:r w:rsidR="009A5B12" w:rsidRPr="0040690B">
        <w:t xml:space="preserve">. As a result, </w:t>
      </w:r>
      <w:r w:rsidR="00DB34D8" w:rsidRPr="0040690B">
        <w:t xml:space="preserve">it was reported that </w:t>
      </w:r>
      <w:r w:rsidR="00634892" w:rsidRPr="0040690B">
        <w:t>people</w:t>
      </w:r>
      <w:r w:rsidR="009A5B12" w:rsidRPr="0040690B">
        <w:t xml:space="preserve"> often face uncertainty about what to expect following their surgery and the rehabilitation process, including the role and availability </w:t>
      </w:r>
      <w:r w:rsidR="00EA4798" w:rsidRPr="0040690B">
        <w:t>of</w:t>
      </w:r>
      <w:r w:rsidR="009A5B12" w:rsidRPr="0040690B">
        <w:t xml:space="preserve"> prostheses</w:t>
      </w:r>
      <w:r w:rsidR="00EA4798" w:rsidRPr="0040690B">
        <w:t xml:space="preserve"> services</w:t>
      </w:r>
      <w:r w:rsidR="009A5B12" w:rsidRPr="0040690B">
        <w:t xml:space="preserve">. </w:t>
      </w:r>
    </w:p>
    <w:p w14:paraId="03B6374C" w14:textId="64A88AD1" w:rsidR="00FF1A19" w:rsidRPr="00701E7F" w:rsidRDefault="00FF1A19" w:rsidP="00592939">
      <w:pPr>
        <w:pStyle w:val="Bodytext-quote2"/>
      </w:pPr>
      <w:r w:rsidRPr="00701E7F">
        <w:t xml:space="preserve">" Sometimes patients don’t have the conversation with their clinical team about what happens next. The priority for them is to save this patient’s life, and not so much what support is offered to the patient afterwards. Like [a named </w:t>
      </w:r>
      <w:r>
        <w:t>person with lived experience</w:t>
      </w:r>
      <w:r w:rsidRPr="00701E7F">
        <w:t>] said, ‘I didn’t think about what would happen after the surgery,’ and she was shocked that there was no one providing support. "</w:t>
      </w:r>
    </w:p>
    <w:p w14:paraId="076EE29B" w14:textId="007421C0" w:rsidR="00FF1A19" w:rsidRDefault="00FF1A19" w:rsidP="00E71108">
      <w:pPr>
        <w:pStyle w:val="Bodytextquote2strong"/>
      </w:pPr>
      <w:r w:rsidRPr="0089298F">
        <w:t xml:space="preserve">- </w:t>
      </w:r>
      <w:r>
        <w:t xml:space="preserve">Representative from a </w:t>
      </w:r>
      <w:r w:rsidRPr="003D7046">
        <w:t>peak</w:t>
      </w:r>
      <w:r>
        <w:t xml:space="preserve"> body group</w:t>
      </w:r>
    </w:p>
    <w:p w14:paraId="29F10B88" w14:textId="77777777" w:rsidR="00E66382" w:rsidRPr="00E66382" w:rsidRDefault="00E66382" w:rsidP="00FD54A5">
      <w:pPr>
        <w:pStyle w:val="Heading4"/>
      </w:pPr>
      <w:r w:rsidRPr="00E66382">
        <w:t>Lack of awareness of existing services and schemes</w:t>
      </w:r>
    </w:p>
    <w:p w14:paraId="7BD79A6F" w14:textId="037EECAD" w:rsidR="000F142D" w:rsidRPr="0040690B" w:rsidRDefault="0082369A" w:rsidP="0040690B">
      <w:r w:rsidRPr="0040690B">
        <w:t xml:space="preserve">Similarly, </w:t>
      </w:r>
      <w:r w:rsidR="0083395B" w:rsidRPr="0040690B">
        <w:t xml:space="preserve">it was reported that poor awareness of existing </w:t>
      </w:r>
      <w:r w:rsidR="00D763FD" w:rsidRPr="0040690B">
        <w:t xml:space="preserve">prostheses </w:t>
      </w:r>
      <w:r w:rsidR="0083395B" w:rsidRPr="0040690B">
        <w:t>services and schemes is a major challenge</w:t>
      </w:r>
      <w:r w:rsidR="00D763FD" w:rsidRPr="0040690B">
        <w:t xml:space="preserve">. </w:t>
      </w:r>
      <w:r w:rsidR="005A5AE0" w:rsidRPr="0040690B">
        <w:t xml:space="preserve">Many </w:t>
      </w:r>
      <w:r w:rsidR="00634892" w:rsidRPr="0040690B">
        <w:t>people with living or lived experience of cancer</w:t>
      </w:r>
      <w:r w:rsidR="005A5AE0" w:rsidRPr="0040690B">
        <w:t xml:space="preserve"> reported that they were unaware of existing services and funding schemes, </w:t>
      </w:r>
      <w:r w:rsidR="000F142D" w:rsidRPr="0040690B">
        <w:t>or found out about them too late, which compounded their stress and financial burden. Some reported feeling abandoned after cancer treatment, as there was little guidance on next steps for prosthetic care. </w:t>
      </w:r>
      <w:r w:rsidR="00E55163" w:rsidRPr="0040690B">
        <w:t>Furthermore, it was also noted that many clinicians lack up-to-date knowledge about available supports and where to refer their patients for prosthetic</w:t>
      </w:r>
      <w:r w:rsidR="00574D33" w:rsidRPr="0040690B">
        <w:t xml:space="preserve"> services. </w:t>
      </w:r>
    </w:p>
    <w:p w14:paraId="1417BB22" w14:textId="64EDEB4C" w:rsidR="00CB1378" w:rsidRPr="0040690B" w:rsidRDefault="00CB1378" w:rsidP="0040690B">
      <w:r w:rsidRPr="0040690B">
        <w:t xml:space="preserve">In the survey distributed to people living with or with lived experience of cancer and their </w:t>
      </w:r>
      <w:proofErr w:type="spellStart"/>
      <w:r w:rsidRPr="0040690B">
        <w:t>carers</w:t>
      </w:r>
      <w:proofErr w:type="spellEnd"/>
      <w:r w:rsidRPr="0040690B">
        <w:t xml:space="preserve">, respondents were asked to indicate their level of agreement with </w:t>
      </w:r>
      <w:r w:rsidR="00E55163" w:rsidRPr="0040690B">
        <w:t>several</w:t>
      </w:r>
      <w:r w:rsidRPr="0040690B">
        <w:t xml:space="preserve"> statements on a scale of strongly disagree, somewhat disagree, neither agree nor disagree, somewhat agree and strongly agree. Less than half of all respondents (27 out of 61 </w:t>
      </w:r>
      <w:r w:rsidR="005E4FD3" w:rsidRPr="0040690B">
        <w:t>respondents</w:t>
      </w:r>
      <w:r w:rsidRPr="0040690B">
        <w:t xml:space="preserve"> or 45</w:t>
      </w:r>
      <w:r w:rsidR="00B62318" w:rsidRPr="0040690B">
        <w:t xml:space="preserve"> per cent</w:t>
      </w:r>
      <w:r w:rsidRPr="0040690B">
        <w:t xml:space="preserve">) indicated that they strongly or somewhat agreed that clear information was provided regarding prostheses options, funding available and the process for obtaining a prosthesis. </w:t>
      </w:r>
    </w:p>
    <w:p w14:paraId="59C77337" w14:textId="77777777" w:rsidR="00A34BF0" w:rsidRPr="0040690B" w:rsidRDefault="00A34BF0" w:rsidP="0040690B">
      <w:r w:rsidRPr="0040690B">
        <w:br w:type="page"/>
      </w:r>
    </w:p>
    <w:p w14:paraId="41B2EF0E" w14:textId="7A1E5183" w:rsidR="007D3B46" w:rsidRPr="007D3B46" w:rsidRDefault="007D3B46" w:rsidP="00592939">
      <w:pPr>
        <w:pStyle w:val="Bodytext-quote2"/>
      </w:pPr>
      <w:r>
        <w:t xml:space="preserve">55% </w:t>
      </w:r>
      <w:r w:rsidRPr="007D3B46">
        <w:t>of survey respondents did not agree that clear information was provided to them regarding prostheses options, funding available and the process for obtaining a prosthesis</w:t>
      </w:r>
    </w:p>
    <w:p w14:paraId="156548E0" w14:textId="6CC96E35" w:rsidR="007D3B46" w:rsidRDefault="007D3B46" w:rsidP="00E71108">
      <w:pPr>
        <w:pStyle w:val="Bodytextquote2strong"/>
      </w:pPr>
      <w:r w:rsidRPr="007D3B46">
        <w:t xml:space="preserve">- </w:t>
      </w:r>
      <w:r w:rsidR="00120620">
        <w:t>S</w:t>
      </w:r>
      <w:r w:rsidRPr="007D3B46">
        <w:t>urvey of people living with or with lived experience of cancer and their carers</w:t>
      </w:r>
    </w:p>
    <w:p w14:paraId="63B7565C" w14:textId="7EFDD74C" w:rsidR="00992EAC" w:rsidRPr="0040690B" w:rsidRDefault="00992EAC" w:rsidP="0040690B">
      <w:r w:rsidRPr="0040690B">
        <w:t xml:space="preserve">It was reported that this challenge is especially pronounced for some priority population groups, including older adults, Aboriginal and Torres Strait Islander communities, and those from CALD backgrounds. For example, it was noted that there is poor awareness of the </w:t>
      </w:r>
      <w:r w:rsidR="00770354" w:rsidRPr="0040690B">
        <w:t>EBPRP</w:t>
      </w:r>
      <w:r w:rsidRPr="0040690B">
        <w:t xml:space="preserve"> within some CALD communities and that more targeted and specific communication strategies </w:t>
      </w:r>
      <w:r w:rsidR="00B83620" w:rsidRPr="0040690B">
        <w:t>are</w:t>
      </w:r>
      <w:r w:rsidRPr="0040690B">
        <w:t xml:space="preserve"> required to ensure information is disseminated effectively.  </w:t>
      </w:r>
    </w:p>
    <w:p w14:paraId="67AA4906" w14:textId="360472DD" w:rsidR="00E66382" w:rsidRDefault="00E66382" w:rsidP="00FD54A5">
      <w:pPr>
        <w:pStyle w:val="Heading4"/>
      </w:pPr>
      <w:r w:rsidRPr="00E66382">
        <w:t>Eligibility criteria for existing schemes</w:t>
      </w:r>
    </w:p>
    <w:p w14:paraId="6E4684AC" w14:textId="5B3971D8" w:rsidR="009F054E" w:rsidRPr="0040690B" w:rsidRDefault="00992EAC" w:rsidP="0040690B">
      <w:r w:rsidRPr="0040690B">
        <w:t>As described in Section 2, t</w:t>
      </w:r>
      <w:r w:rsidR="00802B26" w:rsidRPr="0040690B">
        <w:t xml:space="preserve">he eligibility criteria for </w:t>
      </w:r>
      <w:r w:rsidR="0017412D" w:rsidRPr="0040690B">
        <w:t xml:space="preserve">existing </w:t>
      </w:r>
      <w:r w:rsidR="00802B26" w:rsidRPr="0040690B">
        <w:t xml:space="preserve">prostheses </w:t>
      </w:r>
      <w:r w:rsidRPr="0040690B">
        <w:t xml:space="preserve">programs and </w:t>
      </w:r>
      <w:r w:rsidR="00802B26" w:rsidRPr="0040690B">
        <w:t xml:space="preserve">schemes </w:t>
      </w:r>
      <w:r w:rsidR="008B536D" w:rsidRPr="0040690B">
        <w:t>vary</w:t>
      </w:r>
      <w:r w:rsidR="00B83620" w:rsidRPr="0040690B">
        <w:t xml:space="preserve"> and can </w:t>
      </w:r>
      <w:r w:rsidR="0019562E" w:rsidRPr="0040690B">
        <w:t>lead to</w:t>
      </w:r>
      <w:r w:rsidR="00F07140" w:rsidRPr="0040690B">
        <w:t xml:space="preserve"> </w:t>
      </w:r>
      <w:r w:rsidR="008E2EFB" w:rsidRPr="0040690B">
        <w:t xml:space="preserve">barriers in accessing </w:t>
      </w:r>
      <w:r w:rsidR="00DF62D0" w:rsidRPr="0040690B">
        <w:t xml:space="preserve">some </w:t>
      </w:r>
      <w:r w:rsidR="008E2EFB" w:rsidRPr="0040690B">
        <w:t>prostheses</w:t>
      </w:r>
      <w:r w:rsidR="00802B26" w:rsidRPr="0040690B">
        <w:t xml:space="preserve">. For example, </w:t>
      </w:r>
      <w:r w:rsidR="00B27CC2" w:rsidRPr="0040690B">
        <w:t>i</w:t>
      </w:r>
      <w:r w:rsidR="00102AC8" w:rsidRPr="0040690B">
        <w:t xml:space="preserve">n addition to meeting </w:t>
      </w:r>
      <w:r w:rsidR="00B27CC2" w:rsidRPr="0040690B">
        <w:t>a range of other eligibility criteria, f</w:t>
      </w:r>
      <w:r w:rsidR="00591798" w:rsidRPr="0040690B">
        <w:t xml:space="preserve">or a </w:t>
      </w:r>
      <w:r w:rsidR="00B27CC2" w:rsidRPr="0040690B">
        <w:t>person to receive funding under the NDIS for a prosthesis, the prosthesis</w:t>
      </w:r>
      <w:r w:rsidR="00521D51" w:rsidRPr="0040690B">
        <w:t xml:space="preserve"> must be “</w:t>
      </w:r>
      <w:r w:rsidR="000359DC" w:rsidRPr="0040690B">
        <w:t>externally applied to replace, wholly or in part</w:t>
      </w:r>
      <w:r w:rsidR="008B536D" w:rsidRPr="0040690B">
        <w:t>,</w:t>
      </w:r>
      <w:r w:rsidR="000359DC" w:rsidRPr="0040690B">
        <w:t xml:space="preserve"> an absent or deficient body segment which assists participant control and functioning of their neuromuscular skeletal systems</w:t>
      </w:r>
      <w:r w:rsidR="006C61FA" w:rsidRPr="0040690B">
        <w:t>.</w:t>
      </w:r>
      <w:r w:rsidR="000359DC" w:rsidRPr="0040690B">
        <w:t>”</w:t>
      </w:r>
      <w:r w:rsidR="007B7939" w:rsidRPr="0040690B">
        <w:t>170F</w:t>
      </w:r>
      <w:r w:rsidR="006C61FA" w:rsidRPr="0040690B">
        <w:rPr>
          <w:vertAlign w:val="superscript"/>
        </w:rPr>
        <w:footnoteReference w:id="158"/>
      </w:r>
      <w:r w:rsidR="00F173C4" w:rsidRPr="0040690B">
        <w:t xml:space="preserve"> </w:t>
      </w:r>
      <w:r w:rsidR="0076452A" w:rsidRPr="0040690B">
        <w:t xml:space="preserve">The exclusion of prostheses not related to the control and functioning of </w:t>
      </w:r>
      <w:r w:rsidR="006F4FBC" w:rsidRPr="0040690B">
        <w:t xml:space="preserve">the neuromuscular skeletal system </w:t>
      </w:r>
      <w:r w:rsidR="00474369" w:rsidRPr="0040690B">
        <w:t>means that</w:t>
      </w:r>
      <w:r w:rsidR="006F4FBC" w:rsidRPr="0040690B">
        <w:t xml:space="preserve"> many </w:t>
      </w:r>
      <w:r w:rsidR="00CA7A7B" w:rsidRPr="0040690B">
        <w:t>people</w:t>
      </w:r>
      <w:r w:rsidR="006F4FBC" w:rsidRPr="0040690B">
        <w:t xml:space="preserve"> </w:t>
      </w:r>
      <w:r w:rsidR="00474369" w:rsidRPr="0040690B">
        <w:t>have had</w:t>
      </w:r>
      <w:r w:rsidR="00802B26" w:rsidRPr="0040690B">
        <w:t xml:space="preserve"> their applications for facial and </w:t>
      </w:r>
      <w:r w:rsidR="009F054E" w:rsidRPr="0040690B">
        <w:t>oral</w:t>
      </w:r>
      <w:r w:rsidR="00802B26" w:rsidRPr="0040690B">
        <w:t xml:space="preserve"> prostheses rejected by NDIS</w:t>
      </w:r>
      <w:r w:rsidR="00F173C4" w:rsidRPr="0040690B">
        <w:t xml:space="preserve">. </w:t>
      </w:r>
    </w:p>
    <w:p w14:paraId="46DE5B96" w14:textId="5004AE6B" w:rsidR="005723C9" w:rsidRPr="0040690B" w:rsidRDefault="000720B5" w:rsidP="0040690B">
      <w:r w:rsidRPr="0040690B">
        <w:t xml:space="preserve">Similarly, </w:t>
      </w:r>
      <w:r w:rsidR="00CA7A7B" w:rsidRPr="0040690B">
        <w:t>people with living or lived experience of cancer</w:t>
      </w:r>
      <w:r w:rsidRPr="0040690B">
        <w:t xml:space="preserve"> </w:t>
      </w:r>
      <w:r w:rsidR="00FC019A" w:rsidRPr="0040690B">
        <w:t>reported</w:t>
      </w:r>
      <w:r w:rsidRPr="0040690B">
        <w:t xml:space="preserve"> having their applications rejected by private health insurers</w:t>
      </w:r>
      <w:r w:rsidR="003B1CF0" w:rsidRPr="0040690B">
        <w:t xml:space="preserve"> for facial and oral prostheses</w:t>
      </w:r>
      <w:r w:rsidR="00EA57E9" w:rsidRPr="0040690B">
        <w:t xml:space="preserve"> on the basis that they are “cosmetic” rather than functional</w:t>
      </w:r>
      <w:r w:rsidRPr="0040690B">
        <w:t xml:space="preserve">. </w:t>
      </w:r>
      <w:r w:rsidR="00102AC8" w:rsidRPr="0040690B">
        <w:t xml:space="preserve">The Australian Government’s </w:t>
      </w:r>
      <w:r w:rsidR="00837123" w:rsidRPr="0040690B">
        <w:t>Prescribed Lis</w:t>
      </w:r>
      <w:r w:rsidR="00102AC8" w:rsidRPr="0040690B">
        <w:t xml:space="preserve">t lists the medical devices and human tissue products </w:t>
      </w:r>
      <w:r w:rsidR="008B536D" w:rsidRPr="0040690B">
        <w:t>that private health insurers must cover for patients with</w:t>
      </w:r>
      <w:r w:rsidR="00102AC8" w:rsidRPr="0040690B">
        <w:t xml:space="preserve"> appropriate insurance policies. External</w:t>
      </w:r>
      <w:r w:rsidR="005723C9" w:rsidRPr="0040690B">
        <w:t xml:space="preserve"> prostheses</w:t>
      </w:r>
      <w:r w:rsidR="00102AC8" w:rsidRPr="0040690B">
        <w:t xml:space="preserve"> and</w:t>
      </w:r>
      <w:r w:rsidR="005723C9" w:rsidRPr="0040690B">
        <w:t xml:space="preserve"> prostheses </w:t>
      </w:r>
      <w:r w:rsidR="008B536D" w:rsidRPr="0040690B">
        <w:t>deemed “</w:t>
      </w:r>
      <w:r w:rsidR="005723C9" w:rsidRPr="0040690B">
        <w:t>cosmetic</w:t>
      </w:r>
      <w:r w:rsidR="004A73F6" w:rsidRPr="0040690B">
        <w:t>”</w:t>
      </w:r>
      <w:r w:rsidR="005723C9" w:rsidRPr="0040690B">
        <w:t xml:space="preserve"> </w:t>
      </w:r>
      <w:r w:rsidR="000D7A94" w:rsidRPr="0040690B">
        <w:t xml:space="preserve">rather than functional </w:t>
      </w:r>
      <w:r w:rsidR="00102AC8" w:rsidRPr="0040690B">
        <w:t>are not included on the Prescribed List</w:t>
      </w:r>
      <w:r w:rsidR="003B1CF0" w:rsidRPr="0040690B">
        <w:t xml:space="preserve">, meaning private health insurers are not obligated to </w:t>
      </w:r>
      <w:r w:rsidR="00AA5727" w:rsidRPr="0040690B">
        <w:t xml:space="preserve">pay benefits for these prostheses. </w:t>
      </w:r>
    </w:p>
    <w:p w14:paraId="0A3524B0" w14:textId="620F2605" w:rsidR="00AA5727" w:rsidRPr="0040690B" w:rsidRDefault="003077B5" w:rsidP="0040690B">
      <w:r w:rsidRPr="0040690B">
        <w:t>Stakeholders expressed</w:t>
      </w:r>
      <w:r w:rsidR="00A44CFC" w:rsidRPr="0040690B">
        <w:t xml:space="preserve"> considerable</w:t>
      </w:r>
      <w:r w:rsidR="00AA5727" w:rsidRPr="0040690B">
        <w:t xml:space="preserve"> frustration and distress </w:t>
      </w:r>
      <w:r w:rsidR="00A44CFC" w:rsidRPr="0040690B">
        <w:t xml:space="preserve">that both the NDIS and </w:t>
      </w:r>
      <w:r w:rsidR="00F54802" w:rsidRPr="0040690B">
        <w:t xml:space="preserve">private health insurers </w:t>
      </w:r>
      <w:r w:rsidR="00AA5727" w:rsidRPr="0040690B">
        <w:t xml:space="preserve">exclude facial and </w:t>
      </w:r>
      <w:r w:rsidR="00F54802" w:rsidRPr="0040690B">
        <w:t>oral</w:t>
      </w:r>
      <w:r w:rsidR="00AA5727" w:rsidRPr="0040690B">
        <w:t xml:space="preserve"> prostheses by classifying them as </w:t>
      </w:r>
      <w:r w:rsidR="004A73F6" w:rsidRPr="0040690B">
        <w:t>“</w:t>
      </w:r>
      <w:r w:rsidR="00AA5727" w:rsidRPr="0040690B">
        <w:t>cosmetic</w:t>
      </w:r>
      <w:r w:rsidR="004A73F6" w:rsidRPr="0040690B">
        <w:t>”</w:t>
      </w:r>
      <w:r w:rsidR="00AA5727" w:rsidRPr="0040690B">
        <w:t>, despite their essential role in rehabilitation and quality of life for cancer survivors. Stakeholders consistently advocate</w:t>
      </w:r>
      <w:r w:rsidR="00F54802" w:rsidRPr="0040690B">
        <w:t>d</w:t>
      </w:r>
      <w:r w:rsidR="00AA5727" w:rsidRPr="0040690B">
        <w:t xml:space="preserve"> for these prostheses to be recogni</w:t>
      </w:r>
      <w:r w:rsidR="00EA57E9" w:rsidRPr="0040690B">
        <w:t>s</w:t>
      </w:r>
      <w:r w:rsidR="00AA5727" w:rsidRPr="0040690B">
        <w:t>ed as medically necessary and for funding models to reflect their importance.</w:t>
      </w:r>
      <w:r w:rsidR="00EA57E9" w:rsidRPr="0040690B">
        <w:t xml:space="preserve"> </w:t>
      </w:r>
      <w:r w:rsidR="00AA5727" w:rsidRPr="0040690B">
        <w:t>The impact of this classification and the subsequent lack of funding means</w:t>
      </w:r>
      <w:r w:rsidR="00EA57E9" w:rsidRPr="0040690B">
        <w:t xml:space="preserve"> that many</w:t>
      </w:r>
      <w:r w:rsidR="00AA5727" w:rsidRPr="0040690B">
        <w:t xml:space="preserve"> </w:t>
      </w:r>
      <w:r w:rsidR="00063EF2" w:rsidRPr="0040690B">
        <w:t>people</w:t>
      </w:r>
      <w:r w:rsidR="00AA5727" w:rsidRPr="0040690B">
        <w:t xml:space="preserve"> have limited options </w:t>
      </w:r>
      <w:r w:rsidR="00EA57E9" w:rsidRPr="0040690B">
        <w:t>for accessing</w:t>
      </w:r>
      <w:r w:rsidR="00AA5727" w:rsidRPr="0040690B">
        <w:t xml:space="preserve"> prostheses that are financially </w:t>
      </w:r>
      <w:r w:rsidR="005D7015" w:rsidRPr="0040690B">
        <w:t>viable</w:t>
      </w:r>
      <w:r w:rsidR="00AA5727" w:rsidRPr="0040690B">
        <w:t xml:space="preserve">. As a result, many </w:t>
      </w:r>
      <w:r w:rsidR="00CD43F5" w:rsidRPr="0040690B">
        <w:t>are left without an option for accessing a prosthesis</w:t>
      </w:r>
      <w:r w:rsidR="001C05C6" w:rsidRPr="0040690B">
        <w:t>, which can</w:t>
      </w:r>
      <w:r w:rsidR="00AA5727" w:rsidRPr="0040690B">
        <w:t xml:space="preserve"> significantly affect</w:t>
      </w:r>
      <w:r w:rsidR="001C05C6" w:rsidRPr="0040690B">
        <w:t xml:space="preserve"> </w:t>
      </w:r>
      <w:r w:rsidR="00AA5727" w:rsidRPr="0040690B">
        <w:t>their quality of life, recovery, and ability to return to society.</w:t>
      </w:r>
    </w:p>
    <w:p w14:paraId="73D5138F" w14:textId="2FDEA1CA" w:rsidR="003063E5" w:rsidRPr="0028592A" w:rsidRDefault="003063E5" w:rsidP="00592939">
      <w:pPr>
        <w:pStyle w:val="Bodytext-quote2"/>
      </w:pPr>
      <w:r w:rsidRPr="0028592A">
        <w:t xml:space="preserve">"My Private Health says my prosthetic [nose] is considered ‘cosmetic’ and is not funded. The NDIS needs to fund all facial prosthetics. Mine allows me to function in society positively, as in I </w:t>
      </w:r>
      <w:proofErr w:type="gramStart"/>
      <w:r w:rsidRPr="0028592A">
        <w:t>am able to</w:t>
      </w:r>
      <w:proofErr w:type="gramEnd"/>
      <w:r w:rsidRPr="0028592A">
        <w:t xml:space="preserve"> work to provide for my family, and to sociali</w:t>
      </w:r>
      <w:r w:rsidR="007D3B46" w:rsidRPr="0028592A">
        <w:t>s</w:t>
      </w:r>
      <w:r w:rsidRPr="0028592A">
        <w:t>e in a public</w:t>
      </w:r>
      <w:r w:rsidR="00696BC0" w:rsidRPr="0028592A">
        <w:t> </w:t>
      </w:r>
      <w:r w:rsidRPr="0028592A">
        <w:t>place.”</w:t>
      </w:r>
    </w:p>
    <w:p w14:paraId="56856BBC" w14:textId="77777777" w:rsidR="00696BC0" w:rsidRDefault="003063E5" w:rsidP="00E71108">
      <w:pPr>
        <w:pStyle w:val="Bodytextquote2strong"/>
      </w:pPr>
      <w:r w:rsidRPr="0089298F">
        <w:t xml:space="preserve">- </w:t>
      </w:r>
      <w:r w:rsidRPr="00A5619B">
        <w:t xml:space="preserve">Person with </w:t>
      </w:r>
      <w:r w:rsidRPr="0028592A">
        <w:t>lived</w:t>
      </w:r>
      <w:r w:rsidRPr="00A5619B">
        <w:t xml:space="preserve"> experience of cancer</w:t>
      </w:r>
    </w:p>
    <w:p w14:paraId="02834733" w14:textId="77777777" w:rsidR="003063E5" w:rsidRPr="003063E5" w:rsidRDefault="003063E5" w:rsidP="00592939">
      <w:pPr>
        <w:pStyle w:val="Bodytext-quote2"/>
      </w:pPr>
      <w:r w:rsidRPr="003063E5">
        <w:t>“I don't consider my prosthetic ear to be ‘cosmetic’, it gave me the ability to go out in public and not be pointed at or spoken about behind cupped hands, it made me feel whole again."</w:t>
      </w:r>
    </w:p>
    <w:p w14:paraId="68434B08" w14:textId="77777777" w:rsidR="00696BC0" w:rsidRDefault="003063E5" w:rsidP="00E71108">
      <w:pPr>
        <w:pStyle w:val="Bodytextquote2strong"/>
      </w:pPr>
      <w:r w:rsidRPr="003063E5">
        <w:t>- Person with lived experience of cancer</w:t>
      </w:r>
    </w:p>
    <w:p w14:paraId="05C9DA59" w14:textId="192B7A02" w:rsidR="003063E5" w:rsidRPr="003063E5" w:rsidRDefault="003063E5" w:rsidP="00592939">
      <w:pPr>
        <w:pStyle w:val="Bodytext-quote2"/>
      </w:pPr>
      <w:r w:rsidRPr="003063E5">
        <w:t>“A prosthetic eye doesn’t make a child see again, so it doesn't matter according to the NDIS, but it does make them look like everyone else! Families are saying ‘I don’t need funding for occupational therapy… I just need an eye so that my child can go to the playground without being called a</w:t>
      </w:r>
      <w:r w:rsidR="0029070A">
        <w:t> </w:t>
      </w:r>
      <w:r w:rsidRPr="003063E5">
        <w:t>monster’"</w:t>
      </w:r>
    </w:p>
    <w:p w14:paraId="3005588C" w14:textId="0B475EC8" w:rsidR="003063E5" w:rsidRDefault="003063E5" w:rsidP="00E71108">
      <w:pPr>
        <w:pStyle w:val="Bodytextquote2strong"/>
      </w:pPr>
      <w:r w:rsidRPr="003063E5">
        <w:t>- Clinician</w:t>
      </w:r>
    </w:p>
    <w:p w14:paraId="1C9882EC" w14:textId="3EAFE3BF" w:rsidR="001732F9" w:rsidRDefault="001732F9" w:rsidP="001732F9">
      <w:pPr>
        <w:pStyle w:val="Heading3"/>
      </w:pPr>
      <w:r w:rsidRPr="001732F9">
        <w:t>Availability of prostheses services</w:t>
      </w:r>
    </w:p>
    <w:p w14:paraId="7688ED8D" w14:textId="1B2EAB62" w:rsidR="00937A60" w:rsidRPr="0040690B" w:rsidRDefault="00937A60" w:rsidP="0040690B">
      <w:r w:rsidRPr="0040690B">
        <w:t xml:space="preserve">Several issues related to </w:t>
      </w:r>
      <w:r w:rsidR="0024390A" w:rsidRPr="0040690B">
        <w:t>the availability of prostheses services</w:t>
      </w:r>
      <w:r w:rsidRPr="0040690B">
        <w:t xml:space="preserve"> were identified for people living with or who have lived experience of cancer. These issues included: </w:t>
      </w:r>
    </w:p>
    <w:p w14:paraId="27C83E33" w14:textId="493FCCCF" w:rsidR="00064DE9" w:rsidRPr="00064DE9" w:rsidRDefault="00064DE9" w:rsidP="003063E5">
      <w:pPr>
        <w:pStyle w:val="Bullet1stlevel"/>
      </w:pPr>
      <w:r w:rsidRPr="00064DE9">
        <w:t>A lack of prostheses services, particularly in regional, rural and remote areas</w:t>
      </w:r>
    </w:p>
    <w:p w14:paraId="4806FF7F" w14:textId="77777777" w:rsidR="00064DE9" w:rsidRPr="00064DE9" w:rsidRDefault="00064DE9" w:rsidP="003063E5">
      <w:pPr>
        <w:pStyle w:val="Bullet1stlevel"/>
      </w:pPr>
      <w:r w:rsidRPr="00064DE9">
        <w:t>Long wait times for existing prostheses services, including both publicly funded and private services</w:t>
      </w:r>
    </w:p>
    <w:p w14:paraId="2E696BB2" w14:textId="4F84843A" w:rsidR="00E66382" w:rsidRDefault="00064DE9" w:rsidP="003063E5">
      <w:pPr>
        <w:pStyle w:val="Bullet1stlevel"/>
      </w:pPr>
      <w:r w:rsidRPr="00064DE9">
        <w:t>Limited culturally safe and accessible prostheses services for Aboriginal and Torres Strait Islander and CALD communities.</w:t>
      </w:r>
    </w:p>
    <w:p w14:paraId="2D0AB419" w14:textId="737AE4CA" w:rsidR="0078571D" w:rsidRPr="00AC32FA" w:rsidRDefault="0078571D" w:rsidP="007D3B46">
      <w:pPr>
        <w:pStyle w:val="Heading4"/>
      </w:pPr>
      <w:r>
        <w:t>L</w:t>
      </w:r>
      <w:r w:rsidRPr="00AC32FA">
        <w:t xml:space="preserve">ack of prostheses services </w:t>
      </w:r>
    </w:p>
    <w:p w14:paraId="05BDD92D" w14:textId="77777777" w:rsidR="00A94F51" w:rsidRPr="0040690B" w:rsidRDefault="002F4EC5" w:rsidP="0040690B">
      <w:r w:rsidRPr="0040690B">
        <w:t xml:space="preserve">As outlined in Section 2, the availability of prostheses services varies significantly across Australia and by prosthesis type. </w:t>
      </w:r>
      <w:r w:rsidR="00E12B99" w:rsidRPr="0040690B">
        <w:t xml:space="preserve">During consultation, </w:t>
      </w:r>
      <w:r w:rsidR="005F0C2A" w:rsidRPr="0040690B">
        <w:t>stakeholders</w:t>
      </w:r>
      <w:r w:rsidR="00E12B99" w:rsidRPr="0040690B">
        <w:t xml:space="preserve"> described prostheses services as being highly fragmented, with services </w:t>
      </w:r>
      <w:r w:rsidR="005F0C2A" w:rsidRPr="0040690B">
        <w:t>typic</w:t>
      </w:r>
      <w:r w:rsidR="00FE1A0F" w:rsidRPr="0040690B">
        <w:t xml:space="preserve">ally </w:t>
      </w:r>
      <w:r w:rsidR="00E12B99" w:rsidRPr="0040690B">
        <w:t xml:space="preserve">centralised in metropolitan </w:t>
      </w:r>
      <w:r w:rsidR="00FE1A0F" w:rsidRPr="0040690B">
        <w:t>areas</w:t>
      </w:r>
      <w:r w:rsidR="00E12B99" w:rsidRPr="0040690B">
        <w:t xml:space="preserve"> and limited or non-existent in regional, rural, and remote areas.</w:t>
      </w:r>
    </w:p>
    <w:p w14:paraId="644F70D7" w14:textId="49B2F634" w:rsidR="00CE109A" w:rsidRPr="0040690B" w:rsidRDefault="00460691" w:rsidP="0040690B">
      <w:r w:rsidRPr="0040690B">
        <w:t xml:space="preserve">As described in Section 2, </w:t>
      </w:r>
      <w:r w:rsidR="00E80A7F" w:rsidRPr="0040690B">
        <w:t>e</w:t>
      </w:r>
      <w:r w:rsidR="002F4EC5" w:rsidRPr="0040690B">
        <w:t>xternal breast prostheses retailers are widely available in most metropolitan and some regional areas</w:t>
      </w:r>
      <w:r w:rsidR="008C47E8" w:rsidRPr="0040690B">
        <w:t>;</w:t>
      </w:r>
      <w:r w:rsidR="002F4EC5" w:rsidRPr="0040690B">
        <w:t xml:space="preserve"> however, people living in rural and remote areas are typically reliant on online retailers</w:t>
      </w:r>
      <w:r w:rsidR="005E57B0" w:rsidRPr="0040690B">
        <w:t xml:space="preserve"> or are required to travel</w:t>
      </w:r>
      <w:r w:rsidR="00E80A7F" w:rsidRPr="0040690B">
        <w:t xml:space="preserve"> to access an in-person fitting</w:t>
      </w:r>
      <w:r w:rsidR="002F4EC5" w:rsidRPr="0040690B">
        <w:t>.</w:t>
      </w:r>
      <w:r w:rsidR="005E57B0" w:rsidRPr="0040690B">
        <w:t xml:space="preserve"> </w:t>
      </w:r>
      <w:r w:rsidR="00CE109A" w:rsidRPr="0040690B">
        <w:t>Similarly, p</w:t>
      </w:r>
      <w:r w:rsidR="005E57B0" w:rsidRPr="0040690B">
        <w:t>rosthetic limb service providers are widely available in metropolitan and some regional areas</w:t>
      </w:r>
      <w:r w:rsidR="00E80A7F" w:rsidRPr="0040690B">
        <w:t>. P</w:t>
      </w:r>
      <w:r w:rsidR="005E57B0" w:rsidRPr="0040690B">
        <w:t xml:space="preserve">eople living in rural and remote areas are </w:t>
      </w:r>
      <w:r w:rsidR="000B62AF" w:rsidRPr="0040690B">
        <w:t>often</w:t>
      </w:r>
      <w:r w:rsidR="005E57B0" w:rsidRPr="0040690B">
        <w:t xml:space="preserve"> </w:t>
      </w:r>
      <w:r w:rsidR="00096BFA" w:rsidRPr="0040690B">
        <w:t>required to</w:t>
      </w:r>
      <w:r w:rsidR="005E57B0" w:rsidRPr="0040690B">
        <w:t xml:space="preserve"> travel</w:t>
      </w:r>
      <w:r w:rsidR="000B62AF" w:rsidRPr="0040690B">
        <w:t xml:space="preserve"> to access </w:t>
      </w:r>
      <w:r w:rsidR="00482FB3" w:rsidRPr="0040690B">
        <w:t xml:space="preserve">limb </w:t>
      </w:r>
      <w:r w:rsidR="000B62AF" w:rsidRPr="0040690B">
        <w:t>services</w:t>
      </w:r>
      <w:r w:rsidR="00482FB3" w:rsidRPr="0040690B">
        <w:t xml:space="preserve">, however, some </w:t>
      </w:r>
      <w:r w:rsidR="00EB2332" w:rsidRPr="0040690B">
        <w:t xml:space="preserve">mobile clinics </w:t>
      </w:r>
      <w:r w:rsidR="005B3D71" w:rsidRPr="0040690B">
        <w:t>are available</w:t>
      </w:r>
      <w:r w:rsidR="005E57B0" w:rsidRPr="0040690B">
        <w:t>.</w:t>
      </w:r>
      <w:r w:rsidR="00096BFA" w:rsidRPr="0040690B">
        <w:t xml:space="preserve"> </w:t>
      </w:r>
    </w:p>
    <w:p w14:paraId="4CFAD055" w14:textId="032445A5" w:rsidR="00B96A46" w:rsidRPr="0040690B" w:rsidRDefault="000B62AF" w:rsidP="0040690B">
      <w:r w:rsidRPr="0040690B">
        <w:t>The availability of</w:t>
      </w:r>
      <w:r w:rsidR="00C71F19" w:rsidRPr="0040690B">
        <w:t xml:space="preserve"> facial prostheses services differs </w:t>
      </w:r>
      <w:r w:rsidR="005B3D71" w:rsidRPr="0040690B">
        <w:t>significantly</w:t>
      </w:r>
      <w:r w:rsidR="00C71F19" w:rsidRPr="0040690B">
        <w:t xml:space="preserve"> </w:t>
      </w:r>
      <w:r w:rsidR="005B3D71" w:rsidRPr="0040690B">
        <w:t>across</w:t>
      </w:r>
      <w:r w:rsidR="00C71F19" w:rsidRPr="0040690B">
        <w:t xml:space="preserve"> state</w:t>
      </w:r>
      <w:r w:rsidR="005B3D71" w:rsidRPr="0040690B">
        <w:t>s</w:t>
      </w:r>
      <w:r w:rsidR="00C71F19" w:rsidRPr="0040690B">
        <w:t xml:space="preserve"> and territor</w:t>
      </w:r>
      <w:r w:rsidR="005B3D71" w:rsidRPr="0040690B">
        <w:t>ies</w:t>
      </w:r>
      <w:r w:rsidR="005C1DB0" w:rsidRPr="0040690B">
        <w:t xml:space="preserve">. </w:t>
      </w:r>
      <w:r w:rsidRPr="0040690B">
        <w:t>In some</w:t>
      </w:r>
      <w:r w:rsidR="00B96A46" w:rsidRPr="0040690B">
        <w:t xml:space="preserve"> jurisdictions</w:t>
      </w:r>
      <w:r w:rsidRPr="0040690B">
        <w:t xml:space="preserve">, </w:t>
      </w:r>
      <w:r w:rsidR="008100E0" w:rsidRPr="0040690B">
        <w:t xml:space="preserve">some publicly funded facial prostheses services are </w:t>
      </w:r>
      <w:r w:rsidRPr="0040690B">
        <w:t>available</w:t>
      </w:r>
      <w:r w:rsidR="00B96A46" w:rsidRPr="0040690B">
        <w:t xml:space="preserve">, while in others, either only private services are available or there are no services </w:t>
      </w:r>
      <w:r w:rsidR="00E615DE" w:rsidRPr="0040690B">
        <w:t xml:space="preserve">available </w:t>
      </w:r>
      <w:r w:rsidR="00B96A46" w:rsidRPr="0040690B">
        <w:t>at all</w:t>
      </w:r>
      <w:r w:rsidR="00E12B99" w:rsidRPr="0040690B">
        <w:t xml:space="preserve">, presenting significant barriers to access for people residing in these jurisdictions. </w:t>
      </w:r>
    </w:p>
    <w:p w14:paraId="3C0FA57C" w14:textId="77777777" w:rsidR="003063E5" w:rsidRPr="00C86790" w:rsidRDefault="003063E5" w:rsidP="00592939">
      <w:pPr>
        <w:pStyle w:val="Bodytext-quote2"/>
      </w:pPr>
      <w:r w:rsidRPr="00C86790">
        <w:t>"</w:t>
      </w:r>
      <w:r w:rsidRPr="007A34B5">
        <w:t>In S</w:t>
      </w:r>
      <w:r>
        <w:t xml:space="preserve">outh </w:t>
      </w:r>
      <w:r w:rsidRPr="007A34B5">
        <w:t>A</w:t>
      </w:r>
      <w:r>
        <w:t>ustralia</w:t>
      </w:r>
      <w:r w:rsidRPr="007A34B5">
        <w:t xml:space="preserve">, we don’t offer any </w:t>
      </w:r>
      <w:r>
        <w:t xml:space="preserve">facial </w:t>
      </w:r>
      <w:r w:rsidRPr="007A34B5">
        <w:t xml:space="preserve">prosthetic services whatsoever. Unless someone was </w:t>
      </w:r>
      <w:r w:rsidRPr="00696BC0">
        <w:t>prepared</w:t>
      </w:r>
      <w:r w:rsidRPr="007A34B5">
        <w:t xml:space="preserve"> to travel to </w:t>
      </w:r>
      <w:r>
        <w:t>interstate</w:t>
      </w:r>
      <w:r w:rsidRPr="007A34B5">
        <w:t xml:space="preserve"> to have a prosthetic made, it’s just not available</w:t>
      </w:r>
      <w:r>
        <w:t>.”</w:t>
      </w:r>
    </w:p>
    <w:p w14:paraId="000789E4" w14:textId="77777777" w:rsidR="00E73AF5" w:rsidRDefault="003063E5" w:rsidP="00E71108">
      <w:pPr>
        <w:pStyle w:val="Bodytextquote2strong"/>
      </w:pPr>
      <w:r w:rsidRPr="0089298F">
        <w:t xml:space="preserve">- </w:t>
      </w:r>
      <w:r>
        <w:t>Clinician</w:t>
      </w:r>
    </w:p>
    <w:p w14:paraId="2A849078" w14:textId="48C527E9" w:rsidR="003063E5" w:rsidRPr="00C86790" w:rsidRDefault="003063E5" w:rsidP="00592939">
      <w:pPr>
        <w:pStyle w:val="Bodytext-quote2"/>
      </w:pPr>
      <w:r w:rsidRPr="00812567">
        <w:t>“</w:t>
      </w:r>
      <w:r>
        <w:t>I l</w:t>
      </w:r>
      <w:r w:rsidRPr="004D00A5">
        <w:t xml:space="preserve">ive </w:t>
      </w:r>
      <w:r w:rsidR="0053717E">
        <w:t>in rural NSW</w:t>
      </w:r>
      <w:r w:rsidRPr="004D00A5">
        <w:t xml:space="preserve"> and every fortnight for some time</w:t>
      </w:r>
      <w:r>
        <w:t xml:space="preserve"> I had to drive</w:t>
      </w:r>
      <w:r w:rsidRPr="004D00A5">
        <w:t xml:space="preserve"> to Sydney to get </w:t>
      </w:r>
      <w:r>
        <w:t>my</w:t>
      </w:r>
      <w:r w:rsidRPr="004D00A5">
        <w:t xml:space="preserve"> prosthesis modified</w:t>
      </w:r>
      <w:r>
        <w:t xml:space="preserve"> which was a s</w:t>
      </w:r>
      <w:r w:rsidRPr="004D00A5">
        <w:t>eventeen</w:t>
      </w:r>
      <w:r>
        <w:t>-</w:t>
      </w:r>
      <w:r w:rsidRPr="004D00A5">
        <w:t>hour day.</w:t>
      </w:r>
      <w:r>
        <w:t xml:space="preserve"> It was exhausting – I c</w:t>
      </w:r>
      <w:r w:rsidRPr="00CF794C">
        <w:t>an</w:t>
      </w:r>
      <w:r>
        <w:t xml:space="preserve"> barely get</w:t>
      </w:r>
      <w:r w:rsidRPr="00CF794C">
        <w:t xml:space="preserve"> through the day without a sit down or a nap</w:t>
      </w:r>
      <w:r>
        <w:t xml:space="preserve"> as it is</w:t>
      </w:r>
      <w:r w:rsidRPr="00CF794C">
        <w:t>.</w:t>
      </w:r>
    </w:p>
    <w:p w14:paraId="1057883A" w14:textId="5F8747E2" w:rsidR="004B58D0" w:rsidRDefault="003063E5" w:rsidP="00E71108">
      <w:pPr>
        <w:pStyle w:val="Bodytextquote2strong"/>
      </w:pPr>
      <w:r w:rsidRPr="0089298F">
        <w:t xml:space="preserve">- </w:t>
      </w:r>
      <w:r w:rsidRPr="00A5619B">
        <w:t>Person with lived experience of cance</w:t>
      </w:r>
      <w:r>
        <w:t>r</w:t>
      </w:r>
    </w:p>
    <w:p w14:paraId="650A9C0C" w14:textId="1B8D21D4" w:rsidR="008A035C" w:rsidRPr="0040690B" w:rsidRDefault="008A035C" w:rsidP="0040690B">
      <w:r w:rsidRPr="0040690B">
        <w:t xml:space="preserve">In the survey distributed to clinicians involved in prostheses service delivery, respondents were asked to </w:t>
      </w:r>
      <w:r w:rsidR="003C1DB6" w:rsidRPr="0040690B">
        <w:t>identify</w:t>
      </w:r>
      <w:r w:rsidRPr="0040690B">
        <w:t xml:space="preserve"> </w:t>
      </w:r>
      <w:r w:rsidR="0096148E" w:rsidRPr="0040690B">
        <w:t xml:space="preserve">the most significant barriers to accessing prostheses services </w:t>
      </w:r>
      <w:r w:rsidR="008100E0" w:rsidRPr="0040690B">
        <w:t>for people living with or who have a lived experience of cancer</w:t>
      </w:r>
      <w:r w:rsidRPr="0040690B">
        <w:t xml:space="preserve">. </w:t>
      </w:r>
      <w:proofErr w:type="gramStart"/>
      <w:r w:rsidR="00B62318" w:rsidRPr="0040690B">
        <w:t>The majority of</w:t>
      </w:r>
      <w:proofErr w:type="gramEnd"/>
      <w:r w:rsidR="00B62318" w:rsidRPr="0040690B">
        <w:t xml:space="preserve"> respondents</w:t>
      </w:r>
      <w:r w:rsidRPr="0040690B">
        <w:t xml:space="preserve"> (</w:t>
      </w:r>
      <w:r w:rsidR="00B62318" w:rsidRPr="0040690B">
        <w:t>49</w:t>
      </w:r>
      <w:r w:rsidRPr="0040690B">
        <w:t xml:space="preserve"> out of </w:t>
      </w:r>
      <w:r w:rsidR="00B62318" w:rsidRPr="0040690B">
        <w:t>57</w:t>
      </w:r>
      <w:r w:rsidRPr="0040690B">
        <w:t xml:space="preserve"> </w:t>
      </w:r>
      <w:r w:rsidR="005E4FD3" w:rsidRPr="0040690B">
        <w:t xml:space="preserve">respondents </w:t>
      </w:r>
      <w:r w:rsidRPr="0040690B">
        <w:t xml:space="preserve">or </w:t>
      </w:r>
      <w:r w:rsidR="00B62318" w:rsidRPr="0040690B">
        <w:t>86 per cent</w:t>
      </w:r>
      <w:r w:rsidRPr="0040690B">
        <w:t xml:space="preserve">) indicated that </w:t>
      </w:r>
      <w:r w:rsidR="00B62318" w:rsidRPr="0040690B">
        <w:t xml:space="preserve">the availability of prostheses services was a significant barrier to access. </w:t>
      </w:r>
    </w:p>
    <w:p w14:paraId="261521FC" w14:textId="0ED66952" w:rsidR="0006500D" w:rsidRPr="0006500D" w:rsidRDefault="0006500D" w:rsidP="00592939">
      <w:pPr>
        <w:pStyle w:val="Bodytext-quote2"/>
      </w:pPr>
      <w:r>
        <w:t xml:space="preserve">86% </w:t>
      </w:r>
      <w:r w:rsidRPr="0006500D">
        <w:t>of survey respondents identified limited availability of prostheses services and / or skilled professions as a significant barrier for people living with or who have a lived experience of cancer to access prostheses</w:t>
      </w:r>
    </w:p>
    <w:p w14:paraId="598DED4C" w14:textId="1F976CC8" w:rsidR="0006500D" w:rsidRDefault="0006500D" w:rsidP="00E71108">
      <w:pPr>
        <w:pStyle w:val="Bodytextquote2strong"/>
      </w:pPr>
      <w:r w:rsidRPr="0006500D">
        <w:t xml:space="preserve">- </w:t>
      </w:r>
      <w:r w:rsidR="00120620">
        <w:t>S</w:t>
      </w:r>
      <w:r w:rsidRPr="0006500D">
        <w:t>urvey of clinicians involved in prostheses service delivery</w:t>
      </w:r>
    </w:p>
    <w:p w14:paraId="48597B06" w14:textId="2648C436" w:rsidR="00895CD9" w:rsidRPr="0040690B" w:rsidRDefault="00FA668F" w:rsidP="0040690B">
      <w:r w:rsidRPr="0040690B">
        <w:t xml:space="preserve">In jurisdictions where publicly funded facial prostheses services are available, the service is often hospital-dependent </w:t>
      </w:r>
      <w:r w:rsidR="008903F6" w:rsidRPr="0040690B">
        <w:t>and</w:t>
      </w:r>
      <w:r w:rsidRPr="0040690B">
        <w:t xml:space="preserve"> reliant on the initiative of an individual </w:t>
      </w:r>
      <w:r w:rsidR="0037032D" w:rsidRPr="0040690B">
        <w:t>clinician</w:t>
      </w:r>
      <w:r w:rsidRPr="0040690B">
        <w:t xml:space="preserve"> or local health service to advocate for and secure funding </w:t>
      </w:r>
      <w:r w:rsidR="003D47DB" w:rsidRPr="0040690B">
        <w:t>for the service</w:t>
      </w:r>
      <w:r w:rsidRPr="0040690B">
        <w:t xml:space="preserve"> on a case-by-case basis. These services are therefore highly vulnerable to changes in hospital budgets</w:t>
      </w:r>
      <w:r w:rsidR="00230260" w:rsidRPr="0040690B">
        <w:t xml:space="preserve"> and </w:t>
      </w:r>
      <w:r w:rsidRPr="0040690B">
        <w:t>service priorities</w:t>
      </w:r>
      <w:r w:rsidR="00230260" w:rsidRPr="0040690B">
        <w:t xml:space="preserve">. There is also </w:t>
      </w:r>
      <w:r w:rsidRPr="0040690B">
        <w:t>significant key-person risk</w:t>
      </w:r>
      <w:r w:rsidR="00230260" w:rsidRPr="0040690B">
        <w:t xml:space="preserve"> if </w:t>
      </w:r>
      <w:r w:rsidR="00BD30D0" w:rsidRPr="0040690B">
        <w:t xml:space="preserve">the individual clinicians who have </w:t>
      </w:r>
      <w:r w:rsidR="008A09B8" w:rsidRPr="0040690B">
        <w:t xml:space="preserve">secured funding for and established a service </w:t>
      </w:r>
      <w:r w:rsidR="00BD30D0" w:rsidRPr="0040690B">
        <w:t>retire or relocate</w:t>
      </w:r>
      <w:r w:rsidRPr="0040690B">
        <w:t xml:space="preserve">. This results in uncertainty for both clinicians and people with living or lived experience of cancer regarding the ongoing sustainability of the service. </w:t>
      </w:r>
      <w:r w:rsidR="00895CD9" w:rsidRPr="0040690B">
        <w:br w:type="page"/>
      </w:r>
    </w:p>
    <w:p w14:paraId="67EC6B23" w14:textId="77777777" w:rsidR="00015CE8" w:rsidRDefault="00015CE8" w:rsidP="00592939">
      <w:pPr>
        <w:pStyle w:val="Bodytext-quote2"/>
      </w:pPr>
      <w:r w:rsidRPr="00C86790">
        <w:t xml:space="preserve">" </w:t>
      </w:r>
      <w:r>
        <w:t>[prostheses services] are</w:t>
      </w:r>
      <w:r w:rsidRPr="00F812D1">
        <w:t xml:space="preserve"> often</w:t>
      </w:r>
      <w:r>
        <w:t xml:space="preserve"> just</w:t>
      </w:r>
      <w:r w:rsidRPr="00F812D1">
        <w:t xml:space="preserve"> what passionate clinicians have cobbled together. This makes it highly individual to the clinician. That's not </w:t>
      </w:r>
      <w:r w:rsidRPr="00895CD9">
        <w:t>equitable</w:t>
      </w:r>
      <w:r w:rsidRPr="00F812D1">
        <w:t xml:space="preserve"> or sustainable</w:t>
      </w:r>
      <w:r>
        <w:t>.</w:t>
      </w:r>
      <w:r w:rsidRPr="00C86790">
        <w:t>"</w:t>
      </w:r>
    </w:p>
    <w:p w14:paraId="2B33FE4A" w14:textId="77777777" w:rsidR="008C2994" w:rsidRDefault="00506D14" w:rsidP="00E71108">
      <w:pPr>
        <w:pStyle w:val="Bodytextquote2strong"/>
      </w:pPr>
      <w:r w:rsidRPr="00506D14">
        <w:t>- Peak body representative</w:t>
      </w:r>
    </w:p>
    <w:p w14:paraId="2BB078BD" w14:textId="6475B6E0" w:rsidR="00EB5CE2" w:rsidRPr="008C2994" w:rsidRDefault="00015CE8" w:rsidP="00592939">
      <w:pPr>
        <w:pStyle w:val="Bodytext-quote2"/>
      </w:pPr>
      <w:r w:rsidRPr="008C2994">
        <w:t xml:space="preserve">" I was a patient of </w:t>
      </w:r>
      <w:r w:rsidR="0053717E">
        <w:t xml:space="preserve">a </w:t>
      </w:r>
      <w:r w:rsidRPr="008C2994">
        <w:t xml:space="preserve">Dental Hospital for over 30 years, where I would have a new pair of prosthetic ears created every 2 years… They no longer provide this </w:t>
      </w:r>
      <w:proofErr w:type="gramStart"/>
      <w:r w:rsidRPr="008C2994">
        <w:t>service</w:t>
      </w:r>
      <w:proofErr w:type="gramEnd"/>
      <w:r w:rsidRPr="008C2994">
        <w:t xml:space="preserve"> and my only option is to pay almost $10,000 for a new pair of ears to be made."</w:t>
      </w:r>
    </w:p>
    <w:p w14:paraId="662D7E15" w14:textId="2CB19518" w:rsidR="0037032D" w:rsidRPr="0037032D" w:rsidRDefault="00015CE8" w:rsidP="00E71108">
      <w:pPr>
        <w:pStyle w:val="Bodytextquote2strong"/>
      </w:pPr>
      <w:r w:rsidRPr="0089298F">
        <w:t xml:space="preserve">- </w:t>
      </w:r>
      <w:r w:rsidRPr="00A5619B">
        <w:t xml:space="preserve">Person </w:t>
      </w:r>
      <w:r w:rsidRPr="00895CD9">
        <w:t>with</w:t>
      </w:r>
      <w:r w:rsidRPr="00A5619B">
        <w:t xml:space="preserve"> lived experience of cancer</w:t>
      </w:r>
    </w:p>
    <w:p w14:paraId="23FF4C3B" w14:textId="52054544" w:rsidR="00E66382" w:rsidRPr="00E66382" w:rsidRDefault="00E66382" w:rsidP="00FD54A5">
      <w:pPr>
        <w:pStyle w:val="Heading4"/>
      </w:pPr>
      <w:r w:rsidRPr="00E66382">
        <w:t>Long wait times for existing prostheses services</w:t>
      </w:r>
    </w:p>
    <w:p w14:paraId="1B191AC8" w14:textId="4FAB71F8" w:rsidR="004B702C" w:rsidRPr="0040690B" w:rsidRDefault="00D92AA2" w:rsidP="0040690B">
      <w:r w:rsidRPr="00D92AA2">
        <w:t xml:space="preserve">Many stakeholders reported </w:t>
      </w:r>
      <w:r w:rsidR="003B1E35">
        <w:t xml:space="preserve">experiencing significant delays in accessing prostheses, with wait times varying by the </w:t>
      </w:r>
      <w:r w:rsidRPr="00D92AA2">
        <w:t>type of prosthesis</w:t>
      </w:r>
      <w:r>
        <w:t xml:space="preserve"> </w:t>
      </w:r>
      <w:r w:rsidRPr="00D92AA2">
        <w:t>and location.</w:t>
      </w:r>
      <w:r w:rsidR="00C70A15">
        <w:t xml:space="preserve"> </w:t>
      </w:r>
      <w:r w:rsidR="006E4422" w:rsidRPr="006E4422">
        <w:t>For some</w:t>
      </w:r>
      <w:r w:rsidR="00255CBA">
        <w:t xml:space="preserve"> individual</w:t>
      </w:r>
      <w:r w:rsidR="006E4422">
        <w:t>s</w:t>
      </w:r>
      <w:r w:rsidR="00255CBA">
        <w:t xml:space="preserve"> requiring prostheses</w:t>
      </w:r>
      <w:r w:rsidR="006E4422" w:rsidRPr="006E4422">
        <w:t>, the length of the process and the lack of clar</w:t>
      </w:r>
      <w:r w:rsidR="006E4422" w:rsidRPr="009A4EB8">
        <w:t xml:space="preserve">ity about wait times led to significant psychological distress and reduced </w:t>
      </w:r>
      <w:r w:rsidR="003B2C44" w:rsidRPr="009A4EB8">
        <w:t xml:space="preserve">overall </w:t>
      </w:r>
      <w:r w:rsidR="006E4422" w:rsidRPr="009A4EB8">
        <w:t xml:space="preserve">engagement with the health </w:t>
      </w:r>
      <w:r w:rsidR="006E4422" w:rsidRPr="0040690B">
        <w:t>system</w:t>
      </w:r>
      <w:r w:rsidR="003B2C44" w:rsidRPr="0040690B">
        <w:t xml:space="preserve">. </w:t>
      </w:r>
    </w:p>
    <w:p w14:paraId="11F92DB7" w14:textId="48D13CFD" w:rsidR="00414002" w:rsidRPr="0040690B" w:rsidRDefault="00D92AA2" w:rsidP="0040690B">
      <w:r w:rsidRPr="0040690B">
        <w:t>For</w:t>
      </w:r>
      <w:r w:rsidR="007D7663" w:rsidRPr="0040690B">
        <w:t xml:space="preserve"> people requiring</w:t>
      </w:r>
      <w:r w:rsidRPr="0040690B">
        <w:t xml:space="preserve"> facial prostheses,</w:t>
      </w:r>
      <w:r w:rsidR="00EA705B" w:rsidRPr="0040690B">
        <w:t xml:space="preserve"> significant wait times were reported due to </w:t>
      </w:r>
      <w:r w:rsidR="00264534" w:rsidRPr="0040690B">
        <w:t xml:space="preserve">the ability of </w:t>
      </w:r>
      <w:r w:rsidR="00E276DF" w:rsidRPr="0040690B">
        <w:t>existing</w:t>
      </w:r>
      <w:r w:rsidR="006B3D7B" w:rsidRPr="0040690B">
        <w:t xml:space="preserve"> </w:t>
      </w:r>
      <w:r w:rsidR="00264534" w:rsidRPr="0040690B">
        <w:t>services to meet demand</w:t>
      </w:r>
      <w:r w:rsidR="00665F06" w:rsidRPr="0040690B">
        <w:t xml:space="preserve">, with some people self-excluding from seeking </w:t>
      </w:r>
      <w:r w:rsidR="00E276DF" w:rsidRPr="0040690B">
        <w:t xml:space="preserve">a </w:t>
      </w:r>
      <w:r w:rsidR="00665F06" w:rsidRPr="0040690B">
        <w:t>prosthes</w:t>
      </w:r>
      <w:r w:rsidR="00E276DF" w:rsidRPr="0040690B">
        <w:t>i</w:t>
      </w:r>
      <w:r w:rsidR="00665F06" w:rsidRPr="0040690B">
        <w:t xml:space="preserve">s </w:t>
      </w:r>
      <w:r w:rsidR="00E276DF" w:rsidRPr="0040690B">
        <w:t>due</w:t>
      </w:r>
      <w:r w:rsidR="00665F06" w:rsidRPr="0040690B">
        <w:t xml:space="preserve"> </w:t>
      </w:r>
      <w:r w:rsidR="00E276DF" w:rsidRPr="0040690B">
        <w:t>to</w:t>
      </w:r>
      <w:r w:rsidR="00665F06" w:rsidRPr="0040690B">
        <w:t xml:space="preserve"> the wait time required</w:t>
      </w:r>
      <w:r w:rsidR="00264534" w:rsidRPr="0040690B">
        <w:t>.</w:t>
      </w:r>
      <w:r w:rsidRPr="0040690B">
        <w:t xml:space="preserve"> </w:t>
      </w:r>
      <w:r w:rsidR="00264534" w:rsidRPr="0040690B">
        <w:t>I</w:t>
      </w:r>
      <w:r w:rsidR="00C70A15" w:rsidRPr="0040690B">
        <w:t>t was reported that an i</w:t>
      </w:r>
      <w:r w:rsidRPr="0040690B">
        <w:t>nitial appointment with a</w:t>
      </w:r>
      <w:r w:rsidR="00C70A15" w:rsidRPr="0040690B">
        <w:t xml:space="preserve"> facial </w:t>
      </w:r>
      <w:r w:rsidRPr="0040690B">
        <w:t>prosthetist</w:t>
      </w:r>
      <w:r w:rsidR="00C70A15" w:rsidRPr="0040690B">
        <w:t xml:space="preserve"> or anaplastologist</w:t>
      </w:r>
      <w:r w:rsidRPr="0040690B">
        <w:t xml:space="preserve"> can take </w:t>
      </w:r>
      <w:r w:rsidR="003502D0" w:rsidRPr="0040690B">
        <w:t xml:space="preserve">between six </w:t>
      </w:r>
      <w:r w:rsidR="00E46FDA" w:rsidRPr="0040690B">
        <w:t>and</w:t>
      </w:r>
      <w:r w:rsidR="003502D0" w:rsidRPr="0040690B">
        <w:t xml:space="preserve"> nine months</w:t>
      </w:r>
      <w:r w:rsidRPr="0040690B">
        <w:t xml:space="preserve"> to secure in Victoria </w:t>
      </w:r>
      <w:r w:rsidR="00E46FDA" w:rsidRPr="0040690B">
        <w:t>and</w:t>
      </w:r>
      <w:r w:rsidRPr="0040690B">
        <w:t xml:space="preserve"> </w:t>
      </w:r>
      <w:r w:rsidR="004B702C" w:rsidRPr="0040690B">
        <w:t>New South Wales</w:t>
      </w:r>
      <w:r w:rsidRPr="0040690B">
        <w:t>.</w:t>
      </w:r>
      <w:r w:rsidR="003502D0" w:rsidRPr="0040690B">
        <w:t xml:space="preserve"> In Queensland, </w:t>
      </w:r>
      <w:r w:rsidR="0082544D" w:rsidRPr="0040690B">
        <w:t>it was reported that for those requiring</w:t>
      </w:r>
      <w:r w:rsidR="003502D0" w:rsidRPr="0040690B">
        <w:t xml:space="preserve"> an artificial eye</w:t>
      </w:r>
      <w:r w:rsidR="0082544D" w:rsidRPr="0040690B">
        <w:t>, it</w:t>
      </w:r>
      <w:r w:rsidR="003502D0" w:rsidRPr="0040690B">
        <w:t xml:space="preserve"> can </w:t>
      </w:r>
      <w:r w:rsidR="0082544D" w:rsidRPr="0040690B">
        <w:t>take up to</w:t>
      </w:r>
      <w:r w:rsidR="003502D0" w:rsidRPr="0040690B">
        <w:t> </w:t>
      </w:r>
      <w:r w:rsidR="0082544D" w:rsidRPr="0040690B">
        <w:t xml:space="preserve">12 months to </w:t>
      </w:r>
      <w:r w:rsidR="00041B24" w:rsidRPr="0040690B">
        <w:t>secure</w:t>
      </w:r>
      <w:r w:rsidR="003502D0" w:rsidRPr="0040690B">
        <w:t xml:space="preserve"> an appointment</w:t>
      </w:r>
      <w:r w:rsidR="007D7663" w:rsidRPr="0040690B">
        <w:t xml:space="preserve"> with an ocularist</w:t>
      </w:r>
      <w:r w:rsidR="003502D0" w:rsidRPr="0040690B">
        <w:t xml:space="preserve">, with about 200 people </w:t>
      </w:r>
      <w:r w:rsidR="00041B24" w:rsidRPr="0040690B">
        <w:t>on the wait list</w:t>
      </w:r>
      <w:r w:rsidR="003502D0" w:rsidRPr="0040690B">
        <w:t xml:space="preserve"> at any given time. </w:t>
      </w:r>
      <w:r w:rsidR="00B0724D" w:rsidRPr="0040690B">
        <w:t>Stakeholders highlighted that p</w:t>
      </w:r>
      <w:r w:rsidR="004B702C" w:rsidRPr="0040690B">
        <w:t xml:space="preserve">eople living in regional and rural </w:t>
      </w:r>
      <w:r w:rsidR="00665F06" w:rsidRPr="0040690B">
        <w:t xml:space="preserve">areas </w:t>
      </w:r>
      <w:r w:rsidR="00B0724D" w:rsidRPr="0040690B">
        <w:t xml:space="preserve">can </w:t>
      </w:r>
      <w:r w:rsidR="004B702C" w:rsidRPr="0040690B">
        <w:t xml:space="preserve">face additional delays due to </w:t>
      </w:r>
      <w:r w:rsidR="00E97F2C" w:rsidRPr="0040690B">
        <w:t xml:space="preserve">the </w:t>
      </w:r>
      <w:r w:rsidR="00665F06" w:rsidRPr="0040690B">
        <w:t xml:space="preserve">additional time required to make </w:t>
      </w:r>
      <w:r w:rsidR="004B702C" w:rsidRPr="0040690B">
        <w:t>travel</w:t>
      </w:r>
      <w:r w:rsidR="00E97F2C" w:rsidRPr="0040690B">
        <w:t xml:space="preserve"> arrangements</w:t>
      </w:r>
      <w:r w:rsidR="00E276DF" w:rsidRPr="0040690B">
        <w:t>.</w:t>
      </w:r>
    </w:p>
    <w:p w14:paraId="2390B0E8" w14:textId="77777777" w:rsidR="00352DE2" w:rsidRPr="0090219F" w:rsidRDefault="00015CE8" w:rsidP="00592939">
      <w:pPr>
        <w:pStyle w:val="Bodytext-quote2"/>
      </w:pPr>
      <w:r w:rsidRPr="0090219F">
        <w:t>"I lost my eye, nose, left maxillary bone along with teeth – 3 years 11 months and 22 days it took me to get a prosthetic. It may not be perfect, but it gives me back a bit of self-respect and dignity."</w:t>
      </w:r>
    </w:p>
    <w:p w14:paraId="2617C3D6" w14:textId="00DF7D44" w:rsidR="004B702C" w:rsidRPr="0090219F" w:rsidRDefault="00015CE8" w:rsidP="00E71108">
      <w:pPr>
        <w:pStyle w:val="Bodytextquote2strong"/>
      </w:pPr>
      <w:r w:rsidRPr="00352DE2">
        <w:t xml:space="preserve">- </w:t>
      </w:r>
      <w:r w:rsidRPr="0090219F">
        <w:t>Person with lived experience of cancer</w:t>
      </w:r>
    </w:p>
    <w:p w14:paraId="5C419803" w14:textId="0506B841" w:rsidR="00907BD1" w:rsidRPr="0040690B" w:rsidRDefault="00D92AA2" w:rsidP="0040690B">
      <w:r w:rsidRPr="00D92AA2">
        <w:t xml:space="preserve">Limb prosthesis users reported that NDIS approval processes can </w:t>
      </w:r>
      <w:r w:rsidR="00164136">
        <w:t>be lengthy</w:t>
      </w:r>
      <w:r w:rsidRPr="00D92AA2">
        <w:t xml:space="preserve">, creating periods of discomfort or </w:t>
      </w:r>
      <w:r w:rsidRPr="0040690B">
        <w:t>reduced function while waiting.</w:t>
      </w:r>
      <w:r w:rsidR="00041B24" w:rsidRPr="0040690B">
        <w:t xml:space="preserve"> </w:t>
      </w:r>
      <w:r w:rsidR="00B02649" w:rsidRPr="0040690B">
        <w:t>The need for extensive documentation, functional assessments and multiple specialist appointments can reportedly add months to the process, with unclear eligibility criteria and</w:t>
      </w:r>
      <w:r w:rsidR="005A446F" w:rsidRPr="0040690B">
        <w:t xml:space="preserve"> guidelines regarding</w:t>
      </w:r>
      <w:r w:rsidR="00B02649" w:rsidRPr="0040690B">
        <w:t xml:space="preserve"> </w:t>
      </w:r>
      <w:r w:rsidR="00B04963" w:rsidRPr="0040690B">
        <w:t xml:space="preserve">documentation requirements </w:t>
      </w:r>
      <w:r w:rsidR="00B02649" w:rsidRPr="0040690B">
        <w:t>all contribut</w:t>
      </w:r>
      <w:r w:rsidR="00B04963" w:rsidRPr="0040690B">
        <w:t>ing</w:t>
      </w:r>
      <w:r w:rsidR="00B02649" w:rsidRPr="0040690B">
        <w:t xml:space="preserve"> to delays and uncertainty for </w:t>
      </w:r>
      <w:r w:rsidR="00631892" w:rsidRPr="0040690B">
        <w:t>people</w:t>
      </w:r>
      <w:r w:rsidR="00B04963" w:rsidRPr="0040690B">
        <w:t xml:space="preserve">. </w:t>
      </w:r>
      <w:r w:rsidR="00BA2E8A" w:rsidRPr="0040690B">
        <w:t xml:space="preserve">Several stakeholders </w:t>
      </w:r>
      <w:r w:rsidR="00164136" w:rsidRPr="0040690B">
        <w:t>reported</w:t>
      </w:r>
      <w:r w:rsidR="00BA2E8A" w:rsidRPr="0040690B">
        <w:t xml:space="preserve"> that there can often be</w:t>
      </w:r>
      <w:r w:rsidR="00164136" w:rsidRPr="0040690B">
        <w:t xml:space="preserve"> significant </w:t>
      </w:r>
      <w:r w:rsidR="00BA2E8A" w:rsidRPr="0040690B">
        <w:t xml:space="preserve">delays between receiving a temporary (interim) limb prosthesis and a permanent (definitive) </w:t>
      </w:r>
      <w:r w:rsidR="00B04963" w:rsidRPr="0040690B">
        <w:t>limb</w:t>
      </w:r>
      <w:r w:rsidR="00BA2E8A" w:rsidRPr="0040690B">
        <w:t xml:space="preserve">. </w:t>
      </w:r>
      <w:r w:rsidR="000430EA" w:rsidRPr="0040690B">
        <w:t>It was reported that i</w:t>
      </w:r>
      <w:r w:rsidR="00BA2E8A" w:rsidRPr="0040690B">
        <w:t>nterim prostheses</w:t>
      </w:r>
      <w:r w:rsidR="00C7149A" w:rsidRPr="0040690B">
        <w:t>, which are designed to be used for up to two months,</w:t>
      </w:r>
      <w:r w:rsidR="000430EA" w:rsidRPr="0040690B">
        <w:t xml:space="preserve"> </w:t>
      </w:r>
      <w:r w:rsidR="00BA2E8A" w:rsidRPr="0040690B">
        <w:t xml:space="preserve">are sometimes used </w:t>
      </w:r>
      <w:r w:rsidR="006373D6" w:rsidRPr="0040690B">
        <w:t xml:space="preserve">for up to twelve months due </w:t>
      </w:r>
      <w:r w:rsidR="00BA2E8A" w:rsidRPr="0040690B">
        <w:t>to funding or approval delays</w:t>
      </w:r>
      <w:r w:rsidR="00B04963" w:rsidRPr="0040690B">
        <w:t>.</w:t>
      </w:r>
      <w:r w:rsidR="00907BD1" w:rsidRPr="0040690B">
        <w:t xml:space="preserve"> </w:t>
      </w:r>
    </w:p>
    <w:p w14:paraId="227A8426" w14:textId="2F7165BD" w:rsidR="00D92AA2" w:rsidRPr="0040690B" w:rsidRDefault="00907BD1" w:rsidP="0040690B">
      <w:r w:rsidRPr="0040690B">
        <w:t xml:space="preserve">Additionally, </w:t>
      </w:r>
      <w:r w:rsidR="00E5342C" w:rsidRPr="0040690B">
        <w:t>there can also be significant delays</w:t>
      </w:r>
      <w:r w:rsidR="005A446F" w:rsidRPr="0040690B">
        <w:t xml:space="preserve"> experienced</w:t>
      </w:r>
      <w:r w:rsidR="00E5342C" w:rsidRPr="0040690B">
        <w:t xml:space="preserve"> in receiving replacement prostheses or componentry</w:t>
      </w:r>
      <w:r w:rsidR="007A664F" w:rsidRPr="0040690B">
        <w:t>, such as with socket refits or upgrades,</w:t>
      </w:r>
      <w:r w:rsidR="00BE47E4" w:rsidRPr="0040690B">
        <w:t xml:space="preserve"> due to NDIS administrative and approval</w:t>
      </w:r>
      <w:r w:rsidR="00EA705B" w:rsidRPr="0040690B">
        <w:t xml:space="preserve"> wait times</w:t>
      </w:r>
      <w:r w:rsidR="00BE47E4" w:rsidRPr="0040690B">
        <w:t xml:space="preserve">. </w:t>
      </w:r>
      <w:r w:rsidRPr="0040690B">
        <w:t xml:space="preserve">One </w:t>
      </w:r>
      <w:r w:rsidR="00021B82" w:rsidRPr="0040690B">
        <w:t>individual</w:t>
      </w:r>
      <w:r w:rsidRPr="0040690B">
        <w:t xml:space="preserve"> reported that approval for a new prosthetic limb socket through the NDIS approximately six months, during which time they experienced significant pain and pressure sores. </w:t>
      </w:r>
    </w:p>
    <w:p w14:paraId="00DFE9AC" w14:textId="0FA81E50" w:rsidR="00326854" w:rsidRPr="0040690B" w:rsidRDefault="00326854" w:rsidP="0040690B">
      <w:r w:rsidRPr="0040690B">
        <w:t xml:space="preserve">In contrast to the delays experienced in accessing facial and limb prostheses, </w:t>
      </w:r>
      <w:r w:rsidR="00021B82" w:rsidRPr="0040690B">
        <w:t>people</w:t>
      </w:r>
      <w:r w:rsidRPr="0040690B">
        <w:t xml:space="preserve"> requiring </w:t>
      </w:r>
      <w:r w:rsidR="006B3D7B" w:rsidRPr="0040690B">
        <w:t>an e</w:t>
      </w:r>
      <w:r w:rsidR="00BE06D3" w:rsidRPr="0040690B">
        <w:t>x</w:t>
      </w:r>
      <w:r w:rsidR="006B3D7B" w:rsidRPr="0040690B">
        <w:t>ternal</w:t>
      </w:r>
      <w:r w:rsidRPr="0040690B">
        <w:t xml:space="preserve"> breast</w:t>
      </w:r>
      <w:r w:rsidR="006B3D7B" w:rsidRPr="0040690B">
        <w:t xml:space="preserve"> prosthesis</w:t>
      </w:r>
      <w:r w:rsidRPr="0040690B">
        <w:t xml:space="preserve"> are less likely to be affected by long wait times. A breast cancer nurse note</w:t>
      </w:r>
      <w:r w:rsidR="006B3D7B" w:rsidRPr="0040690B">
        <w:t>d</w:t>
      </w:r>
      <w:r w:rsidRPr="0040690B">
        <w:t xml:space="preserve"> that </w:t>
      </w:r>
      <w:r w:rsidR="006B3D7B" w:rsidRPr="0040690B">
        <w:t>those</w:t>
      </w:r>
      <w:r w:rsidRPr="0040690B">
        <w:t xml:space="preserve"> who </w:t>
      </w:r>
      <w:proofErr w:type="gramStart"/>
      <w:r w:rsidRPr="0040690B">
        <w:t>are able to</w:t>
      </w:r>
      <w:proofErr w:type="gramEnd"/>
      <w:r w:rsidRPr="0040690B">
        <w:t xml:space="preserve"> afford the $400 price tag upfront </w:t>
      </w:r>
      <w:r w:rsidR="006B3D7B" w:rsidRPr="0040690B">
        <w:t>a</w:t>
      </w:r>
      <w:r w:rsidRPr="0040690B">
        <w:t>re</w:t>
      </w:r>
      <w:r w:rsidR="006B3D7B" w:rsidRPr="0040690B">
        <w:t xml:space="preserve"> typically</w:t>
      </w:r>
      <w:r w:rsidRPr="0040690B">
        <w:t xml:space="preserve"> able to </w:t>
      </w:r>
      <w:r w:rsidR="006B3D7B" w:rsidRPr="0040690B">
        <w:t>receive</w:t>
      </w:r>
      <w:r w:rsidRPr="0040690B">
        <w:t xml:space="preserve"> </w:t>
      </w:r>
      <w:r w:rsidR="006B3D7B" w:rsidRPr="0040690B">
        <w:t>a</w:t>
      </w:r>
      <w:r w:rsidRPr="0040690B">
        <w:t xml:space="preserve"> prosthesis immediately. </w:t>
      </w:r>
    </w:p>
    <w:p w14:paraId="4D5C05C2" w14:textId="7ECC64AE" w:rsidR="003B2C44" w:rsidRPr="0040690B" w:rsidRDefault="003B2C44" w:rsidP="0040690B">
      <w:r w:rsidRPr="0040690B">
        <w:t xml:space="preserve">In the survey distributed to people living with or with lived experience of cancer and their </w:t>
      </w:r>
      <w:proofErr w:type="spellStart"/>
      <w:r w:rsidRPr="0040690B">
        <w:t>carers</w:t>
      </w:r>
      <w:proofErr w:type="spellEnd"/>
      <w:r w:rsidRPr="0040690B">
        <w:t xml:space="preserve">, </w:t>
      </w:r>
      <w:r w:rsidR="00923453" w:rsidRPr="0040690B">
        <w:t xml:space="preserve">approximately </w:t>
      </w:r>
      <w:r w:rsidRPr="0040690B">
        <w:t>half of all respondents (</w:t>
      </w:r>
      <w:r w:rsidR="00923453" w:rsidRPr="0040690B">
        <w:t>32</w:t>
      </w:r>
      <w:r w:rsidRPr="0040690B">
        <w:t xml:space="preserve"> out of 61 </w:t>
      </w:r>
      <w:r w:rsidR="00EE1328" w:rsidRPr="0040690B">
        <w:t xml:space="preserve">respondents </w:t>
      </w:r>
      <w:r w:rsidRPr="0040690B">
        <w:t xml:space="preserve">or </w:t>
      </w:r>
      <w:r w:rsidR="00923453" w:rsidRPr="0040690B">
        <w:t>52</w:t>
      </w:r>
      <w:r w:rsidRPr="0040690B">
        <w:t xml:space="preserve"> per cent) strongly or somewhat agreed that </w:t>
      </w:r>
      <w:r w:rsidR="007C6590" w:rsidRPr="0040690B">
        <w:t xml:space="preserve">there was a long wait time to receive access to a prosthesis. </w:t>
      </w:r>
      <w:r w:rsidR="00EE1328" w:rsidRPr="0040690B">
        <w:t>There were some differences noted</w:t>
      </w:r>
      <w:r w:rsidR="003F2F6D" w:rsidRPr="0040690B">
        <w:t xml:space="preserve"> in the survey responses to this question</w:t>
      </w:r>
      <w:r w:rsidR="00EE1328" w:rsidRPr="0040690B">
        <w:t xml:space="preserve"> b</w:t>
      </w:r>
      <w:r w:rsidR="003F2F6D" w:rsidRPr="0040690B">
        <w:t>y</w:t>
      </w:r>
      <w:r w:rsidR="00EE1328" w:rsidRPr="0040690B">
        <w:t xml:space="preserve"> </w:t>
      </w:r>
      <w:r w:rsidR="00242E79" w:rsidRPr="0040690B">
        <w:t>prosthes</w:t>
      </w:r>
      <w:r w:rsidR="003F2F6D" w:rsidRPr="0040690B">
        <w:t>is</w:t>
      </w:r>
      <w:r w:rsidR="00242E79" w:rsidRPr="0040690B">
        <w:t xml:space="preserve"> type and location. For example, the</w:t>
      </w:r>
      <w:r w:rsidR="00C3075E" w:rsidRPr="0040690B">
        <w:t xml:space="preserve"> </w:t>
      </w:r>
      <w:r w:rsidR="003F2F6D" w:rsidRPr="0040690B">
        <w:t xml:space="preserve">70 per cent of </w:t>
      </w:r>
      <w:r w:rsidR="00C3075E" w:rsidRPr="0040690B">
        <w:t>respondents requiring a facial prosthesis who strongly or somewhat agreed</w:t>
      </w:r>
      <w:r w:rsidR="00EE1328" w:rsidRPr="0040690B">
        <w:t xml:space="preserve"> that there was a long wait time</w:t>
      </w:r>
      <w:r w:rsidR="00EF5F5C" w:rsidRPr="0040690B">
        <w:t>, while</w:t>
      </w:r>
      <w:r w:rsidR="00997F86" w:rsidRPr="0040690B">
        <w:t xml:space="preserve"> 75 per</w:t>
      </w:r>
      <w:r w:rsidR="00EF5F5C" w:rsidRPr="0040690B">
        <w:t xml:space="preserve"> </w:t>
      </w:r>
      <w:r w:rsidR="00997F86" w:rsidRPr="0040690B">
        <w:t>cent of respondents from South Australia strongly or somewhat agreed</w:t>
      </w:r>
      <w:r w:rsidR="000E00A2" w:rsidRPr="0040690B">
        <w:t xml:space="preserve"> that there was a long wait time</w:t>
      </w:r>
      <w:r w:rsidR="00104A95" w:rsidRPr="0040690B">
        <w:t xml:space="preserve">, compared to 56 per cent in New South Wales, 50 per cent in Queensland and </w:t>
      </w:r>
      <w:r w:rsidR="003F2F6D" w:rsidRPr="0040690B">
        <w:t xml:space="preserve">33 per cent in Victoria. </w:t>
      </w:r>
    </w:p>
    <w:p w14:paraId="6F5F251B" w14:textId="77777777" w:rsidR="00C152A2" w:rsidRPr="0040690B" w:rsidRDefault="00C152A2" w:rsidP="0040690B">
      <w:r w:rsidRPr="0040690B">
        <w:br w:type="page"/>
      </w:r>
    </w:p>
    <w:p w14:paraId="004FCBFF" w14:textId="2600E9D3" w:rsidR="0006500D" w:rsidRPr="0006500D" w:rsidRDefault="0006500D" w:rsidP="00592939">
      <w:pPr>
        <w:pStyle w:val="Bodytext-quote2"/>
      </w:pPr>
      <w:r>
        <w:t xml:space="preserve">70% </w:t>
      </w:r>
      <w:r w:rsidRPr="0006500D">
        <w:t xml:space="preserve">of survey respondents requiring a facial prosthesis agreed that there was a long wait time to receive access to a prosthesis </w:t>
      </w:r>
    </w:p>
    <w:p w14:paraId="0D469A60" w14:textId="57E2697D" w:rsidR="0006500D" w:rsidRPr="00677ED1" w:rsidRDefault="0006500D" w:rsidP="00E71108">
      <w:pPr>
        <w:pStyle w:val="Bodytextquote2strong"/>
      </w:pPr>
      <w:r w:rsidRPr="00677ED1">
        <w:t xml:space="preserve">- </w:t>
      </w:r>
      <w:r w:rsidR="00120620">
        <w:t>S</w:t>
      </w:r>
      <w:r w:rsidRPr="00677ED1">
        <w:t>urvey of people living with or with lived experience of cancer and their carers</w:t>
      </w:r>
    </w:p>
    <w:p w14:paraId="798F6EBA" w14:textId="736C4D9A" w:rsidR="00ED1057" w:rsidRDefault="00ED1057" w:rsidP="0006500D">
      <w:pPr>
        <w:pStyle w:val="Heading4"/>
        <w:rPr>
          <w:b w:val="0"/>
          <w:iCs w:val="0"/>
          <w:color w:val="1E49E2" w:themeColor="accent1"/>
        </w:rPr>
      </w:pPr>
      <w:r w:rsidRPr="00ED1057">
        <w:t xml:space="preserve">Limited culturally safe and accessible prostheses services </w:t>
      </w:r>
    </w:p>
    <w:p w14:paraId="61BA97EC" w14:textId="32F10CF6" w:rsidR="004C1DC8" w:rsidRPr="0040690B" w:rsidRDefault="00A524EE" w:rsidP="0040690B">
      <w:r w:rsidRPr="0040690B">
        <w:t xml:space="preserve">Stakeholders </w:t>
      </w:r>
      <w:r w:rsidR="00F05A12" w:rsidRPr="0040690B">
        <w:t>highlighted that in addition to a lack of prostheses services in general, there are limit</w:t>
      </w:r>
      <w:r w:rsidR="004C1DC8" w:rsidRPr="0040690B">
        <w:t xml:space="preserve">ations in the cultural safety and accessibility of prostheses services for some communities. </w:t>
      </w:r>
    </w:p>
    <w:p w14:paraId="3ED6C291" w14:textId="7B655AFF" w:rsidR="000B1F51" w:rsidRPr="0040690B" w:rsidRDefault="00072696" w:rsidP="0040690B">
      <w:r w:rsidRPr="0040690B">
        <w:t xml:space="preserve">It is well established that Aboriginal and Torres Strait Islander people face significant barriers </w:t>
      </w:r>
      <w:r w:rsidR="00FE6387" w:rsidRPr="0040690B">
        <w:t>in</w:t>
      </w:r>
      <w:r w:rsidRPr="0040690B">
        <w:t xml:space="preserve"> accessing health</w:t>
      </w:r>
      <w:r w:rsidR="00FE6387" w:rsidRPr="0040690B">
        <w:t xml:space="preserve"> services</w:t>
      </w:r>
      <w:r w:rsidRPr="0040690B">
        <w:t xml:space="preserve">. These challenges </w:t>
      </w:r>
      <w:r w:rsidR="001A26BE" w:rsidRPr="0040690B">
        <w:t>were reported to be</w:t>
      </w:r>
      <w:r w:rsidRPr="0040690B">
        <w:t xml:space="preserve"> even more pronounced when </w:t>
      </w:r>
      <w:r w:rsidR="00BF4B18" w:rsidRPr="0040690B">
        <w:t xml:space="preserve">considering </w:t>
      </w:r>
      <w:r w:rsidR="001A26BE" w:rsidRPr="0040690B">
        <w:t xml:space="preserve">cancer care and </w:t>
      </w:r>
      <w:r w:rsidRPr="0040690B">
        <w:t>prostheses services, which rely on a limited and specialised workforce</w:t>
      </w:r>
      <w:r w:rsidR="00BF4B18" w:rsidRPr="0040690B">
        <w:t xml:space="preserve"> with limited services available outside of metropolitan areas</w:t>
      </w:r>
      <w:r w:rsidRPr="0040690B">
        <w:t xml:space="preserve">. </w:t>
      </w:r>
      <w:r w:rsidR="00BF4B18" w:rsidRPr="0040690B">
        <w:t xml:space="preserve">It was identified that a </w:t>
      </w:r>
      <w:r w:rsidR="00A738FE" w:rsidRPr="0040690B">
        <w:t xml:space="preserve">limited </w:t>
      </w:r>
      <w:r w:rsidR="00BF4B18" w:rsidRPr="0040690B">
        <w:t xml:space="preserve">Aboriginal and Torres Strait Islander workforce </w:t>
      </w:r>
      <w:r w:rsidR="00A738FE" w:rsidRPr="0040690B">
        <w:t xml:space="preserve">in cancer care and prostheses </w:t>
      </w:r>
      <w:r w:rsidR="00BF4B18" w:rsidRPr="0040690B">
        <w:t xml:space="preserve">decreases </w:t>
      </w:r>
      <w:r w:rsidR="0048146A" w:rsidRPr="0040690B">
        <w:t xml:space="preserve">the </w:t>
      </w:r>
      <w:r w:rsidR="00BF4B18" w:rsidRPr="0040690B">
        <w:t xml:space="preserve">likelihood of uptake of services. There are also specific considerations in cancer prostheses care </w:t>
      </w:r>
      <w:r w:rsidR="0048146A" w:rsidRPr="0040690B">
        <w:t>that may impact access</w:t>
      </w:r>
      <w:r w:rsidR="00BF4B18" w:rsidRPr="0040690B">
        <w:t>, such as breast prostheses being seen as “women’s business</w:t>
      </w:r>
      <w:r w:rsidR="0048146A" w:rsidRPr="0040690B">
        <w:t>”</w:t>
      </w:r>
      <w:r w:rsidR="000B1F51" w:rsidRPr="0040690B">
        <w:t xml:space="preserve"> only and an overall stigma around using prostheses. </w:t>
      </w:r>
    </w:p>
    <w:p w14:paraId="1D338AA3" w14:textId="70C1E312" w:rsidR="00414002" w:rsidRPr="0040690B" w:rsidRDefault="004C1DC8" w:rsidP="0040690B">
      <w:r w:rsidRPr="0040690B">
        <w:t xml:space="preserve">It was also highlighted </w:t>
      </w:r>
      <w:r w:rsidR="007A664F" w:rsidRPr="0040690B">
        <w:t>that some prostheses, for example,</w:t>
      </w:r>
      <w:r w:rsidR="00682217" w:rsidRPr="0040690B">
        <w:t xml:space="preserve"> external breast prostheses,</w:t>
      </w:r>
      <w:r w:rsidR="00A02E8C" w:rsidRPr="0040690B">
        <w:t xml:space="preserve"> may not be readily available in a range of shades to suit different skin tones. This can be a significant barrier to access and may contribute to stigma around using prostheses. </w:t>
      </w:r>
    </w:p>
    <w:p w14:paraId="6ECD8367" w14:textId="611C7EA6" w:rsidR="00A02E8C" w:rsidRPr="0040690B" w:rsidRDefault="00A02E8C" w:rsidP="0040690B">
      <w:r w:rsidRPr="0040690B">
        <w:t xml:space="preserve">Stakeholders described that enablers for these </w:t>
      </w:r>
      <w:r w:rsidR="00FD7D6D" w:rsidRPr="0040690B">
        <w:t>individual</w:t>
      </w:r>
      <w:r w:rsidRPr="0040690B">
        <w:t xml:space="preserve">s to seek care could include having outreach services available on country, consideration of the role of Aboriginal and Torres Strait Islander Health Practitioners and Workers in the delivery of prostheses services, and access to social and emotional wellbeing supports for both the </w:t>
      </w:r>
      <w:r w:rsidR="00FD7D6D" w:rsidRPr="0040690B">
        <w:t>individual</w:t>
      </w:r>
      <w:r w:rsidRPr="0040690B">
        <w:t xml:space="preserve"> and their communities to reduce stigma around prostheses. </w:t>
      </w:r>
    </w:p>
    <w:p w14:paraId="5152C146" w14:textId="7B30E46F" w:rsidR="00A02E8C" w:rsidRPr="0040690B" w:rsidRDefault="00A02E8C" w:rsidP="0040690B">
      <w:r w:rsidRPr="0040690B">
        <w:t>For</w:t>
      </w:r>
      <w:r w:rsidR="004D2924" w:rsidRPr="0040690B">
        <w:t xml:space="preserve"> CALD communities, a lack of awareness around available prostheses services and schemes is a significant barrier to access, as described previously. </w:t>
      </w:r>
      <w:r w:rsidR="004857C6" w:rsidRPr="0040690B">
        <w:t xml:space="preserve">It was highlighted that </w:t>
      </w:r>
      <w:r w:rsidR="00CF1509" w:rsidRPr="0040690B">
        <w:t xml:space="preserve">the availability of </w:t>
      </w:r>
      <w:r w:rsidR="004857C6" w:rsidRPr="0040690B">
        <w:t xml:space="preserve">translation services and information </w:t>
      </w:r>
      <w:r w:rsidR="00CF1509" w:rsidRPr="0040690B">
        <w:t xml:space="preserve">only being </w:t>
      </w:r>
      <w:r w:rsidR="004857C6" w:rsidRPr="0040690B">
        <w:t xml:space="preserve">available </w:t>
      </w:r>
      <w:r w:rsidR="00CF1509" w:rsidRPr="0040690B">
        <w:t xml:space="preserve">in </w:t>
      </w:r>
      <w:r w:rsidR="004857C6" w:rsidRPr="0040690B">
        <w:t xml:space="preserve">English </w:t>
      </w:r>
      <w:r w:rsidR="00CF1509" w:rsidRPr="0040690B">
        <w:t xml:space="preserve">were additional barriers to access for these communities. </w:t>
      </w:r>
    </w:p>
    <w:p w14:paraId="7082F46C" w14:textId="66EF4CDE" w:rsidR="001732F9" w:rsidRDefault="001732F9" w:rsidP="001732F9">
      <w:pPr>
        <w:pStyle w:val="Heading3"/>
      </w:pPr>
      <w:bookmarkStart w:id="119" w:name="_Ref201759700"/>
      <w:r w:rsidRPr="001732F9">
        <w:t>Workforce issues</w:t>
      </w:r>
      <w:bookmarkEnd w:id="119"/>
    </w:p>
    <w:p w14:paraId="692461CC" w14:textId="6A2906BD" w:rsidR="003F2539" w:rsidRPr="0040690B" w:rsidRDefault="001D275B" w:rsidP="0040690B">
      <w:r w:rsidRPr="0040690B">
        <w:t xml:space="preserve">There were several challenges identified </w:t>
      </w:r>
      <w:r w:rsidR="00282C95" w:rsidRPr="0040690B">
        <w:t xml:space="preserve">through this review </w:t>
      </w:r>
      <w:r w:rsidRPr="0040690B">
        <w:t xml:space="preserve">related to the </w:t>
      </w:r>
      <w:r w:rsidR="00186B50" w:rsidRPr="0040690B">
        <w:t xml:space="preserve">prostheses workforce that </w:t>
      </w:r>
      <w:r w:rsidR="00282C95" w:rsidRPr="0040690B">
        <w:t xml:space="preserve">reportedly </w:t>
      </w:r>
      <w:r w:rsidR="00186B50" w:rsidRPr="0040690B">
        <w:t xml:space="preserve">contribute to barriers to access </w:t>
      </w:r>
      <w:r w:rsidR="003F2539" w:rsidRPr="0040690B">
        <w:t xml:space="preserve">for people living with or who have lived experience of cancer. These issues included: </w:t>
      </w:r>
    </w:p>
    <w:p w14:paraId="1421C4B4" w14:textId="187F9B87" w:rsidR="00186B50" w:rsidRPr="00186B50" w:rsidRDefault="00E66382" w:rsidP="0060046D">
      <w:pPr>
        <w:pStyle w:val="Bullet1stlevel"/>
      </w:pPr>
      <w:r w:rsidRPr="00186B50">
        <w:t>Shortage of skilled</w:t>
      </w:r>
      <w:r>
        <w:t xml:space="preserve"> </w:t>
      </w:r>
      <w:r w:rsidR="003233E1">
        <w:t>facial</w:t>
      </w:r>
      <w:r w:rsidR="00186B50" w:rsidRPr="00186B50">
        <w:t xml:space="preserve"> prosthe</w:t>
      </w:r>
      <w:r w:rsidR="003233E1">
        <w:t>sis</w:t>
      </w:r>
      <w:r w:rsidR="00186B50" w:rsidRPr="00186B50">
        <w:t xml:space="preserve"> providers </w:t>
      </w:r>
    </w:p>
    <w:p w14:paraId="6E83E12A" w14:textId="77777777" w:rsidR="00186B50" w:rsidRPr="00186B50" w:rsidRDefault="00186B50" w:rsidP="0060046D">
      <w:pPr>
        <w:pStyle w:val="Bullet1stlevel"/>
      </w:pPr>
      <w:r w:rsidRPr="00186B50">
        <w:t>Lack of clear or formal education and qualification pathways for providers of facial prostheses</w:t>
      </w:r>
    </w:p>
    <w:p w14:paraId="57315B1F" w14:textId="77777777" w:rsidR="00186B50" w:rsidRDefault="00186B50" w:rsidP="0060046D">
      <w:pPr>
        <w:pStyle w:val="Bullet1stlevel"/>
      </w:pPr>
      <w:r w:rsidRPr="00186B50">
        <w:t>Lack of regulation and accreditation standards, particularly for providers of facial prostheses.</w:t>
      </w:r>
    </w:p>
    <w:p w14:paraId="70D69505" w14:textId="1F6E51BB" w:rsidR="00E66382" w:rsidRPr="00032D3D" w:rsidRDefault="00E66382" w:rsidP="00FD54A5">
      <w:pPr>
        <w:pStyle w:val="Heading4"/>
      </w:pPr>
      <w:r w:rsidRPr="00E66382">
        <w:t xml:space="preserve">Shortage of skilled </w:t>
      </w:r>
      <w:r w:rsidR="003233E1">
        <w:t xml:space="preserve">facial </w:t>
      </w:r>
      <w:r w:rsidRPr="00E66382">
        <w:t>prosthe</w:t>
      </w:r>
      <w:r w:rsidR="003233E1">
        <w:t>sis</w:t>
      </w:r>
      <w:r w:rsidRPr="00E66382">
        <w:t xml:space="preserve"> providers </w:t>
      </w:r>
    </w:p>
    <w:p w14:paraId="46726C6D" w14:textId="592B97D2" w:rsidR="00E66382" w:rsidRPr="0040690B" w:rsidRDefault="00C91FB8" w:rsidP="0040690B">
      <w:r w:rsidRPr="0040690B">
        <w:t>While a</w:t>
      </w:r>
      <w:r w:rsidR="00021B82" w:rsidRPr="0040690B">
        <w:t>n</w:t>
      </w:r>
      <w:r w:rsidRPr="0040690B">
        <w:t xml:space="preserve"> </w:t>
      </w:r>
      <w:r w:rsidR="00021B82" w:rsidRPr="0040690B">
        <w:t>individual</w:t>
      </w:r>
      <w:r w:rsidRPr="0040690B">
        <w:t xml:space="preserve"> requiring a cancer prosthesis may be under the care of a multidisciplinary team (e.g., oncologists, surgeons, speech pathologists, physiotherapists etc.), this section mainly considers the workforce in</w:t>
      </w:r>
      <w:r w:rsidR="0060126B" w:rsidRPr="0040690B">
        <w:t xml:space="preserve">volved in prescribing, </w:t>
      </w:r>
      <w:r w:rsidRPr="0040690B">
        <w:t>manufactur</w:t>
      </w:r>
      <w:r w:rsidR="0060126B" w:rsidRPr="0040690B">
        <w:t>ing, fitting</w:t>
      </w:r>
      <w:r w:rsidRPr="0040690B">
        <w:t xml:space="preserve"> and maint</w:t>
      </w:r>
      <w:r w:rsidR="0060126B" w:rsidRPr="0040690B">
        <w:t>aining</w:t>
      </w:r>
      <w:r w:rsidRPr="0040690B">
        <w:t xml:space="preserve"> prostheses. This</w:t>
      </w:r>
      <w:r w:rsidR="0060126B" w:rsidRPr="0040690B">
        <w:t xml:space="preserve"> includes </w:t>
      </w:r>
      <w:r w:rsidR="00BE1820" w:rsidRPr="0040690B">
        <w:t>maxillofacial</w:t>
      </w:r>
      <w:r w:rsidR="0060126B" w:rsidRPr="0040690B">
        <w:t xml:space="preserve"> prosthetists, anaplastologists</w:t>
      </w:r>
      <w:r w:rsidR="00BE1820" w:rsidRPr="0040690B">
        <w:t xml:space="preserve"> and </w:t>
      </w:r>
      <w:r w:rsidR="005A0925" w:rsidRPr="0040690B">
        <w:t>ocularists</w:t>
      </w:r>
      <w:r w:rsidRPr="0040690B">
        <w:t>.</w:t>
      </w:r>
    </w:p>
    <w:p w14:paraId="6F08E43A" w14:textId="70C4E0FE" w:rsidR="0082521F" w:rsidRPr="0040690B" w:rsidRDefault="005A0925" w:rsidP="0040690B">
      <w:r w:rsidRPr="0040690B">
        <w:t xml:space="preserve">Stakeholder sentiment revealed </w:t>
      </w:r>
      <w:r w:rsidR="00B60300" w:rsidRPr="0040690B">
        <w:t>a shortage of skilled prosthetic providers across Australia, particularly those involved in the prescription and manufacture</w:t>
      </w:r>
      <w:r w:rsidR="00985729" w:rsidRPr="0040690B">
        <w:t xml:space="preserve"> of facial prostheses. </w:t>
      </w:r>
      <w:r w:rsidR="001C5D03" w:rsidRPr="0040690B">
        <w:t xml:space="preserve">One clinician estimated that there are only twenty to thirty professionals (for all prostheses) across Australia, and that there are no facial prostheses professionals in some jurisdictions, including </w:t>
      </w:r>
      <w:r w:rsidR="00985729" w:rsidRPr="0040690B">
        <w:t xml:space="preserve">the </w:t>
      </w:r>
      <w:r w:rsidR="001C5D03" w:rsidRPr="0040690B">
        <w:t>ACT</w:t>
      </w:r>
      <w:r w:rsidR="00985729" w:rsidRPr="0040690B">
        <w:t>, South Australia and Tasmania</w:t>
      </w:r>
      <w:r w:rsidR="001C5D03" w:rsidRPr="0040690B">
        <w:t>. Another stakeholder described themselves as being the only facial prostheses professional servicing WA and some parts of the NT</w:t>
      </w:r>
      <w:r w:rsidR="005C3322" w:rsidRPr="0040690B">
        <w:t>. At the same time,</w:t>
      </w:r>
      <w:r w:rsidR="00985729" w:rsidRPr="0040690B">
        <w:t xml:space="preserve"> another noted they are the only anaplastologist currently working in New South Wales</w:t>
      </w:r>
      <w:r w:rsidR="001C5D03" w:rsidRPr="0040690B">
        <w:t xml:space="preserve">. </w:t>
      </w:r>
    </w:p>
    <w:p w14:paraId="065D205F" w14:textId="574903FE" w:rsidR="005E5E13" w:rsidRPr="0040690B" w:rsidRDefault="0082521F" w:rsidP="0040690B">
      <w:r w:rsidRPr="0040690B">
        <w:t xml:space="preserve">There is no official national registry or published workforce data specifying the exact number of facial prostheses providers currently </w:t>
      </w:r>
      <w:r w:rsidR="005C3322" w:rsidRPr="0040690B">
        <w:t>practising</w:t>
      </w:r>
      <w:r w:rsidRPr="0040690B">
        <w:t xml:space="preserve"> in Australia. </w:t>
      </w:r>
      <w:r w:rsidR="00493E64" w:rsidRPr="0040690B">
        <w:t xml:space="preserve">With such a small number of skilled professionals, </w:t>
      </w:r>
      <w:r w:rsidR="005C3322" w:rsidRPr="0040690B">
        <w:t>the workforce has limited capacity to meet the existing demand for facial prostheses, even though</w:t>
      </w:r>
      <w:r w:rsidR="001C5D03" w:rsidRPr="0040690B">
        <w:t xml:space="preserve"> </w:t>
      </w:r>
      <w:r w:rsidR="00D75CD5" w:rsidRPr="0040690B">
        <w:t>the number of people requiring facial prostheses</w:t>
      </w:r>
      <w:r w:rsidR="001C5D03" w:rsidRPr="0040690B">
        <w:t xml:space="preserve"> is relatively small </w:t>
      </w:r>
      <w:r w:rsidR="00D75CD5" w:rsidRPr="0040690B">
        <w:t xml:space="preserve">when considered as a proportion of the entire </w:t>
      </w:r>
      <w:r w:rsidR="001C5D03" w:rsidRPr="0040690B">
        <w:t>Australian population.</w:t>
      </w:r>
    </w:p>
    <w:p w14:paraId="3BCAB7A7" w14:textId="77777777" w:rsidR="00D0163F" w:rsidRPr="0040690B" w:rsidRDefault="00D0163F" w:rsidP="0040690B">
      <w:r w:rsidRPr="0040690B">
        <w:br w:type="page"/>
      </w:r>
    </w:p>
    <w:p w14:paraId="64144481" w14:textId="77777777" w:rsidR="0060046D" w:rsidRPr="00C86790" w:rsidRDefault="0060046D" w:rsidP="00592939">
      <w:pPr>
        <w:pStyle w:val="Bodytext-quote2"/>
      </w:pPr>
      <w:r w:rsidRPr="00C86790">
        <w:t>"</w:t>
      </w:r>
      <w:r w:rsidRPr="00CF5C87">
        <w:t>It's a rare job and there's not a lot of them around. There’s a need and demand for that career path and there's only like twenty or thirty in Australia.</w:t>
      </w:r>
      <w:r w:rsidRPr="00C86790">
        <w:t>"</w:t>
      </w:r>
    </w:p>
    <w:p w14:paraId="62153EBA" w14:textId="7894E805" w:rsidR="0060046D" w:rsidRDefault="0060046D" w:rsidP="00E71108">
      <w:pPr>
        <w:pStyle w:val="Bodytextquote2strong"/>
      </w:pPr>
      <w:r w:rsidRPr="0089298F">
        <w:t xml:space="preserve">- </w:t>
      </w:r>
      <w:r>
        <w:t>Clinician</w:t>
      </w:r>
    </w:p>
    <w:p w14:paraId="2EB66478" w14:textId="34764B8D" w:rsidR="00E66382" w:rsidRPr="00E66382" w:rsidRDefault="00E66382" w:rsidP="00FD54A5">
      <w:pPr>
        <w:pStyle w:val="Heading4"/>
      </w:pPr>
      <w:r w:rsidRPr="00E66382">
        <w:t>Lack of formal education and qualification pathway</w:t>
      </w:r>
      <w:r>
        <w:t>s</w:t>
      </w:r>
      <w:r w:rsidR="003233E1">
        <w:t xml:space="preserve"> for facial prosthesis providers</w:t>
      </w:r>
    </w:p>
    <w:p w14:paraId="3B5E8959" w14:textId="011EFA57" w:rsidR="004872B1" w:rsidRPr="0040690B" w:rsidRDefault="00C67404" w:rsidP="0040690B">
      <w:r w:rsidRPr="0040690B">
        <w:t>T</w:t>
      </w:r>
      <w:r w:rsidR="004872B1" w:rsidRPr="0040690B">
        <w:t xml:space="preserve">here are no formal </w:t>
      </w:r>
      <w:r w:rsidR="00C4394C" w:rsidRPr="0040690B">
        <w:t xml:space="preserve">education or </w:t>
      </w:r>
      <w:r w:rsidR="004872B1" w:rsidRPr="0040690B">
        <w:t xml:space="preserve">training pathways </w:t>
      </w:r>
      <w:r w:rsidRPr="0040690B">
        <w:t xml:space="preserve">for facial prostheses providers </w:t>
      </w:r>
      <w:r w:rsidR="004872B1" w:rsidRPr="0040690B">
        <w:t xml:space="preserve">in Australia. Instead, </w:t>
      </w:r>
      <w:r w:rsidR="00ED2CF8" w:rsidRPr="0040690B">
        <w:t xml:space="preserve">most Australian </w:t>
      </w:r>
      <w:r w:rsidR="00BE1820" w:rsidRPr="0040690B">
        <w:t xml:space="preserve">maxillofacial prosthetists, </w:t>
      </w:r>
      <w:r w:rsidR="00ED2CF8" w:rsidRPr="0040690B">
        <w:t>anaplastologists and ocularists have sought profession-specific postgraduate qualifications overseas, as there are no dedicated local training programs</w:t>
      </w:r>
      <w:r w:rsidR="004872B1" w:rsidRPr="0040690B">
        <w:t xml:space="preserve">. For example, one </w:t>
      </w:r>
      <w:r w:rsidR="00C4394C" w:rsidRPr="0040690B">
        <w:t xml:space="preserve">anaplastologist </w:t>
      </w:r>
      <w:r w:rsidR="004872B1" w:rsidRPr="0040690B">
        <w:t xml:space="preserve">described completing an international course </w:t>
      </w:r>
      <w:r w:rsidR="00ED2CF8" w:rsidRPr="0040690B">
        <w:t>at a</w:t>
      </w:r>
      <w:r w:rsidR="004872B1" w:rsidRPr="0040690B">
        <w:t xml:space="preserve"> cost</w:t>
      </w:r>
      <w:r w:rsidR="00ED2CF8" w:rsidRPr="0040690B">
        <w:t xml:space="preserve"> of $90,000, </w:t>
      </w:r>
      <w:r w:rsidR="004872B1" w:rsidRPr="0040690B">
        <w:t>add</w:t>
      </w:r>
      <w:r w:rsidR="00ED2CF8" w:rsidRPr="0040690B">
        <w:t>ing</w:t>
      </w:r>
      <w:r w:rsidR="004872B1" w:rsidRPr="0040690B">
        <w:t xml:space="preserve"> that </w:t>
      </w:r>
      <w:r w:rsidR="00C02550" w:rsidRPr="0040690B">
        <w:t xml:space="preserve">those </w:t>
      </w:r>
      <w:r w:rsidR="004872B1" w:rsidRPr="0040690B">
        <w:t xml:space="preserve">interested </w:t>
      </w:r>
      <w:r w:rsidR="00C02550" w:rsidRPr="0040690B">
        <w:t xml:space="preserve">in entering the profession </w:t>
      </w:r>
      <w:r w:rsidR="00ED2CF8" w:rsidRPr="0040690B">
        <w:t xml:space="preserve">face significant </w:t>
      </w:r>
      <w:r w:rsidR="00C02550" w:rsidRPr="0040690B">
        <w:t>barriers</w:t>
      </w:r>
      <w:r w:rsidR="002F138A" w:rsidRPr="0040690B">
        <w:t xml:space="preserve"> </w:t>
      </w:r>
      <w:r w:rsidR="00ED2CF8" w:rsidRPr="0040690B">
        <w:t xml:space="preserve">due to </w:t>
      </w:r>
      <w:r w:rsidR="00C42720" w:rsidRPr="0040690B">
        <w:t xml:space="preserve">the high costs of training </w:t>
      </w:r>
      <w:r w:rsidR="00ED2CF8" w:rsidRPr="0040690B">
        <w:t xml:space="preserve">and travel requirements. </w:t>
      </w:r>
    </w:p>
    <w:p w14:paraId="724774F0" w14:textId="77777777" w:rsidR="00A74F22" w:rsidRPr="0040690B" w:rsidRDefault="002F138A" w:rsidP="0040690B">
      <w:r>
        <w:t xml:space="preserve">It was </w:t>
      </w:r>
      <w:r w:rsidR="00E65827">
        <w:t xml:space="preserve">also </w:t>
      </w:r>
      <w:r>
        <w:t>reported that</w:t>
      </w:r>
      <w:r w:rsidR="004872B1" w:rsidRPr="004872B1">
        <w:t xml:space="preserve"> the </w:t>
      </w:r>
      <w:r>
        <w:t>facial prostheses</w:t>
      </w:r>
      <w:r w:rsidR="004872B1" w:rsidRPr="004872B1">
        <w:t xml:space="preserve"> workforce </w:t>
      </w:r>
      <w:r w:rsidR="00C42720">
        <w:t>faces</w:t>
      </w:r>
      <w:r w:rsidR="00C4616D">
        <w:t xml:space="preserve"> challenges in </w:t>
      </w:r>
      <w:r w:rsidR="004872B1" w:rsidRPr="004872B1">
        <w:t>gain</w:t>
      </w:r>
      <w:r w:rsidR="00C4616D">
        <w:t>ing</w:t>
      </w:r>
      <w:r w:rsidR="004872B1" w:rsidRPr="004872B1">
        <w:t xml:space="preserve"> pr</w:t>
      </w:r>
      <w:r w:rsidR="00C4616D">
        <w:t>ofessional</w:t>
      </w:r>
      <w:r w:rsidR="004872B1" w:rsidRPr="004872B1">
        <w:t xml:space="preserve"> experience and advanc</w:t>
      </w:r>
      <w:r w:rsidR="00C4616D">
        <w:t>ing</w:t>
      </w:r>
      <w:r w:rsidR="004872B1" w:rsidRPr="004872B1">
        <w:t xml:space="preserve"> their </w:t>
      </w:r>
      <w:r>
        <w:t>skills</w:t>
      </w:r>
      <w:r w:rsidR="00E65827">
        <w:t xml:space="preserve"> due to limited opportunities for traineeships or apprenticeships</w:t>
      </w:r>
      <w:r w:rsidR="00C02550">
        <w:t xml:space="preserve"> with existing providers</w:t>
      </w:r>
      <w:r w:rsidR="004872B1" w:rsidRPr="004872B1">
        <w:t xml:space="preserve">. This results in slower professional development and extended timeframes </w:t>
      </w:r>
      <w:r w:rsidR="00CD0BBF">
        <w:t>for</w:t>
      </w:r>
      <w:r w:rsidR="004872B1" w:rsidRPr="004872B1">
        <w:t xml:space="preserve"> </w:t>
      </w:r>
      <w:r w:rsidR="00F9025D">
        <w:t>building their skills</w:t>
      </w:r>
      <w:r w:rsidR="004872B1" w:rsidRPr="004872B1">
        <w:t xml:space="preserve"> compared to other fields. These factors can pose significant barriers to new entrants to the workforce, perpetuating the small number </w:t>
      </w:r>
      <w:r w:rsidR="004872B1" w:rsidRPr="0040690B">
        <w:t xml:space="preserve">of qualified professionals. </w:t>
      </w:r>
    </w:p>
    <w:p w14:paraId="34C7E9DC" w14:textId="1D3AC294" w:rsidR="004872B1" w:rsidRPr="0040690B" w:rsidRDefault="00687677" w:rsidP="0040690B">
      <w:r w:rsidRPr="0040690B">
        <w:t xml:space="preserve">Stakeholders highlighted that </w:t>
      </w:r>
      <w:r w:rsidR="00C42720" w:rsidRPr="0040690B">
        <w:t xml:space="preserve">the currently ageing workforce further threatens the sustainability of the facial </w:t>
      </w:r>
      <w:proofErr w:type="gramStart"/>
      <w:r w:rsidR="00C42720" w:rsidRPr="0040690B">
        <w:t>prostheses</w:t>
      </w:r>
      <w:proofErr w:type="gramEnd"/>
      <w:r w:rsidR="00C42720" w:rsidRPr="0040690B">
        <w:t xml:space="preserve"> workforce</w:t>
      </w:r>
      <w:r w:rsidRPr="0040690B">
        <w:t xml:space="preserve">, and </w:t>
      </w:r>
      <w:r w:rsidR="008D7B0D" w:rsidRPr="0040690B">
        <w:t xml:space="preserve">that </w:t>
      </w:r>
      <w:r w:rsidRPr="0040690B">
        <w:t>w</w:t>
      </w:r>
      <w:r w:rsidR="004872B1" w:rsidRPr="0040690B">
        <w:t xml:space="preserve">ithout adequate strategies </w:t>
      </w:r>
      <w:r w:rsidRPr="0040690B">
        <w:t>and succession planning</w:t>
      </w:r>
      <w:r w:rsidR="004872B1" w:rsidRPr="0040690B">
        <w:t xml:space="preserve">, this specialisation may soon face gaps in expertise and service continuity. </w:t>
      </w:r>
    </w:p>
    <w:p w14:paraId="1B3A92EC" w14:textId="5A82C199" w:rsidR="00F91B48" w:rsidRDefault="00F91B48" w:rsidP="00592939">
      <w:pPr>
        <w:pStyle w:val="Bodytext-quote2"/>
      </w:pPr>
      <w:r>
        <w:t>“</w:t>
      </w:r>
      <w:r w:rsidRPr="004D0588">
        <w:t>There are limited professional development opportunities in Australia, with no formal education</w:t>
      </w:r>
      <w:r>
        <w:t xml:space="preserve"> or</w:t>
      </w:r>
      <w:r w:rsidRPr="004D0588">
        <w:t xml:space="preserve"> training</w:t>
      </w:r>
      <w:r>
        <w:t>, a l</w:t>
      </w:r>
      <w:r w:rsidRPr="004D0588">
        <w:t>imited recruitment pool AND limited jobs available</w:t>
      </w:r>
      <w:r w:rsidR="00530CAF">
        <w:t>.</w:t>
      </w:r>
      <w:r>
        <w:t>”</w:t>
      </w:r>
    </w:p>
    <w:p w14:paraId="4935423A" w14:textId="31233822" w:rsidR="00F91B48" w:rsidRPr="004872B1" w:rsidRDefault="00F91B48" w:rsidP="00E71108">
      <w:pPr>
        <w:pStyle w:val="Bodytextquote2strong"/>
      </w:pPr>
      <w:r w:rsidRPr="004872B1">
        <w:t>- Clinician</w:t>
      </w:r>
    </w:p>
    <w:p w14:paraId="5E43B1EE" w14:textId="497703E6" w:rsidR="00E66382" w:rsidRDefault="00E66382" w:rsidP="00FD54A5">
      <w:pPr>
        <w:pStyle w:val="Heading4"/>
      </w:pPr>
      <w:r>
        <w:t>L</w:t>
      </w:r>
      <w:r w:rsidRPr="00E66382">
        <w:t>ack of regulation and accreditation standards</w:t>
      </w:r>
      <w:r w:rsidR="003233E1">
        <w:t xml:space="preserve"> for facial prosthesis providers</w:t>
      </w:r>
    </w:p>
    <w:p w14:paraId="77FD4EED" w14:textId="75993F47" w:rsidR="00CF4B40" w:rsidRPr="0040690B" w:rsidRDefault="00147AC7" w:rsidP="0040690B">
      <w:r w:rsidRPr="0040690B">
        <w:t>Along with</w:t>
      </w:r>
      <w:r w:rsidR="00E6558D" w:rsidRPr="0040690B">
        <w:t xml:space="preserve"> </w:t>
      </w:r>
      <w:r w:rsidR="00767542" w:rsidRPr="0040690B">
        <w:t xml:space="preserve">the absence of formal training or qualification pathways in Australia for providers specialising in facial prostheses, there </w:t>
      </w:r>
      <w:r w:rsidR="00767542" w:rsidRPr="0040690B" w:rsidDel="00CB2A56">
        <w:t xml:space="preserve">is </w:t>
      </w:r>
      <w:r w:rsidR="00767542" w:rsidRPr="0040690B">
        <w:t>also no established national registration</w:t>
      </w:r>
      <w:r w:rsidR="001A42C4" w:rsidRPr="0040690B">
        <w:t xml:space="preserve"> </w:t>
      </w:r>
      <w:r w:rsidR="0085074D" w:rsidRPr="0040690B">
        <w:t xml:space="preserve">or accreditation scheme in place </w:t>
      </w:r>
      <w:r w:rsidR="001A42C4" w:rsidRPr="0040690B">
        <w:t xml:space="preserve">for this </w:t>
      </w:r>
      <w:r w:rsidR="00FB29CD" w:rsidRPr="0040690B">
        <w:t xml:space="preserve">profession. </w:t>
      </w:r>
      <w:r w:rsidR="008D67DB" w:rsidRPr="0040690B">
        <w:t xml:space="preserve">While all </w:t>
      </w:r>
      <w:r w:rsidR="005133BF" w:rsidRPr="0040690B">
        <w:t>health professionals must comply with the National Code of Conduct for Health Care Workers</w:t>
      </w:r>
      <w:r w:rsidR="005133BF" w:rsidRPr="0040690B">
        <w:rPr>
          <w:vertAlign w:val="superscript"/>
        </w:rPr>
        <w:footnoteReference w:id="159"/>
      </w:r>
      <w:r w:rsidR="005133BF" w:rsidRPr="0040690B">
        <w:t xml:space="preserve"> s</w:t>
      </w:r>
      <w:r w:rsidR="00A4164C" w:rsidRPr="0040690B">
        <w:t xml:space="preserve">takeholders called for better </w:t>
      </w:r>
      <w:r w:rsidR="00E37F68" w:rsidRPr="0040690B">
        <w:t>regulation</w:t>
      </w:r>
      <w:r w:rsidR="00A4164C" w:rsidRPr="0040690B">
        <w:t xml:space="preserve"> and oversight </w:t>
      </w:r>
      <w:r w:rsidR="00E37F68" w:rsidRPr="0040690B">
        <w:t xml:space="preserve">of </w:t>
      </w:r>
      <w:r w:rsidR="00F66DF2" w:rsidRPr="0040690B">
        <w:t xml:space="preserve">facial prostheses providers </w:t>
      </w:r>
      <w:r w:rsidR="00A4164C" w:rsidRPr="0040690B">
        <w:t>to ensure</w:t>
      </w:r>
      <w:r w:rsidR="00F96F4C" w:rsidRPr="0040690B">
        <w:t xml:space="preserve"> that</w:t>
      </w:r>
      <w:r w:rsidR="00A4164C" w:rsidRPr="0040690B">
        <w:t xml:space="preserve"> all practitioners meet minimum competency standards</w:t>
      </w:r>
      <w:r w:rsidR="00CF4B40" w:rsidRPr="0040690B">
        <w:t xml:space="preserve">. </w:t>
      </w:r>
    </w:p>
    <w:p w14:paraId="0FC81195" w14:textId="43F90957" w:rsidR="00CF4B40" w:rsidRPr="0040690B" w:rsidRDefault="00CF4B40" w:rsidP="0040690B">
      <w:r w:rsidRPr="0040690B">
        <w:t xml:space="preserve">Multiple stakeholders stressed the importance of establishing a national body or regulatory agency for these professions to ensure high standards of care. This was highlighted as being particularly important when considering the potential implementation of a national program or scheme as the consequences </w:t>
      </w:r>
      <w:r w:rsidR="00F96F4C" w:rsidRPr="0040690B">
        <w:t>of</w:t>
      </w:r>
      <w:r w:rsidRPr="0040690B">
        <w:t xml:space="preserve"> substandard facial prosthetic care can be significant. These consequences may include: </w:t>
      </w:r>
    </w:p>
    <w:p w14:paraId="0D1962B8" w14:textId="77777777" w:rsidR="00F96F4C" w:rsidRDefault="00CF4B40" w:rsidP="0077365B">
      <w:pPr>
        <w:pStyle w:val="Bullet1stlevel"/>
      </w:pPr>
      <w:r>
        <w:t xml:space="preserve">Physical harm: For example, a poorly made prosthetic eye can damage the surrounding structures, such as the eyelid, which may lead to further complications such as infection and / or the need for surgical intervention. </w:t>
      </w:r>
    </w:p>
    <w:p w14:paraId="4B0F56B3" w14:textId="77777777" w:rsidR="00F96F4C" w:rsidRDefault="00CF4B40" w:rsidP="0077365B">
      <w:pPr>
        <w:pStyle w:val="Bullet1stlevel"/>
      </w:pPr>
      <w:r>
        <w:t xml:space="preserve">Psychosocial harm: Poorly made facial prostheses may lead to significant mental and emotional distress and can further contribute to the psychosocial impacts experienced by people who have undergone facial resection or amputation </w:t>
      </w:r>
      <w:proofErr w:type="gramStart"/>
      <w:r>
        <w:t>as a result of</w:t>
      </w:r>
      <w:proofErr w:type="gramEnd"/>
      <w:r>
        <w:t xml:space="preserve"> cancer. </w:t>
      </w:r>
    </w:p>
    <w:p w14:paraId="55999D5B" w14:textId="058EE63B" w:rsidR="00396C4F" w:rsidRDefault="00CF4B40" w:rsidP="0077365B">
      <w:pPr>
        <w:pStyle w:val="Bullet1stlevel"/>
      </w:pPr>
      <w:r>
        <w:t>Financial impacts: The out of pocket costs of accessing facial prostheses through private providers were reported by stakeholders to range from $2,500 to $10,000 depending on the type of prosthesis required. With such a significant investment required, there can be considerable financial impacts for people if they subsequently receive a poorly made and / or unusable prosthesis."</w:t>
      </w:r>
      <w:r w:rsidR="00396C4F">
        <w:br w:type="page"/>
      </w:r>
    </w:p>
    <w:p w14:paraId="789503CD" w14:textId="557E5DE9" w:rsidR="001732F9" w:rsidRDefault="001732F9" w:rsidP="001732F9">
      <w:pPr>
        <w:pStyle w:val="Heading3"/>
      </w:pPr>
      <w:bookmarkStart w:id="120" w:name="_Ref201693732"/>
      <w:r w:rsidRPr="001732F9">
        <w:t>Cost and funding models</w:t>
      </w:r>
      <w:bookmarkEnd w:id="120"/>
    </w:p>
    <w:p w14:paraId="159108C1" w14:textId="4F6EF879" w:rsidR="000C2B63" w:rsidRPr="0040690B" w:rsidRDefault="005F0F82" w:rsidP="0040690B">
      <w:r w:rsidRPr="0040690B">
        <w:t xml:space="preserve">As described in Section 2, </w:t>
      </w:r>
      <w:r w:rsidR="001C0122" w:rsidRPr="0040690B">
        <w:t xml:space="preserve">the </w:t>
      </w:r>
      <w:r w:rsidR="009A6277" w:rsidRPr="0040690B">
        <w:t xml:space="preserve">availability of </w:t>
      </w:r>
      <w:r w:rsidR="00062D36" w:rsidRPr="0040690B">
        <w:t>public funding</w:t>
      </w:r>
      <w:r w:rsidR="001C0122" w:rsidRPr="0040690B">
        <w:t xml:space="preserve"> for prostheses varies</w:t>
      </w:r>
      <w:r w:rsidR="009A6277" w:rsidRPr="0040690B">
        <w:t xml:space="preserve">. As a result, </w:t>
      </w:r>
      <w:proofErr w:type="gramStart"/>
      <w:r w:rsidR="00BD2743" w:rsidRPr="0040690B">
        <w:t>a number of</w:t>
      </w:r>
      <w:proofErr w:type="gramEnd"/>
      <w:r w:rsidR="00BD2743" w:rsidRPr="0040690B">
        <w:t xml:space="preserve"> challenges related to </w:t>
      </w:r>
      <w:r w:rsidR="001C0122" w:rsidRPr="0040690B">
        <w:t xml:space="preserve">cost and funding models for prostheses </w:t>
      </w:r>
      <w:r w:rsidR="00BD2743" w:rsidRPr="0040690B">
        <w:t xml:space="preserve">were identified, including: </w:t>
      </w:r>
    </w:p>
    <w:p w14:paraId="090DA579" w14:textId="32DB4DDF" w:rsidR="00492003" w:rsidRDefault="00492003" w:rsidP="0077365B">
      <w:pPr>
        <w:pStyle w:val="Bullet1stlevel"/>
      </w:pPr>
      <w:r>
        <w:t>Out-of-pocket costs for prostheses not covered by existing schemes</w:t>
      </w:r>
      <w:r w:rsidR="0077365B">
        <w:t>.</w:t>
      </w:r>
    </w:p>
    <w:p w14:paraId="6B91C4C8" w14:textId="32A85775" w:rsidR="00492003" w:rsidRDefault="00492003" w:rsidP="0077365B">
      <w:pPr>
        <w:pStyle w:val="Bullet1stlevel"/>
      </w:pPr>
      <w:r>
        <w:t>Upfront payments required under existing reimbursement models</w:t>
      </w:r>
      <w:r w:rsidR="0077365B">
        <w:t>.</w:t>
      </w:r>
    </w:p>
    <w:p w14:paraId="65A47A0A" w14:textId="57A5A17B" w:rsidR="00492003" w:rsidRDefault="00492003" w:rsidP="0077365B">
      <w:pPr>
        <w:pStyle w:val="Bullet1stlevel"/>
      </w:pPr>
      <w:r>
        <w:t>Travel costs for patients who cannot access prostheses services where they live.</w:t>
      </w:r>
    </w:p>
    <w:p w14:paraId="69B09957" w14:textId="26C0E4DA" w:rsidR="000C2B63" w:rsidRPr="00695F7E" w:rsidRDefault="00E66382" w:rsidP="00FD54A5">
      <w:pPr>
        <w:pStyle w:val="Heading4"/>
      </w:pPr>
      <w:r w:rsidRPr="00695F7E">
        <w:t>Out-of-pocket costs</w:t>
      </w:r>
    </w:p>
    <w:p w14:paraId="0E3FB5E2" w14:textId="12BFB7A9" w:rsidR="007D0158" w:rsidRPr="0040690B" w:rsidRDefault="001B5F2E" w:rsidP="0040690B">
      <w:r w:rsidRPr="0040690B">
        <w:t>As described in Section 2, funding</w:t>
      </w:r>
      <w:r w:rsidR="00DD5435" w:rsidRPr="0040690B">
        <w:t xml:space="preserve"> schemes for prostheses var</w:t>
      </w:r>
      <w:r w:rsidR="003221A2" w:rsidRPr="0040690B">
        <w:t>y</w:t>
      </w:r>
      <w:r w:rsidR="00DD5435" w:rsidRPr="0040690B">
        <w:t xml:space="preserve"> considerably.</w:t>
      </w:r>
      <w:r w:rsidR="003221A2" w:rsidRPr="0040690B">
        <w:t xml:space="preserve"> </w:t>
      </w:r>
      <w:r w:rsidR="0019061C" w:rsidRPr="0040690B">
        <w:t>Excluding external breast prostheses and limbs</w:t>
      </w:r>
      <w:r w:rsidR="007D0158" w:rsidRPr="0040690B">
        <w:t>,</w:t>
      </w:r>
      <w:r w:rsidR="0019061C" w:rsidRPr="0040690B">
        <w:t xml:space="preserve"> for which </w:t>
      </w:r>
      <w:r w:rsidR="00F85B74" w:rsidRPr="0040690B">
        <w:t>national funding schemes are available, people who require other types of prostheses often face</w:t>
      </w:r>
      <w:r w:rsidR="003C18C7" w:rsidRPr="0040690B">
        <w:t xml:space="preserve"> significant out-of-pocket expenses. </w:t>
      </w:r>
    </w:p>
    <w:p w14:paraId="15516487" w14:textId="67D4C192" w:rsidR="00B66228" w:rsidRPr="0040690B" w:rsidRDefault="003902C9" w:rsidP="0040690B">
      <w:r w:rsidRPr="0040690B">
        <w:t xml:space="preserve">As outlined previously, </w:t>
      </w:r>
      <w:r w:rsidR="00A72B9C" w:rsidRPr="0040690B">
        <w:t xml:space="preserve">the NDIS criteria </w:t>
      </w:r>
      <w:r w:rsidR="00E167B5" w:rsidRPr="0040690B">
        <w:t xml:space="preserve">stating that </w:t>
      </w:r>
      <w:r w:rsidR="00A72B9C" w:rsidRPr="0040690B">
        <w:t xml:space="preserve">prostheses </w:t>
      </w:r>
      <w:r w:rsidR="00E167B5" w:rsidRPr="0040690B">
        <w:t>must</w:t>
      </w:r>
      <w:r w:rsidR="00C870E0" w:rsidRPr="0040690B">
        <w:t xml:space="preserve"> be</w:t>
      </w:r>
      <w:r w:rsidR="00A72B9C" w:rsidRPr="0040690B">
        <w:t xml:space="preserve"> related to the control and functioning of the neuromuscular skeletal system means that many </w:t>
      </w:r>
      <w:r w:rsidR="008E7E6D" w:rsidRPr="0040690B">
        <w:t>people with lived experience of head and neck cancer</w:t>
      </w:r>
      <w:r w:rsidR="00A72B9C" w:rsidRPr="0040690B">
        <w:t xml:space="preserve"> have had their applications for facial and oral prostheses rejected by NDIS. </w:t>
      </w:r>
      <w:r w:rsidR="00C870E0" w:rsidRPr="0040690B">
        <w:t>E</w:t>
      </w:r>
      <w:r w:rsidRPr="0040690B">
        <w:t>xternal prostheses are not listed on the Prescribed List</w:t>
      </w:r>
      <w:r w:rsidR="00F85B74" w:rsidRPr="0040690B">
        <w:t>; therefore,</w:t>
      </w:r>
      <w:r w:rsidRPr="0040690B">
        <w:t xml:space="preserve"> private health insurers are</w:t>
      </w:r>
      <w:r w:rsidR="00C870E0" w:rsidRPr="0040690B">
        <w:t xml:space="preserve"> </w:t>
      </w:r>
      <w:r w:rsidRPr="0040690B">
        <w:t>not required to pay benefits to their customers for these prostheses</w:t>
      </w:r>
      <w:r w:rsidR="00C25D4D" w:rsidRPr="0040690B">
        <w:t xml:space="preserve">. </w:t>
      </w:r>
    </w:p>
    <w:p w14:paraId="2342F969" w14:textId="676FAD1F" w:rsidR="00A60526" w:rsidRPr="0040690B" w:rsidRDefault="00C870E0" w:rsidP="0040690B">
      <w:r w:rsidRPr="0040690B">
        <w:t xml:space="preserve">While some states and territories provide some publicly funded facial prostheses services, in others, either no services </w:t>
      </w:r>
      <w:r w:rsidR="00F85B74" w:rsidRPr="0040690B">
        <w:t xml:space="preserve">are </w:t>
      </w:r>
      <w:r w:rsidRPr="0040690B">
        <w:t xml:space="preserve">available </w:t>
      </w:r>
      <w:r w:rsidR="00C95D4B" w:rsidRPr="0040690B">
        <w:t>or only privately funded services are available</w:t>
      </w:r>
      <w:r w:rsidRPr="0040690B">
        <w:t xml:space="preserve">. </w:t>
      </w:r>
      <w:r w:rsidR="00911495" w:rsidRPr="0040690B">
        <w:t>Additionally, while the surgical procedures performed prior to the fitting of external prostheses, such as limb amputations, mastectomies or facial resections, may attract rebates under the Medical Benefits Scheme (MBS)</w:t>
      </w:r>
      <w:r w:rsidR="00911495" w:rsidRPr="0040690B">
        <w:footnoteReference w:id="160"/>
      </w:r>
      <w:r w:rsidR="00911495" w:rsidRPr="0040690B">
        <w:t xml:space="preserve">, the MBS does not provide rebates for the costs of products such as prostheses. </w:t>
      </w:r>
      <w:r w:rsidR="000A2779" w:rsidRPr="0040690B">
        <w:t xml:space="preserve">This means that for many people who require facial or oral prostheses, </w:t>
      </w:r>
      <w:r w:rsidR="00112D29" w:rsidRPr="0040690B">
        <w:t xml:space="preserve">significant </w:t>
      </w:r>
      <w:r w:rsidR="000A2779" w:rsidRPr="0040690B">
        <w:t>out-of-pocket costs</w:t>
      </w:r>
      <w:r w:rsidR="00CF2492" w:rsidRPr="0040690B">
        <w:t xml:space="preserve"> are</w:t>
      </w:r>
      <w:r w:rsidR="000A2779" w:rsidRPr="0040690B">
        <w:t xml:space="preserve"> involved.</w:t>
      </w:r>
    </w:p>
    <w:p w14:paraId="59AA30FE" w14:textId="77777777" w:rsidR="00CC2673" w:rsidRPr="009F36DE" w:rsidRDefault="00CC2673" w:rsidP="00592939">
      <w:pPr>
        <w:pStyle w:val="Bodytext-quote2"/>
      </w:pPr>
      <w:r w:rsidRPr="009F36DE">
        <w:t xml:space="preserve">"The prosthesis is expensive and I will have to change it </w:t>
      </w:r>
      <w:proofErr w:type="gramStart"/>
      <w:r w:rsidRPr="009F36DE">
        <w:t>regularly</w:t>
      </w:r>
      <w:proofErr w:type="gramEnd"/>
      <w:r w:rsidRPr="009F36DE">
        <w:t xml:space="preserve"> so it is a big financial problem for me. I </w:t>
      </w:r>
      <w:proofErr w:type="gramStart"/>
      <w:r w:rsidRPr="009F36DE">
        <w:t>have to</w:t>
      </w:r>
      <w:proofErr w:type="gramEnd"/>
      <w:r w:rsidRPr="009F36DE">
        <w:t xml:space="preserve"> cut back on food, medicine and entertainment to save up for the prosthesis. I can’t see my family and friends as much as I used to."</w:t>
      </w:r>
    </w:p>
    <w:p w14:paraId="4AD7F3A0" w14:textId="71266161" w:rsidR="00CC2673" w:rsidRDefault="00CC2673" w:rsidP="00E71108">
      <w:pPr>
        <w:pStyle w:val="Bodytextquote2strong"/>
      </w:pPr>
      <w:r w:rsidRPr="0089298F">
        <w:t xml:space="preserve">- </w:t>
      </w:r>
      <w:r w:rsidRPr="00A5619B">
        <w:t>Person with lived experience of cancer</w:t>
      </w:r>
    </w:p>
    <w:p w14:paraId="5DA394B5" w14:textId="4FFDDDE2" w:rsidR="00E529E6" w:rsidRPr="0040690B" w:rsidRDefault="00E529E6" w:rsidP="0040690B">
      <w:r w:rsidRPr="0040690B">
        <w:t xml:space="preserve">There is limited public information available about the cost of </w:t>
      </w:r>
      <w:r w:rsidR="001C019B" w:rsidRPr="0040690B">
        <w:t>facial</w:t>
      </w:r>
      <w:r w:rsidRPr="0040690B">
        <w:t xml:space="preserve"> prostheses. Stakeholders reported that facial prostheses </w:t>
      </w:r>
      <w:r w:rsidR="001C019B" w:rsidRPr="0040690B">
        <w:t xml:space="preserve">typically </w:t>
      </w:r>
      <w:r w:rsidRPr="0040690B">
        <w:t xml:space="preserve">cost </w:t>
      </w:r>
      <w:r w:rsidR="004407F0" w:rsidRPr="0040690B">
        <w:t xml:space="preserve">approximately </w:t>
      </w:r>
      <w:r w:rsidRPr="0040690B">
        <w:t>$5,000</w:t>
      </w:r>
      <w:r w:rsidR="001C019B" w:rsidRPr="0040690B">
        <w:t xml:space="preserve"> on average</w:t>
      </w:r>
      <w:r w:rsidR="004407F0" w:rsidRPr="0040690B">
        <w:t xml:space="preserve">, </w:t>
      </w:r>
      <w:r w:rsidR="005C4693" w:rsidRPr="0040690B">
        <w:t xml:space="preserve">with a range of $2,500 for an eye prosthesis </w:t>
      </w:r>
      <w:r w:rsidRPr="0040690B">
        <w:t>to $10,000</w:t>
      </w:r>
      <w:r w:rsidR="004407F0" w:rsidRPr="0040690B">
        <w:t xml:space="preserve"> for a more complex </w:t>
      </w:r>
      <w:r w:rsidR="006247A9" w:rsidRPr="0040690B">
        <w:t>hemi-facial prosthesis</w:t>
      </w:r>
      <w:r w:rsidRPr="0040690B">
        <w:t xml:space="preserve">. This </w:t>
      </w:r>
      <w:r w:rsidR="006247A9" w:rsidRPr="0040690B">
        <w:t>estimated cost</w:t>
      </w:r>
      <w:r w:rsidRPr="0040690B">
        <w:t xml:space="preserve"> does not include the cost of consultations </w:t>
      </w:r>
      <w:r w:rsidR="006247A9" w:rsidRPr="0040690B">
        <w:t>or</w:t>
      </w:r>
      <w:r w:rsidRPr="0040690B">
        <w:t xml:space="preserve"> maintenance services, which were estimated to </w:t>
      </w:r>
      <w:r w:rsidR="006247A9" w:rsidRPr="0040690B">
        <w:t>cost</w:t>
      </w:r>
      <w:r w:rsidRPr="0040690B">
        <w:t xml:space="preserve"> $200 and $70</w:t>
      </w:r>
      <w:r w:rsidR="005C4693" w:rsidRPr="0040690B">
        <w:t>,</w:t>
      </w:r>
      <w:r w:rsidRPr="0040690B">
        <w:t xml:space="preserve"> respectively. </w:t>
      </w:r>
    </w:p>
    <w:p w14:paraId="7702A25E" w14:textId="07421590" w:rsidR="006B3646" w:rsidRPr="0040690B" w:rsidRDefault="00A70E39" w:rsidP="0040690B">
      <w:r w:rsidRPr="0040690B">
        <w:t xml:space="preserve">In the survey distributed to clinicians involved in prostheses service delivery, </w:t>
      </w:r>
      <w:proofErr w:type="gramStart"/>
      <w:r w:rsidRPr="0040690B">
        <w:t>the majority of</w:t>
      </w:r>
      <w:proofErr w:type="gramEnd"/>
      <w:r w:rsidRPr="0040690B">
        <w:t xml:space="preserve"> respondents (50 out of 57 respondents, or 88 per cent) identified cost and / or access to funding as a significant barrier to accessing prostheses services </w:t>
      </w:r>
      <w:r w:rsidR="005C4693" w:rsidRPr="0040690B">
        <w:t>for people living with or who have a lived experience of cancer</w:t>
      </w:r>
      <w:r w:rsidRPr="0040690B">
        <w:t xml:space="preserve">. </w:t>
      </w:r>
    </w:p>
    <w:p w14:paraId="4F80CAB5" w14:textId="2FE3C626" w:rsidR="00695F7E" w:rsidRDefault="00695F7E" w:rsidP="00592939">
      <w:pPr>
        <w:pStyle w:val="Bodytext-quote2"/>
      </w:pPr>
      <w:r>
        <w:t>88% of survey respondents identified cost and / or access to funding as a significant barrier for people living with or who have a lived experience of cancer to access prostheses</w:t>
      </w:r>
    </w:p>
    <w:p w14:paraId="0839BCF1" w14:textId="77047D7F" w:rsidR="00695F7E" w:rsidRPr="00A60526" w:rsidRDefault="00695F7E" w:rsidP="00E71108">
      <w:pPr>
        <w:pStyle w:val="Bodytextquote2strong"/>
      </w:pPr>
      <w:r>
        <w:t xml:space="preserve">- </w:t>
      </w:r>
      <w:r w:rsidR="00120620">
        <w:t>S</w:t>
      </w:r>
      <w:r>
        <w:t>urvey of clinicians involved in prostheses service delivery</w:t>
      </w:r>
    </w:p>
    <w:p w14:paraId="2128195F" w14:textId="77777777" w:rsidR="00396C4F" w:rsidRPr="0040690B" w:rsidRDefault="00396C4F" w:rsidP="0040690B">
      <w:r w:rsidRPr="0040690B">
        <w:br w:type="page"/>
      </w:r>
    </w:p>
    <w:p w14:paraId="011F105C" w14:textId="7538DAA0" w:rsidR="00740068" w:rsidRPr="0040690B" w:rsidRDefault="00740068" w:rsidP="0040690B">
      <w:r w:rsidRPr="0040690B">
        <w:t xml:space="preserve">In the survey distributed to people living with or with lived experience of cancer and their </w:t>
      </w:r>
      <w:proofErr w:type="spellStart"/>
      <w:r w:rsidRPr="0040690B">
        <w:t>carers</w:t>
      </w:r>
      <w:proofErr w:type="spellEnd"/>
      <w:r w:rsidRPr="0040690B">
        <w:t xml:space="preserve">, approximately </w:t>
      </w:r>
      <w:r w:rsidR="008E70DE" w:rsidRPr="0040690B">
        <w:t>two-thirds</w:t>
      </w:r>
      <w:r w:rsidRPr="0040690B">
        <w:t xml:space="preserve"> of all respondents (</w:t>
      </w:r>
      <w:r w:rsidR="008E70DE" w:rsidRPr="0040690B">
        <w:t>40</w:t>
      </w:r>
      <w:r w:rsidRPr="0040690B">
        <w:t xml:space="preserve"> out of 61 respondents or </w:t>
      </w:r>
      <w:r w:rsidR="008E70DE" w:rsidRPr="0040690B">
        <w:t>66</w:t>
      </w:r>
      <w:r w:rsidRPr="0040690B">
        <w:t xml:space="preserve"> per cent) strongly or somewhat agreed that </w:t>
      </w:r>
      <w:r w:rsidR="008E70DE" w:rsidRPr="0040690B">
        <w:t>the cost of their prosthesis impacted their decision</w:t>
      </w:r>
      <w:r w:rsidR="005C4693" w:rsidRPr="0040690B">
        <w:t>-</w:t>
      </w:r>
      <w:r w:rsidR="008E70DE" w:rsidRPr="0040690B">
        <w:t>making or ability to obtain a prosthesis</w:t>
      </w:r>
      <w:r w:rsidRPr="0040690B">
        <w:t xml:space="preserve">. </w:t>
      </w:r>
      <w:r w:rsidR="008E70DE" w:rsidRPr="0040690B">
        <w:t xml:space="preserve">The proportion of respondents who required a facial prosthesis </w:t>
      </w:r>
      <w:r w:rsidR="00CB7D66" w:rsidRPr="0040690B">
        <w:t>who agreed with this statement was even higher at</w:t>
      </w:r>
      <w:r w:rsidRPr="0040690B">
        <w:t xml:space="preserve"> 7</w:t>
      </w:r>
      <w:r w:rsidR="00CB7D66" w:rsidRPr="0040690B">
        <w:t>4</w:t>
      </w:r>
      <w:r w:rsidRPr="0040690B">
        <w:t xml:space="preserve"> per cent</w:t>
      </w:r>
      <w:r w:rsidR="00CB7D66" w:rsidRPr="0040690B">
        <w:t xml:space="preserve"> (</w:t>
      </w:r>
      <w:r w:rsidR="00A641A2" w:rsidRPr="0040690B">
        <w:t>29 out of 39</w:t>
      </w:r>
      <w:r w:rsidRPr="0040690B">
        <w:t xml:space="preserve"> respondents</w:t>
      </w:r>
      <w:r w:rsidR="00A641A2" w:rsidRPr="0040690B">
        <w:t>).</w:t>
      </w:r>
      <w:r w:rsidRPr="0040690B">
        <w:t xml:space="preserve"> </w:t>
      </w:r>
    </w:p>
    <w:p w14:paraId="7B324DCD" w14:textId="5D72D0AB" w:rsidR="00695F7E" w:rsidRPr="00695F7E" w:rsidRDefault="00695F7E" w:rsidP="00592939">
      <w:pPr>
        <w:pStyle w:val="Bodytext-quote2"/>
      </w:pPr>
      <w:r>
        <w:t xml:space="preserve">74% </w:t>
      </w:r>
      <w:r w:rsidRPr="00695F7E">
        <w:t>of survey respondents who required a facial prosthesis agreed that the cost of their prosthesis impacted their decision making or ability to obtain a prosthesis</w:t>
      </w:r>
    </w:p>
    <w:p w14:paraId="324C5C62" w14:textId="49F2A6FB" w:rsidR="00695F7E" w:rsidRDefault="00695F7E" w:rsidP="00E71108">
      <w:pPr>
        <w:pStyle w:val="Bodytextquote2strong"/>
      </w:pPr>
      <w:r w:rsidRPr="00695F7E">
        <w:t xml:space="preserve">- </w:t>
      </w:r>
      <w:r w:rsidR="0044544E">
        <w:t>S</w:t>
      </w:r>
      <w:r w:rsidRPr="00695F7E">
        <w:t>urvey of people living with or with lived experience of cancer and their carers</w:t>
      </w:r>
    </w:p>
    <w:p w14:paraId="285F3FEE" w14:textId="380FF5E3" w:rsidR="000B0F67" w:rsidRPr="0040690B" w:rsidRDefault="00112D29" w:rsidP="0040690B">
      <w:r w:rsidRPr="0040690B">
        <w:t xml:space="preserve">Stakeholders consistently highlighted the </w:t>
      </w:r>
      <w:r w:rsidR="000B0F67" w:rsidRPr="0040690B">
        <w:t>psychological distress</w:t>
      </w:r>
      <w:r w:rsidRPr="0040690B">
        <w:t xml:space="preserve"> experienced by many people who require a facial prosthesis and cannot access one due to the out-of-pocket costs involved. It was</w:t>
      </w:r>
      <w:r w:rsidR="00AC140B" w:rsidRPr="0040690B">
        <w:t xml:space="preserve"> emphasised that the impact of this is </w:t>
      </w:r>
      <w:r w:rsidR="00236178" w:rsidRPr="0040690B">
        <w:t>far-reaching</w:t>
      </w:r>
      <w:r w:rsidR="00AC140B" w:rsidRPr="0040690B">
        <w:t xml:space="preserve">, with many people </w:t>
      </w:r>
      <w:r w:rsidR="006004E8" w:rsidRPr="0040690B">
        <w:t xml:space="preserve">retreating from </w:t>
      </w:r>
      <w:r w:rsidR="00152C6D" w:rsidRPr="0040690B">
        <w:t>society</w:t>
      </w:r>
      <w:r w:rsidR="006004E8" w:rsidRPr="0040690B">
        <w:t>, employmen</w:t>
      </w:r>
      <w:r w:rsidR="007A59B4" w:rsidRPr="0040690B">
        <w:t>t</w:t>
      </w:r>
      <w:r w:rsidR="005D3ACB" w:rsidRPr="0040690B">
        <w:t xml:space="preserve"> and</w:t>
      </w:r>
      <w:r w:rsidR="006004E8" w:rsidRPr="0040690B">
        <w:t xml:space="preserve"> even simple activities such as going to the grocery store</w:t>
      </w:r>
      <w:r w:rsidR="00CF0439" w:rsidRPr="0040690B">
        <w:t xml:space="preserve"> due to their facial disfigurement</w:t>
      </w:r>
      <w:r w:rsidR="006004E8" w:rsidRPr="0040690B">
        <w:t xml:space="preserve">. </w:t>
      </w:r>
      <w:r w:rsidR="00CF0439" w:rsidRPr="0040690B">
        <w:t>Many s</w:t>
      </w:r>
      <w:r w:rsidR="005D3ACB" w:rsidRPr="0040690B">
        <w:t>takeholders spoke of the</w:t>
      </w:r>
      <w:r w:rsidR="00567759" w:rsidRPr="0040690B">
        <w:t xml:space="preserve"> serious mental health impacts experienced</w:t>
      </w:r>
      <w:r w:rsidR="00ED6DDD" w:rsidRPr="0040690B">
        <w:t xml:space="preserve"> </w:t>
      </w:r>
      <w:proofErr w:type="gramStart"/>
      <w:r w:rsidR="00ED6DDD" w:rsidRPr="0040690B">
        <w:t>as a result</w:t>
      </w:r>
      <w:r w:rsidR="00CF0439" w:rsidRPr="0040690B">
        <w:t xml:space="preserve"> of</w:t>
      </w:r>
      <w:proofErr w:type="gramEnd"/>
      <w:r w:rsidR="00CF0439" w:rsidRPr="0040690B">
        <w:t xml:space="preserve"> this</w:t>
      </w:r>
      <w:r w:rsidR="00D96757" w:rsidRPr="0040690B">
        <w:t xml:space="preserve"> as well as the life changing impact access to a facial prosthesis can have. </w:t>
      </w:r>
      <w:r w:rsidR="00DF4679" w:rsidRPr="0040690B">
        <w:t xml:space="preserve"> </w:t>
      </w:r>
    </w:p>
    <w:p w14:paraId="50F62787" w14:textId="77777777" w:rsidR="004B2BF1" w:rsidRPr="004B2BF1" w:rsidRDefault="004B2BF1" w:rsidP="00592939">
      <w:pPr>
        <w:pStyle w:val="Bodytext-quote2"/>
        <w:rPr>
          <w:i/>
          <w:iCs/>
        </w:rPr>
      </w:pPr>
      <w:r w:rsidRPr="004B2BF1">
        <w:t>“I did three years without a nose just a big hole in the middle of my face. The emotional and mental challenges I faced every day just to appear in public were almost overwhelming. People were shocked and horrified when they saw me. Self-esteem completely disappears. I quickly found there is no place in society for someone that looks like me. I became reclusive and contemplated suicide several times."</w:t>
      </w:r>
    </w:p>
    <w:p w14:paraId="3BA5568D" w14:textId="0E574AC0" w:rsidR="004B2BF1" w:rsidRPr="004B2BF1" w:rsidRDefault="004B2BF1" w:rsidP="00E71108">
      <w:pPr>
        <w:pStyle w:val="Bodytextquote2strong"/>
      </w:pPr>
      <w:r w:rsidRPr="004B2BF1">
        <w:t>- Person with lived experience of cancer</w:t>
      </w:r>
    </w:p>
    <w:p w14:paraId="24B76FF7" w14:textId="77777777" w:rsidR="004B2BF1" w:rsidRPr="004B2BF1" w:rsidRDefault="004B2BF1" w:rsidP="00592939">
      <w:pPr>
        <w:pStyle w:val="Bodytext-quote2"/>
        <w:rPr>
          <w:i/>
          <w:iCs/>
        </w:rPr>
      </w:pPr>
      <w:r w:rsidRPr="004B2BF1">
        <w:t xml:space="preserve">“One of the universal experiences of people living with head and neck cancer is the shocking visual deformity that often occurs. This makes people unwilling to go out or even meet with family and close friends due to this shocking deformity. A </w:t>
      </w:r>
      <w:proofErr w:type="gramStart"/>
      <w:r w:rsidRPr="004B2BF1">
        <w:t>prostheses</w:t>
      </w:r>
      <w:proofErr w:type="gramEnd"/>
      <w:r w:rsidRPr="004B2BF1">
        <w:t xml:space="preserve"> can really help people live a more normal life by looking and feeling less disfigured."</w:t>
      </w:r>
    </w:p>
    <w:p w14:paraId="1F79F4F7" w14:textId="2C4F0E1B" w:rsidR="004B2BF1" w:rsidRPr="004B2BF1" w:rsidRDefault="004B2BF1" w:rsidP="00E71108">
      <w:pPr>
        <w:pStyle w:val="Bodytextquote2strong"/>
      </w:pPr>
      <w:r w:rsidRPr="004B2BF1">
        <w:t>- Person with lived experience of cancer</w:t>
      </w:r>
    </w:p>
    <w:p w14:paraId="0376D61D" w14:textId="77777777" w:rsidR="004B2BF1" w:rsidRPr="004B2BF1" w:rsidRDefault="004B2BF1" w:rsidP="00592939">
      <w:pPr>
        <w:pStyle w:val="Bodytext-quote2"/>
        <w:rPr>
          <w:i/>
          <w:iCs/>
        </w:rPr>
      </w:pPr>
      <w:r w:rsidRPr="004B2BF1">
        <w:t xml:space="preserve">"Prosthetics for ears, noses and eyes, just simply needs to be a free service… It’s important for our mental </w:t>
      </w:r>
      <w:proofErr w:type="spellStart"/>
      <w:r w:rsidRPr="004B2BF1">
        <w:t>health,</w:t>
      </w:r>
      <w:proofErr w:type="spellEnd"/>
      <w:r w:rsidRPr="004B2BF1">
        <w:t xml:space="preserve"> for us to function every day, to go to work, to have people not stare at you when in public, to not feel embarrassed, or inferior because of missing body parts.”</w:t>
      </w:r>
    </w:p>
    <w:p w14:paraId="4DF5FC65" w14:textId="2C1CB129" w:rsidR="00A74F22" w:rsidRDefault="004B2BF1" w:rsidP="00E71108">
      <w:pPr>
        <w:pStyle w:val="Bodytextquote2strong"/>
      </w:pPr>
      <w:r w:rsidRPr="004B2BF1">
        <w:t>- Person with lived experience of cancer</w:t>
      </w:r>
    </w:p>
    <w:p w14:paraId="3A05F8A1" w14:textId="6D37A086" w:rsidR="000B0F67" w:rsidRDefault="00152C6D" w:rsidP="003144D0">
      <w:pPr>
        <w:spacing w:before="240" w:after="240" w:line="259" w:lineRule="auto"/>
      </w:pPr>
      <w:r w:rsidRPr="009A4EB8">
        <w:t xml:space="preserve">Clinicians also expressed their helplessness at not being able to support their patients </w:t>
      </w:r>
      <w:r w:rsidR="00236178" w:rsidRPr="009A4EB8">
        <w:t>in obtaining</w:t>
      </w:r>
      <w:r w:rsidRPr="009A4EB8">
        <w:t xml:space="preserve"> a facial prosthesis</w:t>
      </w:r>
      <w:r w:rsidR="00FE4082" w:rsidRPr="009A4EB8">
        <w:t xml:space="preserve"> d</w:t>
      </w:r>
      <w:r w:rsidR="00FE4082">
        <w:t xml:space="preserve">ue to the out-of-pocket costs involved. Several </w:t>
      </w:r>
      <w:r w:rsidR="002F00BF">
        <w:t xml:space="preserve">clinicians consulted as part of this review </w:t>
      </w:r>
      <w:r w:rsidR="00FE4082">
        <w:t xml:space="preserve">highlighted their </w:t>
      </w:r>
      <w:r w:rsidR="004C5117">
        <w:t>distress at having saved a person’s life by removing their cancer</w:t>
      </w:r>
      <w:r w:rsidR="00505668">
        <w:t>,</w:t>
      </w:r>
      <w:r w:rsidR="002F00BF">
        <w:t xml:space="preserve"> </w:t>
      </w:r>
      <w:r w:rsidR="000F049E">
        <w:t>only to leave them with profound facial disfigurement</w:t>
      </w:r>
      <w:r w:rsidR="00927DD0">
        <w:t xml:space="preserve"> </w:t>
      </w:r>
      <w:r w:rsidR="00B346B9">
        <w:t xml:space="preserve">that has </w:t>
      </w:r>
      <w:r w:rsidR="00236178">
        <w:t>far-reaching impacts on</w:t>
      </w:r>
      <w:r w:rsidR="00B346B9">
        <w:t xml:space="preserve"> their quality of life. </w:t>
      </w:r>
      <w:r w:rsidR="0066225F">
        <w:t>C</w:t>
      </w:r>
      <w:r w:rsidR="00B346B9">
        <w:t xml:space="preserve">linicians </w:t>
      </w:r>
      <w:r w:rsidR="0066225F">
        <w:t>practising in jurisdictions with no publicly funded facial prostheses services</w:t>
      </w:r>
      <w:r w:rsidR="00077227">
        <w:t xml:space="preserve"> available</w:t>
      </w:r>
      <w:r w:rsidR="0066225F">
        <w:t xml:space="preserve"> </w:t>
      </w:r>
      <w:r w:rsidR="00B346B9">
        <w:t xml:space="preserve">described </w:t>
      </w:r>
      <w:r w:rsidR="00DE29AA">
        <w:t xml:space="preserve">that their only option is to refer </w:t>
      </w:r>
      <w:r w:rsidR="00077227">
        <w:t xml:space="preserve">their </w:t>
      </w:r>
      <w:r w:rsidR="00DE29AA">
        <w:t>patients to private</w:t>
      </w:r>
      <w:r w:rsidR="00CE1937">
        <w:t xml:space="preserve"> providers</w:t>
      </w:r>
      <w:r w:rsidR="00DE29AA">
        <w:t xml:space="preserve"> or interstate service</w:t>
      </w:r>
      <w:r w:rsidR="00CE1937">
        <w:t>s</w:t>
      </w:r>
      <w:r w:rsidR="00236178">
        <w:t>,</w:t>
      </w:r>
      <w:r w:rsidR="001B187B">
        <w:t xml:space="preserve"> which are </w:t>
      </w:r>
      <w:r w:rsidR="00A265E6">
        <w:t xml:space="preserve">often </w:t>
      </w:r>
      <w:r w:rsidR="00E45239">
        <w:t>in</w:t>
      </w:r>
      <w:r w:rsidR="00A265E6">
        <w:t xml:space="preserve">accessible </w:t>
      </w:r>
      <w:r w:rsidR="00077227">
        <w:t xml:space="preserve">due to the </w:t>
      </w:r>
      <w:r w:rsidR="00E66359">
        <w:t>out-of-pocket</w:t>
      </w:r>
      <w:r w:rsidR="00077227">
        <w:t xml:space="preserve"> costs involved. </w:t>
      </w:r>
    </w:p>
    <w:p w14:paraId="0252BAED" w14:textId="77777777" w:rsidR="004B2BF1" w:rsidRPr="00C86790" w:rsidRDefault="004B2BF1" w:rsidP="00592939">
      <w:pPr>
        <w:pStyle w:val="Bodytext-quote2"/>
      </w:pPr>
      <w:r w:rsidRPr="00C86790">
        <w:t>"</w:t>
      </w:r>
      <w:r>
        <w:t xml:space="preserve"> We, by design, allow people to fall through cracks, allow them to enter seclusion and reclusion, because we don’t have the capacity to help them besides removing their cancer.</w:t>
      </w:r>
      <w:r w:rsidRPr="00C86790">
        <w:t>"</w:t>
      </w:r>
    </w:p>
    <w:p w14:paraId="14F47C56" w14:textId="3AD9B4BE" w:rsidR="004B2BF1" w:rsidRDefault="004B2BF1" w:rsidP="00E71108">
      <w:pPr>
        <w:pStyle w:val="Bodytextquote2strong"/>
      </w:pPr>
      <w:r w:rsidRPr="0089298F">
        <w:t xml:space="preserve">- </w:t>
      </w:r>
      <w:r>
        <w:t>Clinician</w:t>
      </w:r>
    </w:p>
    <w:p w14:paraId="71F549B8" w14:textId="77777777" w:rsidR="00396C4F" w:rsidRPr="0040690B" w:rsidRDefault="00396C4F" w:rsidP="0040690B">
      <w:r w:rsidRPr="0040690B">
        <w:br w:type="page"/>
      </w:r>
    </w:p>
    <w:p w14:paraId="04C3E3F3" w14:textId="4234783B" w:rsidR="00FF6DC1" w:rsidRPr="0040690B" w:rsidRDefault="00A269D0" w:rsidP="0040690B">
      <w:r w:rsidRPr="0040690B">
        <w:t xml:space="preserve">The ongoing out-of-pocket costs of </w:t>
      </w:r>
      <w:r w:rsidR="0013565E" w:rsidRPr="0040690B">
        <w:t xml:space="preserve">accessing replacement prostheses </w:t>
      </w:r>
      <w:r w:rsidR="00236178" w:rsidRPr="0040690B">
        <w:t>were</w:t>
      </w:r>
      <w:r w:rsidR="0013565E" w:rsidRPr="0040690B">
        <w:t xml:space="preserve"> also highlighted by stakeholders, who </w:t>
      </w:r>
      <w:r w:rsidR="00A8497D" w:rsidRPr="0040690B">
        <w:t xml:space="preserve">reported that facial prostheses </w:t>
      </w:r>
      <w:r w:rsidR="000C2127" w:rsidRPr="0040690B">
        <w:t xml:space="preserve">typically </w:t>
      </w:r>
      <w:r w:rsidR="006E69ED" w:rsidRPr="0040690B">
        <w:t>need to be replaced</w:t>
      </w:r>
      <w:r w:rsidR="00A8497D" w:rsidRPr="0040690B">
        <w:t xml:space="preserve"> every two to three years</w:t>
      </w:r>
      <w:r w:rsidR="00C8726D" w:rsidRPr="0040690B">
        <w:t>.</w:t>
      </w:r>
      <w:r w:rsidR="00A62235" w:rsidRPr="0040690B">
        <w:t xml:space="preserve"> For people living in jurisdictions with no publicly funded services, </w:t>
      </w:r>
      <w:r w:rsidR="00DC520F" w:rsidRPr="0040690B">
        <w:t>this</w:t>
      </w:r>
      <w:r w:rsidR="00DA77C3" w:rsidRPr="0040690B">
        <w:t xml:space="preserve"> </w:t>
      </w:r>
      <w:r w:rsidR="006E69ED" w:rsidRPr="0040690B">
        <w:t xml:space="preserve">is </w:t>
      </w:r>
      <w:r w:rsidR="00DC520F" w:rsidRPr="0040690B">
        <w:t>a significant</w:t>
      </w:r>
      <w:r w:rsidR="00506561" w:rsidRPr="0040690B">
        <w:t>,</w:t>
      </w:r>
      <w:r w:rsidR="00DA77C3" w:rsidRPr="0040690B">
        <w:t xml:space="preserve"> ongoing</w:t>
      </w:r>
      <w:r w:rsidR="00DC520F" w:rsidRPr="0040690B">
        <w:t xml:space="preserve"> financial burden</w:t>
      </w:r>
      <w:r w:rsidR="00DA77C3" w:rsidRPr="0040690B">
        <w:t xml:space="preserve">. </w:t>
      </w:r>
      <w:r w:rsidR="008E7E6D" w:rsidRPr="0040690B">
        <w:t>People with lived experience of cancer</w:t>
      </w:r>
      <w:r w:rsidR="00321C9F" w:rsidRPr="0040690B">
        <w:t xml:space="preserve"> also emphasised that consumables associated with </w:t>
      </w:r>
      <w:r w:rsidR="00FE1626" w:rsidRPr="0040690B">
        <w:t>their prosthesis</w:t>
      </w:r>
      <w:r w:rsidR="00236178" w:rsidRPr="0040690B">
        <w:t>, such as adhesive, glues and cleaning products,</w:t>
      </w:r>
      <w:r w:rsidR="00FE1626" w:rsidRPr="0040690B">
        <w:t xml:space="preserve"> also </w:t>
      </w:r>
      <w:r w:rsidR="00321C9F" w:rsidRPr="0040690B">
        <w:t>add</w:t>
      </w:r>
      <w:r w:rsidR="00FE1626" w:rsidRPr="0040690B">
        <w:t xml:space="preserve"> </w:t>
      </w:r>
      <w:r w:rsidR="00321C9F" w:rsidRPr="0040690B">
        <w:t>additional costs</w:t>
      </w:r>
      <w:r w:rsidR="00FE1626" w:rsidRPr="0040690B">
        <w:t xml:space="preserve">. </w:t>
      </w:r>
    </w:p>
    <w:p w14:paraId="4182C0D7" w14:textId="77777777" w:rsidR="004B2BF1" w:rsidRPr="004B2BF1" w:rsidRDefault="004B2BF1" w:rsidP="00592939">
      <w:pPr>
        <w:pStyle w:val="Bodytext-quote2"/>
        <w:rPr>
          <w:i/>
          <w:iCs/>
        </w:rPr>
      </w:pPr>
      <w:r w:rsidRPr="004B2BF1">
        <w:t>"Ongoing costs need to be considered as my prosthesis needs replacing every two years or before. The ongoing costs of adhesive and cleaners and cost of ongoing appointments could be a restricting factor for some people."</w:t>
      </w:r>
    </w:p>
    <w:p w14:paraId="43F24D0D" w14:textId="502CDF22" w:rsidR="004B2BF1" w:rsidRDefault="004B2BF1" w:rsidP="00E71108">
      <w:pPr>
        <w:pStyle w:val="Bodytextquote2strong"/>
      </w:pPr>
      <w:r w:rsidRPr="004B2BF1">
        <w:t>- Person with lived experience of cancer</w:t>
      </w:r>
    </w:p>
    <w:p w14:paraId="2FED8821" w14:textId="219120A0" w:rsidR="00E66382" w:rsidRPr="00537FAF" w:rsidRDefault="00E66382" w:rsidP="00D44260">
      <w:pPr>
        <w:pStyle w:val="Heading4"/>
      </w:pPr>
      <w:r w:rsidRPr="009D65B2">
        <w:t>Upfront pay</w:t>
      </w:r>
      <w:r w:rsidRPr="00537FAF">
        <w:t>ments</w:t>
      </w:r>
    </w:p>
    <w:p w14:paraId="7AF60ACD" w14:textId="51CE9C30" w:rsidR="009C59BD" w:rsidRPr="0040690B" w:rsidRDefault="0030761C" w:rsidP="0040690B">
      <w:r w:rsidRPr="0040690B">
        <w:t xml:space="preserve">While </w:t>
      </w:r>
      <w:r w:rsidR="008E7E6D" w:rsidRPr="0040690B">
        <w:t>individual</w:t>
      </w:r>
      <w:r w:rsidRPr="0040690B">
        <w:t xml:space="preserve">s </w:t>
      </w:r>
      <w:proofErr w:type="gramStart"/>
      <w:r w:rsidR="00C76F5B" w:rsidRPr="0040690B">
        <w:t>are able to</w:t>
      </w:r>
      <w:proofErr w:type="gramEnd"/>
      <w:r w:rsidRPr="0040690B">
        <w:t xml:space="preserve"> access</w:t>
      </w:r>
      <w:r w:rsidR="00C76F5B" w:rsidRPr="0040690B">
        <w:t xml:space="preserve"> external </w:t>
      </w:r>
      <w:r w:rsidRPr="0040690B">
        <w:t xml:space="preserve">breast </w:t>
      </w:r>
      <w:r w:rsidR="006E69ED" w:rsidRPr="0040690B">
        <w:t>prostheses</w:t>
      </w:r>
      <w:r w:rsidRPr="0040690B">
        <w:t xml:space="preserve"> </w:t>
      </w:r>
      <w:r w:rsidR="00C76F5B" w:rsidRPr="0040690B">
        <w:t>under</w:t>
      </w:r>
      <w:r w:rsidR="00F23705" w:rsidRPr="0040690B">
        <w:t xml:space="preserve"> the </w:t>
      </w:r>
      <w:r w:rsidR="00770354" w:rsidRPr="0040690B">
        <w:t>EBPRP</w:t>
      </w:r>
      <w:r w:rsidR="00F23705" w:rsidRPr="0040690B">
        <w:t xml:space="preserve">, </w:t>
      </w:r>
      <w:r w:rsidR="00C42CFC" w:rsidRPr="0040690B">
        <w:t>as</w:t>
      </w:r>
      <w:r w:rsidR="002A78CF" w:rsidRPr="0040690B">
        <w:t xml:space="preserve"> outlined in Section 2, </w:t>
      </w:r>
      <w:r w:rsidR="00F23705" w:rsidRPr="0040690B">
        <w:t xml:space="preserve">this </w:t>
      </w:r>
      <w:r w:rsidR="00C76F5B" w:rsidRPr="0040690B">
        <w:t>program</w:t>
      </w:r>
      <w:r w:rsidR="00F23705" w:rsidRPr="0040690B">
        <w:t xml:space="preserve"> </w:t>
      </w:r>
      <w:r w:rsidR="002A78CF" w:rsidRPr="0040690B">
        <w:t>operates under</w:t>
      </w:r>
      <w:r w:rsidR="00F23705" w:rsidRPr="0040690B">
        <w:t xml:space="preserve"> a reimbursement model </w:t>
      </w:r>
      <w:r w:rsidR="002A78CF" w:rsidRPr="0040690B">
        <w:t xml:space="preserve">which requires </w:t>
      </w:r>
      <w:r w:rsidR="008E7E6D" w:rsidRPr="0040690B">
        <w:t>them</w:t>
      </w:r>
      <w:r w:rsidR="002A78CF" w:rsidRPr="0040690B">
        <w:t xml:space="preserve"> to make an upfront payment of $400 per prosthesis</w:t>
      </w:r>
      <w:r w:rsidR="00F23705" w:rsidRPr="0040690B">
        <w:t xml:space="preserve">. </w:t>
      </w:r>
      <w:r w:rsidR="00033AE2" w:rsidRPr="0040690B">
        <w:t>Multiple stakeholders highlight</w:t>
      </w:r>
      <w:r w:rsidR="00956936" w:rsidRPr="0040690B">
        <w:t>ed</w:t>
      </w:r>
      <w:r w:rsidR="00033AE2" w:rsidRPr="0040690B">
        <w:t xml:space="preserve"> that </w:t>
      </w:r>
      <w:r w:rsidR="008D2ECB" w:rsidRPr="0040690B">
        <w:t xml:space="preserve">the reimbursement model creates a significant barrier </w:t>
      </w:r>
      <w:r w:rsidR="007524E6" w:rsidRPr="0040690B">
        <w:t xml:space="preserve">to access </w:t>
      </w:r>
      <w:r w:rsidR="008D2ECB" w:rsidRPr="0040690B">
        <w:t xml:space="preserve">for some people, </w:t>
      </w:r>
      <w:r w:rsidR="00033AE2" w:rsidRPr="0040690B">
        <w:t xml:space="preserve">especially </w:t>
      </w:r>
      <w:r w:rsidR="008D2ECB" w:rsidRPr="0040690B">
        <w:t>those</w:t>
      </w:r>
      <w:r w:rsidR="00033AE2" w:rsidRPr="0040690B">
        <w:t xml:space="preserve"> on low incomes, Aboriginal and Torres Strait Islander people, and those </w:t>
      </w:r>
      <w:r w:rsidR="007524E6" w:rsidRPr="0040690B">
        <w:t xml:space="preserve">who live </w:t>
      </w:r>
      <w:r w:rsidR="00033AE2" w:rsidRPr="0040690B">
        <w:t>in rural or regional areas.</w:t>
      </w:r>
    </w:p>
    <w:p w14:paraId="54780215" w14:textId="60BF3CAB" w:rsidR="00033AE2" w:rsidRPr="0040690B" w:rsidRDefault="009C59BD" w:rsidP="0040690B">
      <w:r w:rsidRPr="0040690B">
        <w:t xml:space="preserve">Additionally, while </w:t>
      </w:r>
      <w:r w:rsidR="00033AE2" w:rsidRPr="0040690B">
        <w:t>reimbursement</w:t>
      </w:r>
      <w:r w:rsidRPr="0040690B">
        <w:t xml:space="preserve"> will be provided under the scheme</w:t>
      </w:r>
      <w:r w:rsidR="00033AE2" w:rsidRPr="0040690B">
        <w:t xml:space="preserve">, the process </w:t>
      </w:r>
      <w:r w:rsidRPr="0040690B">
        <w:t>typically takes approximately two weeks</w:t>
      </w:r>
      <w:r w:rsidR="006E69ED" w:rsidRPr="0040690B">
        <w:t xml:space="preserve">, which can lead to </w:t>
      </w:r>
      <w:r w:rsidR="00033AE2" w:rsidRPr="0040690B">
        <w:t xml:space="preserve">financial stress and, in some cases, </w:t>
      </w:r>
      <w:r w:rsidR="00B67E1C" w:rsidRPr="0040690B">
        <w:t xml:space="preserve">result in people </w:t>
      </w:r>
      <w:r w:rsidR="00033AE2" w:rsidRPr="0040690B">
        <w:t xml:space="preserve">delaying or </w:t>
      </w:r>
      <w:r w:rsidR="00B67E1C" w:rsidRPr="0040690B">
        <w:t>deciding not to proceed with</w:t>
      </w:r>
      <w:r w:rsidR="00033AE2" w:rsidRPr="0040690B">
        <w:t xml:space="preserve"> </w:t>
      </w:r>
      <w:r w:rsidR="00B67E1C" w:rsidRPr="0040690B">
        <w:t xml:space="preserve">accessing a </w:t>
      </w:r>
      <w:r w:rsidR="00033AE2" w:rsidRPr="0040690B">
        <w:t>prosthesis</w:t>
      </w:r>
      <w:r w:rsidR="00F13A9D" w:rsidRPr="0040690B">
        <w:t xml:space="preserve"> at all</w:t>
      </w:r>
      <w:r w:rsidR="00033AE2" w:rsidRPr="0040690B">
        <w:t>.</w:t>
      </w:r>
      <w:r w:rsidR="00B67E1C" w:rsidRPr="0040690B">
        <w:t xml:space="preserve"> </w:t>
      </w:r>
      <w:r w:rsidR="00033AE2" w:rsidRPr="0040690B">
        <w:t xml:space="preserve">The inability to afford </w:t>
      </w:r>
      <w:r w:rsidR="00F13A9D" w:rsidRPr="0040690B">
        <w:t xml:space="preserve">the upfront payment for </w:t>
      </w:r>
      <w:r w:rsidR="00033AE2" w:rsidRPr="0040690B">
        <w:t>a prosthesis can result in people using old, damaged</w:t>
      </w:r>
      <w:r w:rsidR="006E69ED" w:rsidRPr="0040690B">
        <w:t>, or prostheses not intended for long-term</w:t>
      </w:r>
      <w:r w:rsidR="00F13A9D" w:rsidRPr="0040690B">
        <w:t xml:space="preserve"> use, such as knitted prostheses, which can lead to other health issues. </w:t>
      </w:r>
    </w:p>
    <w:p w14:paraId="066861D5" w14:textId="43B28BC8" w:rsidR="00033AE2" w:rsidRPr="0040690B" w:rsidDel="003144D0" w:rsidRDefault="00B965EA" w:rsidP="0040690B">
      <w:r w:rsidRPr="0040690B">
        <w:t>Stakeholders consistently highlighted that t</w:t>
      </w:r>
      <w:r w:rsidR="00033AE2" w:rsidRPr="0040690B">
        <w:t xml:space="preserve">he requirement for upfront payment disproportionately affects vulnerable groups, including those with lower socioeconomic status and Aboriginal and Torres Strait Islander women, who may not have </w:t>
      </w:r>
      <w:r w:rsidR="00F13A9D" w:rsidRPr="0040690B">
        <w:t>access to</w:t>
      </w:r>
      <w:r w:rsidR="00033AE2" w:rsidRPr="0040690B">
        <w:t xml:space="preserve"> resources to cover the initial cost.</w:t>
      </w:r>
      <w:r w:rsidR="007B5A35" w:rsidRPr="0040690B">
        <w:t xml:space="preserve"> It was suggested by clinicians and </w:t>
      </w:r>
      <w:r w:rsidR="008E7E6D" w:rsidRPr="0040690B">
        <w:t>people with lived experience of cancer</w:t>
      </w:r>
      <w:r w:rsidR="007B5A35" w:rsidRPr="0040690B">
        <w:t xml:space="preserve"> that </w:t>
      </w:r>
      <w:r w:rsidR="00376274" w:rsidRPr="0040690B">
        <w:t xml:space="preserve">a fully funded model or access to an immediate rebate at the point of purchase should be considered to remove this barrier to access. </w:t>
      </w:r>
    </w:p>
    <w:p w14:paraId="6CF23220" w14:textId="77777777" w:rsidR="002B2E48" w:rsidRPr="00C86790" w:rsidRDefault="002B2E48" w:rsidP="00592939">
      <w:pPr>
        <w:pStyle w:val="Bodytext-quote2"/>
      </w:pPr>
      <w:r w:rsidRPr="00C86790">
        <w:t>"</w:t>
      </w:r>
      <w:r w:rsidRPr="00F13A9D">
        <w:t xml:space="preserve">The </w:t>
      </w:r>
      <w:r>
        <w:t>b</w:t>
      </w:r>
      <w:r w:rsidRPr="00F13A9D">
        <w:t xml:space="preserve">reast prosthesis rebate </w:t>
      </w:r>
      <w:r>
        <w:t xml:space="preserve">should </w:t>
      </w:r>
      <w:r w:rsidRPr="00F13A9D">
        <w:t>be able to</w:t>
      </w:r>
      <w:r>
        <w:t xml:space="preserve"> be</w:t>
      </w:r>
      <w:r w:rsidRPr="00F13A9D">
        <w:t xml:space="preserve"> claim</w:t>
      </w:r>
      <w:r>
        <w:t>ed</w:t>
      </w:r>
      <w:r w:rsidRPr="00F13A9D">
        <w:t xml:space="preserve"> immediately at point of purchase. This would potentially help women who do not have cash up front to purchase </w:t>
      </w:r>
      <w:r>
        <w:t>and</w:t>
      </w:r>
      <w:r w:rsidRPr="00F13A9D">
        <w:t xml:space="preserve"> wait for rebate to be processed</w:t>
      </w:r>
      <w:r>
        <w:t>.</w:t>
      </w:r>
      <w:r w:rsidRPr="00C86790">
        <w:t>"</w:t>
      </w:r>
    </w:p>
    <w:p w14:paraId="2C0B2710" w14:textId="2279F561" w:rsidR="002B2E48" w:rsidRDefault="002B2E48" w:rsidP="00E71108">
      <w:pPr>
        <w:pStyle w:val="Bodytextquote2strong"/>
      </w:pPr>
      <w:r w:rsidRPr="0089298F">
        <w:t xml:space="preserve">- </w:t>
      </w:r>
      <w:r w:rsidRPr="00A5619B">
        <w:t>Person with lived experience of cancer</w:t>
      </w:r>
    </w:p>
    <w:p w14:paraId="6E0F1711" w14:textId="77777777" w:rsidR="002B2E48" w:rsidRPr="001F1E51" w:rsidRDefault="002B2E48" w:rsidP="00592939">
      <w:pPr>
        <w:pStyle w:val="Bodytext-quote2"/>
      </w:pPr>
      <w:r w:rsidRPr="001F1E51">
        <w:t>“Putting the money upfront is a particular barrier for a lot of patients I see. One woman removed her bra and her prosthesis fell out. It was all covered in Band-Aids because she couldn't afford to get a new one."</w:t>
      </w:r>
    </w:p>
    <w:p w14:paraId="00523D87" w14:textId="53F4DBC4" w:rsidR="002B2E48" w:rsidRDefault="002B2E48" w:rsidP="00E71108">
      <w:pPr>
        <w:pStyle w:val="Bodytextquote2strong"/>
      </w:pPr>
      <w:r w:rsidRPr="0089298F">
        <w:t xml:space="preserve">- </w:t>
      </w:r>
      <w:r>
        <w:t>Clinician</w:t>
      </w:r>
    </w:p>
    <w:p w14:paraId="07C9346B" w14:textId="4E9BB573" w:rsidR="00E66382" w:rsidRDefault="00E66382" w:rsidP="00ED1564">
      <w:pPr>
        <w:pStyle w:val="Heading4"/>
      </w:pPr>
      <w:r w:rsidRPr="00537FAF">
        <w:t>Travel costs</w:t>
      </w:r>
    </w:p>
    <w:p w14:paraId="2ADB660C" w14:textId="570FF081" w:rsidR="007B321D" w:rsidRPr="0040690B" w:rsidRDefault="00A56E16" w:rsidP="0040690B">
      <w:r w:rsidRPr="0040690B">
        <w:t xml:space="preserve">Stakeholders </w:t>
      </w:r>
      <w:r w:rsidR="003946CA" w:rsidRPr="0040690B">
        <w:t>also identified</w:t>
      </w:r>
      <w:r w:rsidRPr="0040690B">
        <w:t xml:space="preserve"> travel as a significant financial and logistical barrier</w:t>
      </w:r>
      <w:r w:rsidR="00444DCA" w:rsidRPr="0040690B">
        <w:t xml:space="preserve"> to accessing prostheses</w:t>
      </w:r>
      <w:r w:rsidRPr="0040690B">
        <w:t>, particularly for those living in regional</w:t>
      </w:r>
      <w:r w:rsidR="007B321D" w:rsidRPr="0040690B">
        <w:t>, rural and remote</w:t>
      </w:r>
      <w:r w:rsidRPr="0040690B">
        <w:t xml:space="preserve"> areas</w:t>
      </w:r>
      <w:r w:rsidR="00444DCA" w:rsidRPr="0040690B">
        <w:t>.</w:t>
      </w:r>
      <w:r w:rsidRPr="0040690B">
        <w:t xml:space="preserve"> Many </w:t>
      </w:r>
      <w:r w:rsidR="008E7E6D" w:rsidRPr="0040690B">
        <w:t>people with lived experience of cancer</w:t>
      </w:r>
      <w:r w:rsidRPr="0040690B">
        <w:t xml:space="preserve"> report</w:t>
      </w:r>
      <w:r w:rsidR="00444DCA" w:rsidRPr="0040690B">
        <w:t>ed</w:t>
      </w:r>
      <w:r w:rsidRPr="0040690B">
        <w:t xml:space="preserve"> paying hundreds of dollars per trip, with some needing to travel hundreds of </w:t>
      </w:r>
      <w:r w:rsidR="003946CA" w:rsidRPr="0040690B">
        <w:t>kilometres</w:t>
      </w:r>
      <w:r w:rsidRPr="0040690B">
        <w:t xml:space="preserve"> multiple times for</w:t>
      </w:r>
      <w:r w:rsidR="00444DCA" w:rsidRPr="0040690B">
        <w:t xml:space="preserve"> prosthesis</w:t>
      </w:r>
      <w:r w:rsidRPr="0040690B">
        <w:t xml:space="preserve"> fittings and reviews.</w:t>
      </w:r>
      <w:r w:rsidR="00444DCA" w:rsidRPr="0040690B">
        <w:t xml:space="preserve"> </w:t>
      </w:r>
    </w:p>
    <w:p w14:paraId="17631B0C" w14:textId="38D63BC2" w:rsidR="00EF5C00" w:rsidRPr="0040690B" w:rsidRDefault="00A56E16" w:rsidP="0040690B">
      <w:r w:rsidRPr="0040690B">
        <w:t xml:space="preserve">While some </w:t>
      </w:r>
      <w:r w:rsidR="00444DCA" w:rsidRPr="0040690B">
        <w:t>jurisd</w:t>
      </w:r>
      <w:r w:rsidR="003946CA" w:rsidRPr="0040690B">
        <w:t>ictions</w:t>
      </w:r>
      <w:r w:rsidRPr="0040690B">
        <w:t xml:space="preserve"> offer partial reimbursement</w:t>
      </w:r>
      <w:r w:rsidR="003946CA" w:rsidRPr="0040690B">
        <w:t xml:space="preserve"> for travel </w:t>
      </w:r>
      <w:r w:rsidR="007B321D" w:rsidRPr="0040690B">
        <w:t xml:space="preserve">costs </w:t>
      </w:r>
      <w:r w:rsidR="003946CA" w:rsidRPr="0040690B">
        <w:t>related to medical care</w:t>
      </w:r>
      <w:r w:rsidRPr="0040690B">
        <w:t xml:space="preserve">, these schemes often do not </w:t>
      </w:r>
      <w:r w:rsidR="007B321D" w:rsidRPr="0040690B">
        <w:t xml:space="preserve">cover </w:t>
      </w:r>
      <w:r w:rsidR="009F6086" w:rsidRPr="0040690B">
        <w:t>the full travel costs, leaving patients out of pocket. Additionally,</w:t>
      </w:r>
      <w:r w:rsidR="007B321D" w:rsidRPr="0040690B">
        <w:t xml:space="preserve"> some prosthesis types (e.g., oral prostheses) are excluded from </w:t>
      </w:r>
      <w:r w:rsidR="00CA0F1F" w:rsidRPr="0040690B">
        <w:t xml:space="preserve">travel schemes. Stakeholders also reported that there is </w:t>
      </w:r>
      <w:r w:rsidR="009F6086" w:rsidRPr="0040690B">
        <w:t xml:space="preserve">a lack of awareness and promotion of travel schemes, with many only </w:t>
      </w:r>
      <w:proofErr w:type="gramStart"/>
      <w:r w:rsidR="009F6086" w:rsidRPr="0040690B">
        <w:t>hearing</w:t>
      </w:r>
      <w:proofErr w:type="gramEnd"/>
      <w:r w:rsidR="009F6086" w:rsidRPr="0040690B">
        <w:t xml:space="preserve"> about them</w:t>
      </w:r>
      <w:r w:rsidR="00CA0F1F" w:rsidRPr="0040690B">
        <w:t xml:space="preserve"> through word of mouth. </w:t>
      </w:r>
      <w:r w:rsidRPr="0040690B">
        <w:t xml:space="preserve">The </w:t>
      </w:r>
      <w:r w:rsidR="00CA0F1F" w:rsidRPr="0040690B">
        <w:t>cost involved in needing</w:t>
      </w:r>
      <w:r w:rsidRPr="0040690B">
        <w:t xml:space="preserve"> to travel long distances</w:t>
      </w:r>
      <w:r w:rsidR="00CA0F1F" w:rsidRPr="0040690B">
        <w:t xml:space="preserve"> was reported to</w:t>
      </w:r>
      <w:r w:rsidRPr="0040690B">
        <w:t xml:space="preserve"> discourage some people from pursuing prosthetic care altogether, leading to self-exclusion and unmet health needs, especially among lower socioeconomic groups and priority populations</w:t>
      </w:r>
      <w:r w:rsidR="00CA0F1F" w:rsidRPr="0040690B">
        <w:t xml:space="preserve"> such as those living in rural and remote areas and Aboriginal and Torres Strait Islander communities</w:t>
      </w:r>
      <w:r w:rsidRPr="0040690B">
        <w:t>.</w:t>
      </w:r>
      <w:r w:rsidR="003946CA" w:rsidRPr="0040690B">
        <w:t xml:space="preserve"> </w:t>
      </w:r>
      <w:r w:rsidR="00CA0F1F" w:rsidRPr="0040690B">
        <w:t>Additionally, t</w:t>
      </w:r>
      <w:r w:rsidRPr="0040690B">
        <w:t xml:space="preserve">ravel requirements </w:t>
      </w:r>
      <w:r w:rsidR="00CA0F1F" w:rsidRPr="0040690B">
        <w:t xml:space="preserve">were reported to </w:t>
      </w:r>
      <w:r w:rsidRPr="0040690B">
        <w:t xml:space="preserve">add to the psychological burden of cancer recovery, with some patients describing the process as exhausting and </w:t>
      </w:r>
      <w:r w:rsidR="009F6086" w:rsidRPr="0040690B">
        <w:t>demoralising</w:t>
      </w:r>
      <w:r w:rsidRPr="0040690B">
        <w:t>.</w:t>
      </w:r>
      <w:bookmarkStart w:id="121" w:name="_Ref201655191"/>
      <w:r w:rsidR="00EF5C00" w:rsidRPr="0040690B">
        <w:br w:type="page"/>
      </w:r>
    </w:p>
    <w:p w14:paraId="50882614" w14:textId="6425C0D2" w:rsidR="00E85489" w:rsidRPr="00822A88" w:rsidRDefault="00E85489" w:rsidP="008239ED">
      <w:pPr>
        <w:pStyle w:val="Heading2"/>
      </w:pPr>
      <w:bookmarkStart w:id="122" w:name="_Ref207269738"/>
      <w:bookmarkStart w:id="123" w:name="_Toc207348750"/>
      <w:r>
        <w:t>Equity issues</w:t>
      </w:r>
      <w:bookmarkEnd w:id="121"/>
      <w:bookmarkEnd w:id="122"/>
      <w:bookmarkEnd w:id="123"/>
    </w:p>
    <w:p w14:paraId="3C2F1BA1" w14:textId="2A055778" w:rsidR="0077796F" w:rsidRPr="0040690B" w:rsidRDefault="00263E55" w:rsidP="0040690B">
      <w:r w:rsidRPr="0040690B">
        <w:t xml:space="preserve">In considering the barriers </w:t>
      </w:r>
      <w:r w:rsidR="0077796F" w:rsidRPr="0040690B">
        <w:t xml:space="preserve">discussed in the previous section, </w:t>
      </w:r>
      <w:r w:rsidR="009F6086" w:rsidRPr="0040690B">
        <w:t>several issues related to equitable access to</w:t>
      </w:r>
      <w:r w:rsidR="0077796F" w:rsidRPr="0040690B">
        <w:t xml:space="preserve"> prostheses </w:t>
      </w:r>
      <w:r w:rsidR="00EF16AB" w:rsidRPr="0040690B">
        <w:t xml:space="preserve">have been identified. </w:t>
      </w:r>
      <w:r w:rsidR="000B17EE" w:rsidRPr="0040690B">
        <w:t xml:space="preserve">As outlined </w:t>
      </w:r>
      <w:r w:rsidR="005B50BC" w:rsidRPr="0040690B">
        <w:t>below</w:t>
      </w:r>
      <w:r w:rsidR="000B17EE" w:rsidRPr="0040690B">
        <w:t>, t</w:t>
      </w:r>
      <w:r w:rsidR="00EF16AB" w:rsidRPr="0040690B">
        <w:t xml:space="preserve">hese issues have been grouped </w:t>
      </w:r>
      <w:r w:rsidR="000B17EE" w:rsidRPr="0040690B">
        <w:t>into</w:t>
      </w:r>
      <w:r w:rsidR="00585780" w:rsidRPr="0040690B">
        <w:t xml:space="preserve"> </w:t>
      </w:r>
      <w:r w:rsidR="00EF16AB" w:rsidRPr="0040690B">
        <w:t xml:space="preserve">three categories: </w:t>
      </w:r>
    </w:p>
    <w:p w14:paraId="3200E2F2" w14:textId="6074C326" w:rsidR="00EF16AB" w:rsidRDefault="00585780" w:rsidP="00D44260">
      <w:pPr>
        <w:pStyle w:val="Bullet1stlevel"/>
      </w:pPr>
      <w:r w:rsidRPr="00585780">
        <w:t>Differences in equitable access between different types of prostheses</w:t>
      </w:r>
    </w:p>
    <w:p w14:paraId="7EB7EA57" w14:textId="5D723CCA" w:rsidR="00585780" w:rsidRDefault="00585780" w:rsidP="00D44260">
      <w:pPr>
        <w:pStyle w:val="Bullet1stlevel"/>
      </w:pPr>
      <w:r>
        <w:t>Differences in equitable access within the same type of prosthesis</w:t>
      </w:r>
    </w:p>
    <w:p w14:paraId="5A1D1274" w14:textId="46EEAD25" w:rsidR="00585780" w:rsidRDefault="00347A75" w:rsidP="00D44260">
      <w:pPr>
        <w:pStyle w:val="Bullet1stlevel"/>
      </w:pPr>
      <w:r w:rsidRPr="00347A75">
        <w:t xml:space="preserve">Additional access </w:t>
      </w:r>
      <w:r w:rsidR="00C750B5">
        <w:t xml:space="preserve">issues </w:t>
      </w:r>
      <w:r w:rsidRPr="00347A75">
        <w:t>experienced by priority population groups</w:t>
      </w:r>
      <w:r w:rsidR="00C750B5">
        <w:t xml:space="preserve">. </w:t>
      </w:r>
    </w:p>
    <w:p w14:paraId="58DAB3B7" w14:textId="4EC18611" w:rsidR="00E03279" w:rsidRPr="0040690B" w:rsidRDefault="00927EE6" w:rsidP="0040690B">
      <w:r w:rsidRPr="0040690B">
        <w:t xml:space="preserve">The </w:t>
      </w:r>
      <w:r w:rsidR="00307617" w:rsidRPr="0040690B">
        <w:t xml:space="preserve">equity issues </w:t>
      </w:r>
      <w:r w:rsidR="00263E55" w:rsidRPr="0040690B">
        <w:t xml:space="preserve">were identified </w:t>
      </w:r>
      <w:r w:rsidR="005E25B6" w:rsidRPr="0040690B">
        <w:t>through</w:t>
      </w:r>
      <w:r w:rsidR="00263E55" w:rsidRPr="0040690B">
        <w:t xml:space="preserve"> a variety of sources</w:t>
      </w:r>
      <w:r w:rsidR="005E25B6" w:rsidRPr="0040690B">
        <w:t>, including desktop research and mapping of available schemes and programs for prostheses, consultation with stakeholders, such as clinicians involved in prostheses services and individuals living with or who have experienced</w:t>
      </w:r>
      <w:r w:rsidR="00263E55" w:rsidRPr="0040690B">
        <w:t xml:space="preserve"> cancer, and stakeholder survey responses.</w:t>
      </w:r>
      <w:r w:rsidR="003B4107" w:rsidRPr="0040690B">
        <w:t xml:space="preserve"> </w:t>
      </w:r>
    </w:p>
    <w:p w14:paraId="5E9AE3AE" w14:textId="0D0F70BE" w:rsidR="005B50BC" w:rsidRPr="0040690B" w:rsidRDefault="005B50BC" w:rsidP="0040690B">
      <w:r w:rsidRPr="0040690B">
        <w:t>The equity issu</w:t>
      </w:r>
      <w:r w:rsidR="00A3714B" w:rsidRPr="0040690B">
        <w:t>es for people living with or who have lived experience of cancer in accessing prostheses include:</w:t>
      </w:r>
    </w:p>
    <w:p w14:paraId="4DAB76E2" w14:textId="6C488FAE" w:rsidR="00A3714B" w:rsidRPr="0042443F" w:rsidRDefault="00A8616A" w:rsidP="005A6CA2">
      <w:pPr>
        <w:pStyle w:val="Calloutbodytext"/>
        <w:rPr>
          <w:rStyle w:val="Strong"/>
        </w:rPr>
      </w:pPr>
      <w:r w:rsidRPr="0042443F">
        <w:rPr>
          <w:rStyle w:val="Strong"/>
        </w:rPr>
        <w:t xml:space="preserve">1. </w:t>
      </w:r>
      <w:r w:rsidR="00A3714B" w:rsidRPr="0042443F">
        <w:rPr>
          <w:rStyle w:val="Strong"/>
        </w:rPr>
        <w:t>Differences in equitable access between different types of prostheses</w:t>
      </w:r>
    </w:p>
    <w:p w14:paraId="45FCAA52" w14:textId="77777777" w:rsidR="00A3714B" w:rsidRDefault="00A3714B" w:rsidP="005A6CA2">
      <w:pPr>
        <w:pStyle w:val="Calloutbodytext"/>
      </w:pPr>
      <w:r w:rsidRPr="0042443F">
        <w:rPr>
          <w:rStyle w:val="Strong"/>
        </w:rPr>
        <w:t>1A. Inconsistent availability of national programs and schemes</w:t>
      </w:r>
      <w:r w:rsidRPr="002031DF">
        <w:t>: There is no national program or scheme currently in place for facial prostheses, unlike limbs (NDIS) and external breast prostheses (EBPRP).</w:t>
      </w:r>
    </w:p>
    <w:p w14:paraId="091EED0D" w14:textId="77777777" w:rsidR="00A3714B" w:rsidRDefault="00A3714B" w:rsidP="005A6CA2">
      <w:pPr>
        <w:pStyle w:val="Calloutbodytext"/>
      </w:pPr>
      <w:r w:rsidRPr="0042443F">
        <w:rPr>
          <w:rStyle w:val="Strong"/>
        </w:rPr>
        <w:t>1B.  Inconsistent funding models used by existing national programs and schemes</w:t>
      </w:r>
      <w:r w:rsidRPr="002031DF">
        <w:t>: The EBPRP requires an upfront payment to access breast prostheses, while there is no upfront payment required to access a prosthetic limb under the NDIS.</w:t>
      </w:r>
    </w:p>
    <w:p w14:paraId="0278B65C" w14:textId="7F52884B" w:rsidR="00A3714B" w:rsidRPr="0042443F" w:rsidRDefault="00A8616A" w:rsidP="005A6CA2">
      <w:pPr>
        <w:pStyle w:val="Calloutbodytext"/>
        <w:rPr>
          <w:rStyle w:val="Strong"/>
        </w:rPr>
      </w:pPr>
      <w:r w:rsidRPr="0042443F">
        <w:rPr>
          <w:rStyle w:val="Strong"/>
        </w:rPr>
        <w:t xml:space="preserve">2. </w:t>
      </w:r>
      <w:r w:rsidR="00A3714B" w:rsidRPr="0042443F">
        <w:rPr>
          <w:rStyle w:val="Strong"/>
        </w:rPr>
        <w:t>Differences in equitable access for the same type of prostheses</w:t>
      </w:r>
    </w:p>
    <w:p w14:paraId="6BF8A875" w14:textId="77777777" w:rsidR="00A3714B" w:rsidRDefault="00A3714B" w:rsidP="005A6CA2">
      <w:pPr>
        <w:pStyle w:val="Calloutbodytext"/>
      </w:pPr>
      <w:r w:rsidRPr="0042443F">
        <w:rPr>
          <w:rStyle w:val="Strong"/>
        </w:rPr>
        <w:t xml:space="preserve">2A. Variability in availability of facial prostheses services between jurisdictions: </w:t>
      </w:r>
      <w:r w:rsidRPr="009C14BC">
        <w:t>Some jurisdictions provide publicly funded facial prostheses services, while in others, either only private services or no services are available.</w:t>
      </w:r>
    </w:p>
    <w:p w14:paraId="3D6383D2" w14:textId="77777777" w:rsidR="00A3714B" w:rsidRDefault="00A3714B" w:rsidP="005A6CA2">
      <w:pPr>
        <w:pStyle w:val="Calloutbodytext"/>
      </w:pPr>
      <w:r w:rsidRPr="0042443F">
        <w:rPr>
          <w:rStyle w:val="Strong"/>
        </w:rPr>
        <w:t>2B. Variability in prostheses available under the NDIS and jurisdictional limb schemes</w:t>
      </w:r>
      <w:r w:rsidRPr="009C14BC">
        <w:t>: People under 65 years can access high-grade limbs through the NDIS, while people over 65 years are reliant on jurisdictional limb schemes, which typically offer basic limbs and componentry only</w:t>
      </w:r>
    </w:p>
    <w:p w14:paraId="2DC4EEAD" w14:textId="7ADA6498" w:rsidR="00A3714B" w:rsidRPr="0042443F" w:rsidRDefault="00A8616A" w:rsidP="005A6CA2">
      <w:pPr>
        <w:pStyle w:val="Calloutbodytext"/>
        <w:rPr>
          <w:rStyle w:val="Strong"/>
        </w:rPr>
      </w:pPr>
      <w:r w:rsidRPr="0042443F">
        <w:rPr>
          <w:rStyle w:val="Strong"/>
        </w:rPr>
        <w:t xml:space="preserve">3. </w:t>
      </w:r>
      <w:r w:rsidR="00A3714B" w:rsidRPr="0042443F">
        <w:rPr>
          <w:rStyle w:val="Strong"/>
        </w:rPr>
        <w:t>Additional access issues experienced by priority population groups</w:t>
      </w:r>
    </w:p>
    <w:p w14:paraId="77051F16" w14:textId="77777777" w:rsidR="00A3714B" w:rsidRDefault="00A3714B" w:rsidP="005A6CA2">
      <w:pPr>
        <w:pStyle w:val="Calloutbodytext"/>
      </w:pPr>
      <w:r w:rsidRPr="0042443F">
        <w:rPr>
          <w:rStyle w:val="Strong"/>
        </w:rPr>
        <w:t>3A.  Limited services available in rural and remote areas:</w:t>
      </w:r>
      <w:r w:rsidRPr="00E41B5F">
        <w:t xml:space="preserve"> Most prostheses services are only available in metropolitan areas, with limited and inconsistent availability of mobile or outreach prostheses services.</w:t>
      </w:r>
    </w:p>
    <w:p w14:paraId="035FE864" w14:textId="77777777" w:rsidR="00A3714B" w:rsidRDefault="00A3714B" w:rsidP="005A6CA2">
      <w:pPr>
        <w:pStyle w:val="Calloutbodytext"/>
      </w:pPr>
      <w:r w:rsidRPr="0042443F">
        <w:rPr>
          <w:rStyle w:val="Strong"/>
        </w:rPr>
        <w:t>3B.  Significant financial barriers for people in lower socioeconomic groups:</w:t>
      </w:r>
      <w:r w:rsidRPr="00E41B5F">
        <w:t xml:space="preserve"> There are significant financial barriers for individuals who require facial prostheses who live in jurisdictions where there are no publicly funded services available. Additionally, the reimbursement model of the EBPRP presents a barrier to access for people in lower socioeconomic groups due to the upfront payment required.</w:t>
      </w:r>
    </w:p>
    <w:p w14:paraId="448F6729" w14:textId="06A5028F" w:rsidR="00A3714B" w:rsidRDefault="00A3714B" w:rsidP="005A6CA2">
      <w:pPr>
        <w:pStyle w:val="Calloutbodytext"/>
      </w:pPr>
      <w:r w:rsidRPr="0042443F">
        <w:rPr>
          <w:rStyle w:val="Strong"/>
        </w:rPr>
        <w:t>3C.  Additional financial burden for young people requiring facial prostheses:</w:t>
      </w:r>
      <w:r>
        <w:t xml:space="preserve"> The need for more frequent replacement prostheses to accommodate anatomical changes due to growth and ageing, placing an additional financial burden on young people who require facial prostheses and live in jurisdictions with no publicly funded services available.</w:t>
      </w:r>
    </w:p>
    <w:p w14:paraId="43E95560" w14:textId="7238F080" w:rsidR="002C4EBA" w:rsidRPr="0040690B" w:rsidRDefault="002C4EBA" w:rsidP="0040690B">
      <w:r w:rsidRPr="0040690B">
        <w:fldChar w:fldCharType="begin"/>
      </w:r>
      <w:r w:rsidRPr="0040690B">
        <w:instrText xml:space="preserve"> REF _Ref204111701 \w \h  \* MERGEFORMAT </w:instrText>
      </w:r>
      <w:r w:rsidRPr="0040690B">
        <w:fldChar w:fldCharType="separate"/>
      </w:r>
      <w:r w:rsidRPr="0040690B">
        <w:t>Appendix G</w:t>
      </w:r>
      <w:r w:rsidRPr="0040690B">
        <w:fldChar w:fldCharType="end"/>
      </w:r>
      <w:r w:rsidRPr="0040690B">
        <w:t xml:space="preserve"> provides additional details on each equity issue and includes case studies to illustrate the issue further. The case studies were developed based on the experiences and insights shared by stakeholders during consultation; however, they are not based on specific individuals.</w:t>
      </w:r>
    </w:p>
    <w:p w14:paraId="17944BEA" w14:textId="77777777" w:rsidR="00D676BE" w:rsidRDefault="00D676BE" w:rsidP="00692513">
      <w:pPr>
        <w:pStyle w:val="Caption-Source"/>
        <w:sectPr w:rsidR="00D676BE" w:rsidSect="00641716">
          <w:headerReference w:type="default" r:id="rId71"/>
          <w:pgSz w:w="11906" w:h="16838"/>
          <w:pgMar w:top="1418" w:right="851" w:bottom="1418" w:left="851" w:header="567" w:footer="284" w:gutter="0"/>
          <w:cols w:space="708"/>
          <w:docGrid w:linePitch="360"/>
        </w:sectPr>
      </w:pPr>
      <w:bookmarkStart w:id="124" w:name="_Ref201582977"/>
    </w:p>
    <w:p w14:paraId="5D9C708E" w14:textId="4479DA95" w:rsidR="00D2468B" w:rsidRPr="00D2468B" w:rsidRDefault="00D412DA" w:rsidP="00DD71E7">
      <w:pPr>
        <w:sectPr w:rsidR="00D2468B" w:rsidRPr="00D2468B" w:rsidSect="00E93355">
          <w:headerReference w:type="default" r:id="rId72"/>
          <w:pgSz w:w="11906" w:h="16838"/>
          <w:pgMar w:top="851" w:right="851" w:bottom="851" w:left="851" w:header="567" w:footer="283" w:gutter="0"/>
          <w:cols w:space="708"/>
          <w:docGrid w:linePitch="360"/>
        </w:sectPr>
      </w:pPr>
      <w:r w:rsidRPr="00C20260">
        <w:rPr>
          <w:noProof/>
        </w:rPr>
        <w:drawing>
          <wp:anchor distT="0" distB="0" distL="114300" distR="114300" simplePos="0" relativeHeight="251658243" behindDoc="1" locked="1" layoutInCell="1" allowOverlap="1" wp14:anchorId="11C36DE8" wp14:editId="73B884E2">
            <wp:simplePos x="0" y="0"/>
            <wp:positionH relativeFrom="page">
              <wp:align>left</wp:align>
            </wp:positionH>
            <wp:positionV relativeFrom="page">
              <wp:align>top</wp:align>
            </wp:positionV>
            <wp:extent cx="7559675" cy="10691495"/>
            <wp:effectExtent l="0" t="0" r="3175" b="0"/>
            <wp:wrapNone/>
            <wp:docPr id="67067627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676271" name="Graphic 1">
                      <a:extLst>
                        <a:ext uri="{C183D7F6-B498-43B3-948B-1728B52AA6E4}">
                          <adec:decorative xmlns:adec="http://schemas.microsoft.com/office/drawing/2017/decorative" val="1"/>
                        </a:ext>
                      </a:extLst>
                    </pic:cNvPr>
                    <pic:cNvPicPr/>
                  </pic:nvPicPr>
                  <pic:blipFill>
                    <a:blip r:embed="rId73">
                      <a:extLst>
                        <a:ext uri="{28A0092B-C50C-407E-A947-70E740481C1C}">
                          <a14:useLocalDpi xmlns:a14="http://schemas.microsoft.com/office/drawing/2010/main" val="0"/>
                        </a:ext>
                      </a:extLst>
                    </a:blip>
                    <a:stretch>
                      <a:fillRect/>
                    </a:stretch>
                  </pic:blipFill>
                  <pic:spPr>
                    <a:xfrm>
                      <a:off x="0" y="0"/>
                      <a:ext cx="7559847" cy="10692000"/>
                    </a:xfrm>
                    <a:prstGeom prst="rect">
                      <a:avLst/>
                    </a:prstGeom>
                  </pic:spPr>
                </pic:pic>
              </a:graphicData>
            </a:graphic>
            <wp14:sizeRelH relativeFrom="margin">
              <wp14:pctWidth>0</wp14:pctWidth>
            </wp14:sizeRelH>
            <wp14:sizeRelV relativeFrom="margin">
              <wp14:pctHeight>0</wp14:pctHeight>
            </wp14:sizeRelV>
          </wp:anchor>
        </w:drawing>
      </w:r>
    </w:p>
    <w:p w14:paraId="06FB3D4F" w14:textId="35849C88" w:rsidR="006F4951" w:rsidRDefault="00913B00" w:rsidP="006F4951">
      <w:pPr>
        <w:pStyle w:val="Heading1"/>
      </w:pPr>
      <w:bookmarkStart w:id="125" w:name="_Toc207348751"/>
      <w:bookmarkStart w:id="126" w:name="_Ref207348899"/>
      <w:r>
        <w:t>O</w:t>
      </w:r>
      <w:r w:rsidR="006F4951">
        <w:t>ptions</w:t>
      </w:r>
      <w:r w:rsidR="003A00D1">
        <w:t xml:space="preserve"> and </w:t>
      </w:r>
      <w:r>
        <w:t>considerations</w:t>
      </w:r>
      <w:r w:rsidR="006F4951">
        <w:t xml:space="preserve"> </w:t>
      </w:r>
      <w:r w:rsidR="003A00D1">
        <w:t>for</w:t>
      </w:r>
      <w:r w:rsidR="006F4951">
        <w:t xml:space="preserve"> a </w:t>
      </w:r>
      <w:r w:rsidR="001C75C3">
        <w:t xml:space="preserve">potential </w:t>
      </w:r>
      <w:r w:rsidR="006F4951">
        <w:t>national cancer prosthes</w:t>
      </w:r>
      <w:r w:rsidR="00204F44">
        <w:t>e</w:t>
      </w:r>
      <w:r w:rsidR="006F4951">
        <w:t>s program</w:t>
      </w:r>
      <w:bookmarkEnd w:id="124"/>
      <w:bookmarkEnd w:id="125"/>
      <w:bookmarkEnd w:id="126"/>
      <w:r w:rsidR="006F4951">
        <w:t xml:space="preserve"> </w:t>
      </w:r>
    </w:p>
    <w:p w14:paraId="12582426" w14:textId="3ED34D7F" w:rsidR="00233F04" w:rsidRDefault="00D662C6" w:rsidP="00DF7929">
      <w:pPr>
        <w:rPr>
          <w:color w:val="auto"/>
        </w:rPr>
      </w:pPr>
      <w:r w:rsidRPr="00460FD0">
        <w:rPr>
          <w:color w:val="auto"/>
        </w:rPr>
        <w:t>This section outlines findings related to</w:t>
      </w:r>
      <w:r>
        <w:rPr>
          <w:color w:val="auto"/>
        </w:rPr>
        <w:t xml:space="preserve"> the following </w:t>
      </w:r>
      <w:r w:rsidR="00C72648" w:rsidRPr="00C72648">
        <w:rPr>
          <w:color w:val="auto"/>
        </w:rPr>
        <w:t>sub-</w:t>
      </w:r>
      <w:r>
        <w:rPr>
          <w:color w:val="auto"/>
        </w:rPr>
        <w:t>questions</w:t>
      </w:r>
      <w:r w:rsidR="00C72648" w:rsidRPr="00C72648">
        <w:rPr>
          <w:color w:val="auto"/>
        </w:rPr>
        <w:t xml:space="preserve"> under </w:t>
      </w:r>
      <w:r w:rsidR="00233F04">
        <w:rPr>
          <w:color w:val="auto"/>
        </w:rPr>
        <w:t xml:space="preserve">KRQs 4, </w:t>
      </w:r>
      <w:r w:rsidR="00A23A2E">
        <w:rPr>
          <w:color w:val="auto"/>
        </w:rPr>
        <w:t xml:space="preserve">6 and 7. </w:t>
      </w:r>
      <w:r w:rsidR="00233F04">
        <w:rPr>
          <w:color w:val="auto"/>
        </w:rPr>
        <w:t xml:space="preserve"> </w:t>
      </w:r>
    </w:p>
    <w:p w14:paraId="47621A94" w14:textId="77777777" w:rsidR="00411C86" w:rsidRDefault="00411C86" w:rsidP="00E808C4">
      <w:pPr>
        <w:pStyle w:val="Callout-Summaryofkeyfindingbullet"/>
      </w:pPr>
      <w:r w:rsidRPr="008A5CBF">
        <w:t>Could current equity gaps be addressed by a national Cancer Prosthes</w:t>
      </w:r>
      <w:r>
        <w:t>e</w:t>
      </w:r>
      <w:r w:rsidRPr="008A5CBF">
        <w:t>s Program? If so, how?</w:t>
      </w:r>
    </w:p>
    <w:p w14:paraId="19A269CC" w14:textId="77777777" w:rsidR="00411C86" w:rsidRPr="008A5CBF" w:rsidRDefault="00411C86" w:rsidP="00E808C4">
      <w:pPr>
        <w:pStyle w:val="Callout-Summaryofkeyfindingbullet"/>
      </w:pPr>
      <w:r w:rsidRPr="008A5CBF">
        <w:t xml:space="preserve">Could current barriers be addressed by a national Cancer </w:t>
      </w:r>
      <w:r>
        <w:t>Prostheses</w:t>
      </w:r>
      <w:r w:rsidRPr="008A5CBF">
        <w:t xml:space="preserve"> Program? If so, how? If not, why not?</w:t>
      </w:r>
    </w:p>
    <w:p w14:paraId="06C17C46" w14:textId="77777777" w:rsidR="00411C86" w:rsidRPr="008A5CBF" w:rsidRDefault="00411C86" w:rsidP="00E808C4">
      <w:pPr>
        <w:pStyle w:val="Callout-Summaryofkeyfindingbullet"/>
      </w:pPr>
      <w:r w:rsidRPr="008A5CBF">
        <w:t>What would be the key enablers for successful implementation of a national Cancer Prosthes</w:t>
      </w:r>
      <w:r>
        <w:t>e</w:t>
      </w:r>
      <w:r w:rsidRPr="008A5CBF">
        <w:t>s Program?</w:t>
      </w:r>
    </w:p>
    <w:p w14:paraId="30E11EAA" w14:textId="47C92FA5" w:rsidR="00411C86" w:rsidRDefault="00411C86" w:rsidP="00E808C4">
      <w:pPr>
        <w:pStyle w:val="Callout-Summaryofkeyfindingbullet"/>
      </w:pPr>
      <w:r w:rsidRPr="008A5CBF">
        <w:t>What eligibility criteria should be considered for the program to ensure existing gaps are addressed?</w:t>
      </w:r>
    </w:p>
    <w:p w14:paraId="2DEAC1DA" w14:textId="77777777" w:rsidR="00D662C6" w:rsidRPr="00DF7929" w:rsidRDefault="00D662C6" w:rsidP="00DF7929">
      <w:r w:rsidRPr="00DF7929">
        <w:t xml:space="preserve">The findings in this section are presented in the following order: </w:t>
      </w:r>
    </w:p>
    <w:p w14:paraId="195D825C" w14:textId="7D3B18C7" w:rsidR="00D662C6" w:rsidRPr="00EA3BFE" w:rsidRDefault="004A39BA" w:rsidP="005844BF">
      <w:pPr>
        <w:pStyle w:val="Bullet1stlevel"/>
      </w:pPr>
      <w:r>
        <w:t>5.1</w:t>
      </w:r>
      <w:r w:rsidRPr="00EA3BFE">
        <w:t xml:space="preserve">: </w:t>
      </w:r>
      <w:r>
        <w:t xml:space="preserve">Options for a </w:t>
      </w:r>
      <w:r w:rsidR="006636B1">
        <w:t xml:space="preserve">potential </w:t>
      </w:r>
      <w:r>
        <w:t>national cancer prostheses program</w:t>
      </w:r>
    </w:p>
    <w:p w14:paraId="7444C1CA" w14:textId="14C40A73" w:rsidR="004A39BA" w:rsidRPr="00EA3BFE" w:rsidRDefault="004A39BA" w:rsidP="005844BF">
      <w:pPr>
        <w:pStyle w:val="Bullet1stlevel"/>
      </w:pPr>
      <w:r>
        <w:t xml:space="preserve">5.2: Considerations for the implementation of a </w:t>
      </w:r>
      <w:r w:rsidR="006636B1">
        <w:t xml:space="preserve">potential </w:t>
      </w:r>
      <w:r>
        <w:t>national cancer prostheses program</w:t>
      </w:r>
    </w:p>
    <w:p w14:paraId="51E77D15" w14:textId="49251F85" w:rsidR="006536B4" w:rsidRPr="00DF7929" w:rsidRDefault="00D662C6" w:rsidP="00DF7929">
      <w:r w:rsidRPr="00DF7929">
        <w:t xml:space="preserve">A summary of the key findings outlined within this section is provided below. </w:t>
      </w:r>
    </w:p>
    <w:p w14:paraId="586F4BFE" w14:textId="2EDD1215" w:rsidR="005967B8" w:rsidRDefault="005967B8" w:rsidP="00FD688B">
      <w:pPr>
        <w:pStyle w:val="Heading2Summaryofkeyfindings"/>
      </w:pPr>
      <w:r w:rsidRPr="001B0591">
        <w:t>Summary of findings</w:t>
      </w:r>
    </w:p>
    <w:p w14:paraId="5E800D5D" w14:textId="77777777" w:rsidR="00487BF6" w:rsidRPr="00D1617A" w:rsidRDefault="00487BF6" w:rsidP="005A6CA2">
      <w:pPr>
        <w:pStyle w:val="Calloutbodytext"/>
      </w:pPr>
      <w:r w:rsidRPr="00D1617A">
        <w:t>Based on the review findings, three options have been identified for a</w:t>
      </w:r>
      <w:r>
        <w:t xml:space="preserve"> potential new</w:t>
      </w:r>
      <w:r w:rsidRPr="00D1617A">
        <w:t xml:space="preserve"> national cancer prostheses program aimed at addressing</w:t>
      </w:r>
      <w:r>
        <w:t xml:space="preserve"> the</w:t>
      </w:r>
      <w:r w:rsidRPr="00D1617A">
        <w:t xml:space="preserve"> identified equity issues</w:t>
      </w:r>
      <w:r>
        <w:t>:</w:t>
      </w:r>
    </w:p>
    <w:p w14:paraId="718DA2C4" w14:textId="77777777" w:rsidR="00487BF6" w:rsidRPr="00D1617A" w:rsidRDefault="00487BF6" w:rsidP="005A6CA2">
      <w:pPr>
        <w:pStyle w:val="Callout-Summaryofkeyfindingbullet"/>
      </w:pPr>
      <w:r w:rsidRPr="0042443F">
        <w:rPr>
          <w:rStyle w:val="Strong"/>
        </w:rPr>
        <w:t>Option 1:</w:t>
      </w:r>
      <w:r w:rsidRPr="00D1617A">
        <w:t xml:space="preserve"> Establish a national program that provides funding for facial prostheses that are required </w:t>
      </w:r>
      <w:proofErr w:type="gramStart"/>
      <w:r w:rsidRPr="00D1617A">
        <w:t>as a result of</w:t>
      </w:r>
      <w:proofErr w:type="gramEnd"/>
      <w:r w:rsidRPr="00D1617A">
        <w:t xml:space="preserve"> cancer or cancer treatment.</w:t>
      </w:r>
    </w:p>
    <w:p w14:paraId="61AA2E50" w14:textId="77777777" w:rsidR="00487BF6" w:rsidRPr="00D1617A" w:rsidRDefault="00487BF6" w:rsidP="005A6CA2">
      <w:pPr>
        <w:pStyle w:val="Callout-Summaryofkeyfindingbullet"/>
      </w:pPr>
      <w:r w:rsidRPr="0042443F">
        <w:rPr>
          <w:rStyle w:val="Strong"/>
        </w:rPr>
        <w:t>Option 2:</w:t>
      </w:r>
      <w:r w:rsidRPr="00D1617A">
        <w:t xml:space="preserve"> Establish a national program that, in addition to the funding provided under option 1, also provides funding to ensure individuals requiring an external breast prosthesis </w:t>
      </w:r>
      <w:proofErr w:type="gramStart"/>
      <w:r w:rsidRPr="00D1617A">
        <w:t>as a result of</w:t>
      </w:r>
      <w:proofErr w:type="gramEnd"/>
      <w:r w:rsidRPr="00D1617A">
        <w:t xml:space="preserve"> cancer or cancer treatment are not required to make an upfront payment.</w:t>
      </w:r>
    </w:p>
    <w:p w14:paraId="58BFAFAB" w14:textId="77777777" w:rsidR="00487BF6" w:rsidRPr="00D1617A" w:rsidRDefault="00487BF6" w:rsidP="005A6CA2">
      <w:pPr>
        <w:pStyle w:val="Callout-Summaryofkeyfindingbullet"/>
      </w:pPr>
      <w:r w:rsidRPr="0042443F">
        <w:rPr>
          <w:rStyle w:val="Strong"/>
        </w:rPr>
        <w:t>Option 3:</w:t>
      </w:r>
      <w:r w:rsidRPr="00D1617A">
        <w:t xml:space="preserve"> Establish a national program that, in addition to the funding provided under option 2, also provides funding to ensure that individuals aged 65 years and older who require a limb prosthesis </w:t>
      </w:r>
      <w:proofErr w:type="gramStart"/>
      <w:r w:rsidRPr="00D1617A">
        <w:t>as a result of</w:t>
      </w:r>
      <w:proofErr w:type="gramEnd"/>
      <w:r w:rsidRPr="00D1617A">
        <w:t xml:space="preserve"> cancer or cancer treatment can access a prosthesis that meets their needs. </w:t>
      </w:r>
    </w:p>
    <w:p w14:paraId="4CC30F95" w14:textId="77777777" w:rsidR="00487BF6" w:rsidRPr="00DF7929" w:rsidRDefault="00487BF6" w:rsidP="00DF7929">
      <w:pPr>
        <w:pStyle w:val="Calloutbodytext"/>
      </w:pPr>
      <w:r w:rsidRPr="00DF7929">
        <w:t xml:space="preserve">Alongside these options, a number of implementation considerations were identified to support the delivery of a potential national cancer prostheses program: </w:t>
      </w:r>
    </w:p>
    <w:p w14:paraId="7239A683" w14:textId="2F71B32E" w:rsidR="00487BF6" w:rsidRPr="00D1617A" w:rsidRDefault="00487BF6" w:rsidP="005A6CA2">
      <w:pPr>
        <w:pStyle w:val="Callout-Summaryofkeyfindingbullet"/>
      </w:pPr>
      <w:r w:rsidRPr="0042443F">
        <w:rPr>
          <w:rStyle w:val="Strong"/>
        </w:rPr>
        <w:t>Delivery and funding model:</w:t>
      </w:r>
      <w:r w:rsidRPr="00D1617A">
        <w:t xml:space="preserve"> The </w:t>
      </w:r>
      <w:r>
        <w:t>program could be delivered via</w:t>
      </w:r>
      <w:r w:rsidRPr="00D1617A">
        <w:t xml:space="preserve"> centralised national administration, state and territory-based coordination, or </w:t>
      </w:r>
      <w:r>
        <w:t xml:space="preserve">through </w:t>
      </w:r>
      <w:r w:rsidRPr="00D1617A">
        <w:t xml:space="preserve">contracted third-party providers. </w:t>
      </w:r>
      <w:r>
        <w:t>Potential f</w:t>
      </w:r>
      <w:r w:rsidRPr="00D1617A">
        <w:t xml:space="preserve">unding models </w:t>
      </w:r>
      <w:r>
        <w:t xml:space="preserve">could </w:t>
      </w:r>
      <w:r w:rsidRPr="00D1617A">
        <w:t xml:space="preserve">include direct provider payments, block-funding, and reimbursement models. </w:t>
      </w:r>
    </w:p>
    <w:p w14:paraId="28B5D232" w14:textId="77777777" w:rsidR="00487BF6" w:rsidRPr="00D1617A" w:rsidRDefault="00487BF6" w:rsidP="005A6CA2">
      <w:pPr>
        <w:pStyle w:val="Callout-Summaryofkeyfindingbullet"/>
      </w:pPr>
      <w:r w:rsidRPr="0042443F">
        <w:rPr>
          <w:rStyle w:val="Strong"/>
        </w:rPr>
        <w:t>Workforce supply and regulation:</w:t>
      </w:r>
      <w:r w:rsidRPr="00D1617A">
        <w:t xml:space="preserve"> Profession</w:t>
      </w:r>
      <w:r>
        <w:t>al</w:t>
      </w:r>
      <w:r w:rsidRPr="00D1617A">
        <w:t xml:space="preserve">s such as anaplastologists and ocularists are in limited supply and are currently unregulated. Mechanisms to ensure that safe and high-quality services are provided under </w:t>
      </w:r>
      <w:r>
        <w:t>a</w:t>
      </w:r>
      <w:r w:rsidRPr="00D1617A">
        <w:t xml:space="preserve"> </w:t>
      </w:r>
      <w:r>
        <w:t xml:space="preserve">potential new </w:t>
      </w:r>
      <w:r w:rsidRPr="00D1617A">
        <w:t xml:space="preserve">program </w:t>
      </w:r>
      <w:r>
        <w:t xml:space="preserve">will require </w:t>
      </w:r>
      <w:r w:rsidRPr="00D1617A">
        <w:t>consider</w:t>
      </w:r>
      <w:r>
        <w:t>ation</w:t>
      </w:r>
      <w:r w:rsidRPr="00D1617A">
        <w:t xml:space="preserve">.  </w:t>
      </w:r>
    </w:p>
    <w:p w14:paraId="624DA380" w14:textId="77777777" w:rsidR="00487BF6" w:rsidRPr="00D1617A" w:rsidRDefault="00487BF6" w:rsidP="005A6CA2">
      <w:pPr>
        <w:pStyle w:val="Callout-Summaryofkeyfindingbullet"/>
      </w:pPr>
      <w:r w:rsidRPr="0042443F">
        <w:rPr>
          <w:rStyle w:val="Strong"/>
        </w:rPr>
        <w:t>Care pathways, education and awareness</w:t>
      </w:r>
      <w:r w:rsidRPr="00D1617A">
        <w:t xml:space="preserve">: Clearly defining and communicating the care pathway for accessing cancer prostheses under </w:t>
      </w:r>
      <w:r>
        <w:t>a</w:t>
      </w:r>
      <w:r w:rsidRPr="00D1617A">
        <w:t xml:space="preserve"> new program w</w:t>
      </w:r>
      <w:r>
        <w:t>ould</w:t>
      </w:r>
      <w:r w:rsidRPr="00D1617A">
        <w:t xml:space="preserve"> be critical to ensure that clinicians</w:t>
      </w:r>
      <w:r>
        <w:t xml:space="preserve"> and people requiring prostheses to </w:t>
      </w:r>
      <w:r w:rsidRPr="00D1617A">
        <w:t>understand when, how and where they can access prostheses services.</w:t>
      </w:r>
    </w:p>
    <w:p w14:paraId="57864F73" w14:textId="77777777" w:rsidR="00487BF6" w:rsidRPr="00D1617A" w:rsidRDefault="00487BF6" w:rsidP="005A6CA2">
      <w:pPr>
        <w:pStyle w:val="Callout-Summaryofkeyfindingbullet"/>
      </w:pPr>
      <w:r w:rsidRPr="0042443F">
        <w:rPr>
          <w:rStyle w:val="Strong"/>
        </w:rPr>
        <w:t>Cultural safety and inclusion</w:t>
      </w:r>
      <w:r w:rsidRPr="00D1617A">
        <w:t>: Consideratio</w:t>
      </w:r>
      <w:r>
        <w:t>n should be given to</w:t>
      </w:r>
      <w:r w:rsidRPr="00D1617A">
        <w:t xml:space="preserve"> how </w:t>
      </w:r>
      <w:r>
        <w:t>a new national</w:t>
      </w:r>
      <w:r w:rsidRPr="00D1617A">
        <w:t xml:space="preserve"> program </w:t>
      </w:r>
      <w:r>
        <w:t>could be</w:t>
      </w:r>
      <w:r w:rsidRPr="00D1617A">
        <w:t xml:space="preserve"> designed to ensure culturally safe and accessible care is provided for Aboriginal and Torres Strait Islander people, CALD communities, and other priority groups. </w:t>
      </w:r>
    </w:p>
    <w:p w14:paraId="56A2C279" w14:textId="77777777" w:rsidR="00487BF6" w:rsidRPr="00D1617A" w:rsidRDefault="00487BF6" w:rsidP="005A6CA2">
      <w:pPr>
        <w:pStyle w:val="Callout-Summaryofkeyfindingbullet"/>
      </w:pPr>
      <w:r w:rsidRPr="0042443F">
        <w:rPr>
          <w:rStyle w:val="Strong"/>
        </w:rPr>
        <w:t>Rural and remote access</w:t>
      </w:r>
      <w:r w:rsidRPr="00D1617A">
        <w:rPr>
          <w:b/>
        </w:rPr>
        <w:t xml:space="preserve">: </w:t>
      </w:r>
      <w:r>
        <w:t>As part of a potential new program, s</w:t>
      </w:r>
      <w:r w:rsidRPr="00D1617A">
        <w:t>trategies could be considered to improve access to prostheses services in rural and remote locations</w:t>
      </w:r>
      <w:r>
        <w:t xml:space="preserve">. This </w:t>
      </w:r>
      <w:r w:rsidRPr="00D1617A">
        <w:t xml:space="preserve">may include travel support schemes, outreach or mobile clinics, and the use of telehealth or virtual care models. </w:t>
      </w:r>
    </w:p>
    <w:p w14:paraId="21A55379" w14:textId="3D0B71AD" w:rsidR="00487BF6" w:rsidRPr="00487BF6" w:rsidRDefault="00487BF6" w:rsidP="005A6CA2">
      <w:pPr>
        <w:pStyle w:val="Callout-Summaryofkeyfindingbullet"/>
      </w:pPr>
      <w:r w:rsidRPr="0042443F">
        <w:rPr>
          <w:rStyle w:val="Strong"/>
        </w:rPr>
        <w:t>Data collection and evaluation:</w:t>
      </w:r>
      <w:r w:rsidRPr="00D1617A">
        <w:t xml:space="preserve"> The establishment of a monitoring and evaluation</w:t>
      </w:r>
      <w:r>
        <w:t xml:space="preserve"> framework</w:t>
      </w:r>
      <w:r w:rsidRPr="00D1617A">
        <w:t>, as well as mechanisms to collect robust data on prosthesis needs, access, outcomes, and costs, w</w:t>
      </w:r>
      <w:r>
        <w:t>ould</w:t>
      </w:r>
      <w:r w:rsidRPr="00D1617A">
        <w:t xml:space="preserve"> be important to enable ongoing accountability and continuous improvement</w:t>
      </w:r>
      <w:r>
        <w:t xml:space="preserve"> of a national program</w:t>
      </w:r>
      <w:r w:rsidRPr="00D1617A">
        <w:t>.</w:t>
      </w:r>
    </w:p>
    <w:p w14:paraId="410430CB" w14:textId="69338485" w:rsidR="000557FC" w:rsidRDefault="000557FC" w:rsidP="008239ED">
      <w:pPr>
        <w:pStyle w:val="Heading2"/>
      </w:pPr>
      <w:bookmarkStart w:id="127" w:name="_Toc207348752"/>
      <w:r>
        <w:t xml:space="preserve">Options for a </w:t>
      </w:r>
      <w:r w:rsidR="0055226F">
        <w:t xml:space="preserve">potential </w:t>
      </w:r>
      <w:r>
        <w:t>national cancer prostheses program</w:t>
      </w:r>
      <w:bookmarkEnd w:id="127"/>
    </w:p>
    <w:p w14:paraId="261C5029" w14:textId="66476AC1" w:rsidR="00891F44" w:rsidRPr="00DD71E7" w:rsidRDefault="008231FD" w:rsidP="00DD71E7">
      <w:r w:rsidRPr="00DD71E7">
        <w:t xml:space="preserve">In considering </w:t>
      </w:r>
      <w:r w:rsidR="00BA2B2D" w:rsidRPr="00DD71E7">
        <w:t>whether</w:t>
      </w:r>
      <w:r w:rsidRPr="00DD71E7">
        <w:t xml:space="preserve"> a </w:t>
      </w:r>
      <w:r w:rsidR="0055226F" w:rsidRPr="00DD71E7">
        <w:t xml:space="preserve">new </w:t>
      </w:r>
      <w:r w:rsidRPr="00DD71E7">
        <w:t xml:space="preserve">national cancer prostheses program </w:t>
      </w:r>
      <w:r w:rsidR="00E47F32" w:rsidRPr="00DD71E7">
        <w:t xml:space="preserve">could address the barriers to access </w:t>
      </w:r>
      <w:r w:rsidR="00234C84" w:rsidRPr="00DD71E7">
        <w:t xml:space="preserve">and equity issues </w:t>
      </w:r>
      <w:r w:rsidR="00E47F32" w:rsidRPr="00DD71E7">
        <w:t xml:space="preserve">outlined in Section 4, three options have been identified for consideration. </w:t>
      </w:r>
      <w:r w:rsidR="001A7281" w:rsidRPr="00DD71E7">
        <w:t xml:space="preserve">These options </w:t>
      </w:r>
      <w:r w:rsidR="00414271" w:rsidRPr="00DD71E7">
        <w:t xml:space="preserve">have been </w:t>
      </w:r>
      <w:r w:rsidR="00AB0B03" w:rsidRPr="00DD71E7">
        <w:t xml:space="preserve">developed </w:t>
      </w:r>
      <w:r w:rsidR="00414271" w:rsidRPr="00DD71E7">
        <w:t xml:space="preserve">by considering the areas of greatest need, in line with the equity issues outlined in Section </w:t>
      </w:r>
      <w:r w:rsidR="00414271" w:rsidRPr="00DD71E7">
        <w:fldChar w:fldCharType="begin"/>
      </w:r>
      <w:r w:rsidR="00414271" w:rsidRPr="00DD71E7">
        <w:instrText xml:space="preserve"> REF _Ref201655191 \r \h </w:instrText>
      </w:r>
      <w:r w:rsidR="00DD71E7">
        <w:instrText xml:space="preserve"> \* MERGEFORMAT </w:instrText>
      </w:r>
      <w:r w:rsidR="00414271" w:rsidRPr="00DD71E7">
        <w:fldChar w:fldCharType="separate"/>
      </w:r>
      <w:r w:rsidR="00414271" w:rsidRPr="00DD71E7">
        <w:fldChar w:fldCharType="end"/>
      </w:r>
      <w:r w:rsidR="00D9656C" w:rsidRPr="00DD71E7">
        <w:t xml:space="preserve">, and differ by the types of prostheses that would be funded under a </w:t>
      </w:r>
      <w:r w:rsidR="00AB0B03" w:rsidRPr="00DD71E7">
        <w:t xml:space="preserve">potential </w:t>
      </w:r>
      <w:r w:rsidR="00D9656C" w:rsidRPr="00DD71E7">
        <w:t xml:space="preserve">national program. </w:t>
      </w:r>
      <w:r w:rsidR="00E3658E" w:rsidRPr="00DD71E7">
        <w:t xml:space="preserve">The </w:t>
      </w:r>
      <w:r w:rsidR="00C83A41" w:rsidRPr="00DD71E7">
        <w:t xml:space="preserve">three </w:t>
      </w:r>
      <w:r w:rsidR="00F01742" w:rsidRPr="00DD71E7">
        <w:t>options include</w:t>
      </w:r>
      <w:r w:rsidR="00714DBA" w:rsidRPr="00DD71E7">
        <w:t xml:space="preserve">: </w:t>
      </w:r>
      <w:r w:rsidR="00891F44" w:rsidRPr="00DD71E7">
        <w:t xml:space="preserve">  </w:t>
      </w:r>
    </w:p>
    <w:p w14:paraId="330CF162" w14:textId="536ACC9C" w:rsidR="00891F44" w:rsidRDefault="00E3658E" w:rsidP="005844BF">
      <w:pPr>
        <w:pStyle w:val="Bullet1stlevel"/>
      </w:pPr>
      <w:r w:rsidRPr="0042443F">
        <w:rPr>
          <w:rStyle w:val="Strong"/>
        </w:rPr>
        <w:t>Option 1:</w:t>
      </w:r>
      <w:r>
        <w:t xml:space="preserve"> </w:t>
      </w:r>
      <w:r w:rsidR="00D559ED">
        <w:t>Establish</w:t>
      </w:r>
      <w:r w:rsidR="00B25B4B">
        <w:t xml:space="preserve"> a national program that p</w:t>
      </w:r>
      <w:r w:rsidR="00D67E2D">
        <w:t>rovide</w:t>
      </w:r>
      <w:r w:rsidR="00B25B4B">
        <w:t>s</w:t>
      </w:r>
      <w:r w:rsidR="00D67E2D">
        <w:t xml:space="preserve"> funding </w:t>
      </w:r>
      <w:r w:rsidR="003D685B">
        <w:t>for</w:t>
      </w:r>
      <w:r w:rsidR="00D67E2D">
        <w:t xml:space="preserve"> </w:t>
      </w:r>
      <w:r w:rsidR="009C27A4">
        <w:t>facial prosthes</w:t>
      </w:r>
      <w:r w:rsidR="003D685B">
        <w:t>e</w:t>
      </w:r>
      <w:r w:rsidR="009C27A4">
        <w:t>s</w:t>
      </w:r>
      <w:r w:rsidR="003D685B">
        <w:t xml:space="preserve"> </w:t>
      </w:r>
      <w:r w:rsidR="00B5195C">
        <w:t xml:space="preserve">that are </w:t>
      </w:r>
      <w:r w:rsidR="003D685B">
        <w:t>require</w:t>
      </w:r>
      <w:r w:rsidR="00B5195C">
        <w:t>d</w:t>
      </w:r>
      <w:r w:rsidR="003D685B">
        <w:t xml:space="preserve"> </w:t>
      </w:r>
      <w:proofErr w:type="gramStart"/>
      <w:r w:rsidR="00D67E2D">
        <w:t>as a result of</w:t>
      </w:r>
      <w:proofErr w:type="gramEnd"/>
      <w:r w:rsidR="00D67E2D">
        <w:t xml:space="preserve"> cancer or cancer treatment</w:t>
      </w:r>
      <w:r w:rsidR="003D685B">
        <w:t>.</w:t>
      </w:r>
    </w:p>
    <w:p w14:paraId="66223367" w14:textId="39565287" w:rsidR="00A469C4" w:rsidRDefault="00E3658E" w:rsidP="005844BF">
      <w:pPr>
        <w:pStyle w:val="Bullet1stlevel"/>
      </w:pPr>
      <w:r w:rsidRPr="0042443F">
        <w:rPr>
          <w:rStyle w:val="Strong"/>
        </w:rPr>
        <w:t>Option 2:</w:t>
      </w:r>
      <w:r>
        <w:t xml:space="preserve"> </w:t>
      </w:r>
      <w:r w:rsidR="00D559ED">
        <w:t>Establish</w:t>
      </w:r>
      <w:r w:rsidR="00B25B4B">
        <w:t xml:space="preserve"> a national program that, in addition to the funding provided under option 1, </w:t>
      </w:r>
      <w:r w:rsidR="00B41663">
        <w:t xml:space="preserve">also provides funding to ensure that individuals who require an external breast prosthesis </w:t>
      </w:r>
      <w:proofErr w:type="gramStart"/>
      <w:r w:rsidR="00B41663">
        <w:t>as a result of</w:t>
      </w:r>
      <w:proofErr w:type="gramEnd"/>
      <w:r w:rsidR="00B41663">
        <w:t xml:space="preserve"> cancer or cancer treatment can access one without needing to make an upfront payment. </w:t>
      </w:r>
    </w:p>
    <w:p w14:paraId="35479086" w14:textId="1DD9632D" w:rsidR="00B25B4B" w:rsidRDefault="00E3658E" w:rsidP="005844BF">
      <w:pPr>
        <w:pStyle w:val="Bullet1stlevel"/>
      </w:pPr>
      <w:r w:rsidRPr="0042443F">
        <w:rPr>
          <w:rStyle w:val="Strong"/>
        </w:rPr>
        <w:t>Option 3:</w:t>
      </w:r>
      <w:r>
        <w:t xml:space="preserve"> </w:t>
      </w:r>
      <w:r w:rsidR="00D559ED">
        <w:t>Establish</w:t>
      </w:r>
      <w:r w:rsidR="00B25B4B">
        <w:t xml:space="preserve"> a national program that, in addition to the funding provided under option </w:t>
      </w:r>
      <w:r w:rsidR="00A20066">
        <w:t>2</w:t>
      </w:r>
      <w:r w:rsidR="00B25B4B">
        <w:t xml:space="preserve">, </w:t>
      </w:r>
      <w:r w:rsidR="00B41663">
        <w:t xml:space="preserve">also provides funding to ensure that individuals aged 65 years and older who require a limb prosthesis </w:t>
      </w:r>
      <w:proofErr w:type="gramStart"/>
      <w:r w:rsidR="00B41663">
        <w:t>as a result of</w:t>
      </w:r>
      <w:proofErr w:type="gramEnd"/>
      <w:r w:rsidR="00B41663">
        <w:t xml:space="preserve"> cancer or cancer treatment can access a prosthesis that meets their needs. This would include funding for high-grade prostheses such as microprocessor knees, if clinically indicated. </w:t>
      </w:r>
    </w:p>
    <w:p w14:paraId="33A4805E" w14:textId="68902AFC" w:rsidR="000A36C6" w:rsidRDefault="006F6D18" w:rsidP="00E451C5">
      <w:pPr>
        <w:spacing w:before="240" w:after="120"/>
      </w:pPr>
      <w:r>
        <w:fldChar w:fldCharType="begin"/>
      </w:r>
      <w:r>
        <w:instrText xml:space="preserve"> REF _Ref201655203 \h </w:instrText>
      </w:r>
      <w:r>
        <w:fldChar w:fldCharType="separate"/>
      </w:r>
      <w:r w:rsidR="008331D1">
        <w:t xml:space="preserve">Table </w:t>
      </w:r>
      <w:r w:rsidR="008331D1">
        <w:rPr>
          <w:noProof/>
        </w:rPr>
        <w:t>20</w:t>
      </w:r>
      <w:r>
        <w:fldChar w:fldCharType="end"/>
      </w:r>
      <w:r>
        <w:t xml:space="preserve"> below </w:t>
      </w:r>
      <w:r w:rsidR="00C55DD5">
        <w:t xml:space="preserve">illustrates the equity issues outlined in Section </w:t>
      </w:r>
      <w:r w:rsidR="008E33E3">
        <w:fldChar w:fldCharType="begin"/>
      </w:r>
      <w:r w:rsidR="008E33E3">
        <w:instrText xml:space="preserve"> REF _Ref201910748 \r \h </w:instrText>
      </w:r>
      <w:r w:rsidR="008E33E3">
        <w:fldChar w:fldCharType="separate"/>
      </w:r>
      <w:r w:rsidR="008E33E3">
        <w:t>4</w:t>
      </w:r>
      <w:r w:rsidR="008E33E3">
        <w:fldChar w:fldCharType="end"/>
      </w:r>
      <w:r w:rsidR="00C55DD5">
        <w:fldChar w:fldCharType="begin"/>
      </w:r>
      <w:r w:rsidR="00C55DD5">
        <w:instrText xml:space="preserve"> REF _Ref201655191 \r \h </w:instrText>
      </w:r>
      <w:r w:rsidR="00C55DD5">
        <w:fldChar w:fldCharType="separate"/>
      </w:r>
      <w:r w:rsidR="00C55DD5">
        <w:fldChar w:fldCharType="end"/>
      </w:r>
      <w:r w:rsidR="00C55DD5">
        <w:t xml:space="preserve"> that </w:t>
      </w:r>
      <w:r w:rsidR="000E31D0">
        <w:t xml:space="preserve">could be addressed through the </w:t>
      </w:r>
      <w:r w:rsidR="000E31D0" w:rsidRPr="00DD71E7">
        <w:t xml:space="preserve">implementation of each of the above three options for a national program. </w:t>
      </w:r>
      <w:r w:rsidR="00FA315D" w:rsidRPr="00DD71E7">
        <w:t xml:space="preserve">This section further details each option and how equity issues may be addressed. </w:t>
      </w:r>
      <w:r w:rsidR="000E31D0" w:rsidRPr="00DD71E7">
        <w:t xml:space="preserve"> </w:t>
      </w:r>
    </w:p>
    <w:p w14:paraId="43A9D00C" w14:textId="72099E06" w:rsidR="00341DDA" w:rsidRDefault="00341DDA" w:rsidP="00341DDA">
      <w:pPr>
        <w:pStyle w:val="Caption"/>
      </w:pPr>
      <w:bookmarkStart w:id="128" w:name="_Ref201655203"/>
      <w:bookmarkStart w:id="129" w:name="_Toc207348585"/>
      <w:r>
        <w:t xml:space="preserve">Table </w:t>
      </w:r>
      <w:r w:rsidR="00D166A3">
        <w:fldChar w:fldCharType="begin"/>
      </w:r>
      <w:r w:rsidR="00D166A3">
        <w:instrText xml:space="preserve"> SEQ Table \* ARABIC </w:instrText>
      </w:r>
      <w:r w:rsidR="00D166A3">
        <w:fldChar w:fldCharType="separate"/>
      </w:r>
      <w:r w:rsidR="00D166A3">
        <w:rPr>
          <w:noProof/>
        </w:rPr>
        <w:t>20</w:t>
      </w:r>
      <w:r w:rsidR="00D166A3">
        <w:rPr>
          <w:noProof/>
        </w:rPr>
        <w:fldChar w:fldCharType="end"/>
      </w:r>
      <w:bookmarkEnd w:id="128"/>
      <w:r>
        <w:t xml:space="preserve">: </w:t>
      </w:r>
      <w:r w:rsidR="0069342E">
        <w:t>E</w:t>
      </w:r>
      <w:r>
        <w:t>quity issue</w:t>
      </w:r>
      <w:r w:rsidR="00222F34">
        <w:t>s</w:t>
      </w:r>
      <w:r>
        <w:t xml:space="preserve"> </w:t>
      </w:r>
      <w:r w:rsidR="0069342E">
        <w:t>able</w:t>
      </w:r>
      <w:r w:rsidR="00222F34">
        <w:t xml:space="preserve"> to be addressed</w:t>
      </w:r>
      <w:r w:rsidR="0069342E">
        <w:t xml:space="preserve"> by the three options</w:t>
      </w:r>
      <w:r w:rsidR="00C67AA1">
        <w:t xml:space="preserve"> for a national cancer prostheses program</w:t>
      </w:r>
      <w:bookmarkEnd w:id="129"/>
    </w:p>
    <w:tbl>
      <w:tblPr>
        <w:tblStyle w:val="KPMGTable"/>
        <w:tblW w:w="10035" w:type="dxa"/>
        <w:tblLayout w:type="fixed"/>
        <w:tblLook w:val="04A0" w:firstRow="1" w:lastRow="0" w:firstColumn="1" w:lastColumn="0" w:noHBand="0" w:noVBand="1"/>
      </w:tblPr>
      <w:tblGrid>
        <w:gridCol w:w="6521"/>
        <w:gridCol w:w="1171"/>
        <w:gridCol w:w="1171"/>
        <w:gridCol w:w="1172"/>
      </w:tblGrid>
      <w:tr w:rsidR="00AD6F37" w:rsidRPr="005F58AA" w14:paraId="3BCCB2FC" w14:textId="77777777" w:rsidTr="00951B2A">
        <w:trPr>
          <w:cnfStyle w:val="100000000000" w:firstRow="1" w:lastRow="0" w:firstColumn="0" w:lastColumn="0" w:oddVBand="0" w:evenVBand="0" w:oddHBand="0" w:evenHBand="0" w:firstRowFirstColumn="0" w:firstRowLastColumn="0" w:lastRowFirstColumn="0" w:lastRowLastColumn="0"/>
          <w:trHeight w:val="4"/>
        </w:trPr>
        <w:tc>
          <w:tcPr>
            <w:cnfStyle w:val="001000000000" w:firstRow="0" w:lastRow="0" w:firstColumn="1" w:lastColumn="0" w:oddVBand="0" w:evenVBand="0" w:oddHBand="0" w:evenHBand="0" w:firstRowFirstColumn="0" w:firstRowLastColumn="0" w:lastRowFirstColumn="0" w:lastRowLastColumn="0"/>
            <w:tcW w:w="6521" w:type="dxa"/>
            <w:hideMark/>
          </w:tcPr>
          <w:p w14:paraId="2E982D1E" w14:textId="77777777" w:rsidR="002048A6" w:rsidRPr="00F07DAF" w:rsidRDefault="002048A6" w:rsidP="005844BF">
            <w:pPr>
              <w:pStyle w:val="TableHeading"/>
              <w:rPr>
                <w:color w:val="auto"/>
                <w:lang w:eastAsia="en-AU"/>
              </w:rPr>
            </w:pPr>
            <w:r w:rsidRPr="00F07DAF">
              <w:rPr>
                <w:lang w:eastAsia="en-AU"/>
              </w:rPr>
              <w:t>Equity issue</w:t>
            </w:r>
          </w:p>
        </w:tc>
        <w:tc>
          <w:tcPr>
            <w:tcW w:w="1171" w:type="dxa"/>
          </w:tcPr>
          <w:p w14:paraId="42EADC7B" w14:textId="03F2521A" w:rsidR="002048A6" w:rsidRPr="00F07DAF" w:rsidRDefault="002048A6" w:rsidP="005844BF">
            <w:pPr>
              <w:pStyle w:val="TableHeading"/>
              <w:cnfStyle w:val="100000000000" w:firstRow="1" w:lastRow="0" w:firstColumn="0" w:lastColumn="0" w:oddVBand="0" w:evenVBand="0" w:oddHBand="0" w:evenHBand="0" w:firstRowFirstColumn="0" w:firstRowLastColumn="0" w:lastRowFirstColumn="0" w:lastRowLastColumn="0"/>
              <w:rPr>
                <w:lang w:eastAsia="en-AU"/>
              </w:rPr>
            </w:pPr>
            <w:r w:rsidRPr="00F07DAF">
              <w:rPr>
                <w:lang w:eastAsia="en-AU"/>
              </w:rPr>
              <w:t>Option 1</w:t>
            </w:r>
          </w:p>
        </w:tc>
        <w:tc>
          <w:tcPr>
            <w:tcW w:w="1171" w:type="dxa"/>
          </w:tcPr>
          <w:p w14:paraId="1783729C" w14:textId="1017E24E" w:rsidR="002048A6" w:rsidRPr="00F07DAF" w:rsidRDefault="002048A6" w:rsidP="005844BF">
            <w:pPr>
              <w:pStyle w:val="TableHeading"/>
              <w:cnfStyle w:val="100000000000" w:firstRow="1" w:lastRow="0" w:firstColumn="0" w:lastColumn="0" w:oddVBand="0" w:evenVBand="0" w:oddHBand="0" w:evenHBand="0" w:firstRowFirstColumn="0" w:firstRowLastColumn="0" w:lastRowFirstColumn="0" w:lastRowLastColumn="0"/>
              <w:rPr>
                <w:lang w:eastAsia="en-AU"/>
              </w:rPr>
            </w:pPr>
            <w:r w:rsidRPr="00F07DAF">
              <w:rPr>
                <w:lang w:eastAsia="en-AU"/>
              </w:rPr>
              <w:t>Option 2</w:t>
            </w:r>
          </w:p>
        </w:tc>
        <w:tc>
          <w:tcPr>
            <w:tcW w:w="1172" w:type="dxa"/>
          </w:tcPr>
          <w:p w14:paraId="5F061FDC" w14:textId="0B2BE567" w:rsidR="002048A6" w:rsidRPr="00F07DAF" w:rsidRDefault="002048A6" w:rsidP="005844BF">
            <w:pPr>
              <w:pStyle w:val="TableHeading"/>
              <w:cnfStyle w:val="100000000000" w:firstRow="1" w:lastRow="0" w:firstColumn="0" w:lastColumn="0" w:oddVBand="0" w:evenVBand="0" w:oddHBand="0" w:evenHBand="0" w:firstRowFirstColumn="0" w:firstRowLastColumn="0" w:lastRowFirstColumn="0" w:lastRowLastColumn="0"/>
              <w:rPr>
                <w:lang w:eastAsia="en-AU"/>
              </w:rPr>
            </w:pPr>
            <w:r w:rsidRPr="00F07DAF">
              <w:rPr>
                <w:lang w:eastAsia="en-AU"/>
              </w:rPr>
              <w:t>Option 3</w:t>
            </w:r>
          </w:p>
        </w:tc>
      </w:tr>
      <w:tr w:rsidR="00AE1E92" w:rsidRPr="0049120C" w14:paraId="0B9CB1A7" w14:textId="77777777" w:rsidTr="00951B2A">
        <w:trPr>
          <w:trHeight w:val="234"/>
        </w:trPr>
        <w:tc>
          <w:tcPr>
            <w:cnfStyle w:val="001000000000" w:firstRow="0" w:lastRow="0" w:firstColumn="1" w:lastColumn="0" w:oddVBand="0" w:evenVBand="0" w:oddHBand="0" w:evenHBand="0" w:firstRowFirstColumn="0" w:firstRowLastColumn="0" w:lastRowFirstColumn="0" w:lastRowLastColumn="0"/>
            <w:tcW w:w="6521" w:type="dxa"/>
            <w:hideMark/>
          </w:tcPr>
          <w:p w14:paraId="5EA6ECE3" w14:textId="5D153A47" w:rsidR="0049120C" w:rsidRPr="0049120C" w:rsidRDefault="0049120C" w:rsidP="005844BF">
            <w:pPr>
              <w:pStyle w:val="TableText"/>
              <w:rPr>
                <w:lang w:eastAsia="en-AU"/>
              </w:rPr>
            </w:pPr>
            <w:r w:rsidRPr="0049120C">
              <w:rPr>
                <w:kern w:val="24"/>
                <w:lang w:eastAsia="en-AU"/>
              </w:rPr>
              <w:t xml:space="preserve">1A.  </w:t>
            </w:r>
            <w:r w:rsidRPr="0049120C">
              <w:rPr>
                <w:lang w:eastAsia="en-AU"/>
              </w:rPr>
              <w:t>Inconsistent availability of national programs / schemes</w:t>
            </w:r>
          </w:p>
        </w:tc>
        <w:tc>
          <w:tcPr>
            <w:tcW w:w="1171" w:type="dxa"/>
          </w:tcPr>
          <w:p w14:paraId="30D5BE4F" w14:textId="2FB3A699" w:rsidR="0049120C" w:rsidRPr="005844BF" w:rsidRDefault="005844BF" w:rsidP="005844BF">
            <w:pPr>
              <w:pStyle w:val="TableText"/>
              <w:cnfStyle w:val="000000000000" w:firstRow="0" w:lastRow="0" w:firstColumn="0" w:lastColumn="0" w:oddVBand="0" w:evenVBand="0" w:oddHBand="0" w:evenHBand="0" w:firstRowFirstColumn="0" w:firstRowLastColumn="0" w:lastRowFirstColumn="0" w:lastRowLastColumn="0"/>
              <w:rPr>
                <w:color w:val="auto"/>
                <w:kern w:val="24"/>
                <w:lang w:eastAsia="en-AU"/>
              </w:rPr>
            </w:pPr>
            <w:r>
              <w:rPr>
                <w:color w:val="auto"/>
                <w:kern w:val="24"/>
                <w:lang w:eastAsia="en-AU"/>
              </w:rPr>
              <w:t>Yes</w:t>
            </w:r>
          </w:p>
        </w:tc>
        <w:tc>
          <w:tcPr>
            <w:tcW w:w="1171" w:type="dxa"/>
          </w:tcPr>
          <w:p w14:paraId="357698AB" w14:textId="7C1AEBAF" w:rsidR="0049120C" w:rsidRPr="005844BF" w:rsidRDefault="005844BF" w:rsidP="005844BF">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Pr>
                <w:color w:val="auto"/>
                <w:kern w:val="24"/>
                <w:lang w:eastAsia="en-AU"/>
              </w:rPr>
              <w:t>Yes</w:t>
            </w:r>
          </w:p>
        </w:tc>
        <w:tc>
          <w:tcPr>
            <w:tcW w:w="1172" w:type="dxa"/>
          </w:tcPr>
          <w:p w14:paraId="49F9ECEC" w14:textId="0FF9FC55" w:rsidR="0049120C" w:rsidRPr="005844BF" w:rsidRDefault="005844BF" w:rsidP="005844BF">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Pr>
                <w:color w:val="auto"/>
                <w:kern w:val="24"/>
                <w:lang w:eastAsia="en-AU"/>
              </w:rPr>
              <w:t>Yes</w:t>
            </w:r>
          </w:p>
        </w:tc>
      </w:tr>
      <w:tr w:rsidR="00AE1E92" w:rsidRPr="0049120C" w14:paraId="54C62955" w14:textId="77777777" w:rsidTr="00951B2A">
        <w:trPr>
          <w:trHeight w:val="234"/>
        </w:trPr>
        <w:tc>
          <w:tcPr>
            <w:cnfStyle w:val="001000000000" w:firstRow="0" w:lastRow="0" w:firstColumn="1" w:lastColumn="0" w:oddVBand="0" w:evenVBand="0" w:oddHBand="0" w:evenHBand="0" w:firstRowFirstColumn="0" w:firstRowLastColumn="0" w:lastRowFirstColumn="0" w:lastRowLastColumn="0"/>
            <w:tcW w:w="6521" w:type="dxa"/>
            <w:hideMark/>
          </w:tcPr>
          <w:p w14:paraId="6EA67622" w14:textId="06A744D2" w:rsidR="0049120C" w:rsidRPr="00327084" w:rsidRDefault="0049120C" w:rsidP="005844BF">
            <w:pPr>
              <w:pStyle w:val="TableText"/>
              <w:rPr>
                <w:color w:val="auto"/>
                <w:lang w:eastAsia="en-AU"/>
              </w:rPr>
            </w:pPr>
            <w:r w:rsidRPr="00327084">
              <w:rPr>
                <w:rFonts w:eastAsiaTheme="minorEastAsia"/>
                <w:color w:val="auto"/>
                <w:kern w:val="24"/>
                <w:lang w:eastAsia="en-AU"/>
              </w:rPr>
              <w:t xml:space="preserve">1B.  </w:t>
            </w:r>
            <w:r w:rsidRPr="00327084">
              <w:rPr>
                <w:color w:val="auto"/>
                <w:lang w:eastAsia="en-AU"/>
              </w:rPr>
              <w:t>Inconsistent funding models used by existing national programs / schemes</w:t>
            </w:r>
          </w:p>
        </w:tc>
        <w:tc>
          <w:tcPr>
            <w:tcW w:w="1171" w:type="dxa"/>
          </w:tcPr>
          <w:p w14:paraId="1F89EA16" w14:textId="07E40A4D" w:rsidR="0049120C" w:rsidRPr="005844BF" w:rsidRDefault="0049120C" w:rsidP="005844BF">
            <w:pPr>
              <w:pStyle w:val="TableText"/>
              <w:cnfStyle w:val="000000000000" w:firstRow="0" w:lastRow="0" w:firstColumn="0" w:lastColumn="0" w:oddVBand="0" w:evenVBand="0" w:oddHBand="0" w:evenHBand="0" w:firstRowFirstColumn="0" w:firstRowLastColumn="0" w:lastRowFirstColumn="0" w:lastRowLastColumn="0"/>
              <w:rPr>
                <w:color w:val="auto"/>
                <w:kern w:val="24"/>
                <w:lang w:eastAsia="en-AU"/>
              </w:rPr>
            </w:pPr>
            <w:r w:rsidRPr="005844BF">
              <w:rPr>
                <w:color w:val="auto"/>
                <w:kern w:val="24"/>
                <w:lang w:eastAsia="en-AU"/>
              </w:rPr>
              <w:t>N/A</w:t>
            </w:r>
          </w:p>
        </w:tc>
        <w:tc>
          <w:tcPr>
            <w:tcW w:w="1171" w:type="dxa"/>
          </w:tcPr>
          <w:p w14:paraId="1D8AEAFE" w14:textId="6EE3EEA9" w:rsidR="0049120C" w:rsidRPr="005844BF" w:rsidRDefault="005844BF" w:rsidP="005844BF">
            <w:pPr>
              <w:pStyle w:val="TableText"/>
              <w:cnfStyle w:val="000000000000" w:firstRow="0" w:lastRow="0" w:firstColumn="0" w:lastColumn="0" w:oddVBand="0" w:evenVBand="0" w:oddHBand="0" w:evenHBand="0" w:firstRowFirstColumn="0" w:firstRowLastColumn="0" w:lastRowFirstColumn="0" w:lastRowLastColumn="0"/>
              <w:rPr>
                <w:color w:val="auto"/>
                <w:kern w:val="24"/>
                <w:lang w:eastAsia="en-AU"/>
              </w:rPr>
            </w:pPr>
            <w:r>
              <w:rPr>
                <w:color w:val="auto"/>
                <w:kern w:val="24"/>
                <w:lang w:eastAsia="en-AU"/>
              </w:rPr>
              <w:t>Yes</w:t>
            </w:r>
          </w:p>
        </w:tc>
        <w:tc>
          <w:tcPr>
            <w:tcW w:w="1172" w:type="dxa"/>
          </w:tcPr>
          <w:p w14:paraId="678C997D" w14:textId="599591DB" w:rsidR="0049120C" w:rsidRPr="005844BF" w:rsidRDefault="005844BF" w:rsidP="005844BF">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Pr>
                <w:color w:val="auto"/>
                <w:kern w:val="24"/>
                <w:lang w:eastAsia="en-AU"/>
              </w:rPr>
              <w:t>Yes</w:t>
            </w:r>
          </w:p>
        </w:tc>
      </w:tr>
      <w:tr w:rsidR="00AE1E92" w:rsidRPr="005F58AA" w14:paraId="4A6918D4" w14:textId="77777777" w:rsidTr="00951B2A">
        <w:trPr>
          <w:trHeight w:val="234"/>
        </w:trPr>
        <w:tc>
          <w:tcPr>
            <w:cnfStyle w:val="001000000000" w:firstRow="0" w:lastRow="0" w:firstColumn="1" w:lastColumn="0" w:oddVBand="0" w:evenVBand="0" w:oddHBand="0" w:evenHBand="0" w:firstRowFirstColumn="0" w:firstRowLastColumn="0" w:lastRowFirstColumn="0" w:lastRowLastColumn="0"/>
            <w:tcW w:w="6521" w:type="dxa"/>
            <w:hideMark/>
          </w:tcPr>
          <w:p w14:paraId="3217848B" w14:textId="3C5FE06C" w:rsidR="00327084" w:rsidRPr="00327084" w:rsidRDefault="00327084" w:rsidP="005844BF">
            <w:pPr>
              <w:pStyle w:val="TableText"/>
              <w:rPr>
                <w:color w:val="auto"/>
                <w:lang w:eastAsia="en-AU"/>
              </w:rPr>
            </w:pPr>
            <w:r w:rsidRPr="00327084">
              <w:rPr>
                <w:rFonts w:eastAsiaTheme="minorEastAsia"/>
                <w:color w:val="auto"/>
                <w:kern w:val="24"/>
                <w:lang w:eastAsia="en-AU"/>
              </w:rPr>
              <w:t>2A.</w:t>
            </w:r>
            <w:r>
              <w:rPr>
                <w:rFonts w:eastAsiaTheme="minorEastAsia"/>
                <w:color w:val="auto"/>
                <w:kern w:val="24"/>
                <w:lang w:eastAsia="en-AU"/>
              </w:rPr>
              <w:t xml:space="preserve">  </w:t>
            </w:r>
            <w:r w:rsidRPr="00327084">
              <w:rPr>
                <w:color w:val="auto"/>
                <w:lang w:eastAsia="en-AU"/>
              </w:rPr>
              <w:t>Variability in availability of facial prostheses services between jurisdictions</w:t>
            </w:r>
          </w:p>
        </w:tc>
        <w:tc>
          <w:tcPr>
            <w:tcW w:w="1171" w:type="dxa"/>
          </w:tcPr>
          <w:p w14:paraId="1D57AB93" w14:textId="405A6245" w:rsidR="00327084" w:rsidRPr="005844BF" w:rsidRDefault="005844BF" w:rsidP="005844BF">
            <w:pPr>
              <w:pStyle w:val="TableText"/>
              <w:cnfStyle w:val="000000000000" w:firstRow="0" w:lastRow="0" w:firstColumn="0" w:lastColumn="0" w:oddVBand="0" w:evenVBand="0" w:oddHBand="0" w:evenHBand="0" w:firstRowFirstColumn="0" w:firstRowLastColumn="0" w:lastRowFirstColumn="0" w:lastRowLastColumn="0"/>
              <w:rPr>
                <w:color w:val="auto"/>
                <w:kern w:val="24"/>
                <w:lang w:eastAsia="en-AU"/>
              </w:rPr>
            </w:pPr>
            <w:r>
              <w:rPr>
                <w:color w:val="auto"/>
                <w:kern w:val="24"/>
                <w:lang w:eastAsia="en-AU"/>
              </w:rPr>
              <w:t>Yes</w:t>
            </w:r>
          </w:p>
        </w:tc>
        <w:tc>
          <w:tcPr>
            <w:tcW w:w="1171" w:type="dxa"/>
          </w:tcPr>
          <w:p w14:paraId="411AA9AD" w14:textId="40A02AE4" w:rsidR="00327084" w:rsidRPr="005844BF" w:rsidRDefault="005844BF" w:rsidP="005844BF">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Pr>
                <w:color w:val="auto"/>
                <w:kern w:val="24"/>
                <w:lang w:eastAsia="en-AU"/>
              </w:rPr>
              <w:t>Yes</w:t>
            </w:r>
          </w:p>
        </w:tc>
        <w:tc>
          <w:tcPr>
            <w:tcW w:w="1172" w:type="dxa"/>
          </w:tcPr>
          <w:p w14:paraId="45654E13" w14:textId="4853C2C4" w:rsidR="00327084" w:rsidRPr="005844BF" w:rsidRDefault="005844BF" w:rsidP="005844BF">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Pr>
                <w:color w:val="auto"/>
                <w:kern w:val="24"/>
                <w:lang w:eastAsia="en-AU"/>
              </w:rPr>
              <w:t>Yes</w:t>
            </w:r>
          </w:p>
        </w:tc>
      </w:tr>
      <w:tr w:rsidR="00AE1E92" w:rsidRPr="005F58AA" w14:paraId="6AC4A63D" w14:textId="77777777" w:rsidTr="00951B2A">
        <w:trPr>
          <w:trHeight w:val="234"/>
        </w:trPr>
        <w:tc>
          <w:tcPr>
            <w:cnfStyle w:val="001000000000" w:firstRow="0" w:lastRow="0" w:firstColumn="1" w:lastColumn="0" w:oddVBand="0" w:evenVBand="0" w:oddHBand="0" w:evenHBand="0" w:firstRowFirstColumn="0" w:firstRowLastColumn="0" w:lastRowFirstColumn="0" w:lastRowLastColumn="0"/>
            <w:tcW w:w="6521" w:type="dxa"/>
            <w:hideMark/>
          </w:tcPr>
          <w:p w14:paraId="0488E771" w14:textId="527A5132" w:rsidR="00E220DD" w:rsidRPr="00327084" w:rsidRDefault="00E220DD" w:rsidP="005844BF">
            <w:pPr>
              <w:pStyle w:val="TableText"/>
              <w:rPr>
                <w:color w:val="auto"/>
                <w:lang w:eastAsia="en-AU"/>
              </w:rPr>
            </w:pPr>
            <w:r w:rsidRPr="00327084">
              <w:rPr>
                <w:rFonts w:eastAsiaTheme="minorEastAsia"/>
                <w:color w:val="auto"/>
                <w:kern w:val="24"/>
                <w:lang w:eastAsia="en-AU"/>
              </w:rPr>
              <w:t>2B.</w:t>
            </w:r>
            <w:r>
              <w:rPr>
                <w:rFonts w:eastAsiaTheme="minorEastAsia"/>
                <w:color w:val="auto"/>
                <w:kern w:val="24"/>
                <w:lang w:eastAsia="en-AU"/>
              </w:rPr>
              <w:t xml:space="preserve">  </w:t>
            </w:r>
            <w:r w:rsidRPr="00327084">
              <w:rPr>
                <w:color w:val="auto"/>
                <w:lang w:eastAsia="en-AU"/>
              </w:rPr>
              <w:t>Variability in prostheses available under the NDIS and jurisdictional limb schemes</w:t>
            </w:r>
          </w:p>
        </w:tc>
        <w:tc>
          <w:tcPr>
            <w:tcW w:w="1171" w:type="dxa"/>
          </w:tcPr>
          <w:p w14:paraId="2E224464" w14:textId="503C1802" w:rsidR="00E220DD" w:rsidRPr="005844BF" w:rsidRDefault="00E220DD" w:rsidP="005844BF">
            <w:pPr>
              <w:pStyle w:val="TableText"/>
              <w:cnfStyle w:val="000000000000" w:firstRow="0" w:lastRow="0" w:firstColumn="0" w:lastColumn="0" w:oddVBand="0" w:evenVBand="0" w:oddHBand="0" w:evenHBand="0" w:firstRowFirstColumn="0" w:firstRowLastColumn="0" w:lastRowFirstColumn="0" w:lastRowLastColumn="0"/>
              <w:rPr>
                <w:color w:val="auto"/>
                <w:kern w:val="24"/>
                <w:lang w:eastAsia="en-AU"/>
              </w:rPr>
            </w:pPr>
            <w:r w:rsidRPr="005844BF">
              <w:rPr>
                <w:color w:val="auto"/>
                <w:kern w:val="24"/>
                <w:lang w:eastAsia="en-AU"/>
              </w:rPr>
              <w:t>N/A</w:t>
            </w:r>
          </w:p>
        </w:tc>
        <w:tc>
          <w:tcPr>
            <w:tcW w:w="1171" w:type="dxa"/>
          </w:tcPr>
          <w:p w14:paraId="2CD05D60" w14:textId="308610F3" w:rsidR="00E220DD" w:rsidRPr="005844BF" w:rsidRDefault="00E220DD" w:rsidP="005844BF">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sidRPr="005844BF">
              <w:rPr>
                <w:color w:val="auto"/>
                <w:kern w:val="24"/>
                <w:lang w:eastAsia="en-AU"/>
              </w:rPr>
              <w:t>N/A</w:t>
            </w:r>
          </w:p>
        </w:tc>
        <w:tc>
          <w:tcPr>
            <w:tcW w:w="1172" w:type="dxa"/>
          </w:tcPr>
          <w:p w14:paraId="4B886AD0" w14:textId="541EA33F" w:rsidR="00E220DD" w:rsidRPr="005844BF" w:rsidRDefault="005844BF" w:rsidP="005844BF">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Pr>
                <w:color w:val="auto"/>
                <w:kern w:val="24"/>
                <w:lang w:eastAsia="en-AU"/>
              </w:rPr>
              <w:t>Yes</w:t>
            </w:r>
          </w:p>
        </w:tc>
      </w:tr>
      <w:tr w:rsidR="00AE1E92" w:rsidRPr="005F58AA" w14:paraId="4FB98A24" w14:textId="77777777" w:rsidTr="00951B2A">
        <w:trPr>
          <w:trHeight w:val="234"/>
        </w:trPr>
        <w:tc>
          <w:tcPr>
            <w:cnfStyle w:val="001000000000" w:firstRow="0" w:lastRow="0" w:firstColumn="1" w:lastColumn="0" w:oddVBand="0" w:evenVBand="0" w:oddHBand="0" w:evenHBand="0" w:firstRowFirstColumn="0" w:firstRowLastColumn="0" w:lastRowFirstColumn="0" w:lastRowLastColumn="0"/>
            <w:tcW w:w="6521" w:type="dxa"/>
            <w:hideMark/>
          </w:tcPr>
          <w:p w14:paraId="17867624" w14:textId="23D51AD5" w:rsidR="00E220DD" w:rsidRPr="00327084" w:rsidRDefault="00E220DD" w:rsidP="005844BF">
            <w:pPr>
              <w:pStyle w:val="TableText"/>
              <w:rPr>
                <w:color w:val="auto"/>
                <w:lang w:eastAsia="en-AU"/>
              </w:rPr>
            </w:pPr>
            <w:r w:rsidRPr="00327084">
              <w:rPr>
                <w:rFonts w:eastAsiaTheme="minorEastAsia"/>
                <w:color w:val="auto"/>
                <w:kern w:val="24"/>
                <w:lang w:eastAsia="en-AU"/>
              </w:rPr>
              <w:t>2C.</w:t>
            </w:r>
            <w:r>
              <w:rPr>
                <w:rFonts w:eastAsiaTheme="minorEastAsia"/>
                <w:color w:val="auto"/>
                <w:kern w:val="24"/>
                <w:lang w:eastAsia="en-AU"/>
              </w:rPr>
              <w:t xml:space="preserve">  </w:t>
            </w:r>
            <w:r w:rsidRPr="00327084">
              <w:rPr>
                <w:color w:val="auto"/>
                <w:lang w:eastAsia="en-AU"/>
              </w:rPr>
              <w:t>Variability between jurisdictional limb schemes</w:t>
            </w:r>
          </w:p>
        </w:tc>
        <w:tc>
          <w:tcPr>
            <w:tcW w:w="1171" w:type="dxa"/>
          </w:tcPr>
          <w:p w14:paraId="06379DA2" w14:textId="539FC5DC" w:rsidR="00E220DD" w:rsidRPr="005844BF" w:rsidRDefault="00E220DD" w:rsidP="005844BF">
            <w:pPr>
              <w:pStyle w:val="TableText"/>
              <w:cnfStyle w:val="000000000000" w:firstRow="0" w:lastRow="0" w:firstColumn="0" w:lastColumn="0" w:oddVBand="0" w:evenVBand="0" w:oddHBand="0" w:evenHBand="0" w:firstRowFirstColumn="0" w:firstRowLastColumn="0" w:lastRowFirstColumn="0" w:lastRowLastColumn="0"/>
              <w:rPr>
                <w:color w:val="auto"/>
                <w:kern w:val="24"/>
                <w:lang w:eastAsia="en-AU"/>
              </w:rPr>
            </w:pPr>
            <w:r w:rsidRPr="005844BF">
              <w:rPr>
                <w:color w:val="auto"/>
                <w:kern w:val="24"/>
                <w:lang w:eastAsia="en-AU"/>
              </w:rPr>
              <w:t>N/A</w:t>
            </w:r>
          </w:p>
        </w:tc>
        <w:tc>
          <w:tcPr>
            <w:tcW w:w="1171" w:type="dxa"/>
          </w:tcPr>
          <w:p w14:paraId="2D44BE55" w14:textId="4C7E12F6" w:rsidR="00E220DD" w:rsidRPr="005844BF" w:rsidRDefault="00E220DD" w:rsidP="005844BF">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sidRPr="005844BF">
              <w:rPr>
                <w:color w:val="auto"/>
                <w:kern w:val="24"/>
                <w:lang w:eastAsia="en-AU"/>
              </w:rPr>
              <w:t>N/A</w:t>
            </w:r>
          </w:p>
        </w:tc>
        <w:tc>
          <w:tcPr>
            <w:tcW w:w="1172" w:type="dxa"/>
          </w:tcPr>
          <w:p w14:paraId="740EB9DD" w14:textId="096BC531" w:rsidR="00E220DD" w:rsidRPr="005844BF" w:rsidRDefault="005844BF" w:rsidP="005844BF">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Pr>
                <w:color w:val="auto"/>
                <w:kern w:val="24"/>
                <w:lang w:eastAsia="en-AU"/>
              </w:rPr>
              <w:t>Yes</w:t>
            </w:r>
          </w:p>
        </w:tc>
      </w:tr>
      <w:tr w:rsidR="00AE1E92" w:rsidRPr="005F58AA" w14:paraId="08D93EC9" w14:textId="77777777" w:rsidTr="00951B2A">
        <w:trPr>
          <w:trHeight w:val="234"/>
        </w:trPr>
        <w:tc>
          <w:tcPr>
            <w:cnfStyle w:val="001000000000" w:firstRow="0" w:lastRow="0" w:firstColumn="1" w:lastColumn="0" w:oddVBand="0" w:evenVBand="0" w:oddHBand="0" w:evenHBand="0" w:firstRowFirstColumn="0" w:firstRowLastColumn="0" w:lastRowFirstColumn="0" w:lastRowLastColumn="0"/>
            <w:tcW w:w="6521" w:type="dxa"/>
            <w:hideMark/>
          </w:tcPr>
          <w:p w14:paraId="33459E7F" w14:textId="112A3EA6" w:rsidR="00327084" w:rsidRPr="00327084" w:rsidRDefault="00327084" w:rsidP="005844BF">
            <w:pPr>
              <w:pStyle w:val="TableText"/>
              <w:rPr>
                <w:color w:val="auto"/>
                <w:lang w:eastAsia="en-AU"/>
              </w:rPr>
            </w:pPr>
            <w:r w:rsidRPr="00327084">
              <w:rPr>
                <w:rFonts w:eastAsiaTheme="minorEastAsia"/>
                <w:color w:val="auto"/>
                <w:kern w:val="24"/>
                <w:lang w:eastAsia="en-AU"/>
              </w:rPr>
              <w:t>3A</w:t>
            </w:r>
            <w:r>
              <w:rPr>
                <w:rFonts w:eastAsiaTheme="minorEastAsia"/>
                <w:color w:val="auto"/>
                <w:kern w:val="24"/>
                <w:lang w:eastAsia="en-AU"/>
              </w:rPr>
              <w:t xml:space="preserve">.  </w:t>
            </w:r>
            <w:r w:rsidRPr="00327084">
              <w:rPr>
                <w:color w:val="auto"/>
                <w:lang w:eastAsia="en-AU"/>
              </w:rPr>
              <w:t>Limited services available in rural and remote areas</w:t>
            </w:r>
          </w:p>
        </w:tc>
        <w:tc>
          <w:tcPr>
            <w:tcW w:w="1171" w:type="dxa"/>
          </w:tcPr>
          <w:p w14:paraId="204A3521" w14:textId="70F14993" w:rsidR="00327084" w:rsidRPr="005844BF" w:rsidRDefault="00327084" w:rsidP="005844BF">
            <w:pPr>
              <w:pStyle w:val="TableText"/>
              <w:cnfStyle w:val="000000000000" w:firstRow="0" w:lastRow="0" w:firstColumn="0" w:lastColumn="0" w:oddVBand="0" w:evenVBand="0" w:oddHBand="0" w:evenHBand="0" w:firstRowFirstColumn="0" w:firstRowLastColumn="0" w:lastRowFirstColumn="0" w:lastRowLastColumn="0"/>
              <w:rPr>
                <w:color w:val="auto"/>
                <w:kern w:val="24"/>
                <w:lang w:eastAsia="en-AU"/>
              </w:rPr>
            </w:pPr>
            <w:r w:rsidRPr="005844BF">
              <w:rPr>
                <w:color w:val="auto"/>
                <w:kern w:val="24"/>
                <w:lang w:eastAsia="en-AU"/>
              </w:rPr>
              <w:t>N/A</w:t>
            </w:r>
          </w:p>
        </w:tc>
        <w:tc>
          <w:tcPr>
            <w:tcW w:w="1171" w:type="dxa"/>
          </w:tcPr>
          <w:p w14:paraId="49BEBB77" w14:textId="612C2A24" w:rsidR="00327084" w:rsidRPr="005844BF" w:rsidRDefault="00327084" w:rsidP="005844BF">
            <w:pPr>
              <w:pStyle w:val="TableText"/>
              <w:cnfStyle w:val="000000000000" w:firstRow="0" w:lastRow="0" w:firstColumn="0" w:lastColumn="0" w:oddVBand="0" w:evenVBand="0" w:oddHBand="0" w:evenHBand="0" w:firstRowFirstColumn="0" w:firstRowLastColumn="0" w:lastRowFirstColumn="0" w:lastRowLastColumn="0"/>
              <w:rPr>
                <w:color w:val="auto"/>
                <w:kern w:val="24"/>
                <w:lang w:eastAsia="en-AU"/>
              </w:rPr>
            </w:pPr>
            <w:r w:rsidRPr="005844BF">
              <w:rPr>
                <w:color w:val="auto"/>
                <w:kern w:val="24"/>
                <w:lang w:eastAsia="en-AU"/>
              </w:rPr>
              <w:t>N/A</w:t>
            </w:r>
          </w:p>
        </w:tc>
        <w:tc>
          <w:tcPr>
            <w:tcW w:w="1172" w:type="dxa"/>
          </w:tcPr>
          <w:p w14:paraId="55462301" w14:textId="414206A4" w:rsidR="00327084" w:rsidRPr="005844BF" w:rsidRDefault="00327084" w:rsidP="005844BF">
            <w:pPr>
              <w:pStyle w:val="TableText"/>
              <w:cnfStyle w:val="000000000000" w:firstRow="0" w:lastRow="0" w:firstColumn="0" w:lastColumn="0" w:oddVBand="0" w:evenVBand="0" w:oddHBand="0" w:evenHBand="0" w:firstRowFirstColumn="0" w:firstRowLastColumn="0" w:lastRowFirstColumn="0" w:lastRowLastColumn="0"/>
              <w:rPr>
                <w:color w:val="auto"/>
                <w:kern w:val="24"/>
                <w:lang w:eastAsia="en-AU"/>
              </w:rPr>
            </w:pPr>
            <w:r w:rsidRPr="005844BF">
              <w:rPr>
                <w:color w:val="auto"/>
                <w:kern w:val="24"/>
                <w:lang w:eastAsia="en-AU"/>
              </w:rPr>
              <w:t>N/A</w:t>
            </w:r>
          </w:p>
        </w:tc>
      </w:tr>
      <w:tr w:rsidR="00AE1E92" w:rsidRPr="005F58AA" w14:paraId="483A6EB3" w14:textId="77777777" w:rsidTr="00951B2A">
        <w:trPr>
          <w:trHeight w:val="234"/>
        </w:trPr>
        <w:tc>
          <w:tcPr>
            <w:cnfStyle w:val="001000000000" w:firstRow="0" w:lastRow="0" w:firstColumn="1" w:lastColumn="0" w:oddVBand="0" w:evenVBand="0" w:oddHBand="0" w:evenHBand="0" w:firstRowFirstColumn="0" w:firstRowLastColumn="0" w:lastRowFirstColumn="0" w:lastRowLastColumn="0"/>
            <w:tcW w:w="6521" w:type="dxa"/>
            <w:hideMark/>
          </w:tcPr>
          <w:p w14:paraId="6D9EE162" w14:textId="1CB21DD4" w:rsidR="00327084" w:rsidRPr="00327084" w:rsidRDefault="00327084" w:rsidP="005844BF">
            <w:pPr>
              <w:pStyle w:val="TableText"/>
              <w:rPr>
                <w:color w:val="auto"/>
                <w:lang w:eastAsia="en-AU"/>
              </w:rPr>
            </w:pPr>
            <w:r w:rsidRPr="00327084">
              <w:rPr>
                <w:rFonts w:eastAsiaTheme="minorEastAsia"/>
                <w:color w:val="auto"/>
                <w:kern w:val="24"/>
                <w:lang w:eastAsia="en-AU"/>
              </w:rPr>
              <w:t>3B</w:t>
            </w:r>
            <w:r>
              <w:rPr>
                <w:rFonts w:eastAsiaTheme="minorEastAsia"/>
                <w:color w:val="auto"/>
                <w:kern w:val="24"/>
                <w:lang w:eastAsia="en-AU"/>
              </w:rPr>
              <w:t>.  S</w:t>
            </w:r>
            <w:r w:rsidRPr="00327084">
              <w:rPr>
                <w:color w:val="auto"/>
                <w:lang w:eastAsia="en-AU"/>
              </w:rPr>
              <w:t>ignificant financial barriers for people in lower socioeconomic groups</w:t>
            </w:r>
          </w:p>
        </w:tc>
        <w:tc>
          <w:tcPr>
            <w:tcW w:w="1171" w:type="dxa"/>
          </w:tcPr>
          <w:p w14:paraId="18AF5E11" w14:textId="352F5D3A" w:rsidR="00327084" w:rsidRPr="005844BF" w:rsidRDefault="005844BF" w:rsidP="005844BF">
            <w:pPr>
              <w:pStyle w:val="TableText"/>
              <w:cnfStyle w:val="000000000000" w:firstRow="0" w:lastRow="0" w:firstColumn="0" w:lastColumn="0" w:oddVBand="0" w:evenVBand="0" w:oddHBand="0" w:evenHBand="0" w:firstRowFirstColumn="0" w:firstRowLastColumn="0" w:lastRowFirstColumn="0" w:lastRowLastColumn="0"/>
              <w:rPr>
                <w:color w:val="auto"/>
                <w:kern w:val="24"/>
                <w:lang w:eastAsia="en-AU"/>
              </w:rPr>
            </w:pPr>
            <w:r>
              <w:rPr>
                <w:color w:val="auto"/>
                <w:kern w:val="24"/>
                <w:lang w:eastAsia="en-AU"/>
              </w:rPr>
              <w:t>Yes</w:t>
            </w:r>
          </w:p>
        </w:tc>
        <w:tc>
          <w:tcPr>
            <w:tcW w:w="1171" w:type="dxa"/>
          </w:tcPr>
          <w:p w14:paraId="1A123E57" w14:textId="0014FB2C" w:rsidR="00327084" w:rsidRPr="005844BF" w:rsidRDefault="005844BF" w:rsidP="005844BF">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Pr>
                <w:color w:val="auto"/>
                <w:kern w:val="24"/>
                <w:lang w:eastAsia="en-AU"/>
              </w:rPr>
              <w:t>Yes</w:t>
            </w:r>
          </w:p>
        </w:tc>
        <w:tc>
          <w:tcPr>
            <w:tcW w:w="1172" w:type="dxa"/>
          </w:tcPr>
          <w:p w14:paraId="3C3CB555" w14:textId="27E3D183" w:rsidR="00327084" w:rsidRPr="005844BF" w:rsidRDefault="005844BF" w:rsidP="005844BF">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Pr>
                <w:color w:val="auto"/>
                <w:kern w:val="24"/>
                <w:lang w:eastAsia="en-AU"/>
              </w:rPr>
              <w:t>Yes</w:t>
            </w:r>
          </w:p>
        </w:tc>
      </w:tr>
      <w:tr w:rsidR="00AE1E92" w:rsidRPr="005F58AA" w14:paraId="2C5EA17E" w14:textId="77777777" w:rsidTr="00951B2A">
        <w:trPr>
          <w:trHeight w:val="234"/>
        </w:trPr>
        <w:tc>
          <w:tcPr>
            <w:cnfStyle w:val="001000000000" w:firstRow="0" w:lastRow="0" w:firstColumn="1" w:lastColumn="0" w:oddVBand="0" w:evenVBand="0" w:oddHBand="0" w:evenHBand="0" w:firstRowFirstColumn="0" w:firstRowLastColumn="0" w:lastRowFirstColumn="0" w:lastRowLastColumn="0"/>
            <w:tcW w:w="6521" w:type="dxa"/>
            <w:hideMark/>
          </w:tcPr>
          <w:p w14:paraId="4810667E" w14:textId="782F1857" w:rsidR="00327084" w:rsidRPr="00327084" w:rsidRDefault="00327084" w:rsidP="005844BF">
            <w:pPr>
              <w:pStyle w:val="TableText"/>
              <w:rPr>
                <w:color w:val="auto"/>
                <w:lang w:eastAsia="en-AU"/>
              </w:rPr>
            </w:pPr>
            <w:r w:rsidRPr="00327084">
              <w:rPr>
                <w:rFonts w:eastAsiaTheme="minorEastAsia"/>
                <w:color w:val="auto"/>
                <w:kern w:val="24"/>
                <w:lang w:eastAsia="en-AU"/>
              </w:rPr>
              <w:t>3C</w:t>
            </w:r>
            <w:r>
              <w:rPr>
                <w:rFonts w:eastAsiaTheme="minorEastAsia"/>
                <w:color w:val="auto"/>
                <w:kern w:val="24"/>
                <w:lang w:eastAsia="en-AU"/>
              </w:rPr>
              <w:t xml:space="preserve">.  </w:t>
            </w:r>
            <w:r w:rsidRPr="00327084">
              <w:rPr>
                <w:color w:val="auto"/>
                <w:lang w:eastAsia="en-AU"/>
              </w:rPr>
              <w:t>Additional financial burden for young people requiring facial prostheses</w:t>
            </w:r>
          </w:p>
        </w:tc>
        <w:tc>
          <w:tcPr>
            <w:tcW w:w="1171" w:type="dxa"/>
          </w:tcPr>
          <w:p w14:paraId="50659452" w14:textId="42775662" w:rsidR="00327084" w:rsidRPr="005844BF" w:rsidRDefault="005844BF" w:rsidP="005844BF">
            <w:pPr>
              <w:pStyle w:val="TableText"/>
              <w:cnfStyle w:val="000000000000" w:firstRow="0" w:lastRow="0" w:firstColumn="0" w:lastColumn="0" w:oddVBand="0" w:evenVBand="0" w:oddHBand="0" w:evenHBand="0" w:firstRowFirstColumn="0" w:firstRowLastColumn="0" w:lastRowFirstColumn="0" w:lastRowLastColumn="0"/>
              <w:rPr>
                <w:color w:val="auto"/>
                <w:kern w:val="24"/>
                <w:lang w:eastAsia="en-AU"/>
              </w:rPr>
            </w:pPr>
            <w:r>
              <w:rPr>
                <w:color w:val="auto"/>
                <w:kern w:val="24"/>
                <w:lang w:eastAsia="en-AU"/>
              </w:rPr>
              <w:t>Yes</w:t>
            </w:r>
          </w:p>
        </w:tc>
        <w:tc>
          <w:tcPr>
            <w:tcW w:w="1171" w:type="dxa"/>
          </w:tcPr>
          <w:p w14:paraId="54C94431" w14:textId="226F4282" w:rsidR="00327084" w:rsidRPr="005844BF" w:rsidRDefault="005844BF" w:rsidP="005844BF">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Pr>
                <w:color w:val="auto"/>
                <w:kern w:val="24"/>
                <w:lang w:eastAsia="en-AU"/>
              </w:rPr>
              <w:t>Yes</w:t>
            </w:r>
          </w:p>
        </w:tc>
        <w:tc>
          <w:tcPr>
            <w:tcW w:w="1172" w:type="dxa"/>
          </w:tcPr>
          <w:p w14:paraId="0618F23C" w14:textId="389D698D" w:rsidR="00327084" w:rsidRPr="005844BF" w:rsidRDefault="005844BF" w:rsidP="005844BF">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Pr>
                <w:color w:val="auto"/>
                <w:kern w:val="24"/>
                <w:lang w:eastAsia="en-AU"/>
              </w:rPr>
              <w:t>Yes</w:t>
            </w:r>
          </w:p>
        </w:tc>
      </w:tr>
    </w:tbl>
    <w:p w14:paraId="5A6DF954" w14:textId="62FE9A2F" w:rsidR="000B4B80" w:rsidRPr="00CD3106" w:rsidRDefault="00341DDA" w:rsidP="005C75C4">
      <w:pPr>
        <w:pStyle w:val="Caption-Source"/>
      </w:pPr>
      <w:r w:rsidRPr="00341DDA">
        <w:t xml:space="preserve">Source: </w:t>
      </w:r>
      <w:r w:rsidR="0044544E" w:rsidRPr="0044544E">
        <w:t>Independent reviewer</w:t>
      </w:r>
      <w:r w:rsidRPr="00341DDA">
        <w:t xml:space="preserve"> </w:t>
      </w:r>
      <w:r w:rsidRPr="00CD3106">
        <w:t>(2025)</w:t>
      </w:r>
    </w:p>
    <w:p w14:paraId="04B8F9D3" w14:textId="27A38D64" w:rsidR="00951B2A" w:rsidRPr="00DD71E7" w:rsidRDefault="00112959" w:rsidP="00DD71E7">
      <w:r w:rsidRPr="00DD71E7">
        <w:t xml:space="preserve">While oral prostheses were </w:t>
      </w:r>
      <w:r w:rsidR="000B01BF" w:rsidRPr="00DD71E7">
        <w:t>outside the scope of</w:t>
      </w:r>
      <w:r w:rsidRPr="00DD71E7">
        <w:t xml:space="preserve"> this review and have not been considered within the identified options for a national cancer prostheses program, stakeholders consulted as part of this review consistently raised concerns about the significant inequities experienced by individuals requiring oral prostheses due to cancer or cancer treatment. Many stakeholders advocated for oral prostheses to be considered as part of any future national prostheses program. Additionally, stakeholders suggested that </w:t>
      </w:r>
      <w:r w:rsidR="00623898" w:rsidRPr="00DD71E7">
        <w:t xml:space="preserve">the eligibility criteria for </w:t>
      </w:r>
      <w:r w:rsidRPr="00DD71E7">
        <w:t xml:space="preserve">any future program should </w:t>
      </w:r>
      <w:r w:rsidR="00623898" w:rsidRPr="00DD71E7">
        <w:t xml:space="preserve">be inclusive of </w:t>
      </w:r>
      <w:r w:rsidRPr="00DD71E7">
        <w:t xml:space="preserve">all people who require </w:t>
      </w:r>
      <w:r w:rsidR="00623898" w:rsidRPr="00DD71E7">
        <w:t>prostheses</w:t>
      </w:r>
      <w:r w:rsidRPr="00DD71E7">
        <w:t xml:space="preserve">, not just those </w:t>
      </w:r>
      <w:r w:rsidR="00623898" w:rsidRPr="00DD71E7">
        <w:t>who require prostheses due</w:t>
      </w:r>
      <w:r w:rsidRPr="00DD71E7">
        <w:t xml:space="preserve"> to cancer or cancer treatment. As such, while out of scope for this review, oral prostheses and broader prosthetic needs are recognised as important considerations for future program development.</w:t>
      </w:r>
      <w:r w:rsidR="00EC67BE" w:rsidRPr="00DD71E7">
        <w:t xml:space="preserve"> </w:t>
      </w:r>
      <w:r w:rsidR="00951B2A" w:rsidRPr="00DD71E7">
        <w:br w:type="page"/>
      </w:r>
    </w:p>
    <w:p w14:paraId="2CCF822B" w14:textId="750966C8" w:rsidR="000B4B80" w:rsidRDefault="00842251" w:rsidP="008B469D">
      <w:pPr>
        <w:pStyle w:val="Heading3"/>
      </w:pPr>
      <w:r>
        <w:t>N</w:t>
      </w:r>
      <w:r w:rsidRPr="00842251">
        <w:t>ational cancer prostheses program</w:t>
      </w:r>
      <w:r>
        <w:t xml:space="preserve"> option 1</w:t>
      </w:r>
    </w:p>
    <w:p w14:paraId="78F96673" w14:textId="497ECE55" w:rsidR="002E5B6F" w:rsidRPr="00DD71E7" w:rsidRDefault="001A3719" w:rsidP="00DD71E7">
      <w:r w:rsidRPr="00DD71E7">
        <w:t xml:space="preserve">Option 1 </w:t>
      </w:r>
      <w:r w:rsidR="00FA315D" w:rsidRPr="00DD71E7">
        <w:t>is to implement a national program that provides funding for facial prostheses require</w:t>
      </w:r>
      <w:r w:rsidR="00B5195C" w:rsidRPr="00DD71E7">
        <w:t>d</w:t>
      </w:r>
      <w:r w:rsidR="00FA315D" w:rsidRPr="00DD71E7">
        <w:t xml:space="preserve"> </w:t>
      </w:r>
      <w:proofErr w:type="gramStart"/>
      <w:r w:rsidR="00FA315D" w:rsidRPr="00DD71E7">
        <w:t>as a result of</w:t>
      </w:r>
      <w:proofErr w:type="gramEnd"/>
      <w:r w:rsidR="00FA315D" w:rsidRPr="00DD71E7">
        <w:t xml:space="preserve"> cancer or cancer treatment. This would include funding for </w:t>
      </w:r>
      <w:r w:rsidR="009E71FF" w:rsidRPr="00DD71E7">
        <w:t>orbital, ocular, nasal, ear,</w:t>
      </w:r>
      <w:r w:rsidRPr="00DD71E7">
        <w:t xml:space="preserve"> and hemi-facial prostheses</w:t>
      </w:r>
      <w:r w:rsidR="009E71FF" w:rsidRPr="00DD71E7">
        <w:t>. This option</w:t>
      </w:r>
      <w:r w:rsidR="00C83A8C" w:rsidRPr="00DD71E7">
        <w:t xml:space="preserve"> </w:t>
      </w:r>
      <w:r w:rsidR="00D8152C" w:rsidRPr="00DD71E7">
        <w:t>ha</w:t>
      </w:r>
      <w:r w:rsidR="00C83A8C" w:rsidRPr="00DD71E7">
        <w:t>s</w:t>
      </w:r>
      <w:r w:rsidR="00D8152C" w:rsidRPr="00DD71E7">
        <w:t xml:space="preserve"> been proposed to address the significant equity issue </w:t>
      </w:r>
      <w:r w:rsidR="00C83A8C" w:rsidRPr="00DD71E7">
        <w:t>that</w:t>
      </w:r>
      <w:r w:rsidR="00D8152C" w:rsidRPr="00DD71E7">
        <w:t xml:space="preserve"> </w:t>
      </w:r>
      <w:r w:rsidR="00B5195C" w:rsidRPr="00DD71E7">
        <w:t>exists for individuals who require facial prostheses</w:t>
      </w:r>
      <w:r w:rsidR="001A6ECE" w:rsidRPr="00DD71E7">
        <w:t>,</w:t>
      </w:r>
      <w:r w:rsidR="00FC2823" w:rsidRPr="00DD71E7">
        <w:t xml:space="preserve"> which, as described throughout this report,</w:t>
      </w:r>
      <w:r w:rsidR="00B5195C" w:rsidRPr="00DD71E7">
        <w:t xml:space="preserve"> </w:t>
      </w:r>
      <w:r w:rsidR="007832C3" w:rsidRPr="00DD71E7">
        <w:t xml:space="preserve">often </w:t>
      </w:r>
      <w:r w:rsidR="00FC2823" w:rsidRPr="00DD71E7">
        <w:t>means individuals are required</w:t>
      </w:r>
      <w:r w:rsidR="007832C3" w:rsidRPr="00DD71E7">
        <w:t xml:space="preserve"> to pay a significant out-of-pocket </w:t>
      </w:r>
      <w:r w:rsidR="00FC2823" w:rsidRPr="00DD71E7">
        <w:t>cost</w:t>
      </w:r>
      <w:r w:rsidR="00D8152C" w:rsidRPr="00DD71E7">
        <w:t xml:space="preserve"> or are unable to access prostheses services altogether</w:t>
      </w:r>
      <w:r w:rsidR="007832C3" w:rsidRPr="00DD71E7">
        <w:t xml:space="preserve">. </w:t>
      </w:r>
    </w:p>
    <w:p w14:paraId="649326D2" w14:textId="1150DD53" w:rsidR="00112895" w:rsidRPr="00DD71E7" w:rsidRDefault="001A6ECE" w:rsidP="00DD71E7">
      <w:r w:rsidRPr="00DD71E7">
        <w:fldChar w:fldCharType="begin"/>
      </w:r>
      <w:r w:rsidRPr="00DD71E7">
        <w:instrText xml:space="preserve"> REF _Ref201925238 \h </w:instrText>
      </w:r>
      <w:r w:rsidR="00DD71E7">
        <w:instrText xml:space="preserve"> \* MERGEFORMAT </w:instrText>
      </w:r>
      <w:r w:rsidRPr="00DD71E7">
        <w:fldChar w:fldCharType="separate"/>
      </w:r>
      <w:r w:rsidR="008331D1" w:rsidRPr="00DD71E7">
        <w:t>Table 21</w:t>
      </w:r>
      <w:r w:rsidRPr="00DD71E7">
        <w:fldChar w:fldCharType="end"/>
      </w:r>
      <w:r w:rsidR="00867FE7" w:rsidRPr="00DD71E7">
        <w:fldChar w:fldCharType="begin" w:fldLock="1"/>
      </w:r>
      <w:r w:rsidR="00867FE7" w:rsidRPr="00DD71E7">
        <w:instrText xml:space="preserve"> REF _Ref201925238 \h </w:instrText>
      </w:r>
      <w:r w:rsidR="00DD71E7">
        <w:instrText xml:space="preserve"> \* MERGEFORMAT </w:instrText>
      </w:r>
      <w:r w:rsidR="00867FE7" w:rsidRPr="00DD71E7">
        <w:fldChar w:fldCharType="separate"/>
      </w:r>
      <w:r w:rsidR="00867FE7" w:rsidRPr="00DD71E7">
        <w:fldChar w:fldCharType="end"/>
      </w:r>
      <w:r w:rsidR="00E47976" w:rsidRPr="00DD71E7">
        <w:t xml:space="preserve"> </w:t>
      </w:r>
      <w:r w:rsidR="00FC2823" w:rsidRPr="00DD71E7">
        <w:t xml:space="preserve">below </w:t>
      </w:r>
      <w:r w:rsidR="00E47976" w:rsidRPr="00DD71E7">
        <w:t xml:space="preserve">provides a summary of </w:t>
      </w:r>
      <w:r w:rsidR="001A52B1" w:rsidRPr="00DD71E7">
        <w:t xml:space="preserve">the equity issues </w:t>
      </w:r>
      <w:r w:rsidR="003C6BA3" w:rsidRPr="00DD71E7">
        <w:t>that</w:t>
      </w:r>
      <w:r w:rsidR="001A52B1" w:rsidRPr="00DD71E7">
        <w:t xml:space="preserve"> Option 1</w:t>
      </w:r>
      <w:r w:rsidR="003C6BA3" w:rsidRPr="00DD71E7">
        <w:t xml:space="preserve"> would aim to address</w:t>
      </w:r>
      <w:r w:rsidR="001A52B1" w:rsidRPr="00DD71E7">
        <w:t>.</w:t>
      </w:r>
      <w:r w:rsidR="00D8152C" w:rsidRPr="00DD71E7">
        <w:t xml:space="preserve"> </w:t>
      </w:r>
      <w:r w:rsidR="00112895" w:rsidRPr="00DD71E7">
        <w:t xml:space="preserve">These issues include: </w:t>
      </w:r>
    </w:p>
    <w:p w14:paraId="7E613799" w14:textId="22C4068E" w:rsidR="00112895" w:rsidRDefault="00D50B1B" w:rsidP="005C75C4">
      <w:pPr>
        <w:pStyle w:val="Bullet1stlevel"/>
      </w:pPr>
      <w:r w:rsidRPr="00D50B1B">
        <w:t>1A</w:t>
      </w:r>
      <w:r>
        <w:t xml:space="preserve">: </w:t>
      </w:r>
      <w:r w:rsidR="00112895">
        <w:t>Inconsiste</w:t>
      </w:r>
      <w:r w:rsidR="0033438E">
        <w:t>n</w:t>
      </w:r>
      <w:r w:rsidR="00112895">
        <w:t>t availability of national programs</w:t>
      </w:r>
      <w:r w:rsidR="00164640">
        <w:t xml:space="preserve"> and </w:t>
      </w:r>
      <w:r w:rsidR="00112895">
        <w:t>schemes</w:t>
      </w:r>
    </w:p>
    <w:p w14:paraId="7E83C8A3" w14:textId="37350166" w:rsidR="00112895" w:rsidRDefault="00D50B1B" w:rsidP="005C75C4">
      <w:pPr>
        <w:pStyle w:val="Bullet1stlevel"/>
      </w:pPr>
      <w:r>
        <w:t xml:space="preserve">2A: </w:t>
      </w:r>
      <w:r w:rsidR="00112895">
        <w:t xml:space="preserve">Variability in availability of facial prostheses services between jurisdictions </w:t>
      </w:r>
    </w:p>
    <w:p w14:paraId="7CF2A5BA" w14:textId="01CCE2D9" w:rsidR="00112895" w:rsidRDefault="00D50B1B" w:rsidP="005C75C4">
      <w:pPr>
        <w:pStyle w:val="Bullet1stlevel"/>
      </w:pPr>
      <w:r>
        <w:t xml:space="preserve">3B: </w:t>
      </w:r>
      <w:r w:rsidR="00112895">
        <w:t>Significant financial barriers for people in lower socioeconomic groups</w:t>
      </w:r>
    </w:p>
    <w:p w14:paraId="21342B37" w14:textId="13AE4CF2" w:rsidR="00112895" w:rsidRDefault="00D50B1B" w:rsidP="005C75C4">
      <w:pPr>
        <w:pStyle w:val="Bullet1stlevel"/>
      </w:pPr>
      <w:r>
        <w:t xml:space="preserve">3C: </w:t>
      </w:r>
      <w:r w:rsidR="00112895">
        <w:t xml:space="preserve">Additional financial burden for young people requiring facial prostheses. </w:t>
      </w:r>
    </w:p>
    <w:p w14:paraId="0DF3F69F" w14:textId="520057CB" w:rsidR="003C6BA3" w:rsidRDefault="003C6BA3" w:rsidP="00226C88">
      <w:pPr>
        <w:pStyle w:val="Caption"/>
        <w:spacing w:before="240"/>
      </w:pPr>
      <w:bookmarkStart w:id="130" w:name="_Ref201925238"/>
      <w:bookmarkStart w:id="131" w:name="_Toc207348586"/>
      <w:r>
        <w:t xml:space="preserve">Table </w:t>
      </w:r>
      <w:r w:rsidR="008331D1">
        <w:fldChar w:fldCharType="begin"/>
      </w:r>
      <w:r w:rsidR="008331D1">
        <w:instrText xml:space="preserve"> SEQ Table \* ARABIC </w:instrText>
      </w:r>
      <w:r w:rsidR="008331D1">
        <w:fldChar w:fldCharType="separate"/>
      </w:r>
      <w:r w:rsidR="008331D1">
        <w:rPr>
          <w:noProof/>
        </w:rPr>
        <w:t>21</w:t>
      </w:r>
      <w:r w:rsidR="008331D1">
        <w:rPr>
          <w:noProof/>
        </w:rPr>
        <w:fldChar w:fldCharType="end"/>
      </w:r>
      <w:bookmarkEnd w:id="130"/>
      <w:r>
        <w:t xml:space="preserve">: Summary of the equity issues </w:t>
      </w:r>
      <w:r w:rsidR="001F20B9">
        <w:t xml:space="preserve">aimed to be </w:t>
      </w:r>
      <w:r>
        <w:t xml:space="preserve">addressed through Option </w:t>
      </w:r>
      <w:r w:rsidRPr="004E5B35">
        <w:t>1</w:t>
      </w:r>
      <w:bookmarkEnd w:id="131"/>
    </w:p>
    <w:tbl>
      <w:tblPr>
        <w:tblStyle w:val="KPMGTable"/>
        <w:tblW w:w="10543" w:type="dxa"/>
        <w:tblLayout w:type="fixed"/>
        <w:tblLook w:val="04A0" w:firstRow="1" w:lastRow="0" w:firstColumn="1" w:lastColumn="0" w:noHBand="0" w:noVBand="1"/>
      </w:tblPr>
      <w:tblGrid>
        <w:gridCol w:w="1418"/>
        <w:gridCol w:w="1843"/>
        <w:gridCol w:w="7282"/>
      </w:tblGrid>
      <w:tr w:rsidR="00AE1E92" w:rsidRPr="0049120C" w14:paraId="60061A6E" w14:textId="77777777" w:rsidTr="00AE61AF">
        <w:trPr>
          <w:cnfStyle w:val="100000000000" w:firstRow="1" w:lastRow="0" w:firstColumn="0" w:lastColumn="0" w:oddVBand="0" w:evenVBand="0" w:oddHBand="0"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1418" w:type="dxa"/>
          </w:tcPr>
          <w:p w14:paraId="0CB2723B" w14:textId="5128CE2D" w:rsidR="00AE61AF" w:rsidRPr="001B238E" w:rsidRDefault="00AE61AF" w:rsidP="00AE61AF">
            <w:pPr>
              <w:pStyle w:val="TableHeading"/>
              <w:rPr>
                <w:lang w:eastAsia="en-AU"/>
              </w:rPr>
            </w:pPr>
            <w:r>
              <w:rPr>
                <w:lang w:eastAsia="en-AU"/>
              </w:rPr>
              <w:t>Equity issue</w:t>
            </w:r>
          </w:p>
        </w:tc>
        <w:tc>
          <w:tcPr>
            <w:tcW w:w="1843" w:type="dxa"/>
          </w:tcPr>
          <w:p w14:paraId="34D5059F" w14:textId="1C808167" w:rsidR="00AE61AF" w:rsidRDefault="00AE61AF" w:rsidP="00AE61AF">
            <w:pPr>
              <w:pStyle w:val="TableHeading"/>
              <w:cnfStyle w:val="100000000000" w:firstRow="1" w:lastRow="0" w:firstColumn="0" w:lastColumn="0" w:oddVBand="0" w:evenVBand="0" w:oddHBand="0" w:evenHBand="0" w:firstRowFirstColumn="0" w:firstRowLastColumn="0" w:lastRowFirstColumn="0" w:lastRowLastColumn="0"/>
              <w:rPr>
                <w:rFonts w:eastAsiaTheme="minorEastAsia"/>
                <w:lang w:eastAsia="en-AU"/>
              </w:rPr>
            </w:pPr>
            <w:r>
              <w:rPr>
                <w:rFonts w:eastAsiaTheme="minorEastAsia"/>
                <w:lang w:eastAsia="en-AU"/>
              </w:rPr>
              <w:t xml:space="preserve">If Option aims to address </w:t>
            </w:r>
          </w:p>
        </w:tc>
        <w:tc>
          <w:tcPr>
            <w:tcW w:w="7282" w:type="dxa"/>
          </w:tcPr>
          <w:p w14:paraId="6B456379" w14:textId="415C50E3" w:rsidR="00AE61AF" w:rsidRPr="001B238E" w:rsidRDefault="00AE61AF" w:rsidP="00AE61AF">
            <w:pPr>
              <w:pStyle w:val="TableHeading"/>
              <w:cnfStyle w:val="100000000000" w:firstRow="1" w:lastRow="0" w:firstColumn="0" w:lastColumn="0" w:oddVBand="0" w:evenVBand="0" w:oddHBand="0" w:evenHBand="0" w:firstRowFirstColumn="0" w:firstRowLastColumn="0" w:lastRowFirstColumn="0" w:lastRowLastColumn="0"/>
              <w:rPr>
                <w:lang w:eastAsia="en-AU"/>
              </w:rPr>
            </w:pPr>
            <w:r>
              <w:rPr>
                <w:lang w:eastAsia="en-AU"/>
              </w:rPr>
              <w:t>Description</w:t>
            </w:r>
          </w:p>
        </w:tc>
      </w:tr>
      <w:tr w:rsidR="00AE1E92" w:rsidRPr="0049120C" w14:paraId="3349BD42" w14:textId="77777777" w:rsidTr="00AE61AF">
        <w:trPr>
          <w:trHeight w:val="479"/>
        </w:trPr>
        <w:tc>
          <w:tcPr>
            <w:cnfStyle w:val="001000000000" w:firstRow="0" w:lastRow="0" w:firstColumn="1" w:lastColumn="0" w:oddVBand="0" w:evenVBand="0" w:oddHBand="0" w:evenHBand="0" w:firstRowFirstColumn="0" w:firstRowLastColumn="0" w:lastRowFirstColumn="0" w:lastRowLastColumn="0"/>
            <w:tcW w:w="1418" w:type="dxa"/>
            <w:hideMark/>
          </w:tcPr>
          <w:p w14:paraId="488DF9C5" w14:textId="6CA9D97A" w:rsidR="00DF4B0B" w:rsidRPr="001B238E" w:rsidRDefault="00DF4B0B" w:rsidP="00912D36">
            <w:pPr>
              <w:pStyle w:val="Tabletextbold"/>
              <w:rPr>
                <w:lang w:eastAsia="en-AU"/>
              </w:rPr>
            </w:pPr>
            <w:r w:rsidRPr="001B238E">
              <w:rPr>
                <w:lang w:eastAsia="en-AU"/>
              </w:rPr>
              <w:t>1A</w:t>
            </w:r>
          </w:p>
        </w:tc>
        <w:tc>
          <w:tcPr>
            <w:tcW w:w="1843" w:type="dxa"/>
          </w:tcPr>
          <w:p w14:paraId="65F974A7" w14:textId="143586E5" w:rsidR="00DF4B0B" w:rsidRPr="001B238E" w:rsidRDefault="0024177E" w:rsidP="001B238E">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Pr>
                <w:rFonts w:eastAsiaTheme="minorEastAsia"/>
                <w:color w:val="auto"/>
                <w:kern w:val="24"/>
                <w:lang w:eastAsia="en-AU"/>
              </w:rPr>
              <w:t>Yes</w:t>
            </w:r>
          </w:p>
        </w:tc>
        <w:tc>
          <w:tcPr>
            <w:tcW w:w="7282" w:type="dxa"/>
          </w:tcPr>
          <w:p w14:paraId="39F97D53" w14:textId="77A0548E" w:rsidR="00DF4B0B" w:rsidRPr="001B238E" w:rsidRDefault="00DF4B0B" w:rsidP="001B238E">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sidRPr="001B238E">
              <w:rPr>
                <w:color w:val="auto"/>
                <w:kern w:val="24"/>
                <w:lang w:eastAsia="en-AU"/>
              </w:rPr>
              <w:t xml:space="preserve">Unlike for limb prostheses and external breast prostheses, no nationally funded program or scheme currently exists for facial prostheses. Option 1 would </w:t>
            </w:r>
            <w:r w:rsidR="00F45DFE" w:rsidRPr="001B238E">
              <w:rPr>
                <w:color w:val="auto"/>
                <w:kern w:val="24"/>
                <w:lang w:eastAsia="en-AU"/>
              </w:rPr>
              <w:t xml:space="preserve">aim to </w:t>
            </w:r>
            <w:r w:rsidRPr="001B238E">
              <w:rPr>
                <w:color w:val="auto"/>
                <w:kern w:val="24"/>
                <w:lang w:eastAsia="en-AU"/>
              </w:rPr>
              <w:t xml:space="preserve">address </w:t>
            </w:r>
            <w:r w:rsidR="00F45DFE" w:rsidRPr="001B238E">
              <w:rPr>
                <w:color w:val="auto"/>
                <w:kern w:val="24"/>
                <w:lang w:eastAsia="en-AU"/>
              </w:rPr>
              <w:t xml:space="preserve">this </w:t>
            </w:r>
            <w:r w:rsidRPr="001B238E">
              <w:rPr>
                <w:color w:val="auto"/>
                <w:kern w:val="24"/>
                <w:lang w:eastAsia="en-AU"/>
              </w:rPr>
              <w:t xml:space="preserve">gap by establishing a consistent national approach and dedicated funding for facial prostheses required </w:t>
            </w:r>
            <w:proofErr w:type="gramStart"/>
            <w:r w:rsidRPr="001B238E">
              <w:rPr>
                <w:color w:val="auto"/>
                <w:kern w:val="24"/>
                <w:lang w:eastAsia="en-AU"/>
              </w:rPr>
              <w:t>as a result of</w:t>
            </w:r>
            <w:proofErr w:type="gramEnd"/>
            <w:r w:rsidRPr="001B238E">
              <w:rPr>
                <w:color w:val="auto"/>
                <w:kern w:val="24"/>
                <w:lang w:eastAsia="en-AU"/>
              </w:rPr>
              <w:t xml:space="preserve"> cancer or cancer treatment.</w:t>
            </w:r>
          </w:p>
        </w:tc>
      </w:tr>
      <w:tr w:rsidR="00AE1E92" w:rsidRPr="0049120C" w14:paraId="5D670055" w14:textId="77777777" w:rsidTr="00AE61AF">
        <w:trPr>
          <w:trHeight w:val="479"/>
        </w:trPr>
        <w:tc>
          <w:tcPr>
            <w:cnfStyle w:val="001000000000" w:firstRow="0" w:lastRow="0" w:firstColumn="1" w:lastColumn="0" w:oddVBand="0" w:evenVBand="0" w:oddHBand="0" w:evenHBand="0" w:firstRowFirstColumn="0" w:firstRowLastColumn="0" w:lastRowFirstColumn="0" w:lastRowLastColumn="0"/>
            <w:tcW w:w="1418" w:type="dxa"/>
            <w:hideMark/>
          </w:tcPr>
          <w:p w14:paraId="4DB6AE06" w14:textId="48065B68" w:rsidR="00DF4B0B" w:rsidRPr="001B238E" w:rsidRDefault="00DF4B0B" w:rsidP="00912D36">
            <w:pPr>
              <w:pStyle w:val="Tabletextbold"/>
              <w:rPr>
                <w:lang w:eastAsia="en-AU"/>
              </w:rPr>
            </w:pPr>
            <w:r w:rsidRPr="001B238E">
              <w:rPr>
                <w:lang w:eastAsia="en-AU"/>
              </w:rPr>
              <w:t>1B</w:t>
            </w:r>
          </w:p>
        </w:tc>
        <w:tc>
          <w:tcPr>
            <w:tcW w:w="1843" w:type="dxa"/>
          </w:tcPr>
          <w:p w14:paraId="266A6640" w14:textId="13798863" w:rsidR="00DF4B0B" w:rsidRPr="001B238E" w:rsidRDefault="00DF4B0B" w:rsidP="001B238E">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sidRPr="001B238E">
              <w:rPr>
                <w:color w:val="auto"/>
                <w:kern w:val="24"/>
                <w:lang w:eastAsia="en-AU"/>
              </w:rPr>
              <w:t>N/A</w:t>
            </w:r>
          </w:p>
        </w:tc>
        <w:tc>
          <w:tcPr>
            <w:tcW w:w="7282" w:type="dxa"/>
          </w:tcPr>
          <w:p w14:paraId="6156E39E" w14:textId="1E255916" w:rsidR="00DF4B0B" w:rsidRPr="001B238E" w:rsidRDefault="00DF4B0B" w:rsidP="001B238E">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sidRPr="001B238E">
              <w:rPr>
                <w:color w:val="auto"/>
                <w:kern w:val="24"/>
                <w:lang w:eastAsia="en-AU"/>
              </w:rPr>
              <w:t>As Option 1 includes funding for facial prostheses</w:t>
            </w:r>
            <w:r w:rsidR="00970CD1" w:rsidRPr="001B238E">
              <w:rPr>
                <w:color w:val="auto"/>
                <w:kern w:val="24"/>
                <w:lang w:eastAsia="en-AU"/>
              </w:rPr>
              <w:t xml:space="preserve"> only</w:t>
            </w:r>
            <w:r w:rsidRPr="001B238E">
              <w:rPr>
                <w:color w:val="auto"/>
                <w:kern w:val="24"/>
                <w:lang w:eastAsia="en-AU"/>
              </w:rPr>
              <w:t>, the issues related to inconsistent funding models currently in place for existing national programs and schemes w</w:t>
            </w:r>
            <w:r w:rsidR="00A15925" w:rsidRPr="001B238E">
              <w:rPr>
                <w:color w:val="auto"/>
                <w:kern w:val="24"/>
                <w:lang w:eastAsia="en-AU"/>
              </w:rPr>
              <w:t>ould</w:t>
            </w:r>
            <w:r w:rsidRPr="001B238E">
              <w:rPr>
                <w:color w:val="auto"/>
                <w:kern w:val="24"/>
                <w:lang w:eastAsia="en-AU"/>
              </w:rPr>
              <w:t xml:space="preserve"> not be addressed through this option. </w:t>
            </w:r>
          </w:p>
        </w:tc>
      </w:tr>
      <w:tr w:rsidR="00AE1E92" w:rsidRPr="005F58AA" w14:paraId="650EC541" w14:textId="77777777" w:rsidTr="00AE61AF">
        <w:trPr>
          <w:trHeight w:val="479"/>
        </w:trPr>
        <w:tc>
          <w:tcPr>
            <w:cnfStyle w:val="001000000000" w:firstRow="0" w:lastRow="0" w:firstColumn="1" w:lastColumn="0" w:oddVBand="0" w:evenVBand="0" w:oddHBand="0" w:evenHBand="0" w:firstRowFirstColumn="0" w:firstRowLastColumn="0" w:lastRowFirstColumn="0" w:lastRowLastColumn="0"/>
            <w:tcW w:w="1418" w:type="dxa"/>
          </w:tcPr>
          <w:p w14:paraId="64C50FD4" w14:textId="33941669" w:rsidR="008C1F30" w:rsidRPr="001B238E" w:rsidRDefault="008C1F30" w:rsidP="00912D36">
            <w:pPr>
              <w:pStyle w:val="Tabletextbold"/>
              <w:rPr>
                <w:lang w:eastAsia="en-AU"/>
              </w:rPr>
            </w:pPr>
            <w:r w:rsidRPr="001B238E">
              <w:rPr>
                <w:lang w:eastAsia="en-AU"/>
              </w:rPr>
              <w:t>2A</w:t>
            </w:r>
          </w:p>
        </w:tc>
        <w:tc>
          <w:tcPr>
            <w:tcW w:w="1843" w:type="dxa"/>
          </w:tcPr>
          <w:p w14:paraId="787E66DC" w14:textId="7AA8F496" w:rsidR="008C1F30" w:rsidRPr="001B238E" w:rsidRDefault="0024177E" w:rsidP="001B238E">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Pr>
                <w:color w:val="auto"/>
                <w:kern w:val="24"/>
                <w:lang w:eastAsia="en-AU"/>
              </w:rPr>
              <w:t>Yes</w:t>
            </w:r>
          </w:p>
        </w:tc>
        <w:tc>
          <w:tcPr>
            <w:tcW w:w="7282" w:type="dxa"/>
          </w:tcPr>
          <w:p w14:paraId="21697088" w14:textId="5CD8B48F" w:rsidR="008C1F30" w:rsidRPr="001B238E" w:rsidRDefault="008C1F30" w:rsidP="001B238E">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sidRPr="001B238E">
              <w:rPr>
                <w:color w:val="auto"/>
                <w:kern w:val="24"/>
                <w:lang w:eastAsia="en-AU"/>
              </w:rPr>
              <w:t>Access to publicly funded facial prostheses</w:t>
            </w:r>
            <w:r w:rsidR="00FA717D" w:rsidRPr="001B238E">
              <w:rPr>
                <w:color w:val="auto"/>
                <w:kern w:val="24"/>
                <w:lang w:eastAsia="en-AU"/>
              </w:rPr>
              <w:t xml:space="preserve"> services currently</w:t>
            </w:r>
            <w:r w:rsidRPr="001B238E">
              <w:rPr>
                <w:color w:val="auto"/>
                <w:kern w:val="24"/>
                <w:lang w:eastAsia="en-AU"/>
              </w:rPr>
              <w:t xml:space="preserve"> varies significantly between states and territories. </w:t>
            </w:r>
            <w:r w:rsidR="00FA717D" w:rsidRPr="001B238E">
              <w:rPr>
                <w:color w:val="auto"/>
                <w:kern w:val="24"/>
                <w:lang w:eastAsia="en-AU"/>
              </w:rPr>
              <w:t>O</w:t>
            </w:r>
            <w:r w:rsidRPr="001B238E">
              <w:rPr>
                <w:color w:val="auto"/>
                <w:kern w:val="24"/>
                <w:lang w:eastAsia="en-AU"/>
              </w:rPr>
              <w:t>ption 1 w</w:t>
            </w:r>
            <w:r w:rsidR="00015793" w:rsidRPr="001B238E">
              <w:rPr>
                <w:color w:val="auto"/>
                <w:kern w:val="24"/>
                <w:lang w:eastAsia="en-AU"/>
              </w:rPr>
              <w:t>ould</w:t>
            </w:r>
            <w:r w:rsidRPr="001B238E">
              <w:rPr>
                <w:color w:val="auto"/>
                <w:kern w:val="24"/>
                <w:lang w:eastAsia="en-AU"/>
              </w:rPr>
              <w:t xml:space="preserve"> aim to support improved access </w:t>
            </w:r>
            <w:r w:rsidR="00015793" w:rsidRPr="001B238E">
              <w:rPr>
                <w:color w:val="auto"/>
                <w:kern w:val="24"/>
                <w:lang w:eastAsia="en-AU"/>
              </w:rPr>
              <w:t xml:space="preserve">to </w:t>
            </w:r>
            <w:r w:rsidR="00AB2D6F" w:rsidRPr="001B238E">
              <w:rPr>
                <w:color w:val="auto"/>
                <w:kern w:val="24"/>
                <w:lang w:eastAsia="en-AU"/>
              </w:rPr>
              <w:t xml:space="preserve">publicly funded prostheses services </w:t>
            </w:r>
            <w:r w:rsidRPr="001B238E">
              <w:rPr>
                <w:color w:val="auto"/>
                <w:kern w:val="24"/>
                <w:lang w:eastAsia="en-AU"/>
              </w:rPr>
              <w:t xml:space="preserve">and </w:t>
            </w:r>
            <w:r w:rsidR="00AB2D6F" w:rsidRPr="001B238E">
              <w:rPr>
                <w:color w:val="auto"/>
                <w:kern w:val="24"/>
                <w:lang w:eastAsia="en-AU"/>
              </w:rPr>
              <w:t xml:space="preserve">promote </w:t>
            </w:r>
            <w:r w:rsidRPr="001B238E">
              <w:rPr>
                <w:color w:val="auto"/>
                <w:kern w:val="24"/>
                <w:lang w:eastAsia="en-AU"/>
              </w:rPr>
              <w:t>consistency across jurisdictions.</w:t>
            </w:r>
          </w:p>
        </w:tc>
      </w:tr>
      <w:tr w:rsidR="00AE1E92" w:rsidRPr="005F58AA" w14:paraId="65AB9D0C" w14:textId="77777777" w:rsidTr="00AE61AF">
        <w:trPr>
          <w:trHeight w:val="479"/>
        </w:trPr>
        <w:tc>
          <w:tcPr>
            <w:cnfStyle w:val="001000000000" w:firstRow="0" w:lastRow="0" w:firstColumn="1" w:lastColumn="0" w:oddVBand="0" w:evenVBand="0" w:oddHBand="0" w:evenHBand="0" w:firstRowFirstColumn="0" w:firstRowLastColumn="0" w:lastRowFirstColumn="0" w:lastRowLastColumn="0"/>
            <w:tcW w:w="1418" w:type="dxa"/>
          </w:tcPr>
          <w:p w14:paraId="3B3E3AE0" w14:textId="532C8BD1" w:rsidR="008C1F30" w:rsidRPr="001B238E" w:rsidRDefault="008C1F30" w:rsidP="00912D36">
            <w:pPr>
              <w:pStyle w:val="Tabletextbold"/>
              <w:rPr>
                <w:lang w:eastAsia="en-AU"/>
              </w:rPr>
            </w:pPr>
            <w:r w:rsidRPr="001B238E">
              <w:rPr>
                <w:lang w:eastAsia="en-AU"/>
              </w:rPr>
              <w:t>2B</w:t>
            </w:r>
          </w:p>
        </w:tc>
        <w:tc>
          <w:tcPr>
            <w:tcW w:w="1843" w:type="dxa"/>
          </w:tcPr>
          <w:p w14:paraId="3E5CE3EE" w14:textId="5381B376" w:rsidR="008C1F30" w:rsidRPr="001B238E" w:rsidRDefault="008C1F30" w:rsidP="001B238E">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sidRPr="001B238E">
              <w:rPr>
                <w:color w:val="auto"/>
                <w:kern w:val="24"/>
                <w:lang w:eastAsia="en-AU"/>
              </w:rPr>
              <w:t>N/A</w:t>
            </w:r>
          </w:p>
        </w:tc>
        <w:tc>
          <w:tcPr>
            <w:tcW w:w="7282" w:type="dxa"/>
          </w:tcPr>
          <w:p w14:paraId="70FE450B" w14:textId="0BFB76B1" w:rsidR="008C1F30" w:rsidRPr="001B238E" w:rsidRDefault="00970CD1" w:rsidP="001B238E">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sidRPr="001B238E">
              <w:rPr>
                <w:color w:val="auto"/>
                <w:kern w:val="24"/>
                <w:lang w:eastAsia="en-AU"/>
              </w:rPr>
              <w:t xml:space="preserve">As Option 1 includes funding for facial prostheses only, the issues related to </w:t>
            </w:r>
            <w:r w:rsidR="008C1F30" w:rsidRPr="001B238E">
              <w:rPr>
                <w:color w:val="auto"/>
                <w:kern w:val="24"/>
                <w:lang w:eastAsia="en-AU"/>
              </w:rPr>
              <w:t xml:space="preserve">variability in </w:t>
            </w:r>
            <w:r w:rsidRPr="001B238E">
              <w:rPr>
                <w:color w:val="auto"/>
                <w:kern w:val="24"/>
                <w:lang w:eastAsia="en-AU"/>
              </w:rPr>
              <w:t xml:space="preserve">the types of </w:t>
            </w:r>
            <w:r w:rsidR="008C1F30" w:rsidRPr="001B238E">
              <w:rPr>
                <w:color w:val="auto"/>
                <w:kern w:val="24"/>
                <w:lang w:eastAsia="en-AU"/>
              </w:rPr>
              <w:t>limb prostheses available under the NDIS and jurisdictional schemes</w:t>
            </w:r>
            <w:r w:rsidRPr="001B238E">
              <w:rPr>
                <w:color w:val="auto"/>
                <w:kern w:val="24"/>
                <w:lang w:eastAsia="en-AU"/>
              </w:rPr>
              <w:t xml:space="preserve"> would not be addressed through this option</w:t>
            </w:r>
            <w:r w:rsidR="008C1F30" w:rsidRPr="001B238E">
              <w:rPr>
                <w:color w:val="auto"/>
                <w:kern w:val="24"/>
                <w:lang w:eastAsia="en-AU"/>
              </w:rPr>
              <w:t>.</w:t>
            </w:r>
          </w:p>
        </w:tc>
      </w:tr>
      <w:tr w:rsidR="00AE1E92" w:rsidRPr="005F58AA" w14:paraId="69607B9C" w14:textId="77777777" w:rsidTr="00AE61AF">
        <w:trPr>
          <w:trHeight w:val="479"/>
        </w:trPr>
        <w:tc>
          <w:tcPr>
            <w:cnfStyle w:val="001000000000" w:firstRow="0" w:lastRow="0" w:firstColumn="1" w:lastColumn="0" w:oddVBand="0" w:evenVBand="0" w:oddHBand="0" w:evenHBand="0" w:firstRowFirstColumn="0" w:firstRowLastColumn="0" w:lastRowFirstColumn="0" w:lastRowLastColumn="0"/>
            <w:tcW w:w="1418" w:type="dxa"/>
          </w:tcPr>
          <w:p w14:paraId="6B529889" w14:textId="6EFCAA50" w:rsidR="008C1F30" w:rsidRPr="001B238E" w:rsidRDefault="008C1F30" w:rsidP="00912D36">
            <w:pPr>
              <w:pStyle w:val="Tabletextbold"/>
              <w:rPr>
                <w:lang w:eastAsia="en-AU"/>
              </w:rPr>
            </w:pPr>
            <w:r w:rsidRPr="001B238E">
              <w:rPr>
                <w:lang w:eastAsia="en-AU"/>
              </w:rPr>
              <w:t>2C</w:t>
            </w:r>
          </w:p>
        </w:tc>
        <w:tc>
          <w:tcPr>
            <w:tcW w:w="1843" w:type="dxa"/>
          </w:tcPr>
          <w:p w14:paraId="5FAB9ECE" w14:textId="6FCF520F" w:rsidR="008C1F30" w:rsidRPr="001B238E" w:rsidRDefault="008C1F30" w:rsidP="001B238E">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sidRPr="001B238E">
              <w:rPr>
                <w:color w:val="auto"/>
                <w:kern w:val="24"/>
                <w:lang w:eastAsia="en-AU"/>
              </w:rPr>
              <w:t>N/A</w:t>
            </w:r>
          </w:p>
        </w:tc>
        <w:tc>
          <w:tcPr>
            <w:tcW w:w="7282" w:type="dxa"/>
          </w:tcPr>
          <w:p w14:paraId="7D6D68F5" w14:textId="38BB63BB" w:rsidR="008C1F30" w:rsidRPr="001B238E" w:rsidRDefault="00970CD1" w:rsidP="001B238E">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sidRPr="001B238E">
              <w:rPr>
                <w:color w:val="auto"/>
                <w:kern w:val="24"/>
                <w:lang w:eastAsia="en-AU"/>
              </w:rPr>
              <w:t xml:space="preserve">Similarly, </w:t>
            </w:r>
            <w:r w:rsidR="008C1F30" w:rsidRPr="001B238E">
              <w:rPr>
                <w:color w:val="auto"/>
                <w:kern w:val="24"/>
                <w:lang w:eastAsia="en-AU"/>
              </w:rPr>
              <w:t xml:space="preserve">Option 1 </w:t>
            </w:r>
            <w:r w:rsidRPr="001B238E">
              <w:rPr>
                <w:color w:val="auto"/>
                <w:kern w:val="24"/>
                <w:lang w:eastAsia="en-AU"/>
              </w:rPr>
              <w:t>would</w:t>
            </w:r>
            <w:r w:rsidR="008C1F30" w:rsidRPr="001B238E">
              <w:rPr>
                <w:color w:val="auto"/>
                <w:kern w:val="24"/>
                <w:lang w:eastAsia="en-AU"/>
              </w:rPr>
              <w:t xml:space="preserve"> not address the issue</w:t>
            </w:r>
            <w:r w:rsidRPr="001B238E">
              <w:rPr>
                <w:color w:val="auto"/>
                <w:kern w:val="24"/>
                <w:lang w:eastAsia="en-AU"/>
              </w:rPr>
              <w:t xml:space="preserve">s related to </w:t>
            </w:r>
            <w:r w:rsidR="008C1F30" w:rsidRPr="001B238E">
              <w:rPr>
                <w:color w:val="auto"/>
                <w:kern w:val="24"/>
                <w:lang w:eastAsia="en-AU"/>
              </w:rPr>
              <w:t>variability in jurisdictional limb schemes.</w:t>
            </w:r>
          </w:p>
        </w:tc>
      </w:tr>
      <w:tr w:rsidR="00AE1E92" w:rsidRPr="005F58AA" w14:paraId="45C04B99" w14:textId="77777777" w:rsidTr="00AE61AF">
        <w:trPr>
          <w:trHeight w:val="570"/>
        </w:trPr>
        <w:tc>
          <w:tcPr>
            <w:cnfStyle w:val="001000000000" w:firstRow="0" w:lastRow="0" w:firstColumn="1" w:lastColumn="0" w:oddVBand="0" w:evenVBand="0" w:oddHBand="0" w:evenHBand="0" w:firstRowFirstColumn="0" w:firstRowLastColumn="0" w:lastRowFirstColumn="0" w:lastRowLastColumn="0"/>
            <w:tcW w:w="1418" w:type="dxa"/>
            <w:hideMark/>
          </w:tcPr>
          <w:p w14:paraId="6D177FCA" w14:textId="464E93B7" w:rsidR="008C1F30" w:rsidRPr="001B238E" w:rsidRDefault="008C1F30" w:rsidP="00912D36">
            <w:pPr>
              <w:pStyle w:val="Tabletextbold"/>
              <w:rPr>
                <w:lang w:eastAsia="en-AU"/>
              </w:rPr>
            </w:pPr>
            <w:r w:rsidRPr="001B238E">
              <w:rPr>
                <w:rFonts w:eastAsiaTheme="minorEastAsia"/>
                <w:lang w:eastAsia="en-AU"/>
              </w:rPr>
              <w:t>3A</w:t>
            </w:r>
          </w:p>
        </w:tc>
        <w:tc>
          <w:tcPr>
            <w:tcW w:w="1843" w:type="dxa"/>
          </w:tcPr>
          <w:p w14:paraId="3263B1FA" w14:textId="7E0E8EE2" w:rsidR="008C1F30" w:rsidRPr="001B238E" w:rsidRDefault="00A15925" w:rsidP="001B238E">
            <w:pPr>
              <w:pStyle w:val="TableText"/>
              <w:cnfStyle w:val="000000000000" w:firstRow="0" w:lastRow="0" w:firstColumn="0" w:lastColumn="0" w:oddVBand="0" w:evenVBand="0" w:oddHBand="0" w:evenHBand="0" w:firstRowFirstColumn="0" w:firstRowLastColumn="0" w:lastRowFirstColumn="0" w:lastRowLastColumn="0"/>
              <w:rPr>
                <w:color w:val="auto"/>
                <w:kern w:val="24"/>
                <w:lang w:eastAsia="en-AU"/>
              </w:rPr>
            </w:pPr>
            <w:r w:rsidRPr="001B238E">
              <w:rPr>
                <w:color w:val="auto"/>
                <w:kern w:val="24"/>
                <w:lang w:eastAsia="en-AU"/>
              </w:rPr>
              <w:t>N/A</w:t>
            </w:r>
          </w:p>
        </w:tc>
        <w:tc>
          <w:tcPr>
            <w:tcW w:w="7282" w:type="dxa"/>
          </w:tcPr>
          <w:p w14:paraId="64A5BFE9" w14:textId="361E6A91" w:rsidR="008C1F30" w:rsidRPr="001B238E" w:rsidRDefault="008C1F30" w:rsidP="001B238E">
            <w:pPr>
              <w:pStyle w:val="TableText"/>
              <w:cnfStyle w:val="000000000000" w:firstRow="0" w:lastRow="0" w:firstColumn="0" w:lastColumn="0" w:oddVBand="0" w:evenVBand="0" w:oddHBand="0" w:evenHBand="0" w:firstRowFirstColumn="0" w:firstRowLastColumn="0" w:lastRowFirstColumn="0" w:lastRowLastColumn="0"/>
              <w:rPr>
                <w:color w:val="auto"/>
                <w:kern w:val="24"/>
                <w:lang w:eastAsia="en-AU"/>
              </w:rPr>
            </w:pPr>
            <w:r w:rsidRPr="001B238E">
              <w:rPr>
                <w:color w:val="auto"/>
                <w:kern w:val="24"/>
                <w:lang w:eastAsia="en-AU"/>
              </w:rPr>
              <w:t xml:space="preserve">Service provision in rural and remote areas will depend on how </w:t>
            </w:r>
            <w:r w:rsidR="00970CD1" w:rsidRPr="001B238E">
              <w:rPr>
                <w:color w:val="auto"/>
                <w:kern w:val="24"/>
                <w:lang w:eastAsia="en-AU"/>
              </w:rPr>
              <w:t>the national</w:t>
            </w:r>
            <w:r w:rsidRPr="001B238E">
              <w:rPr>
                <w:color w:val="auto"/>
                <w:kern w:val="24"/>
                <w:lang w:eastAsia="en-AU"/>
              </w:rPr>
              <w:t xml:space="preserve"> program is implemented and delivered. Further details regarding considerations for implementation </w:t>
            </w:r>
            <w:r w:rsidR="00970CD1" w:rsidRPr="001B238E">
              <w:rPr>
                <w:color w:val="auto"/>
                <w:kern w:val="24"/>
                <w:lang w:eastAsia="en-AU"/>
              </w:rPr>
              <w:t>are</w:t>
            </w:r>
            <w:r w:rsidRPr="001B238E">
              <w:rPr>
                <w:color w:val="auto"/>
                <w:kern w:val="24"/>
                <w:lang w:eastAsia="en-AU"/>
              </w:rPr>
              <w:t xml:space="preserve"> outlined in Section </w:t>
            </w:r>
            <w:r w:rsidRPr="001B238E">
              <w:rPr>
                <w:color w:val="auto"/>
                <w:kern w:val="24"/>
                <w:lang w:eastAsia="en-AU"/>
              </w:rPr>
              <w:fldChar w:fldCharType="begin"/>
            </w:r>
            <w:r w:rsidRPr="001B238E">
              <w:rPr>
                <w:color w:val="auto"/>
                <w:kern w:val="24"/>
                <w:lang w:eastAsia="en-AU"/>
              </w:rPr>
              <w:instrText xml:space="preserve"> REF _Ref201660445 \r \h  \* MERGEFORMAT </w:instrText>
            </w:r>
            <w:r w:rsidRPr="001B238E">
              <w:rPr>
                <w:color w:val="auto"/>
                <w:kern w:val="24"/>
                <w:lang w:eastAsia="en-AU"/>
              </w:rPr>
            </w:r>
            <w:r w:rsidRPr="001B238E">
              <w:rPr>
                <w:color w:val="auto"/>
                <w:kern w:val="24"/>
                <w:lang w:eastAsia="en-AU"/>
              </w:rPr>
              <w:fldChar w:fldCharType="separate"/>
            </w:r>
            <w:r w:rsidR="00D955D8" w:rsidRPr="001B238E">
              <w:rPr>
                <w:color w:val="auto"/>
                <w:kern w:val="24"/>
                <w:lang w:eastAsia="en-AU"/>
              </w:rPr>
              <w:t>5.2</w:t>
            </w:r>
            <w:r w:rsidRPr="001B238E">
              <w:rPr>
                <w:color w:val="auto"/>
                <w:kern w:val="24"/>
                <w:lang w:eastAsia="en-AU"/>
              </w:rPr>
              <w:fldChar w:fldCharType="end"/>
            </w:r>
            <w:r w:rsidRPr="001B238E">
              <w:rPr>
                <w:color w:val="auto"/>
                <w:kern w:val="24"/>
                <w:lang w:eastAsia="en-AU"/>
              </w:rPr>
              <w:t>.</w:t>
            </w:r>
          </w:p>
        </w:tc>
      </w:tr>
      <w:tr w:rsidR="00AE1E92" w:rsidRPr="005F58AA" w14:paraId="1E5AD578" w14:textId="77777777" w:rsidTr="00AE61AF">
        <w:trPr>
          <w:trHeight w:val="570"/>
        </w:trPr>
        <w:tc>
          <w:tcPr>
            <w:cnfStyle w:val="001000000000" w:firstRow="0" w:lastRow="0" w:firstColumn="1" w:lastColumn="0" w:oddVBand="0" w:evenVBand="0" w:oddHBand="0" w:evenHBand="0" w:firstRowFirstColumn="0" w:firstRowLastColumn="0" w:lastRowFirstColumn="0" w:lastRowLastColumn="0"/>
            <w:tcW w:w="1418" w:type="dxa"/>
            <w:hideMark/>
          </w:tcPr>
          <w:p w14:paraId="7D211361" w14:textId="2FF141A5" w:rsidR="00A15925" w:rsidRPr="001B238E" w:rsidRDefault="00A15925" w:rsidP="00912D36">
            <w:pPr>
              <w:pStyle w:val="Tabletextbold"/>
              <w:rPr>
                <w:lang w:eastAsia="en-AU"/>
              </w:rPr>
            </w:pPr>
            <w:r w:rsidRPr="001B238E">
              <w:rPr>
                <w:rFonts w:eastAsiaTheme="minorEastAsia"/>
                <w:lang w:eastAsia="en-AU"/>
              </w:rPr>
              <w:t>3B</w:t>
            </w:r>
          </w:p>
        </w:tc>
        <w:tc>
          <w:tcPr>
            <w:tcW w:w="1843" w:type="dxa"/>
          </w:tcPr>
          <w:p w14:paraId="692A874E" w14:textId="583BB187" w:rsidR="00A15925" w:rsidRPr="001B238E" w:rsidRDefault="006E03F8" w:rsidP="001B238E">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Pr>
                <w:color w:val="auto"/>
                <w:kern w:val="24"/>
                <w:lang w:eastAsia="en-AU"/>
              </w:rPr>
              <w:t>Yes</w:t>
            </w:r>
          </w:p>
        </w:tc>
        <w:tc>
          <w:tcPr>
            <w:tcW w:w="7282" w:type="dxa"/>
          </w:tcPr>
          <w:p w14:paraId="2A6FCEBC" w14:textId="0093BE3A" w:rsidR="00A15925" w:rsidRPr="001B238E" w:rsidRDefault="00A15925" w:rsidP="001B238E">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sidRPr="001B238E">
              <w:rPr>
                <w:color w:val="auto"/>
                <w:kern w:val="24"/>
                <w:lang w:eastAsia="en-AU"/>
              </w:rPr>
              <w:t xml:space="preserve">Without access to public funding, there are </w:t>
            </w:r>
            <w:r w:rsidR="00970CD1" w:rsidRPr="001B238E">
              <w:rPr>
                <w:color w:val="auto"/>
                <w:kern w:val="24"/>
                <w:lang w:eastAsia="en-AU"/>
              </w:rPr>
              <w:t xml:space="preserve">currently </w:t>
            </w:r>
            <w:r w:rsidRPr="001B238E">
              <w:rPr>
                <w:color w:val="auto"/>
                <w:kern w:val="24"/>
                <w:lang w:eastAsia="en-AU"/>
              </w:rPr>
              <w:t xml:space="preserve">significant cost barriers for some individuals </w:t>
            </w:r>
            <w:r w:rsidR="00970CD1" w:rsidRPr="001B238E">
              <w:rPr>
                <w:color w:val="auto"/>
                <w:kern w:val="24"/>
                <w:lang w:eastAsia="en-AU"/>
              </w:rPr>
              <w:t>in</w:t>
            </w:r>
            <w:r w:rsidRPr="001B238E">
              <w:rPr>
                <w:color w:val="auto"/>
                <w:kern w:val="24"/>
                <w:lang w:eastAsia="en-AU"/>
              </w:rPr>
              <w:t xml:space="preserve"> access</w:t>
            </w:r>
            <w:r w:rsidR="00970CD1" w:rsidRPr="001B238E">
              <w:rPr>
                <w:color w:val="auto"/>
                <w:kern w:val="24"/>
                <w:lang w:eastAsia="en-AU"/>
              </w:rPr>
              <w:t>ing</w:t>
            </w:r>
            <w:r w:rsidRPr="001B238E">
              <w:rPr>
                <w:color w:val="auto"/>
                <w:kern w:val="24"/>
                <w:lang w:eastAsia="en-AU"/>
              </w:rPr>
              <w:t xml:space="preserve"> facial prostheses. </w:t>
            </w:r>
            <w:r w:rsidR="00970CD1" w:rsidRPr="001B238E">
              <w:rPr>
                <w:color w:val="auto"/>
                <w:kern w:val="24"/>
                <w:lang w:eastAsia="en-AU"/>
              </w:rPr>
              <w:t xml:space="preserve">Option 1 would aim to </w:t>
            </w:r>
            <w:r w:rsidRPr="001B238E">
              <w:rPr>
                <w:color w:val="auto"/>
                <w:kern w:val="24"/>
                <w:lang w:eastAsia="en-AU"/>
              </w:rPr>
              <w:t xml:space="preserve">remove cost barriers </w:t>
            </w:r>
            <w:r w:rsidR="00AF1484" w:rsidRPr="001B238E">
              <w:rPr>
                <w:color w:val="auto"/>
                <w:kern w:val="24"/>
                <w:lang w:eastAsia="en-AU"/>
              </w:rPr>
              <w:t xml:space="preserve">by establishing </w:t>
            </w:r>
            <w:r w:rsidRPr="001B238E">
              <w:rPr>
                <w:color w:val="auto"/>
                <w:kern w:val="24"/>
                <w:lang w:eastAsia="en-AU"/>
              </w:rPr>
              <w:t>dedicated funding</w:t>
            </w:r>
            <w:r w:rsidR="00AF1484" w:rsidRPr="001B238E">
              <w:rPr>
                <w:color w:val="auto"/>
                <w:kern w:val="24"/>
                <w:lang w:eastAsia="en-AU"/>
              </w:rPr>
              <w:t xml:space="preserve"> for facial prostheses that are required </w:t>
            </w:r>
            <w:proofErr w:type="gramStart"/>
            <w:r w:rsidR="00AF1484" w:rsidRPr="001B238E">
              <w:rPr>
                <w:color w:val="auto"/>
                <w:kern w:val="24"/>
                <w:lang w:eastAsia="en-AU"/>
              </w:rPr>
              <w:t>as a result of</w:t>
            </w:r>
            <w:proofErr w:type="gramEnd"/>
            <w:r w:rsidR="00AF1484" w:rsidRPr="001B238E">
              <w:rPr>
                <w:color w:val="auto"/>
                <w:kern w:val="24"/>
                <w:lang w:eastAsia="en-AU"/>
              </w:rPr>
              <w:t xml:space="preserve"> cancer or cancer </w:t>
            </w:r>
            <w:proofErr w:type="gramStart"/>
            <w:r w:rsidR="00AF1484" w:rsidRPr="001B238E">
              <w:rPr>
                <w:color w:val="auto"/>
                <w:kern w:val="24"/>
                <w:lang w:eastAsia="en-AU"/>
              </w:rPr>
              <w:t>treatment.</w:t>
            </w:r>
            <w:r w:rsidRPr="001B238E">
              <w:rPr>
                <w:color w:val="auto"/>
                <w:kern w:val="24"/>
                <w:lang w:eastAsia="en-AU"/>
              </w:rPr>
              <w:t>.</w:t>
            </w:r>
            <w:proofErr w:type="gramEnd"/>
          </w:p>
        </w:tc>
      </w:tr>
      <w:tr w:rsidR="00AE1E92" w:rsidRPr="005F58AA" w14:paraId="086032BD" w14:textId="77777777" w:rsidTr="00AE61AF">
        <w:trPr>
          <w:trHeight w:val="570"/>
        </w:trPr>
        <w:tc>
          <w:tcPr>
            <w:cnfStyle w:val="001000000000" w:firstRow="0" w:lastRow="0" w:firstColumn="1" w:lastColumn="0" w:oddVBand="0" w:evenVBand="0" w:oddHBand="0" w:evenHBand="0" w:firstRowFirstColumn="0" w:firstRowLastColumn="0" w:lastRowFirstColumn="0" w:lastRowLastColumn="0"/>
            <w:tcW w:w="1418" w:type="dxa"/>
            <w:hideMark/>
          </w:tcPr>
          <w:p w14:paraId="1DBC27E6" w14:textId="55701D5F" w:rsidR="00A15925" w:rsidRPr="001B238E" w:rsidRDefault="00A15925" w:rsidP="00912D36">
            <w:pPr>
              <w:pStyle w:val="Tabletextbold"/>
              <w:rPr>
                <w:lang w:eastAsia="en-AU"/>
              </w:rPr>
            </w:pPr>
            <w:r w:rsidRPr="001B238E">
              <w:rPr>
                <w:rFonts w:eastAsiaTheme="minorEastAsia"/>
                <w:lang w:eastAsia="en-AU"/>
              </w:rPr>
              <w:t>3C</w:t>
            </w:r>
          </w:p>
        </w:tc>
        <w:tc>
          <w:tcPr>
            <w:tcW w:w="1843" w:type="dxa"/>
          </w:tcPr>
          <w:p w14:paraId="18903097" w14:textId="0F34A2C9" w:rsidR="00A15925" w:rsidRPr="001B238E" w:rsidRDefault="006E03F8" w:rsidP="001B238E">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Pr>
                <w:color w:val="auto"/>
                <w:kern w:val="24"/>
                <w:lang w:eastAsia="en-AU"/>
              </w:rPr>
              <w:t>Yes</w:t>
            </w:r>
          </w:p>
        </w:tc>
        <w:tc>
          <w:tcPr>
            <w:tcW w:w="7282" w:type="dxa"/>
          </w:tcPr>
          <w:p w14:paraId="07093C6F" w14:textId="3EF5563E" w:rsidR="00A15925" w:rsidRPr="001B238E" w:rsidRDefault="00A15925" w:rsidP="001B238E">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sidRPr="001B238E">
              <w:rPr>
                <w:color w:val="auto"/>
                <w:kern w:val="24"/>
                <w:lang w:eastAsia="en-AU"/>
              </w:rPr>
              <w:t xml:space="preserve">Younger people are often required to replace their </w:t>
            </w:r>
            <w:r w:rsidR="00AF1484" w:rsidRPr="001B238E">
              <w:rPr>
                <w:color w:val="auto"/>
                <w:kern w:val="24"/>
                <w:lang w:eastAsia="en-AU"/>
              </w:rPr>
              <w:t xml:space="preserve">facial </w:t>
            </w:r>
            <w:r w:rsidRPr="001B238E">
              <w:rPr>
                <w:color w:val="auto"/>
                <w:kern w:val="24"/>
                <w:lang w:eastAsia="en-AU"/>
              </w:rPr>
              <w:t>prosthesis more frequently</w:t>
            </w:r>
            <w:r w:rsidR="00AF1484" w:rsidRPr="001B238E">
              <w:rPr>
                <w:color w:val="auto"/>
                <w:kern w:val="24"/>
                <w:lang w:eastAsia="en-AU"/>
              </w:rPr>
              <w:t xml:space="preserve"> than adults, resulting in </w:t>
            </w:r>
            <w:r w:rsidR="00F626D9" w:rsidRPr="001B238E">
              <w:rPr>
                <w:color w:val="auto"/>
                <w:kern w:val="24"/>
                <w:lang w:eastAsia="en-AU"/>
              </w:rPr>
              <w:t>an additional financial burden for this cohort where publicly funded facial prostheses services are not available</w:t>
            </w:r>
            <w:r w:rsidRPr="001B238E">
              <w:rPr>
                <w:color w:val="auto"/>
                <w:kern w:val="24"/>
                <w:lang w:eastAsia="en-AU"/>
              </w:rPr>
              <w:t xml:space="preserve">. </w:t>
            </w:r>
            <w:r w:rsidR="00F626D9" w:rsidRPr="001B238E">
              <w:rPr>
                <w:color w:val="auto"/>
                <w:kern w:val="24"/>
                <w:lang w:eastAsia="en-AU"/>
              </w:rPr>
              <w:t xml:space="preserve">Option 1 would aim to reduce these </w:t>
            </w:r>
            <w:r w:rsidRPr="001B238E">
              <w:rPr>
                <w:color w:val="auto"/>
                <w:kern w:val="24"/>
                <w:lang w:eastAsia="en-AU"/>
              </w:rPr>
              <w:t xml:space="preserve">ongoing financial pressures </w:t>
            </w:r>
            <w:r w:rsidR="00F626D9" w:rsidRPr="001B238E">
              <w:rPr>
                <w:color w:val="auto"/>
                <w:kern w:val="24"/>
                <w:lang w:eastAsia="en-AU"/>
              </w:rPr>
              <w:t>currently experienced by some</w:t>
            </w:r>
            <w:r w:rsidRPr="001B238E">
              <w:rPr>
                <w:color w:val="auto"/>
                <w:kern w:val="24"/>
                <w:lang w:eastAsia="en-AU"/>
              </w:rPr>
              <w:t xml:space="preserve"> young people </w:t>
            </w:r>
            <w:r w:rsidR="00F626D9" w:rsidRPr="001B238E">
              <w:rPr>
                <w:color w:val="auto"/>
                <w:kern w:val="24"/>
                <w:lang w:eastAsia="en-AU"/>
              </w:rPr>
              <w:t xml:space="preserve">by establishing dedicated funding for </w:t>
            </w:r>
            <w:r w:rsidR="00B5195C" w:rsidRPr="001B238E">
              <w:rPr>
                <w:color w:val="auto"/>
                <w:kern w:val="24"/>
                <w:lang w:eastAsia="en-AU"/>
              </w:rPr>
              <w:t xml:space="preserve">both new and replacement </w:t>
            </w:r>
            <w:r w:rsidR="00F626D9" w:rsidRPr="001B238E">
              <w:rPr>
                <w:color w:val="auto"/>
                <w:kern w:val="24"/>
                <w:lang w:eastAsia="en-AU"/>
              </w:rPr>
              <w:t xml:space="preserve">facial prostheses that are required </w:t>
            </w:r>
            <w:proofErr w:type="gramStart"/>
            <w:r w:rsidR="00F626D9" w:rsidRPr="001B238E">
              <w:rPr>
                <w:color w:val="auto"/>
                <w:kern w:val="24"/>
                <w:lang w:eastAsia="en-AU"/>
              </w:rPr>
              <w:t>as a result of</w:t>
            </w:r>
            <w:proofErr w:type="gramEnd"/>
            <w:r w:rsidR="00F626D9" w:rsidRPr="001B238E">
              <w:rPr>
                <w:color w:val="auto"/>
                <w:kern w:val="24"/>
                <w:lang w:eastAsia="en-AU"/>
              </w:rPr>
              <w:t xml:space="preserve"> cancer or cancer treatment.</w:t>
            </w:r>
          </w:p>
        </w:tc>
      </w:tr>
    </w:tbl>
    <w:p w14:paraId="6F0AC2BA" w14:textId="77777777" w:rsidR="00DD71E7" w:rsidRDefault="005005DD" w:rsidP="009825CD">
      <w:pPr>
        <w:pStyle w:val="Caption-Source"/>
      </w:pPr>
      <w:r w:rsidRPr="00341DDA">
        <w:t xml:space="preserve">Source: </w:t>
      </w:r>
      <w:r w:rsidR="0044544E" w:rsidRPr="0044544E">
        <w:t>Independent reviewer</w:t>
      </w:r>
      <w:r w:rsidRPr="00341DDA">
        <w:t xml:space="preserve"> (2025)</w:t>
      </w:r>
    </w:p>
    <w:p w14:paraId="7D63A149" w14:textId="39077B1C" w:rsidR="00011822" w:rsidRPr="00DD71E7" w:rsidRDefault="00011822" w:rsidP="00DD71E7">
      <w:r w:rsidRPr="00DD71E7">
        <w:br w:type="page"/>
      </w:r>
    </w:p>
    <w:p w14:paraId="114B3F6A" w14:textId="4F819AD7" w:rsidR="00FB609D" w:rsidRPr="00FB609D" w:rsidRDefault="00FB609D" w:rsidP="00FB609D">
      <w:pPr>
        <w:pStyle w:val="Heading3"/>
      </w:pPr>
      <w:r w:rsidRPr="00FB609D">
        <w:t xml:space="preserve">National cancer prostheses program option </w:t>
      </w:r>
      <w:r>
        <w:t>2</w:t>
      </w:r>
    </w:p>
    <w:p w14:paraId="7983B153" w14:textId="77777777" w:rsidR="008270DC" w:rsidRPr="00DD71E7" w:rsidRDefault="00633571" w:rsidP="00DD71E7">
      <w:r w:rsidRPr="00DD71E7">
        <w:t xml:space="preserve">Option </w:t>
      </w:r>
      <w:r w:rsidR="00094BCC" w:rsidRPr="00DD71E7">
        <w:t>2</w:t>
      </w:r>
      <w:r w:rsidRPr="00DD71E7">
        <w:t xml:space="preserve"> </w:t>
      </w:r>
      <w:r w:rsidR="009F062E" w:rsidRPr="00DD71E7">
        <w:t>for a</w:t>
      </w:r>
      <w:r w:rsidRPr="00DD71E7">
        <w:t xml:space="preserve"> national cancer prostheses program</w:t>
      </w:r>
      <w:r w:rsidR="00EA6016" w:rsidRPr="00DD71E7">
        <w:t xml:space="preserve"> builds on Option 1</w:t>
      </w:r>
      <w:r w:rsidR="002862F1" w:rsidRPr="00DD71E7">
        <w:t xml:space="preserve"> </w:t>
      </w:r>
      <w:r w:rsidR="001F20B9" w:rsidRPr="00DD71E7">
        <w:t xml:space="preserve">by providing funding for facial prostheses required </w:t>
      </w:r>
      <w:proofErr w:type="gramStart"/>
      <w:r w:rsidR="001F20B9" w:rsidRPr="00DD71E7">
        <w:t>as a result of</w:t>
      </w:r>
      <w:proofErr w:type="gramEnd"/>
      <w:r w:rsidR="001F20B9" w:rsidRPr="00DD71E7">
        <w:t xml:space="preserve"> cancer or cancer treatment as well as</w:t>
      </w:r>
      <w:r w:rsidR="00727EC5" w:rsidRPr="00DD71E7">
        <w:t xml:space="preserve"> </w:t>
      </w:r>
      <w:r w:rsidR="00EB7A0E" w:rsidRPr="00DD71E7">
        <w:t>funding</w:t>
      </w:r>
      <w:r w:rsidR="008270DC" w:rsidRPr="00DD71E7">
        <w:t xml:space="preserve"> to ensure that individuals who require an external breast prosthesis </w:t>
      </w:r>
      <w:proofErr w:type="gramStart"/>
      <w:r w:rsidR="008270DC" w:rsidRPr="00DD71E7">
        <w:t>as a result of</w:t>
      </w:r>
      <w:proofErr w:type="gramEnd"/>
      <w:r w:rsidR="008270DC" w:rsidRPr="00DD71E7">
        <w:t xml:space="preserve"> cancer or cancer treatment can access one without needing to make an upfront payment.</w:t>
      </w:r>
    </w:p>
    <w:p w14:paraId="02E4761B" w14:textId="5279612B" w:rsidR="009F062E" w:rsidRPr="00DD71E7" w:rsidRDefault="008270DC" w:rsidP="00DD71E7">
      <w:r w:rsidRPr="00DD71E7">
        <w:t>As outlined in Section 2.1, a significant barrier to accessing the current EBPRP is the reimbursement model, which requires individuals to make an upfront payment before receiving financial support. In contrast, other programs</w:t>
      </w:r>
      <w:r w:rsidR="00492D66" w:rsidRPr="00DD71E7">
        <w:t>,</w:t>
      </w:r>
      <w:r w:rsidRPr="00DD71E7">
        <w:t xml:space="preserve"> such as the NDIS for limb prostheses, operate under a direct provider payment model, removing out-of-pocket costs and upfront payments for eligible individuals. Option </w:t>
      </w:r>
      <w:r w:rsidR="002D611F" w:rsidRPr="00DD71E7">
        <w:t>2</w:t>
      </w:r>
      <w:r w:rsidRPr="00DD71E7">
        <w:t xml:space="preserve"> seeks to address this challenge by introducing a consistent national funding model across </w:t>
      </w:r>
      <w:r w:rsidR="002D611F" w:rsidRPr="00DD71E7">
        <w:t>prosthesis types</w:t>
      </w:r>
      <w:r w:rsidRPr="00DD71E7">
        <w:t>, thereby improving equity and accessibility for people requiring prostheses due to cancer or cancer treatment.</w:t>
      </w:r>
      <w:r w:rsidR="00EB7A0E" w:rsidRPr="00DD71E7">
        <w:t xml:space="preserve"> </w:t>
      </w:r>
    </w:p>
    <w:p w14:paraId="4F5D4E7E" w14:textId="5B0A6668" w:rsidR="00A31281" w:rsidRPr="00DD71E7" w:rsidRDefault="00383EE5" w:rsidP="00DD71E7">
      <w:r w:rsidRPr="00DD71E7">
        <w:fldChar w:fldCharType="begin"/>
      </w:r>
      <w:r w:rsidRPr="00DD71E7">
        <w:instrText xml:space="preserve"> REF _Ref201672755 \h </w:instrText>
      </w:r>
      <w:r w:rsidR="00DD71E7">
        <w:instrText xml:space="preserve"> \* MERGEFORMAT </w:instrText>
      </w:r>
      <w:r w:rsidRPr="00DD71E7">
        <w:fldChar w:fldCharType="separate"/>
      </w:r>
      <w:r w:rsidR="008331D1" w:rsidRPr="00DD71E7">
        <w:t>Table 22</w:t>
      </w:r>
      <w:r w:rsidRPr="00DD71E7">
        <w:fldChar w:fldCharType="end"/>
      </w:r>
      <w:r w:rsidR="00A31281" w:rsidRPr="00DD71E7">
        <w:t xml:space="preserve"> </w:t>
      </w:r>
      <w:r w:rsidR="001F20B9" w:rsidRPr="00DD71E7">
        <w:t xml:space="preserve">below </w:t>
      </w:r>
      <w:r w:rsidR="00A31281" w:rsidRPr="00DD71E7">
        <w:t xml:space="preserve">provides a summary of the equity issues that Option </w:t>
      </w:r>
      <w:r w:rsidR="009E2C5D" w:rsidRPr="00DD71E7">
        <w:t>2</w:t>
      </w:r>
      <w:r w:rsidR="00A31281" w:rsidRPr="00DD71E7">
        <w:t xml:space="preserve"> would aim to address. These issues include: </w:t>
      </w:r>
    </w:p>
    <w:p w14:paraId="4999234C" w14:textId="77777777" w:rsidR="00A31281" w:rsidRDefault="00A31281" w:rsidP="009825CD">
      <w:pPr>
        <w:pStyle w:val="Bullet1stlevel"/>
      </w:pPr>
      <w:r w:rsidRPr="00D50B1B">
        <w:t>1A</w:t>
      </w:r>
      <w:r>
        <w:t>: Inconsistent availability of national programs/schemes</w:t>
      </w:r>
    </w:p>
    <w:p w14:paraId="3F3FE323" w14:textId="2B4CECD8" w:rsidR="0009796C" w:rsidRDefault="0009796C" w:rsidP="009825CD">
      <w:pPr>
        <w:pStyle w:val="Bullet1stlevel"/>
      </w:pPr>
      <w:r w:rsidRPr="0009796C">
        <w:t>1B. Inconsistent funding models used by existing national programs and schemes</w:t>
      </w:r>
    </w:p>
    <w:p w14:paraId="12EBE730" w14:textId="77777777" w:rsidR="00A31281" w:rsidRDefault="00A31281" w:rsidP="009825CD">
      <w:pPr>
        <w:pStyle w:val="Bullet1stlevel"/>
      </w:pPr>
      <w:r>
        <w:t xml:space="preserve">2A: Variability in availability of facial prostheses services between jurisdictions </w:t>
      </w:r>
    </w:p>
    <w:p w14:paraId="7F10E856" w14:textId="77777777" w:rsidR="00A31281" w:rsidRDefault="00A31281" w:rsidP="009825CD">
      <w:pPr>
        <w:pStyle w:val="Bullet1stlevel"/>
      </w:pPr>
      <w:r>
        <w:t>3B: Significant financial barriers for people in lower socioeconomic groups</w:t>
      </w:r>
    </w:p>
    <w:p w14:paraId="60D5A606" w14:textId="0A8AD337" w:rsidR="009E2C5D" w:rsidRPr="00432DFB" w:rsidRDefault="00A31281" w:rsidP="009825CD">
      <w:pPr>
        <w:pStyle w:val="Bullet1stlevel"/>
      </w:pPr>
      <w:r>
        <w:t>3C: Additional financial burden for young people requiring facial prostheses.</w:t>
      </w:r>
    </w:p>
    <w:p w14:paraId="2A54102C" w14:textId="26779B09" w:rsidR="009E2C5D" w:rsidRDefault="009E2C5D" w:rsidP="009E2C5D">
      <w:pPr>
        <w:pStyle w:val="Caption"/>
      </w:pPr>
      <w:bookmarkStart w:id="132" w:name="_Ref201672755"/>
      <w:bookmarkStart w:id="133" w:name="_Toc207348587"/>
      <w:r>
        <w:t xml:space="preserve">Table </w:t>
      </w:r>
      <w:r w:rsidR="008331D1">
        <w:fldChar w:fldCharType="begin"/>
      </w:r>
      <w:r w:rsidR="008331D1">
        <w:instrText xml:space="preserve"> SEQ Table \* ARABIC </w:instrText>
      </w:r>
      <w:r w:rsidR="008331D1">
        <w:fldChar w:fldCharType="separate"/>
      </w:r>
      <w:r w:rsidR="008331D1">
        <w:rPr>
          <w:noProof/>
        </w:rPr>
        <w:t>22</w:t>
      </w:r>
      <w:r w:rsidR="008331D1">
        <w:rPr>
          <w:noProof/>
        </w:rPr>
        <w:fldChar w:fldCharType="end"/>
      </w:r>
      <w:bookmarkEnd w:id="132"/>
      <w:r>
        <w:t xml:space="preserve">: Summary of the equity issues </w:t>
      </w:r>
      <w:r w:rsidR="001F20B9">
        <w:t xml:space="preserve">aimed to be </w:t>
      </w:r>
      <w:r>
        <w:t>addressed through Option 2</w:t>
      </w:r>
      <w:bookmarkEnd w:id="133"/>
    </w:p>
    <w:tbl>
      <w:tblPr>
        <w:tblStyle w:val="KPMGTable"/>
        <w:tblW w:w="10543" w:type="dxa"/>
        <w:tblLayout w:type="fixed"/>
        <w:tblLook w:val="04A0" w:firstRow="1" w:lastRow="0" w:firstColumn="1" w:lastColumn="0" w:noHBand="0" w:noVBand="1"/>
      </w:tblPr>
      <w:tblGrid>
        <w:gridCol w:w="1418"/>
        <w:gridCol w:w="1843"/>
        <w:gridCol w:w="7282"/>
      </w:tblGrid>
      <w:tr w:rsidR="00AE1E92" w:rsidRPr="001B238E" w14:paraId="3C615CCB" w14:textId="77777777" w:rsidTr="005B2A87">
        <w:trPr>
          <w:cnfStyle w:val="100000000000" w:firstRow="1" w:lastRow="0" w:firstColumn="0" w:lastColumn="0" w:oddVBand="0" w:evenVBand="0" w:oddHBand="0"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1418" w:type="dxa"/>
          </w:tcPr>
          <w:p w14:paraId="00F4DA67" w14:textId="77777777" w:rsidR="0009796C" w:rsidRPr="001B238E" w:rsidRDefault="0009796C">
            <w:pPr>
              <w:pStyle w:val="TableHeading"/>
              <w:rPr>
                <w:lang w:eastAsia="en-AU"/>
              </w:rPr>
            </w:pPr>
            <w:r>
              <w:rPr>
                <w:lang w:eastAsia="en-AU"/>
              </w:rPr>
              <w:t>Equity issue</w:t>
            </w:r>
          </w:p>
        </w:tc>
        <w:tc>
          <w:tcPr>
            <w:tcW w:w="1843" w:type="dxa"/>
          </w:tcPr>
          <w:p w14:paraId="4C6B4FA6" w14:textId="77777777" w:rsidR="0009796C" w:rsidRDefault="0009796C">
            <w:pPr>
              <w:pStyle w:val="TableHeading"/>
              <w:cnfStyle w:val="100000000000" w:firstRow="1" w:lastRow="0" w:firstColumn="0" w:lastColumn="0" w:oddVBand="0" w:evenVBand="0" w:oddHBand="0" w:evenHBand="0" w:firstRowFirstColumn="0" w:firstRowLastColumn="0" w:lastRowFirstColumn="0" w:lastRowLastColumn="0"/>
              <w:rPr>
                <w:rFonts w:eastAsiaTheme="minorEastAsia"/>
                <w:lang w:eastAsia="en-AU"/>
              </w:rPr>
            </w:pPr>
            <w:r>
              <w:rPr>
                <w:rFonts w:eastAsiaTheme="minorEastAsia"/>
                <w:lang w:eastAsia="en-AU"/>
              </w:rPr>
              <w:t xml:space="preserve">If Option aims to address </w:t>
            </w:r>
          </w:p>
        </w:tc>
        <w:tc>
          <w:tcPr>
            <w:tcW w:w="7282" w:type="dxa"/>
          </w:tcPr>
          <w:p w14:paraId="4BDB6FEB" w14:textId="77777777" w:rsidR="0009796C" w:rsidRPr="001B238E" w:rsidRDefault="0009796C">
            <w:pPr>
              <w:pStyle w:val="TableHeading"/>
              <w:cnfStyle w:val="100000000000" w:firstRow="1" w:lastRow="0" w:firstColumn="0" w:lastColumn="0" w:oddVBand="0" w:evenVBand="0" w:oddHBand="0" w:evenHBand="0" w:firstRowFirstColumn="0" w:firstRowLastColumn="0" w:lastRowFirstColumn="0" w:lastRowLastColumn="0"/>
              <w:rPr>
                <w:lang w:eastAsia="en-AU"/>
              </w:rPr>
            </w:pPr>
            <w:r>
              <w:rPr>
                <w:lang w:eastAsia="en-AU"/>
              </w:rPr>
              <w:t>Description</w:t>
            </w:r>
          </w:p>
        </w:tc>
      </w:tr>
      <w:tr w:rsidR="003202A8" w:rsidRPr="001B238E" w14:paraId="3CBB4EFF" w14:textId="77777777" w:rsidTr="005B2A87">
        <w:trPr>
          <w:trHeight w:val="479"/>
        </w:trPr>
        <w:tc>
          <w:tcPr>
            <w:cnfStyle w:val="001000000000" w:firstRow="0" w:lastRow="0" w:firstColumn="1" w:lastColumn="0" w:oddVBand="0" w:evenVBand="0" w:oddHBand="0" w:evenHBand="0" w:firstRowFirstColumn="0" w:firstRowLastColumn="0" w:lastRowFirstColumn="0" w:lastRowLastColumn="0"/>
            <w:tcW w:w="1418" w:type="dxa"/>
            <w:hideMark/>
          </w:tcPr>
          <w:p w14:paraId="7E31AA17" w14:textId="77777777" w:rsidR="0009796C" w:rsidRPr="001B238E" w:rsidRDefault="0009796C" w:rsidP="00912D36">
            <w:pPr>
              <w:pStyle w:val="Tabletextbold"/>
              <w:rPr>
                <w:lang w:eastAsia="en-AU"/>
              </w:rPr>
            </w:pPr>
            <w:r w:rsidRPr="001B238E">
              <w:rPr>
                <w:lang w:eastAsia="en-AU"/>
              </w:rPr>
              <w:t>1A</w:t>
            </w:r>
          </w:p>
        </w:tc>
        <w:tc>
          <w:tcPr>
            <w:tcW w:w="1843" w:type="dxa"/>
          </w:tcPr>
          <w:p w14:paraId="52572619" w14:textId="77777777" w:rsidR="0009796C" w:rsidRPr="001B238E" w:rsidRDefault="0009796C" w:rsidP="0009796C">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Pr>
                <w:rFonts w:eastAsiaTheme="minorEastAsia"/>
                <w:color w:val="auto"/>
                <w:kern w:val="24"/>
                <w:lang w:eastAsia="en-AU"/>
              </w:rPr>
              <w:t>Yes</w:t>
            </w:r>
          </w:p>
        </w:tc>
        <w:tc>
          <w:tcPr>
            <w:tcW w:w="7282" w:type="dxa"/>
            <w:vAlign w:val="center"/>
          </w:tcPr>
          <w:p w14:paraId="745D5CBA" w14:textId="55CA9DBB" w:rsidR="0009796C" w:rsidRPr="001B238E" w:rsidRDefault="0009796C" w:rsidP="0009796C">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Pr>
                <w:rFonts w:eastAsia="Times New Roman" w:cstheme="minorHAnsi"/>
                <w:kern w:val="24"/>
                <w:szCs w:val="18"/>
                <w:lang w:eastAsia="en-AU"/>
              </w:rPr>
              <w:t>Unlike for limb prostheses and external breast prostheses, no nationally funded program or scheme currently exists for facial prostheses. Option 2</w:t>
            </w:r>
            <w:r w:rsidRPr="00F33FCD">
              <w:rPr>
                <w:rFonts w:eastAsia="Times New Roman" w:cstheme="minorHAnsi"/>
                <w:kern w:val="24"/>
                <w:szCs w:val="18"/>
                <w:lang w:eastAsia="en-AU"/>
              </w:rPr>
              <w:t xml:space="preserve"> would address that gap by establishing a consistent national approach</w:t>
            </w:r>
            <w:r>
              <w:rPr>
                <w:rFonts w:eastAsia="Times New Roman" w:cstheme="minorHAnsi"/>
                <w:kern w:val="24"/>
                <w:szCs w:val="18"/>
                <w:lang w:eastAsia="en-AU"/>
              </w:rPr>
              <w:t xml:space="preserve"> and dedicated funding for facial prostheses required </w:t>
            </w:r>
            <w:proofErr w:type="gramStart"/>
            <w:r>
              <w:rPr>
                <w:rFonts w:eastAsia="Times New Roman" w:cstheme="minorHAnsi"/>
                <w:kern w:val="24"/>
                <w:szCs w:val="18"/>
                <w:lang w:eastAsia="en-AU"/>
              </w:rPr>
              <w:t>as a result of</w:t>
            </w:r>
            <w:proofErr w:type="gramEnd"/>
            <w:r>
              <w:rPr>
                <w:rFonts w:eastAsia="Times New Roman" w:cstheme="minorHAnsi"/>
                <w:kern w:val="24"/>
                <w:szCs w:val="18"/>
                <w:lang w:eastAsia="en-AU"/>
              </w:rPr>
              <w:t xml:space="preserve"> cancer or cancer treatment.</w:t>
            </w:r>
          </w:p>
        </w:tc>
      </w:tr>
      <w:tr w:rsidR="003202A8" w:rsidRPr="001B238E" w14:paraId="201C625D" w14:textId="77777777" w:rsidTr="005B2A87">
        <w:trPr>
          <w:trHeight w:val="479"/>
        </w:trPr>
        <w:tc>
          <w:tcPr>
            <w:cnfStyle w:val="001000000000" w:firstRow="0" w:lastRow="0" w:firstColumn="1" w:lastColumn="0" w:oddVBand="0" w:evenVBand="0" w:oddHBand="0" w:evenHBand="0" w:firstRowFirstColumn="0" w:firstRowLastColumn="0" w:lastRowFirstColumn="0" w:lastRowLastColumn="0"/>
            <w:tcW w:w="1418" w:type="dxa"/>
            <w:hideMark/>
          </w:tcPr>
          <w:p w14:paraId="78D25730" w14:textId="77777777" w:rsidR="0009796C" w:rsidRPr="001B238E" w:rsidRDefault="0009796C" w:rsidP="00912D36">
            <w:pPr>
              <w:pStyle w:val="Tabletextbold"/>
              <w:rPr>
                <w:lang w:eastAsia="en-AU"/>
              </w:rPr>
            </w:pPr>
            <w:r w:rsidRPr="001B238E">
              <w:rPr>
                <w:lang w:eastAsia="en-AU"/>
              </w:rPr>
              <w:t>1B</w:t>
            </w:r>
          </w:p>
        </w:tc>
        <w:tc>
          <w:tcPr>
            <w:tcW w:w="1843" w:type="dxa"/>
          </w:tcPr>
          <w:p w14:paraId="3867C260" w14:textId="7035BA4F" w:rsidR="0009796C" w:rsidRPr="001B238E" w:rsidRDefault="0009796C" w:rsidP="0009796C">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Pr>
                <w:color w:val="auto"/>
                <w:kern w:val="24"/>
                <w:lang w:eastAsia="en-AU"/>
              </w:rPr>
              <w:t>Yes</w:t>
            </w:r>
          </w:p>
        </w:tc>
        <w:tc>
          <w:tcPr>
            <w:tcW w:w="7282" w:type="dxa"/>
            <w:vAlign w:val="center"/>
          </w:tcPr>
          <w:p w14:paraId="7F98B31D" w14:textId="219FA8A2" w:rsidR="0009796C" w:rsidRPr="001B238E" w:rsidRDefault="0009796C" w:rsidP="0009796C">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sidRPr="0065722D">
              <w:rPr>
                <w:rFonts w:eastAsia="Times New Roman" w:cstheme="minorHAnsi"/>
                <w:kern w:val="24"/>
                <w:szCs w:val="18"/>
                <w:lang w:eastAsia="en-AU"/>
              </w:rPr>
              <w:t xml:space="preserve">The </w:t>
            </w:r>
            <w:r>
              <w:rPr>
                <w:rFonts w:eastAsia="Times New Roman" w:cstheme="minorHAnsi"/>
                <w:kern w:val="24"/>
                <w:szCs w:val="18"/>
                <w:lang w:eastAsia="en-AU"/>
              </w:rPr>
              <w:t>EBPRP</w:t>
            </w:r>
            <w:r w:rsidRPr="0065722D">
              <w:rPr>
                <w:rFonts w:eastAsia="Times New Roman" w:cstheme="minorHAnsi"/>
                <w:kern w:val="24"/>
                <w:szCs w:val="18"/>
                <w:lang w:eastAsia="en-AU"/>
              </w:rPr>
              <w:t xml:space="preserve"> currently operates under a reimbursement model, while other </w:t>
            </w:r>
            <w:r>
              <w:rPr>
                <w:rFonts w:eastAsia="Times New Roman" w:cstheme="minorHAnsi"/>
                <w:kern w:val="24"/>
                <w:szCs w:val="18"/>
                <w:lang w:eastAsia="en-AU"/>
              </w:rPr>
              <w:t>schemes through which people can access prostheses</w:t>
            </w:r>
            <w:r w:rsidRPr="0065722D">
              <w:rPr>
                <w:rFonts w:eastAsia="Times New Roman" w:cstheme="minorHAnsi"/>
                <w:kern w:val="24"/>
                <w:szCs w:val="18"/>
                <w:lang w:eastAsia="en-AU"/>
              </w:rPr>
              <w:t xml:space="preserve"> use a direct provider payment model (e.g. NDIS</w:t>
            </w:r>
            <w:r>
              <w:rPr>
                <w:rFonts w:eastAsia="Times New Roman" w:cstheme="minorHAnsi"/>
                <w:kern w:val="24"/>
                <w:szCs w:val="18"/>
                <w:lang w:eastAsia="en-AU"/>
              </w:rPr>
              <w:t xml:space="preserve"> and DVA</w:t>
            </w:r>
            <w:r w:rsidRPr="0065722D">
              <w:rPr>
                <w:rFonts w:eastAsia="Times New Roman" w:cstheme="minorHAnsi"/>
                <w:kern w:val="24"/>
                <w:szCs w:val="18"/>
                <w:lang w:eastAsia="en-AU"/>
              </w:rPr>
              <w:t xml:space="preserve">). Option </w:t>
            </w:r>
            <w:r>
              <w:rPr>
                <w:rFonts w:eastAsia="Times New Roman" w:cstheme="minorHAnsi"/>
                <w:kern w:val="24"/>
                <w:szCs w:val="18"/>
                <w:lang w:eastAsia="en-AU"/>
              </w:rPr>
              <w:t>2</w:t>
            </w:r>
            <w:r w:rsidRPr="0065722D">
              <w:rPr>
                <w:rFonts w:eastAsia="Times New Roman" w:cstheme="minorHAnsi"/>
                <w:kern w:val="24"/>
                <w:szCs w:val="18"/>
                <w:lang w:eastAsia="en-AU"/>
              </w:rPr>
              <w:t xml:space="preserve"> would aim to remove barriers to access</w:t>
            </w:r>
            <w:r>
              <w:rPr>
                <w:rFonts w:eastAsia="Times New Roman" w:cstheme="minorHAnsi"/>
                <w:kern w:val="24"/>
                <w:szCs w:val="18"/>
                <w:lang w:eastAsia="en-AU"/>
              </w:rPr>
              <w:t xml:space="preserve">ing external breast prostheses </w:t>
            </w:r>
            <w:r w:rsidRPr="0065722D">
              <w:rPr>
                <w:rFonts w:eastAsia="Times New Roman" w:cstheme="minorHAnsi"/>
                <w:kern w:val="24"/>
                <w:szCs w:val="18"/>
                <w:lang w:eastAsia="en-AU"/>
              </w:rPr>
              <w:t xml:space="preserve">by removing the requirement for an upfront payment under the </w:t>
            </w:r>
            <w:r>
              <w:rPr>
                <w:rFonts w:eastAsia="Times New Roman" w:cstheme="minorHAnsi"/>
                <w:kern w:val="24"/>
                <w:szCs w:val="18"/>
                <w:lang w:eastAsia="en-AU"/>
              </w:rPr>
              <w:t>EBPRP</w:t>
            </w:r>
            <w:r w:rsidRPr="0065722D">
              <w:rPr>
                <w:rFonts w:eastAsia="Times New Roman" w:cstheme="minorHAnsi"/>
                <w:kern w:val="24"/>
                <w:szCs w:val="18"/>
                <w:lang w:eastAsia="en-AU"/>
              </w:rPr>
              <w:t xml:space="preserve"> and promote consistency in the funding of prostheses. </w:t>
            </w:r>
          </w:p>
        </w:tc>
      </w:tr>
      <w:tr w:rsidR="003202A8" w:rsidRPr="001B238E" w14:paraId="3EBF5510" w14:textId="77777777" w:rsidTr="005B2A87">
        <w:trPr>
          <w:trHeight w:val="479"/>
        </w:trPr>
        <w:tc>
          <w:tcPr>
            <w:cnfStyle w:val="001000000000" w:firstRow="0" w:lastRow="0" w:firstColumn="1" w:lastColumn="0" w:oddVBand="0" w:evenVBand="0" w:oddHBand="0" w:evenHBand="0" w:firstRowFirstColumn="0" w:firstRowLastColumn="0" w:lastRowFirstColumn="0" w:lastRowLastColumn="0"/>
            <w:tcW w:w="1418" w:type="dxa"/>
          </w:tcPr>
          <w:p w14:paraId="7BF642F4" w14:textId="77777777" w:rsidR="00912D36" w:rsidRPr="001B238E" w:rsidRDefault="00912D36" w:rsidP="00912D36">
            <w:pPr>
              <w:pStyle w:val="Tabletextbold"/>
              <w:rPr>
                <w:lang w:eastAsia="en-AU"/>
              </w:rPr>
            </w:pPr>
            <w:r w:rsidRPr="001B238E">
              <w:rPr>
                <w:lang w:eastAsia="en-AU"/>
              </w:rPr>
              <w:t>2A</w:t>
            </w:r>
          </w:p>
        </w:tc>
        <w:tc>
          <w:tcPr>
            <w:tcW w:w="1843" w:type="dxa"/>
          </w:tcPr>
          <w:p w14:paraId="31737B2F" w14:textId="77777777" w:rsidR="00912D36" w:rsidRPr="001B238E" w:rsidRDefault="00912D36" w:rsidP="00912D36">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Pr>
                <w:color w:val="auto"/>
                <w:kern w:val="24"/>
                <w:lang w:eastAsia="en-AU"/>
              </w:rPr>
              <w:t>Yes</w:t>
            </w:r>
          </w:p>
        </w:tc>
        <w:tc>
          <w:tcPr>
            <w:tcW w:w="7282" w:type="dxa"/>
            <w:vAlign w:val="center"/>
          </w:tcPr>
          <w:p w14:paraId="36498D52" w14:textId="12DAE974" w:rsidR="00912D36" w:rsidRPr="00912D36" w:rsidRDefault="00912D36" w:rsidP="00912D36">
            <w:pPr>
              <w:pStyle w:val="TableText"/>
              <w:cnfStyle w:val="000000000000" w:firstRow="0" w:lastRow="0" w:firstColumn="0" w:lastColumn="0" w:oddVBand="0" w:evenVBand="0" w:oddHBand="0" w:evenHBand="0" w:firstRowFirstColumn="0" w:firstRowLastColumn="0" w:lastRowFirstColumn="0" w:lastRowLastColumn="0"/>
            </w:pPr>
            <w:r w:rsidRPr="00912D36">
              <w:t>Access to publicly funded facial prostheses services currently varies significantly between states and territories. Option 2 would aim to support improved access to publicly funded prostheses services and promote consistency across jurisdictions.</w:t>
            </w:r>
          </w:p>
        </w:tc>
      </w:tr>
      <w:tr w:rsidR="003202A8" w:rsidRPr="001B238E" w14:paraId="37FEBCDF" w14:textId="77777777" w:rsidTr="005B2A87">
        <w:trPr>
          <w:trHeight w:val="479"/>
        </w:trPr>
        <w:tc>
          <w:tcPr>
            <w:cnfStyle w:val="001000000000" w:firstRow="0" w:lastRow="0" w:firstColumn="1" w:lastColumn="0" w:oddVBand="0" w:evenVBand="0" w:oddHBand="0" w:evenHBand="0" w:firstRowFirstColumn="0" w:firstRowLastColumn="0" w:lastRowFirstColumn="0" w:lastRowLastColumn="0"/>
            <w:tcW w:w="1418" w:type="dxa"/>
          </w:tcPr>
          <w:p w14:paraId="4D2F0B39" w14:textId="77777777" w:rsidR="00912D36" w:rsidRPr="001B238E" w:rsidRDefault="00912D36" w:rsidP="00912D36">
            <w:pPr>
              <w:pStyle w:val="Tabletextbold"/>
              <w:rPr>
                <w:lang w:eastAsia="en-AU"/>
              </w:rPr>
            </w:pPr>
            <w:r w:rsidRPr="001B238E">
              <w:rPr>
                <w:lang w:eastAsia="en-AU"/>
              </w:rPr>
              <w:t>2B</w:t>
            </w:r>
          </w:p>
        </w:tc>
        <w:tc>
          <w:tcPr>
            <w:tcW w:w="1843" w:type="dxa"/>
          </w:tcPr>
          <w:p w14:paraId="20CE5D54" w14:textId="77777777" w:rsidR="00912D36" w:rsidRPr="001B238E" w:rsidRDefault="00912D36" w:rsidP="00912D36">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sidRPr="001B238E">
              <w:rPr>
                <w:color w:val="auto"/>
                <w:kern w:val="24"/>
                <w:lang w:eastAsia="en-AU"/>
              </w:rPr>
              <w:t>N/A</w:t>
            </w:r>
          </w:p>
        </w:tc>
        <w:tc>
          <w:tcPr>
            <w:tcW w:w="7282" w:type="dxa"/>
            <w:vAlign w:val="center"/>
          </w:tcPr>
          <w:p w14:paraId="27DF2E44" w14:textId="2D6CA436" w:rsidR="00912D36" w:rsidRPr="00912D36" w:rsidRDefault="00912D36" w:rsidP="00912D36">
            <w:pPr>
              <w:pStyle w:val="TableText"/>
              <w:cnfStyle w:val="000000000000" w:firstRow="0" w:lastRow="0" w:firstColumn="0" w:lastColumn="0" w:oddVBand="0" w:evenVBand="0" w:oddHBand="0" w:evenHBand="0" w:firstRowFirstColumn="0" w:firstRowLastColumn="0" w:lastRowFirstColumn="0" w:lastRowLastColumn="0"/>
            </w:pPr>
            <w:r w:rsidRPr="00912D36">
              <w:t>As Option 2 includes funding for facial prostheses and external breast prostheses only, the issues related to variability in the types of limb prostheses available under the NDIS and jurisdictional schemes would not be addressed through this option.</w:t>
            </w:r>
          </w:p>
        </w:tc>
      </w:tr>
      <w:tr w:rsidR="003202A8" w:rsidRPr="001B238E" w14:paraId="70DE3418" w14:textId="77777777" w:rsidTr="005B2A87">
        <w:trPr>
          <w:trHeight w:val="479"/>
        </w:trPr>
        <w:tc>
          <w:tcPr>
            <w:cnfStyle w:val="001000000000" w:firstRow="0" w:lastRow="0" w:firstColumn="1" w:lastColumn="0" w:oddVBand="0" w:evenVBand="0" w:oddHBand="0" w:evenHBand="0" w:firstRowFirstColumn="0" w:firstRowLastColumn="0" w:lastRowFirstColumn="0" w:lastRowLastColumn="0"/>
            <w:tcW w:w="1418" w:type="dxa"/>
          </w:tcPr>
          <w:p w14:paraId="42A08C81" w14:textId="77777777" w:rsidR="00912D36" w:rsidRPr="001B238E" w:rsidRDefault="00912D36" w:rsidP="00912D36">
            <w:pPr>
              <w:pStyle w:val="Tabletextbold"/>
              <w:rPr>
                <w:lang w:eastAsia="en-AU"/>
              </w:rPr>
            </w:pPr>
            <w:r w:rsidRPr="001B238E">
              <w:rPr>
                <w:lang w:eastAsia="en-AU"/>
              </w:rPr>
              <w:t>2C</w:t>
            </w:r>
          </w:p>
        </w:tc>
        <w:tc>
          <w:tcPr>
            <w:tcW w:w="1843" w:type="dxa"/>
          </w:tcPr>
          <w:p w14:paraId="243B145F" w14:textId="77777777" w:rsidR="00912D36" w:rsidRPr="001B238E" w:rsidRDefault="00912D36" w:rsidP="00912D36">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sidRPr="001B238E">
              <w:rPr>
                <w:color w:val="auto"/>
                <w:kern w:val="24"/>
                <w:lang w:eastAsia="en-AU"/>
              </w:rPr>
              <w:t>N/A</w:t>
            </w:r>
          </w:p>
        </w:tc>
        <w:tc>
          <w:tcPr>
            <w:tcW w:w="7282" w:type="dxa"/>
            <w:vAlign w:val="center"/>
          </w:tcPr>
          <w:p w14:paraId="09893C62" w14:textId="483FB26B" w:rsidR="00912D36" w:rsidRPr="00912D36" w:rsidRDefault="00912D36" w:rsidP="00912D36">
            <w:pPr>
              <w:pStyle w:val="TableText"/>
              <w:cnfStyle w:val="000000000000" w:firstRow="0" w:lastRow="0" w:firstColumn="0" w:lastColumn="0" w:oddVBand="0" w:evenVBand="0" w:oddHBand="0" w:evenHBand="0" w:firstRowFirstColumn="0" w:firstRowLastColumn="0" w:lastRowFirstColumn="0" w:lastRowLastColumn="0"/>
            </w:pPr>
            <w:r w:rsidRPr="00912D36">
              <w:t>Similarly, Option 2 would not address the issues related to variability in jurisdictional limb schemes.</w:t>
            </w:r>
          </w:p>
        </w:tc>
      </w:tr>
      <w:tr w:rsidR="003202A8" w:rsidRPr="001B238E" w14:paraId="218891A4" w14:textId="77777777" w:rsidTr="005B2A87">
        <w:trPr>
          <w:trHeight w:val="570"/>
        </w:trPr>
        <w:tc>
          <w:tcPr>
            <w:cnfStyle w:val="001000000000" w:firstRow="0" w:lastRow="0" w:firstColumn="1" w:lastColumn="0" w:oddVBand="0" w:evenVBand="0" w:oddHBand="0" w:evenHBand="0" w:firstRowFirstColumn="0" w:firstRowLastColumn="0" w:lastRowFirstColumn="0" w:lastRowLastColumn="0"/>
            <w:tcW w:w="1418" w:type="dxa"/>
            <w:hideMark/>
          </w:tcPr>
          <w:p w14:paraId="17817B47" w14:textId="77777777" w:rsidR="00912D36" w:rsidRPr="001B238E" w:rsidRDefault="00912D36" w:rsidP="00912D36">
            <w:pPr>
              <w:pStyle w:val="Tabletextbold"/>
              <w:rPr>
                <w:lang w:eastAsia="en-AU"/>
              </w:rPr>
            </w:pPr>
            <w:r w:rsidRPr="001B238E">
              <w:rPr>
                <w:rFonts w:eastAsiaTheme="minorEastAsia"/>
                <w:lang w:eastAsia="en-AU"/>
              </w:rPr>
              <w:t>3A</w:t>
            </w:r>
          </w:p>
        </w:tc>
        <w:tc>
          <w:tcPr>
            <w:tcW w:w="1843" w:type="dxa"/>
          </w:tcPr>
          <w:p w14:paraId="5D62FE53" w14:textId="77777777" w:rsidR="00912D36" w:rsidRPr="001B238E" w:rsidRDefault="00912D36" w:rsidP="00912D36">
            <w:pPr>
              <w:pStyle w:val="TableText"/>
              <w:cnfStyle w:val="000000000000" w:firstRow="0" w:lastRow="0" w:firstColumn="0" w:lastColumn="0" w:oddVBand="0" w:evenVBand="0" w:oddHBand="0" w:evenHBand="0" w:firstRowFirstColumn="0" w:firstRowLastColumn="0" w:lastRowFirstColumn="0" w:lastRowLastColumn="0"/>
              <w:rPr>
                <w:color w:val="auto"/>
                <w:kern w:val="24"/>
                <w:lang w:eastAsia="en-AU"/>
              </w:rPr>
            </w:pPr>
            <w:r w:rsidRPr="001B238E">
              <w:rPr>
                <w:color w:val="auto"/>
                <w:kern w:val="24"/>
                <w:lang w:eastAsia="en-AU"/>
              </w:rPr>
              <w:t>N/A</w:t>
            </w:r>
          </w:p>
        </w:tc>
        <w:tc>
          <w:tcPr>
            <w:tcW w:w="7282" w:type="dxa"/>
            <w:vAlign w:val="center"/>
          </w:tcPr>
          <w:p w14:paraId="39C3A473" w14:textId="19469533" w:rsidR="00912D36" w:rsidRPr="00912D36" w:rsidRDefault="00912D36" w:rsidP="00912D36">
            <w:pPr>
              <w:pStyle w:val="TableText"/>
              <w:cnfStyle w:val="000000000000" w:firstRow="0" w:lastRow="0" w:firstColumn="0" w:lastColumn="0" w:oddVBand="0" w:evenVBand="0" w:oddHBand="0" w:evenHBand="0" w:firstRowFirstColumn="0" w:firstRowLastColumn="0" w:lastRowFirstColumn="0" w:lastRowLastColumn="0"/>
            </w:pPr>
            <w:r w:rsidRPr="00912D36">
              <w:t xml:space="preserve">Service provision in rural and remote areas will depend on how the national program is implemented and delivered. Further details regarding considerations for implementation are outlined in Section </w:t>
            </w:r>
            <w:r w:rsidRPr="00912D36">
              <w:fldChar w:fldCharType="begin"/>
            </w:r>
            <w:r w:rsidRPr="00912D36">
              <w:instrText xml:space="preserve"> REF _Ref201660445 \r \h  \* MERGEFORMAT </w:instrText>
            </w:r>
            <w:r w:rsidRPr="00912D36">
              <w:fldChar w:fldCharType="separate"/>
            </w:r>
            <w:r w:rsidRPr="00912D36">
              <w:t>5.2</w:t>
            </w:r>
            <w:r w:rsidRPr="00912D36">
              <w:fldChar w:fldCharType="end"/>
            </w:r>
            <w:r w:rsidRPr="00912D36">
              <w:t>.</w:t>
            </w:r>
          </w:p>
        </w:tc>
      </w:tr>
      <w:tr w:rsidR="003202A8" w:rsidRPr="001B238E" w14:paraId="06D8249D" w14:textId="77777777" w:rsidTr="005B2A87">
        <w:trPr>
          <w:trHeight w:val="570"/>
        </w:trPr>
        <w:tc>
          <w:tcPr>
            <w:cnfStyle w:val="001000000000" w:firstRow="0" w:lastRow="0" w:firstColumn="1" w:lastColumn="0" w:oddVBand="0" w:evenVBand="0" w:oddHBand="0" w:evenHBand="0" w:firstRowFirstColumn="0" w:firstRowLastColumn="0" w:lastRowFirstColumn="0" w:lastRowLastColumn="0"/>
            <w:tcW w:w="1418" w:type="dxa"/>
            <w:hideMark/>
          </w:tcPr>
          <w:p w14:paraId="0F480D75" w14:textId="77777777" w:rsidR="00912D36" w:rsidRPr="001B238E" w:rsidRDefault="00912D36" w:rsidP="00912D36">
            <w:pPr>
              <w:pStyle w:val="Tabletextbold"/>
              <w:rPr>
                <w:lang w:eastAsia="en-AU"/>
              </w:rPr>
            </w:pPr>
            <w:r w:rsidRPr="001B238E">
              <w:rPr>
                <w:rFonts w:eastAsiaTheme="minorEastAsia"/>
                <w:lang w:eastAsia="en-AU"/>
              </w:rPr>
              <w:t>3B</w:t>
            </w:r>
          </w:p>
        </w:tc>
        <w:tc>
          <w:tcPr>
            <w:tcW w:w="1843" w:type="dxa"/>
          </w:tcPr>
          <w:p w14:paraId="5A3902EA" w14:textId="77777777" w:rsidR="00912D36" w:rsidRPr="001B238E" w:rsidRDefault="00912D36" w:rsidP="00912D36">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Pr>
                <w:color w:val="auto"/>
                <w:kern w:val="24"/>
                <w:lang w:eastAsia="en-AU"/>
              </w:rPr>
              <w:t>Yes</w:t>
            </w:r>
          </w:p>
        </w:tc>
        <w:tc>
          <w:tcPr>
            <w:tcW w:w="7282" w:type="dxa"/>
            <w:vAlign w:val="center"/>
          </w:tcPr>
          <w:p w14:paraId="5831BACD" w14:textId="16FB20E2" w:rsidR="00912D36" w:rsidRPr="00912D36" w:rsidRDefault="00912D36" w:rsidP="00912D36">
            <w:pPr>
              <w:pStyle w:val="TableText"/>
              <w:cnfStyle w:val="000000000000" w:firstRow="0" w:lastRow="0" w:firstColumn="0" w:lastColumn="0" w:oddVBand="0" w:evenVBand="0" w:oddHBand="0" w:evenHBand="0" w:firstRowFirstColumn="0" w:firstRowLastColumn="0" w:lastRowFirstColumn="0" w:lastRowLastColumn="0"/>
            </w:pPr>
            <w:r w:rsidRPr="00912D36">
              <w:t>Without access to public funding, there are currently significant cost barriers for some individuals in accessing facial prostheses. Option 2 would aim to remove cost barriers by establishing dedicated funding for facial prostheses as well as removing the upfront payment barrier for breast prostheses.</w:t>
            </w:r>
          </w:p>
        </w:tc>
      </w:tr>
      <w:tr w:rsidR="003202A8" w:rsidRPr="001B238E" w14:paraId="79E9817C" w14:textId="77777777" w:rsidTr="005B2A87">
        <w:trPr>
          <w:trHeight w:val="570"/>
        </w:trPr>
        <w:tc>
          <w:tcPr>
            <w:cnfStyle w:val="001000000000" w:firstRow="0" w:lastRow="0" w:firstColumn="1" w:lastColumn="0" w:oddVBand="0" w:evenVBand="0" w:oddHBand="0" w:evenHBand="0" w:firstRowFirstColumn="0" w:firstRowLastColumn="0" w:lastRowFirstColumn="0" w:lastRowLastColumn="0"/>
            <w:tcW w:w="1418" w:type="dxa"/>
            <w:hideMark/>
          </w:tcPr>
          <w:p w14:paraId="2D016238" w14:textId="77777777" w:rsidR="00912D36" w:rsidRPr="001B238E" w:rsidRDefault="00912D36" w:rsidP="00912D36">
            <w:pPr>
              <w:pStyle w:val="Tabletextbold"/>
              <w:rPr>
                <w:lang w:eastAsia="en-AU"/>
              </w:rPr>
            </w:pPr>
            <w:r w:rsidRPr="001B238E">
              <w:rPr>
                <w:rFonts w:eastAsiaTheme="minorEastAsia"/>
                <w:lang w:eastAsia="en-AU"/>
              </w:rPr>
              <w:t>3C</w:t>
            </w:r>
          </w:p>
        </w:tc>
        <w:tc>
          <w:tcPr>
            <w:tcW w:w="1843" w:type="dxa"/>
          </w:tcPr>
          <w:p w14:paraId="2921C740" w14:textId="77777777" w:rsidR="00912D36" w:rsidRPr="001B238E" w:rsidRDefault="00912D36" w:rsidP="00912D36">
            <w:pPr>
              <w:pStyle w:val="TableText"/>
              <w:cnfStyle w:val="000000000000" w:firstRow="0" w:lastRow="0" w:firstColumn="0" w:lastColumn="0" w:oddVBand="0" w:evenVBand="0" w:oddHBand="0" w:evenHBand="0" w:firstRowFirstColumn="0" w:firstRowLastColumn="0" w:lastRowFirstColumn="0" w:lastRowLastColumn="0"/>
              <w:rPr>
                <w:rFonts w:eastAsiaTheme="minorEastAsia"/>
                <w:color w:val="auto"/>
                <w:kern w:val="24"/>
                <w:lang w:eastAsia="en-AU"/>
              </w:rPr>
            </w:pPr>
            <w:r>
              <w:rPr>
                <w:color w:val="auto"/>
                <w:kern w:val="24"/>
                <w:lang w:eastAsia="en-AU"/>
              </w:rPr>
              <w:t>Yes</w:t>
            </w:r>
          </w:p>
        </w:tc>
        <w:tc>
          <w:tcPr>
            <w:tcW w:w="7282" w:type="dxa"/>
            <w:vAlign w:val="center"/>
          </w:tcPr>
          <w:p w14:paraId="0FE5B1FA" w14:textId="35BED3AE" w:rsidR="00912D36" w:rsidRPr="00912D36" w:rsidRDefault="00912D36" w:rsidP="00912D36">
            <w:pPr>
              <w:pStyle w:val="TableText"/>
              <w:cnfStyle w:val="000000000000" w:firstRow="0" w:lastRow="0" w:firstColumn="0" w:lastColumn="0" w:oddVBand="0" w:evenVBand="0" w:oddHBand="0" w:evenHBand="0" w:firstRowFirstColumn="0" w:firstRowLastColumn="0" w:lastRowFirstColumn="0" w:lastRowLastColumn="0"/>
            </w:pPr>
            <w:r w:rsidRPr="00912D36">
              <w:t xml:space="preserve">Younger people are often required to replace their facial prosthesis more frequently than adults, resulting in an additional financial burden for this cohort where publicly funded facial prostheses services are not available. Option 2 would aim to reduce these ongoing financial pressures currently experienced by some young people by establishing dedicated funding for both new and replacement facial prostheses that are required </w:t>
            </w:r>
            <w:proofErr w:type="gramStart"/>
            <w:r w:rsidRPr="00912D36">
              <w:t>as a result of</w:t>
            </w:r>
            <w:proofErr w:type="gramEnd"/>
            <w:r w:rsidRPr="00912D36">
              <w:t xml:space="preserve"> cancer or cancer treatment.</w:t>
            </w:r>
          </w:p>
        </w:tc>
      </w:tr>
    </w:tbl>
    <w:p w14:paraId="34702FFD" w14:textId="10072497" w:rsidR="00FC2823" w:rsidRPr="00F23627" w:rsidRDefault="00FC2823" w:rsidP="005C1CE4">
      <w:pPr>
        <w:pStyle w:val="Caption-Source"/>
        <w:rPr>
          <w:i/>
          <w:iCs w:val="0"/>
          <w:szCs w:val="20"/>
        </w:rPr>
      </w:pPr>
      <w:r w:rsidRPr="00341DDA">
        <w:t xml:space="preserve">Source: </w:t>
      </w:r>
      <w:r w:rsidR="0044544E" w:rsidRPr="0044544E">
        <w:t>Independent reviewer</w:t>
      </w:r>
      <w:r w:rsidRPr="00341DDA">
        <w:t xml:space="preserve"> (2025)</w:t>
      </w:r>
    </w:p>
    <w:p w14:paraId="103F3B84" w14:textId="27319548" w:rsidR="00FB609D" w:rsidRPr="00FB609D" w:rsidRDefault="00FB609D" w:rsidP="00D2468B">
      <w:pPr>
        <w:pStyle w:val="Heading3"/>
        <w:spacing w:after="120"/>
      </w:pPr>
      <w:r w:rsidRPr="00FB609D">
        <w:t xml:space="preserve">National cancer prostheses program option </w:t>
      </w:r>
      <w:r>
        <w:t>3</w:t>
      </w:r>
    </w:p>
    <w:p w14:paraId="2825D879" w14:textId="18EA1852" w:rsidR="000944AA" w:rsidRPr="00DD71E7" w:rsidRDefault="003D6761" w:rsidP="00DD71E7">
      <w:r w:rsidRPr="00DD71E7">
        <w:t xml:space="preserve">Option </w:t>
      </w:r>
      <w:r w:rsidR="00104BFA" w:rsidRPr="00DD71E7">
        <w:t>3</w:t>
      </w:r>
      <w:r w:rsidRPr="00DD71E7">
        <w:t xml:space="preserve"> </w:t>
      </w:r>
      <w:r w:rsidR="000944AA" w:rsidRPr="00DD71E7">
        <w:t xml:space="preserve">is to implement a national program that, in addition to the funding provided under </w:t>
      </w:r>
      <w:r w:rsidR="00492D66" w:rsidRPr="00DD71E7">
        <w:t>Option 2 for facial and breast prostheses, also includes funding to ensure that individuals aged 65 years and older who require a limb prosthesis due to</w:t>
      </w:r>
      <w:r w:rsidR="00D073D8" w:rsidRPr="00DD71E7">
        <w:t xml:space="preserve"> cancer or cancer treatment can access a prosthesis that meets their needs. This would include funding for high-grade prostheses such as microprocessor knees, if clinically indicated.</w:t>
      </w:r>
    </w:p>
    <w:p w14:paraId="3E664669" w14:textId="2270AA57" w:rsidR="00773C44" w:rsidRPr="00DD71E7" w:rsidRDefault="00773C44" w:rsidP="00DD71E7">
      <w:r w:rsidRPr="00DD71E7">
        <w:t xml:space="preserve">As outlined in Section </w:t>
      </w:r>
      <w:r w:rsidRPr="00DD71E7">
        <w:fldChar w:fldCharType="begin"/>
      </w:r>
      <w:r w:rsidRPr="00DD71E7">
        <w:instrText xml:space="preserve"> REF _Ref200453567 \r \h </w:instrText>
      </w:r>
      <w:r w:rsidR="00DD71E7">
        <w:instrText xml:space="preserve"> \* MERGEFORMAT </w:instrText>
      </w:r>
      <w:r w:rsidRPr="00DD71E7">
        <w:fldChar w:fldCharType="separate"/>
      </w:r>
      <w:r w:rsidR="00D955D8" w:rsidRPr="00DD71E7">
        <w:t>2.3</w:t>
      </w:r>
      <w:r w:rsidRPr="00DD71E7">
        <w:fldChar w:fldCharType="end"/>
      </w:r>
      <w:r w:rsidRPr="00DD71E7">
        <w:t xml:space="preserve">, individuals aged 65 years and over currently rely on jurisdiction-based limb schemes, which vary considerably in the funding allocation, treatment approaches, and supply of prosthetic componentry and associated consumables. For example, NSW is the only state that funds high-grade limb prostheses while other states and territories typically provide lower-grade, mechanical options. Option </w:t>
      </w:r>
      <w:r w:rsidR="00D073D8" w:rsidRPr="00DD71E7">
        <w:t>3</w:t>
      </w:r>
      <w:r w:rsidRPr="00DD71E7">
        <w:t xml:space="preserve"> would aim to reduce jurisdictional variability in limb prostheses services as well as ensure individuals aged over 65 years </w:t>
      </w:r>
      <w:r w:rsidR="00492D66" w:rsidRPr="00DD71E7">
        <w:t>can</w:t>
      </w:r>
      <w:r w:rsidRPr="00DD71E7">
        <w:t xml:space="preserve"> access prostheses that meet their needs, in the same way that younger individuals can through the NDIS, while maintaining the inclusion of </w:t>
      </w:r>
      <w:r w:rsidR="001E1169" w:rsidRPr="00DD71E7">
        <w:t xml:space="preserve">funding for </w:t>
      </w:r>
      <w:r w:rsidRPr="00DD71E7">
        <w:t xml:space="preserve">facial </w:t>
      </w:r>
      <w:r w:rsidR="001E1169" w:rsidRPr="00DD71E7">
        <w:t xml:space="preserve">and breast </w:t>
      </w:r>
      <w:r w:rsidRPr="00DD71E7">
        <w:t xml:space="preserve">prostheses as outlined in Option </w:t>
      </w:r>
      <w:r w:rsidR="001E1169" w:rsidRPr="00DD71E7">
        <w:t>2</w:t>
      </w:r>
      <w:r w:rsidRPr="00DD71E7">
        <w:t xml:space="preserve">. </w:t>
      </w:r>
    </w:p>
    <w:p w14:paraId="6636F420" w14:textId="57438A9E" w:rsidR="003D6761" w:rsidRPr="00DD71E7" w:rsidRDefault="001758D6" w:rsidP="00DD71E7">
      <w:r w:rsidRPr="00DD71E7">
        <w:fldChar w:fldCharType="begin"/>
      </w:r>
      <w:r w:rsidRPr="00DD71E7">
        <w:instrText xml:space="preserve"> REF _Ref201679239 \h </w:instrText>
      </w:r>
      <w:r w:rsidR="00DD71E7">
        <w:instrText xml:space="preserve"> \* MERGEFORMAT </w:instrText>
      </w:r>
      <w:r w:rsidRPr="00DD71E7">
        <w:fldChar w:fldCharType="separate"/>
      </w:r>
      <w:r w:rsidR="008331D1" w:rsidRPr="00DD71E7">
        <w:t>Table 23</w:t>
      </w:r>
      <w:r w:rsidRPr="00DD71E7">
        <w:fldChar w:fldCharType="end"/>
      </w:r>
      <w:r w:rsidR="003D6761" w:rsidRPr="00DD71E7">
        <w:t xml:space="preserve"> provides a summary of the equity issues that Option </w:t>
      </w:r>
      <w:r w:rsidR="00D14F48" w:rsidRPr="00DD71E7">
        <w:t>3</w:t>
      </w:r>
      <w:r w:rsidR="003D6761" w:rsidRPr="00DD71E7">
        <w:t xml:space="preserve"> would aim to address</w:t>
      </w:r>
      <w:r w:rsidR="000944AA" w:rsidRPr="00DD71E7">
        <w:t xml:space="preserve">. </w:t>
      </w:r>
      <w:r w:rsidR="003D6761" w:rsidRPr="00DD71E7">
        <w:t xml:space="preserve">These issues include: </w:t>
      </w:r>
    </w:p>
    <w:p w14:paraId="65405DFE" w14:textId="77777777" w:rsidR="003D6761" w:rsidRDefault="003D6761" w:rsidP="002D6B99">
      <w:pPr>
        <w:pStyle w:val="Bullet1stlevel"/>
      </w:pPr>
      <w:r w:rsidRPr="00D50B1B">
        <w:t>1A</w:t>
      </w:r>
      <w:r>
        <w:t>: Inconsistent availability of national programs/schemes</w:t>
      </w:r>
    </w:p>
    <w:p w14:paraId="40754E88" w14:textId="7DA9C036" w:rsidR="00A17285" w:rsidRDefault="00A17285" w:rsidP="002D6B99">
      <w:pPr>
        <w:pStyle w:val="Bullet1stlevel"/>
      </w:pPr>
      <w:r w:rsidRPr="00D50B1B">
        <w:t>1</w:t>
      </w:r>
      <w:r>
        <w:t>B: Inconsistent funding models used by existing national programs and schemes</w:t>
      </w:r>
    </w:p>
    <w:p w14:paraId="7162C877" w14:textId="77777777" w:rsidR="003D6761" w:rsidRDefault="003D6761" w:rsidP="002D6B99">
      <w:pPr>
        <w:pStyle w:val="Bullet1stlevel"/>
      </w:pPr>
      <w:r>
        <w:t xml:space="preserve">2A: Variability in availability of facial prostheses services between jurisdictions </w:t>
      </w:r>
    </w:p>
    <w:p w14:paraId="75B16C59" w14:textId="77777777" w:rsidR="003D6761" w:rsidRDefault="003D6761" w:rsidP="002D6B99">
      <w:pPr>
        <w:pStyle w:val="Bullet1stlevel"/>
      </w:pPr>
      <w:r>
        <w:t xml:space="preserve">2B: </w:t>
      </w:r>
      <w:r w:rsidRPr="009E2C5D">
        <w:t>Variability in prostheses available under the NDIS and jurisdictional limb schemes</w:t>
      </w:r>
    </w:p>
    <w:p w14:paraId="32967A8F" w14:textId="77777777" w:rsidR="003D6761" w:rsidRDefault="003D6761" w:rsidP="002D6B99">
      <w:pPr>
        <w:pStyle w:val="Bullet1stlevel"/>
      </w:pPr>
      <w:r>
        <w:t xml:space="preserve">2C: </w:t>
      </w:r>
      <w:r w:rsidRPr="009E2C5D">
        <w:t>Variability between jurisdictional limb schemes</w:t>
      </w:r>
    </w:p>
    <w:p w14:paraId="51E88CE6" w14:textId="77777777" w:rsidR="003D6761" w:rsidRDefault="003D6761" w:rsidP="002D6B99">
      <w:pPr>
        <w:pStyle w:val="Bullet1stlevel"/>
      </w:pPr>
      <w:r>
        <w:t>3B: Significant financial barriers for people in lower socioeconomic groups</w:t>
      </w:r>
    </w:p>
    <w:p w14:paraId="6172424C" w14:textId="77777777" w:rsidR="003D6761" w:rsidRPr="00432DFB" w:rsidRDefault="003D6761" w:rsidP="002D6B99">
      <w:pPr>
        <w:pStyle w:val="Bullet1stlevel"/>
      </w:pPr>
      <w:r>
        <w:t>3C: Additional financial burden for young people requiring facial prostheses.</w:t>
      </w:r>
    </w:p>
    <w:p w14:paraId="77664947" w14:textId="5B1CD3C3" w:rsidR="003D6761" w:rsidRDefault="003D6761" w:rsidP="001E1169">
      <w:pPr>
        <w:pStyle w:val="Caption"/>
        <w:spacing w:after="40"/>
      </w:pPr>
      <w:bookmarkStart w:id="134" w:name="_Ref201679239"/>
      <w:bookmarkStart w:id="135" w:name="_Toc207348588"/>
      <w:r>
        <w:t xml:space="preserve">Table </w:t>
      </w:r>
      <w:r w:rsidR="004F27F5">
        <w:fldChar w:fldCharType="begin"/>
      </w:r>
      <w:r w:rsidR="004F27F5">
        <w:instrText xml:space="preserve"> SEQ Table \* ARABIC </w:instrText>
      </w:r>
      <w:r w:rsidR="004F27F5">
        <w:fldChar w:fldCharType="separate"/>
      </w:r>
      <w:r w:rsidR="004F27F5">
        <w:rPr>
          <w:noProof/>
        </w:rPr>
        <w:t>23</w:t>
      </w:r>
      <w:r w:rsidR="004F27F5">
        <w:rPr>
          <w:noProof/>
        </w:rPr>
        <w:fldChar w:fldCharType="end"/>
      </w:r>
      <w:bookmarkEnd w:id="134"/>
      <w:r>
        <w:t xml:space="preserve">: Summary of the equity issues </w:t>
      </w:r>
      <w:r w:rsidR="001F20B9">
        <w:t xml:space="preserve">aimed to be </w:t>
      </w:r>
      <w:r>
        <w:t xml:space="preserve">addressed through Option </w:t>
      </w:r>
      <w:r w:rsidR="001758D6">
        <w:t>3</w:t>
      </w:r>
      <w:bookmarkEnd w:id="135"/>
    </w:p>
    <w:tbl>
      <w:tblPr>
        <w:tblStyle w:val="KPMGTable"/>
        <w:tblW w:w="0" w:type="auto"/>
        <w:tblLook w:val="04A0" w:firstRow="1" w:lastRow="0" w:firstColumn="1" w:lastColumn="0" w:noHBand="0" w:noVBand="1"/>
      </w:tblPr>
      <w:tblGrid>
        <w:gridCol w:w="851"/>
        <w:gridCol w:w="1559"/>
        <w:gridCol w:w="7784"/>
      </w:tblGrid>
      <w:tr w:rsidR="00C62E43" w14:paraId="69BA68E7" w14:textId="77777777" w:rsidTr="005C125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51" w:type="dxa"/>
          </w:tcPr>
          <w:p w14:paraId="6C9D6529" w14:textId="5C732438" w:rsidR="00C62E43" w:rsidRDefault="00C62E43" w:rsidP="005C1254">
            <w:pPr>
              <w:pStyle w:val="TableHeading"/>
            </w:pPr>
            <w:r>
              <w:rPr>
                <w:lang w:eastAsia="en-AU"/>
              </w:rPr>
              <w:t>Equity issue</w:t>
            </w:r>
          </w:p>
        </w:tc>
        <w:tc>
          <w:tcPr>
            <w:tcW w:w="1559" w:type="dxa"/>
          </w:tcPr>
          <w:p w14:paraId="6D3EBF2B" w14:textId="484167C3" w:rsidR="00C62E43" w:rsidRDefault="00C62E43" w:rsidP="005C1254">
            <w:pPr>
              <w:pStyle w:val="TableHeading"/>
              <w:cnfStyle w:val="100000000000" w:firstRow="1" w:lastRow="0" w:firstColumn="0" w:lastColumn="0" w:oddVBand="0" w:evenVBand="0" w:oddHBand="0" w:evenHBand="0" w:firstRowFirstColumn="0" w:firstRowLastColumn="0" w:lastRowFirstColumn="0" w:lastRowLastColumn="0"/>
            </w:pPr>
            <w:r>
              <w:rPr>
                <w:rFonts w:eastAsiaTheme="minorEastAsia"/>
                <w:lang w:eastAsia="en-AU"/>
              </w:rPr>
              <w:t xml:space="preserve">If Option aims to address </w:t>
            </w:r>
          </w:p>
        </w:tc>
        <w:tc>
          <w:tcPr>
            <w:tcW w:w="7784" w:type="dxa"/>
          </w:tcPr>
          <w:p w14:paraId="1B38B668" w14:textId="10368181" w:rsidR="00C62E43" w:rsidRDefault="00C62E43" w:rsidP="005C1254">
            <w:pPr>
              <w:pStyle w:val="TableHeading"/>
              <w:cnfStyle w:val="100000000000" w:firstRow="1" w:lastRow="0" w:firstColumn="0" w:lastColumn="0" w:oddVBand="0" w:evenVBand="0" w:oddHBand="0" w:evenHBand="0" w:firstRowFirstColumn="0" w:firstRowLastColumn="0" w:lastRowFirstColumn="0" w:lastRowLastColumn="0"/>
            </w:pPr>
            <w:r>
              <w:rPr>
                <w:lang w:eastAsia="en-AU"/>
              </w:rPr>
              <w:t>Description</w:t>
            </w:r>
          </w:p>
        </w:tc>
      </w:tr>
      <w:tr w:rsidR="00C62E43" w14:paraId="3C20ABB3" w14:textId="77777777" w:rsidTr="005C1254">
        <w:tc>
          <w:tcPr>
            <w:cnfStyle w:val="001000000000" w:firstRow="0" w:lastRow="0" w:firstColumn="1" w:lastColumn="0" w:oddVBand="0" w:evenVBand="0" w:oddHBand="0" w:evenHBand="0" w:firstRowFirstColumn="0" w:firstRowLastColumn="0" w:lastRowFirstColumn="0" w:lastRowLastColumn="0"/>
            <w:tcW w:w="851" w:type="dxa"/>
          </w:tcPr>
          <w:p w14:paraId="2F575DCE" w14:textId="1612E74A" w:rsidR="00C62E43" w:rsidRDefault="00C62E43" w:rsidP="005C1254">
            <w:pPr>
              <w:pStyle w:val="TableText"/>
            </w:pPr>
            <w:r w:rsidRPr="001B238E">
              <w:rPr>
                <w:lang w:eastAsia="en-AU"/>
              </w:rPr>
              <w:t>1A</w:t>
            </w:r>
          </w:p>
        </w:tc>
        <w:tc>
          <w:tcPr>
            <w:tcW w:w="1559" w:type="dxa"/>
          </w:tcPr>
          <w:p w14:paraId="45B6734A" w14:textId="6E3FC8EA" w:rsidR="00C62E43" w:rsidRDefault="00C62E43" w:rsidP="005C1254">
            <w:pPr>
              <w:pStyle w:val="TableText"/>
              <w:cnfStyle w:val="000000000000" w:firstRow="0" w:lastRow="0" w:firstColumn="0" w:lastColumn="0" w:oddVBand="0" w:evenVBand="0" w:oddHBand="0" w:evenHBand="0" w:firstRowFirstColumn="0" w:firstRowLastColumn="0" w:lastRowFirstColumn="0" w:lastRowLastColumn="0"/>
            </w:pPr>
            <w:r>
              <w:rPr>
                <w:rFonts w:eastAsiaTheme="minorEastAsia"/>
                <w:color w:val="auto"/>
                <w:kern w:val="24"/>
                <w:lang w:eastAsia="en-AU"/>
              </w:rPr>
              <w:t>Yes</w:t>
            </w:r>
          </w:p>
        </w:tc>
        <w:tc>
          <w:tcPr>
            <w:tcW w:w="7784" w:type="dxa"/>
          </w:tcPr>
          <w:p w14:paraId="0371B45B" w14:textId="200B9A58" w:rsidR="00C62E43" w:rsidRDefault="00C62E43" w:rsidP="005C1254">
            <w:pPr>
              <w:pStyle w:val="TableText"/>
              <w:cnfStyle w:val="000000000000" w:firstRow="0" w:lastRow="0" w:firstColumn="0" w:lastColumn="0" w:oddVBand="0" w:evenVBand="0" w:oddHBand="0" w:evenHBand="0" w:firstRowFirstColumn="0" w:firstRowLastColumn="0" w:lastRowFirstColumn="0" w:lastRowLastColumn="0"/>
            </w:pPr>
            <w:r>
              <w:rPr>
                <w:rFonts w:eastAsia="Times New Roman" w:cstheme="minorHAnsi"/>
                <w:kern w:val="24"/>
                <w:szCs w:val="18"/>
                <w:lang w:eastAsia="en-AU"/>
              </w:rPr>
              <w:t>Unlike for limb prostheses and external breast prostheses, no nationally funded program or scheme currently exists for facial prostheses. Option 3</w:t>
            </w:r>
            <w:r w:rsidRPr="00F33FCD">
              <w:rPr>
                <w:rFonts w:eastAsia="Times New Roman" w:cstheme="minorHAnsi"/>
                <w:kern w:val="24"/>
                <w:szCs w:val="18"/>
                <w:lang w:eastAsia="en-AU"/>
              </w:rPr>
              <w:t xml:space="preserve"> would address that gap by establishing a consistent national approach</w:t>
            </w:r>
            <w:r>
              <w:rPr>
                <w:rFonts w:eastAsia="Times New Roman" w:cstheme="minorHAnsi"/>
                <w:kern w:val="24"/>
                <w:szCs w:val="18"/>
                <w:lang w:eastAsia="en-AU"/>
              </w:rPr>
              <w:t xml:space="preserve"> and dedicated funding for facial prostheses required </w:t>
            </w:r>
            <w:proofErr w:type="gramStart"/>
            <w:r>
              <w:rPr>
                <w:rFonts w:eastAsia="Times New Roman" w:cstheme="minorHAnsi"/>
                <w:kern w:val="24"/>
                <w:szCs w:val="18"/>
                <w:lang w:eastAsia="en-AU"/>
              </w:rPr>
              <w:t>as a result of</w:t>
            </w:r>
            <w:proofErr w:type="gramEnd"/>
            <w:r>
              <w:rPr>
                <w:rFonts w:eastAsia="Times New Roman" w:cstheme="minorHAnsi"/>
                <w:kern w:val="24"/>
                <w:szCs w:val="18"/>
                <w:lang w:eastAsia="en-AU"/>
              </w:rPr>
              <w:t xml:space="preserve"> cancer or cancer treatment.</w:t>
            </w:r>
          </w:p>
        </w:tc>
      </w:tr>
      <w:tr w:rsidR="00C62E43" w14:paraId="266ED61A" w14:textId="77777777" w:rsidTr="005C1254">
        <w:tc>
          <w:tcPr>
            <w:cnfStyle w:val="001000000000" w:firstRow="0" w:lastRow="0" w:firstColumn="1" w:lastColumn="0" w:oddVBand="0" w:evenVBand="0" w:oddHBand="0" w:evenHBand="0" w:firstRowFirstColumn="0" w:firstRowLastColumn="0" w:lastRowFirstColumn="0" w:lastRowLastColumn="0"/>
            <w:tcW w:w="851" w:type="dxa"/>
          </w:tcPr>
          <w:p w14:paraId="4E5978D3" w14:textId="782CD3A5" w:rsidR="00C62E43" w:rsidRDefault="00C62E43" w:rsidP="005C1254">
            <w:pPr>
              <w:pStyle w:val="TableText"/>
            </w:pPr>
            <w:r w:rsidRPr="001B238E">
              <w:rPr>
                <w:lang w:eastAsia="en-AU"/>
              </w:rPr>
              <w:t>1B</w:t>
            </w:r>
          </w:p>
        </w:tc>
        <w:tc>
          <w:tcPr>
            <w:tcW w:w="1559" w:type="dxa"/>
          </w:tcPr>
          <w:p w14:paraId="597D0EEB" w14:textId="6AC04B30" w:rsidR="00C62E43" w:rsidRDefault="00C62E43" w:rsidP="005C1254">
            <w:pPr>
              <w:pStyle w:val="TableText"/>
              <w:cnfStyle w:val="000000000000" w:firstRow="0" w:lastRow="0" w:firstColumn="0" w:lastColumn="0" w:oddVBand="0" w:evenVBand="0" w:oddHBand="0" w:evenHBand="0" w:firstRowFirstColumn="0" w:firstRowLastColumn="0" w:lastRowFirstColumn="0" w:lastRowLastColumn="0"/>
            </w:pPr>
            <w:r>
              <w:rPr>
                <w:color w:val="auto"/>
                <w:kern w:val="24"/>
                <w:lang w:eastAsia="en-AU"/>
              </w:rPr>
              <w:t>Yes</w:t>
            </w:r>
          </w:p>
        </w:tc>
        <w:tc>
          <w:tcPr>
            <w:tcW w:w="7784" w:type="dxa"/>
          </w:tcPr>
          <w:p w14:paraId="2DB2262A" w14:textId="6E116027" w:rsidR="00C62E43" w:rsidRDefault="00C62E43" w:rsidP="005C1254">
            <w:pPr>
              <w:pStyle w:val="TableText"/>
              <w:cnfStyle w:val="000000000000" w:firstRow="0" w:lastRow="0" w:firstColumn="0" w:lastColumn="0" w:oddVBand="0" w:evenVBand="0" w:oddHBand="0" w:evenHBand="0" w:firstRowFirstColumn="0" w:firstRowLastColumn="0" w:lastRowFirstColumn="0" w:lastRowLastColumn="0"/>
            </w:pPr>
            <w:r w:rsidRPr="0065722D">
              <w:rPr>
                <w:rFonts w:eastAsia="Times New Roman" w:cstheme="minorHAnsi"/>
                <w:kern w:val="24"/>
                <w:szCs w:val="18"/>
                <w:lang w:eastAsia="en-AU"/>
              </w:rPr>
              <w:t xml:space="preserve">The </w:t>
            </w:r>
            <w:r>
              <w:rPr>
                <w:rFonts w:eastAsia="Times New Roman" w:cstheme="minorHAnsi"/>
                <w:kern w:val="24"/>
                <w:szCs w:val="18"/>
                <w:lang w:eastAsia="en-AU"/>
              </w:rPr>
              <w:t>EBPRP</w:t>
            </w:r>
            <w:r w:rsidRPr="0065722D">
              <w:rPr>
                <w:rFonts w:eastAsia="Times New Roman" w:cstheme="minorHAnsi"/>
                <w:kern w:val="24"/>
                <w:szCs w:val="18"/>
                <w:lang w:eastAsia="en-AU"/>
              </w:rPr>
              <w:t xml:space="preserve"> currently operates under a reimbursement model, while other </w:t>
            </w:r>
            <w:r>
              <w:rPr>
                <w:rFonts w:eastAsia="Times New Roman" w:cstheme="minorHAnsi"/>
                <w:kern w:val="24"/>
                <w:szCs w:val="18"/>
                <w:lang w:eastAsia="en-AU"/>
              </w:rPr>
              <w:t>schemes through which people can access prostheses</w:t>
            </w:r>
            <w:r w:rsidRPr="0065722D">
              <w:rPr>
                <w:rFonts w:eastAsia="Times New Roman" w:cstheme="minorHAnsi"/>
                <w:kern w:val="24"/>
                <w:szCs w:val="18"/>
                <w:lang w:eastAsia="en-AU"/>
              </w:rPr>
              <w:t xml:space="preserve"> use a direct provider payment model (e.g. NDIS</w:t>
            </w:r>
            <w:r>
              <w:rPr>
                <w:rFonts w:eastAsia="Times New Roman" w:cstheme="minorHAnsi"/>
                <w:kern w:val="24"/>
                <w:szCs w:val="18"/>
                <w:lang w:eastAsia="en-AU"/>
              </w:rPr>
              <w:t xml:space="preserve"> and DVA</w:t>
            </w:r>
            <w:r w:rsidRPr="0065722D">
              <w:rPr>
                <w:rFonts w:eastAsia="Times New Roman" w:cstheme="minorHAnsi"/>
                <w:kern w:val="24"/>
                <w:szCs w:val="18"/>
                <w:lang w:eastAsia="en-AU"/>
              </w:rPr>
              <w:t xml:space="preserve">). Option </w:t>
            </w:r>
            <w:r>
              <w:rPr>
                <w:rFonts w:eastAsia="Times New Roman" w:cstheme="minorHAnsi"/>
                <w:kern w:val="24"/>
                <w:szCs w:val="18"/>
                <w:lang w:eastAsia="en-AU"/>
              </w:rPr>
              <w:t>3</w:t>
            </w:r>
            <w:r w:rsidRPr="0065722D">
              <w:rPr>
                <w:rFonts w:eastAsia="Times New Roman" w:cstheme="minorHAnsi"/>
                <w:kern w:val="24"/>
                <w:szCs w:val="18"/>
                <w:lang w:eastAsia="en-AU"/>
              </w:rPr>
              <w:t xml:space="preserve"> would aim to remove barriers to access</w:t>
            </w:r>
            <w:r>
              <w:rPr>
                <w:rFonts w:eastAsia="Times New Roman" w:cstheme="minorHAnsi"/>
                <w:kern w:val="24"/>
                <w:szCs w:val="18"/>
                <w:lang w:eastAsia="en-AU"/>
              </w:rPr>
              <w:t xml:space="preserve">ing external breast prostheses </w:t>
            </w:r>
            <w:r w:rsidRPr="0065722D">
              <w:rPr>
                <w:rFonts w:eastAsia="Times New Roman" w:cstheme="minorHAnsi"/>
                <w:kern w:val="24"/>
                <w:szCs w:val="18"/>
                <w:lang w:eastAsia="en-AU"/>
              </w:rPr>
              <w:t xml:space="preserve">by removing the requirement for an upfront payment under the </w:t>
            </w:r>
            <w:r>
              <w:rPr>
                <w:rFonts w:eastAsia="Times New Roman" w:cstheme="minorHAnsi"/>
                <w:kern w:val="24"/>
                <w:szCs w:val="18"/>
                <w:lang w:eastAsia="en-AU"/>
              </w:rPr>
              <w:t>EBPRP</w:t>
            </w:r>
            <w:r w:rsidRPr="0065722D">
              <w:rPr>
                <w:rFonts w:eastAsia="Times New Roman" w:cstheme="minorHAnsi"/>
                <w:kern w:val="24"/>
                <w:szCs w:val="18"/>
                <w:lang w:eastAsia="en-AU"/>
              </w:rPr>
              <w:t xml:space="preserve"> and promote consistency in the funding of prostheses.</w:t>
            </w:r>
          </w:p>
        </w:tc>
      </w:tr>
      <w:tr w:rsidR="00C62E43" w14:paraId="52DC6C37" w14:textId="77777777" w:rsidTr="005C1254">
        <w:tc>
          <w:tcPr>
            <w:cnfStyle w:val="001000000000" w:firstRow="0" w:lastRow="0" w:firstColumn="1" w:lastColumn="0" w:oddVBand="0" w:evenVBand="0" w:oddHBand="0" w:evenHBand="0" w:firstRowFirstColumn="0" w:firstRowLastColumn="0" w:lastRowFirstColumn="0" w:lastRowLastColumn="0"/>
            <w:tcW w:w="851" w:type="dxa"/>
          </w:tcPr>
          <w:p w14:paraId="6732414E" w14:textId="2BA2B1B4" w:rsidR="00C62E43" w:rsidRDefault="00C62E43" w:rsidP="005C1254">
            <w:pPr>
              <w:pStyle w:val="TableText"/>
            </w:pPr>
            <w:r w:rsidRPr="001B238E">
              <w:rPr>
                <w:lang w:eastAsia="en-AU"/>
              </w:rPr>
              <w:t>2A</w:t>
            </w:r>
          </w:p>
        </w:tc>
        <w:tc>
          <w:tcPr>
            <w:tcW w:w="1559" w:type="dxa"/>
          </w:tcPr>
          <w:p w14:paraId="0E003A5C" w14:textId="1B8811D9" w:rsidR="00C62E43" w:rsidRDefault="00C62E43" w:rsidP="005C1254">
            <w:pPr>
              <w:pStyle w:val="TableText"/>
              <w:cnfStyle w:val="000000000000" w:firstRow="0" w:lastRow="0" w:firstColumn="0" w:lastColumn="0" w:oddVBand="0" w:evenVBand="0" w:oddHBand="0" w:evenHBand="0" w:firstRowFirstColumn="0" w:firstRowLastColumn="0" w:lastRowFirstColumn="0" w:lastRowLastColumn="0"/>
            </w:pPr>
            <w:r>
              <w:rPr>
                <w:color w:val="auto"/>
                <w:kern w:val="24"/>
                <w:lang w:eastAsia="en-AU"/>
              </w:rPr>
              <w:t>Yes</w:t>
            </w:r>
          </w:p>
        </w:tc>
        <w:tc>
          <w:tcPr>
            <w:tcW w:w="7784" w:type="dxa"/>
          </w:tcPr>
          <w:p w14:paraId="39CB99EA" w14:textId="4E2161EF" w:rsidR="00C62E43" w:rsidRDefault="00C62E43" w:rsidP="005C1254">
            <w:pPr>
              <w:pStyle w:val="TableText"/>
              <w:cnfStyle w:val="000000000000" w:firstRow="0" w:lastRow="0" w:firstColumn="0" w:lastColumn="0" w:oddVBand="0" w:evenVBand="0" w:oddHBand="0" w:evenHBand="0" w:firstRowFirstColumn="0" w:firstRowLastColumn="0" w:lastRowFirstColumn="0" w:lastRowLastColumn="0"/>
            </w:pPr>
            <w:r w:rsidRPr="00A76682">
              <w:rPr>
                <w:rFonts w:eastAsia="Times New Roman" w:cstheme="minorHAnsi"/>
                <w:kern w:val="24"/>
                <w:szCs w:val="18"/>
                <w:lang w:eastAsia="en-AU"/>
              </w:rPr>
              <w:t xml:space="preserve">Access </w:t>
            </w:r>
            <w:r>
              <w:rPr>
                <w:rFonts w:eastAsia="Times New Roman" w:cstheme="minorHAnsi"/>
                <w:kern w:val="24"/>
                <w:szCs w:val="18"/>
                <w:lang w:eastAsia="en-AU"/>
              </w:rPr>
              <w:t xml:space="preserve">to </w:t>
            </w:r>
            <w:r w:rsidRPr="00A76682">
              <w:rPr>
                <w:rFonts w:eastAsia="Times New Roman" w:cstheme="minorHAnsi"/>
                <w:kern w:val="24"/>
                <w:szCs w:val="18"/>
                <w:lang w:eastAsia="en-AU"/>
              </w:rPr>
              <w:t>publicly funded</w:t>
            </w:r>
            <w:r>
              <w:rPr>
                <w:rFonts w:eastAsia="Times New Roman" w:cstheme="minorHAnsi"/>
                <w:kern w:val="24"/>
                <w:szCs w:val="18"/>
                <w:lang w:eastAsia="en-AU"/>
              </w:rPr>
              <w:t xml:space="preserve"> facial prostheses services currently</w:t>
            </w:r>
            <w:r w:rsidRPr="00A76682">
              <w:rPr>
                <w:rFonts w:eastAsia="Times New Roman" w:cstheme="minorHAnsi"/>
                <w:kern w:val="24"/>
                <w:szCs w:val="18"/>
                <w:lang w:eastAsia="en-AU"/>
              </w:rPr>
              <w:t xml:space="preserve"> varies significantly between states and territories.</w:t>
            </w:r>
            <w:r>
              <w:rPr>
                <w:rFonts w:eastAsia="Times New Roman" w:cstheme="minorHAnsi"/>
                <w:kern w:val="24"/>
                <w:szCs w:val="18"/>
                <w:lang w:eastAsia="en-AU"/>
              </w:rPr>
              <w:t xml:space="preserve"> Option 3 would aim to support</w:t>
            </w:r>
            <w:r w:rsidRPr="00A76682">
              <w:rPr>
                <w:rFonts w:eastAsia="Times New Roman" w:cstheme="minorHAnsi"/>
                <w:kern w:val="24"/>
                <w:szCs w:val="18"/>
                <w:lang w:eastAsia="en-AU"/>
              </w:rPr>
              <w:t xml:space="preserve"> </w:t>
            </w:r>
            <w:r>
              <w:rPr>
                <w:rFonts w:eastAsia="Times New Roman" w:cstheme="minorHAnsi"/>
                <w:kern w:val="24"/>
                <w:szCs w:val="18"/>
                <w:lang w:eastAsia="en-AU"/>
              </w:rPr>
              <w:t>improved</w:t>
            </w:r>
            <w:r w:rsidRPr="00A76682">
              <w:rPr>
                <w:rFonts w:eastAsia="Times New Roman" w:cstheme="minorHAnsi"/>
                <w:kern w:val="24"/>
                <w:szCs w:val="18"/>
                <w:lang w:eastAsia="en-AU"/>
              </w:rPr>
              <w:t xml:space="preserve"> access </w:t>
            </w:r>
            <w:r>
              <w:rPr>
                <w:rFonts w:eastAsia="Times New Roman" w:cstheme="minorHAnsi"/>
                <w:kern w:val="24"/>
                <w:szCs w:val="18"/>
                <w:lang w:eastAsia="en-AU"/>
              </w:rPr>
              <w:t>to publicly funded prostheses services and promote consistency across jurisdictions</w:t>
            </w:r>
            <w:r w:rsidRPr="00A76682">
              <w:rPr>
                <w:rFonts w:eastAsia="Times New Roman" w:cstheme="minorHAnsi"/>
                <w:kern w:val="24"/>
                <w:szCs w:val="18"/>
                <w:lang w:eastAsia="en-AU"/>
              </w:rPr>
              <w:t>.</w:t>
            </w:r>
          </w:p>
        </w:tc>
      </w:tr>
      <w:tr w:rsidR="00C62E43" w14:paraId="16E28EAB" w14:textId="77777777" w:rsidTr="005C1254">
        <w:tc>
          <w:tcPr>
            <w:cnfStyle w:val="001000000000" w:firstRow="0" w:lastRow="0" w:firstColumn="1" w:lastColumn="0" w:oddVBand="0" w:evenVBand="0" w:oddHBand="0" w:evenHBand="0" w:firstRowFirstColumn="0" w:firstRowLastColumn="0" w:lastRowFirstColumn="0" w:lastRowLastColumn="0"/>
            <w:tcW w:w="851" w:type="dxa"/>
          </w:tcPr>
          <w:p w14:paraId="74CF7320" w14:textId="71B6FF30" w:rsidR="00C62E43" w:rsidRDefault="00C62E43" w:rsidP="005C1254">
            <w:pPr>
              <w:pStyle w:val="TableText"/>
            </w:pPr>
            <w:r w:rsidRPr="001B238E">
              <w:rPr>
                <w:lang w:eastAsia="en-AU"/>
              </w:rPr>
              <w:t>2B</w:t>
            </w:r>
          </w:p>
        </w:tc>
        <w:tc>
          <w:tcPr>
            <w:tcW w:w="1559" w:type="dxa"/>
          </w:tcPr>
          <w:p w14:paraId="55807D2C" w14:textId="1468CDD3" w:rsidR="00C62E43" w:rsidRDefault="00C62E43" w:rsidP="005C1254">
            <w:pPr>
              <w:pStyle w:val="TableText"/>
              <w:cnfStyle w:val="000000000000" w:firstRow="0" w:lastRow="0" w:firstColumn="0" w:lastColumn="0" w:oddVBand="0" w:evenVBand="0" w:oddHBand="0" w:evenHBand="0" w:firstRowFirstColumn="0" w:firstRowLastColumn="0" w:lastRowFirstColumn="0" w:lastRowLastColumn="0"/>
            </w:pPr>
            <w:r>
              <w:rPr>
                <w:color w:val="auto"/>
                <w:kern w:val="24"/>
                <w:lang w:eastAsia="en-AU"/>
              </w:rPr>
              <w:t>Yes</w:t>
            </w:r>
          </w:p>
        </w:tc>
        <w:tc>
          <w:tcPr>
            <w:tcW w:w="7784" w:type="dxa"/>
          </w:tcPr>
          <w:p w14:paraId="3D4EE637" w14:textId="13ACD506" w:rsidR="00C62E43" w:rsidRDefault="00C62E43" w:rsidP="005C1254">
            <w:pPr>
              <w:pStyle w:val="TableText"/>
              <w:cnfStyle w:val="000000000000" w:firstRow="0" w:lastRow="0" w:firstColumn="0" w:lastColumn="0" w:oddVBand="0" w:evenVBand="0" w:oddHBand="0" w:evenHBand="0" w:firstRowFirstColumn="0" w:firstRowLastColumn="0" w:lastRowFirstColumn="0" w:lastRowLastColumn="0"/>
            </w:pPr>
            <w:r>
              <w:rPr>
                <w:rFonts w:eastAsia="Times New Roman" w:cstheme="minorHAnsi"/>
                <w:kern w:val="24"/>
                <w:szCs w:val="18"/>
                <w:lang w:eastAsia="en-AU"/>
              </w:rPr>
              <w:t>Access to</w:t>
            </w:r>
            <w:r w:rsidRPr="00A76682">
              <w:rPr>
                <w:rFonts w:eastAsia="Times New Roman" w:cstheme="minorHAnsi"/>
                <w:kern w:val="24"/>
                <w:szCs w:val="18"/>
                <w:lang w:eastAsia="en-AU"/>
              </w:rPr>
              <w:t xml:space="preserve"> </w:t>
            </w:r>
            <w:r>
              <w:rPr>
                <w:rFonts w:eastAsia="Times New Roman" w:cstheme="minorHAnsi"/>
                <w:kern w:val="24"/>
                <w:szCs w:val="18"/>
                <w:lang w:eastAsia="en-AU"/>
              </w:rPr>
              <w:t>limb prostheses</w:t>
            </w:r>
            <w:r w:rsidRPr="00A76682">
              <w:rPr>
                <w:rFonts w:eastAsia="Times New Roman" w:cstheme="minorHAnsi"/>
                <w:kern w:val="24"/>
                <w:szCs w:val="18"/>
                <w:lang w:eastAsia="en-AU"/>
              </w:rPr>
              <w:t xml:space="preserve"> </w:t>
            </w:r>
            <w:r>
              <w:rPr>
                <w:rFonts w:eastAsia="Times New Roman" w:cstheme="minorHAnsi"/>
                <w:kern w:val="24"/>
                <w:szCs w:val="18"/>
                <w:lang w:eastAsia="en-AU"/>
              </w:rPr>
              <w:t xml:space="preserve">currently </w:t>
            </w:r>
            <w:r w:rsidRPr="00A76682">
              <w:rPr>
                <w:rFonts w:eastAsia="Times New Roman" w:cstheme="minorHAnsi"/>
                <w:kern w:val="24"/>
                <w:szCs w:val="18"/>
                <w:lang w:eastAsia="en-AU"/>
              </w:rPr>
              <w:t>varies significantly betwe</w:t>
            </w:r>
            <w:r>
              <w:rPr>
                <w:rFonts w:eastAsia="Times New Roman" w:cstheme="minorHAnsi"/>
                <w:kern w:val="24"/>
                <w:szCs w:val="18"/>
                <w:lang w:eastAsia="en-AU"/>
              </w:rPr>
              <w:t xml:space="preserve">en jurisdictional limb schemes and the NDIS. Option 3 </w:t>
            </w:r>
            <w:r w:rsidRPr="003E6BCA">
              <w:rPr>
                <w:rFonts w:eastAsia="Times New Roman" w:cstheme="minorHAnsi"/>
                <w:kern w:val="24"/>
                <w:szCs w:val="18"/>
                <w:lang w:eastAsia="en-AU"/>
              </w:rPr>
              <w:t>would</w:t>
            </w:r>
            <w:r>
              <w:rPr>
                <w:rFonts w:eastAsia="Times New Roman" w:cstheme="minorHAnsi"/>
                <w:kern w:val="24"/>
                <w:szCs w:val="18"/>
                <w:lang w:eastAsia="en-AU"/>
              </w:rPr>
              <w:t xml:space="preserve"> aim to align limb prostheses componentry and consumables available to individuals aged over 65 years </w:t>
            </w:r>
            <w:r w:rsidRPr="003E6BCA">
              <w:rPr>
                <w:rFonts w:eastAsia="Times New Roman" w:cstheme="minorHAnsi"/>
                <w:kern w:val="24"/>
                <w:szCs w:val="18"/>
                <w:lang w:eastAsia="en-AU"/>
              </w:rPr>
              <w:t>with the level of prosthetic support available</w:t>
            </w:r>
            <w:r>
              <w:rPr>
                <w:rFonts w:eastAsia="Times New Roman" w:cstheme="minorHAnsi"/>
                <w:kern w:val="24"/>
                <w:szCs w:val="18"/>
                <w:lang w:eastAsia="en-AU"/>
              </w:rPr>
              <w:t xml:space="preserve"> to younger people</w:t>
            </w:r>
            <w:r w:rsidRPr="003E6BCA">
              <w:rPr>
                <w:rFonts w:eastAsia="Times New Roman" w:cstheme="minorHAnsi"/>
                <w:kern w:val="24"/>
                <w:szCs w:val="18"/>
                <w:lang w:eastAsia="en-AU"/>
              </w:rPr>
              <w:t xml:space="preserve"> under the NDIS</w:t>
            </w:r>
            <w:r>
              <w:rPr>
                <w:rFonts w:eastAsia="Times New Roman" w:cstheme="minorHAnsi"/>
                <w:kern w:val="24"/>
                <w:szCs w:val="18"/>
                <w:lang w:eastAsia="en-AU"/>
              </w:rPr>
              <w:t>.</w:t>
            </w:r>
          </w:p>
        </w:tc>
      </w:tr>
      <w:tr w:rsidR="00C62E43" w14:paraId="1CC7DC65" w14:textId="77777777" w:rsidTr="005C1254">
        <w:tc>
          <w:tcPr>
            <w:cnfStyle w:val="001000000000" w:firstRow="0" w:lastRow="0" w:firstColumn="1" w:lastColumn="0" w:oddVBand="0" w:evenVBand="0" w:oddHBand="0" w:evenHBand="0" w:firstRowFirstColumn="0" w:firstRowLastColumn="0" w:lastRowFirstColumn="0" w:lastRowLastColumn="0"/>
            <w:tcW w:w="851" w:type="dxa"/>
          </w:tcPr>
          <w:p w14:paraId="5331381F" w14:textId="6874F196" w:rsidR="00C62E43" w:rsidRDefault="00C62E43" w:rsidP="005C1254">
            <w:pPr>
              <w:pStyle w:val="TableText"/>
            </w:pPr>
            <w:r w:rsidRPr="001B238E">
              <w:rPr>
                <w:lang w:eastAsia="en-AU"/>
              </w:rPr>
              <w:t>2C</w:t>
            </w:r>
          </w:p>
        </w:tc>
        <w:tc>
          <w:tcPr>
            <w:tcW w:w="1559" w:type="dxa"/>
          </w:tcPr>
          <w:p w14:paraId="2242EE55" w14:textId="69650059" w:rsidR="00C62E43" w:rsidRDefault="00C62E43" w:rsidP="005C1254">
            <w:pPr>
              <w:pStyle w:val="TableText"/>
              <w:cnfStyle w:val="000000000000" w:firstRow="0" w:lastRow="0" w:firstColumn="0" w:lastColumn="0" w:oddVBand="0" w:evenVBand="0" w:oddHBand="0" w:evenHBand="0" w:firstRowFirstColumn="0" w:firstRowLastColumn="0" w:lastRowFirstColumn="0" w:lastRowLastColumn="0"/>
            </w:pPr>
            <w:r>
              <w:rPr>
                <w:color w:val="auto"/>
                <w:kern w:val="24"/>
                <w:lang w:eastAsia="en-AU"/>
              </w:rPr>
              <w:t>Yes</w:t>
            </w:r>
          </w:p>
        </w:tc>
        <w:tc>
          <w:tcPr>
            <w:tcW w:w="7784" w:type="dxa"/>
          </w:tcPr>
          <w:p w14:paraId="7CBDEA06" w14:textId="62CB5602" w:rsidR="00C62E43" w:rsidRDefault="00C62E43" w:rsidP="005C1254">
            <w:pPr>
              <w:pStyle w:val="TableText"/>
              <w:cnfStyle w:val="000000000000" w:firstRow="0" w:lastRow="0" w:firstColumn="0" w:lastColumn="0" w:oddVBand="0" w:evenVBand="0" w:oddHBand="0" w:evenHBand="0" w:firstRowFirstColumn="0" w:firstRowLastColumn="0" w:lastRowFirstColumn="0" w:lastRowLastColumn="0"/>
            </w:pPr>
            <w:r>
              <w:rPr>
                <w:rFonts w:eastAsia="Times New Roman" w:cstheme="minorHAnsi"/>
                <w:kern w:val="24"/>
                <w:szCs w:val="18"/>
                <w:lang w:eastAsia="en-AU"/>
              </w:rPr>
              <w:t>Access to</w:t>
            </w:r>
            <w:r w:rsidRPr="00A76682">
              <w:rPr>
                <w:rFonts w:eastAsia="Times New Roman" w:cstheme="minorHAnsi"/>
                <w:kern w:val="24"/>
                <w:szCs w:val="18"/>
                <w:lang w:eastAsia="en-AU"/>
              </w:rPr>
              <w:t xml:space="preserve"> </w:t>
            </w:r>
            <w:r>
              <w:rPr>
                <w:rFonts w:eastAsia="Times New Roman" w:cstheme="minorHAnsi"/>
                <w:kern w:val="24"/>
                <w:szCs w:val="18"/>
                <w:lang w:eastAsia="en-AU"/>
              </w:rPr>
              <w:t xml:space="preserve">limb prostheses also </w:t>
            </w:r>
            <w:r w:rsidRPr="00A76682">
              <w:rPr>
                <w:rFonts w:eastAsia="Times New Roman" w:cstheme="minorHAnsi"/>
                <w:kern w:val="24"/>
                <w:szCs w:val="18"/>
                <w:lang w:eastAsia="en-AU"/>
              </w:rPr>
              <w:t>varies significantly betwe</w:t>
            </w:r>
            <w:r>
              <w:rPr>
                <w:rFonts w:eastAsia="Times New Roman" w:cstheme="minorHAnsi"/>
                <w:kern w:val="24"/>
                <w:szCs w:val="18"/>
                <w:lang w:eastAsia="en-AU"/>
              </w:rPr>
              <w:t>en jurisdictional limb schemes including funding levels and prostheses options</w:t>
            </w:r>
            <w:r w:rsidRPr="00A76682">
              <w:rPr>
                <w:rFonts w:eastAsia="Times New Roman" w:cstheme="minorHAnsi"/>
                <w:kern w:val="24"/>
                <w:szCs w:val="18"/>
                <w:lang w:eastAsia="en-AU"/>
              </w:rPr>
              <w:t>.</w:t>
            </w:r>
            <w:r>
              <w:rPr>
                <w:rFonts w:eastAsia="Times New Roman" w:cstheme="minorHAnsi"/>
                <w:kern w:val="24"/>
                <w:szCs w:val="18"/>
                <w:lang w:eastAsia="en-AU"/>
              </w:rPr>
              <w:t xml:space="preserve"> Option 3 would aim to support</w:t>
            </w:r>
            <w:r w:rsidRPr="00A76682">
              <w:rPr>
                <w:rFonts w:eastAsia="Times New Roman" w:cstheme="minorHAnsi"/>
                <w:kern w:val="24"/>
                <w:szCs w:val="18"/>
                <w:lang w:eastAsia="en-AU"/>
              </w:rPr>
              <w:t xml:space="preserve"> </w:t>
            </w:r>
            <w:r>
              <w:rPr>
                <w:rFonts w:eastAsia="Times New Roman" w:cstheme="minorHAnsi"/>
                <w:kern w:val="24"/>
                <w:szCs w:val="18"/>
                <w:lang w:eastAsia="en-AU"/>
              </w:rPr>
              <w:t>improved</w:t>
            </w:r>
            <w:r w:rsidRPr="00A76682">
              <w:rPr>
                <w:rFonts w:eastAsia="Times New Roman" w:cstheme="minorHAnsi"/>
                <w:kern w:val="24"/>
                <w:szCs w:val="18"/>
                <w:lang w:eastAsia="en-AU"/>
              </w:rPr>
              <w:t xml:space="preserve"> access </w:t>
            </w:r>
            <w:r>
              <w:rPr>
                <w:rFonts w:eastAsia="Times New Roman" w:cstheme="minorHAnsi"/>
                <w:kern w:val="24"/>
                <w:szCs w:val="18"/>
                <w:lang w:eastAsia="en-AU"/>
              </w:rPr>
              <w:t>and consistency in service provision across jurisdictions.</w:t>
            </w:r>
          </w:p>
        </w:tc>
      </w:tr>
      <w:tr w:rsidR="00C62E43" w14:paraId="5B55280D" w14:textId="77777777" w:rsidTr="005C1254">
        <w:tc>
          <w:tcPr>
            <w:cnfStyle w:val="001000000000" w:firstRow="0" w:lastRow="0" w:firstColumn="1" w:lastColumn="0" w:oddVBand="0" w:evenVBand="0" w:oddHBand="0" w:evenHBand="0" w:firstRowFirstColumn="0" w:firstRowLastColumn="0" w:lastRowFirstColumn="0" w:lastRowLastColumn="0"/>
            <w:tcW w:w="851" w:type="dxa"/>
          </w:tcPr>
          <w:p w14:paraId="5A0E29DE" w14:textId="2DAF7859" w:rsidR="00C62E43" w:rsidRDefault="00C62E43" w:rsidP="005C1254">
            <w:pPr>
              <w:pStyle w:val="TableText"/>
            </w:pPr>
            <w:r w:rsidRPr="001B238E">
              <w:rPr>
                <w:rFonts w:eastAsiaTheme="minorEastAsia"/>
                <w:lang w:eastAsia="en-AU"/>
              </w:rPr>
              <w:t>3A</w:t>
            </w:r>
          </w:p>
        </w:tc>
        <w:tc>
          <w:tcPr>
            <w:tcW w:w="1559" w:type="dxa"/>
          </w:tcPr>
          <w:p w14:paraId="6C691611" w14:textId="3FA8BE35" w:rsidR="00C62E43" w:rsidRDefault="00C62E43" w:rsidP="005C1254">
            <w:pPr>
              <w:pStyle w:val="TableText"/>
              <w:cnfStyle w:val="000000000000" w:firstRow="0" w:lastRow="0" w:firstColumn="0" w:lastColumn="0" w:oddVBand="0" w:evenVBand="0" w:oddHBand="0" w:evenHBand="0" w:firstRowFirstColumn="0" w:firstRowLastColumn="0" w:lastRowFirstColumn="0" w:lastRowLastColumn="0"/>
            </w:pPr>
            <w:r w:rsidRPr="001B238E">
              <w:rPr>
                <w:color w:val="auto"/>
                <w:kern w:val="24"/>
                <w:lang w:eastAsia="en-AU"/>
              </w:rPr>
              <w:t>N/A</w:t>
            </w:r>
          </w:p>
        </w:tc>
        <w:tc>
          <w:tcPr>
            <w:tcW w:w="7784" w:type="dxa"/>
          </w:tcPr>
          <w:p w14:paraId="16808403" w14:textId="4795C2DB" w:rsidR="00C62E43" w:rsidRDefault="00C62E43" w:rsidP="005C1254">
            <w:pPr>
              <w:pStyle w:val="TableText"/>
              <w:cnfStyle w:val="000000000000" w:firstRow="0" w:lastRow="0" w:firstColumn="0" w:lastColumn="0" w:oddVBand="0" w:evenVBand="0" w:oddHBand="0" w:evenHBand="0" w:firstRowFirstColumn="0" w:firstRowLastColumn="0" w:lastRowFirstColumn="0" w:lastRowLastColumn="0"/>
            </w:pPr>
            <w:r w:rsidRPr="002A633B">
              <w:t xml:space="preserve">Service provision in rural and remote areas will depend on how the national program is implemented and delivered. Further details regarding considerations for implementation are outlined in Section </w:t>
            </w:r>
            <w:r w:rsidRPr="002A633B">
              <w:fldChar w:fldCharType="begin"/>
            </w:r>
            <w:r w:rsidRPr="002A633B">
              <w:instrText xml:space="preserve"> REF _Ref201660445 \r \h  \* MERGEFORMAT </w:instrText>
            </w:r>
            <w:r w:rsidRPr="002A633B">
              <w:fldChar w:fldCharType="separate"/>
            </w:r>
            <w:r w:rsidRPr="002A633B">
              <w:t>5.2</w:t>
            </w:r>
            <w:r w:rsidRPr="002A633B">
              <w:fldChar w:fldCharType="end"/>
            </w:r>
            <w:r w:rsidRPr="002A633B">
              <w:t>.</w:t>
            </w:r>
          </w:p>
        </w:tc>
      </w:tr>
      <w:tr w:rsidR="00C62E43" w14:paraId="6A4487D3" w14:textId="77777777" w:rsidTr="005C1254">
        <w:tc>
          <w:tcPr>
            <w:cnfStyle w:val="001000000000" w:firstRow="0" w:lastRow="0" w:firstColumn="1" w:lastColumn="0" w:oddVBand="0" w:evenVBand="0" w:oddHBand="0" w:evenHBand="0" w:firstRowFirstColumn="0" w:firstRowLastColumn="0" w:lastRowFirstColumn="0" w:lastRowLastColumn="0"/>
            <w:tcW w:w="851" w:type="dxa"/>
          </w:tcPr>
          <w:p w14:paraId="4A39A45E" w14:textId="57612FF6" w:rsidR="00C62E43" w:rsidRDefault="00C62E43" w:rsidP="005C1254">
            <w:pPr>
              <w:pStyle w:val="TableText"/>
            </w:pPr>
            <w:r w:rsidRPr="001B238E">
              <w:rPr>
                <w:rFonts w:eastAsiaTheme="minorEastAsia"/>
                <w:lang w:eastAsia="en-AU"/>
              </w:rPr>
              <w:t>3B</w:t>
            </w:r>
          </w:p>
        </w:tc>
        <w:tc>
          <w:tcPr>
            <w:tcW w:w="1559" w:type="dxa"/>
          </w:tcPr>
          <w:p w14:paraId="20637E4C" w14:textId="4679D97E" w:rsidR="00C62E43" w:rsidRDefault="00C62E43" w:rsidP="005C1254">
            <w:pPr>
              <w:pStyle w:val="TableText"/>
              <w:cnfStyle w:val="000000000000" w:firstRow="0" w:lastRow="0" w:firstColumn="0" w:lastColumn="0" w:oddVBand="0" w:evenVBand="0" w:oddHBand="0" w:evenHBand="0" w:firstRowFirstColumn="0" w:firstRowLastColumn="0" w:lastRowFirstColumn="0" w:lastRowLastColumn="0"/>
            </w:pPr>
            <w:r>
              <w:rPr>
                <w:color w:val="auto"/>
                <w:kern w:val="24"/>
                <w:lang w:eastAsia="en-AU"/>
              </w:rPr>
              <w:t>Yes</w:t>
            </w:r>
          </w:p>
        </w:tc>
        <w:tc>
          <w:tcPr>
            <w:tcW w:w="7784" w:type="dxa"/>
          </w:tcPr>
          <w:p w14:paraId="23F0DC6A" w14:textId="4B998A8B" w:rsidR="00C62E43" w:rsidRDefault="00C62E43" w:rsidP="005C1254">
            <w:pPr>
              <w:pStyle w:val="TableText"/>
              <w:cnfStyle w:val="000000000000" w:firstRow="0" w:lastRow="0" w:firstColumn="0" w:lastColumn="0" w:oddVBand="0" w:evenVBand="0" w:oddHBand="0" w:evenHBand="0" w:firstRowFirstColumn="0" w:firstRowLastColumn="0" w:lastRowFirstColumn="0" w:lastRowLastColumn="0"/>
            </w:pPr>
            <w:r w:rsidRPr="002A633B">
              <w:t>Without access to public funding, there are currently significant cost barriers for some individuals in accessing facial prostheses. Option 3 would aim to remove cost barriers by establishing dedicated funding for facial prostheses as well as removing the upfront payment barrier for breast prostheses.</w:t>
            </w:r>
          </w:p>
        </w:tc>
      </w:tr>
      <w:tr w:rsidR="00C62E43" w14:paraId="6E724B27" w14:textId="77777777" w:rsidTr="005C1254">
        <w:tc>
          <w:tcPr>
            <w:cnfStyle w:val="001000000000" w:firstRow="0" w:lastRow="0" w:firstColumn="1" w:lastColumn="0" w:oddVBand="0" w:evenVBand="0" w:oddHBand="0" w:evenHBand="0" w:firstRowFirstColumn="0" w:firstRowLastColumn="0" w:lastRowFirstColumn="0" w:lastRowLastColumn="0"/>
            <w:tcW w:w="851" w:type="dxa"/>
          </w:tcPr>
          <w:p w14:paraId="55107037" w14:textId="5C64D32E" w:rsidR="00C62E43" w:rsidRDefault="00C62E43" w:rsidP="005C1254">
            <w:pPr>
              <w:pStyle w:val="TableText"/>
            </w:pPr>
            <w:r w:rsidRPr="001B238E">
              <w:rPr>
                <w:rFonts w:eastAsiaTheme="minorEastAsia"/>
                <w:lang w:eastAsia="en-AU"/>
              </w:rPr>
              <w:t>3C</w:t>
            </w:r>
          </w:p>
        </w:tc>
        <w:tc>
          <w:tcPr>
            <w:tcW w:w="1559" w:type="dxa"/>
          </w:tcPr>
          <w:p w14:paraId="72ADBE00" w14:textId="23068000" w:rsidR="00C62E43" w:rsidRDefault="00C62E43" w:rsidP="005C1254">
            <w:pPr>
              <w:pStyle w:val="TableText"/>
              <w:cnfStyle w:val="000000000000" w:firstRow="0" w:lastRow="0" w:firstColumn="0" w:lastColumn="0" w:oddVBand="0" w:evenVBand="0" w:oddHBand="0" w:evenHBand="0" w:firstRowFirstColumn="0" w:firstRowLastColumn="0" w:lastRowFirstColumn="0" w:lastRowLastColumn="0"/>
            </w:pPr>
            <w:r>
              <w:rPr>
                <w:color w:val="auto"/>
                <w:kern w:val="24"/>
                <w:lang w:eastAsia="en-AU"/>
              </w:rPr>
              <w:t>Yes</w:t>
            </w:r>
          </w:p>
        </w:tc>
        <w:tc>
          <w:tcPr>
            <w:tcW w:w="7784" w:type="dxa"/>
          </w:tcPr>
          <w:p w14:paraId="0E5F05E8" w14:textId="4B69563E" w:rsidR="00C62E43" w:rsidRDefault="00C62E43" w:rsidP="005C1254">
            <w:pPr>
              <w:pStyle w:val="TableText"/>
              <w:cnfStyle w:val="000000000000" w:firstRow="0" w:lastRow="0" w:firstColumn="0" w:lastColumn="0" w:oddVBand="0" w:evenVBand="0" w:oddHBand="0" w:evenHBand="0" w:firstRowFirstColumn="0" w:firstRowLastColumn="0" w:lastRowFirstColumn="0" w:lastRowLastColumn="0"/>
            </w:pPr>
            <w:r w:rsidRPr="002A633B">
              <w:t xml:space="preserve">Younger people are often required to replace their facial prosthesis more frequently than adults, resulting in an additional financial burden for this cohort where publicly funded facial prostheses services are not available. Option 3 would aim to reduce these ongoing financial pressures currently experienced by some young people by establishing dedicated funding for both new and replacement facial prostheses that are required </w:t>
            </w:r>
            <w:proofErr w:type="gramStart"/>
            <w:r w:rsidRPr="002A633B">
              <w:t>as a result of</w:t>
            </w:r>
            <w:proofErr w:type="gramEnd"/>
            <w:r w:rsidRPr="002A633B">
              <w:t xml:space="preserve"> cancer or cancer treatment.</w:t>
            </w:r>
          </w:p>
        </w:tc>
      </w:tr>
    </w:tbl>
    <w:p w14:paraId="6B6BD9F9" w14:textId="28A81729" w:rsidR="004169A0" w:rsidRPr="008B469D" w:rsidRDefault="001F20B9" w:rsidP="006E03F8">
      <w:pPr>
        <w:pStyle w:val="Caption-Source"/>
      </w:pPr>
      <w:r w:rsidRPr="00341DDA">
        <w:t xml:space="preserve">Source: </w:t>
      </w:r>
      <w:r w:rsidR="0044544E" w:rsidRPr="0044544E">
        <w:t>Independent reviewer</w:t>
      </w:r>
      <w:r w:rsidRPr="00341DDA">
        <w:t xml:space="preserve"> (2025)</w:t>
      </w:r>
    </w:p>
    <w:p w14:paraId="54E82808" w14:textId="77777777" w:rsidR="003920E4" w:rsidRDefault="000557FC" w:rsidP="008239ED">
      <w:pPr>
        <w:pStyle w:val="Heading2"/>
      </w:pPr>
      <w:bookmarkStart w:id="136" w:name="_Ref201660445"/>
      <w:bookmarkStart w:id="137" w:name="_Toc207348753"/>
      <w:r>
        <w:t xml:space="preserve">Considerations </w:t>
      </w:r>
      <w:r w:rsidR="006279FC">
        <w:t>for the implementation of a national cancer prostheses program</w:t>
      </w:r>
      <w:bookmarkEnd w:id="136"/>
      <w:bookmarkEnd w:id="137"/>
    </w:p>
    <w:p w14:paraId="68EF5919" w14:textId="5EB7FE3B" w:rsidR="003920E4" w:rsidRPr="00DD71E7" w:rsidRDefault="00862A0B" w:rsidP="00DD71E7">
      <w:proofErr w:type="gramStart"/>
      <w:r w:rsidRPr="00DD71E7">
        <w:t>A number of</w:t>
      </w:r>
      <w:proofErr w:type="gramEnd"/>
      <w:r w:rsidRPr="00DD71E7">
        <w:t xml:space="preserve"> factors were identified through the review that </w:t>
      </w:r>
      <w:r w:rsidR="002C7755" w:rsidRPr="00DD71E7">
        <w:t>w</w:t>
      </w:r>
      <w:r w:rsidRPr="00DD71E7">
        <w:t xml:space="preserve">ould </w:t>
      </w:r>
      <w:r w:rsidR="002C7755" w:rsidRPr="00DD71E7">
        <w:t xml:space="preserve">require consideration </w:t>
      </w:r>
      <w:r w:rsidR="00EC1F60" w:rsidRPr="00DD71E7">
        <w:t>to support</w:t>
      </w:r>
      <w:r w:rsidRPr="00DD71E7">
        <w:t xml:space="preserve"> the implementation of a</w:t>
      </w:r>
      <w:r w:rsidR="002C7755" w:rsidRPr="00DD71E7">
        <w:t xml:space="preserve"> </w:t>
      </w:r>
      <w:r w:rsidRPr="00DD71E7">
        <w:t xml:space="preserve">national cancer prostheses program. </w:t>
      </w:r>
      <w:r w:rsidR="00EB4808" w:rsidRPr="00DD71E7">
        <w:t xml:space="preserve">This includes factors that </w:t>
      </w:r>
      <w:r w:rsidR="00620963" w:rsidRPr="00DD71E7">
        <w:t xml:space="preserve">may enable or hinder the successful implementation of </w:t>
      </w:r>
      <w:r w:rsidR="002C7755" w:rsidRPr="00DD71E7">
        <w:t xml:space="preserve">a potential national </w:t>
      </w:r>
      <w:r w:rsidR="00620963" w:rsidRPr="00DD71E7">
        <w:t>program</w:t>
      </w:r>
      <w:r w:rsidR="005923D8" w:rsidRPr="00DD71E7">
        <w:t>,</w:t>
      </w:r>
      <w:r w:rsidR="00620963" w:rsidRPr="00DD71E7">
        <w:t xml:space="preserve"> </w:t>
      </w:r>
      <w:r w:rsidR="00EC1F60" w:rsidRPr="00DD71E7">
        <w:t>as well as</w:t>
      </w:r>
      <w:r w:rsidR="00620963" w:rsidRPr="00DD71E7">
        <w:t xml:space="preserve"> the program’s effectiveness in addressing the equity issues and barriers to access </w:t>
      </w:r>
      <w:r w:rsidR="00EC1F60" w:rsidRPr="00DD71E7">
        <w:t>outlined</w:t>
      </w:r>
      <w:r w:rsidR="00620963" w:rsidRPr="00DD71E7">
        <w:t xml:space="preserve"> </w:t>
      </w:r>
      <w:r w:rsidR="002C7755" w:rsidRPr="00DD71E7">
        <w:t>with</w:t>
      </w:r>
      <w:r w:rsidR="00620963" w:rsidRPr="00DD71E7">
        <w:t xml:space="preserve">in this report. Key considerations </w:t>
      </w:r>
      <w:r w:rsidR="003920E4" w:rsidRPr="00DD71E7">
        <w:t xml:space="preserve">include:   </w:t>
      </w:r>
    </w:p>
    <w:p w14:paraId="3A62606A" w14:textId="581D6B90" w:rsidR="003920E4" w:rsidRDefault="00620963" w:rsidP="00680E22">
      <w:pPr>
        <w:pStyle w:val="Bullet1stlevel"/>
      </w:pPr>
      <w:r>
        <w:t>The program’s delivery and funding model</w:t>
      </w:r>
    </w:p>
    <w:p w14:paraId="17119B40" w14:textId="6D5D7733" w:rsidR="00126DC8" w:rsidRDefault="00126DC8" w:rsidP="00680E22">
      <w:pPr>
        <w:pStyle w:val="Bullet1stlevel"/>
      </w:pPr>
      <w:r>
        <w:t xml:space="preserve">Workforce supply and regulation </w:t>
      </w:r>
    </w:p>
    <w:p w14:paraId="270A9F9D" w14:textId="0755AFDA" w:rsidR="00126DC8" w:rsidRDefault="00126DC8" w:rsidP="00680E22">
      <w:pPr>
        <w:pStyle w:val="Bullet1stlevel"/>
      </w:pPr>
      <w:r>
        <w:t>Care pathways, education and awareness</w:t>
      </w:r>
    </w:p>
    <w:p w14:paraId="4C48A292" w14:textId="47BB8D89" w:rsidR="00126DC8" w:rsidRDefault="00126DC8" w:rsidP="00680E22">
      <w:pPr>
        <w:pStyle w:val="Bullet1stlevel"/>
      </w:pPr>
      <w:r>
        <w:t>Cultural safety and inclusion</w:t>
      </w:r>
    </w:p>
    <w:p w14:paraId="78206E7E" w14:textId="6474E8CB" w:rsidR="00FD3A48" w:rsidRDefault="00FD3A48" w:rsidP="00680E22">
      <w:pPr>
        <w:pStyle w:val="Bullet1stlevel"/>
      </w:pPr>
      <w:r>
        <w:t>Rural and remote access</w:t>
      </w:r>
    </w:p>
    <w:p w14:paraId="69CE0445" w14:textId="7BB45E62" w:rsidR="00126DC8" w:rsidRDefault="00126DC8" w:rsidP="00680E22">
      <w:pPr>
        <w:pStyle w:val="Bullet1stlevel"/>
      </w:pPr>
      <w:r>
        <w:t>Data collection and evaluation</w:t>
      </w:r>
      <w:r w:rsidR="00620963">
        <w:t>.</w:t>
      </w:r>
      <w:r>
        <w:t xml:space="preserve"> </w:t>
      </w:r>
    </w:p>
    <w:p w14:paraId="22F4F7A8" w14:textId="68BDF702" w:rsidR="003920E4" w:rsidRDefault="003920E4" w:rsidP="004654EC">
      <w:pPr>
        <w:spacing w:after="120"/>
      </w:pPr>
      <w:r>
        <w:t xml:space="preserve">The </w:t>
      </w:r>
      <w:r w:rsidR="00126DC8">
        <w:t xml:space="preserve">considerations </w:t>
      </w:r>
      <w:r>
        <w:t xml:space="preserve">outlined within this section </w:t>
      </w:r>
      <w:r w:rsidRPr="003F4FDE">
        <w:t xml:space="preserve">were identified </w:t>
      </w:r>
      <w:r w:rsidR="005923D8">
        <w:t>through</w:t>
      </w:r>
      <w:r w:rsidRPr="003F4FDE">
        <w:t xml:space="preserve"> </w:t>
      </w:r>
      <w:r>
        <w:t>a variety of sources</w:t>
      </w:r>
      <w:r w:rsidR="005923D8">
        <w:t>, including desktop research, consultation with stakeholders,</w:t>
      </w:r>
      <w:r>
        <w:t xml:space="preserve"> including clinicians involved in the delivery of prostheses services and people living with or who have lived experience of cancer</w:t>
      </w:r>
      <w:r w:rsidRPr="003F4FDE">
        <w:t>, and</w:t>
      </w:r>
      <w:r>
        <w:t xml:space="preserve"> stakeholder</w:t>
      </w:r>
      <w:r w:rsidRPr="003F4FDE">
        <w:t xml:space="preserve"> survey</w:t>
      </w:r>
      <w:r>
        <w:t xml:space="preserve"> responses</w:t>
      </w:r>
      <w:r w:rsidRPr="003F4FDE">
        <w:t>.</w:t>
      </w:r>
    </w:p>
    <w:p w14:paraId="3694BF51" w14:textId="77777777" w:rsidR="001E27FE" w:rsidRDefault="00DE0C73" w:rsidP="001E27FE">
      <w:pPr>
        <w:pStyle w:val="Heading3"/>
      </w:pPr>
      <w:r>
        <w:t xml:space="preserve">Delivery and funding model </w:t>
      </w:r>
    </w:p>
    <w:p w14:paraId="0D9B4800" w14:textId="39BB6208" w:rsidR="00DE0C73" w:rsidRDefault="00F82566" w:rsidP="00DD71E7">
      <w:r w:rsidRPr="00F82566">
        <w:t xml:space="preserve">The delivery </w:t>
      </w:r>
      <w:r>
        <w:t xml:space="preserve">model </w:t>
      </w:r>
      <w:r w:rsidRPr="00F82566">
        <w:t xml:space="preserve">and funding model chosen for a new national program would shape how prostheses services are </w:t>
      </w:r>
      <w:r w:rsidR="00E20179">
        <w:t>delivered and</w:t>
      </w:r>
      <w:r w:rsidR="00D85488">
        <w:t xml:space="preserve"> </w:t>
      </w:r>
      <w:r w:rsidR="00E20179">
        <w:t xml:space="preserve">funded. </w:t>
      </w:r>
      <w:r w:rsidR="001C75C6">
        <w:t xml:space="preserve">The delivery model </w:t>
      </w:r>
      <w:r w:rsidR="00D85488">
        <w:t>sets out</w:t>
      </w:r>
      <w:r w:rsidR="001C75C6">
        <w:t xml:space="preserve"> who is responsible for </w:t>
      </w:r>
      <w:r w:rsidR="00D85488">
        <w:t xml:space="preserve">program </w:t>
      </w:r>
      <w:r w:rsidR="001C75C6">
        <w:t>administ</w:t>
      </w:r>
      <w:r w:rsidR="00D85488">
        <w:t>ration, governance and service delivery</w:t>
      </w:r>
      <w:r w:rsidR="001C75C6">
        <w:t xml:space="preserve">, while the funding model defines how </w:t>
      </w:r>
      <w:r w:rsidR="00D85488">
        <w:t xml:space="preserve">and to </w:t>
      </w:r>
      <w:r w:rsidR="005923D8">
        <w:t>whom</w:t>
      </w:r>
      <w:r w:rsidR="00D85488">
        <w:t xml:space="preserve"> government </w:t>
      </w:r>
      <w:r w:rsidR="001C75C6">
        <w:t>f</w:t>
      </w:r>
      <w:r w:rsidR="00D85488">
        <w:t>unding is provided</w:t>
      </w:r>
      <w:r w:rsidR="001C75C6">
        <w:t xml:space="preserve">. </w:t>
      </w:r>
      <w:r w:rsidR="00DC6816">
        <w:t xml:space="preserve">This section </w:t>
      </w:r>
      <w:r w:rsidR="00CE3384">
        <w:t xml:space="preserve">outlines </w:t>
      </w:r>
      <w:r w:rsidR="00E64711">
        <w:t xml:space="preserve">potential </w:t>
      </w:r>
      <w:r w:rsidR="004943E5">
        <w:t>delivery</w:t>
      </w:r>
      <w:r w:rsidR="00E64711">
        <w:t xml:space="preserve"> and </w:t>
      </w:r>
      <w:r w:rsidR="004943E5">
        <w:t>funding</w:t>
      </w:r>
      <w:r w:rsidR="00E64711">
        <w:t xml:space="preserve"> models </w:t>
      </w:r>
      <w:r w:rsidR="005A3FFF">
        <w:t xml:space="preserve">for consideration. </w:t>
      </w:r>
    </w:p>
    <w:p w14:paraId="172DE309" w14:textId="5CA98845" w:rsidR="00DC6816" w:rsidRDefault="00DC6816" w:rsidP="00FD54A5">
      <w:pPr>
        <w:pStyle w:val="Heading4"/>
      </w:pPr>
      <w:r>
        <w:t xml:space="preserve">Delivery model </w:t>
      </w:r>
      <w:r w:rsidR="00B27200">
        <w:t>options for a national cancer prosthes</w:t>
      </w:r>
      <w:r w:rsidR="004B57FD">
        <w:t>e</w:t>
      </w:r>
      <w:r w:rsidR="00B27200">
        <w:t>s program</w:t>
      </w:r>
    </w:p>
    <w:p w14:paraId="1ED8691F" w14:textId="48575EAD" w:rsidR="000266B1" w:rsidRDefault="0057305F" w:rsidP="00DD71E7">
      <w:r>
        <w:t xml:space="preserve">In considering the implementation of a </w:t>
      </w:r>
      <w:r w:rsidR="007229C5">
        <w:t xml:space="preserve">potential </w:t>
      </w:r>
      <w:r>
        <w:t>national cancer prostheses program, t</w:t>
      </w:r>
      <w:r w:rsidR="00CE3384">
        <w:t>hree</w:t>
      </w:r>
      <w:r w:rsidR="00083ED1">
        <w:t xml:space="preserve"> </w:t>
      </w:r>
      <w:r w:rsidR="00CE3384">
        <w:t xml:space="preserve">delivery </w:t>
      </w:r>
      <w:r w:rsidR="007229C5">
        <w:t xml:space="preserve">model options </w:t>
      </w:r>
      <w:r w:rsidR="00083ED1">
        <w:t xml:space="preserve">have been identified </w:t>
      </w:r>
      <w:r w:rsidR="00B27200">
        <w:t>to</w:t>
      </w:r>
      <w:r w:rsidR="00083ED1">
        <w:t xml:space="preserve"> manag</w:t>
      </w:r>
      <w:r w:rsidR="00B27200">
        <w:t>e</w:t>
      </w:r>
      <w:r w:rsidR="00083ED1">
        <w:t xml:space="preserve"> the </w:t>
      </w:r>
      <w:r w:rsidR="00741AB9">
        <w:t xml:space="preserve">administration, coordination and </w:t>
      </w:r>
      <w:r w:rsidR="00EC1F60">
        <w:t>delivery</w:t>
      </w:r>
      <w:r w:rsidR="00741AB9">
        <w:t xml:space="preserve"> of </w:t>
      </w:r>
      <w:r w:rsidR="00BB6F77">
        <w:t>cancer</w:t>
      </w:r>
      <w:r w:rsidR="00741AB9">
        <w:t xml:space="preserve"> prostheses </w:t>
      </w:r>
      <w:r w:rsidR="00EC1F60">
        <w:t xml:space="preserve">services </w:t>
      </w:r>
      <w:r w:rsidR="00741AB9">
        <w:t>across Australia</w:t>
      </w:r>
      <w:r w:rsidR="00A66EEA">
        <w:t xml:space="preserve">. </w:t>
      </w:r>
      <w:r w:rsidR="00083ED1" w:rsidRPr="00083ED1">
        <w:t>Each model presents distinct benefits and challenges in terms of consistency</w:t>
      </w:r>
      <w:r w:rsidR="007229C5">
        <w:t xml:space="preserve"> of service delivery</w:t>
      </w:r>
      <w:r w:rsidR="00083ED1" w:rsidRPr="00083ED1">
        <w:t>, responsiveness</w:t>
      </w:r>
      <w:r w:rsidR="007229C5">
        <w:t xml:space="preserve"> to community needs</w:t>
      </w:r>
      <w:r w:rsidR="00083ED1" w:rsidRPr="00083ED1">
        <w:t xml:space="preserve"> </w:t>
      </w:r>
      <w:r w:rsidR="00177077">
        <w:t xml:space="preserve">and </w:t>
      </w:r>
      <w:r w:rsidR="00083ED1" w:rsidRPr="00083ED1">
        <w:t>integration with existing services</w:t>
      </w:r>
      <w:r w:rsidR="00177077">
        <w:t>.</w:t>
      </w:r>
      <w:r w:rsidR="00083ED1" w:rsidRPr="00083ED1">
        <w:t xml:space="preserve"> </w:t>
      </w:r>
      <w:r w:rsidR="000266B1">
        <w:t xml:space="preserve"> </w:t>
      </w:r>
    </w:p>
    <w:p w14:paraId="4675269A" w14:textId="68797CF1" w:rsidR="00DC6816" w:rsidRPr="00DD71E7" w:rsidRDefault="00EC1F60" w:rsidP="00DD71E7">
      <w:r w:rsidRPr="00DD71E7">
        <w:t>Potential</w:t>
      </w:r>
      <w:r w:rsidR="000266B1" w:rsidRPr="00DD71E7">
        <w:t xml:space="preserve"> delivery model options</w:t>
      </w:r>
      <w:r w:rsidR="00A66EEA" w:rsidRPr="00DD71E7">
        <w:t xml:space="preserve"> </w:t>
      </w:r>
      <w:r w:rsidR="00576A22" w:rsidRPr="00DD71E7">
        <w:t>for consideration</w:t>
      </w:r>
      <w:r w:rsidR="000266B1" w:rsidRPr="00DD71E7">
        <w:t xml:space="preserve"> </w:t>
      </w:r>
      <w:r w:rsidR="00A66EEA" w:rsidRPr="00DD71E7">
        <w:t>include:</w:t>
      </w:r>
    </w:p>
    <w:p w14:paraId="199C3F0A" w14:textId="4B8E75F7" w:rsidR="00A66EEA" w:rsidRDefault="00741AB9" w:rsidP="00680E22">
      <w:pPr>
        <w:pStyle w:val="Bullet1stlevel"/>
      </w:pPr>
      <w:r w:rsidRPr="0042443F">
        <w:rPr>
          <w:rStyle w:val="Strong"/>
        </w:rPr>
        <w:t xml:space="preserve">Option </w:t>
      </w:r>
      <w:r w:rsidR="004943E5" w:rsidRPr="0042443F">
        <w:rPr>
          <w:rStyle w:val="Strong"/>
        </w:rPr>
        <w:t>A</w:t>
      </w:r>
      <w:r w:rsidRPr="0042443F">
        <w:rPr>
          <w:rStyle w:val="Strong"/>
        </w:rPr>
        <w:t>:</w:t>
      </w:r>
      <w:r>
        <w:t xml:space="preserve"> </w:t>
      </w:r>
      <w:r w:rsidR="00A66EEA">
        <w:t>Centralised national administration</w:t>
      </w:r>
    </w:p>
    <w:p w14:paraId="36966E79" w14:textId="30B2B166" w:rsidR="00A66EEA" w:rsidRDefault="00741AB9" w:rsidP="00680E22">
      <w:pPr>
        <w:pStyle w:val="Bullet1stlevel"/>
      </w:pPr>
      <w:r w:rsidRPr="0042443F">
        <w:rPr>
          <w:rStyle w:val="Strong"/>
        </w:rPr>
        <w:t xml:space="preserve">Option </w:t>
      </w:r>
      <w:r w:rsidR="004943E5" w:rsidRPr="0042443F">
        <w:rPr>
          <w:rStyle w:val="Strong"/>
        </w:rPr>
        <w:t>B</w:t>
      </w:r>
      <w:r w:rsidRPr="0042443F">
        <w:rPr>
          <w:rStyle w:val="Strong"/>
        </w:rPr>
        <w:t>:</w:t>
      </w:r>
      <w:r>
        <w:t xml:space="preserve"> </w:t>
      </w:r>
      <w:r w:rsidR="00A66EEA">
        <w:t>State</w:t>
      </w:r>
      <w:r>
        <w:t xml:space="preserve"> and territory</w:t>
      </w:r>
      <w:r w:rsidR="00A66EEA">
        <w:t>-based coordination</w:t>
      </w:r>
    </w:p>
    <w:p w14:paraId="3ADFB96C" w14:textId="70166868" w:rsidR="008871A3" w:rsidRDefault="00741AB9" w:rsidP="00680E22">
      <w:pPr>
        <w:pStyle w:val="Bullet1stlevel"/>
      </w:pPr>
      <w:r w:rsidRPr="0042443F">
        <w:rPr>
          <w:rStyle w:val="Strong"/>
        </w:rPr>
        <w:t xml:space="preserve">Option </w:t>
      </w:r>
      <w:r w:rsidR="004943E5" w:rsidRPr="0042443F">
        <w:rPr>
          <w:rStyle w:val="Strong"/>
        </w:rPr>
        <w:t>C</w:t>
      </w:r>
      <w:r w:rsidRPr="0042443F">
        <w:rPr>
          <w:rStyle w:val="Strong"/>
        </w:rPr>
        <w:t>:</w:t>
      </w:r>
      <w:r>
        <w:t xml:space="preserve"> </w:t>
      </w:r>
      <w:r w:rsidR="00E700D9">
        <w:t>T</w:t>
      </w:r>
      <w:r w:rsidR="00A66EEA">
        <w:t>hird-party provider</w:t>
      </w:r>
      <w:r w:rsidR="00E700D9">
        <w:t xml:space="preserve"> model.</w:t>
      </w:r>
    </w:p>
    <w:p w14:paraId="07CAD519" w14:textId="77777777" w:rsidR="002903F0" w:rsidRPr="00DD71E7" w:rsidRDefault="002903F0" w:rsidP="00DD71E7">
      <w:r w:rsidRPr="00DD71E7">
        <w:br w:type="page"/>
      </w:r>
    </w:p>
    <w:p w14:paraId="649B1AB4" w14:textId="41B8E358" w:rsidR="009B271C" w:rsidRPr="00E276F1" w:rsidRDefault="009B271C" w:rsidP="00DD71E7">
      <w:r w:rsidRPr="00E276F1">
        <w:t xml:space="preserve">The following section </w:t>
      </w:r>
      <w:r w:rsidR="00EC1F60" w:rsidRPr="00E276F1">
        <w:t>further details</w:t>
      </w:r>
      <w:r w:rsidRPr="00E276F1">
        <w:t xml:space="preserve"> each </w:t>
      </w:r>
      <w:r w:rsidR="00EC1F60" w:rsidRPr="00E276F1">
        <w:t xml:space="preserve">potential </w:t>
      </w:r>
      <w:r w:rsidRPr="00E276F1">
        <w:t>delivery model</w:t>
      </w:r>
      <w:r w:rsidR="00EC1F60" w:rsidRPr="00E276F1">
        <w:t>, with a summary provided</w:t>
      </w:r>
      <w:r w:rsidRPr="00E276F1">
        <w:t xml:space="preserve"> in </w:t>
      </w:r>
      <w:r w:rsidRPr="00E276F1">
        <w:fldChar w:fldCharType="begin"/>
      </w:r>
      <w:r w:rsidRPr="00E276F1">
        <w:instrText xml:space="preserve"> REF _Ref201743610 \h  \* MERGEFORMAT </w:instrText>
      </w:r>
      <w:r w:rsidRPr="00E276F1">
        <w:fldChar w:fldCharType="separate"/>
      </w:r>
      <w:r w:rsidR="008004C7" w:rsidRPr="00E276F1">
        <w:t>Table 24</w:t>
      </w:r>
      <w:r w:rsidRPr="00E276F1">
        <w:fldChar w:fldCharType="end"/>
      </w:r>
      <w:r w:rsidR="008004C7" w:rsidRPr="00E276F1">
        <w:t> </w:t>
      </w:r>
      <w:r w:rsidRPr="00E276F1">
        <w:t>below.</w:t>
      </w:r>
    </w:p>
    <w:p w14:paraId="33D9D92E" w14:textId="443E2602" w:rsidR="004B57FD" w:rsidRPr="009B271C" w:rsidRDefault="004B57FD" w:rsidP="00EC1F60">
      <w:pPr>
        <w:pStyle w:val="Caption"/>
        <w:spacing w:before="160"/>
        <w:rPr>
          <w:b w:val="0"/>
          <w:i/>
          <w:iCs w:val="0"/>
          <w:color w:val="000000" w:themeColor="text1"/>
          <w:sz w:val="20"/>
          <w:szCs w:val="22"/>
        </w:rPr>
      </w:pPr>
      <w:bookmarkStart w:id="138" w:name="_Ref201743610"/>
      <w:bookmarkStart w:id="139" w:name="_Toc207348589"/>
      <w:r>
        <w:t xml:space="preserve">Table </w:t>
      </w:r>
      <w:r w:rsidR="004F27F5">
        <w:fldChar w:fldCharType="begin"/>
      </w:r>
      <w:r w:rsidR="004F27F5">
        <w:instrText xml:space="preserve"> SEQ Table \* ARABIC </w:instrText>
      </w:r>
      <w:r w:rsidR="004F27F5">
        <w:fldChar w:fldCharType="separate"/>
      </w:r>
      <w:r w:rsidR="004F27F5">
        <w:rPr>
          <w:noProof/>
        </w:rPr>
        <w:t>24</w:t>
      </w:r>
      <w:r w:rsidR="004F27F5">
        <w:rPr>
          <w:noProof/>
        </w:rPr>
        <w:fldChar w:fldCharType="end"/>
      </w:r>
      <w:bookmarkEnd w:id="138"/>
      <w:r>
        <w:t>: Summary of delivery model options for a national cancer prostheses program and key strengths and</w:t>
      </w:r>
      <w:r w:rsidR="00320B22">
        <w:t> </w:t>
      </w:r>
      <w:r>
        <w:t>considerations</w:t>
      </w:r>
      <w:bookmarkEnd w:id="139"/>
    </w:p>
    <w:tbl>
      <w:tblPr>
        <w:tblStyle w:val="KPMGTable"/>
        <w:tblW w:w="10204" w:type="dxa"/>
        <w:tblLook w:val="04A0" w:firstRow="1" w:lastRow="0" w:firstColumn="1" w:lastColumn="0" w:noHBand="0" w:noVBand="1"/>
      </w:tblPr>
      <w:tblGrid>
        <w:gridCol w:w="1843"/>
        <w:gridCol w:w="2787"/>
        <w:gridCol w:w="2787"/>
        <w:gridCol w:w="2787"/>
      </w:tblGrid>
      <w:tr w:rsidR="00677ED1" w:rsidRPr="007B154A" w14:paraId="43FEA429" w14:textId="14ADE903" w:rsidTr="00680E22">
        <w:trPr>
          <w:cnfStyle w:val="100000000000" w:firstRow="1" w:lastRow="0" w:firstColumn="0" w:lastColumn="0" w:oddVBand="0" w:evenVBand="0" w:oddHBand="0"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1843" w:type="dxa"/>
          </w:tcPr>
          <w:p w14:paraId="5436EA8D" w14:textId="70B9710B" w:rsidR="00617816" w:rsidRPr="00C10C27" w:rsidRDefault="00617816" w:rsidP="00680E22">
            <w:pPr>
              <w:pStyle w:val="TableHeading"/>
              <w:rPr>
                <w:b w:val="0"/>
                <w:color w:val="FFFFFF" w:themeColor="background1"/>
                <w:szCs w:val="18"/>
              </w:rPr>
            </w:pPr>
            <w:r>
              <w:t>Delivery model</w:t>
            </w:r>
          </w:p>
        </w:tc>
        <w:tc>
          <w:tcPr>
            <w:tcW w:w="2787" w:type="dxa"/>
          </w:tcPr>
          <w:p w14:paraId="59D10D78" w14:textId="25FA24A6" w:rsidR="00617816" w:rsidRPr="00C10C27" w:rsidRDefault="00617816" w:rsidP="00680E2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t>Description</w:t>
            </w:r>
          </w:p>
        </w:tc>
        <w:tc>
          <w:tcPr>
            <w:tcW w:w="2787" w:type="dxa"/>
          </w:tcPr>
          <w:p w14:paraId="72F24E41" w14:textId="6CF830D7" w:rsidR="00617816" w:rsidRPr="001719EC" w:rsidRDefault="00474C85" w:rsidP="00680E22">
            <w:pPr>
              <w:pStyle w:val="TableHeading"/>
              <w:cnfStyle w:val="100000000000" w:firstRow="1" w:lastRow="0" w:firstColumn="0" w:lastColumn="0" w:oddVBand="0" w:evenVBand="0" w:oddHBand="0" w:evenHBand="0" w:firstRowFirstColumn="0" w:firstRowLastColumn="0" w:lastRowFirstColumn="0" w:lastRowLastColumn="0"/>
              <w:rPr>
                <w:b w:val="0"/>
                <w:szCs w:val="18"/>
              </w:rPr>
            </w:pPr>
            <w:r w:rsidRPr="001719EC">
              <w:t>S</w:t>
            </w:r>
            <w:r w:rsidR="00617816" w:rsidRPr="001719EC">
              <w:rPr>
                <w:b w:val="0"/>
                <w:szCs w:val="18"/>
              </w:rPr>
              <w:t>trengths</w:t>
            </w:r>
          </w:p>
        </w:tc>
        <w:tc>
          <w:tcPr>
            <w:tcW w:w="2787" w:type="dxa"/>
          </w:tcPr>
          <w:p w14:paraId="6ED0D84D" w14:textId="5EDC53E9" w:rsidR="00617816" w:rsidRPr="001719EC" w:rsidRDefault="00474C85" w:rsidP="00680E22">
            <w:pPr>
              <w:pStyle w:val="TableHeading"/>
              <w:cnfStyle w:val="100000000000" w:firstRow="1" w:lastRow="0" w:firstColumn="0" w:lastColumn="0" w:oddVBand="0" w:evenVBand="0" w:oddHBand="0" w:evenHBand="0" w:firstRowFirstColumn="0" w:firstRowLastColumn="0" w:lastRowFirstColumn="0" w:lastRowLastColumn="0"/>
              <w:rPr>
                <w:b w:val="0"/>
                <w:color w:val="002669" w:themeColor="text2" w:themeShade="BF"/>
                <w:szCs w:val="18"/>
              </w:rPr>
            </w:pPr>
            <w:r w:rsidRPr="001719EC">
              <w:rPr>
                <w:color w:val="002669" w:themeColor="text2" w:themeShade="BF"/>
              </w:rPr>
              <w:t>C</w:t>
            </w:r>
            <w:r w:rsidR="00617816" w:rsidRPr="001719EC">
              <w:rPr>
                <w:b w:val="0"/>
                <w:color w:val="002669" w:themeColor="text2" w:themeShade="BF"/>
                <w:szCs w:val="18"/>
              </w:rPr>
              <w:t>onsiderations</w:t>
            </w:r>
          </w:p>
        </w:tc>
      </w:tr>
      <w:tr w:rsidR="00AE1E92" w:rsidRPr="001B05CB" w14:paraId="42E920A2" w14:textId="647ABFE7" w:rsidTr="00680E22">
        <w:trPr>
          <w:trHeight w:val="522"/>
        </w:trPr>
        <w:tc>
          <w:tcPr>
            <w:cnfStyle w:val="001000000000" w:firstRow="0" w:lastRow="0" w:firstColumn="1" w:lastColumn="0" w:oddVBand="0" w:evenVBand="0" w:oddHBand="0" w:evenHBand="0" w:firstRowFirstColumn="0" w:firstRowLastColumn="0" w:lastRowFirstColumn="0" w:lastRowLastColumn="0"/>
            <w:tcW w:w="1843" w:type="dxa"/>
          </w:tcPr>
          <w:p w14:paraId="1AECA47F" w14:textId="36E22DBA" w:rsidR="00617816" w:rsidRPr="00C10C27" w:rsidRDefault="00617816" w:rsidP="00680E22">
            <w:pPr>
              <w:pStyle w:val="Tabletextbold"/>
              <w:rPr>
                <w:szCs w:val="18"/>
              </w:rPr>
            </w:pPr>
            <w:r w:rsidRPr="00CF71F6">
              <w:t xml:space="preserve">Option </w:t>
            </w:r>
            <w:r w:rsidR="004943E5">
              <w:rPr>
                <w:szCs w:val="18"/>
              </w:rPr>
              <w:t>A</w:t>
            </w:r>
            <w:r w:rsidRPr="00617816">
              <w:rPr>
                <w:szCs w:val="18"/>
              </w:rPr>
              <w:t xml:space="preserve">: </w:t>
            </w:r>
            <w:r w:rsidRPr="00617816">
              <w:rPr>
                <w:bCs/>
                <w:szCs w:val="18"/>
              </w:rPr>
              <w:t>Centralised national administration</w:t>
            </w:r>
          </w:p>
        </w:tc>
        <w:tc>
          <w:tcPr>
            <w:tcW w:w="2787" w:type="dxa"/>
          </w:tcPr>
          <w:p w14:paraId="7E093953" w14:textId="4F034A7E" w:rsidR="00617816" w:rsidRPr="00E9562A" w:rsidRDefault="00617816" w:rsidP="00680E22">
            <w:pPr>
              <w:pStyle w:val="TableText"/>
              <w:cnfStyle w:val="000000000000" w:firstRow="0" w:lastRow="0" w:firstColumn="0" w:lastColumn="0" w:oddVBand="0" w:evenVBand="0" w:oddHBand="0" w:evenHBand="0" w:firstRowFirstColumn="0" w:firstRowLastColumn="0" w:lastRowFirstColumn="0" w:lastRowLastColumn="0"/>
              <w:rPr>
                <w:szCs w:val="18"/>
              </w:rPr>
            </w:pPr>
            <w:r>
              <w:t xml:space="preserve">National program managed directly by the Australian government </w:t>
            </w:r>
          </w:p>
        </w:tc>
        <w:tc>
          <w:tcPr>
            <w:tcW w:w="2787" w:type="dxa"/>
          </w:tcPr>
          <w:p w14:paraId="7691116F" w14:textId="77777777" w:rsidR="00617816" w:rsidRDefault="00617816" w:rsidP="00680E22">
            <w:pPr>
              <w:pStyle w:val="TableBullet1"/>
              <w:cnfStyle w:val="000000000000" w:firstRow="0" w:lastRow="0" w:firstColumn="0" w:lastColumn="0" w:oddVBand="0" w:evenVBand="0" w:oddHBand="0" w:evenHBand="0" w:firstRowFirstColumn="0" w:firstRowLastColumn="0" w:lastRowFirstColumn="0" w:lastRowLastColumn="0"/>
              <w:rPr>
                <w:szCs w:val="18"/>
              </w:rPr>
            </w:pPr>
            <w:r>
              <w:t xml:space="preserve">National consistency </w:t>
            </w:r>
          </w:p>
          <w:p w14:paraId="26A16C51" w14:textId="77777777" w:rsidR="00617816" w:rsidRDefault="00617816" w:rsidP="00680E22">
            <w:pPr>
              <w:pStyle w:val="TableBullet1"/>
              <w:cnfStyle w:val="000000000000" w:firstRow="0" w:lastRow="0" w:firstColumn="0" w:lastColumn="0" w:oddVBand="0" w:evenVBand="0" w:oddHBand="0" w:evenHBand="0" w:firstRowFirstColumn="0" w:firstRowLastColumn="0" w:lastRowFirstColumn="0" w:lastRowLastColumn="0"/>
              <w:rPr>
                <w:szCs w:val="18"/>
              </w:rPr>
            </w:pPr>
            <w:r>
              <w:t xml:space="preserve">Reduced duplication </w:t>
            </w:r>
          </w:p>
          <w:p w14:paraId="4E315710" w14:textId="78508969" w:rsidR="00D1594E" w:rsidRPr="002775C6" w:rsidRDefault="002F58C2" w:rsidP="00680E22">
            <w:pPr>
              <w:pStyle w:val="TableBullet1"/>
              <w:cnfStyle w:val="000000000000" w:firstRow="0" w:lastRow="0" w:firstColumn="0" w:lastColumn="0" w:oddVBand="0" w:evenVBand="0" w:oddHBand="0" w:evenHBand="0" w:firstRowFirstColumn="0" w:firstRowLastColumn="0" w:lastRowFirstColumn="0" w:lastRowLastColumn="0"/>
              <w:rPr>
                <w:szCs w:val="18"/>
              </w:rPr>
            </w:pPr>
            <w:r>
              <w:t>Provides single point of contact, simplifying</w:t>
            </w:r>
            <w:r w:rsidR="00D1594E">
              <w:rPr>
                <w:szCs w:val="18"/>
              </w:rPr>
              <w:t xml:space="preserve"> system navigation</w:t>
            </w:r>
          </w:p>
        </w:tc>
        <w:tc>
          <w:tcPr>
            <w:tcW w:w="2787" w:type="dxa"/>
          </w:tcPr>
          <w:p w14:paraId="5420DBF4" w14:textId="6FF63AE0" w:rsidR="00D1594E" w:rsidRPr="00932DE4" w:rsidRDefault="00D1594E" w:rsidP="00680E22">
            <w:pPr>
              <w:pStyle w:val="TableBullet1"/>
              <w:cnfStyle w:val="000000000000" w:firstRow="0" w:lastRow="0" w:firstColumn="0" w:lastColumn="0" w:oddVBand="0" w:evenVBand="0" w:oddHBand="0" w:evenHBand="0" w:firstRowFirstColumn="0" w:firstRowLastColumn="0" w:lastRowFirstColumn="0" w:lastRowLastColumn="0"/>
              <w:rPr>
                <w:szCs w:val="18"/>
              </w:rPr>
            </w:pPr>
            <w:r>
              <w:t xml:space="preserve">May </w:t>
            </w:r>
            <w:r w:rsidR="002F58C2">
              <w:rPr>
                <w:szCs w:val="18"/>
              </w:rPr>
              <w:t>be less responsive to</w:t>
            </w:r>
            <w:r>
              <w:rPr>
                <w:szCs w:val="18"/>
              </w:rPr>
              <w:t xml:space="preserve"> local </w:t>
            </w:r>
            <w:r w:rsidR="002F58C2">
              <w:rPr>
                <w:szCs w:val="18"/>
              </w:rPr>
              <w:t>needs</w:t>
            </w:r>
          </w:p>
        </w:tc>
      </w:tr>
      <w:tr w:rsidR="00AE1E92" w:rsidRPr="00FA30FA" w14:paraId="3451FE24" w14:textId="406414A2" w:rsidTr="00680E22">
        <w:trPr>
          <w:trHeight w:val="1029"/>
        </w:trPr>
        <w:tc>
          <w:tcPr>
            <w:cnfStyle w:val="001000000000" w:firstRow="0" w:lastRow="0" w:firstColumn="1" w:lastColumn="0" w:oddVBand="0" w:evenVBand="0" w:oddHBand="0" w:evenHBand="0" w:firstRowFirstColumn="0" w:firstRowLastColumn="0" w:lastRowFirstColumn="0" w:lastRowLastColumn="0"/>
            <w:tcW w:w="1843" w:type="dxa"/>
          </w:tcPr>
          <w:p w14:paraId="0495CDE2" w14:textId="2A545602" w:rsidR="00617816" w:rsidRPr="00C10C27" w:rsidRDefault="00617816" w:rsidP="00680E22">
            <w:pPr>
              <w:pStyle w:val="Tabletextbold"/>
              <w:rPr>
                <w:szCs w:val="18"/>
              </w:rPr>
            </w:pPr>
            <w:r w:rsidRPr="00CF71F6">
              <w:t xml:space="preserve">Option </w:t>
            </w:r>
            <w:r w:rsidR="004943E5">
              <w:rPr>
                <w:szCs w:val="18"/>
              </w:rPr>
              <w:t>B</w:t>
            </w:r>
            <w:r w:rsidRPr="00617816">
              <w:rPr>
                <w:szCs w:val="18"/>
              </w:rPr>
              <w:t xml:space="preserve">: </w:t>
            </w:r>
            <w:r w:rsidRPr="00617816">
              <w:rPr>
                <w:bCs/>
                <w:szCs w:val="18"/>
              </w:rPr>
              <w:t>State and territory-based coordination</w:t>
            </w:r>
          </w:p>
        </w:tc>
        <w:tc>
          <w:tcPr>
            <w:tcW w:w="2787" w:type="dxa"/>
          </w:tcPr>
          <w:p w14:paraId="4DFE6ABF" w14:textId="68C045C4" w:rsidR="00617816" w:rsidRPr="00E9562A" w:rsidRDefault="00617816" w:rsidP="00680E22">
            <w:pPr>
              <w:pStyle w:val="TableText"/>
              <w:cnfStyle w:val="000000000000" w:firstRow="0" w:lastRow="0" w:firstColumn="0" w:lastColumn="0" w:oddVBand="0" w:evenVBand="0" w:oddHBand="0" w:evenHBand="0" w:firstRowFirstColumn="0" w:firstRowLastColumn="0" w:lastRowFirstColumn="0" w:lastRowLastColumn="0"/>
              <w:rPr>
                <w:szCs w:val="18"/>
              </w:rPr>
            </w:pPr>
            <w:r>
              <w:t xml:space="preserve">Funding implementation </w:t>
            </w:r>
            <w:r w:rsidR="008871A3">
              <w:rPr>
                <w:szCs w:val="18"/>
              </w:rPr>
              <w:t xml:space="preserve">and management </w:t>
            </w:r>
            <w:r>
              <w:rPr>
                <w:szCs w:val="18"/>
              </w:rPr>
              <w:t xml:space="preserve">led by jurisdictional health departments </w:t>
            </w:r>
          </w:p>
        </w:tc>
        <w:tc>
          <w:tcPr>
            <w:tcW w:w="2787" w:type="dxa"/>
          </w:tcPr>
          <w:p w14:paraId="6C56B9C4" w14:textId="5D02DCAC" w:rsidR="00617816" w:rsidRDefault="00D1594E" w:rsidP="00680E22">
            <w:pPr>
              <w:pStyle w:val="TableBullet1"/>
              <w:cnfStyle w:val="000000000000" w:firstRow="0" w:lastRow="0" w:firstColumn="0" w:lastColumn="0" w:oddVBand="0" w:evenVBand="0" w:oddHBand="0" w:evenHBand="0" w:firstRowFirstColumn="0" w:firstRowLastColumn="0" w:lastRowFirstColumn="0" w:lastRowLastColumn="0"/>
              <w:rPr>
                <w:szCs w:val="18"/>
              </w:rPr>
            </w:pPr>
            <w:r>
              <w:t>Leverages local infrastructure</w:t>
            </w:r>
          </w:p>
          <w:p w14:paraId="301EAA65" w14:textId="6B42A549" w:rsidR="00D1594E" w:rsidRPr="00DD645A" w:rsidRDefault="00862A0B" w:rsidP="00680E22">
            <w:pPr>
              <w:pStyle w:val="TableBullet1"/>
              <w:cnfStyle w:val="000000000000" w:firstRow="0" w:lastRow="0" w:firstColumn="0" w:lastColumn="0" w:oddVBand="0" w:evenVBand="0" w:oddHBand="0" w:evenHBand="0" w:firstRowFirstColumn="0" w:firstRowLastColumn="0" w:lastRowFirstColumn="0" w:lastRowLastColumn="0"/>
              <w:rPr>
                <w:szCs w:val="18"/>
              </w:rPr>
            </w:pPr>
            <w:r>
              <w:t>Supports</w:t>
            </w:r>
            <w:r w:rsidR="00D1594E">
              <w:rPr>
                <w:szCs w:val="18"/>
              </w:rPr>
              <w:t xml:space="preserve"> tailored service delivery</w:t>
            </w:r>
          </w:p>
        </w:tc>
        <w:tc>
          <w:tcPr>
            <w:tcW w:w="2787" w:type="dxa"/>
          </w:tcPr>
          <w:p w14:paraId="5708AA0F" w14:textId="77777777" w:rsidR="00617816" w:rsidRDefault="00D1594E" w:rsidP="00680E22">
            <w:pPr>
              <w:pStyle w:val="TableBullet1"/>
              <w:cnfStyle w:val="000000000000" w:firstRow="0" w:lastRow="0" w:firstColumn="0" w:lastColumn="0" w:oddVBand="0" w:evenVBand="0" w:oddHBand="0" w:evenHBand="0" w:firstRowFirstColumn="0" w:firstRowLastColumn="0" w:lastRowFirstColumn="0" w:lastRowLastColumn="0"/>
              <w:rPr>
                <w:szCs w:val="18"/>
              </w:rPr>
            </w:pPr>
            <w:r>
              <w:t xml:space="preserve">Risk of </w:t>
            </w:r>
            <w:r w:rsidR="002F58C2">
              <w:rPr>
                <w:szCs w:val="18"/>
              </w:rPr>
              <w:t xml:space="preserve">uneven implementation </w:t>
            </w:r>
          </w:p>
          <w:p w14:paraId="5A786AFC" w14:textId="65B003BC" w:rsidR="004B57FD" w:rsidRPr="00DD645A" w:rsidRDefault="004B57FD" w:rsidP="00680E22">
            <w:pPr>
              <w:pStyle w:val="TableBullet1"/>
              <w:cnfStyle w:val="000000000000" w:firstRow="0" w:lastRow="0" w:firstColumn="0" w:lastColumn="0" w:oddVBand="0" w:evenVBand="0" w:oddHBand="0" w:evenHBand="0" w:firstRowFirstColumn="0" w:firstRowLastColumn="0" w:lastRowFirstColumn="0" w:lastRowLastColumn="0"/>
              <w:rPr>
                <w:szCs w:val="18"/>
              </w:rPr>
            </w:pPr>
            <w:r>
              <w:t>Risk of variation in access</w:t>
            </w:r>
          </w:p>
        </w:tc>
      </w:tr>
      <w:tr w:rsidR="00AE1E92" w:rsidRPr="00FA30FA" w14:paraId="4145F295" w14:textId="081ECC18" w:rsidTr="00680E22">
        <w:trPr>
          <w:trHeight w:val="63"/>
        </w:trPr>
        <w:tc>
          <w:tcPr>
            <w:cnfStyle w:val="001000000000" w:firstRow="0" w:lastRow="0" w:firstColumn="1" w:lastColumn="0" w:oddVBand="0" w:evenVBand="0" w:oddHBand="0" w:evenHBand="0" w:firstRowFirstColumn="0" w:firstRowLastColumn="0" w:lastRowFirstColumn="0" w:lastRowLastColumn="0"/>
            <w:tcW w:w="1843" w:type="dxa"/>
          </w:tcPr>
          <w:p w14:paraId="16B605E7" w14:textId="022699E4" w:rsidR="00617816" w:rsidRPr="00C10C27" w:rsidRDefault="00617816" w:rsidP="00680E22">
            <w:pPr>
              <w:pStyle w:val="Tabletextbold"/>
              <w:rPr>
                <w:szCs w:val="18"/>
              </w:rPr>
            </w:pPr>
            <w:r w:rsidRPr="00617816">
              <w:t xml:space="preserve">Option </w:t>
            </w:r>
            <w:r w:rsidR="00474C85">
              <w:rPr>
                <w:szCs w:val="18"/>
              </w:rPr>
              <w:t>C</w:t>
            </w:r>
            <w:r w:rsidRPr="00617816">
              <w:rPr>
                <w:szCs w:val="18"/>
              </w:rPr>
              <w:t xml:space="preserve">: </w:t>
            </w:r>
            <w:r w:rsidRPr="00617816">
              <w:rPr>
                <w:bCs/>
                <w:szCs w:val="18"/>
              </w:rPr>
              <w:t>Third-party provider model</w:t>
            </w:r>
          </w:p>
        </w:tc>
        <w:tc>
          <w:tcPr>
            <w:tcW w:w="2787" w:type="dxa"/>
          </w:tcPr>
          <w:p w14:paraId="24789702" w14:textId="4DB00673" w:rsidR="00617816" w:rsidRPr="00C10C27" w:rsidRDefault="00617816" w:rsidP="00680E22">
            <w:pPr>
              <w:pStyle w:val="TableText"/>
              <w:cnfStyle w:val="000000000000" w:firstRow="0" w:lastRow="0" w:firstColumn="0" w:lastColumn="0" w:oddVBand="0" w:evenVBand="0" w:oddHBand="0" w:evenHBand="0" w:firstRowFirstColumn="0" w:firstRowLastColumn="0" w:lastRowFirstColumn="0" w:lastRowLastColumn="0"/>
              <w:rPr>
                <w:szCs w:val="18"/>
              </w:rPr>
            </w:pPr>
            <w:r>
              <w:t xml:space="preserve">Program delivery contracted to external organisations </w:t>
            </w:r>
          </w:p>
        </w:tc>
        <w:tc>
          <w:tcPr>
            <w:tcW w:w="2787" w:type="dxa"/>
          </w:tcPr>
          <w:p w14:paraId="751FB807" w14:textId="77777777" w:rsidR="00617816" w:rsidRDefault="002F58C2" w:rsidP="00680E22">
            <w:pPr>
              <w:pStyle w:val="TableBullet1"/>
              <w:cnfStyle w:val="000000000000" w:firstRow="0" w:lastRow="0" w:firstColumn="0" w:lastColumn="0" w:oddVBand="0" w:evenVBand="0" w:oddHBand="0" w:evenHBand="0" w:firstRowFirstColumn="0" w:firstRowLastColumn="0" w:lastRowFirstColumn="0" w:lastRowLastColumn="0"/>
              <w:rPr>
                <w:szCs w:val="18"/>
              </w:rPr>
            </w:pPr>
            <w:r>
              <w:t>Flexible, locally responsive</w:t>
            </w:r>
          </w:p>
          <w:p w14:paraId="2DC75575" w14:textId="7481D8F4" w:rsidR="002F58C2" w:rsidRPr="006D15C9" w:rsidRDefault="002F58C2" w:rsidP="00680E22">
            <w:pPr>
              <w:pStyle w:val="TableBullet1"/>
              <w:cnfStyle w:val="000000000000" w:firstRow="0" w:lastRow="0" w:firstColumn="0" w:lastColumn="0" w:oddVBand="0" w:evenVBand="0" w:oddHBand="0" w:evenHBand="0" w:firstRowFirstColumn="0" w:firstRowLastColumn="0" w:lastRowFirstColumn="0" w:lastRowLastColumn="0"/>
              <w:rPr>
                <w:szCs w:val="18"/>
              </w:rPr>
            </w:pPr>
            <w:r>
              <w:t>Potential for cultural and community-led innovation</w:t>
            </w:r>
          </w:p>
        </w:tc>
        <w:tc>
          <w:tcPr>
            <w:tcW w:w="2787" w:type="dxa"/>
          </w:tcPr>
          <w:p w14:paraId="19E42FBF" w14:textId="77777777" w:rsidR="00617816" w:rsidRDefault="002F58C2" w:rsidP="00680E22">
            <w:pPr>
              <w:pStyle w:val="TableBullet1"/>
              <w:cnfStyle w:val="000000000000" w:firstRow="0" w:lastRow="0" w:firstColumn="0" w:lastColumn="0" w:oddVBand="0" w:evenVBand="0" w:oddHBand="0" w:evenHBand="0" w:firstRowFirstColumn="0" w:firstRowLastColumn="0" w:lastRowFirstColumn="0" w:lastRowLastColumn="0"/>
              <w:rPr>
                <w:szCs w:val="18"/>
              </w:rPr>
            </w:pPr>
            <w:r>
              <w:t xml:space="preserve">Risk of fragmentation </w:t>
            </w:r>
          </w:p>
          <w:p w14:paraId="20886533" w14:textId="35AC071E" w:rsidR="004B57FD" w:rsidRPr="006D15C9" w:rsidRDefault="004B57FD" w:rsidP="00680E22">
            <w:pPr>
              <w:pStyle w:val="TableBullet1"/>
              <w:cnfStyle w:val="000000000000" w:firstRow="0" w:lastRow="0" w:firstColumn="0" w:lastColumn="0" w:oddVBand="0" w:evenVBand="0" w:oddHBand="0" w:evenHBand="0" w:firstRowFirstColumn="0" w:firstRowLastColumn="0" w:lastRowFirstColumn="0" w:lastRowLastColumn="0"/>
              <w:rPr>
                <w:szCs w:val="18"/>
              </w:rPr>
            </w:pPr>
            <w:r>
              <w:t xml:space="preserve">Requires strong </w:t>
            </w:r>
            <w:r>
              <w:rPr>
                <w:szCs w:val="18"/>
              </w:rPr>
              <w:t>governance and accountability</w:t>
            </w:r>
          </w:p>
        </w:tc>
      </w:tr>
    </w:tbl>
    <w:p w14:paraId="33780337" w14:textId="07F28593" w:rsidR="00F57297" w:rsidRDefault="00F57297" w:rsidP="00680E22">
      <w:pPr>
        <w:pStyle w:val="Caption-Source"/>
        <w:rPr>
          <w:i/>
          <w:iCs w:val="0"/>
          <w:szCs w:val="20"/>
        </w:rPr>
      </w:pPr>
      <w:r w:rsidRPr="00617816">
        <w:t xml:space="preserve">Source: </w:t>
      </w:r>
      <w:r w:rsidR="0044544E" w:rsidRPr="0044544E">
        <w:t>Independent reviewer</w:t>
      </w:r>
      <w:r w:rsidRPr="00617816">
        <w:t xml:space="preserve"> (2025)</w:t>
      </w:r>
    </w:p>
    <w:p w14:paraId="776A4E88" w14:textId="1D17325B" w:rsidR="000266B1" w:rsidRPr="00A511A9" w:rsidRDefault="007357D3" w:rsidP="00680E22">
      <w:pPr>
        <w:pStyle w:val="Heading5"/>
      </w:pPr>
      <w:r w:rsidRPr="007357D3">
        <w:t xml:space="preserve">Option </w:t>
      </w:r>
      <w:r w:rsidR="00474C85" w:rsidRPr="00A511A9">
        <w:t>A</w:t>
      </w:r>
      <w:r w:rsidRPr="00A511A9">
        <w:t>: Centralised national administration</w:t>
      </w:r>
    </w:p>
    <w:p w14:paraId="5A15E83D" w14:textId="289D0DBE" w:rsidR="00C92725" w:rsidRPr="00DD71E7" w:rsidRDefault="00E4490B" w:rsidP="00DD71E7">
      <w:r w:rsidRPr="00DD71E7">
        <w:t xml:space="preserve">This option </w:t>
      </w:r>
      <w:r w:rsidR="002016FF" w:rsidRPr="00DD71E7">
        <w:t xml:space="preserve">would </w:t>
      </w:r>
      <w:r w:rsidRPr="00DD71E7">
        <w:t xml:space="preserve">involve the </w:t>
      </w:r>
      <w:r w:rsidR="007166CC" w:rsidRPr="00DD71E7">
        <w:t>Australian</w:t>
      </w:r>
      <w:r w:rsidR="00E24969" w:rsidRPr="00DD71E7">
        <w:t xml:space="preserve"> </w:t>
      </w:r>
      <w:r w:rsidR="007166CC" w:rsidRPr="00DD71E7">
        <w:t>G</w:t>
      </w:r>
      <w:r w:rsidRPr="00DD71E7">
        <w:t xml:space="preserve">overnment directly managing and administering </w:t>
      </w:r>
      <w:r w:rsidR="007229C5" w:rsidRPr="00DD71E7">
        <w:t xml:space="preserve">a </w:t>
      </w:r>
      <w:r w:rsidRPr="00DD71E7">
        <w:t xml:space="preserve">national cancer prostheses program in a model </w:t>
      </w:r>
      <w:proofErr w:type="gramStart"/>
      <w:r w:rsidRPr="00DD71E7">
        <w:t>similar to</w:t>
      </w:r>
      <w:proofErr w:type="gramEnd"/>
      <w:r w:rsidRPr="00DD71E7">
        <w:t xml:space="preserve"> the NDIS or the </w:t>
      </w:r>
      <w:r w:rsidR="00770354" w:rsidRPr="00DD71E7">
        <w:t>EBPRP</w:t>
      </w:r>
      <w:r w:rsidRPr="00DD71E7">
        <w:t>. The program would be governed by uniform national guidelines, with centralised eligibility assessments, funding distribution, and service coordination. Key features may</w:t>
      </w:r>
      <w:r w:rsidR="00C92725" w:rsidRPr="00DD71E7">
        <w:t xml:space="preserve"> include:</w:t>
      </w:r>
    </w:p>
    <w:p w14:paraId="69886D4A" w14:textId="726E8050" w:rsidR="00B33A4E" w:rsidRDefault="00B33A4E" w:rsidP="00680E22">
      <w:pPr>
        <w:pStyle w:val="Bullet1stlevel"/>
      </w:pPr>
      <w:r>
        <w:t>Individuals across Australia would apply for prostheses through a single national portal or agency.</w:t>
      </w:r>
    </w:p>
    <w:p w14:paraId="6A9812C7" w14:textId="7D4E9629" w:rsidR="00B33A4E" w:rsidRDefault="00B33A4E" w:rsidP="00680E22">
      <w:pPr>
        <w:pStyle w:val="Bullet1stlevel"/>
      </w:pPr>
      <w:r>
        <w:t>All approved prostheses would be funded at consistent rates, using a nationally standardised approach.</w:t>
      </w:r>
    </w:p>
    <w:p w14:paraId="11C7DC2D" w14:textId="5C33A917" w:rsidR="00B33A4E" w:rsidRDefault="00B33A4E" w:rsidP="00680E22">
      <w:pPr>
        <w:pStyle w:val="Bullet1stlevel"/>
      </w:pPr>
      <w:r>
        <w:t>The national agency would contract directly with prosthes</w:t>
      </w:r>
      <w:r w:rsidR="00E700D9">
        <w:t>e</w:t>
      </w:r>
      <w:r>
        <w:t>s providers and be responsible for monitoring, evaluation, and data collection</w:t>
      </w:r>
      <w:r w:rsidR="00E700D9">
        <w:t>.</w:t>
      </w:r>
    </w:p>
    <w:p w14:paraId="5083A43E" w14:textId="08E029B9" w:rsidR="007357D3" w:rsidRPr="00DD71E7" w:rsidRDefault="001477E7" w:rsidP="00DD71E7">
      <w:r w:rsidRPr="00DD71E7">
        <w:t xml:space="preserve">This model would </w:t>
      </w:r>
      <w:r w:rsidR="001A77A5" w:rsidRPr="00DD71E7">
        <w:t xml:space="preserve">aim to </w:t>
      </w:r>
      <w:r w:rsidRPr="00DD71E7">
        <w:t>ensure national consistency in access and eligibility</w:t>
      </w:r>
      <w:r w:rsidR="001A77A5" w:rsidRPr="00DD71E7">
        <w:t xml:space="preserve">, regardless of </w:t>
      </w:r>
      <w:r w:rsidRPr="00DD71E7">
        <w:t xml:space="preserve">geographic </w:t>
      </w:r>
      <w:r w:rsidR="001A77A5" w:rsidRPr="00DD71E7">
        <w:t>location</w:t>
      </w:r>
      <w:r w:rsidRPr="00DD71E7">
        <w:t>,</w:t>
      </w:r>
      <w:r w:rsidR="001A77A5" w:rsidRPr="00DD71E7">
        <w:t xml:space="preserve"> and </w:t>
      </w:r>
      <w:r w:rsidR="00523167" w:rsidRPr="00DD71E7">
        <w:t>provide</w:t>
      </w:r>
      <w:r w:rsidR="001A77A5" w:rsidRPr="00DD71E7">
        <w:t xml:space="preserve"> a single point of contact for clinicians and people with lived experience, simplifying system navigation. </w:t>
      </w:r>
      <w:r w:rsidR="00366CD7" w:rsidRPr="00DD71E7">
        <w:t>A centralised national administration delivery model</w:t>
      </w:r>
      <w:r w:rsidR="001A77A5" w:rsidRPr="00DD71E7">
        <w:t xml:space="preserve"> also reduces </w:t>
      </w:r>
      <w:r w:rsidRPr="00DD71E7">
        <w:t>potential duplication of administrative processes across jurisdictions</w:t>
      </w:r>
      <w:r w:rsidR="001A77A5" w:rsidRPr="00DD71E7">
        <w:t xml:space="preserve">. </w:t>
      </w:r>
      <w:r w:rsidR="001925D4" w:rsidRPr="00DD71E7">
        <w:t>However, one of the key challenges is that centralised programs may be less responsive to local needs and service delivery contexts. Regional variations in workforce, infrastructure, and cultural considerations may not be adequately addressed without strong monitoring and evaluation mechanisms.</w:t>
      </w:r>
    </w:p>
    <w:p w14:paraId="69E45064" w14:textId="24DE33AE" w:rsidR="00FB6B8A" w:rsidRPr="00A511A9" w:rsidRDefault="00FB6B8A" w:rsidP="00680E22">
      <w:pPr>
        <w:pStyle w:val="Heading5"/>
      </w:pPr>
      <w:r w:rsidRPr="00680E22">
        <w:t xml:space="preserve">Option </w:t>
      </w:r>
      <w:r w:rsidR="00474C85" w:rsidRPr="00A511A9">
        <w:t>B</w:t>
      </w:r>
      <w:r w:rsidRPr="00A511A9">
        <w:t>: State and territory-based coordination</w:t>
      </w:r>
    </w:p>
    <w:p w14:paraId="3A89D506" w14:textId="21E0E6F6" w:rsidR="00E95375" w:rsidRPr="00DD71E7" w:rsidRDefault="00FB6B8A" w:rsidP="00DD71E7">
      <w:r w:rsidRPr="00DD71E7">
        <w:t xml:space="preserve">Under this option, the </w:t>
      </w:r>
      <w:r w:rsidR="007166CC" w:rsidRPr="00DD71E7">
        <w:t>Australian</w:t>
      </w:r>
      <w:r w:rsidR="00E24969" w:rsidRPr="00DD71E7">
        <w:t xml:space="preserve"> </w:t>
      </w:r>
      <w:r w:rsidR="007166CC" w:rsidRPr="00DD71E7">
        <w:t>G</w:t>
      </w:r>
      <w:r w:rsidRPr="00DD71E7">
        <w:t>overnment would provide funding to each state and territory health department</w:t>
      </w:r>
      <w:r w:rsidR="00523167" w:rsidRPr="00DD71E7">
        <w:t>, which</w:t>
      </w:r>
      <w:r w:rsidR="00E700D9" w:rsidRPr="00DD71E7">
        <w:t xml:space="preserve"> would</w:t>
      </w:r>
      <w:r w:rsidRPr="00DD71E7">
        <w:t xml:space="preserve"> then manage the implementation, administration and delivery of the program</w:t>
      </w:r>
      <w:r w:rsidR="00B33A4E" w:rsidRPr="00DD71E7">
        <w:t xml:space="preserve"> within their jurisdictions,</w:t>
      </w:r>
      <w:r w:rsidRPr="00DD71E7">
        <w:t xml:space="preserve"> in accordance with </w:t>
      </w:r>
      <w:r w:rsidR="00B21BD8" w:rsidRPr="00DD71E7">
        <w:t>nationally</w:t>
      </w:r>
      <w:r w:rsidRPr="00DD71E7">
        <w:t xml:space="preserve"> agreed standards.</w:t>
      </w:r>
      <w:r w:rsidR="00B21BD8" w:rsidRPr="00DD71E7">
        <w:t xml:space="preserve"> </w:t>
      </w:r>
      <w:r w:rsidRPr="00DD71E7">
        <w:t xml:space="preserve">This approach </w:t>
      </w:r>
      <w:r w:rsidR="00B33A4E" w:rsidRPr="00DD71E7">
        <w:t>reflects the current structure used by the jurisdictional artificial limb schemes</w:t>
      </w:r>
      <w:r w:rsidRPr="00DD71E7">
        <w:t>.</w:t>
      </w:r>
      <w:r w:rsidR="00B21BD8" w:rsidRPr="00DD71E7">
        <w:t xml:space="preserve"> </w:t>
      </w:r>
      <w:r w:rsidR="00B33A4E" w:rsidRPr="00DD71E7">
        <w:t>Key features may include</w:t>
      </w:r>
      <w:r w:rsidR="00B21BD8" w:rsidRPr="00DD71E7">
        <w:t>:</w:t>
      </w:r>
    </w:p>
    <w:p w14:paraId="67609B95" w14:textId="2D45ED73" w:rsidR="003B63D4" w:rsidRDefault="003B63D4" w:rsidP="00680E22">
      <w:pPr>
        <w:pStyle w:val="Bullet1stlevel"/>
      </w:pPr>
      <w:r>
        <w:t xml:space="preserve">The </w:t>
      </w:r>
      <w:r w:rsidR="007166CC">
        <w:t>Australian</w:t>
      </w:r>
      <w:r w:rsidR="00E24969">
        <w:t xml:space="preserve"> </w:t>
      </w:r>
      <w:r w:rsidR="007166CC">
        <w:t>G</w:t>
      </w:r>
      <w:r w:rsidR="00E24969">
        <w:t>overnment</w:t>
      </w:r>
      <w:r>
        <w:t xml:space="preserve"> sets national access, eligibility, and performance standards.</w:t>
      </w:r>
    </w:p>
    <w:p w14:paraId="54236E6B" w14:textId="2D2119A3" w:rsidR="003B63D4" w:rsidRDefault="003B63D4" w:rsidP="00680E22">
      <w:pPr>
        <w:pStyle w:val="Bullet1stlevel"/>
      </w:pPr>
      <w:r>
        <w:t>States and territories retain flexibility to determine service models and provider arrangements that best suit their local needs.</w:t>
      </w:r>
    </w:p>
    <w:p w14:paraId="38E73222" w14:textId="77777777" w:rsidR="003B63D4" w:rsidRDefault="003B63D4" w:rsidP="00680E22">
      <w:pPr>
        <w:pStyle w:val="Bullet1stlevel"/>
      </w:pPr>
      <w:r>
        <w:t>Program responsibilities such as assessments, procurement, and claims processing are managed at the jurisdictional level.</w:t>
      </w:r>
    </w:p>
    <w:p w14:paraId="761BCCCB" w14:textId="5A09C0B3" w:rsidR="001925D4" w:rsidRPr="00DD71E7" w:rsidRDefault="001925D4" w:rsidP="00DD71E7">
      <w:r w:rsidRPr="00DD71E7">
        <w:t xml:space="preserve">A jurisdiction-based approach </w:t>
      </w:r>
      <w:r w:rsidR="00E700D9" w:rsidRPr="00DD71E7">
        <w:t xml:space="preserve">would </w:t>
      </w:r>
      <w:r w:rsidRPr="00DD71E7">
        <w:t>allow</w:t>
      </w:r>
      <w:r w:rsidR="00E700D9" w:rsidRPr="00DD71E7">
        <w:t xml:space="preserve"> </w:t>
      </w:r>
      <w:r w:rsidRPr="00DD71E7">
        <w:t>existing regional infrastructure</w:t>
      </w:r>
      <w:r w:rsidR="00331AD1" w:rsidRPr="00DD71E7">
        <w:t xml:space="preserve"> to be leveraged</w:t>
      </w:r>
      <w:r w:rsidRPr="00DD71E7">
        <w:t xml:space="preserve">, enabling responsiveness to local needs </w:t>
      </w:r>
      <w:r w:rsidR="00331AD1" w:rsidRPr="00DD71E7">
        <w:t xml:space="preserve">and </w:t>
      </w:r>
      <w:r w:rsidRPr="00DD71E7">
        <w:t xml:space="preserve">integration with hospital networks and health services. States and territories </w:t>
      </w:r>
      <w:r w:rsidR="00E700D9" w:rsidRPr="00DD71E7">
        <w:t>could</w:t>
      </w:r>
      <w:r w:rsidRPr="00DD71E7">
        <w:t xml:space="preserve"> tailor service models to suit the unique demographics, geography, and workforce of their areas.</w:t>
      </w:r>
      <w:r w:rsidR="00D270CF" w:rsidRPr="00DD71E7">
        <w:t xml:space="preserve"> </w:t>
      </w:r>
      <w:r w:rsidRPr="00DD71E7">
        <w:t>However, without strong national oversight, there is a risk of ongoing inequities</w:t>
      </w:r>
      <w:r w:rsidR="00E700D9" w:rsidRPr="00DD71E7">
        <w:t xml:space="preserve"> and variability</w:t>
      </w:r>
      <w:r w:rsidRPr="00DD71E7">
        <w:t xml:space="preserve"> </w:t>
      </w:r>
      <w:r w:rsidR="00DC2999" w:rsidRPr="00DD71E7">
        <w:t>in access, service quality, and eligibility interpretation across jurisdictions</w:t>
      </w:r>
      <w:r w:rsidRPr="00DD71E7">
        <w:t xml:space="preserve">. Variations in program design could result in </w:t>
      </w:r>
      <w:r w:rsidR="00D270CF" w:rsidRPr="00DD71E7">
        <w:t>varied</w:t>
      </w:r>
      <w:r w:rsidRPr="00DD71E7">
        <w:t xml:space="preserve"> outcomes fo</w:t>
      </w:r>
      <w:r w:rsidR="00D270CF" w:rsidRPr="00DD71E7">
        <w:t>r individuals</w:t>
      </w:r>
      <w:r w:rsidRPr="00DD71E7">
        <w:t xml:space="preserve">, reinforcing rather than addressing some of the current equity challenges. Effective governance mechanisms would be </w:t>
      </w:r>
      <w:r w:rsidR="00D270CF" w:rsidRPr="00DD71E7">
        <w:t>required</w:t>
      </w:r>
      <w:r w:rsidRPr="00DD71E7">
        <w:t xml:space="preserve"> to ensure alignment with national goals and to maintain equity </w:t>
      </w:r>
      <w:r w:rsidR="00D270CF" w:rsidRPr="00DD71E7">
        <w:t xml:space="preserve">in </w:t>
      </w:r>
      <w:r w:rsidR="00DC2999" w:rsidRPr="00DD71E7">
        <w:t xml:space="preserve">access to cancer prostheses </w:t>
      </w:r>
      <w:r w:rsidRPr="00DD71E7">
        <w:t>across Australia.</w:t>
      </w:r>
    </w:p>
    <w:p w14:paraId="473AAB67" w14:textId="4850417C" w:rsidR="005C11E9" w:rsidRPr="00A511A9" w:rsidRDefault="005C11E9" w:rsidP="00680E22">
      <w:pPr>
        <w:pStyle w:val="Heading5"/>
      </w:pPr>
      <w:r w:rsidRPr="00680E22">
        <w:t xml:space="preserve">Option </w:t>
      </w:r>
      <w:r w:rsidR="00474C85" w:rsidRPr="00A511A9">
        <w:t>C</w:t>
      </w:r>
      <w:r w:rsidRPr="00A511A9">
        <w:t>: Third-party provider model</w:t>
      </w:r>
    </w:p>
    <w:p w14:paraId="30CE6CD4" w14:textId="406D6CC8" w:rsidR="005C11E9" w:rsidRPr="00DD71E7" w:rsidRDefault="00E700D9" w:rsidP="00DD71E7">
      <w:r w:rsidRPr="00DD71E7">
        <w:t>U</w:t>
      </w:r>
      <w:r w:rsidR="003B63D4" w:rsidRPr="00DD71E7">
        <w:t>n</w:t>
      </w:r>
      <w:r w:rsidRPr="00DD71E7">
        <w:t>der</w:t>
      </w:r>
      <w:r w:rsidR="003B63D4" w:rsidRPr="00DD71E7">
        <w:t xml:space="preserve"> this model</w:t>
      </w:r>
      <w:r w:rsidR="005C11E9" w:rsidRPr="00DD71E7">
        <w:t xml:space="preserve">, the </w:t>
      </w:r>
      <w:r w:rsidR="007166CC" w:rsidRPr="00DD71E7">
        <w:t>Australian</w:t>
      </w:r>
      <w:r w:rsidR="003B63D4" w:rsidRPr="00DD71E7">
        <w:t xml:space="preserve"> </w:t>
      </w:r>
      <w:r w:rsidR="007166CC" w:rsidRPr="00DD71E7">
        <w:t>G</w:t>
      </w:r>
      <w:r w:rsidR="003B63D4" w:rsidRPr="00DD71E7">
        <w:t>overnment</w:t>
      </w:r>
      <w:r w:rsidR="005C11E9" w:rsidRPr="00DD71E7">
        <w:t xml:space="preserve"> </w:t>
      </w:r>
      <w:r w:rsidRPr="00DD71E7">
        <w:t>c</w:t>
      </w:r>
      <w:r w:rsidR="005C11E9" w:rsidRPr="00DD71E7">
        <w:t xml:space="preserve">ould outsource the management and delivery of the program to qualified third-party providers. These could include NGOs, specialist prosthesis suppliers, </w:t>
      </w:r>
      <w:r w:rsidR="00BB3D99" w:rsidRPr="00DD71E7">
        <w:t>c</w:t>
      </w:r>
      <w:r w:rsidRPr="00DD71E7">
        <w:t>omprehensive c</w:t>
      </w:r>
      <w:r w:rsidR="00BB3D99" w:rsidRPr="00DD71E7">
        <w:t xml:space="preserve">ancer centres, </w:t>
      </w:r>
      <w:r w:rsidR="005C11E9" w:rsidRPr="00DD71E7">
        <w:t xml:space="preserve">or community-based organisations. </w:t>
      </w:r>
      <w:r w:rsidR="003B63D4" w:rsidRPr="00DD71E7">
        <w:t>Key features</w:t>
      </w:r>
      <w:r w:rsidR="005C11E9" w:rsidRPr="00DD71E7">
        <w:t xml:space="preserve"> may include:</w:t>
      </w:r>
    </w:p>
    <w:p w14:paraId="6C7299C8" w14:textId="77777777" w:rsidR="003B63D4" w:rsidRDefault="003B63D4" w:rsidP="00680E22">
      <w:pPr>
        <w:pStyle w:val="Bullet1stlevel"/>
      </w:pPr>
      <w:r w:rsidRPr="003B63D4">
        <w:t>Third-party providers are contracted to manage claims, conduct assessments, and distribute prostheses within specific regions or for certain prosthesis types.</w:t>
      </w:r>
    </w:p>
    <w:p w14:paraId="6512B64D" w14:textId="29CFD85D" w:rsidR="003B63D4" w:rsidRDefault="003B63D4" w:rsidP="00680E22">
      <w:pPr>
        <w:pStyle w:val="Bullet1stlevel"/>
      </w:pPr>
      <w:r w:rsidRPr="003B63D4">
        <w:t xml:space="preserve">Providers would be responsible for adhering to national quality and equity </w:t>
      </w:r>
      <w:r w:rsidR="00F57297" w:rsidRPr="003B63D4">
        <w:t>standards and</w:t>
      </w:r>
      <w:r w:rsidRPr="003B63D4">
        <w:t xml:space="preserve"> would report outcomes to the </w:t>
      </w:r>
      <w:r w:rsidR="007166CC">
        <w:t>Australian</w:t>
      </w:r>
      <w:r w:rsidR="00F57297">
        <w:t xml:space="preserve"> </w:t>
      </w:r>
      <w:r w:rsidR="007166CC">
        <w:t>G</w:t>
      </w:r>
      <w:r w:rsidR="00F57297">
        <w:t>overnment</w:t>
      </w:r>
      <w:r w:rsidRPr="003B63D4">
        <w:t>.</w:t>
      </w:r>
    </w:p>
    <w:p w14:paraId="21732A1F" w14:textId="002E3655" w:rsidR="00F57297" w:rsidRPr="00DD71E7" w:rsidRDefault="00F57297" w:rsidP="00DD71E7">
      <w:r w:rsidRPr="00DD71E7">
        <w:t xml:space="preserve">Stakeholders consulted as part of this review noted that, given the highly specialised nature of cancer prostheses and the limited size of the workforce, it may not be practical to deliver services uniformly across all locations. Instead, </w:t>
      </w:r>
      <w:r w:rsidR="00E700D9" w:rsidRPr="00DD71E7">
        <w:t>it was</w:t>
      </w:r>
      <w:r w:rsidRPr="00DD71E7">
        <w:t xml:space="preserve"> recommended </w:t>
      </w:r>
      <w:r w:rsidR="00DC2999" w:rsidRPr="00DD71E7">
        <w:t>to establish</w:t>
      </w:r>
      <w:r w:rsidRPr="00DD71E7">
        <w:t xml:space="preserve"> dedicated centres of excellence in each state and territory, supported by a travel assistance scheme to enable equitable access for individuals who need to travel for care.</w:t>
      </w:r>
    </w:p>
    <w:p w14:paraId="45CBFEDE" w14:textId="3CAFAC35" w:rsidR="009B271C" w:rsidRPr="00DD71E7" w:rsidRDefault="00D270CF" w:rsidP="00DD71E7">
      <w:r w:rsidRPr="00DD71E7">
        <w:t xml:space="preserve">A third-party provider model </w:t>
      </w:r>
      <w:r w:rsidR="002016FF" w:rsidRPr="00DD71E7">
        <w:t xml:space="preserve">would </w:t>
      </w:r>
      <w:r w:rsidR="001F7D70" w:rsidRPr="00DD71E7">
        <w:t xml:space="preserve">enable the delivery of tailored services that reflect the specific </w:t>
      </w:r>
      <w:r w:rsidR="00266487" w:rsidRPr="00DD71E7">
        <w:t>needs of local communities and culturally diverse populations</w:t>
      </w:r>
      <w:r w:rsidR="00BA76E2" w:rsidRPr="00DD71E7">
        <w:t xml:space="preserve">. </w:t>
      </w:r>
      <w:r w:rsidR="00266487" w:rsidRPr="00DD71E7">
        <w:t xml:space="preserve">This approach </w:t>
      </w:r>
      <w:r w:rsidR="002016FF" w:rsidRPr="00DD71E7">
        <w:t xml:space="preserve">could also </w:t>
      </w:r>
      <w:r w:rsidR="00266487" w:rsidRPr="00DD71E7">
        <w:t xml:space="preserve">encourage innovative service delivery </w:t>
      </w:r>
      <w:r w:rsidR="002016FF" w:rsidRPr="00DD71E7">
        <w:t xml:space="preserve">approaches </w:t>
      </w:r>
      <w:r w:rsidR="00266487" w:rsidRPr="00DD71E7">
        <w:t xml:space="preserve">and flexibility in service delivery. </w:t>
      </w:r>
      <w:r w:rsidR="002016FF" w:rsidRPr="00DD71E7">
        <w:t>This approach would</w:t>
      </w:r>
      <w:r w:rsidR="00BA76E2" w:rsidRPr="00DD71E7">
        <w:t xml:space="preserve"> require </w:t>
      </w:r>
      <w:r w:rsidR="001F7D70" w:rsidRPr="00DD71E7">
        <w:t>robust governance and oversight to prevent fragmentation in the delivery of services</w:t>
      </w:r>
      <w:r w:rsidR="00F57297" w:rsidRPr="00DD71E7">
        <w:t xml:space="preserve"> across providers and locations</w:t>
      </w:r>
      <w:r w:rsidR="00BA76E2" w:rsidRPr="00DD71E7">
        <w:t xml:space="preserve">. </w:t>
      </w:r>
    </w:p>
    <w:p w14:paraId="59CC62F3" w14:textId="7B315FC4" w:rsidR="009B271C" w:rsidRDefault="009B271C" w:rsidP="00FD54A5">
      <w:pPr>
        <w:pStyle w:val="Heading4"/>
      </w:pPr>
      <w:r>
        <w:t>Funding model options for a national cancer prostheses program</w:t>
      </w:r>
    </w:p>
    <w:p w14:paraId="58F6BE97" w14:textId="462B1605" w:rsidR="00D34CBF" w:rsidRPr="00DD71E7" w:rsidRDefault="009131A4" w:rsidP="00DD71E7">
      <w:r w:rsidRPr="00DD71E7">
        <w:t xml:space="preserve">The funding model </w:t>
      </w:r>
      <w:r w:rsidR="000D348F" w:rsidRPr="00DD71E7">
        <w:t xml:space="preserve">that </w:t>
      </w:r>
      <w:r w:rsidR="00331AD1" w:rsidRPr="00DD71E7">
        <w:t xml:space="preserve">would </w:t>
      </w:r>
      <w:r w:rsidR="000D348F" w:rsidRPr="00DD71E7">
        <w:t xml:space="preserve">underpin </w:t>
      </w:r>
      <w:r w:rsidR="00EB6AAB" w:rsidRPr="00DD71E7">
        <w:t>a national cancer prostheses program</w:t>
      </w:r>
      <w:r w:rsidRPr="00DD71E7">
        <w:t xml:space="preserve"> </w:t>
      </w:r>
      <w:r w:rsidR="009C3B62" w:rsidRPr="00DD71E7">
        <w:t>is also an important consideration and define</w:t>
      </w:r>
      <w:r w:rsidR="00BE5DE4" w:rsidRPr="00DD71E7">
        <w:t>s</w:t>
      </w:r>
      <w:r w:rsidR="00EB6AAB" w:rsidRPr="00DD71E7">
        <w:t xml:space="preserve"> how funding </w:t>
      </w:r>
      <w:r w:rsidR="009C3B62" w:rsidRPr="00DD71E7">
        <w:t xml:space="preserve">will </w:t>
      </w:r>
      <w:r w:rsidR="00EB6AAB" w:rsidRPr="00DD71E7">
        <w:t>flow</w:t>
      </w:r>
      <w:r w:rsidRPr="00DD71E7">
        <w:t xml:space="preserve"> between government, providers and individuals requiring prostheses due to cancer or cancer treatment.</w:t>
      </w:r>
      <w:r w:rsidR="00EB6AAB" w:rsidRPr="00DD71E7">
        <w:t xml:space="preserve"> This section outlines </w:t>
      </w:r>
      <w:r w:rsidR="00454483" w:rsidRPr="00DD71E7">
        <w:t>three</w:t>
      </w:r>
      <w:r w:rsidR="00EB6AAB" w:rsidRPr="00DD71E7">
        <w:t xml:space="preserve"> potential funding models for </w:t>
      </w:r>
      <w:r w:rsidRPr="00DD71E7">
        <w:t xml:space="preserve">delivering </w:t>
      </w:r>
      <w:r w:rsidR="00EB6AAB" w:rsidRPr="00DD71E7">
        <w:t xml:space="preserve">a national cancer </w:t>
      </w:r>
      <w:r w:rsidR="00E24969" w:rsidRPr="00DD71E7">
        <w:t>prostheses</w:t>
      </w:r>
      <w:r w:rsidR="00EB6AAB" w:rsidRPr="00DD71E7">
        <w:t xml:space="preserve"> program. </w:t>
      </w:r>
      <w:r w:rsidR="00E24969" w:rsidRPr="00DD71E7">
        <w:t xml:space="preserve">These include: </w:t>
      </w:r>
    </w:p>
    <w:p w14:paraId="5D544999" w14:textId="46EE489D" w:rsidR="00E24969" w:rsidRDefault="00E24969" w:rsidP="00680E22">
      <w:pPr>
        <w:pStyle w:val="Bullet1stlevel"/>
      </w:pPr>
      <w:r w:rsidRPr="0042443F">
        <w:rPr>
          <w:rStyle w:val="Strong"/>
        </w:rPr>
        <w:t xml:space="preserve">Option </w:t>
      </w:r>
      <w:r w:rsidR="004654EC" w:rsidRPr="0042443F">
        <w:rPr>
          <w:rStyle w:val="Strong"/>
        </w:rPr>
        <w:t>A</w:t>
      </w:r>
      <w:r w:rsidRPr="0042443F">
        <w:rPr>
          <w:rStyle w:val="Strong"/>
        </w:rPr>
        <w:t>:</w:t>
      </w:r>
      <w:r>
        <w:t xml:space="preserve"> Direct provider payments</w:t>
      </w:r>
    </w:p>
    <w:p w14:paraId="1ACDD94B" w14:textId="340171E7" w:rsidR="00E24969" w:rsidRDefault="00E24969" w:rsidP="00680E22">
      <w:pPr>
        <w:pStyle w:val="Bullet1stlevel"/>
      </w:pPr>
      <w:r w:rsidRPr="0042443F">
        <w:rPr>
          <w:rStyle w:val="Strong"/>
        </w:rPr>
        <w:t xml:space="preserve">Option </w:t>
      </w:r>
      <w:r w:rsidR="004654EC" w:rsidRPr="0042443F">
        <w:rPr>
          <w:rStyle w:val="Strong"/>
        </w:rPr>
        <w:t>B</w:t>
      </w:r>
      <w:r w:rsidRPr="0042443F">
        <w:rPr>
          <w:rStyle w:val="Strong"/>
        </w:rPr>
        <w:t>:</w:t>
      </w:r>
      <w:r>
        <w:t xml:space="preserve"> Block funding </w:t>
      </w:r>
    </w:p>
    <w:p w14:paraId="29B788C8" w14:textId="3759C06D" w:rsidR="00E24969" w:rsidRDefault="00E24969" w:rsidP="00680E22">
      <w:pPr>
        <w:pStyle w:val="Bullet1stlevel"/>
      </w:pPr>
      <w:r w:rsidRPr="0042443F">
        <w:rPr>
          <w:rStyle w:val="Strong"/>
        </w:rPr>
        <w:t xml:space="preserve">Option </w:t>
      </w:r>
      <w:r w:rsidR="004654EC" w:rsidRPr="0042443F">
        <w:rPr>
          <w:rStyle w:val="Strong"/>
        </w:rPr>
        <w:t>C</w:t>
      </w:r>
      <w:r w:rsidRPr="0042443F">
        <w:rPr>
          <w:rStyle w:val="Strong"/>
        </w:rPr>
        <w:t>:</w:t>
      </w:r>
      <w:r>
        <w:t xml:space="preserve"> </w:t>
      </w:r>
      <w:r w:rsidR="001C1FDE">
        <w:t>R</w:t>
      </w:r>
      <w:r>
        <w:t>eimbursement model</w:t>
      </w:r>
      <w:r w:rsidR="001C1FDE">
        <w:t>.</w:t>
      </w:r>
    </w:p>
    <w:p w14:paraId="3E7A63A8" w14:textId="5685B7BC" w:rsidR="00572A15" w:rsidRPr="00DD71E7" w:rsidRDefault="000D348F" w:rsidP="00DD71E7">
      <w:r w:rsidRPr="00DD71E7">
        <w:t>The following section further details each potential delivery model, with a summary provided</w:t>
      </w:r>
      <w:r w:rsidR="00572A15" w:rsidRPr="00DD71E7">
        <w:t xml:space="preserve"> in </w:t>
      </w:r>
      <w:r w:rsidR="00572A15" w:rsidRPr="00DD71E7">
        <w:fldChar w:fldCharType="begin"/>
      </w:r>
      <w:r w:rsidR="00572A15" w:rsidRPr="00DD71E7">
        <w:instrText xml:space="preserve"> REF _Ref201745495 \h  \* MERGEFORMAT </w:instrText>
      </w:r>
      <w:r w:rsidR="00572A15" w:rsidRPr="00DD71E7">
        <w:fldChar w:fldCharType="separate"/>
      </w:r>
      <w:r w:rsidR="008004C7" w:rsidRPr="00DD71E7">
        <w:t>Table 25</w:t>
      </w:r>
      <w:r w:rsidR="00572A15" w:rsidRPr="00DD71E7">
        <w:fldChar w:fldCharType="end"/>
      </w:r>
      <w:r w:rsidR="008004C7" w:rsidRPr="00DD71E7">
        <w:t> </w:t>
      </w:r>
      <w:r w:rsidR="00572A15" w:rsidRPr="00DD71E7">
        <w:t>below.</w:t>
      </w:r>
    </w:p>
    <w:p w14:paraId="784DEBF6" w14:textId="32D496F2" w:rsidR="00572A15" w:rsidRPr="009B271C" w:rsidRDefault="00572A15" w:rsidP="00EC1F60">
      <w:pPr>
        <w:pStyle w:val="Caption"/>
        <w:spacing w:before="240"/>
        <w:rPr>
          <w:b w:val="0"/>
          <w:i/>
          <w:iCs w:val="0"/>
          <w:color w:val="000000" w:themeColor="text1"/>
          <w:sz w:val="20"/>
          <w:szCs w:val="22"/>
        </w:rPr>
      </w:pPr>
      <w:bookmarkStart w:id="140" w:name="_Ref201745495"/>
      <w:bookmarkStart w:id="141" w:name="_Toc207348590"/>
      <w:r>
        <w:t xml:space="preserve">Table </w:t>
      </w:r>
      <w:r w:rsidR="008004C7">
        <w:fldChar w:fldCharType="begin"/>
      </w:r>
      <w:r w:rsidR="008004C7">
        <w:instrText xml:space="preserve"> SEQ Table \* ARABIC </w:instrText>
      </w:r>
      <w:r w:rsidR="008004C7">
        <w:fldChar w:fldCharType="separate"/>
      </w:r>
      <w:r w:rsidR="008004C7">
        <w:rPr>
          <w:noProof/>
        </w:rPr>
        <w:t>25</w:t>
      </w:r>
      <w:r w:rsidR="008004C7">
        <w:rPr>
          <w:noProof/>
        </w:rPr>
        <w:fldChar w:fldCharType="end"/>
      </w:r>
      <w:bookmarkEnd w:id="140"/>
      <w:r>
        <w:t>: Summary of funding model options for a national cancer prostheses program and key strengths and</w:t>
      </w:r>
      <w:r w:rsidR="00320B22">
        <w:t> </w:t>
      </w:r>
      <w:r>
        <w:t>considerations</w:t>
      </w:r>
      <w:bookmarkEnd w:id="141"/>
    </w:p>
    <w:tbl>
      <w:tblPr>
        <w:tblStyle w:val="KPMGTable"/>
        <w:tblW w:w="10210" w:type="dxa"/>
        <w:tblLook w:val="04A0" w:firstRow="1" w:lastRow="0" w:firstColumn="1" w:lastColumn="0" w:noHBand="0" w:noVBand="1"/>
      </w:tblPr>
      <w:tblGrid>
        <w:gridCol w:w="1843"/>
        <w:gridCol w:w="2789"/>
        <w:gridCol w:w="2789"/>
        <w:gridCol w:w="2789"/>
      </w:tblGrid>
      <w:tr w:rsidR="00677ED1" w:rsidRPr="007B154A" w14:paraId="150720F1" w14:textId="77777777" w:rsidTr="00680E22">
        <w:trPr>
          <w:cnfStyle w:val="100000000000" w:firstRow="1" w:lastRow="0" w:firstColumn="0" w:lastColumn="0" w:oddVBand="0" w:evenVBand="0" w:oddHBand="0"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1843" w:type="dxa"/>
          </w:tcPr>
          <w:p w14:paraId="606232FA" w14:textId="74D9E2A2" w:rsidR="00572A15" w:rsidRPr="00C10C27" w:rsidRDefault="00572A15" w:rsidP="00680E22">
            <w:pPr>
              <w:pStyle w:val="TableHeading"/>
              <w:rPr>
                <w:b w:val="0"/>
                <w:color w:val="FFFFFF" w:themeColor="background1"/>
                <w:szCs w:val="18"/>
              </w:rPr>
            </w:pPr>
            <w:r>
              <w:t>Funding model</w:t>
            </w:r>
          </w:p>
        </w:tc>
        <w:tc>
          <w:tcPr>
            <w:tcW w:w="2789" w:type="dxa"/>
          </w:tcPr>
          <w:p w14:paraId="324A8F57" w14:textId="77777777" w:rsidR="00572A15" w:rsidRPr="00C10C27" w:rsidRDefault="00572A15" w:rsidP="00680E2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t>Description</w:t>
            </w:r>
          </w:p>
        </w:tc>
        <w:tc>
          <w:tcPr>
            <w:tcW w:w="2789" w:type="dxa"/>
          </w:tcPr>
          <w:p w14:paraId="7169D35F" w14:textId="77777777" w:rsidR="00572A15" w:rsidRDefault="00572A15" w:rsidP="00680E2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t>Key strengths</w:t>
            </w:r>
          </w:p>
        </w:tc>
        <w:tc>
          <w:tcPr>
            <w:tcW w:w="2789" w:type="dxa"/>
          </w:tcPr>
          <w:p w14:paraId="03DECA64" w14:textId="77777777" w:rsidR="00572A15" w:rsidRDefault="00572A15" w:rsidP="00680E2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t>Key considerations</w:t>
            </w:r>
          </w:p>
        </w:tc>
      </w:tr>
      <w:tr w:rsidR="00AE1E92" w:rsidRPr="001B05CB" w14:paraId="6161A7C5" w14:textId="77777777" w:rsidTr="00680E22">
        <w:trPr>
          <w:trHeight w:val="590"/>
        </w:trPr>
        <w:tc>
          <w:tcPr>
            <w:cnfStyle w:val="001000000000" w:firstRow="0" w:lastRow="0" w:firstColumn="1" w:lastColumn="0" w:oddVBand="0" w:evenVBand="0" w:oddHBand="0" w:evenHBand="0" w:firstRowFirstColumn="0" w:firstRowLastColumn="0" w:lastRowFirstColumn="0" w:lastRowLastColumn="0"/>
            <w:tcW w:w="1843" w:type="dxa"/>
          </w:tcPr>
          <w:p w14:paraId="4D878362" w14:textId="46F53D31" w:rsidR="00572A15" w:rsidRPr="00C10C27" w:rsidRDefault="00572A15" w:rsidP="00680E22">
            <w:pPr>
              <w:pStyle w:val="Tabletextbold"/>
              <w:rPr>
                <w:szCs w:val="18"/>
              </w:rPr>
            </w:pPr>
            <w:r w:rsidRPr="00CF71F6">
              <w:t xml:space="preserve">Option </w:t>
            </w:r>
            <w:r w:rsidR="00474C85">
              <w:rPr>
                <w:szCs w:val="18"/>
              </w:rPr>
              <w:t>A</w:t>
            </w:r>
            <w:r w:rsidRPr="00617816">
              <w:rPr>
                <w:szCs w:val="18"/>
              </w:rPr>
              <w:t xml:space="preserve">: </w:t>
            </w:r>
            <w:r>
              <w:rPr>
                <w:bCs/>
                <w:szCs w:val="18"/>
              </w:rPr>
              <w:t>Direct provider payments</w:t>
            </w:r>
          </w:p>
        </w:tc>
        <w:tc>
          <w:tcPr>
            <w:tcW w:w="2789" w:type="dxa"/>
          </w:tcPr>
          <w:p w14:paraId="62C82B87" w14:textId="2B5295DA" w:rsidR="00572A15" w:rsidRPr="00E9562A" w:rsidRDefault="000A54B0" w:rsidP="00680E22">
            <w:pPr>
              <w:pStyle w:val="TableText"/>
              <w:cnfStyle w:val="000000000000" w:firstRow="0" w:lastRow="0" w:firstColumn="0" w:lastColumn="0" w:oddVBand="0" w:evenVBand="0" w:oddHBand="0" w:evenHBand="0" w:firstRowFirstColumn="0" w:firstRowLastColumn="0" w:lastRowFirstColumn="0" w:lastRowLastColumn="0"/>
              <w:rPr>
                <w:szCs w:val="18"/>
              </w:rPr>
            </w:pPr>
            <w:r>
              <w:t xml:space="preserve">Prostheses are provided to individuals at no </w:t>
            </w:r>
            <w:proofErr w:type="gramStart"/>
            <w:r>
              <w:t>cost,</w:t>
            </w:r>
            <w:proofErr w:type="gramEnd"/>
            <w:r>
              <w:t xml:space="preserve"> g</w:t>
            </w:r>
            <w:r w:rsidR="00572A15">
              <w:rPr>
                <w:szCs w:val="18"/>
              </w:rPr>
              <w:t xml:space="preserve">overnment </w:t>
            </w:r>
            <w:r>
              <w:rPr>
                <w:szCs w:val="18"/>
              </w:rPr>
              <w:t xml:space="preserve">provides reimbursement to </w:t>
            </w:r>
            <w:r w:rsidR="00572A15">
              <w:rPr>
                <w:szCs w:val="18"/>
              </w:rPr>
              <w:t>prosthesis providers directly</w:t>
            </w:r>
            <w:r>
              <w:rPr>
                <w:szCs w:val="18"/>
              </w:rPr>
              <w:t xml:space="preserve">. </w:t>
            </w:r>
            <w:r w:rsidR="00572A15">
              <w:rPr>
                <w:szCs w:val="18"/>
              </w:rPr>
              <w:t xml:space="preserve"> </w:t>
            </w:r>
          </w:p>
        </w:tc>
        <w:tc>
          <w:tcPr>
            <w:tcW w:w="2789" w:type="dxa"/>
          </w:tcPr>
          <w:p w14:paraId="126BFE7D" w14:textId="7AA14053" w:rsidR="00572A15" w:rsidRDefault="00572A15" w:rsidP="00680E22">
            <w:pPr>
              <w:pStyle w:val="TableBullet1"/>
              <w:cnfStyle w:val="000000000000" w:firstRow="0" w:lastRow="0" w:firstColumn="0" w:lastColumn="0" w:oddVBand="0" w:evenVBand="0" w:oddHBand="0" w:evenHBand="0" w:firstRowFirstColumn="0" w:firstRowLastColumn="0" w:lastRowFirstColumn="0" w:lastRowLastColumn="0"/>
              <w:rPr>
                <w:szCs w:val="18"/>
              </w:rPr>
            </w:pPr>
            <w:r>
              <w:t>No upfront costs</w:t>
            </w:r>
            <w:r w:rsidR="000A54B0">
              <w:rPr>
                <w:szCs w:val="18"/>
              </w:rPr>
              <w:t xml:space="preserve"> to individuals</w:t>
            </w:r>
          </w:p>
          <w:p w14:paraId="0EAF83D2" w14:textId="6E5E7575" w:rsidR="00572A15" w:rsidRPr="002775C6" w:rsidRDefault="00572A15" w:rsidP="00680E22">
            <w:pPr>
              <w:pStyle w:val="TableBullet1"/>
              <w:cnfStyle w:val="000000000000" w:firstRow="0" w:lastRow="0" w:firstColumn="0" w:lastColumn="0" w:oddVBand="0" w:evenVBand="0" w:oddHBand="0" w:evenHBand="0" w:firstRowFirstColumn="0" w:firstRowLastColumn="0" w:lastRowFirstColumn="0" w:lastRowLastColumn="0"/>
              <w:rPr>
                <w:szCs w:val="18"/>
              </w:rPr>
            </w:pPr>
            <w:r>
              <w:t xml:space="preserve">Equitable </w:t>
            </w:r>
            <w:r w:rsidR="00EB4B3D">
              <w:rPr>
                <w:szCs w:val="18"/>
              </w:rPr>
              <w:t>and simple</w:t>
            </w:r>
            <w:r>
              <w:rPr>
                <w:szCs w:val="18"/>
              </w:rPr>
              <w:t xml:space="preserve"> access</w:t>
            </w:r>
          </w:p>
        </w:tc>
        <w:tc>
          <w:tcPr>
            <w:tcW w:w="2789" w:type="dxa"/>
          </w:tcPr>
          <w:p w14:paraId="7E60C48F" w14:textId="1AFF1296" w:rsidR="00572A15" w:rsidRPr="00D1594E" w:rsidRDefault="00572A15" w:rsidP="00680E22">
            <w:pPr>
              <w:pStyle w:val="TableBullet1"/>
              <w:cnfStyle w:val="000000000000" w:firstRow="0" w:lastRow="0" w:firstColumn="0" w:lastColumn="0" w:oddVBand="0" w:evenVBand="0" w:oddHBand="0" w:evenHBand="0" w:firstRowFirstColumn="0" w:firstRowLastColumn="0" w:lastRowFirstColumn="0" w:lastRowLastColumn="0"/>
              <w:rPr>
                <w:szCs w:val="18"/>
              </w:rPr>
            </w:pPr>
            <w:r>
              <w:t>Requires strong oversight</w:t>
            </w:r>
            <w:r w:rsidR="00EB4B3D">
              <w:rPr>
                <w:szCs w:val="18"/>
              </w:rPr>
              <w:t xml:space="preserve"> and robust fraud prevention</w:t>
            </w:r>
          </w:p>
        </w:tc>
      </w:tr>
      <w:tr w:rsidR="00AE1E92" w:rsidRPr="00FA30FA" w14:paraId="4ECBAC29" w14:textId="77777777" w:rsidTr="00680E22">
        <w:trPr>
          <w:trHeight w:val="588"/>
        </w:trPr>
        <w:tc>
          <w:tcPr>
            <w:cnfStyle w:val="001000000000" w:firstRow="0" w:lastRow="0" w:firstColumn="1" w:lastColumn="0" w:oddVBand="0" w:evenVBand="0" w:oddHBand="0" w:evenHBand="0" w:firstRowFirstColumn="0" w:firstRowLastColumn="0" w:lastRowFirstColumn="0" w:lastRowLastColumn="0"/>
            <w:tcW w:w="1843" w:type="dxa"/>
          </w:tcPr>
          <w:p w14:paraId="7A6E1A49" w14:textId="25EEB2B3" w:rsidR="00572A15" w:rsidRPr="00C10C27" w:rsidRDefault="00572A15" w:rsidP="00680E22">
            <w:pPr>
              <w:pStyle w:val="Tabletextbold"/>
              <w:rPr>
                <w:szCs w:val="18"/>
              </w:rPr>
            </w:pPr>
            <w:r w:rsidRPr="00CF71F6">
              <w:t xml:space="preserve">Option </w:t>
            </w:r>
            <w:r w:rsidR="00474C85">
              <w:rPr>
                <w:szCs w:val="18"/>
              </w:rPr>
              <w:t>B</w:t>
            </w:r>
            <w:r w:rsidRPr="00617816">
              <w:rPr>
                <w:szCs w:val="18"/>
              </w:rPr>
              <w:t xml:space="preserve">: </w:t>
            </w:r>
            <w:r w:rsidRPr="00572A15">
              <w:rPr>
                <w:bCs/>
                <w:szCs w:val="18"/>
              </w:rPr>
              <w:t xml:space="preserve">Block funding </w:t>
            </w:r>
          </w:p>
        </w:tc>
        <w:tc>
          <w:tcPr>
            <w:tcW w:w="2789" w:type="dxa"/>
          </w:tcPr>
          <w:p w14:paraId="6CF36E09" w14:textId="1BB071EA" w:rsidR="00572A15" w:rsidRPr="00E9562A" w:rsidRDefault="00572A15" w:rsidP="00680E22">
            <w:pPr>
              <w:pStyle w:val="TableText"/>
              <w:cnfStyle w:val="000000000000" w:firstRow="0" w:lastRow="0" w:firstColumn="0" w:lastColumn="0" w:oddVBand="0" w:evenVBand="0" w:oddHBand="0" w:evenHBand="0" w:firstRowFirstColumn="0" w:firstRowLastColumn="0" w:lastRowFirstColumn="0" w:lastRowLastColumn="0"/>
              <w:rPr>
                <w:szCs w:val="18"/>
              </w:rPr>
            </w:pPr>
            <w:r>
              <w:t xml:space="preserve">Lump sum </w:t>
            </w:r>
            <w:r w:rsidR="000A54B0">
              <w:rPr>
                <w:szCs w:val="18"/>
              </w:rPr>
              <w:t xml:space="preserve">payments are provided to </w:t>
            </w:r>
            <w:r>
              <w:rPr>
                <w:szCs w:val="18"/>
              </w:rPr>
              <w:t>jurisdiction</w:t>
            </w:r>
            <w:r w:rsidR="000A54B0">
              <w:rPr>
                <w:szCs w:val="18"/>
              </w:rPr>
              <w:t xml:space="preserve">al health </w:t>
            </w:r>
            <w:r w:rsidR="00041A1C">
              <w:rPr>
                <w:szCs w:val="18"/>
              </w:rPr>
              <w:t>departments</w:t>
            </w:r>
            <w:r>
              <w:rPr>
                <w:szCs w:val="18"/>
              </w:rPr>
              <w:t xml:space="preserve"> or providers to manage</w:t>
            </w:r>
            <w:r w:rsidR="00041A1C">
              <w:rPr>
                <w:szCs w:val="18"/>
              </w:rPr>
              <w:t xml:space="preserve"> prosthesis</w:t>
            </w:r>
            <w:r>
              <w:rPr>
                <w:szCs w:val="18"/>
              </w:rPr>
              <w:t xml:space="preserve"> service delivery </w:t>
            </w:r>
          </w:p>
        </w:tc>
        <w:tc>
          <w:tcPr>
            <w:tcW w:w="2789" w:type="dxa"/>
          </w:tcPr>
          <w:p w14:paraId="2484F79A" w14:textId="10A523AF" w:rsidR="00572A15" w:rsidRDefault="00041A1C" w:rsidP="00680E22">
            <w:pPr>
              <w:pStyle w:val="TableBullet1"/>
              <w:cnfStyle w:val="000000000000" w:firstRow="0" w:lastRow="0" w:firstColumn="0" w:lastColumn="0" w:oddVBand="0" w:evenVBand="0" w:oddHBand="0" w:evenHBand="0" w:firstRowFirstColumn="0" w:firstRowLastColumn="0" w:lastRowFirstColumn="0" w:lastRowLastColumn="0"/>
              <w:rPr>
                <w:szCs w:val="18"/>
              </w:rPr>
            </w:pPr>
            <w:r>
              <w:t>Funding can be used f</w:t>
            </w:r>
            <w:r w:rsidR="00572A15">
              <w:rPr>
                <w:szCs w:val="18"/>
              </w:rPr>
              <w:t>lexibl</w:t>
            </w:r>
            <w:r>
              <w:rPr>
                <w:szCs w:val="18"/>
              </w:rPr>
              <w:t>y</w:t>
            </w:r>
            <w:r w:rsidR="00572A15">
              <w:rPr>
                <w:szCs w:val="18"/>
              </w:rPr>
              <w:t xml:space="preserve"> to </w:t>
            </w:r>
            <w:r>
              <w:rPr>
                <w:szCs w:val="18"/>
              </w:rPr>
              <w:t xml:space="preserve">meet </w:t>
            </w:r>
            <w:r w:rsidR="00572A15">
              <w:rPr>
                <w:szCs w:val="18"/>
              </w:rPr>
              <w:t>local needs</w:t>
            </w:r>
          </w:p>
          <w:p w14:paraId="65EC333F" w14:textId="77777777" w:rsidR="00041A1C" w:rsidRDefault="00041A1C" w:rsidP="00680E22">
            <w:pPr>
              <w:pStyle w:val="TableBullet1"/>
              <w:cnfStyle w:val="000000000000" w:firstRow="0" w:lastRow="0" w:firstColumn="0" w:lastColumn="0" w:oddVBand="0" w:evenVBand="0" w:oddHBand="0" w:evenHBand="0" w:firstRowFirstColumn="0" w:firstRowLastColumn="0" w:lastRowFirstColumn="0" w:lastRowLastColumn="0"/>
              <w:rPr>
                <w:szCs w:val="18"/>
              </w:rPr>
            </w:pPr>
            <w:r>
              <w:t>No upfront costs to individuals</w:t>
            </w:r>
          </w:p>
          <w:p w14:paraId="6164DA6F" w14:textId="722C753B" w:rsidR="00572A15" w:rsidRPr="00DD645A" w:rsidRDefault="00EB4B3D" w:rsidP="00680E22">
            <w:pPr>
              <w:pStyle w:val="TableBullet1"/>
              <w:cnfStyle w:val="000000000000" w:firstRow="0" w:lastRow="0" w:firstColumn="0" w:lastColumn="0" w:oddVBand="0" w:evenVBand="0" w:oddHBand="0" w:evenHBand="0" w:firstRowFirstColumn="0" w:firstRowLastColumn="0" w:lastRowFirstColumn="0" w:lastRowLastColumn="0"/>
              <w:rPr>
                <w:szCs w:val="18"/>
              </w:rPr>
            </w:pPr>
            <w:r>
              <w:t>Supports regional tailoring</w:t>
            </w:r>
          </w:p>
        </w:tc>
        <w:tc>
          <w:tcPr>
            <w:tcW w:w="2789" w:type="dxa"/>
          </w:tcPr>
          <w:p w14:paraId="70305C27" w14:textId="0EC7C1A1" w:rsidR="00572A15" w:rsidRDefault="00572A15" w:rsidP="00680E22">
            <w:pPr>
              <w:pStyle w:val="TableBullet1"/>
              <w:cnfStyle w:val="000000000000" w:firstRow="0" w:lastRow="0" w:firstColumn="0" w:lastColumn="0" w:oddVBand="0" w:evenVBand="0" w:oddHBand="0" w:evenHBand="0" w:firstRowFirstColumn="0" w:firstRowLastColumn="0" w:lastRowFirstColumn="0" w:lastRowLastColumn="0"/>
              <w:rPr>
                <w:szCs w:val="18"/>
              </w:rPr>
            </w:pPr>
            <w:r>
              <w:t xml:space="preserve">Potential </w:t>
            </w:r>
            <w:r w:rsidR="00041A1C">
              <w:rPr>
                <w:szCs w:val="18"/>
              </w:rPr>
              <w:t xml:space="preserve">for </w:t>
            </w:r>
            <w:r>
              <w:rPr>
                <w:szCs w:val="18"/>
              </w:rPr>
              <w:t>inconsistenc</w:t>
            </w:r>
            <w:r w:rsidR="00041A1C">
              <w:rPr>
                <w:szCs w:val="18"/>
              </w:rPr>
              <w:t>ies</w:t>
            </w:r>
            <w:r>
              <w:rPr>
                <w:szCs w:val="18"/>
              </w:rPr>
              <w:t xml:space="preserve"> in access</w:t>
            </w:r>
          </w:p>
          <w:p w14:paraId="71054572" w14:textId="1476A97B" w:rsidR="00572A15" w:rsidRDefault="00572A15" w:rsidP="00680E22">
            <w:pPr>
              <w:pStyle w:val="TableBullet1"/>
              <w:cnfStyle w:val="000000000000" w:firstRow="0" w:lastRow="0" w:firstColumn="0" w:lastColumn="0" w:oddVBand="0" w:evenVBand="0" w:oddHBand="0" w:evenHBand="0" w:firstRowFirstColumn="0" w:firstRowLastColumn="0" w:lastRowFirstColumn="0" w:lastRowLastColumn="0"/>
              <w:rPr>
                <w:szCs w:val="18"/>
              </w:rPr>
            </w:pPr>
            <w:r>
              <w:t xml:space="preserve">Funding may not </w:t>
            </w:r>
            <w:r w:rsidR="00041A1C">
              <w:rPr>
                <w:szCs w:val="18"/>
              </w:rPr>
              <w:t>meet</w:t>
            </w:r>
            <w:r>
              <w:rPr>
                <w:szCs w:val="18"/>
              </w:rPr>
              <w:t xml:space="preserve"> demand</w:t>
            </w:r>
          </w:p>
          <w:p w14:paraId="691E69BF" w14:textId="2CA2EAF0" w:rsidR="00572A15" w:rsidRPr="00DD645A" w:rsidRDefault="00EB4B3D" w:rsidP="00680E22">
            <w:pPr>
              <w:pStyle w:val="TableBullet1"/>
              <w:cnfStyle w:val="000000000000" w:firstRow="0" w:lastRow="0" w:firstColumn="0" w:lastColumn="0" w:oddVBand="0" w:evenVBand="0" w:oddHBand="0" w:evenHBand="0" w:firstRowFirstColumn="0" w:firstRowLastColumn="0" w:lastRowFirstColumn="0" w:lastRowLastColumn="0"/>
              <w:rPr>
                <w:szCs w:val="18"/>
              </w:rPr>
            </w:pPr>
            <w:r>
              <w:t>Long-term sustainability is not guaranteed</w:t>
            </w:r>
          </w:p>
        </w:tc>
      </w:tr>
      <w:tr w:rsidR="00AE1E92" w:rsidRPr="00FA30FA" w14:paraId="1CD88ED6" w14:textId="77777777" w:rsidTr="00680E22">
        <w:trPr>
          <w:trHeight w:val="588"/>
        </w:trPr>
        <w:tc>
          <w:tcPr>
            <w:cnfStyle w:val="001000000000" w:firstRow="0" w:lastRow="0" w:firstColumn="1" w:lastColumn="0" w:oddVBand="0" w:evenVBand="0" w:oddHBand="0" w:evenHBand="0" w:firstRowFirstColumn="0" w:firstRowLastColumn="0" w:lastRowFirstColumn="0" w:lastRowLastColumn="0"/>
            <w:tcW w:w="1843" w:type="dxa"/>
          </w:tcPr>
          <w:p w14:paraId="534A1AF6" w14:textId="1029C2CC" w:rsidR="00572A15" w:rsidRPr="00572A15" w:rsidRDefault="00572A15" w:rsidP="00680E22">
            <w:pPr>
              <w:pStyle w:val="Tabletextbold"/>
              <w:rPr>
                <w:bCs/>
                <w:szCs w:val="18"/>
              </w:rPr>
            </w:pPr>
            <w:r w:rsidRPr="00CF71F6">
              <w:t xml:space="preserve">Option </w:t>
            </w:r>
            <w:r w:rsidR="00474C85">
              <w:rPr>
                <w:szCs w:val="18"/>
              </w:rPr>
              <w:t>C</w:t>
            </w:r>
            <w:r>
              <w:rPr>
                <w:szCs w:val="18"/>
              </w:rPr>
              <w:t xml:space="preserve">: </w:t>
            </w:r>
            <w:r w:rsidRPr="00572A15">
              <w:rPr>
                <w:bCs/>
                <w:szCs w:val="18"/>
              </w:rPr>
              <w:t>Rei</w:t>
            </w:r>
            <w:r>
              <w:rPr>
                <w:bCs/>
                <w:szCs w:val="18"/>
              </w:rPr>
              <w:t>mbursement model</w:t>
            </w:r>
          </w:p>
        </w:tc>
        <w:tc>
          <w:tcPr>
            <w:tcW w:w="2789" w:type="dxa"/>
          </w:tcPr>
          <w:p w14:paraId="5CF933FF" w14:textId="370DD218" w:rsidR="00572A15" w:rsidRDefault="00572A15" w:rsidP="00680E22">
            <w:pPr>
              <w:pStyle w:val="TableText"/>
              <w:cnfStyle w:val="000000000000" w:firstRow="0" w:lastRow="0" w:firstColumn="0" w:lastColumn="0" w:oddVBand="0" w:evenVBand="0" w:oddHBand="0" w:evenHBand="0" w:firstRowFirstColumn="0" w:firstRowLastColumn="0" w:lastRowFirstColumn="0" w:lastRowLastColumn="0"/>
              <w:rPr>
                <w:szCs w:val="18"/>
              </w:rPr>
            </w:pPr>
            <w:r>
              <w:t xml:space="preserve">Individuals </w:t>
            </w:r>
            <w:r w:rsidR="00041A1C">
              <w:rPr>
                <w:szCs w:val="18"/>
              </w:rPr>
              <w:t>make an</w:t>
            </w:r>
            <w:r>
              <w:rPr>
                <w:szCs w:val="18"/>
              </w:rPr>
              <w:t xml:space="preserve"> upfront and receive </w:t>
            </w:r>
            <w:r w:rsidR="00041A1C">
              <w:rPr>
                <w:szCs w:val="18"/>
              </w:rPr>
              <w:t xml:space="preserve">a </w:t>
            </w:r>
            <w:r>
              <w:rPr>
                <w:szCs w:val="18"/>
              </w:rPr>
              <w:t>capped reimbursement</w:t>
            </w:r>
          </w:p>
        </w:tc>
        <w:tc>
          <w:tcPr>
            <w:tcW w:w="2789" w:type="dxa"/>
          </w:tcPr>
          <w:p w14:paraId="28C9391D" w14:textId="7E6B5981" w:rsidR="00572A15" w:rsidRDefault="00572A15" w:rsidP="00680E22">
            <w:pPr>
              <w:pStyle w:val="TableBullet1"/>
              <w:cnfStyle w:val="000000000000" w:firstRow="0" w:lastRow="0" w:firstColumn="0" w:lastColumn="0" w:oddVBand="0" w:evenVBand="0" w:oddHBand="0" w:evenHBand="0" w:firstRowFirstColumn="0" w:firstRowLastColumn="0" w:lastRowFirstColumn="0" w:lastRowLastColumn="0"/>
              <w:rPr>
                <w:szCs w:val="18"/>
              </w:rPr>
            </w:pPr>
            <w:r>
              <w:t>Low</w:t>
            </w:r>
            <w:r w:rsidR="00041A1C">
              <w:rPr>
                <w:szCs w:val="18"/>
              </w:rPr>
              <w:t>er</w:t>
            </w:r>
            <w:r>
              <w:rPr>
                <w:szCs w:val="18"/>
              </w:rPr>
              <w:t xml:space="preserve"> administrative burden </w:t>
            </w:r>
          </w:p>
          <w:p w14:paraId="5F4C954D" w14:textId="518BD872" w:rsidR="00572A15" w:rsidRDefault="00572A15" w:rsidP="00680E22">
            <w:pPr>
              <w:pStyle w:val="TableBullet1"/>
              <w:cnfStyle w:val="000000000000" w:firstRow="0" w:lastRow="0" w:firstColumn="0" w:lastColumn="0" w:oddVBand="0" w:evenVBand="0" w:oddHBand="0" w:evenHBand="0" w:firstRowFirstColumn="0" w:firstRowLastColumn="0" w:lastRowFirstColumn="0" w:lastRowLastColumn="0"/>
              <w:rPr>
                <w:szCs w:val="18"/>
              </w:rPr>
            </w:pPr>
            <w:r>
              <w:t>Supports choice</w:t>
            </w:r>
            <w:r w:rsidR="000B75D7">
              <w:rPr>
                <w:szCs w:val="18"/>
              </w:rPr>
              <w:t xml:space="preserve"> in provider</w:t>
            </w:r>
            <w:r>
              <w:rPr>
                <w:szCs w:val="18"/>
              </w:rPr>
              <w:t xml:space="preserve"> </w:t>
            </w:r>
          </w:p>
        </w:tc>
        <w:tc>
          <w:tcPr>
            <w:tcW w:w="2789" w:type="dxa"/>
          </w:tcPr>
          <w:p w14:paraId="02F973F9" w14:textId="35D7045A" w:rsidR="00572A15" w:rsidRDefault="00111D22" w:rsidP="00680E22">
            <w:pPr>
              <w:pStyle w:val="TableBullet1"/>
              <w:cnfStyle w:val="000000000000" w:firstRow="0" w:lastRow="0" w:firstColumn="0" w:lastColumn="0" w:oddVBand="0" w:evenVBand="0" w:oddHBand="0" w:evenHBand="0" w:firstRowFirstColumn="0" w:firstRowLastColumn="0" w:lastRowFirstColumn="0" w:lastRowLastColumn="0"/>
              <w:rPr>
                <w:szCs w:val="18"/>
              </w:rPr>
            </w:pPr>
            <w:r>
              <w:t>Creates f</w:t>
            </w:r>
            <w:r w:rsidR="00572A15">
              <w:rPr>
                <w:szCs w:val="18"/>
              </w:rPr>
              <w:t xml:space="preserve">inancial barriers </w:t>
            </w:r>
            <w:r>
              <w:rPr>
                <w:szCs w:val="18"/>
              </w:rPr>
              <w:t>to access</w:t>
            </w:r>
            <w:r w:rsidR="00572A15">
              <w:rPr>
                <w:szCs w:val="18"/>
              </w:rPr>
              <w:t xml:space="preserve"> </w:t>
            </w:r>
          </w:p>
          <w:p w14:paraId="180898BF" w14:textId="5345CFC0" w:rsidR="00572A15" w:rsidRDefault="00B55E06" w:rsidP="00680E22">
            <w:pPr>
              <w:pStyle w:val="TableBullet1"/>
              <w:cnfStyle w:val="000000000000" w:firstRow="0" w:lastRow="0" w:firstColumn="0" w:lastColumn="0" w:oddVBand="0" w:evenVBand="0" w:oddHBand="0" w:evenHBand="0" w:firstRowFirstColumn="0" w:firstRowLastColumn="0" w:lastRowFirstColumn="0" w:lastRowLastColumn="0"/>
              <w:rPr>
                <w:szCs w:val="18"/>
              </w:rPr>
            </w:pPr>
            <w:r>
              <w:t xml:space="preserve">Poor suitability for high-cost prostheses </w:t>
            </w:r>
          </w:p>
        </w:tc>
      </w:tr>
    </w:tbl>
    <w:p w14:paraId="5442109C" w14:textId="68C8D8F7" w:rsidR="00572A15" w:rsidRPr="00617816" w:rsidRDefault="00572A15" w:rsidP="00680E22">
      <w:pPr>
        <w:pStyle w:val="Caption-Source"/>
        <w:rPr>
          <w:i/>
          <w:iCs w:val="0"/>
          <w:szCs w:val="20"/>
        </w:rPr>
      </w:pPr>
      <w:r w:rsidRPr="00617816">
        <w:t xml:space="preserve">Source: </w:t>
      </w:r>
      <w:r w:rsidR="0044544E" w:rsidRPr="0044544E">
        <w:t>Independent reviewer</w:t>
      </w:r>
      <w:r w:rsidRPr="00617816">
        <w:t xml:space="preserve"> (2025)</w:t>
      </w:r>
    </w:p>
    <w:p w14:paraId="03EF7956" w14:textId="24F0E085" w:rsidR="00E24969" w:rsidRPr="002903F0" w:rsidRDefault="00E24969" w:rsidP="00680E22">
      <w:pPr>
        <w:pStyle w:val="Heading5"/>
      </w:pPr>
      <w:r w:rsidRPr="00EC73F2">
        <w:t>Option</w:t>
      </w:r>
      <w:r w:rsidR="004D384F" w:rsidRPr="002903F0">
        <w:t xml:space="preserve"> </w:t>
      </w:r>
      <w:r w:rsidR="00474C85" w:rsidRPr="002903F0">
        <w:t>A</w:t>
      </w:r>
      <w:r w:rsidR="004D384F" w:rsidRPr="002903F0">
        <w:t>: Direct provider payments</w:t>
      </w:r>
    </w:p>
    <w:p w14:paraId="0BF44553" w14:textId="21E30B9D" w:rsidR="004D384F" w:rsidRPr="00DD71E7" w:rsidRDefault="009131A4" w:rsidP="00DD71E7">
      <w:r w:rsidRPr="00DD71E7">
        <w:t>Under</w:t>
      </w:r>
      <w:r w:rsidR="004D384F" w:rsidRPr="00DD71E7">
        <w:t xml:space="preserve"> this model, the </w:t>
      </w:r>
      <w:r w:rsidR="007166CC" w:rsidRPr="00DD71E7">
        <w:t>Australian</w:t>
      </w:r>
      <w:r w:rsidR="004D384F" w:rsidRPr="00DD71E7">
        <w:t xml:space="preserve"> </w:t>
      </w:r>
      <w:r w:rsidR="007166CC" w:rsidRPr="00DD71E7">
        <w:t>G</w:t>
      </w:r>
      <w:r w:rsidR="004D384F" w:rsidRPr="00DD71E7">
        <w:t xml:space="preserve">overnment would </w:t>
      </w:r>
      <w:r w:rsidR="00193CA0" w:rsidRPr="00DD71E7">
        <w:t>pay approved</w:t>
      </w:r>
      <w:r w:rsidR="004D384F" w:rsidRPr="00DD71E7">
        <w:t xml:space="preserve"> prosthes</w:t>
      </w:r>
      <w:r w:rsidR="00C00BAD" w:rsidRPr="00DD71E7">
        <w:t>i</w:t>
      </w:r>
      <w:r w:rsidR="004D384F" w:rsidRPr="00DD71E7">
        <w:t xml:space="preserve">s providers directly for </w:t>
      </w:r>
      <w:r w:rsidR="00193CA0" w:rsidRPr="00DD71E7">
        <w:t xml:space="preserve">eligible </w:t>
      </w:r>
      <w:r w:rsidR="004D384F" w:rsidRPr="00DD71E7">
        <w:t>services</w:t>
      </w:r>
      <w:r w:rsidR="003663C1" w:rsidRPr="00DD71E7">
        <w:t xml:space="preserve">, </w:t>
      </w:r>
      <w:proofErr w:type="gramStart"/>
      <w:r w:rsidR="003663C1" w:rsidRPr="00DD71E7">
        <w:t>similar to</w:t>
      </w:r>
      <w:proofErr w:type="gramEnd"/>
      <w:r w:rsidR="003663C1" w:rsidRPr="00DD71E7">
        <w:t xml:space="preserve"> the funding model</w:t>
      </w:r>
      <w:r w:rsidR="00193CA0" w:rsidRPr="00DD71E7">
        <w:t xml:space="preserve"> used by the </w:t>
      </w:r>
      <w:r w:rsidR="003663C1" w:rsidRPr="00DD71E7">
        <w:t>NDIS</w:t>
      </w:r>
      <w:r w:rsidR="00DA2774" w:rsidRPr="00DD71E7">
        <w:footnoteReference w:id="161"/>
      </w:r>
      <w:r w:rsidR="004D384F" w:rsidRPr="00DD71E7">
        <w:t xml:space="preserve">. Individuals accessing prostheses would not </w:t>
      </w:r>
      <w:r w:rsidR="00C00BAD" w:rsidRPr="00DD71E7">
        <w:t xml:space="preserve">be required </w:t>
      </w:r>
      <w:r w:rsidR="004D384F" w:rsidRPr="00DD71E7">
        <w:t>to pay upfront or manage reimbursement claims.</w:t>
      </w:r>
      <w:r w:rsidR="003663C1" w:rsidRPr="00DD71E7">
        <w:t xml:space="preserve"> Key features may include:</w:t>
      </w:r>
    </w:p>
    <w:p w14:paraId="22ACFA4D" w14:textId="64A77A52" w:rsidR="003B6AF7" w:rsidRDefault="003B6AF7" w:rsidP="00BC7573">
      <w:pPr>
        <w:pStyle w:val="Bullet1stlevel"/>
      </w:pPr>
      <w:r>
        <w:t>Individuals access prostheses services provided by an approved prostheses provider</w:t>
      </w:r>
      <w:r w:rsidR="00DA2774">
        <w:t>, which could be a private provider or a public hospital-based service</w:t>
      </w:r>
      <w:r w:rsidR="00BC7573">
        <w:t>.</w:t>
      </w:r>
    </w:p>
    <w:p w14:paraId="32E056AC" w14:textId="62A76089" w:rsidR="003663C1" w:rsidRDefault="003663C1" w:rsidP="00BC7573">
      <w:pPr>
        <w:pStyle w:val="Bullet1stlevel"/>
      </w:pPr>
      <w:r>
        <w:t xml:space="preserve">Approved prostheses providers </w:t>
      </w:r>
      <w:r w:rsidR="00454483">
        <w:t>submit a payment request to</w:t>
      </w:r>
      <w:r>
        <w:t xml:space="preserve"> the government directly for eligible prostheses</w:t>
      </w:r>
    </w:p>
    <w:p w14:paraId="0DA0D0BD" w14:textId="4A2F558A" w:rsidR="003663C1" w:rsidRDefault="003663C1" w:rsidP="00BC7573">
      <w:pPr>
        <w:pStyle w:val="Bullet1stlevel"/>
      </w:pPr>
      <w:r>
        <w:t xml:space="preserve">Claims are verified </w:t>
      </w:r>
      <w:r w:rsidR="003B6AF7">
        <w:t>and</w:t>
      </w:r>
      <w:r>
        <w:t xml:space="preserve"> processed</w:t>
      </w:r>
      <w:r w:rsidR="003B6AF7">
        <w:t xml:space="preserve"> centrally</w:t>
      </w:r>
      <w:r w:rsidR="00BC7573">
        <w:t>.</w:t>
      </w:r>
    </w:p>
    <w:p w14:paraId="030CCB6D" w14:textId="14F16CF2" w:rsidR="00F02C70" w:rsidRDefault="00F02C70" w:rsidP="00BC7573">
      <w:pPr>
        <w:pStyle w:val="Bullet1stlevel"/>
      </w:pPr>
      <w:r>
        <w:t>Providers are reimbursed for the prostheses provided</w:t>
      </w:r>
      <w:r w:rsidR="00BC7573">
        <w:t>.</w:t>
      </w:r>
    </w:p>
    <w:p w14:paraId="73D8D800" w14:textId="0CED4347" w:rsidR="00F02C70" w:rsidRDefault="00F02C70" w:rsidP="00BC7573">
      <w:pPr>
        <w:pStyle w:val="Bullet1stlevel"/>
      </w:pPr>
      <w:r>
        <w:t>Individuals accessing services would not have any out-of-pocket costs, unless choosing a non-</w:t>
      </w:r>
      <w:r w:rsidR="00DA49C1">
        <w:t>eligible</w:t>
      </w:r>
      <w:r>
        <w:t xml:space="preserve"> option</w:t>
      </w:r>
      <w:r w:rsidR="00BC7573">
        <w:t>.</w:t>
      </w:r>
    </w:p>
    <w:p w14:paraId="3AE397B6" w14:textId="43706857" w:rsidR="00DA2774" w:rsidRPr="00DD71E7" w:rsidRDefault="00C55E6F" w:rsidP="00DD71E7">
      <w:r w:rsidRPr="00DD71E7">
        <w:fldChar w:fldCharType="begin"/>
      </w:r>
      <w:r w:rsidRPr="00DD71E7">
        <w:instrText xml:space="preserve"> REF _Ref201751338 \h </w:instrText>
      </w:r>
      <w:r w:rsidR="00DD71E7">
        <w:instrText xml:space="preserve"> \* MERGEFORMAT </w:instrText>
      </w:r>
      <w:r w:rsidRPr="00DD71E7">
        <w:fldChar w:fldCharType="separate"/>
      </w:r>
      <w:r w:rsidR="00D955D8" w:rsidRPr="00DD71E7">
        <w:t xml:space="preserve">Figure </w:t>
      </w:r>
      <w:r w:rsidR="00FA017E" w:rsidRPr="00DD71E7">
        <w:t>12</w:t>
      </w:r>
      <w:r w:rsidRPr="00DD71E7">
        <w:fldChar w:fldCharType="end"/>
      </w:r>
      <w:r w:rsidRPr="00DD71E7">
        <w:t xml:space="preserve"> outlines the potential flow of funds under a direct provider payment model for a national cancer prostheses program.</w:t>
      </w:r>
    </w:p>
    <w:p w14:paraId="29A16596" w14:textId="0C7D8366" w:rsidR="00400F6B" w:rsidRDefault="00400F6B" w:rsidP="00EF4876">
      <w:pPr>
        <w:pStyle w:val="Caption"/>
        <w:spacing w:before="240" w:after="0"/>
      </w:pPr>
      <w:bookmarkStart w:id="142" w:name="_Ref201751338"/>
      <w:bookmarkStart w:id="143" w:name="_Toc207348719"/>
      <w:r>
        <w:t xml:space="preserve">Figure </w:t>
      </w:r>
      <w:r w:rsidR="00A45374">
        <w:fldChar w:fldCharType="begin"/>
      </w:r>
      <w:r w:rsidR="00A45374">
        <w:instrText xml:space="preserve"> SEQ Figure \* ARABIC </w:instrText>
      </w:r>
      <w:r w:rsidR="00A45374">
        <w:fldChar w:fldCharType="separate"/>
      </w:r>
      <w:r w:rsidR="00A45374">
        <w:rPr>
          <w:noProof/>
        </w:rPr>
        <w:t>12</w:t>
      </w:r>
      <w:r w:rsidR="00A45374">
        <w:rPr>
          <w:noProof/>
        </w:rPr>
        <w:fldChar w:fldCharType="end"/>
      </w:r>
      <w:bookmarkEnd w:id="142"/>
      <w:r>
        <w:t>: Direct provider payment model flow of funds</w:t>
      </w:r>
      <w:bookmarkEnd w:id="143"/>
    </w:p>
    <w:p w14:paraId="59679A12" w14:textId="41FAF629" w:rsidR="00B81CCC" w:rsidRDefault="00386620" w:rsidP="00DD71E7">
      <w:r w:rsidRPr="00DD71E7">
        <w:drawing>
          <wp:inline distT="0" distB="0" distL="0" distR="0" wp14:anchorId="5ABF16A7" wp14:editId="387E7792">
            <wp:extent cx="5755907" cy="1186180"/>
            <wp:effectExtent l="0" t="0" r="0" b="0"/>
            <wp:docPr id="271401945" name="Picture 23" descr="Individual accessess prostheses from approved prostheses provider, who submits an invoice to the Australian Government. The Government reimburses the amount back to approved prostheses provi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401945" name="Picture 23" descr="Individual accessess prostheses from approved prostheses provider, who submits an invoice to the Australian Government. The Government reimburses the amount back to approved prostheses providers."/>
                    <pic:cNvPicPr>
                      <a:picLocks noChangeAspect="1" noChangeArrowheads="1"/>
                    </pic:cNvPicPr>
                  </pic:nvPicPr>
                  <pic:blipFill>
                    <a:blip r:embed="rId74">
                      <a:extLst>
                        <a:ext uri="{96DAC541-7B7A-43D3-8B79-37D633B846F1}">
                          <asvg:svgBlip xmlns:asvg="http://schemas.microsoft.com/office/drawing/2016/SVG/main" r:embed="rId75"/>
                        </a:ext>
                      </a:extLst>
                    </a:blip>
                    <a:stretch>
                      <a:fillRect/>
                    </a:stretch>
                  </pic:blipFill>
                  <pic:spPr bwMode="auto">
                    <a:xfrm>
                      <a:off x="0" y="0"/>
                      <a:ext cx="5759330" cy="1186885"/>
                    </a:xfrm>
                    <a:prstGeom prst="rect">
                      <a:avLst/>
                    </a:prstGeom>
                  </pic:spPr>
                </pic:pic>
              </a:graphicData>
            </a:graphic>
          </wp:inline>
        </w:drawing>
      </w:r>
    </w:p>
    <w:p w14:paraId="1C89E9FC" w14:textId="0F66D96B" w:rsidR="00386620" w:rsidRDefault="00386620" w:rsidP="00BE16A7">
      <w:pPr>
        <w:pStyle w:val="Caption-Source"/>
        <w:rPr>
          <w:i/>
          <w:iCs w:val="0"/>
          <w:szCs w:val="20"/>
        </w:rPr>
      </w:pPr>
      <w:r w:rsidRPr="00386620">
        <w:t xml:space="preserve">Source: </w:t>
      </w:r>
      <w:r w:rsidR="0044544E" w:rsidRPr="0044544E">
        <w:t>Independent reviewer</w:t>
      </w:r>
      <w:r w:rsidRPr="00386620">
        <w:t xml:space="preserve"> (2025)</w:t>
      </w:r>
    </w:p>
    <w:p w14:paraId="79322F61" w14:textId="28E94F8C" w:rsidR="00865966" w:rsidRPr="00DD71E7" w:rsidRDefault="00193CA0" w:rsidP="00DD71E7">
      <w:r w:rsidRPr="00DD71E7">
        <w:t xml:space="preserve">This model </w:t>
      </w:r>
      <w:r w:rsidR="00BE5DE4" w:rsidRPr="00DD71E7">
        <w:t xml:space="preserve">could </w:t>
      </w:r>
      <w:r w:rsidRPr="00DD71E7">
        <w:t xml:space="preserve">support equitable access </w:t>
      </w:r>
      <w:r w:rsidR="00F02C70" w:rsidRPr="00DD71E7">
        <w:t xml:space="preserve">to cancer prostheses </w:t>
      </w:r>
      <w:r w:rsidRPr="00DD71E7">
        <w:t xml:space="preserve">by </w:t>
      </w:r>
      <w:r w:rsidR="00F02C70" w:rsidRPr="00DD71E7">
        <w:t>removing the requirement for individuals to pay</w:t>
      </w:r>
      <w:r w:rsidRPr="00DD71E7">
        <w:t xml:space="preserve"> upfront, </w:t>
      </w:r>
      <w:r w:rsidR="003B6AF7" w:rsidRPr="00DD71E7">
        <w:t xml:space="preserve">which would </w:t>
      </w:r>
      <w:r w:rsidRPr="00DD71E7">
        <w:t>particularly benefit</w:t>
      </w:r>
      <w:r w:rsidR="003B6AF7" w:rsidRPr="00DD71E7">
        <w:t xml:space="preserve"> </w:t>
      </w:r>
      <w:r w:rsidRPr="00DD71E7">
        <w:t>low-income individuals. It</w:t>
      </w:r>
      <w:r w:rsidR="003B6AF7" w:rsidRPr="00DD71E7">
        <w:t xml:space="preserve"> </w:t>
      </w:r>
      <w:r w:rsidR="00BE5DE4" w:rsidRPr="00DD71E7">
        <w:t xml:space="preserve">could </w:t>
      </w:r>
      <w:r w:rsidRPr="00DD71E7">
        <w:t>also simplif</w:t>
      </w:r>
      <w:r w:rsidR="003B6AF7" w:rsidRPr="00DD71E7">
        <w:t>y</w:t>
      </w:r>
      <w:r w:rsidRPr="00DD71E7">
        <w:t xml:space="preserve"> the user journey by removing the need for individuals to navigate billing or claims</w:t>
      </w:r>
      <w:r w:rsidR="003B6AF7" w:rsidRPr="00DD71E7">
        <w:t xml:space="preserve"> processes</w:t>
      </w:r>
      <w:r w:rsidR="00865966" w:rsidRPr="00DD71E7">
        <w:t xml:space="preserve">, with </w:t>
      </w:r>
      <w:r w:rsidR="00F02C70" w:rsidRPr="00DD71E7">
        <w:t>responsibility transferred to the provider</w:t>
      </w:r>
      <w:r w:rsidRPr="00DD71E7">
        <w:t>.</w:t>
      </w:r>
    </w:p>
    <w:p w14:paraId="393D611C" w14:textId="34E4BC52" w:rsidR="00193CA0" w:rsidRPr="00DD71E7" w:rsidRDefault="00865966" w:rsidP="00DD71E7">
      <w:r w:rsidRPr="00DD71E7">
        <w:t>A</w:t>
      </w:r>
      <w:r w:rsidR="00F02C70" w:rsidRPr="00DD71E7">
        <w:t xml:space="preserve"> direct provider payment model</w:t>
      </w:r>
      <w:r w:rsidR="00193CA0" w:rsidRPr="00DD71E7">
        <w:t xml:space="preserve"> </w:t>
      </w:r>
      <w:r w:rsidRPr="00DD71E7">
        <w:t xml:space="preserve">would </w:t>
      </w:r>
      <w:r w:rsidR="00193CA0" w:rsidRPr="00DD71E7">
        <w:t xml:space="preserve">require robust governance, </w:t>
      </w:r>
      <w:r w:rsidRPr="00DD71E7">
        <w:t>safety</w:t>
      </w:r>
      <w:r w:rsidR="002836AB" w:rsidRPr="00DD71E7">
        <w:t>, and quality frameworks, as well as regulations and fraud prevention mechanisms, to prevent the</w:t>
      </w:r>
      <w:r w:rsidR="00193CA0" w:rsidRPr="00DD71E7">
        <w:t xml:space="preserve"> misuse of funds or non-compliant providers. </w:t>
      </w:r>
      <w:r w:rsidR="00A26BD1" w:rsidRPr="00DD71E7">
        <w:t>Stakeholder</w:t>
      </w:r>
      <w:r w:rsidR="00DA2774" w:rsidRPr="00DD71E7">
        <w:t>s</w:t>
      </w:r>
      <w:r w:rsidR="00A26BD1" w:rsidRPr="00DD71E7">
        <w:t xml:space="preserve"> consulted as part</w:t>
      </w:r>
      <w:r w:rsidR="00193CA0" w:rsidRPr="00DD71E7">
        <w:t xml:space="preserve"> of </w:t>
      </w:r>
      <w:r w:rsidR="00A26BD1" w:rsidRPr="00DD71E7">
        <w:t>this review highlighted concerns about the</w:t>
      </w:r>
      <w:r w:rsidR="00C35A7D" w:rsidRPr="00DD71E7">
        <w:t xml:space="preserve"> potential</w:t>
      </w:r>
      <w:r w:rsidR="00A26BD1" w:rsidRPr="00DD71E7">
        <w:t xml:space="preserve"> emergence of</w:t>
      </w:r>
      <w:r w:rsidR="00C35A7D" w:rsidRPr="00DD71E7">
        <w:t xml:space="preserve"> </w:t>
      </w:r>
      <w:r w:rsidR="00A26BD1" w:rsidRPr="00DD71E7">
        <w:t>providers</w:t>
      </w:r>
      <w:r w:rsidR="00C35A7D" w:rsidRPr="00DD71E7">
        <w:t xml:space="preserve"> who do not meet quality and safety standards</w:t>
      </w:r>
      <w:r w:rsidR="00A26BD1" w:rsidRPr="00DD71E7">
        <w:t xml:space="preserve">, specifically in </w:t>
      </w:r>
      <w:r w:rsidR="00DA2774" w:rsidRPr="00DD71E7">
        <w:t xml:space="preserve">the </w:t>
      </w:r>
      <w:r w:rsidR="00A26BD1" w:rsidRPr="00DD71E7">
        <w:t>facial prosthetics sector</w:t>
      </w:r>
      <w:r w:rsidR="001F7D70" w:rsidRPr="00DD71E7">
        <w:t>,</w:t>
      </w:r>
      <w:r w:rsidR="00A26BD1" w:rsidRPr="00DD71E7">
        <w:t xml:space="preserve"> </w:t>
      </w:r>
      <w:r w:rsidR="00CF535D" w:rsidRPr="00DD71E7">
        <w:t xml:space="preserve">where </w:t>
      </w:r>
      <w:r w:rsidR="00A26BD1" w:rsidRPr="00DD71E7">
        <w:t xml:space="preserve">vulnerable </w:t>
      </w:r>
      <w:r w:rsidR="001E5E00" w:rsidRPr="00DD71E7">
        <w:t>individuals seeking care</w:t>
      </w:r>
      <w:r w:rsidR="00CF535D" w:rsidRPr="00DD71E7">
        <w:t xml:space="preserve"> may be at risk of exploitation</w:t>
      </w:r>
      <w:r w:rsidR="001E5E00" w:rsidRPr="00DD71E7">
        <w:t>.</w:t>
      </w:r>
      <w:r w:rsidR="00193CA0" w:rsidRPr="00DD71E7">
        <w:t xml:space="preserve"> In addition, centralised claims processing </w:t>
      </w:r>
      <w:r w:rsidR="00361D53" w:rsidRPr="00DD71E7">
        <w:t xml:space="preserve">could </w:t>
      </w:r>
      <w:r w:rsidR="00193CA0" w:rsidRPr="00DD71E7">
        <w:t>introduce administrative complexity for the government.</w:t>
      </w:r>
    </w:p>
    <w:p w14:paraId="3DB6C299" w14:textId="73681A98" w:rsidR="00734525" w:rsidRPr="002903F0" w:rsidRDefault="009B33A2" w:rsidP="00680E22">
      <w:pPr>
        <w:pStyle w:val="Heading5"/>
      </w:pPr>
      <w:r w:rsidRPr="00680E22">
        <w:t xml:space="preserve">Option </w:t>
      </w:r>
      <w:r w:rsidR="00474C85" w:rsidRPr="002903F0">
        <w:t>B</w:t>
      </w:r>
      <w:r w:rsidRPr="002903F0">
        <w:t xml:space="preserve">: Block funding to providers or jurisdictions </w:t>
      </w:r>
    </w:p>
    <w:p w14:paraId="27542D58" w14:textId="4A5FAB5F" w:rsidR="00734525" w:rsidRPr="00DD71E7" w:rsidRDefault="009B33A2" w:rsidP="00DD71E7">
      <w:r w:rsidRPr="00DD71E7">
        <w:t xml:space="preserve">Under a block funding model, the </w:t>
      </w:r>
      <w:r w:rsidR="00361D53" w:rsidRPr="00DD71E7">
        <w:t xml:space="preserve">Australian Government </w:t>
      </w:r>
      <w:r w:rsidRPr="00DD71E7">
        <w:t xml:space="preserve">would allocate funding to jurisdictional health departments or contracted providers, who would then manage prostheses </w:t>
      </w:r>
      <w:r w:rsidR="00D36DC7" w:rsidRPr="00DD71E7">
        <w:t xml:space="preserve">service </w:t>
      </w:r>
      <w:r w:rsidRPr="00DD71E7">
        <w:t>delivery within allocated budgets.</w:t>
      </w:r>
      <w:r w:rsidR="00734525" w:rsidRPr="00DD71E7">
        <w:t xml:space="preserve"> </w:t>
      </w:r>
      <w:r w:rsidR="009F471B" w:rsidRPr="00DD71E7">
        <w:fldChar w:fldCharType="begin"/>
      </w:r>
      <w:r w:rsidR="009F471B" w:rsidRPr="00DD71E7">
        <w:instrText xml:space="preserve"> REF _Ref201757605 \h </w:instrText>
      </w:r>
      <w:r w:rsidR="00DD71E7">
        <w:instrText xml:space="preserve"> \* MERGEFORMAT </w:instrText>
      </w:r>
      <w:r w:rsidR="009F471B" w:rsidRPr="00DD71E7">
        <w:fldChar w:fldCharType="separate"/>
      </w:r>
      <w:r w:rsidR="00D955D8" w:rsidRPr="00DD71E7">
        <w:t xml:space="preserve">Figure </w:t>
      </w:r>
      <w:r w:rsidR="000076EC" w:rsidRPr="00DD71E7">
        <w:t>13</w:t>
      </w:r>
      <w:r w:rsidR="009F471B" w:rsidRPr="00DD71E7">
        <w:fldChar w:fldCharType="end"/>
      </w:r>
      <w:r w:rsidR="009F471B" w:rsidRPr="00DD71E7">
        <w:t xml:space="preserve"> below outlines the potential flow of funds under a block funding model for a national cancer prostheses program. </w:t>
      </w:r>
      <w:r w:rsidR="00734525" w:rsidRPr="00DD71E7">
        <w:t>Key features may include:</w:t>
      </w:r>
    </w:p>
    <w:p w14:paraId="760EEC5D" w14:textId="66C3A4E2" w:rsidR="00734525" w:rsidRDefault="009B33A2" w:rsidP="00BC7573">
      <w:pPr>
        <w:pStyle w:val="Bullet1stlevel"/>
      </w:pPr>
      <w:r>
        <w:t>Lump sum funding provided to providers or jurisdiction</w:t>
      </w:r>
      <w:r w:rsidR="009F471B">
        <w:t>al health departments</w:t>
      </w:r>
      <w:r>
        <w:t xml:space="preserve"> based on demand</w:t>
      </w:r>
      <w:r w:rsidR="00BC7573">
        <w:t>.</w:t>
      </w:r>
    </w:p>
    <w:p w14:paraId="3FEB71D4" w14:textId="3A8B6168" w:rsidR="009B33A2" w:rsidRDefault="009F471B" w:rsidP="00BC7573">
      <w:pPr>
        <w:pStyle w:val="Bullet1stlevel"/>
      </w:pPr>
      <w:r>
        <w:t>Providers or jurisdictional health departments</w:t>
      </w:r>
      <w:r w:rsidR="009B33A2">
        <w:t xml:space="preserve"> manage procurement, service delivery, and budget distribution</w:t>
      </w:r>
      <w:r w:rsidR="00A97C6D">
        <w:t>.</w:t>
      </w:r>
    </w:p>
    <w:p w14:paraId="3AF7C7B9" w14:textId="4064930D" w:rsidR="009B33A2" w:rsidRDefault="009B33A2" w:rsidP="00BC7573">
      <w:pPr>
        <w:pStyle w:val="Bullet1stlevel"/>
      </w:pPr>
      <w:r>
        <w:t>Services may be embedded within existing health networks or hospitals</w:t>
      </w:r>
      <w:r w:rsidR="00D36DC7">
        <w:t>.</w:t>
      </w:r>
    </w:p>
    <w:p w14:paraId="357CB83E" w14:textId="7FA2593A" w:rsidR="009F471B" w:rsidRDefault="009F471B" w:rsidP="00EC1F60">
      <w:pPr>
        <w:pStyle w:val="Caption"/>
        <w:spacing w:before="240"/>
      </w:pPr>
      <w:bookmarkStart w:id="144" w:name="_Ref201757605"/>
      <w:bookmarkStart w:id="145" w:name="_Toc207348720"/>
      <w:r>
        <w:t xml:space="preserve">Figure </w:t>
      </w:r>
      <w:r w:rsidR="000076EC">
        <w:fldChar w:fldCharType="begin"/>
      </w:r>
      <w:r w:rsidR="000076EC">
        <w:instrText xml:space="preserve"> SEQ Figure \* ARABIC </w:instrText>
      </w:r>
      <w:r w:rsidR="000076EC">
        <w:fldChar w:fldCharType="separate"/>
      </w:r>
      <w:r w:rsidR="000076EC">
        <w:rPr>
          <w:noProof/>
        </w:rPr>
        <w:t>13</w:t>
      </w:r>
      <w:r w:rsidR="000076EC">
        <w:rPr>
          <w:noProof/>
        </w:rPr>
        <w:fldChar w:fldCharType="end"/>
      </w:r>
      <w:bookmarkEnd w:id="144"/>
      <w:r>
        <w:t>: Block funding</w:t>
      </w:r>
      <w:r w:rsidRPr="003A2D89">
        <w:t xml:space="preserve"> payment model flow of funds</w:t>
      </w:r>
      <w:bookmarkEnd w:id="145"/>
    </w:p>
    <w:p w14:paraId="7C94CF8A" w14:textId="014C5BA4" w:rsidR="009F471B" w:rsidRDefault="009F471B" w:rsidP="00DD71E7">
      <w:r w:rsidRPr="00DD71E7">
        <w:drawing>
          <wp:inline distT="0" distB="0" distL="0" distR="0" wp14:anchorId="127AAD19" wp14:editId="2B578AE8">
            <wp:extent cx="6214610" cy="693019"/>
            <wp:effectExtent l="0" t="0" r="0" b="0"/>
            <wp:docPr id="1470556116" name="Picture 24" descr="The Australian government provides block funding to jursdicitional health department who provide prostheses to the individual, within their bud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556116" name="Picture 24" descr="The Australian government provides block funding to jursdicitional health department who provide prostheses to the individual, within their budget."/>
                    <pic:cNvPicPr>
                      <a:picLocks noChangeAspect="1" noChangeArrowheads="1"/>
                    </pic:cNvPicPr>
                  </pic:nvPicPr>
                  <pic:blipFill>
                    <a:blip r:embed="rId76">
                      <a:extLst>
                        <a:ext uri="{96DAC541-7B7A-43D3-8B79-37D633B846F1}">
                          <asvg:svgBlip xmlns:asvg="http://schemas.microsoft.com/office/drawing/2016/SVG/main" r:embed="rId77"/>
                        </a:ext>
                      </a:extLst>
                    </a:blip>
                    <a:stretch>
                      <a:fillRect/>
                    </a:stretch>
                  </pic:blipFill>
                  <pic:spPr bwMode="auto">
                    <a:xfrm>
                      <a:off x="0" y="0"/>
                      <a:ext cx="6240077" cy="695859"/>
                    </a:xfrm>
                    <a:prstGeom prst="rect">
                      <a:avLst/>
                    </a:prstGeom>
                  </pic:spPr>
                </pic:pic>
              </a:graphicData>
            </a:graphic>
          </wp:inline>
        </w:drawing>
      </w:r>
    </w:p>
    <w:p w14:paraId="2BFA4CBD" w14:textId="6FA29CDA" w:rsidR="009F471B" w:rsidRDefault="009F471B" w:rsidP="00D56996">
      <w:pPr>
        <w:pStyle w:val="Caption-Source"/>
        <w:rPr>
          <w:i/>
          <w:iCs w:val="0"/>
          <w:szCs w:val="20"/>
        </w:rPr>
      </w:pPr>
      <w:r w:rsidRPr="009F471B">
        <w:t xml:space="preserve">Source: </w:t>
      </w:r>
      <w:r w:rsidR="0044544E" w:rsidRPr="0044544E">
        <w:t>Independent reviewer</w:t>
      </w:r>
      <w:r w:rsidRPr="009F471B">
        <w:t xml:space="preserve"> (2025)</w:t>
      </w:r>
    </w:p>
    <w:p w14:paraId="3B044A74" w14:textId="41005D4B" w:rsidR="003663C1" w:rsidRPr="00DD71E7" w:rsidRDefault="009F471B" w:rsidP="00DD71E7">
      <w:r w:rsidRPr="00DD71E7">
        <w:t xml:space="preserve">A block-funding </w:t>
      </w:r>
      <w:r w:rsidR="000E0817" w:rsidRPr="00DD71E7">
        <w:t xml:space="preserve">model </w:t>
      </w:r>
      <w:r w:rsidR="006A32AC" w:rsidRPr="00DD71E7">
        <w:t xml:space="preserve">could </w:t>
      </w:r>
      <w:r w:rsidR="00F82A81" w:rsidRPr="00DD71E7">
        <w:t>support flexibility</w:t>
      </w:r>
      <w:r w:rsidR="006A32AC" w:rsidRPr="00DD71E7">
        <w:t xml:space="preserve"> in service delivery</w:t>
      </w:r>
      <w:r w:rsidR="00F82A81" w:rsidRPr="00DD71E7">
        <w:t xml:space="preserve"> and local responsiveness, allowing jurisdictions </w:t>
      </w:r>
      <w:r w:rsidRPr="00DD71E7">
        <w:t>and providers</w:t>
      </w:r>
      <w:r w:rsidR="00F82A81" w:rsidRPr="00DD71E7">
        <w:t xml:space="preserve"> to tailor services to regional needs. It </w:t>
      </w:r>
      <w:r w:rsidR="00361D53" w:rsidRPr="00DD71E7">
        <w:t xml:space="preserve">could </w:t>
      </w:r>
      <w:r w:rsidR="00F82A81" w:rsidRPr="00DD71E7">
        <w:t>also leverage existing service infrastructure and integrate with current hospital-based programs</w:t>
      </w:r>
      <w:r w:rsidR="000E0817" w:rsidRPr="00DD71E7">
        <w:t>.</w:t>
      </w:r>
      <w:r w:rsidR="006A32AC" w:rsidRPr="00DD71E7">
        <w:t xml:space="preserve"> T</w:t>
      </w:r>
      <w:r w:rsidR="000E0817" w:rsidRPr="00DD71E7">
        <w:t xml:space="preserve">here is a risk that funding may </w:t>
      </w:r>
      <w:r w:rsidRPr="00DD71E7">
        <w:t>not</w:t>
      </w:r>
      <w:r w:rsidR="000E0817" w:rsidRPr="00DD71E7">
        <w:t xml:space="preserve"> meet local demand, which could result in waitlists</w:t>
      </w:r>
      <w:r w:rsidR="006A32AC" w:rsidRPr="00DD71E7">
        <w:t>. This approach could also lead to inconsistencies in service delivery</w:t>
      </w:r>
      <w:r w:rsidR="000E0817" w:rsidRPr="00DD71E7">
        <w:t xml:space="preserve"> </w:t>
      </w:r>
      <w:r w:rsidR="006A32AC" w:rsidRPr="00DD71E7">
        <w:t>between</w:t>
      </w:r>
      <w:r w:rsidR="000E0817" w:rsidRPr="00DD71E7">
        <w:t xml:space="preserve"> </w:t>
      </w:r>
      <w:r w:rsidR="006A32AC" w:rsidRPr="00DD71E7">
        <w:t>jurisdictions</w:t>
      </w:r>
      <w:r w:rsidR="000E0817" w:rsidRPr="00DD71E7">
        <w:t xml:space="preserve">. Block funding is also often </w:t>
      </w:r>
      <w:r w:rsidR="002836AB" w:rsidRPr="00DD71E7">
        <w:t>time-limited</w:t>
      </w:r>
      <w:r w:rsidR="000E0817" w:rsidRPr="00DD71E7">
        <w:t xml:space="preserve"> and tied to specific political commitments. As a result, it is vulnerable to changes in government priorities, budget cycles or policy shifts. Therefore, without long-term funding guarantees, the sustainability of this option cannot be guaranteed.</w:t>
      </w:r>
    </w:p>
    <w:p w14:paraId="180A1939" w14:textId="73A73525" w:rsidR="005C430F" w:rsidRPr="00DD71E7" w:rsidRDefault="00E467E0" w:rsidP="00DD71E7">
      <w:r w:rsidRPr="00DD71E7">
        <w:t xml:space="preserve">A hybrid model that combines both Option A and Option B could also be considered. Jurisdictional limb schemes provide an example of how this could be applied. </w:t>
      </w:r>
      <w:r w:rsidR="00E64DD8" w:rsidRPr="00DD71E7">
        <w:t xml:space="preserve">While </w:t>
      </w:r>
      <w:r w:rsidR="0030731F" w:rsidRPr="00DD71E7">
        <w:t>jurisdictional limb</w:t>
      </w:r>
      <w:r w:rsidR="009C6F44" w:rsidRPr="00DD71E7">
        <w:t xml:space="preserve"> scheme</w:t>
      </w:r>
      <w:r w:rsidR="0030731F" w:rsidRPr="00DD71E7">
        <w:t>s</w:t>
      </w:r>
      <w:r w:rsidR="009C6F44" w:rsidRPr="00DD71E7">
        <w:t xml:space="preserve"> </w:t>
      </w:r>
      <w:r w:rsidR="0030731F" w:rsidRPr="00DD71E7">
        <w:t xml:space="preserve">are </w:t>
      </w:r>
      <w:r w:rsidR="009C6F44" w:rsidRPr="00DD71E7">
        <w:t>block-funded</w:t>
      </w:r>
      <w:r w:rsidR="00E64DD8" w:rsidRPr="00DD71E7">
        <w:t xml:space="preserve">, the actual provision of limbs often involves direct payments to approved prosthetic service providers </w:t>
      </w:r>
      <w:r w:rsidR="009C6F44" w:rsidRPr="00DD71E7">
        <w:t>f</w:t>
      </w:r>
      <w:r w:rsidR="00E64DD8" w:rsidRPr="00DD71E7">
        <w:t xml:space="preserve">or the specific limbs and associated services provided to eligible individuals. </w:t>
      </w:r>
      <w:r w:rsidR="005C430F" w:rsidRPr="00DD71E7">
        <w:t>Key features of this model include:</w:t>
      </w:r>
    </w:p>
    <w:p w14:paraId="23436511" w14:textId="5768C0E6" w:rsidR="00F245CE" w:rsidRDefault="001A2F0A" w:rsidP="00D56996">
      <w:pPr>
        <w:pStyle w:val="Bullet1stlevel"/>
      </w:pPr>
      <w:r>
        <w:t xml:space="preserve">A </w:t>
      </w:r>
      <w:r w:rsidR="00F245CE" w:rsidRPr="00F245CE">
        <w:t>lump sum of funding (block funding)</w:t>
      </w:r>
      <w:r>
        <w:t xml:space="preserve"> is allocated </w:t>
      </w:r>
      <w:r w:rsidR="00F245CE" w:rsidRPr="00F245CE">
        <w:t xml:space="preserve">to the managing body of the </w:t>
      </w:r>
      <w:r w:rsidR="00F245CE">
        <w:t xml:space="preserve">limb scheme (e.g., </w:t>
      </w:r>
      <w:proofErr w:type="spellStart"/>
      <w:r w:rsidR="00F245CE" w:rsidRPr="00F245CE">
        <w:t>EnableNSW</w:t>
      </w:r>
      <w:proofErr w:type="spellEnd"/>
      <w:r w:rsidR="00F245CE" w:rsidRPr="00F245CE">
        <w:t>)</w:t>
      </w:r>
      <w:r w:rsidR="00505B49">
        <w:t>.</w:t>
      </w:r>
      <w:r w:rsidR="00F245CE" w:rsidRPr="00F245CE">
        <w:t xml:space="preserve"> This funding is for the overall operation of the scheme, including administrative costs, procurement of services, and the provision of prosthetic limbs and related services to eligible residents within that jurisdiction</w:t>
      </w:r>
      <w:r w:rsidR="00D56996">
        <w:t>.</w:t>
      </w:r>
    </w:p>
    <w:p w14:paraId="07E116B4" w14:textId="68BD1058" w:rsidR="001E2F22" w:rsidRPr="001E2F22" w:rsidRDefault="001E2F22" w:rsidP="00D56996">
      <w:pPr>
        <w:pStyle w:val="Bullet1stlevel"/>
      </w:pPr>
      <w:r w:rsidRPr="001E2F22">
        <w:t xml:space="preserve">Individuals requiring a prosthesis are assessed by an approved </w:t>
      </w:r>
      <w:r>
        <w:t>p</w:t>
      </w:r>
      <w:r w:rsidRPr="001E2F22">
        <w:t xml:space="preserve">rosthetic </w:t>
      </w:r>
      <w:r>
        <w:t>s</w:t>
      </w:r>
      <w:r w:rsidRPr="001E2F22">
        <w:t xml:space="preserve">ervice </w:t>
      </w:r>
      <w:r>
        <w:t>p</w:t>
      </w:r>
      <w:r w:rsidRPr="001E2F22">
        <w:t>rovider</w:t>
      </w:r>
      <w:r w:rsidR="00C023E4">
        <w:t>, which could be a private provider or a public hospital-based service,</w:t>
      </w:r>
      <w:r w:rsidR="00505B49">
        <w:t xml:space="preserve"> and provided with a prosthesis</w:t>
      </w:r>
      <w:r w:rsidR="00D56996">
        <w:t>.</w:t>
      </w:r>
    </w:p>
    <w:p w14:paraId="1C911876" w14:textId="3828E32D" w:rsidR="005C430F" w:rsidRDefault="008F3321" w:rsidP="00D56996">
      <w:pPr>
        <w:pStyle w:val="Bullet1stlevel"/>
      </w:pPr>
      <w:r>
        <w:t xml:space="preserve">The jurisdictional limb scheme </w:t>
      </w:r>
      <w:r w:rsidRPr="008F3321">
        <w:t xml:space="preserve">directly pays the </w:t>
      </w:r>
      <w:r>
        <w:t>provider</w:t>
      </w:r>
      <w:r w:rsidRPr="008F3321">
        <w:t xml:space="preserve"> for the prosthesis and associated services</w:t>
      </w:r>
      <w:r>
        <w:t xml:space="preserve">. </w:t>
      </w:r>
      <w:r w:rsidRPr="008F3321">
        <w:t>These payments are generally based on a pre-determined schedule of fees</w:t>
      </w:r>
      <w:r w:rsidR="00D56996">
        <w:t>.</w:t>
      </w:r>
    </w:p>
    <w:p w14:paraId="7777482A" w14:textId="735A9186" w:rsidR="008F3321" w:rsidRDefault="00622E5E" w:rsidP="00D56996">
      <w:pPr>
        <w:pStyle w:val="Bullet1stlevel"/>
      </w:pPr>
      <w:r w:rsidRPr="00622E5E">
        <w:t>Individuals do not pay upfront for the</w:t>
      </w:r>
      <w:r w:rsidR="00505B49">
        <w:t xml:space="preserve">ir </w:t>
      </w:r>
      <w:r w:rsidRPr="00622E5E">
        <w:t>prosthesis</w:t>
      </w:r>
      <w:r>
        <w:t xml:space="preserve">. </w:t>
      </w:r>
    </w:p>
    <w:p w14:paraId="24D8A2AD" w14:textId="19532B2E" w:rsidR="00622E5E" w:rsidRPr="00DD71E7" w:rsidRDefault="002166F4" w:rsidP="00DD71E7">
      <w:r w:rsidRPr="00DD71E7">
        <w:t xml:space="preserve">A </w:t>
      </w:r>
      <w:r w:rsidR="00141FFC" w:rsidRPr="00DD71E7">
        <w:t xml:space="preserve">hybrid model </w:t>
      </w:r>
      <w:r w:rsidRPr="00DD71E7">
        <w:t xml:space="preserve">could </w:t>
      </w:r>
      <w:r w:rsidR="00141FFC" w:rsidRPr="00DD71E7">
        <w:t xml:space="preserve">support equitable access to prostheses and offer predictability in government spending. However, this model may also limit provider choice and potentially lead to long waiting lists to access services. </w:t>
      </w:r>
    </w:p>
    <w:p w14:paraId="2EA90DA6" w14:textId="245578D4" w:rsidR="000E0817" w:rsidRPr="002903F0" w:rsidRDefault="000E0817" w:rsidP="00680E22">
      <w:pPr>
        <w:pStyle w:val="Heading5"/>
      </w:pPr>
      <w:r w:rsidRPr="00680E22">
        <w:t xml:space="preserve">Option </w:t>
      </w:r>
      <w:r w:rsidR="00474C85" w:rsidRPr="002903F0">
        <w:t>C</w:t>
      </w:r>
      <w:r w:rsidRPr="002903F0">
        <w:t xml:space="preserve">: Reimbursement model </w:t>
      </w:r>
    </w:p>
    <w:p w14:paraId="267D540D" w14:textId="333A48AB" w:rsidR="000E0817" w:rsidRPr="00DD71E7" w:rsidRDefault="000E0817" w:rsidP="00DD71E7">
      <w:proofErr w:type="gramStart"/>
      <w:r w:rsidRPr="00DD71E7">
        <w:t>Similar to</w:t>
      </w:r>
      <w:proofErr w:type="gramEnd"/>
      <w:r w:rsidRPr="00DD71E7">
        <w:t xml:space="preserve"> the current </w:t>
      </w:r>
      <w:r w:rsidR="00261F21" w:rsidRPr="00DD71E7">
        <w:t>EBPRP</w:t>
      </w:r>
      <w:r w:rsidRPr="00DD71E7">
        <w:t xml:space="preserve">, </w:t>
      </w:r>
      <w:r w:rsidR="002166F4" w:rsidRPr="00DD71E7">
        <w:t>a reimbursement</w:t>
      </w:r>
      <w:r w:rsidRPr="00DD71E7">
        <w:t xml:space="preserve"> model </w:t>
      </w:r>
      <w:r w:rsidR="00DA3359" w:rsidRPr="00DD71E7">
        <w:t>requires</w:t>
      </w:r>
      <w:r w:rsidRPr="00DD71E7">
        <w:t xml:space="preserve"> individuals</w:t>
      </w:r>
      <w:r w:rsidR="00DA3359" w:rsidRPr="00DD71E7">
        <w:t xml:space="preserve"> to pay</w:t>
      </w:r>
      <w:r w:rsidRPr="00DD71E7">
        <w:t xml:space="preserve"> for the cost of prostheses</w:t>
      </w:r>
      <w:r w:rsidR="00DA3359" w:rsidRPr="00DD71E7">
        <w:t xml:space="preserve"> upfront before receiving a reimbursement</w:t>
      </w:r>
      <w:r w:rsidRPr="00DD71E7">
        <w:t xml:space="preserve"> up to a capped amount. </w:t>
      </w:r>
      <w:r w:rsidR="00A87806" w:rsidRPr="00DD71E7">
        <w:fldChar w:fldCharType="begin"/>
      </w:r>
      <w:r w:rsidR="00A87806" w:rsidRPr="00DD71E7">
        <w:instrText xml:space="preserve"> REF _Ref201758368 \h </w:instrText>
      </w:r>
      <w:r w:rsidR="00A87806" w:rsidRPr="00DD71E7">
        <w:fldChar w:fldCharType="separate"/>
      </w:r>
      <w:r w:rsidR="00D955D8" w:rsidRPr="00DD71E7">
        <w:t xml:space="preserve">Figure </w:t>
      </w:r>
      <w:r w:rsidR="00F03BBB" w:rsidRPr="00DD71E7">
        <w:t>14</w:t>
      </w:r>
      <w:r w:rsidR="00A87806" w:rsidRPr="00DD71E7">
        <w:fldChar w:fldCharType="end"/>
      </w:r>
      <w:r w:rsidR="00A87806" w:rsidRPr="00DD71E7">
        <w:t xml:space="preserve"> below outlines the potential flow of funds under a reimbursement model for a national cancer prostheses program. </w:t>
      </w:r>
      <w:r w:rsidRPr="00DD71E7">
        <w:t>Key features may include:</w:t>
      </w:r>
    </w:p>
    <w:p w14:paraId="310E39C9" w14:textId="7B021EBD" w:rsidR="000E0817" w:rsidRDefault="000E0817" w:rsidP="00D56996">
      <w:pPr>
        <w:pStyle w:val="Bullet1stlevel"/>
      </w:pPr>
      <w:r>
        <w:t xml:space="preserve">Individuals pay for prostheses upfront and submit </w:t>
      </w:r>
      <w:r w:rsidR="002836AB">
        <w:t xml:space="preserve">a </w:t>
      </w:r>
      <w:r>
        <w:t>receipt for reimbursement</w:t>
      </w:r>
      <w:r w:rsidR="00D56996">
        <w:t>.</w:t>
      </w:r>
    </w:p>
    <w:p w14:paraId="095D3DCA" w14:textId="23573A96" w:rsidR="00BF76EA" w:rsidRDefault="0081053E" w:rsidP="00D56996">
      <w:pPr>
        <w:pStyle w:val="Bullet1stlevel"/>
      </w:pPr>
      <w:r>
        <w:t xml:space="preserve">The government </w:t>
      </w:r>
      <w:r w:rsidR="00BF76EA">
        <w:t>covers</w:t>
      </w:r>
      <w:r>
        <w:t xml:space="preserve"> a percentage or </w:t>
      </w:r>
      <w:r w:rsidR="00BF76EA">
        <w:t>base level</w:t>
      </w:r>
      <w:r>
        <w:t xml:space="preserve"> cap </w:t>
      </w:r>
      <w:r w:rsidR="00BF76EA">
        <w:t>and reimburses the individual</w:t>
      </w:r>
      <w:r w:rsidR="00D56996">
        <w:t>.</w:t>
      </w:r>
    </w:p>
    <w:p w14:paraId="0C280667" w14:textId="7FDCE129" w:rsidR="001832A1" w:rsidRDefault="001832A1" w:rsidP="00D56996">
      <w:pPr>
        <w:pStyle w:val="Bullet1stlevel"/>
      </w:pPr>
      <w:r w:rsidRPr="001832A1">
        <w:t xml:space="preserve">Individuals who choose to purchase a higher-grade prosthesis </w:t>
      </w:r>
      <w:r w:rsidR="00DA3359">
        <w:t>would be</w:t>
      </w:r>
      <w:r w:rsidRPr="001832A1">
        <w:t xml:space="preserve"> required to pay the difference between the reimbursement cap and the total cost out-of-pocket.</w:t>
      </w:r>
    </w:p>
    <w:p w14:paraId="488C8512" w14:textId="168EA7A9" w:rsidR="000E0817" w:rsidRDefault="00893620" w:rsidP="00D56996">
      <w:pPr>
        <w:pStyle w:val="Bullet1stlevel"/>
      </w:pPr>
      <w:r>
        <w:t>A central or third-party administrator processes claims</w:t>
      </w:r>
      <w:r w:rsidR="00D36DC7">
        <w:t>.</w:t>
      </w:r>
    </w:p>
    <w:p w14:paraId="4E01729F" w14:textId="12A4A6BB" w:rsidR="00A87806" w:rsidRDefault="00A87806" w:rsidP="00EC1F60">
      <w:pPr>
        <w:pStyle w:val="Caption"/>
        <w:spacing w:before="240"/>
      </w:pPr>
      <w:bookmarkStart w:id="146" w:name="_Ref201758368"/>
      <w:bookmarkStart w:id="147" w:name="_Toc207348721"/>
      <w:r>
        <w:t xml:space="preserve">Figure </w:t>
      </w:r>
      <w:r w:rsidR="00F03BBB">
        <w:fldChar w:fldCharType="begin"/>
      </w:r>
      <w:r w:rsidR="00F03BBB">
        <w:instrText xml:space="preserve"> SEQ Figure \* ARABIC </w:instrText>
      </w:r>
      <w:r w:rsidR="00F03BBB">
        <w:fldChar w:fldCharType="separate"/>
      </w:r>
      <w:r w:rsidR="00F03BBB">
        <w:rPr>
          <w:noProof/>
        </w:rPr>
        <w:t>14</w:t>
      </w:r>
      <w:r w:rsidR="00F03BBB">
        <w:rPr>
          <w:noProof/>
        </w:rPr>
        <w:fldChar w:fldCharType="end"/>
      </w:r>
      <w:bookmarkEnd w:id="146"/>
      <w:r>
        <w:t>: Reimbursement model flow of funds</w:t>
      </w:r>
      <w:bookmarkEnd w:id="147"/>
    </w:p>
    <w:p w14:paraId="114D78F3" w14:textId="077481C5" w:rsidR="0002664F" w:rsidRDefault="0002664F" w:rsidP="00DD71E7">
      <w:r w:rsidRPr="00DD71E7">
        <w:drawing>
          <wp:inline distT="0" distB="0" distL="0" distR="0" wp14:anchorId="3274455B" wp14:editId="29830863">
            <wp:extent cx="5428648" cy="1710055"/>
            <wp:effectExtent l="0" t="0" r="635" b="0"/>
            <wp:docPr id="1447388043" name="Picture 25" descr="Individuals purchase prostheses from a prostheses provider then submit a reimbursement claim to the Australian government. The Government reimburses claim directly to the individ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388043" name="Picture 25" descr="Individuals purchase prostheses from a prostheses provider then submit a reimbursement claim to the Australian government. The Government reimburses claim directly to the individual."/>
                    <pic:cNvPicPr>
                      <a:picLocks noChangeAspect="1" noChangeArrowheads="1"/>
                    </pic:cNvPicPr>
                  </pic:nvPicPr>
                  <pic:blipFill>
                    <a:blip r:embed="rId78">
                      <a:extLst>
                        <a:ext uri="{96DAC541-7B7A-43D3-8B79-37D633B846F1}">
                          <asvg:svgBlip xmlns:asvg="http://schemas.microsoft.com/office/drawing/2016/SVG/main" r:embed="rId79"/>
                        </a:ext>
                      </a:extLst>
                    </a:blip>
                    <a:stretch>
                      <a:fillRect/>
                    </a:stretch>
                  </pic:blipFill>
                  <pic:spPr bwMode="auto">
                    <a:xfrm>
                      <a:off x="0" y="0"/>
                      <a:ext cx="5430697" cy="1710700"/>
                    </a:xfrm>
                    <a:prstGeom prst="rect">
                      <a:avLst/>
                    </a:prstGeom>
                  </pic:spPr>
                </pic:pic>
              </a:graphicData>
            </a:graphic>
          </wp:inline>
        </w:drawing>
      </w:r>
    </w:p>
    <w:p w14:paraId="5ADCD022" w14:textId="1B219CB3" w:rsidR="00A87806" w:rsidRPr="00A87806" w:rsidRDefault="00A87806" w:rsidP="00F17106">
      <w:pPr>
        <w:pStyle w:val="Caption-Source"/>
        <w:rPr>
          <w:i/>
          <w:iCs w:val="0"/>
          <w:szCs w:val="20"/>
        </w:rPr>
      </w:pPr>
      <w:r w:rsidRPr="00A87806">
        <w:t xml:space="preserve">Source: </w:t>
      </w:r>
      <w:r w:rsidR="0044544E" w:rsidRPr="0044544E">
        <w:t>Independent reviewer</w:t>
      </w:r>
      <w:r w:rsidRPr="00A87806">
        <w:t xml:space="preserve"> (2025)</w:t>
      </w:r>
    </w:p>
    <w:p w14:paraId="28BF6A98" w14:textId="423126CA" w:rsidR="000E0817" w:rsidRPr="00DD71E7" w:rsidRDefault="000E0817" w:rsidP="00DD71E7">
      <w:r w:rsidRPr="00DD71E7">
        <w:t xml:space="preserve">This model </w:t>
      </w:r>
      <w:r w:rsidR="00DA3359" w:rsidRPr="00DD71E7">
        <w:t>would be</w:t>
      </w:r>
      <w:r w:rsidR="00F82A81" w:rsidRPr="00DD71E7">
        <w:t xml:space="preserve"> simple to administer and </w:t>
      </w:r>
      <w:r w:rsidRPr="00DD71E7">
        <w:t xml:space="preserve">offers </w:t>
      </w:r>
      <w:r w:rsidR="0065065F" w:rsidRPr="00DD71E7">
        <w:t>individual</w:t>
      </w:r>
      <w:r w:rsidR="009C2BDE" w:rsidRPr="00DD71E7">
        <w:t xml:space="preserve"> choice and control over their prosthesis selection and provider. However, </w:t>
      </w:r>
      <w:r w:rsidR="00141FFC" w:rsidRPr="00DD71E7">
        <w:t xml:space="preserve">the applicability of </w:t>
      </w:r>
      <w:r w:rsidR="00F82A81" w:rsidRPr="00DD71E7">
        <w:t>a reimbursement model</w:t>
      </w:r>
      <w:r w:rsidR="00141FFC" w:rsidRPr="00DD71E7">
        <w:t xml:space="preserve"> for </w:t>
      </w:r>
      <w:r w:rsidR="00B22EEE" w:rsidRPr="00DD71E7">
        <w:t xml:space="preserve">all </w:t>
      </w:r>
      <w:proofErr w:type="gramStart"/>
      <w:r w:rsidR="00AD1AB7" w:rsidRPr="00DD71E7">
        <w:t>prostheses</w:t>
      </w:r>
      <w:proofErr w:type="gramEnd"/>
      <w:r w:rsidR="00B22EEE" w:rsidRPr="00DD71E7">
        <w:t xml:space="preserve"> types</w:t>
      </w:r>
      <w:r w:rsidR="00AD1AB7" w:rsidRPr="00DD71E7">
        <w:t xml:space="preserve"> may be limited</w:t>
      </w:r>
      <w:r w:rsidR="00DD20A6" w:rsidRPr="00DD71E7">
        <w:t xml:space="preserve"> due to the costs involved</w:t>
      </w:r>
      <w:r w:rsidR="00AD1AB7" w:rsidRPr="00DD71E7">
        <w:t xml:space="preserve"> and</w:t>
      </w:r>
      <w:r w:rsidR="00F82A81" w:rsidRPr="00DD71E7">
        <w:t xml:space="preserve"> </w:t>
      </w:r>
      <w:r w:rsidR="00DA3359" w:rsidRPr="00DD71E7">
        <w:t xml:space="preserve">would likely </w:t>
      </w:r>
      <w:r w:rsidR="00AD1AB7" w:rsidRPr="00DD71E7">
        <w:t>lead to</w:t>
      </w:r>
      <w:r w:rsidR="00B22EEE" w:rsidRPr="00DD71E7">
        <w:t xml:space="preserve"> considerable</w:t>
      </w:r>
      <w:r w:rsidR="00AD1AB7" w:rsidRPr="00DD71E7">
        <w:t xml:space="preserve"> </w:t>
      </w:r>
      <w:r w:rsidR="00F82A81" w:rsidRPr="00DD71E7">
        <w:t>financial barriers</w:t>
      </w:r>
      <w:r w:rsidR="00DA3359" w:rsidRPr="00DD71E7">
        <w:t xml:space="preserve"> to access</w:t>
      </w:r>
      <w:r w:rsidR="004B59B4" w:rsidRPr="00DD71E7">
        <w:t xml:space="preserve">, especially among lower socioeconomic groups. </w:t>
      </w:r>
      <w:r w:rsidR="00E806FB" w:rsidRPr="00DD71E7">
        <w:t xml:space="preserve">As outlined </w:t>
      </w:r>
      <w:r w:rsidR="00893620" w:rsidRPr="00DD71E7">
        <w:t>previously</w:t>
      </w:r>
      <w:r w:rsidR="00E806FB" w:rsidRPr="00DD71E7">
        <w:t xml:space="preserve">, the </w:t>
      </w:r>
      <w:r w:rsidR="00A625A9" w:rsidRPr="00DD71E7">
        <w:t>current</w:t>
      </w:r>
      <w:r w:rsidR="00E806FB" w:rsidRPr="00DD71E7">
        <w:t xml:space="preserve"> requirement </w:t>
      </w:r>
      <w:r w:rsidR="00A625A9" w:rsidRPr="00DD71E7">
        <w:t xml:space="preserve">for individuals </w:t>
      </w:r>
      <w:r w:rsidR="00E806FB" w:rsidRPr="00DD71E7">
        <w:t xml:space="preserve">to make an upfront payment </w:t>
      </w:r>
      <w:r w:rsidR="00A625A9" w:rsidRPr="00DD71E7">
        <w:t xml:space="preserve">under the </w:t>
      </w:r>
      <w:r w:rsidR="00770354" w:rsidRPr="00DD71E7">
        <w:t>EBPRP</w:t>
      </w:r>
      <w:r w:rsidR="00A625A9" w:rsidRPr="00DD71E7">
        <w:t xml:space="preserve"> </w:t>
      </w:r>
      <w:r w:rsidR="00E806FB" w:rsidRPr="00DD71E7">
        <w:t xml:space="preserve">is a significant barrier to access for many people who require breast prostheses, with many not being able to access a prosthesis as a result. </w:t>
      </w:r>
      <w:r w:rsidR="00B22EEE" w:rsidRPr="00DD71E7">
        <w:t>T</w:t>
      </w:r>
      <w:r w:rsidR="00DA3359" w:rsidRPr="00DD71E7">
        <w:t xml:space="preserve">his model would </w:t>
      </w:r>
      <w:r w:rsidR="004440FB" w:rsidRPr="00DD71E7">
        <w:t xml:space="preserve">likely be unsuitable for </w:t>
      </w:r>
      <w:r w:rsidR="00DA3359" w:rsidRPr="00DD71E7">
        <w:t>more expensive</w:t>
      </w:r>
      <w:r w:rsidR="00F82A81" w:rsidRPr="00DD71E7">
        <w:t xml:space="preserve"> </w:t>
      </w:r>
      <w:proofErr w:type="gramStart"/>
      <w:r w:rsidR="00F82A81" w:rsidRPr="00DD71E7">
        <w:t>prosthes</w:t>
      </w:r>
      <w:r w:rsidR="004440FB" w:rsidRPr="00DD71E7">
        <w:t>e</w:t>
      </w:r>
      <w:r w:rsidR="00F82A81" w:rsidRPr="00DD71E7">
        <w:t>s</w:t>
      </w:r>
      <w:proofErr w:type="gramEnd"/>
      <w:r w:rsidR="004B59B4" w:rsidRPr="00DD71E7">
        <w:t xml:space="preserve"> types</w:t>
      </w:r>
      <w:r w:rsidR="00F82A81" w:rsidRPr="00DD71E7">
        <w:t xml:space="preserve">, </w:t>
      </w:r>
      <w:r w:rsidR="00A625A9" w:rsidRPr="00DD71E7">
        <w:t>such as</w:t>
      </w:r>
      <w:r w:rsidR="00F82A81" w:rsidRPr="00DD71E7">
        <w:t xml:space="preserve"> </w:t>
      </w:r>
      <w:r w:rsidR="00DA3359" w:rsidRPr="00DD71E7">
        <w:t>facial or limb prostheses</w:t>
      </w:r>
      <w:r w:rsidR="00054219" w:rsidRPr="00DD71E7">
        <w:t>.</w:t>
      </w:r>
      <w:r w:rsidR="001832A1" w:rsidRPr="00DD71E7">
        <w:t xml:space="preserve"> </w:t>
      </w:r>
    </w:p>
    <w:p w14:paraId="39644865" w14:textId="77777777" w:rsidR="005A3FFF" w:rsidRDefault="005A3FFF" w:rsidP="005A3FFF">
      <w:pPr>
        <w:pStyle w:val="Heading3"/>
      </w:pPr>
      <w:r>
        <w:t xml:space="preserve">Workforce supply and regulation </w:t>
      </w:r>
    </w:p>
    <w:p w14:paraId="0771F079" w14:textId="2D7299C9" w:rsidR="007B034C" w:rsidRPr="00DD71E7" w:rsidRDefault="005A3FFF" w:rsidP="00DD71E7">
      <w:r>
        <w:t xml:space="preserve">The availability </w:t>
      </w:r>
      <w:r w:rsidR="007B034C">
        <w:t xml:space="preserve">and regulation </w:t>
      </w:r>
      <w:r>
        <w:t xml:space="preserve">of </w:t>
      </w:r>
      <w:r w:rsidR="007B034C">
        <w:t>the</w:t>
      </w:r>
      <w:r>
        <w:t xml:space="preserve"> prosthe</w:t>
      </w:r>
      <w:r w:rsidR="0009564C">
        <w:t>s</w:t>
      </w:r>
      <w:r w:rsidR="00FD5E24">
        <w:t>i</w:t>
      </w:r>
      <w:r w:rsidR="0009564C">
        <w:t>s</w:t>
      </w:r>
      <w:r>
        <w:t xml:space="preserve"> workforce is a </w:t>
      </w:r>
      <w:r w:rsidR="007B034C">
        <w:t xml:space="preserve">key consideration for the implementation, scalability and long-term sustainability of a </w:t>
      </w:r>
      <w:r w:rsidR="004440FB">
        <w:t xml:space="preserve">potential </w:t>
      </w:r>
      <w:r w:rsidR="007B034C">
        <w:t xml:space="preserve">national cancer prostheses program. </w:t>
      </w:r>
      <w:r w:rsidR="00D655C9" w:rsidRPr="00D655C9">
        <w:t>Timely</w:t>
      </w:r>
      <w:r w:rsidR="007B034C">
        <w:t xml:space="preserve"> access to safe and high-</w:t>
      </w:r>
      <w:r w:rsidR="007B034C" w:rsidRPr="00DD71E7">
        <w:t>quality prosthe</w:t>
      </w:r>
      <w:r w:rsidR="0009564C" w:rsidRPr="00DD71E7">
        <w:t>ses</w:t>
      </w:r>
      <w:r w:rsidR="007B034C" w:rsidRPr="00DD71E7">
        <w:t xml:space="preserve"> services depends on the capacity, geographic distribution, and regulatory oversight of </w:t>
      </w:r>
      <w:r w:rsidR="00D655C9" w:rsidRPr="00DD71E7">
        <w:t xml:space="preserve">the </w:t>
      </w:r>
      <w:r w:rsidR="007B034C" w:rsidRPr="00DD71E7">
        <w:t xml:space="preserve">professionals delivering </w:t>
      </w:r>
      <w:r w:rsidR="00D655C9" w:rsidRPr="00DD71E7">
        <w:t>these</w:t>
      </w:r>
      <w:r w:rsidR="007B034C" w:rsidRPr="00DD71E7">
        <w:t xml:space="preserve"> services.</w:t>
      </w:r>
    </w:p>
    <w:p w14:paraId="57BF87D7" w14:textId="4F053A9F" w:rsidR="00477855" w:rsidRPr="00DD71E7" w:rsidRDefault="00881482" w:rsidP="00DD71E7">
      <w:r w:rsidRPr="00DD71E7">
        <w:t>A key</w:t>
      </w:r>
      <w:r w:rsidR="0009564C" w:rsidRPr="00DD71E7">
        <w:t xml:space="preserve"> potential</w:t>
      </w:r>
      <w:r w:rsidRPr="00DD71E7">
        <w:t xml:space="preserve"> barrier </w:t>
      </w:r>
      <w:r w:rsidR="00D655C9" w:rsidRPr="00DD71E7">
        <w:t>to</w:t>
      </w:r>
      <w:r w:rsidRPr="00DD71E7">
        <w:t xml:space="preserve"> </w:t>
      </w:r>
      <w:r w:rsidR="004B602E" w:rsidRPr="00DD71E7">
        <w:t xml:space="preserve">the </w:t>
      </w:r>
      <w:r w:rsidR="001518E0" w:rsidRPr="00DD71E7">
        <w:t>successful</w:t>
      </w:r>
      <w:r w:rsidRPr="00DD71E7">
        <w:t xml:space="preserve"> implementation </w:t>
      </w:r>
      <w:r w:rsidR="0009564C" w:rsidRPr="00DD71E7">
        <w:t xml:space="preserve">of </w:t>
      </w:r>
      <w:r w:rsidR="004440FB" w:rsidRPr="00DD71E7">
        <w:t xml:space="preserve">a national </w:t>
      </w:r>
      <w:r w:rsidR="0009564C" w:rsidRPr="00DD71E7">
        <w:t>program is</w:t>
      </w:r>
      <w:r w:rsidRPr="00DD71E7">
        <w:t xml:space="preserve"> the limited supply of specialised </w:t>
      </w:r>
      <w:r w:rsidR="00D655C9" w:rsidRPr="00DD71E7">
        <w:t>professionals required to deliver cancer prostheses, particularly facial prostheses</w:t>
      </w:r>
      <w:r w:rsidRPr="00DD71E7">
        <w:t xml:space="preserve">. </w:t>
      </w:r>
      <w:r w:rsidR="007B034C" w:rsidRPr="00DD71E7">
        <w:t xml:space="preserve">As outlined in </w:t>
      </w:r>
      <w:r w:rsidRPr="00DD71E7">
        <w:t xml:space="preserve">Section </w:t>
      </w:r>
      <w:r w:rsidRPr="00DD71E7">
        <w:fldChar w:fldCharType="begin"/>
      </w:r>
      <w:r w:rsidRPr="00DD71E7">
        <w:instrText xml:space="preserve"> REF _Ref201759700 \r \h </w:instrText>
      </w:r>
      <w:r w:rsidRPr="00DD71E7">
        <w:fldChar w:fldCharType="separate"/>
      </w:r>
      <w:r w:rsidR="00D955D8" w:rsidRPr="00DD71E7">
        <w:t>4.1.3</w:t>
      </w:r>
      <w:r w:rsidRPr="00DD71E7">
        <w:fldChar w:fldCharType="end"/>
      </w:r>
      <w:r w:rsidRPr="00DD71E7">
        <w:t xml:space="preserve">, </w:t>
      </w:r>
      <w:r w:rsidR="00D8641B" w:rsidRPr="00DD71E7">
        <w:t xml:space="preserve">these </w:t>
      </w:r>
      <w:r w:rsidRPr="00DD71E7">
        <w:t>prostheses</w:t>
      </w:r>
      <w:r w:rsidR="00D8641B" w:rsidRPr="00DD71E7">
        <w:t xml:space="preserve"> are typically delivered by</w:t>
      </w:r>
      <w:r w:rsidRPr="00DD71E7">
        <w:t xml:space="preserve"> anaplastologists, ocularists and maxillofacial </w:t>
      </w:r>
      <w:r w:rsidR="001D486A" w:rsidRPr="00DD71E7">
        <w:t>prosthetist</w:t>
      </w:r>
      <w:r w:rsidR="004B602E" w:rsidRPr="00DD71E7">
        <w:t>s</w:t>
      </w:r>
      <w:r w:rsidRPr="00DD71E7">
        <w:t xml:space="preserve">. However, </w:t>
      </w:r>
      <w:r w:rsidR="001D486A" w:rsidRPr="00DD71E7">
        <w:t xml:space="preserve">this workforce is small, highly specialised, and </w:t>
      </w:r>
      <w:r w:rsidR="00D8641B" w:rsidRPr="00DD71E7">
        <w:t>predominantly located</w:t>
      </w:r>
      <w:r w:rsidR="001D486A" w:rsidRPr="00DD71E7">
        <w:t xml:space="preserve"> in metropolitan areas</w:t>
      </w:r>
      <w:r w:rsidR="003438CE" w:rsidRPr="00DD71E7">
        <w:t>.</w:t>
      </w:r>
      <w:r w:rsidR="001D486A" w:rsidRPr="00DD71E7">
        <w:t xml:space="preserve"> In several jurisdictions, </w:t>
      </w:r>
      <w:r w:rsidR="00D8641B" w:rsidRPr="00DD71E7">
        <w:t>individuals</w:t>
      </w:r>
      <w:r w:rsidR="001D486A" w:rsidRPr="00DD71E7">
        <w:t xml:space="preserve"> must travel interstate to access these services.</w:t>
      </w:r>
      <w:r w:rsidR="003438CE" w:rsidRPr="00DD71E7">
        <w:t xml:space="preserve"> </w:t>
      </w:r>
    </w:p>
    <w:p w14:paraId="51383F36" w14:textId="147BFADB" w:rsidR="003905B7" w:rsidRPr="00DD71E7" w:rsidRDefault="004B602E" w:rsidP="00DD71E7">
      <w:r w:rsidRPr="00DD71E7">
        <w:t>The lack of formal education or training pathways for these professions further exacerbates this challenge</w:t>
      </w:r>
      <w:r w:rsidR="0006029D" w:rsidRPr="00DD71E7">
        <w:t>. Many practitioners receive qualifications</w:t>
      </w:r>
      <w:r w:rsidR="00C80B00" w:rsidRPr="00DD71E7">
        <w:t xml:space="preserve"> overseas or through </w:t>
      </w:r>
      <w:r w:rsidR="0006029D" w:rsidRPr="00DD71E7">
        <w:t>informal</w:t>
      </w:r>
      <w:r w:rsidR="00C80B00" w:rsidRPr="00DD71E7">
        <w:t xml:space="preserve"> traineeships with existing providers</w:t>
      </w:r>
      <w:r w:rsidR="0006029D" w:rsidRPr="00DD71E7">
        <w:t xml:space="preserve">. These limited entry pathways slow </w:t>
      </w:r>
      <w:r w:rsidR="00C80B00" w:rsidRPr="00DD71E7">
        <w:t>professional development</w:t>
      </w:r>
      <w:r w:rsidR="00142669" w:rsidRPr="00DD71E7">
        <w:t xml:space="preserve"> and </w:t>
      </w:r>
      <w:r w:rsidR="003905B7" w:rsidRPr="00DD71E7">
        <w:t xml:space="preserve">create disincentives for new entrants into the field. Without targeted strategies to </w:t>
      </w:r>
      <w:r w:rsidR="00816BF8" w:rsidRPr="00DD71E7">
        <w:t>support and grow</w:t>
      </w:r>
      <w:r w:rsidR="003905B7" w:rsidRPr="00DD71E7">
        <w:t xml:space="preserve"> the workforce, a national program may not improve access </w:t>
      </w:r>
      <w:r w:rsidR="002E4FAF" w:rsidRPr="00DD71E7">
        <w:t>to cancer prostheses</w:t>
      </w:r>
      <w:r w:rsidR="003905B7" w:rsidRPr="00DD71E7">
        <w:t>.</w:t>
      </w:r>
      <w:r w:rsidR="002E4FAF" w:rsidRPr="00DD71E7">
        <w:t xml:space="preserve"> The implementation of a national cancer prostheses program </w:t>
      </w:r>
      <w:r w:rsidR="004440FB" w:rsidRPr="00DD71E7">
        <w:t xml:space="preserve">would </w:t>
      </w:r>
      <w:r w:rsidR="00312C16" w:rsidRPr="00DD71E7">
        <w:t>require workforce planning and development</w:t>
      </w:r>
      <w:r w:rsidR="00B17FA8" w:rsidRPr="00DD71E7">
        <w:t>,</w:t>
      </w:r>
      <w:r w:rsidR="00312C16" w:rsidRPr="00DD71E7">
        <w:t xml:space="preserve"> includ</w:t>
      </w:r>
      <w:r w:rsidR="00B17FA8" w:rsidRPr="00DD71E7">
        <w:t>ing</w:t>
      </w:r>
      <w:r w:rsidR="00312C16" w:rsidRPr="00DD71E7">
        <w:t xml:space="preserve"> </w:t>
      </w:r>
      <w:r w:rsidR="00816BF8" w:rsidRPr="00DD71E7">
        <w:t xml:space="preserve">consideration </w:t>
      </w:r>
      <w:r w:rsidR="00312C16" w:rsidRPr="00DD71E7">
        <w:t>of training pathways and supervised clinical placement</w:t>
      </w:r>
      <w:r w:rsidR="00854534" w:rsidRPr="00DD71E7">
        <w:t xml:space="preserve"> opportunities</w:t>
      </w:r>
      <w:r w:rsidR="00312C16" w:rsidRPr="00DD71E7">
        <w:t>.</w:t>
      </w:r>
      <w:r w:rsidR="002E4FAF" w:rsidRPr="00DD71E7">
        <w:t xml:space="preserve"> </w:t>
      </w:r>
    </w:p>
    <w:p w14:paraId="28B620ED" w14:textId="7851F6DD" w:rsidR="00683922" w:rsidRPr="00DD71E7" w:rsidRDefault="00B43330" w:rsidP="00DD71E7">
      <w:r w:rsidRPr="00DD71E7">
        <w:t>In addition</w:t>
      </w:r>
      <w:r w:rsidR="00854534" w:rsidRPr="00DD71E7">
        <w:t xml:space="preserve"> </w:t>
      </w:r>
      <w:r w:rsidRPr="00DD71E7">
        <w:t xml:space="preserve">to workforce supply challenges, professional regulation </w:t>
      </w:r>
      <w:r w:rsidR="001B53D0" w:rsidRPr="00DD71E7">
        <w:t xml:space="preserve">is another key </w:t>
      </w:r>
      <w:r w:rsidR="00312C16" w:rsidRPr="00DD71E7">
        <w:t>barrier</w:t>
      </w:r>
      <w:r w:rsidR="001B53D0" w:rsidRPr="00DD71E7">
        <w:t>. Currently, some professions critical</w:t>
      </w:r>
      <w:r w:rsidR="005A3FFF" w:rsidRPr="00DD71E7">
        <w:t xml:space="preserve"> to the </w:t>
      </w:r>
      <w:r w:rsidR="001B53D0" w:rsidRPr="00DD71E7">
        <w:t>delivery</w:t>
      </w:r>
      <w:r w:rsidR="005A3FFF" w:rsidRPr="00DD71E7">
        <w:t xml:space="preserve"> of </w:t>
      </w:r>
      <w:r w:rsidR="0080297A" w:rsidRPr="00DD71E7">
        <w:t>cancer prostheses</w:t>
      </w:r>
      <w:r w:rsidR="001B53D0" w:rsidRPr="00DD71E7">
        <w:t>, particularly</w:t>
      </w:r>
      <w:r w:rsidR="0080297A" w:rsidRPr="00DD71E7">
        <w:t xml:space="preserve"> anaplastologists and ocularists</w:t>
      </w:r>
      <w:r w:rsidR="00854534" w:rsidRPr="00DD71E7">
        <w:t>,</w:t>
      </w:r>
      <w:r w:rsidR="0080297A" w:rsidRPr="00DD71E7">
        <w:t xml:space="preserve"> are not regulated professions. </w:t>
      </w:r>
      <w:r w:rsidR="00400784" w:rsidRPr="00DD71E7">
        <w:t>This means that t</w:t>
      </w:r>
      <w:r w:rsidR="00142669" w:rsidRPr="00DD71E7">
        <w:t>here are no mandatory registration</w:t>
      </w:r>
      <w:r w:rsidR="00382FEC" w:rsidRPr="00DD71E7">
        <w:t xml:space="preserve"> requirements or</w:t>
      </w:r>
      <w:r w:rsidR="00142669" w:rsidRPr="00DD71E7" w:rsidDel="007D6F44">
        <w:t xml:space="preserve"> </w:t>
      </w:r>
      <w:r w:rsidR="007D6F44" w:rsidRPr="00DD71E7">
        <w:t xml:space="preserve">competency standards </w:t>
      </w:r>
      <w:r w:rsidR="00DC729A" w:rsidRPr="00DD71E7">
        <w:t>in place</w:t>
      </w:r>
      <w:r w:rsidR="007D6F44" w:rsidRPr="00DD71E7">
        <w:t xml:space="preserve">, beyond the </w:t>
      </w:r>
      <w:r w:rsidR="000E536B" w:rsidRPr="00DD71E7">
        <w:t>National Code of Conduct for Health Care Workers</w:t>
      </w:r>
      <w:r w:rsidR="000E536B" w:rsidRPr="00DD71E7">
        <w:footnoteReference w:id="162"/>
      </w:r>
      <w:r w:rsidR="000E536B" w:rsidRPr="00DD71E7">
        <w:t>,</w:t>
      </w:r>
      <w:r w:rsidR="00DC729A" w:rsidRPr="00DD71E7">
        <w:t xml:space="preserve"> to ensure </w:t>
      </w:r>
      <w:r w:rsidR="00382FEC" w:rsidRPr="00DD71E7">
        <w:t xml:space="preserve">safe and </w:t>
      </w:r>
      <w:r w:rsidR="00854534" w:rsidRPr="00DD71E7">
        <w:t>high-quality</w:t>
      </w:r>
      <w:r w:rsidR="00382FEC" w:rsidRPr="00DD71E7">
        <w:t xml:space="preserve"> </w:t>
      </w:r>
      <w:r w:rsidR="00400784" w:rsidRPr="00DD71E7">
        <w:t>facial prosthes</w:t>
      </w:r>
      <w:r w:rsidR="00801868" w:rsidRPr="00DD71E7">
        <w:t xml:space="preserve">is </w:t>
      </w:r>
      <w:r w:rsidR="00382FEC" w:rsidRPr="00DD71E7">
        <w:t>care</w:t>
      </w:r>
      <w:r w:rsidR="00801868" w:rsidRPr="00DD71E7">
        <w:t xml:space="preserve"> is delivered by these professionals</w:t>
      </w:r>
      <w:r w:rsidR="00382FEC" w:rsidRPr="00DD71E7">
        <w:t>.</w:t>
      </w:r>
      <w:r w:rsidR="00801868" w:rsidRPr="00DD71E7">
        <w:t xml:space="preserve"> </w:t>
      </w:r>
      <w:r w:rsidR="00382FEC" w:rsidRPr="00DD71E7">
        <w:t xml:space="preserve"> </w:t>
      </w:r>
    </w:p>
    <w:p w14:paraId="10F8DC68" w14:textId="6CF8C319" w:rsidR="00DC729A" w:rsidRDefault="00382FEC" w:rsidP="00DD71E7">
      <w:r w:rsidRPr="00DD71E7">
        <w:t xml:space="preserve">Stakeholders consulted as part of this review raised concerns about </w:t>
      </w:r>
      <w:r w:rsidR="00DC729A" w:rsidRPr="00DD71E7">
        <w:t xml:space="preserve">the </w:t>
      </w:r>
      <w:r w:rsidRPr="00DD71E7">
        <w:t>potential emergence of non-compliant or fraudulent providers, particularly if a new funding scheme were to be introduced without adequate oversight. To safeguard</w:t>
      </w:r>
      <w:r w:rsidRPr="00382FEC">
        <w:t xml:space="preserve"> public funds</w:t>
      </w:r>
      <w:r>
        <w:t xml:space="preserve"> and ensure</w:t>
      </w:r>
      <w:r w:rsidR="00BC024E">
        <w:t xml:space="preserve"> safe and high-</w:t>
      </w:r>
      <w:r w:rsidR="00DC729A">
        <w:t xml:space="preserve">quality </w:t>
      </w:r>
      <w:r>
        <w:t xml:space="preserve">prostheses </w:t>
      </w:r>
      <w:r w:rsidR="00BC024E">
        <w:t xml:space="preserve">services are </w:t>
      </w:r>
      <w:r>
        <w:t>provided</w:t>
      </w:r>
      <w:r w:rsidRPr="00382FEC">
        <w:t xml:space="preserve">, robust </w:t>
      </w:r>
      <w:r w:rsidR="00BC024E">
        <w:t xml:space="preserve">governance and regulatory </w:t>
      </w:r>
      <w:r w:rsidRPr="00382FEC">
        <w:t xml:space="preserve">mechanisms </w:t>
      </w:r>
      <w:r w:rsidR="004440FB">
        <w:t>would need to</w:t>
      </w:r>
      <w:r w:rsidR="004440FB" w:rsidRPr="00382FEC">
        <w:t xml:space="preserve"> </w:t>
      </w:r>
      <w:r w:rsidRPr="00382FEC">
        <w:t xml:space="preserve">be embedded in </w:t>
      </w:r>
      <w:r>
        <w:t xml:space="preserve">the design of </w:t>
      </w:r>
      <w:r w:rsidR="004440FB">
        <w:t xml:space="preserve">a national </w:t>
      </w:r>
      <w:r w:rsidRPr="00382FEC">
        <w:t>program. This</w:t>
      </w:r>
      <w:r w:rsidR="00683922">
        <w:t xml:space="preserve"> could</w:t>
      </w:r>
      <w:r w:rsidRPr="00382FEC">
        <w:t xml:space="preserve"> include establishing </w:t>
      </w:r>
      <w:r w:rsidR="003F5345">
        <w:t xml:space="preserve">a national registration </w:t>
      </w:r>
      <w:r w:rsidR="000D1E65">
        <w:t xml:space="preserve">or </w:t>
      </w:r>
      <w:r w:rsidRPr="00382FEC">
        <w:t xml:space="preserve">accreditation </w:t>
      </w:r>
      <w:r w:rsidR="000D1E65">
        <w:t>scheme</w:t>
      </w:r>
      <w:r w:rsidR="000D1E65">
        <w:rPr>
          <w:rStyle w:val="FootnoteReference"/>
        </w:rPr>
        <w:footnoteReference w:id="163"/>
      </w:r>
      <w:r w:rsidR="000D1E65">
        <w:t>,</w:t>
      </w:r>
      <w:r w:rsidRPr="00382FEC" w:rsidDel="000D1E65">
        <w:t xml:space="preserve"> </w:t>
      </w:r>
      <w:r w:rsidRPr="00382FEC">
        <w:t xml:space="preserve">setting minimum training and competency </w:t>
      </w:r>
      <w:r w:rsidRPr="00382FEC" w:rsidDel="000D1E65">
        <w:t>standards</w:t>
      </w:r>
      <w:r w:rsidR="000D1E65" w:rsidRPr="00382FEC">
        <w:t xml:space="preserve"> and</w:t>
      </w:r>
      <w:r w:rsidRPr="00382FEC">
        <w:t xml:space="preserve"> requiring providers to meet defined certification</w:t>
      </w:r>
      <w:r w:rsidR="008F59B2">
        <w:t>s or criteria</w:t>
      </w:r>
      <w:r w:rsidRPr="00382FEC">
        <w:t xml:space="preserve"> to participate in the program.</w:t>
      </w:r>
      <w:r w:rsidR="00683922">
        <w:t xml:space="preserve"> The </w:t>
      </w:r>
      <w:r w:rsidR="00486B6E">
        <w:t>role of</w:t>
      </w:r>
      <w:r w:rsidR="0062387B">
        <w:t xml:space="preserve"> relevant professional bodies</w:t>
      </w:r>
      <w:r w:rsidR="00486B6E">
        <w:t xml:space="preserve"> </w:t>
      </w:r>
      <w:r w:rsidR="008E3707">
        <w:t xml:space="preserve">as well as </w:t>
      </w:r>
      <w:r w:rsidR="00486B6E">
        <w:t xml:space="preserve">the Australian Commission on Safety and Quality in Health Care in coordinating initiatives to ensure safe and high-quality services are provided under a potential national program </w:t>
      </w:r>
      <w:r w:rsidR="008E3707">
        <w:t>w</w:t>
      </w:r>
      <w:r w:rsidR="00486B6E">
        <w:t xml:space="preserve">ould </w:t>
      </w:r>
      <w:r w:rsidR="00801868">
        <w:t>need to be considered</w:t>
      </w:r>
      <w:r w:rsidR="00486B6E">
        <w:t xml:space="preserve">. </w:t>
      </w:r>
    </w:p>
    <w:p w14:paraId="3B796FE7" w14:textId="740F4B00" w:rsidR="00382FEC" w:rsidRDefault="00DF637A" w:rsidP="00382FEC">
      <w:pPr>
        <w:pStyle w:val="Heading3"/>
      </w:pPr>
      <w:r>
        <w:t>Care pathways, education and awareness</w:t>
      </w:r>
    </w:p>
    <w:p w14:paraId="1E70185B" w14:textId="1571ACED" w:rsidR="00FB7335" w:rsidRPr="00DD71E7" w:rsidRDefault="00BE0266" w:rsidP="00DD71E7">
      <w:r>
        <w:t xml:space="preserve">Clearly defining and </w:t>
      </w:r>
      <w:r w:rsidR="004C7A48">
        <w:t xml:space="preserve">effectively </w:t>
      </w:r>
      <w:r>
        <w:t xml:space="preserve">communicating care pathways for accessing cancer prostheses </w:t>
      </w:r>
      <w:r w:rsidR="003C3337">
        <w:t>should</w:t>
      </w:r>
      <w:r>
        <w:t xml:space="preserve"> be </w:t>
      </w:r>
      <w:r w:rsidR="003C3337">
        <w:t>considered</w:t>
      </w:r>
      <w:r>
        <w:t xml:space="preserve"> to </w:t>
      </w:r>
      <w:r w:rsidR="003C3337">
        <w:t>ensure</w:t>
      </w:r>
      <w:r>
        <w:t xml:space="preserve"> the successful implementation of a national cancer prostheses program. </w:t>
      </w:r>
      <w:r w:rsidR="00365C08">
        <w:t>A</w:t>
      </w:r>
      <w:r>
        <w:t xml:space="preserve"> </w:t>
      </w:r>
      <w:r w:rsidR="00365C08">
        <w:t>clear</w:t>
      </w:r>
      <w:r w:rsidR="008F59B2">
        <w:t>ly defined</w:t>
      </w:r>
      <w:r w:rsidR="00365C08">
        <w:t xml:space="preserve"> care pathway </w:t>
      </w:r>
      <w:r w:rsidR="008F59B2">
        <w:t xml:space="preserve">is essential to </w:t>
      </w:r>
      <w:r w:rsidR="004C7A48">
        <w:t>support</w:t>
      </w:r>
      <w:r w:rsidR="00365C08">
        <w:t xml:space="preserve"> clinicians, individuals with lived experience</w:t>
      </w:r>
      <w:r w:rsidR="00443383">
        <w:t xml:space="preserve">, and their </w:t>
      </w:r>
      <w:proofErr w:type="spellStart"/>
      <w:r w:rsidR="00443383">
        <w:t>carers</w:t>
      </w:r>
      <w:proofErr w:type="spellEnd"/>
      <w:r w:rsidR="00443383">
        <w:t xml:space="preserve"> in understanding when, how,</w:t>
      </w:r>
      <w:r w:rsidR="00365C08">
        <w:t xml:space="preserve"> and where </w:t>
      </w:r>
      <w:r w:rsidR="008F59B2">
        <w:t>to access prostheses services</w:t>
      </w:r>
      <w:r w:rsidR="004C7A48">
        <w:t xml:space="preserve">. </w:t>
      </w:r>
      <w:r w:rsidR="001D4349" w:rsidRPr="001D4349">
        <w:t xml:space="preserve">This clarity </w:t>
      </w:r>
      <w:r w:rsidR="004440FB">
        <w:t xml:space="preserve">would </w:t>
      </w:r>
      <w:r w:rsidR="008F59B2">
        <w:t xml:space="preserve">help to </w:t>
      </w:r>
      <w:r w:rsidR="001D4349" w:rsidRPr="001D4349">
        <w:t>support timely referrals, facilitate coordinated rehabilitation, and reduce uncertainty and stress during what is often a</w:t>
      </w:r>
      <w:r w:rsidR="008F59B2">
        <w:t>n already</w:t>
      </w:r>
      <w:r w:rsidR="001D4349" w:rsidRPr="001D4349">
        <w:t xml:space="preserve"> challenging post-</w:t>
      </w:r>
      <w:r w:rsidR="001D4349" w:rsidRPr="00DD71E7">
        <w:t>treatment period.</w:t>
      </w:r>
    </w:p>
    <w:p w14:paraId="5332FE02" w14:textId="2B61D171" w:rsidR="001B18BD" w:rsidRPr="00DD71E7" w:rsidRDefault="005B63CB" w:rsidP="00DD71E7">
      <w:r w:rsidRPr="00DD71E7">
        <w:t xml:space="preserve">As outlined in Section </w:t>
      </w:r>
      <w:r w:rsidRPr="00DD71E7">
        <w:fldChar w:fldCharType="begin"/>
      </w:r>
      <w:r w:rsidRPr="00DD71E7">
        <w:instrText xml:space="preserve"> REF _Ref201761458 \r \h </w:instrText>
      </w:r>
      <w:r w:rsidR="00DD71E7">
        <w:instrText xml:space="preserve"> \* MERGEFORMAT </w:instrText>
      </w:r>
      <w:r w:rsidRPr="00DD71E7">
        <w:fldChar w:fldCharType="separate"/>
      </w:r>
      <w:r w:rsidR="00D955D8" w:rsidRPr="00DD71E7">
        <w:t>4.1.1</w:t>
      </w:r>
      <w:r w:rsidRPr="00DD71E7">
        <w:fldChar w:fldCharType="end"/>
      </w:r>
      <w:r w:rsidRPr="00DD71E7">
        <w:t xml:space="preserve">, </w:t>
      </w:r>
      <w:r w:rsidR="00FB7335" w:rsidRPr="00DD71E7">
        <w:t>current</w:t>
      </w:r>
      <w:r w:rsidRPr="00DD71E7">
        <w:t xml:space="preserve"> access to prostheses services, programs and schemes is </w:t>
      </w:r>
      <w:r w:rsidR="000D636C" w:rsidRPr="00DD71E7">
        <w:t xml:space="preserve">seen as </w:t>
      </w:r>
      <w:r w:rsidRPr="00DD71E7">
        <w:t>fragmented, with variation between jurisdictions, prosthesis types and health</w:t>
      </w:r>
      <w:r w:rsidR="00B30E66" w:rsidRPr="00DD71E7">
        <w:t>care</w:t>
      </w:r>
      <w:r w:rsidRPr="00DD71E7">
        <w:t xml:space="preserve"> settings. </w:t>
      </w:r>
      <w:r w:rsidR="00600414" w:rsidRPr="00DD71E7">
        <w:t xml:space="preserve">This can </w:t>
      </w:r>
      <w:r w:rsidR="000D636C" w:rsidRPr="00DD71E7">
        <w:t>lead to</w:t>
      </w:r>
      <w:r w:rsidR="00600414" w:rsidRPr="00DD71E7">
        <w:t xml:space="preserve"> confusion among both clinicians and individuals requiring prostheses due to cancer </w:t>
      </w:r>
      <w:r w:rsidR="001F66BD" w:rsidRPr="00DD71E7">
        <w:t>or</w:t>
      </w:r>
      <w:r w:rsidR="00600414" w:rsidRPr="00DD71E7">
        <w:t xml:space="preserve"> cancer treatment, particularly </w:t>
      </w:r>
      <w:r w:rsidR="001F66BD" w:rsidRPr="00DD71E7">
        <w:t>in trying to</w:t>
      </w:r>
      <w:r w:rsidR="00600414" w:rsidRPr="00DD71E7">
        <w:t xml:space="preserve"> naviga</w:t>
      </w:r>
      <w:r w:rsidR="001F66BD" w:rsidRPr="00DD71E7">
        <w:t>te</w:t>
      </w:r>
      <w:r w:rsidR="00600414" w:rsidRPr="00DD71E7">
        <w:t xml:space="preserve"> different </w:t>
      </w:r>
      <w:r w:rsidR="00FB7335" w:rsidRPr="00DD71E7">
        <w:t>funding</w:t>
      </w:r>
      <w:r w:rsidR="00600414" w:rsidRPr="00DD71E7">
        <w:t xml:space="preserve"> schemes, eligibility criteria and referral </w:t>
      </w:r>
      <w:r w:rsidR="00FB7335" w:rsidRPr="00DD71E7">
        <w:t>mechanisms</w:t>
      </w:r>
      <w:r w:rsidR="00600414" w:rsidRPr="00DD71E7">
        <w:t xml:space="preserve">. </w:t>
      </w:r>
      <w:r w:rsidR="001B18BD" w:rsidRPr="00DD71E7">
        <w:t xml:space="preserve">These challenges are </w:t>
      </w:r>
      <w:r w:rsidR="001F66BD" w:rsidRPr="00DD71E7">
        <w:t xml:space="preserve">reportedly </w:t>
      </w:r>
      <w:r w:rsidR="001B18BD" w:rsidRPr="00DD71E7">
        <w:t xml:space="preserve">further compounded when prostheses are not discussed or planned for at the time of surgery, leading to uncertainty about the availability and role of </w:t>
      </w:r>
      <w:r w:rsidR="004440FB" w:rsidRPr="00DD71E7">
        <w:t xml:space="preserve">prostheses </w:t>
      </w:r>
      <w:r w:rsidR="001B18BD" w:rsidRPr="00DD71E7">
        <w:t>services in recovery and rehabilitation.</w:t>
      </w:r>
    </w:p>
    <w:p w14:paraId="03557662" w14:textId="710860A3" w:rsidR="005B63CB" w:rsidRPr="00DD71E7" w:rsidRDefault="001B18BD" w:rsidP="00DD71E7">
      <w:r w:rsidRPr="00DD71E7">
        <w:t xml:space="preserve">To address these challenges, </w:t>
      </w:r>
      <w:r w:rsidR="00D73017" w:rsidRPr="00DD71E7">
        <w:t xml:space="preserve">a </w:t>
      </w:r>
      <w:r w:rsidR="00600414" w:rsidRPr="00DD71E7">
        <w:t>clear</w:t>
      </w:r>
      <w:r w:rsidR="00D73017" w:rsidRPr="00DD71E7">
        <w:t xml:space="preserve">ly defined </w:t>
      </w:r>
      <w:r w:rsidR="00600414" w:rsidRPr="00DD71E7">
        <w:t xml:space="preserve">care </w:t>
      </w:r>
      <w:r w:rsidRPr="00DD71E7">
        <w:t>pathway</w:t>
      </w:r>
      <w:r w:rsidR="00D73017" w:rsidRPr="00DD71E7">
        <w:t xml:space="preserve"> </w:t>
      </w:r>
      <w:r w:rsidR="004440FB" w:rsidRPr="00DD71E7">
        <w:t xml:space="preserve">would need to </w:t>
      </w:r>
      <w:r w:rsidR="00D73017" w:rsidRPr="00DD71E7">
        <w:t xml:space="preserve">be considered as part of the design and implementation of a national cancer prostheses program. This </w:t>
      </w:r>
      <w:r w:rsidR="004440FB" w:rsidRPr="00DD71E7">
        <w:t>c</w:t>
      </w:r>
      <w:r w:rsidR="00D73017" w:rsidRPr="00DD71E7">
        <w:t>ould consider</w:t>
      </w:r>
      <w:r w:rsidR="000A7518" w:rsidRPr="00DD71E7">
        <w:t>:</w:t>
      </w:r>
    </w:p>
    <w:p w14:paraId="6DB706DA" w14:textId="0EECFAE8" w:rsidR="000A7518" w:rsidRDefault="001B18BD" w:rsidP="00F17106">
      <w:pPr>
        <w:pStyle w:val="Bullet1stlevel"/>
      </w:pPr>
      <w:r w:rsidRPr="0042443F">
        <w:rPr>
          <w:rStyle w:val="Strong"/>
        </w:rPr>
        <w:t>E</w:t>
      </w:r>
      <w:r w:rsidR="000A7518" w:rsidRPr="0042443F">
        <w:rPr>
          <w:rStyle w:val="Strong"/>
        </w:rPr>
        <w:t>ligibility criteria</w:t>
      </w:r>
      <w:r w:rsidR="000A7518">
        <w:t xml:space="preserve"> for accessing each type of prosthesis</w:t>
      </w:r>
    </w:p>
    <w:p w14:paraId="071CC9A0" w14:textId="0DB0A7F2" w:rsidR="000A7518" w:rsidRDefault="000A7518" w:rsidP="00F17106">
      <w:pPr>
        <w:pStyle w:val="Bullet1stlevel"/>
      </w:pPr>
      <w:r w:rsidRPr="0042443F">
        <w:rPr>
          <w:rStyle w:val="Strong"/>
        </w:rPr>
        <w:t>Referral and assessment processes</w:t>
      </w:r>
      <w:r w:rsidR="001B18BD">
        <w:t>, including designated roles and responsibilities</w:t>
      </w:r>
    </w:p>
    <w:p w14:paraId="4BA65B62" w14:textId="3322E570" w:rsidR="000A7518" w:rsidRDefault="000A7518" w:rsidP="00F17106">
      <w:pPr>
        <w:pStyle w:val="Bullet1stlevel"/>
      </w:pPr>
      <w:r w:rsidRPr="0042443F">
        <w:rPr>
          <w:rStyle w:val="Strong"/>
        </w:rPr>
        <w:t>Approved service providers</w:t>
      </w:r>
      <w:r>
        <w:t xml:space="preserve"> and locations where </w:t>
      </w:r>
      <w:r w:rsidR="004377FB">
        <w:t>prostheses</w:t>
      </w:r>
      <w:r>
        <w:t xml:space="preserve"> can be accessed </w:t>
      </w:r>
    </w:p>
    <w:p w14:paraId="112DC0B2" w14:textId="44BB55F2" w:rsidR="000A7518" w:rsidRDefault="000A7518" w:rsidP="00F17106">
      <w:pPr>
        <w:pStyle w:val="Bullet1stlevel"/>
      </w:pPr>
      <w:r w:rsidRPr="0042443F">
        <w:rPr>
          <w:rStyle w:val="Strong"/>
        </w:rPr>
        <w:t>Timeframes and steps involved</w:t>
      </w:r>
      <w:r>
        <w:t xml:space="preserve"> in obtaining prostheses, including fitting, follow-up and maintenance. </w:t>
      </w:r>
    </w:p>
    <w:p w14:paraId="363BF45B" w14:textId="3E591F19" w:rsidR="000A7518" w:rsidRPr="00DD71E7" w:rsidRDefault="00731CF9" w:rsidP="00DD71E7">
      <w:r w:rsidRPr="00DD71E7">
        <w:t xml:space="preserve">As outlined in Section </w:t>
      </w:r>
      <w:r w:rsidRPr="00DD71E7">
        <w:fldChar w:fldCharType="begin"/>
      </w:r>
      <w:r w:rsidRPr="00DD71E7">
        <w:instrText xml:space="preserve"> REF _Ref201761458 \r \h </w:instrText>
      </w:r>
      <w:r w:rsidRPr="00DD71E7">
        <w:fldChar w:fldCharType="separate"/>
      </w:r>
      <w:r w:rsidR="00D955D8" w:rsidRPr="00DD71E7">
        <w:t>4.1.1</w:t>
      </w:r>
      <w:r w:rsidRPr="00DD71E7">
        <w:fldChar w:fldCharType="end"/>
      </w:r>
      <w:r w:rsidRPr="00DD71E7">
        <w:t>, p</w:t>
      </w:r>
      <w:r w:rsidR="004377FB" w:rsidRPr="00DD71E7">
        <w:t xml:space="preserve">oor awareness of existing programs, such as the </w:t>
      </w:r>
      <w:r w:rsidR="00770354" w:rsidRPr="00DD71E7">
        <w:t>EBPRP</w:t>
      </w:r>
      <w:r w:rsidR="004377FB" w:rsidRPr="00DD71E7">
        <w:t xml:space="preserve">, and confusion about </w:t>
      </w:r>
      <w:r w:rsidRPr="00DD71E7">
        <w:t>pathways to access</w:t>
      </w:r>
      <w:r w:rsidR="004377FB" w:rsidRPr="00DD71E7">
        <w:t xml:space="preserve"> </w:t>
      </w:r>
      <w:r w:rsidRPr="00DD71E7">
        <w:t>were</w:t>
      </w:r>
      <w:r w:rsidR="004377FB" w:rsidRPr="00DD71E7">
        <w:t xml:space="preserve"> highlighted by stakeholders as key barriers to </w:t>
      </w:r>
      <w:r w:rsidRPr="00DD71E7">
        <w:t>access</w:t>
      </w:r>
      <w:r w:rsidR="004377FB" w:rsidRPr="00DD71E7">
        <w:t xml:space="preserve">. </w:t>
      </w:r>
      <w:r w:rsidR="00707786" w:rsidRPr="00DD71E7">
        <w:t>Therefore</w:t>
      </w:r>
      <w:r w:rsidR="004377FB" w:rsidRPr="00DD71E7">
        <w:t xml:space="preserve">, the success of a </w:t>
      </w:r>
      <w:r w:rsidR="004440FB" w:rsidRPr="00DD71E7">
        <w:t xml:space="preserve">potential </w:t>
      </w:r>
      <w:r w:rsidR="004377FB" w:rsidRPr="00DD71E7">
        <w:t xml:space="preserve">national cancer prostheses program will </w:t>
      </w:r>
      <w:r w:rsidR="004440FB" w:rsidRPr="00DD71E7">
        <w:t xml:space="preserve">likely </w:t>
      </w:r>
      <w:r w:rsidR="004377FB" w:rsidRPr="00DD71E7">
        <w:t xml:space="preserve">depend not only on funding and service delivery but also on the effectiveness of communication, education, and stakeholder engagement strategies that enable individuals </w:t>
      </w:r>
      <w:r w:rsidR="00443383" w:rsidRPr="00DD71E7">
        <w:t>to navigate services confidently</w:t>
      </w:r>
      <w:r w:rsidR="004377FB" w:rsidRPr="00DD71E7">
        <w:t>.</w:t>
      </w:r>
      <w:r w:rsidRPr="00DD71E7">
        <w:t xml:space="preserve"> Clinicians and service providers </w:t>
      </w:r>
      <w:r w:rsidR="004440FB" w:rsidRPr="00DD71E7">
        <w:t xml:space="preserve">would need to </w:t>
      </w:r>
      <w:r w:rsidRPr="00DD71E7">
        <w:t xml:space="preserve">be informed of their responsibilities under </w:t>
      </w:r>
      <w:r w:rsidR="004440FB" w:rsidRPr="00DD71E7">
        <w:t xml:space="preserve">a new </w:t>
      </w:r>
      <w:r w:rsidRPr="00DD71E7">
        <w:t xml:space="preserve">program and be equipped with </w:t>
      </w:r>
      <w:r w:rsidR="00171D30" w:rsidRPr="00DD71E7">
        <w:t>educational</w:t>
      </w:r>
      <w:r w:rsidRPr="00DD71E7">
        <w:t xml:space="preserve"> materials to guide patients effectively through the care pathway. Likewise, individuals with lived experience of cancer and their carers </w:t>
      </w:r>
      <w:r w:rsidR="004440FB" w:rsidRPr="00DD71E7">
        <w:t xml:space="preserve">would require </w:t>
      </w:r>
      <w:r w:rsidRPr="00DD71E7">
        <w:t xml:space="preserve">access to accessible </w:t>
      </w:r>
      <w:r w:rsidR="004440FB" w:rsidRPr="00DD71E7">
        <w:t xml:space="preserve">and culturally appropriate </w:t>
      </w:r>
      <w:r w:rsidRPr="00DD71E7">
        <w:t xml:space="preserve">information regarding the program, the types of prostheses available, and how and where to access prostheses. </w:t>
      </w:r>
    </w:p>
    <w:p w14:paraId="2894E730" w14:textId="77777777" w:rsidR="001D4349" w:rsidRDefault="001D4349" w:rsidP="001D4349">
      <w:pPr>
        <w:pStyle w:val="Heading3"/>
      </w:pPr>
      <w:r>
        <w:t>Cultural safety and inclusion</w:t>
      </w:r>
    </w:p>
    <w:p w14:paraId="65B93BD4" w14:textId="42D6D79F" w:rsidR="005E4487" w:rsidRPr="00DD71E7" w:rsidRDefault="0060088D" w:rsidP="00DD71E7">
      <w:r w:rsidRPr="00DD71E7">
        <w:t xml:space="preserve">Considerations for cultural safety and inclusion </w:t>
      </w:r>
      <w:r w:rsidR="004440FB" w:rsidRPr="00DD71E7">
        <w:t xml:space="preserve">would </w:t>
      </w:r>
      <w:r w:rsidRPr="00DD71E7">
        <w:t xml:space="preserve">also be key </w:t>
      </w:r>
      <w:r w:rsidR="003370F9" w:rsidRPr="00DD71E7">
        <w:t xml:space="preserve">to the </w:t>
      </w:r>
      <w:r w:rsidR="00706259" w:rsidRPr="00DD71E7">
        <w:t xml:space="preserve">successful implementation </w:t>
      </w:r>
      <w:r w:rsidR="003370F9" w:rsidRPr="00DD71E7">
        <w:t>of a national cancer prostheses program.</w:t>
      </w:r>
      <w:r w:rsidR="00C42E22" w:rsidRPr="00DD71E7">
        <w:t xml:space="preserve"> Without consideration of how </w:t>
      </w:r>
      <w:r w:rsidR="004440FB" w:rsidRPr="00DD71E7">
        <w:t xml:space="preserve">a new </w:t>
      </w:r>
      <w:r w:rsidR="00C42E22" w:rsidRPr="00DD71E7">
        <w:t xml:space="preserve">program should be </w:t>
      </w:r>
      <w:r w:rsidR="00C31324" w:rsidRPr="00DD71E7">
        <w:t>designed</w:t>
      </w:r>
      <w:r w:rsidR="00C42E22" w:rsidRPr="00DD71E7">
        <w:t xml:space="preserve"> </w:t>
      </w:r>
      <w:r w:rsidR="00C31324" w:rsidRPr="00DD71E7">
        <w:t>to</w:t>
      </w:r>
      <w:r w:rsidR="00C42E22" w:rsidRPr="00DD71E7">
        <w:t xml:space="preserve"> ensure culturally safe and accessible care, </w:t>
      </w:r>
      <w:r w:rsidRPr="00DD71E7">
        <w:t>there is a risk that the program may</w:t>
      </w:r>
      <w:r w:rsidR="007E0112" w:rsidRPr="00DD71E7">
        <w:t xml:space="preserve"> exclud</w:t>
      </w:r>
      <w:r w:rsidRPr="00DD71E7">
        <w:t>e</w:t>
      </w:r>
      <w:r w:rsidR="007E0112" w:rsidRPr="00DD71E7">
        <w:t xml:space="preserve"> priority populations such as Aboriginal and Torres Strait Islander peoples, and CALD communities. </w:t>
      </w:r>
      <w:r w:rsidR="00712268" w:rsidRPr="00DD71E7">
        <w:t>Prioritising cultural safety</w:t>
      </w:r>
      <w:r w:rsidR="00723FA2" w:rsidRPr="00DD71E7">
        <w:t xml:space="preserve"> also aligns with the </w:t>
      </w:r>
      <w:r w:rsidR="00712268" w:rsidRPr="00DD71E7">
        <w:t>principles of equity, person-centred care, and inclusion</w:t>
      </w:r>
      <w:r w:rsidR="00723FA2" w:rsidRPr="00DD71E7">
        <w:t xml:space="preserve"> outlined in the Australian Cancer Plan.</w:t>
      </w:r>
    </w:p>
    <w:p w14:paraId="482DB833" w14:textId="77777777" w:rsidR="00171D30" w:rsidRPr="00DD71E7" w:rsidRDefault="00712268" w:rsidP="00DD71E7">
      <w:r w:rsidRPr="00DD71E7">
        <w:t>Stakeholders consulted as part of this review</w:t>
      </w:r>
      <w:r w:rsidR="00723FA2" w:rsidRPr="00DD71E7">
        <w:t xml:space="preserve"> highlighted </w:t>
      </w:r>
      <w:r w:rsidRPr="00DD71E7">
        <w:t>that</w:t>
      </w:r>
      <w:r w:rsidR="00723FA2" w:rsidRPr="00DD71E7">
        <w:t xml:space="preserve"> </w:t>
      </w:r>
      <w:r w:rsidR="00F05DF9" w:rsidRPr="00DD71E7">
        <w:t xml:space="preserve">many individuals from Aboriginal and Torres Strait Islander communities and CALD backgrounds </w:t>
      </w:r>
      <w:r w:rsidRPr="00DD71E7">
        <w:t xml:space="preserve">often </w:t>
      </w:r>
      <w:r w:rsidR="00F05DF9" w:rsidRPr="00DD71E7">
        <w:t>face additional barriers to accessing prostheses services</w:t>
      </w:r>
      <w:r w:rsidRPr="00DD71E7">
        <w:t>. These include</w:t>
      </w:r>
      <w:r w:rsidR="00F05DF9" w:rsidRPr="00DD71E7">
        <w:t xml:space="preserve"> language</w:t>
      </w:r>
      <w:r w:rsidRPr="00DD71E7">
        <w:t xml:space="preserve"> and communication barriers</w:t>
      </w:r>
      <w:r w:rsidR="00F05DF9" w:rsidRPr="00DD71E7">
        <w:t xml:space="preserve">, cultural stigma, and lack of culturally appropriate care. To address these barriers to accessing cancer prostheses, </w:t>
      </w:r>
      <w:r w:rsidR="004440FB" w:rsidRPr="00DD71E7">
        <w:t xml:space="preserve">a potential </w:t>
      </w:r>
      <w:r w:rsidR="00F05DF9" w:rsidRPr="00DD71E7">
        <w:t xml:space="preserve">national cancer prostheses program </w:t>
      </w:r>
      <w:r w:rsidR="004440FB" w:rsidRPr="00DD71E7">
        <w:t>w</w:t>
      </w:r>
      <w:r w:rsidR="00F05DF9" w:rsidRPr="00DD71E7">
        <w:t>ould</w:t>
      </w:r>
      <w:r w:rsidR="004440FB" w:rsidRPr="00DD71E7">
        <w:t xml:space="preserve"> need to consider</w:t>
      </w:r>
      <w:r w:rsidR="00F05DF9" w:rsidRPr="00DD71E7">
        <w:t xml:space="preserve"> embed</w:t>
      </w:r>
      <w:r w:rsidR="004440FB" w:rsidRPr="00DD71E7">
        <w:t>ding</w:t>
      </w:r>
      <w:r w:rsidR="00F05DF9" w:rsidRPr="00DD71E7">
        <w:t xml:space="preserve"> </w:t>
      </w:r>
      <w:r w:rsidR="00C31324" w:rsidRPr="00DD71E7">
        <w:t xml:space="preserve">culturally safe practices </w:t>
      </w:r>
      <w:r w:rsidRPr="00DD71E7">
        <w:t>throughout</w:t>
      </w:r>
      <w:r w:rsidR="00C31324" w:rsidRPr="00DD71E7">
        <w:t xml:space="preserve"> the </w:t>
      </w:r>
      <w:r w:rsidRPr="00DD71E7">
        <w:t xml:space="preserve">entire </w:t>
      </w:r>
      <w:r w:rsidR="00C31324" w:rsidRPr="00DD71E7">
        <w:t xml:space="preserve">care pathway. </w:t>
      </w:r>
    </w:p>
    <w:p w14:paraId="55D3555D" w14:textId="7C0ADF84" w:rsidR="00F05DF9" w:rsidRPr="00DD71E7" w:rsidRDefault="00C31324" w:rsidP="00DD71E7">
      <w:r w:rsidRPr="00DD71E7">
        <w:t xml:space="preserve">This </w:t>
      </w:r>
      <w:r w:rsidR="008F463C" w:rsidRPr="00DD71E7">
        <w:t>may include</w:t>
      </w:r>
      <w:r w:rsidRPr="00DD71E7">
        <w:t>:</w:t>
      </w:r>
    </w:p>
    <w:p w14:paraId="2CB31C76" w14:textId="0C374EEE" w:rsidR="00C31324" w:rsidRDefault="00C31324" w:rsidP="00AE4288">
      <w:pPr>
        <w:pStyle w:val="Bullet1stlevel"/>
      </w:pPr>
      <w:r w:rsidRPr="0042443F">
        <w:rPr>
          <w:rStyle w:val="Strong"/>
        </w:rPr>
        <w:t xml:space="preserve">Involving Aboriginal and Torres Strait Islander </w:t>
      </w:r>
      <w:r w:rsidR="008F463C" w:rsidRPr="0042443F">
        <w:rPr>
          <w:rStyle w:val="Strong"/>
        </w:rPr>
        <w:t>H</w:t>
      </w:r>
      <w:r w:rsidRPr="0042443F">
        <w:rPr>
          <w:rStyle w:val="Strong"/>
        </w:rPr>
        <w:t xml:space="preserve">ealth </w:t>
      </w:r>
      <w:r w:rsidR="008F463C" w:rsidRPr="0042443F">
        <w:rPr>
          <w:rStyle w:val="Strong"/>
        </w:rPr>
        <w:t>W</w:t>
      </w:r>
      <w:r w:rsidRPr="0042443F">
        <w:rPr>
          <w:rStyle w:val="Strong"/>
        </w:rPr>
        <w:t>orkers and liaison officers</w:t>
      </w:r>
      <w:r>
        <w:t xml:space="preserve"> in the planning, delivery and coordination of prostheses services</w:t>
      </w:r>
    </w:p>
    <w:p w14:paraId="282FB438" w14:textId="6DCB7573" w:rsidR="00C31324" w:rsidRDefault="00C31324" w:rsidP="00AE4288">
      <w:pPr>
        <w:pStyle w:val="Bullet1stlevel"/>
      </w:pPr>
      <w:r w:rsidRPr="0042443F">
        <w:rPr>
          <w:rStyle w:val="Strong"/>
        </w:rPr>
        <w:t>Developing and delivering education and communication materials</w:t>
      </w:r>
      <w:r>
        <w:t xml:space="preserve"> in culturally appropriate formats and in multiple languages, </w:t>
      </w:r>
      <w:r w:rsidR="008F463C">
        <w:t>designed in partnership with</w:t>
      </w:r>
      <w:r>
        <w:t xml:space="preserve"> community leaders</w:t>
      </w:r>
    </w:p>
    <w:p w14:paraId="2C3E85E6" w14:textId="30BB9CBF" w:rsidR="00C31324" w:rsidRDefault="00C31324" w:rsidP="00AE4288">
      <w:pPr>
        <w:pStyle w:val="Bullet1stlevel"/>
      </w:pPr>
      <w:r w:rsidRPr="0042443F">
        <w:rPr>
          <w:rStyle w:val="Strong"/>
        </w:rPr>
        <w:t>Ensuring prostheses are accessible in a diverse range of skin tones, forms and cultural</w:t>
      </w:r>
      <w:r w:rsidR="008F463C" w:rsidRPr="0042443F">
        <w:rPr>
          <w:rStyle w:val="Strong"/>
        </w:rPr>
        <w:t>ly appropriate styles</w:t>
      </w:r>
      <w:r>
        <w:t xml:space="preserve">, particularly for facial and breast </w:t>
      </w:r>
      <w:r w:rsidR="00171D30">
        <w:t>prostheses</w:t>
      </w:r>
      <w:r>
        <w:t xml:space="preserve">, where </w:t>
      </w:r>
      <w:r w:rsidR="004168FC">
        <w:t>identity</w:t>
      </w:r>
      <w:r>
        <w:t xml:space="preserve"> and </w:t>
      </w:r>
      <w:r w:rsidR="004168FC">
        <w:t>dignity</w:t>
      </w:r>
      <w:r>
        <w:t xml:space="preserve"> are </w:t>
      </w:r>
      <w:r w:rsidR="004168FC">
        <w:t>closely linked</w:t>
      </w:r>
    </w:p>
    <w:p w14:paraId="2AE05F1D" w14:textId="51B12736" w:rsidR="00C31324" w:rsidRDefault="00C31324" w:rsidP="00AE4288">
      <w:pPr>
        <w:pStyle w:val="Bullet1stlevel"/>
      </w:pPr>
      <w:r w:rsidRPr="0042443F">
        <w:rPr>
          <w:rStyle w:val="Strong"/>
        </w:rPr>
        <w:t>Training clinicians and prostheses providers</w:t>
      </w:r>
      <w:r w:rsidRPr="004168FC">
        <w:t xml:space="preserve"> </w:t>
      </w:r>
      <w:r>
        <w:t xml:space="preserve">in </w:t>
      </w:r>
      <w:r w:rsidR="004168FC" w:rsidRPr="004168FC">
        <w:t>cultural safety, trauma</w:t>
      </w:r>
      <w:r>
        <w:t>-informed</w:t>
      </w:r>
      <w:r w:rsidR="004168FC" w:rsidRPr="004168FC">
        <w:t xml:space="preserve"> care, and </w:t>
      </w:r>
      <w:r>
        <w:t>person-</w:t>
      </w:r>
      <w:r w:rsidR="004168FC" w:rsidRPr="004168FC">
        <w:t>centred</w:t>
      </w:r>
      <w:r>
        <w:t xml:space="preserve"> approaches to </w:t>
      </w:r>
      <w:r w:rsidR="004168FC" w:rsidRPr="004168FC">
        <w:t>ensure respectful and inclusive interactions</w:t>
      </w:r>
    </w:p>
    <w:p w14:paraId="2B7D5439" w14:textId="482CC4D2" w:rsidR="00C31324" w:rsidRDefault="00C31324" w:rsidP="00AE4288">
      <w:pPr>
        <w:pStyle w:val="Bullet1stlevel"/>
      </w:pPr>
      <w:r w:rsidRPr="0042443F">
        <w:rPr>
          <w:rStyle w:val="Strong"/>
        </w:rPr>
        <w:t>Partnering with community</w:t>
      </w:r>
      <w:r w:rsidR="004168FC" w:rsidRPr="0042443F">
        <w:rPr>
          <w:rStyle w:val="Strong"/>
        </w:rPr>
        <w:t>-based organisations</w:t>
      </w:r>
      <w:r>
        <w:t xml:space="preserve"> to co-design </w:t>
      </w:r>
      <w:r w:rsidR="004168FC">
        <w:t>and deliver culturally safe and trusted models of care</w:t>
      </w:r>
      <w:r w:rsidR="0060088D">
        <w:t xml:space="preserve">. </w:t>
      </w:r>
    </w:p>
    <w:p w14:paraId="377075C3" w14:textId="4D4CD03A" w:rsidR="0000094F" w:rsidRPr="00DD71E7" w:rsidRDefault="009C5A7D" w:rsidP="00DD71E7">
      <w:r w:rsidRPr="00DD71E7">
        <w:t xml:space="preserve">Embedding cultural safety and inclusion in </w:t>
      </w:r>
      <w:r w:rsidR="004440FB" w:rsidRPr="00DD71E7">
        <w:t xml:space="preserve">a </w:t>
      </w:r>
      <w:r w:rsidR="00394B57" w:rsidRPr="00DD71E7">
        <w:t xml:space="preserve">new </w:t>
      </w:r>
      <w:r w:rsidR="003370F9" w:rsidRPr="00DD71E7">
        <w:t xml:space="preserve">national cancer prostheses program </w:t>
      </w:r>
      <w:r w:rsidR="00394B57" w:rsidRPr="00DD71E7">
        <w:t xml:space="preserve">would help to </w:t>
      </w:r>
      <w:r w:rsidRPr="00DD71E7">
        <w:t>ensure</w:t>
      </w:r>
      <w:r w:rsidR="003370F9" w:rsidRPr="00DD71E7">
        <w:t xml:space="preserve"> equitable access, dignity in care, and empower</w:t>
      </w:r>
      <w:r w:rsidR="00394B57" w:rsidRPr="00DD71E7">
        <w:t>ment of</w:t>
      </w:r>
      <w:r w:rsidR="003370F9" w:rsidRPr="00DD71E7">
        <w:t xml:space="preserve"> individuals from all backgrounds to make informed choices </w:t>
      </w:r>
      <w:r w:rsidR="00394B57" w:rsidRPr="00DD71E7">
        <w:t xml:space="preserve">in </w:t>
      </w:r>
      <w:r w:rsidR="003370F9" w:rsidRPr="00DD71E7">
        <w:t xml:space="preserve">their </w:t>
      </w:r>
      <w:r w:rsidR="0068353B" w:rsidRPr="00DD71E7">
        <w:t>cancer</w:t>
      </w:r>
      <w:r w:rsidR="00394B57" w:rsidRPr="00DD71E7">
        <w:t xml:space="preserve"> care and</w:t>
      </w:r>
      <w:r w:rsidR="0068353B" w:rsidRPr="00DD71E7">
        <w:t xml:space="preserve"> rehabilitation </w:t>
      </w:r>
      <w:r w:rsidRPr="00DD71E7">
        <w:t>journey</w:t>
      </w:r>
      <w:r w:rsidR="003370F9" w:rsidRPr="00DD71E7">
        <w:t>.</w:t>
      </w:r>
    </w:p>
    <w:p w14:paraId="65E4D410" w14:textId="6E4C96AF" w:rsidR="002B01A4" w:rsidRPr="003B4BBC" w:rsidRDefault="002B01A4" w:rsidP="002B01A4">
      <w:pPr>
        <w:pStyle w:val="Heading3"/>
      </w:pPr>
      <w:r w:rsidRPr="003B4BBC">
        <w:t>Rural and remote access</w:t>
      </w:r>
    </w:p>
    <w:p w14:paraId="2F77BEE3" w14:textId="2D34F4E8" w:rsidR="006D1D65" w:rsidRDefault="006D1D65" w:rsidP="003B4BBC">
      <w:r w:rsidRPr="006D1D65">
        <w:t xml:space="preserve">Ensuring equitable access to cancer prostheses services for individuals living in rural and remote areas </w:t>
      </w:r>
      <w:r w:rsidR="00394B57">
        <w:t>would be another</w:t>
      </w:r>
      <w:r w:rsidRPr="006D1D65">
        <w:t xml:space="preserve"> </w:t>
      </w:r>
      <w:r>
        <w:t>key</w:t>
      </w:r>
      <w:r w:rsidRPr="006D1D65">
        <w:t xml:space="preserve"> consideration in the design and implementation of a national cancer prostheses program. </w:t>
      </w:r>
      <w:r w:rsidR="0000094F">
        <w:t>As noted throughout this report, p</w:t>
      </w:r>
      <w:r w:rsidRPr="006D1D65">
        <w:t xml:space="preserve">eople living outside metropolitan </w:t>
      </w:r>
      <w:r>
        <w:t>areas</w:t>
      </w:r>
      <w:r w:rsidRPr="006D1D65">
        <w:t xml:space="preserve"> </w:t>
      </w:r>
      <w:r w:rsidR="0000094F">
        <w:t>can</w:t>
      </w:r>
      <w:r w:rsidRPr="006D1D65">
        <w:t xml:space="preserve"> experience significant challenges in accessing prosthe</w:t>
      </w:r>
      <w:r>
        <w:t>ses services</w:t>
      </w:r>
      <w:r w:rsidRPr="006D1D65">
        <w:t xml:space="preserve">, including </w:t>
      </w:r>
      <w:r w:rsidR="00171D30">
        <w:t>the need</w:t>
      </w:r>
      <w:r w:rsidR="0000094F">
        <w:t xml:space="preserve"> to</w:t>
      </w:r>
      <w:r w:rsidRPr="006D1D65">
        <w:t xml:space="preserve"> travel</w:t>
      </w:r>
      <w:r w:rsidR="0000094F">
        <w:t xml:space="preserve"> long</w:t>
      </w:r>
      <w:r w:rsidRPr="006D1D65">
        <w:t xml:space="preserve"> distances and</w:t>
      </w:r>
      <w:r w:rsidR="00394B57">
        <w:t xml:space="preserve"> </w:t>
      </w:r>
      <w:r w:rsidR="00CB35A3">
        <w:t>face</w:t>
      </w:r>
      <w:r w:rsidRPr="006D1D65">
        <w:t xml:space="preserve"> higher out-of-pocket costs. </w:t>
      </w:r>
      <w:r w:rsidR="003B4BBC">
        <w:t xml:space="preserve">This is especially a barrier for people requiring a facial </w:t>
      </w:r>
      <w:r w:rsidR="00A43B40">
        <w:t>prosthesis</w:t>
      </w:r>
      <w:r w:rsidR="003B4BBC">
        <w:t xml:space="preserve"> due to cancer or cancer treatment, with </w:t>
      </w:r>
      <w:r w:rsidR="0000094F">
        <w:t>all</w:t>
      </w:r>
      <w:r w:rsidR="003B4BBC">
        <w:t xml:space="preserve"> </w:t>
      </w:r>
      <w:r w:rsidR="0000094F">
        <w:t xml:space="preserve">publicly </w:t>
      </w:r>
      <w:r w:rsidR="00CB35A3">
        <w:t>funded</w:t>
      </w:r>
      <w:r w:rsidR="004622AA">
        <w:t xml:space="preserve"> </w:t>
      </w:r>
      <w:r w:rsidR="003B4BBC">
        <w:t xml:space="preserve">services </w:t>
      </w:r>
      <w:r w:rsidR="00394B57">
        <w:t>current</w:t>
      </w:r>
      <w:r w:rsidR="004622AA">
        <w:t xml:space="preserve">ly </w:t>
      </w:r>
      <w:r w:rsidR="003B4BBC">
        <w:t xml:space="preserve">located within hospitals located in metropolitan centres. </w:t>
      </w:r>
      <w:r w:rsidRPr="006D1D65">
        <w:t xml:space="preserve"> </w:t>
      </w:r>
    </w:p>
    <w:p w14:paraId="162097FB" w14:textId="520DA174" w:rsidR="00A43B40" w:rsidRDefault="00A43B40" w:rsidP="00A43B40">
      <w:r>
        <w:t>Due to the</w:t>
      </w:r>
      <w:r w:rsidRPr="00A43B40">
        <w:t xml:space="preserve"> highly specialised nature of cancer prostheses</w:t>
      </w:r>
      <w:r w:rsidR="0014604E">
        <w:t xml:space="preserve"> and </w:t>
      </w:r>
      <w:r w:rsidR="004622AA">
        <w:t xml:space="preserve">the </w:t>
      </w:r>
      <w:r w:rsidR="0014604E">
        <w:t>workforce limitations</w:t>
      </w:r>
      <w:r w:rsidR="004622AA">
        <w:t xml:space="preserve"> highlighted previously</w:t>
      </w:r>
      <w:r w:rsidRPr="00A43B40">
        <w:t xml:space="preserve">, it </w:t>
      </w:r>
      <w:r w:rsidR="0039053F">
        <w:t>may</w:t>
      </w:r>
      <w:r w:rsidR="0039053F" w:rsidRPr="00A43B40">
        <w:t xml:space="preserve"> </w:t>
      </w:r>
      <w:r w:rsidRPr="00A43B40">
        <w:t xml:space="preserve">not </w:t>
      </w:r>
      <w:r w:rsidR="0039053F">
        <w:t xml:space="preserve">be </w:t>
      </w:r>
      <w:r w:rsidRPr="00A43B40">
        <w:t xml:space="preserve">practical or feasible to establish </w:t>
      </w:r>
      <w:r w:rsidR="0014604E">
        <w:t>services</w:t>
      </w:r>
      <w:r w:rsidR="0014604E" w:rsidRPr="00A43B40">
        <w:t xml:space="preserve"> </w:t>
      </w:r>
      <w:r w:rsidR="0014604E">
        <w:t>across all</w:t>
      </w:r>
      <w:r w:rsidR="0014604E" w:rsidRPr="00A43B40">
        <w:t xml:space="preserve"> </w:t>
      </w:r>
      <w:r>
        <w:t>regional and rural location</w:t>
      </w:r>
      <w:r w:rsidR="0039053F">
        <w:t>s</w:t>
      </w:r>
      <w:r w:rsidRPr="00A43B40">
        <w:t xml:space="preserve">. </w:t>
      </w:r>
      <w:r w:rsidR="00A92358">
        <w:t>Alternative s</w:t>
      </w:r>
      <w:r w:rsidR="00A92358" w:rsidRPr="00A92358">
        <w:t xml:space="preserve">trategies to support access to prostheses services </w:t>
      </w:r>
      <w:r w:rsidR="0014604E">
        <w:t>for these communities</w:t>
      </w:r>
      <w:r w:rsidR="00A92358" w:rsidRPr="00A92358">
        <w:t xml:space="preserve"> could be further considered</w:t>
      </w:r>
      <w:r w:rsidR="0014604E">
        <w:t>,</w:t>
      </w:r>
      <w:r w:rsidR="00A92358" w:rsidRPr="00A92358">
        <w:t xml:space="preserve"> in collaboration with jurisdictional health departments and service providers. These strategies</w:t>
      </w:r>
      <w:r w:rsidR="0014604E">
        <w:t xml:space="preserve"> may</w:t>
      </w:r>
      <w:r w:rsidR="00A92358" w:rsidRPr="00A92358">
        <w:t xml:space="preserve"> </w:t>
      </w:r>
      <w:r w:rsidR="00A569DC">
        <w:t>include:</w:t>
      </w:r>
    </w:p>
    <w:p w14:paraId="3D8DB320" w14:textId="30F73896" w:rsidR="003A1AC1" w:rsidRDefault="003A1AC1" w:rsidP="00AE4288">
      <w:pPr>
        <w:pStyle w:val="Bullet1stlevel"/>
      </w:pPr>
      <w:r w:rsidRPr="0042443F">
        <w:rPr>
          <w:rStyle w:val="Strong"/>
        </w:rPr>
        <w:t>Outreach services or mobile clinics:</w:t>
      </w:r>
      <w:r>
        <w:t xml:space="preserve"> </w:t>
      </w:r>
      <w:r w:rsidR="00F447ED">
        <w:t>P</w:t>
      </w:r>
      <w:r>
        <w:t xml:space="preserve">roviding mobile prostheses services or conducting regular outreach clinics </w:t>
      </w:r>
      <w:r w:rsidR="00E27548">
        <w:t>could also be considered</w:t>
      </w:r>
      <w:r w:rsidR="00F62C7C">
        <w:t xml:space="preserve"> to ensure that </w:t>
      </w:r>
      <w:r>
        <w:t>prostheses assessment and fitting services</w:t>
      </w:r>
      <w:r w:rsidR="00F62C7C">
        <w:t xml:space="preserve"> are provided</w:t>
      </w:r>
      <w:r>
        <w:t xml:space="preserve"> closer to underserved communities. These models are currently </w:t>
      </w:r>
      <w:r w:rsidR="006E6147">
        <w:t>being</w:t>
      </w:r>
      <w:r>
        <w:t xml:space="preserve"> utilised to deliver limb prostheses in rural areas </w:t>
      </w:r>
      <w:r w:rsidR="006E6147">
        <w:t>of QLD, SA and</w:t>
      </w:r>
      <w:r w:rsidR="00F447ED">
        <w:t xml:space="preserve"> the</w:t>
      </w:r>
      <w:r w:rsidR="006E6147">
        <w:t xml:space="preserve"> NT.</w:t>
      </w:r>
    </w:p>
    <w:p w14:paraId="5C8646A6" w14:textId="7D4FE3A4" w:rsidR="006F4AE9" w:rsidRDefault="003A1AC1" w:rsidP="00AE4288">
      <w:pPr>
        <w:pStyle w:val="Bullet1stlevel"/>
      </w:pPr>
      <w:r w:rsidRPr="0042443F">
        <w:rPr>
          <w:rStyle w:val="Strong"/>
        </w:rPr>
        <w:t xml:space="preserve">Telehealth </w:t>
      </w:r>
      <w:r w:rsidR="006E6147" w:rsidRPr="0042443F">
        <w:rPr>
          <w:rStyle w:val="Strong"/>
        </w:rPr>
        <w:t>or</w:t>
      </w:r>
      <w:r w:rsidRPr="0042443F">
        <w:rPr>
          <w:rStyle w:val="Strong"/>
        </w:rPr>
        <w:t xml:space="preserve"> </w:t>
      </w:r>
      <w:r w:rsidR="006E6147" w:rsidRPr="0042443F">
        <w:rPr>
          <w:rStyle w:val="Strong"/>
        </w:rPr>
        <w:t>v</w:t>
      </w:r>
      <w:r w:rsidRPr="0042443F">
        <w:rPr>
          <w:rStyle w:val="Strong"/>
        </w:rPr>
        <w:t xml:space="preserve">irtual </w:t>
      </w:r>
      <w:r w:rsidR="006E6147" w:rsidRPr="0042443F">
        <w:rPr>
          <w:rStyle w:val="Strong"/>
        </w:rPr>
        <w:t>c</w:t>
      </w:r>
      <w:r w:rsidRPr="0042443F">
        <w:rPr>
          <w:rStyle w:val="Strong"/>
        </w:rPr>
        <w:t>are</w:t>
      </w:r>
      <w:r w:rsidR="006E6147" w:rsidRPr="0042443F">
        <w:rPr>
          <w:rStyle w:val="Strong"/>
        </w:rPr>
        <w:t>:</w:t>
      </w:r>
      <w:r w:rsidR="006E6147" w:rsidRPr="006F4AE9">
        <w:t xml:space="preserve"> </w:t>
      </w:r>
      <w:r w:rsidRPr="006F4AE9">
        <w:t xml:space="preserve">Virtual consultations </w:t>
      </w:r>
      <w:r w:rsidR="006F4AE9" w:rsidRPr="006F4AE9">
        <w:t>could be utilised to</w:t>
      </w:r>
      <w:r w:rsidRPr="006F4AE9">
        <w:t xml:space="preserve"> facilitate </w:t>
      </w:r>
      <w:r w:rsidR="00F447ED">
        <w:t>initial consultations</w:t>
      </w:r>
      <w:r w:rsidRPr="006F4AE9">
        <w:t>, follow-up care, patient education, and multidisciplinary coordination,</w:t>
      </w:r>
      <w:r w:rsidR="00F62C7C">
        <w:t xml:space="preserve"> thereby</w:t>
      </w:r>
      <w:r w:rsidRPr="006F4AE9">
        <w:t xml:space="preserve"> reducing the need for</w:t>
      </w:r>
      <w:r w:rsidR="006F4AE9" w:rsidRPr="006F4AE9">
        <w:t xml:space="preserve"> individuals requiring cancer prostheses to</w:t>
      </w:r>
      <w:r w:rsidRPr="006F4AE9">
        <w:t xml:space="preserve"> travel</w:t>
      </w:r>
      <w:r w:rsidR="00F447ED">
        <w:t xml:space="preserve"> for every appointment</w:t>
      </w:r>
      <w:r w:rsidRPr="006F4AE9">
        <w:t xml:space="preserve">. </w:t>
      </w:r>
    </w:p>
    <w:p w14:paraId="4B302954" w14:textId="647C3D3C" w:rsidR="00CA2FBB" w:rsidRPr="006F4AE9" w:rsidRDefault="00CA2FBB" w:rsidP="00AE4288">
      <w:pPr>
        <w:pStyle w:val="Bullet1stlevel"/>
      </w:pPr>
      <w:r w:rsidRPr="0042443F">
        <w:rPr>
          <w:rStyle w:val="Strong"/>
        </w:rPr>
        <w:t>Travel support schemes or vouchers:</w:t>
      </w:r>
      <w:r>
        <w:t xml:space="preserve"> Providing financial support for travel and accommodation could be considered to support individuals living in rural and remote locations to access prostheses services in metropolitan areas without additional out-of-pocket expenses. This would be particularly important for individuals who require prostheses where regular appointments for fittings or replacements are </w:t>
      </w:r>
      <w:r w:rsidR="00CB35A3">
        <w:t>necessary</w:t>
      </w:r>
      <w:r>
        <w:t xml:space="preserve">. The availability and accessibility of </w:t>
      </w:r>
      <w:r w:rsidR="00CB35A3">
        <w:t>jurisdiction-based</w:t>
      </w:r>
      <w:r>
        <w:t xml:space="preserve"> travel schemes would need to be considered to avoid duplication of existing schemes. </w:t>
      </w:r>
    </w:p>
    <w:p w14:paraId="09870A9B" w14:textId="77777777" w:rsidR="009C5A7D" w:rsidRDefault="009C5A7D" w:rsidP="009C5A7D">
      <w:pPr>
        <w:pStyle w:val="Heading3"/>
      </w:pPr>
      <w:r>
        <w:t xml:space="preserve">Data collection and evaluation </w:t>
      </w:r>
    </w:p>
    <w:p w14:paraId="1AE94020" w14:textId="4E8DDB46" w:rsidR="004E0FC5" w:rsidRPr="00DD71E7" w:rsidRDefault="00F851EC" w:rsidP="00DD71E7">
      <w:r w:rsidRPr="00F851EC">
        <w:t xml:space="preserve">The establishment of a monitoring and evaluation framework, </w:t>
      </w:r>
      <w:r w:rsidR="00CB35A3">
        <w:t>along with</w:t>
      </w:r>
      <w:r w:rsidR="00C56B93">
        <w:t xml:space="preserve"> </w:t>
      </w:r>
      <w:r w:rsidRPr="00F851EC">
        <w:t>mechanisms to collect robust data</w:t>
      </w:r>
      <w:r w:rsidR="00080468">
        <w:t xml:space="preserve">, </w:t>
      </w:r>
      <w:r w:rsidR="00F62C7C">
        <w:t xml:space="preserve">would be </w:t>
      </w:r>
      <w:r w:rsidRPr="00F851EC">
        <w:t>important to</w:t>
      </w:r>
      <w:r w:rsidR="00080468">
        <w:t xml:space="preserve"> support the implementation, </w:t>
      </w:r>
      <w:r w:rsidRPr="00F851EC">
        <w:t>accountability and continuous improvement</w:t>
      </w:r>
      <w:r w:rsidR="00080468">
        <w:t xml:space="preserve"> of a national cancer prostheses program</w:t>
      </w:r>
      <w:r w:rsidRPr="00F851EC">
        <w:t>.</w:t>
      </w:r>
      <w:r w:rsidR="00AB4248">
        <w:t xml:space="preserve"> </w:t>
      </w:r>
      <w:r w:rsidR="004E0FC5" w:rsidRPr="004E0FC5">
        <w:t xml:space="preserve">Collecting comprehensive data on prosthesis needs, access, outcomes, and costs </w:t>
      </w:r>
      <w:r w:rsidR="00F62C7C">
        <w:t>would</w:t>
      </w:r>
      <w:r w:rsidR="00F62C7C" w:rsidRPr="004E0FC5">
        <w:t xml:space="preserve"> </w:t>
      </w:r>
      <w:r w:rsidR="004E0FC5" w:rsidRPr="004E0FC5">
        <w:t xml:space="preserve">enable </w:t>
      </w:r>
      <w:r w:rsidR="00F62C7C">
        <w:t xml:space="preserve">the </w:t>
      </w:r>
      <w:r w:rsidR="00C56B93">
        <w:t>program’s</w:t>
      </w:r>
      <w:r w:rsidR="004E0FC5" w:rsidRPr="004E0FC5">
        <w:t xml:space="preserve"> effectiveness</w:t>
      </w:r>
      <w:r w:rsidR="00F62C7C">
        <w:t xml:space="preserve"> to be</w:t>
      </w:r>
      <w:r w:rsidR="000C1376">
        <w:t xml:space="preserve"> monitored and</w:t>
      </w:r>
      <w:r w:rsidR="00F62C7C">
        <w:t xml:space="preserve"> evaluated</w:t>
      </w:r>
      <w:r w:rsidR="004E0FC5" w:rsidRPr="004E0FC5">
        <w:t>, gaps in service delivery</w:t>
      </w:r>
      <w:r w:rsidR="000C1376">
        <w:t xml:space="preserve"> to be identified</w:t>
      </w:r>
      <w:r w:rsidR="004E0FC5" w:rsidRPr="004E0FC5">
        <w:t xml:space="preserve">, and </w:t>
      </w:r>
      <w:r w:rsidR="000C1376">
        <w:t xml:space="preserve">help to </w:t>
      </w:r>
      <w:r w:rsidR="004E0FC5" w:rsidRPr="004E0FC5">
        <w:t>inform future planning and resource allocation.</w:t>
      </w:r>
    </w:p>
    <w:p w14:paraId="1622B320" w14:textId="2A70ED9A" w:rsidR="004E0FC5" w:rsidRPr="00DD71E7" w:rsidRDefault="00941704" w:rsidP="00DD71E7">
      <w:r>
        <w:t xml:space="preserve">Currently, there is limited national-level data </w:t>
      </w:r>
      <w:r w:rsidR="0060088D">
        <w:t xml:space="preserve">collected </w:t>
      </w:r>
      <w:r w:rsidR="002C7334">
        <w:t>regarding</w:t>
      </w:r>
      <w:r>
        <w:t xml:space="preserve"> cancer-related prostheses</w:t>
      </w:r>
      <w:r w:rsidR="004E0FC5">
        <w:t xml:space="preserve">, including </w:t>
      </w:r>
      <w:r>
        <w:t xml:space="preserve">the number of people </w:t>
      </w:r>
      <w:r w:rsidR="00C56B93">
        <w:t>who</w:t>
      </w:r>
      <w:r w:rsidR="008A72FE">
        <w:t xml:space="preserve"> require a prosthesis following a cancer diagnosis, the cost of prostheses, </w:t>
      </w:r>
      <w:r w:rsidR="004E0FC5">
        <w:t>wait times</w:t>
      </w:r>
      <w:r w:rsidR="008A72FE">
        <w:t xml:space="preserve">, </w:t>
      </w:r>
      <w:r w:rsidR="004E0FC5">
        <w:t>and service access</w:t>
      </w:r>
      <w:r w:rsidR="008803DA">
        <w:t>.</w:t>
      </w:r>
      <w:r w:rsidR="008A72FE">
        <w:t xml:space="preserve"> </w:t>
      </w:r>
      <w:r>
        <w:t>This l</w:t>
      </w:r>
      <w:r w:rsidRPr="00DD71E7">
        <w:t xml:space="preserve">imits </w:t>
      </w:r>
      <w:r w:rsidR="004E0FC5" w:rsidRPr="00DD71E7">
        <w:t>the ability to monitor s</w:t>
      </w:r>
      <w:r w:rsidRPr="00DD71E7">
        <w:t xml:space="preserve">ervice </w:t>
      </w:r>
      <w:r w:rsidR="004E0FC5" w:rsidRPr="00DD71E7">
        <w:t xml:space="preserve">performance, address inequities in access and ensure workforce and funding models meet demand. </w:t>
      </w:r>
    </w:p>
    <w:p w14:paraId="4B3AAA3D" w14:textId="387AAB5F" w:rsidR="008A72FE" w:rsidRDefault="008A72FE" w:rsidP="00DD71E7">
      <w:r w:rsidRPr="00DD71E7">
        <w:t>A national c</w:t>
      </w:r>
      <w:r>
        <w:t xml:space="preserve">ancer </w:t>
      </w:r>
      <w:r w:rsidR="0020269B">
        <w:t>prostheses</w:t>
      </w:r>
      <w:r>
        <w:t xml:space="preserve"> program </w:t>
      </w:r>
      <w:r w:rsidR="00185A48">
        <w:t xml:space="preserve">would likely require a </w:t>
      </w:r>
      <w:r w:rsidR="00237936">
        <w:t>dedicated data collection framework</w:t>
      </w:r>
      <w:r w:rsidR="00185A48">
        <w:t xml:space="preserve"> to be developed</w:t>
      </w:r>
      <w:r w:rsidR="0020269B">
        <w:t>. This framework</w:t>
      </w:r>
      <w:r w:rsidR="00237936">
        <w:t xml:space="preserve"> may include:</w:t>
      </w:r>
    </w:p>
    <w:p w14:paraId="2CF3BBF6" w14:textId="2F1100FC" w:rsidR="0020269B" w:rsidRDefault="0020269B" w:rsidP="00E31978">
      <w:pPr>
        <w:pStyle w:val="Bullet1stlevel"/>
      </w:pPr>
      <w:r>
        <w:t>Utilisation data, including type and frequency of prosthesis use, demographic and clinical characteristics, and geographic distribution.</w:t>
      </w:r>
    </w:p>
    <w:p w14:paraId="1C11CF94" w14:textId="17974767" w:rsidR="0020269B" w:rsidRDefault="0020269B" w:rsidP="00E31978">
      <w:pPr>
        <w:pStyle w:val="Bullet1stlevel"/>
      </w:pPr>
      <w:r>
        <w:t>Access indicators, such as referral timeframes, travel requirements, and service availability by location.</w:t>
      </w:r>
    </w:p>
    <w:p w14:paraId="4788A294" w14:textId="756A3CCE" w:rsidR="0020269B" w:rsidRDefault="0020269B" w:rsidP="00E31978">
      <w:pPr>
        <w:pStyle w:val="Bullet1stlevel"/>
      </w:pPr>
      <w:r>
        <w:t>Cost and funding data, to assess program efficiency, cost-effectiveness, and future investment needs.</w:t>
      </w:r>
    </w:p>
    <w:p w14:paraId="0A9C9EEB" w14:textId="77777777" w:rsidR="0020269B" w:rsidRDefault="0020269B" w:rsidP="00E31978">
      <w:pPr>
        <w:pStyle w:val="Bullet1stlevel"/>
      </w:pPr>
      <w:r>
        <w:t>Service delivery and provider data, including workforce capacity, wait times, and provider compliance with national standards.</w:t>
      </w:r>
    </w:p>
    <w:p w14:paraId="46AD4D43" w14:textId="1398A190" w:rsidR="00DE0C73" w:rsidRPr="00A511A6" w:rsidRDefault="00C56B93" w:rsidP="00DD71E7">
      <w:pPr>
        <w:sectPr w:rsidR="00DE0C73" w:rsidRPr="00A511A6" w:rsidSect="005967B8">
          <w:headerReference w:type="default" r:id="rId80"/>
          <w:pgSz w:w="11906" w:h="16838"/>
          <w:pgMar w:top="1418" w:right="851" w:bottom="1418" w:left="851" w:header="567" w:footer="284" w:gutter="0"/>
          <w:cols w:space="708"/>
          <w:docGrid w:linePitch="360"/>
        </w:sectPr>
      </w:pPr>
      <w:r>
        <w:t xml:space="preserve">Additionally, a monitoring and evaluation framework would support the monitoring of program performance over time, assessments of impact and effectiveness, and the </w:t>
      </w:r>
      <w:r w:rsidR="009447E7">
        <w:t xml:space="preserve">identification of </w:t>
      </w:r>
      <w:r w:rsidR="00080468">
        <w:t>areas for improvement.</w:t>
      </w:r>
      <w:r w:rsidR="00080468" w:rsidRPr="00080468">
        <w:t xml:space="preserve"> </w:t>
      </w:r>
      <w:r w:rsidR="009447E7" w:rsidRPr="00C53F9C">
        <w:t>Th</w:t>
      </w:r>
      <w:r w:rsidR="009447E7">
        <w:t xml:space="preserve">e establishment </w:t>
      </w:r>
      <w:r w:rsidR="007E4C3D">
        <w:t xml:space="preserve">and implementation </w:t>
      </w:r>
      <w:r w:rsidR="009447E7">
        <w:t xml:space="preserve">of </w:t>
      </w:r>
      <w:r w:rsidR="007E4C3D">
        <w:t>a monitoring and evaluation framework</w:t>
      </w:r>
      <w:r w:rsidR="009447E7" w:rsidRPr="00C53F9C">
        <w:t xml:space="preserve"> </w:t>
      </w:r>
      <w:r w:rsidR="00803461">
        <w:t>w</w:t>
      </w:r>
      <w:r w:rsidR="009447E7">
        <w:t>ould</w:t>
      </w:r>
      <w:r w:rsidR="009447E7" w:rsidRPr="00C53F9C">
        <w:t xml:space="preserve"> </w:t>
      </w:r>
      <w:r w:rsidR="00E5154A">
        <w:t xml:space="preserve">support the delivery of targeted, equitable, and high-quality care under a national program, </w:t>
      </w:r>
      <w:r w:rsidR="00C53F9C">
        <w:t>enabling continuous improvement</w:t>
      </w:r>
      <w:r w:rsidR="00080468" w:rsidRPr="00080468">
        <w:t xml:space="preserve"> and </w:t>
      </w:r>
      <w:r w:rsidR="00C53F9C">
        <w:t>sustainability</w:t>
      </w:r>
      <w:r w:rsidR="00080468" w:rsidRPr="00080468">
        <w:t>.</w:t>
      </w:r>
    </w:p>
    <w:p w14:paraId="077EA85E" w14:textId="279F53CD" w:rsidR="00116140" w:rsidRDefault="00D412DA" w:rsidP="00DD71E7">
      <w:r w:rsidRPr="00DD71E7">
        <w:drawing>
          <wp:anchor distT="0" distB="0" distL="114300" distR="114300" simplePos="0" relativeHeight="251658244" behindDoc="1" locked="1" layoutInCell="1" allowOverlap="1" wp14:anchorId="265EAAA1" wp14:editId="67945AF9">
            <wp:simplePos x="0" y="0"/>
            <wp:positionH relativeFrom="page">
              <wp:align>left</wp:align>
            </wp:positionH>
            <wp:positionV relativeFrom="page">
              <wp:align>top</wp:align>
            </wp:positionV>
            <wp:extent cx="7559675" cy="10691495"/>
            <wp:effectExtent l="0" t="0" r="3175" b="0"/>
            <wp:wrapNone/>
            <wp:docPr id="141352020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520209" name="Graphic 1">
                      <a:extLst>
                        <a:ext uri="{C183D7F6-B498-43B3-948B-1728B52AA6E4}">
                          <adec:decorative xmlns:adec="http://schemas.microsoft.com/office/drawing/2017/decorative" val="1"/>
                        </a:ext>
                      </a:extLst>
                    </pic:cNvPr>
                    <pic:cNvPicPr/>
                  </pic:nvPicPr>
                  <pic:blipFill>
                    <a:blip r:embed="rId81">
                      <a:extLst>
                        <a:ext uri="{28A0092B-C50C-407E-A947-70E740481C1C}">
                          <a14:useLocalDpi xmlns:a14="http://schemas.microsoft.com/office/drawing/2010/main" val="0"/>
                        </a:ext>
                      </a:extLst>
                    </a:blip>
                    <a:stretch>
                      <a:fillRect/>
                    </a:stretch>
                  </pic:blipFill>
                  <pic:spPr>
                    <a:xfrm>
                      <a:off x="0" y="0"/>
                      <a:ext cx="7559847" cy="10692000"/>
                    </a:xfrm>
                    <a:prstGeom prst="rect">
                      <a:avLst/>
                    </a:prstGeom>
                  </pic:spPr>
                </pic:pic>
              </a:graphicData>
            </a:graphic>
            <wp14:sizeRelH relativeFrom="margin">
              <wp14:pctWidth>0</wp14:pctWidth>
            </wp14:sizeRelH>
            <wp14:sizeRelV relativeFrom="margin">
              <wp14:pctHeight>0</wp14:pctHeight>
            </wp14:sizeRelV>
          </wp:anchor>
        </w:drawing>
      </w:r>
    </w:p>
    <w:p w14:paraId="591E8C62" w14:textId="77777777" w:rsidR="00116140" w:rsidRPr="00DD71E7" w:rsidRDefault="00116140" w:rsidP="00DD71E7">
      <w:pPr>
        <w:sectPr w:rsidR="00116140" w:rsidRPr="00DD71E7" w:rsidSect="00E93355">
          <w:headerReference w:type="default" r:id="rId82"/>
          <w:pgSz w:w="11906" w:h="16838"/>
          <w:pgMar w:top="851" w:right="851" w:bottom="851" w:left="851" w:header="567" w:footer="283" w:gutter="0"/>
          <w:cols w:space="708"/>
          <w:docGrid w:linePitch="360"/>
        </w:sectPr>
      </w:pPr>
    </w:p>
    <w:p w14:paraId="58DC402A" w14:textId="005E4710" w:rsidR="00826807" w:rsidRDefault="00116140" w:rsidP="00826807">
      <w:pPr>
        <w:pStyle w:val="Heading1"/>
      </w:pPr>
      <w:bookmarkStart w:id="148" w:name="_Ref201830178"/>
      <w:bookmarkStart w:id="149" w:name="_Toc207348754"/>
      <w:r>
        <w:t xml:space="preserve">Cost implications of a </w:t>
      </w:r>
      <w:r w:rsidR="00523C62">
        <w:t xml:space="preserve">potential </w:t>
      </w:r>
      <w:r>
        <w:t>national cancer prosthes</w:t>
      </w:r>
      <w:r w:rsidR="00627775">
        <w:t>e</w:t>
      </w:r>
      <w:r>
        <w:t>s program</w:t>
      </w:r>
      <w:bookmarkEnd w:id="148"/>
      <w:bookmarkEnd w:id="149"/>
    </w:p>
    <w:p w14:paraId="7551138D" w14:textId="68D373A2" w:rsidR="008B343E" w:rsidRPr="00DD71E7" w:rsidRDefault="008B343E" w:rsidP="00DD71E7">
      <w:r w:rsidRPr="00DD71E7">
        <w:t xml:space="preserve">This section outlines findings related to the following review question.  </w:t>
      </w:r>
    </w:p>
    <w:p w14:paraId="1D84FBAF" w14:textId="52244E39" w:rsidR="00E31978" w:rsidRDefault="00E31978" w:rsidP="00E808C4">
      <w:pPr>
        <w:pStyle w:val="Callout-Summaryofkeyfindingbullet"/>
      </w:pPr>
      <w:r w:rsidRPr="0042443F">
        <w:rPr>
          <w:rStyle w:val="Strong"/>
        </w:rPr>
        <w:t>KRQ 7:</w:t>
      </w:r>
      <w:r>
        <w:t xml:space="preserve"> </w:t>
      </w:r>
      <w:r w:rsidRPr="00D63931">
        <w:t xml:space="preserve">What would be the cost </w:t>
      </w:r>
      <w:r>
        <w:t>and appropriate delivery model for</w:t>
      </w:r>
      <w:r w:rsidRPr="00D63931">
        <w:t xml:space="preserve"> a national cancer prosthes</w:t>
      </w:r>
      <w:r>
        <w:t>e</w:t>
      </w:r>
      <w:r w:rsidRPr="00D63931">
        <w:t>s program?</w:t>
      </w:r>
    </w:p>
    <w:p w14:paraId="4036A06E" w14:textId="77777777" w:rsidR="008B343E" w:rsidRPr="00E71108" w:rsidRDefault="008B343E" w:rsidP="00E71108">
      <w:r w:rsidRPr="00E71108">
        <w:t xml:space="preserve">The findings in this section are presented as follows: </w:t>
      </w:r>
    </w:p>
    <w:p w14:paraId="6F6C4005" w14:textId="33B7C322" w:rsidR="005645EF" w:rsidRDefault="008178EF" w:rsidP="00E31978">
      <w:pPr>
        <w:pStyle w:val="Bullet1stlevel"/>
      </w:pPr>
      <w:r>
        <w:t xml:space="preserve">6.1 </w:t>
      </w:r>
      <w:r w:rsidR="006455FE">
        <w:t xml:space="preserve">Prostheses market implications of introducing a national program </w:t>
      </w:r>
    </w:p>
    <w:p w14:paraId="2471760C" w14:textId="77777777" w:rsidR="006455FE" w:rsidRDefault="008178EF" w:rsidP="00E31978">
      <w:pPr>
        <w:pStyle w:val="Bullet1stlevel"/>
      </w:pPr>
      <w:r>
        <w:t xml:space="preserve">6.2 </w:t>
      </w:r>
      <w:r w:rsidR="006455FE">
        <w:t>Cost considerations for a national cancer prosthesis program</w:t>
      </w:r>
    </w:p>
    <w:p w14:paraId="5FE5824A" w14:textId="41D21778" w:rsidR="00944720" w:rsidRPr="00100081" w:rsidRDefault="00944720" w:rsidP="00E31978">
      <w:pPr>
        <w:pStyle w:val="Bullet1stlevel"/>
      </w:pPr>
      <w:r>
        <w:t xml:space="preserve">6.3 </w:t>
      </w:r>
      <w:r w:rsidR="004456FA">
        <w:t xml:space="preserve">Costings for each </w:t>
      </w:r>
      <w:r w:rsidR="007C730E">
        <w:t xml:space="preserve">potential option outlined in </w:t>
      </w:r>
      <w:r w:rsidR="007C730E" w:rsidRPr="00100081">
        <w:t xml:space="preserve">Section </w:t>
      </w:r>
      <w:r w:rsidR="007C730E" w:rsidRPr="00100081">
        <w:fldChar w:fldCharType="begin"/>
      </w:r>
      <w:r w:rsidR="007C730E" w:rsidRPr="00100081">
        <w:instrText xml:space="preserve"> REF _Ref201582977 \r \h  \* MERGEFORMAT </w:instrText>
      </w:r>
      <w:r w:rsidR="007C730E" w:rsidRPr="00100081">
        <w:fldChar w:fldCharType="separate"/>
      </w:r>
      <w:r w:rsidR="00E31978">
        <w:t>0</w:t>
      </w:r>
      <w:r w:rsidR="007C730E" w:rsidRPr="00100081">
        <w:fldChar w:fldCharType="end"/>
      </w:r>
      <w:r w:rsidR="007C730E" w:rsidRPr="00100081">
        <w:t>.</w:t>
      </w:r>
    </w:p>
    <w:p w14:paraId="3E771A9B" w14:textId="7FFCDB36" w:rsidR="005645EF" w:rsidRPr="00E71108" w:rsidRDefault="008B343E" w:rsidP="00E71108">
      <w:r w:rsidRPr="00E71108">
        <w:t>A summary of the key findings outlined within this section is provided below.</w:t>
      </w:r>
    </w:p>
    <w:p w14:paraId="0152B58F" w14:textId="261F2F0E" w:rsidR="000B52A2" w:rsidRDefault="000B52A2" w:rsidP="00FD688B">
      <w:pPr>
        <w:pStyle w:val="Heading2Summaryofkeyfindings"/>
      </w:pPr>
      <w:r>
        <w:t>Summary of findings</w:t>
      </w:r>
    </w:p>
    <w:p w14:paraId="37824BD8" w14:textId="77777777" w:rsidR="00D40CE9" w:rsidRPr="003A6808" w:rsidRDefault="00D40CE9" w:rsidP="005A6CA2">
      <w:pPr>
        <w:pStyle w:val="Callout-Summaryofkeyfindingbullet"/>
      </w:pPr>
      <w:r w:rsidRPr="003A6808">
        <w:t xml:space="preserve">The potential implementation of a national prosthesis scheme may have an impact on the supply and demand in the marketplace and send price signals to manufacturers of prostheses. </w:t>
      </w:r>
      <w:r>
        <w:t>Currently, there is no data available to determine</w:t>
      </w:r>
      <w:r w:rsidRPr="003A6808">
        <w:t xml:space="preserve"> the number of people who may currently require a prosthesis but do not have one. The implementation of a national scheme may lead to a </w:t>
      </w:r>
      <w:r>
        <w:t>surge in demand for prostheses, potentially resulting in either higher</w:t>
      </w:r>
      <w:r w:rsidRPr="003A6808">
        <w:t xml:space="preserve"> prices charged by manufacturers or longer waitlists for prostheses. </w:t>
      </w:r>
    </w:p>
    <w:p w14:paraId="1CA46B2C" w14:textId="77777777" w:rsidR="00D40CE9" w:rsidRPr="003A6808" w:rsidRDefault="00D40CE9" w:rsidP="005A6CA2">
      <w:pPr>
        <w:pStyle w:val="Callout-Summaryofkeyfindingbullet"/>
      </w:pPr>
      <w:r w:rsidRPr="003A6808">
        <w:t xml:space="preserve">In establishing a national scheme, the price set by the Australian Government will send a price signal to the market about what a prosthesis </w:t>
      </w:r>
      <w:r>
        <w:t>“</w:t>
      </w:r>
      <w:r w:rsidRPr="003A6808">
        <w:t>should</w:t>
      </w:r>
      <w:r>
        <w:t>”</w:t>
      </w:r>
      <w:r w:rsidRPr="003A6808">
        <w:t xml:space="preserve"> </w:t>
      </w:r>
      <w:r>
        <w:t>c</w:t>
      </w:r>
      <w:r w:rsidRPr="003A6808">
        <w:t xml:space="preserve">ost and the acceptable amount for manufacturers to charge. This can lead to prices clustering around the set price. Setting the price of prostheses too high </w:t>
      </w:r>
      <w:r>
        <w:t>could</w:t>
      </w:r>
      <w:r w:rsidRPr="003A6808">
        <w:t xml:space="preserve"> lead to increased costs to government through these clustering effects, while setting the price too low </w:t>
      </w:r>
      <w:r>
        <w:t>could</w:t>
      </w:r>
      <w:r w:rsidRPr="003A6808">
        <w:t xml:space="preserve"> have a detrimental impact on the delivery of services and could lead to providers exiting the market. </w:t>
      </w:r>
    </w:p>
    <w:p w14:paraId="6AB03852" w14:textId="77777777" w:rsidR="00D40CE9" w:rsidRPr="003A6808" w:rsidRDefault="00D40CE9" w:rsidP="005A6CA2">
      <w:pPr>
        <w:pStyle w:val="Callout-Summaryofkeyfindingbullet"/>
      </w:pPr>
      <w:r w:rsidRPr="003A6808">
        <w:t xml:space="preserve">There is limited data available to describe the types of cancer that may lead to a prosthesis </w:t>
      </w:r>
      <w:proofErr w:type="gramStart"/>
      <w:r w:rsidRPr="003A6808">
        <w:t xml:space="preserve">as </w:t>
      </w:r>
      <w:r>
        <w:t>a</w:t>
      </w:r>
      <w:r w:rsidRPr="003A6808">
        <w:t xml:space="preserve"> result of</w:t>
      </w:r>
      <w:proofErr w:type="gramEnd"/>
      <w:r w:rsidRPr="003A6808">
        <w:t xml:space="preserve"> treatment, the number of people that will require a prosthesis following treatment for cancer and the costs associated with each prosthesis type.</w:t>
      </w:r>
    </w:p>
    <w:p w14:paraId="056D8A9E" w14:textId="77777777" w:rsidR="00D40CE9" w:rsidRDefault="00D40CE9" w:rsidP="005A6CA2">
      <w:pPr>
        <w:pStyle w:val="Callout-Summaryofkeyfindingbullet"/>
      </w:pPr>
      <w:r w:rsidRPr="003A6808">
        <w:t xml:space="preserve">Costs associated with facial prostheses were reported to vary significantly due to their highly customised nature. The average cost reported for a facial prosthesis was $6,000, although stakeholders suggested </w:t>
      </w:r>
      <w:r>
        <w:t>that some may cost more than $10,000. In contrast,</w:t>
      </w:r>
      <w:r w:rsidRPr="003A6808">
        <w:t xml:space="preserve"> the average cost of an ocular prosthesis was reported to be $2,500.  </w:t>
      </w:r>
    </w:p>
    <w:p w14:paraId="566B874B" w14:textId="77777777" w:rsidR="00D40CE9" w:rsidRPr="003A6808" w:rsidRDefault="00D40CE9" w:rsidP="005A6CA2">
      <w:pPr>
        <w:pStyle w:val="Callout-Summaryofkeyfindingbullet"/>
      </w:pPr>
      <w:r w:rsidRPr="003A6808">
        <w:t xml:space="preserve">The average cost of an external breast prosthesis was reported to be $400, which is in line with the reimbursement amount under the EBPRP. </w:t>
      </w:r>
    </w:p>
    <w:p w14:paraId="7632356A" w14:textId="77777777" w:rsidR="00D40CE9" w:rsidRPr="003A6808" w:rsidRDefault="00D40CE9" w:rsidP="005A6CA2">
      <w:pPr>
        <w:pStyle w:val="Callout-Summaryofkeyfindingbullet"/>
      </w:pPr>
      <w:r w:rsidRPr="003A6808">
        <w:t xml:space="preserve">The cost of a prosthetic limb was reported to range from less than $15,000 for a basic limb through to $250,000 for a highly advanced limb. Data to describe the distribution of costs within this range was not available. </w:t>
      </w:r>
    </w:p>
    <w:p w14:paraId="7F38164B" w14:textId="77777777" w:rsidR="00D40CE9" w:rsidRPr="003A6808" w:rsidRDefault="00D40CE9" w:rsidP="005A6CA2">
      <w:pPr>
        <w:pStyle w:val="Calloutbodytext"/>
      </w:pPr>
      <w:r w:rsidRPr="003A6808">
        <w:t>Cost modelling for a</w:t>
      </w:r>
      <w:r>
        <w:t xml:space="preserve"> potential</w:t>
      </w:r>
      <w:r w:rsidRPr="003A6808">
        <w:t xml:space="preserve"> national cancer prostheses program indicated: </w:t>
      </w:r>
    </w:p>
    <w:p w14:paraId="25BC45F1" w14:textId="77777777" w:rsidR="00D40CE9" w:rsidRPr="003A6808" w:rsidRDefault="00D40CE9" w:rsidP="005A6CA2">
      <w:pPr>
        <w:pStyle w:val="Callout-Summaryofkeyfindingbullet"/>
      </w:pPr>
      <w:r w:rsidRPr="0042443F">
        <w:rPr>
          <w:rStyle w:val="Strong"/>
        </w:rPr>
        <w:t>Option 1 would cost $51.63 million over 10 years</w:t>
      </w:r>
      <w:r w:rsidRPr="003A6808">
        <w:rPr>
          <w:b/>
          <w:bCs/>
        </w:rPr>
        <w:t xml:space="preserve"> </w:t>
      </w:r>
      <w:r w:rsidRPr="003A6808">
        <w:t>for facial prostheses, including ears, eyes, noses and hemi-facial prostheses.</w:t>
      </w:r>
    </w:p>
    <w:p w14:paraId="42D3EA6B" w14:textId="77777777" w:rsidR="00D40CE9" w:rsidRPr="003A6808" w:rsidRDefault="00D40CE9" w:rsidP="005A6CA2">
      <w:pPr>
        <w:pStyle w:val="Callout-Summaryofkeyfindingbullet"/>
        <w:rPr>
          <w:b/>
        </w:rPr>
      </w:pPr>
      <w:r w:rsidRPr="0042443F">
        <w:rPr>
          <w:rStyle w:val="Strong"/>
        </w:rPr>
        <w:t>Option 2 would cost $123.38 million over 10 years</w:t>
      </w:r>
      <w:r w:rsidRPr="003A6808">
        <w:rPr>
          <w:b/>
        </w:rPr>
        <w:t>.</w:t>
      </w:r>
      <w:r w:rsidRPr="003A6808">
        <w:t xml:space="preserve"> This includes $51.63 million for facial prostheses and $71.76 million for external breast prostheses</w:t>
      </w:r>
      <w:r>
        <w:t xml:space="preserve">, </w:t>
      </w:r>
      <w:r w:rsidRPr="003A6808">
        <w:t>noting that the EBPRP is already funded by the Australian Government.</w:t>
      </w:r>
    </w:p>
    <w:p w14:paraId="691F81A1" w14:textId="56D4E9BB" w:rsidR="000B52A2" w:rsidRPr="00D63931" w:rsidRDefault="00D40CE9" w:rsidP="005A6CA2">
      <w:pPr>
        <w:pStyle w:val="Callout-Summaryofkeyfindingbullet"/>
        <w:rPr>
          <w:color w:val="auto"/>
        </w:rPr>
      </w:pPr>
      <w:r w:rsidRPr="0042443F">
        <w:rPr>
          <w:rStyle w:val="Strong"/>
        </w:rPr>
        <w:t>Option 3 would cost $209.75 million over 10 years</w:t>
      </w:r>
      <w:r w:rsidRPr="003A6808">
        <w:rPr>
          <w:b/>
          <w:bCs/>
        </w:rPr>
        <w:t xml:space="preserve">. </w:t>
      </w:r>
      <w:r w:rsidRPr="003A6808">
        <w:t>This includes $51.63 million for facial prostheses, $71.76 million for external breast prostheses and $86.37 million for prosthetic limbs.</w:t>
      </w:r>
    </w:p>
    <w:p w14:paraId="1AC6C83D" w14:textId="77777777" w:rsidR="0045611D" w:rsidRDefault="0045611D" w:rsidP="00C76D17">
      <w:r>
        <w:br w:type="page"/>
      </w:r>
    </w:p>
    <w:p w14:paraId="0F94EFBC" w14:textId="163F1319" w:rsidR="008F71EA" w:rsidRDefault="008F71EA" w:rsidP="008239ED">
      <w:pPr>
        <w:pStyle w:val="Heading2"/>
      </w:pPr>
      <w:bookmarkStart w:id="150" w:name="_Toc207348755"/>
      <w:r>
        <w:t>Prostheses market implications</w:t>
      </w:r>
      <w:bookmarkEnd w:id="150"/>
    </w:p>
    <w:p w14:paraId="5FBDC8E0" w14:textId="507FBDAF" w:rsidR="008F71EA" w:rsidRPr="00BD17E7" w:rsidRDefault="008F71EA" w:rsidP="00DD71E7">
      <w:r>
        <w:t xml:space="preserve">In establishing a </w:t>
      </w:r>
      <w:r w:rsidR="0029248D">
        <w:t xml:space="preserve">potential </w:t>
      </w:r>
      <w:r>
        <w:t xml:space="preserve">national </w:t>
      </w:r>
      <w:r w:rsidR="0029248D">
        <w:t>program</w:t>
      </w:r>
      <w:r>
        <w:t>, consideration should be given to broader impacts on the on the market for prostheses. This includes</w:t>
      </w:r>
      <w:r w:rsidR="0029248D">
        <w:t xml:space="preserve"> </w:t>
      </w:r>
      <w:r w:rsidR="005B7234">
        <w:t>potential impacts on the supply and demand for prostheses and the price signals that may be provided to prosthetic manufacturers</w:t>
      </w:r>
      <w:r>
        <w:t>.</w:t>
      </w:r>
    </w:p>
    <w:p w14:paraId="0ED02174" w14:textId="77777777" w:rsidR="008F71EA" w:rsidRDefault="008F71EA" w:rsidP="008F71EA">
      <w:pPr>
        <w:pStyle w:val="Heading3"/>
      </w:pPr>
      <w:r>
        <w:t xml:space="preserve">Supply and demand </w:t>
      </w:r>
    </w:p>
    <w:p w14:paraId="61A01E14" w14:textId="5B516D01" w:rsidR="008F71EA" w:rsidRPr="00DD71E7" w:rsidRDefault="008F71EA" w:rsidP="00DD71E7">
      <w:r w:rsidRPr="00DD71E7">
        <w:t>As described in Section</w:t>
      </w:r>
      <w:r w:rsidR="00100081" w:rsidRPr="00DD71E7">
        <w:t xml:space="preserve"> </w:t>
      </w:r>
      <w:r w:rsidR="002F6F82" w:rsidRPr="00DD71E7">
        <w:t>5,</w:t>
      </w:r>
      <w:r w:rsidRPr="00DD71E7">
        <w:t xml:space="preserve"> there are significant workforce challenges in the provision of prostheses, particularly for facial prostheses, including the overall workforce size, </w:t>
      </w:r>
      <w:r w:rsidR="0036128A" w:rsidRPr="00DD71E7">
        <w:t>workforce distribution,</w:t>
      </w:r>
      <w:r w:rsidRPr="00DD71E7">
        <w:t xml:space="preserve"> and training opportunities. The prostheses workforce is small and specialised, with </w:t>
      </w:r>
      <w:r w:rsidR="0065065F" w:rsidRPr="00DD71E7">
        <w:t>individuals with living or lived experience of cancer</w:t>
      </w:r>
      <w:r w:rsidRPr="00DD71E7">
        <w:t xml:space="preserve"> having unequal access between metropolitan areas and regional, rural and remote locations. Additionally, stakeholders reported that the existing public workforce is at capacity, with long waitlists and wait times for </w:t>
      </w:r>
      <w:r w:rsidR="0065065F" w:rsidRPr="00DD71E7">
        <w:t>individuals</w:t>
      </w:r>
      <w:r w:rsidRPr="00DD71E7">
        <w:t xml:space="preserve"> to secure appointments, while providing services through private arrangements is often unviable and </w:t>
      </w:r>
      <w:r w:rsidR="0036128A" w:rsidRPr="00DD71E7">
        <w:t>places</w:t>
      </w:r>
      <w:r w:rsidRPr="00DD71E7">
        <w:t xml:space="preserve"> a high-cost burden on </w:t>
      </w:r>
      <w:r w:rsidR="0065065F" w:rsidRPr="00DD71E7">
        <w:t>individuals requiring cancer prostheses</w:t>
      </w:r>
      <w:r w:rsidRPr="00DD71E7">
        <w:t>.</w:t>
      </w:r>
    </w:p>
    <w:p w14:paraId="56AED548" w14:textId="0141F6DC" w:rsidR="008F71EA" w:rsidRDefault="000055BF" w:rsidP="00DD71E7">
      <w:r>
        <w:t>In considering</w:t>
      </w:r>
      <w:r w:rsidR="008F71EA">
        <w:t xml:space="preserve"> </w:t>
      </w:r>
      <w:r>
        <w:t xml:space="preserve">the implementation of </w:t>
      </w:r>
      <w:r w:rsidR="008F71EA">
        <w:t xml:space="preserve">a national cancer prosthesis </w:t>
      </w:r>
      <w:r>
        <w:t xml:space="preserve">program, </w:t>
      </w:r>
      <w:r w:rsidR="008F71EA">
        <w:t>the impact on demand for</w:t>
      </w:r>
      <w:r>
        <w:t xml:space="preserve"> prostheses</w:t>
      </w:r>
      <w:r w:rsidR="008F71EA">
        <w:t xml:space="preserve"> services</w:t>
      </w:r>
      <w:r>
        <w:t xml:space="preserve"> would need to be considered</w:t>
      </w:r>
      <w:r w:rsidR="008F71EA">
        <w:t xml:space="preserve">, noting that supply is already constrained. </w:t>
      </w:r>
      <w:r>
        <w:t>Increased</w:t>
      </w:r>
      <w:r w:rsidR="008F71EA">
        <w:t xml:space="preserve"> demand for services,</w:t>
      </w:r>
      <w:r>
        <w:t xml:space="preserve"> which may occur with the implementation of a national program,</w:t>
      </w:r>
      <w:r w:rsidR="008F71EA">
        <w:t xml:space="preserve"> may </w:t>
      </w:r>
      <w:r w:rsidR="0036128A">
        <w:t>lead</w:t>
      </w:r>
      <w:r>
        <w:t xml:space="preserve"> to increased</w:t>
      </w:r>
      <w:r w:rsidR="008F71EA">
        <w:t xml:space="preserve"> waitlists and potentially poorer patient outcomes</w:t>
      </w:r>
      <w:r>
        <w:t xml:space="preserve"> if workforce challenges are not addressed. </w:t>
      </w:r>
    </w:p>
    <w:p w14:paraId="0C391A34" w14:textId="77777777" w:rsidR="008F71EA" w:rsidRDefault="008F71EA" w:rsidP="00DD71E7">
      <w:r>
        <w:t xml:space="preserve">Additionally, the likely increase in demand for services </w:t>
      </w:r>
      <w:proofErr w:type="gramStart"/>
      <w:r>
        <w:t>as a result of</w:t>
      </w:r>
      <w:proofErr w:type="gramEnd"/>
      <w:r>
        <w:t xml:space="preserve"> the introduction of a national program may lead to an increase in the price of prostheses more generally. The potential increase in prices caused by a mismatch between the supply and demand for prostheses is not specific to any one type of prosthesis and may affect all types.</w:t>
      </w:r>
    </w:p>
    <w:p w14:paraId="05AEF7B7" w14:textId="77777777" w:rsidR="008F71EA" w:rsidRDefault="008F71EA" w:rsidP="008F71EA">
      <w:pPr>
        <w:pStyle w:val="Heading3"/>
      </w:pPr>
      <w:r>
        <w:t>Price signals</w:t>
      </w:r>
    </w:p>
    <w:p w14:paraId="2461CB26" w14:textId="05644463" w:rsidR="008F71EA" w:rsidRDefault="008F71EA" w:rsidP="00DD71E7">
      <w:r>
        <w:t xml:space="preserve">Given the individualised nature of prostheses, limited data availability, and the reliance on self-reported costs by manufacturers and </w:t>
      </w:r>
      <w:r w:rsidR="0065065F">
        <w:t>people with living or lived experience of cancer</w:t>
      </w:r>
      <w:r>
        <w:t xml:space="preserve">, accurately determining the cost of each prosthesis type is challenging. In establishing a national scheme, the price set by the Australian Government </w:t>
      </w:r>
      <w:r w:rsidR="0029248D">
        <w:t xml:space="preserve">would </w:t>
      </w:r>
      <w:r>
        <w:t xml:space="preserve">send price signals to the market about what a prosthesis “should” cost and the acceptable amount that prostheses manufacturers can charge. </w:t>
      </w:r>
    </w:p>
    <w:p w14:paraId="56BB35F6" w14:textId="3A363B14" w:rsidR="008F71EA" w:rsidRPr="00DD71E7" w:rsidRDefault="008F71EA" w:rsidP="00DD71E7">
      <w:r>
        <w:t xml:space="preserve">Findings from the evaluation of the </w:t>
      </w:r>
      <w:r w:rsidR="00770354">
        <w:t>EBPRP</w:t>
      </w:r>
      <w:r>
        <w:t xml:space="preserve"> indicated that pricing for external breast prostheses was influenced by the reimbursement amount set by the program, leading to prices charged by producers clustering around the reimbursement value of $400</w:t>
      </w:r>
      <w:r w:rsidR="007B7939">
        <w:rPr>
          <w:rFonts w:ascii="ZWAdobeF" w:hAnsi="ZWAdobeF" w:cs="ZWAdobeF"/>
          <w:color w:val="auto"/>
          <w:sz w:val="2"/>
          <w:szCs w:val="2"/>
        </w:rPr>
        <w:t>171F</w:t>
      </w:r>
      <w:r>
        <w:rPr>
          <w:rStyle w:val="FootnoteReference"/>
        </w:rPr>
        <w:footnoteReference w:id="164"/>
      </w:r>
      <w:r>
        <w:t xml:space="preserve">. Setting the price of prostheses too high can lead to increased costs to government through these clustering effects. Conversely, setting the price too low can have a detrimental impact </w:t>
      </w:r>
      <w:r w:rsidRPr="00DD71E7">
        <w:t xml:space="preserve">on the delivery of services. If the costs of manufacturing prostheses are not adequately covered, providers, both public and private, may exit the market, which would further reduce the accessibility of prostheses for people living with or who have lived experience of cancer. </w:t>
      </w:r>
    </w:p>
    <w:p w14:paraId="6712114E" w14:textId="542B4578" w:rsidR="008F71EA" w:rsidRPr="00DD71E7" w:rsidRDefault="008F71EA" w:rsidP="00DD71E7">
      <w:r w:rsidRPr="00DD71E7">
        <w:t xml:space="preserve">To minimise the potential negative impacts outlined above, understanding the costs associated with different prosthesis types is crucial. Data was not available as part of this review to determine the cost of individual prosthesis types. Costs discussed throughout the review have been provided either as an average price charged by manufacturers and retailers or out-of-pocket costs to </w:t>
      </w:r>
      <w:r w:rsidR="0065065F" w:rsidRPr="00DD71E7">
        <w:t>individuals requiring cancer prostheses</w:t>
      </w:r>
      <w:r w:rsidRPr="00DD71E7">
        <w:t>. To ensure that a national prostheses scheme adequately funds prostheses without the impacts described above, engagement with industry, through detailed market sounding or Request for Information processes</w:t>
      </w:r>
      <w:r w:rsidR="004369B3" w:rsidRPr="00DD71E7">
        <w:t>,</w:t>
      </w:r>
      <w:r w:rsidRPr="00DD71E7">
        <w:t xml:space="preserve"> should be considered.</w:t>
      </w:r>
    </w:p>
    <w:p w14:paraId="3C60CC3D" w14:textId="1C7EAA0E" w:rsidR="005645EF" w:rsidRDefault="005645EF" w:rsidP="008239ED">
      <w:pPr>
        <w:pStyle w:val="Heading2"/>
      </w:pPr>
      <w:bookmarkStart w:id="151" w:name="_Toc207348756"/>
      <w:r>
        <w:t>Cost considerations</w:t>
      </w:r>
      <w:bookmarkEnd w:id="151"/>
    </w:p>
    <w:p w14:paraId="3D4162C9" w14:textId="332E81C3" w:rsidR="003D0D33" w:rsidRPr="00DD71E7" w:rsidRDefault="001936EC" w:rsidP="00DD71E7">
      <w:r w:rsidRPr="00DD71E7">
        <w:t xml:space="preserve">In considering the cost implications of a national cancer prosthesis program, a key </w:t>
      </w:r>
      <w:r w:rsidR="007507FC" w:rsidRPr="00DD71E7">
        <w:t>input</w:t>
      </w:r>
      <w:r w:rsidRPr="00DD71E7">
        <w:t xml:space="preserve"> is the </w:t>
      </w:r>
      <w:r w:rsidR="00F322F3" w:rsidRPr="00DD71E7">
        <w:t xml:space="preserve">average </w:t>
      </w:r>
      <w:r w:rsidR="007507FC" w:rsidRPr="00DD71E7">
        <w:t>cost</w:t>
      </w:r>
      <w:r w:rsidR="00F322F3" w:rsidRPr="00DD71E7">
        <w:t xml:space="preserve"> associated with </w:t>
      </w:r>
      <w:r w:rsidR="007507FC" w:rsidRPr="00DD71E7">
        <w:t>each type</w:t>
      </w:r>
      <w:r w:rsidR="00F322F3" w:rsidRPr="00DD71E7">
        <w:t xml:space="preserve"> of prosthes</w:t>
      </w:r>
      <w:r w:rsidR="007507FC" w:rsidRPr="00DD71E7">
        <w:t>i</w:t>
      </w:r>
      <w:r w:rsidR="00F322F3" w:rsidRPr="00DD71E7">
        <w:t>s</w:t>
      </w:r>
      <w:r w:rsidR="007507FC" w:rsidRPr="00DD71E7">
        <w:t xml:space="preserve"> to be covered under the program</w:t>
      </w:r>
      <w:r w:rsidR="00F322F3" w:rsidRPr="00DD71E7">
        <w:t>.</w:t>
      </w:r>
      <w:r w:rsidR="00F73312" w:rsidRPr="00DD71E7">
        <w:t xml:space="preserve"> The cost of prostheses </w:t>
      </w:r>
      <w:r w:rsidR="00F322F3" w:rsidRPr="00DD71E7">
        <w:t xml:space="preserve">was reported by stakeholders to </w:t>
      </w:r>
      <w:r w:rsidR="00F73312" w:rsidRPr="00DD71E7">
        <w:t>var</w:t>
      </w:r>
      <w:r w:rsidR="00F322F3" w:rsidRPr="00DD71E7">
        <w:t>y</w:t>
      </w:r>
      <w:r w:rsidR="00F73312" w:rsidRPr="00DD71E7">
        <w:t xml:space="preserve"> widely between and within the various prosthesis types and </w:t>
      </w:r>
      <w:r w:rsidR="007507FC" w:rsidRPr="00DD71E7">
        <w:t>can be</w:t>
      </w:r>
      <w:r w:rsidR="00F73312" w:rsidRPr="00DD71E7">
        <w:t xml:space="preserve"> highly variable due to the </w:t>
      </w:r>
      <w:r w:rsidR="007507FC" w:rsidRPr="00DD71E7">
        <w:t xml:space="preserve">highly </w:t>
      </w:r>
      <w:r w:rsidR="00F73312" w:rsidRPr="00DD71E7">
        <w:t xml:space="preserve">individualised nature of </w:t>
      </w:r>
      <w:r w:rsidR="007507FC" w:rsidRPr="00DD71E7">
        <w:t>many prostheses</w:t>
      </w:r>
      <w:r w:rsidR="00F73312" w:rsidRPr="00DD71E7">
        <w:t xml:space="preserve">. </w:t>
      </w:r>
      <w:r w:rsidR="007507FC" w:rsidRPr="00DD71E7">
        <w:t xml:space="preserve">There </w:t>
      </w:r>
      <w:r w:rsidR="004369B3" w:rsidRPr="00DD71E7">
        <w:t>is</w:t>
      </w:r>
      <w:r w:rsidR="007507FC" w:rsidRPr="00DD71E7">
        <w:t xml:space="preserve"> also a range of costs that should be considered for both new and replacement prostheses, including mainten</w:t>
      </w:r>
      <w:r w:rsidR="003E6C9D" w:rsidRPr="00DD71E7">
        <w:t>ance costs and associated consumables</w:t>
      </w:r>
      <w:r w:rsidR="007507FC" w:rsidRPr="00DD71E7">
        <w:t xml:space="preserve">. </w:t>
      </w:r>
    </w:p>
    <w:p w14:paraId="3EA6D219" w14:textId="465CF7F7" w:rsidR="00B2441A" w:rsidRPr="00DD71E7" w:rsidRDefault="006B7DE1" w:rsidP="00DD71E7">
      <w:r w:rsidRPr="00DD71E7">
        <w:fldChar w:fldCharType="begin"/>
      </w:r>
      <w:r w:rsidRPr="00DD71E7">
        <w:instrText xml:space="preserve"> REF _Ref201583530 \h </w:instrText>
      </w:r>
      <w:r w:rsidRPr="00DD71E7">
        <w:fldChar w:fldCharType="separate"/>
      </w:r>
      <w:r w:rsidR="008004C7" w:rsidRPr="00DD71E7">
        <w:t>Table 26</w:t>
      </w:r>
      <w:r w:rsidRPr="00DD71E7">
        <w:fldChar w:fldCharType="end"/>
      </w:r>
      <w:r w:rsidRPr="00DD71E7">
        <w:t xml:space="preserve"> </w:t>
      </w:r>
      <w:r w:rsidR="002616CD" w:rsidRPr="00DD71E7">
        <w:t xml:space="preserve">below outlines the range of values and other cost considerations associated with each prosthesis type. </w:t>
      </w:r>
      <w:r w:rsidR="003E6C9D" w:rsidRPr="00DD71E7">
        <w:t xml:space="preserve">While costs vary by prostheses type, there were no discernible differences in cost identified based on cancer type. </w:t>
      </w:r>
      <w:r w:rsidR="00B2441A" w:rsidRPr="00DD71E7">
        <w:t xml:space="preserve">Cost inputs were sourced through stakeholder engagement activities, with limited publicly available cost sources identified. </w:t>
      </w:r>
    </w:p>
    <w:p w14:paraId="6397F68D" w14:textId="1A34F3BA" w:rsidR="00332DDA" w:rsidRPr="00DD71E7" w:rsidRDefault="004369B3" w:rsidP="00DD71E7">
      <w:r w:rsidRPr="00DD71E7">
        <w:t>Survey results supported the costs reported by stakeholders during interviews</w:t>
      </w:r>
      <w:r w:rsidR="00B2441A" w:rsidRPr="00DD71E7">
        <w:t xml:space="preserve">. </w:t>
      </w:r>
      <w:r w:rsidR="003D0D33" w:rsidRPr="00DD71E7">
        <w:t>In the s</w:t>
      </w:r>
      <w:r w:rsidR="00F73312" w:rsidRPr="00DD71E7">
        <w:t xml:space="preserve">urvey </w:t>
      </w:r>
      <w:r w:rsidR="003D0D33" w:rsidRPr="00DD71E7">
        <w:t xml:space="preserve">distributed to </w:t>
      </w:r>
      <w:r w:rsidR="00F73312" w:rsidRPr="00DD71E7">
        <w:t xml:space="preserve">people </w:t>
      </w:r>
      <w:r w:rsidR="003D0D33" w:rsidRPr="00DD71E7">
        <w:t xml:space="preserve">living with or with lived experience of cancer and their </w:t>
      </w:r>
      <w:proofErr w:type="spellStart"/>
      <w:r w:rsidR="003D0D33" w:rsidRPr="00DD71E7">
        <w:t>carers</w:t>
      </w:r>
      <w:proofErr w:type="spellEnd"/>
      <w:r w:rsidR="003D0D33" w:rsidRPr="00DD71E7">
        <w:t xml:space="preserve">, </w:t>
      </w:r>
      <w:r w:rsidR="00F73312" w:rsidRPr="00DD71E7">
        <w:t>50</w:t>
      </w:r>
      <w:r w:rsidR="003D0D33" w:rsidRPr="00DD71E7">
        <w:t xml:space="preserve"> per cent of respondents </w:t>
      </w:r>
      <w:r w:rsidR="00F73312" w:rsidRPr="00DD71E7">
        <w:t>(32</w:t>
      </w:r>
      <w:r w:rsidR="003D0D33" w:rsidRPr="00DD71E7">
        <w:t xml:space="preserve"> out of 61 respondents</w:t>
      </w:r>
      <w:r w:rsidR="00F73312" w:rsidRPr="00DD71E7">
        <w:t xml:space="preserve">) </w:t>
      </w:r>
      <w:r w:rsidR="003D0D33" w:rsidRPr="00DD71E7">
        <w:t>reported that they</w:t>
      </w:r>
      <w:r w:rsidR="00F73312" w:rsidRPr="00DD71E7">
        <w:t xml:space="preserve"> had out-of-pocket costs of more than $5,000</w:t>
      </w:r>
      <w:r w:rsidR="00332DDA" w:rsidRPr="00DD71E7">
        <w:t xml:space="preserve"> in accessing a prosthesis</w:t>
      </w:r>
      <w:r w:rsidR="00F73312" w:rsidRPr="00DD71E7">
        <w:t>, with 1</w:t>
      </w:r>
      <w:r w:rsidR="00332DDA" w:rsidRPr="00DD71E7">
        <w:t>6 per cent of respondents</w:t>
      </w:r>
      <w:r w:rsidR="00F73312" w:rsidRPr="00DD71E7">
        <w:t xml:space="preserve"> indicating </w:t>
      </w:r>
      <w:r w:rsidR="00332DDA" w:rsidRPr="00DD71E7">
        <w:t>their</w:t>
      </w:r>
      <w:r w:rsidR="00F73312" w:rsidRPr="00DD71E7">
        <w:t xml:space="preserve"> out-of-pocket expenses </w:t>
      </w:r>
      <w:r w:rsidR="00332DDA" w:rsidRPr="00DD71E7">
        <w:t>were</w:t>
      </w:r>
      <w:r w:rsidR="00F73312" w:rsidRPr="00DD71E7">
        <w:t xml:space="preserve"> greater than $10,000. </w:t>
      </w:r>
      <w:r w:rsidR="00B2441A" w:rsidRPr="00DD71E7">
        <w:t xml:space="preserve">This is in line with the costs reported by clinicians and </w:t>
      </w:r>
      <w:r w:rsidR="00870652" w:rsidRPr="00DD71E7">
        <w:t>manufacturers of prostheses.</w:t>
      </w:r>
      <w:r w:rsidR="00B2441A" w:rsidRPr="00DD71E7">
        <w:t xml:space="preserve"> </w:t>
      </w:r>
    </w:p>
    <w:p w14:paraId="340E28BE" w14:textId="3B9AF4EB" w:rsidR="006E52CC" w:rsidRDefault="006E52CC" w:rsidP="006E52CC">
      <w:pPr>
        <w:pStyle w:val="Caption"/>
      </w:pPr>
      <w:bookmarkStart w:id="152" w:name="_Ref201583530"/>
      <w:bookmarkStart w:id="153" w:name="_Toc207348591"/>
      <w:r>
        <w:t xml:space="preserve">Table </w:t>
      </w:r>
      <w:r w:rsidR="008004C7">
        <w:fldChar w:fldCharType="begin"/>
      </w:r>
      <w:r w:rsidR="008004C7">
        <w:instrText xml:space="preserve"> SEQ Table \* ARABIC </w:instrText>
      </w:r>
      <w:r w:rsidR="008004C7">
        <w:fldChar w:fldCharType="separate"/>
      </w:r>
      <w:r w:rsidR="008004C7">
        <w:rPr>
          <w:noProof/>
        </w:rPr>
        <w:t>26</w:t>
      </w:r>
      <w:r w:rsidR="008004C7">
        <w:rPr>
          <w:noProof/>
        </w:rPr>
        <w:fldChar w:fldCharType="end"/>
      </w:r>
      <w:bookmarkEnd w:id="152"/>
      <w:r>
        <w:t>: Cost considerations</w:t>
      </w:r>
      <w:bookmarkEnd w:id="153"/>
    </w:p>
    <w:tbl>
      <w:tblPr>
        <w:tblStyle w:val="KPMGTable"/>
        <w:tblW w:w="10204" w:type="dxa"/>
        <w:tblLook w:val="04A0" w:firstRow="1" w:lastRow="0" w:firstColumn="1" w:lastColumn="0" w:noHBand="0" w:noVBand="1"/>
      </w:tblPr>
      <w:tblGrid>
        <w:gridCol w:w="1413"/>
        <w:gridCol w:w="5675"/>
        <w:gridCol w:w="3116"/>
      </w:tblGrid>
      <w:tr w:rsidR="00677ED1" w:rsidRPr="007B154A" w14:paraId="17AE8972" w14:textId="77777777" w:rsidTr="00A9770D">
        <w:trPr>
          <w:cnfStyle w:val="100000000000" w:firstRow="1" w:lastRow="0" w:firstColumn="0" w:lastColumn="0" w:oddVBand="0" w:evenVBand="0" w:oddHBand="0"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413" w:type="dxa"/>
          </w:tcPr>
          <w:p w14:paraId="1C4A78C9" w14:textId="77777777" w:rsidR="00132B4C" w:rsidRPr="007B154A" w:rsidRDefault="00132B4C" w:rsidP="00282E31">
            <w:pPr>
              <w:pStyle w:val="TableHeading"/>
              <w:rPr>
                <w:b w:val="0"/>
                <w:color w:val="FFFFFF" w:themeColor="background1"/>
                <w:szCs w:val="20"/>
              </w:rPr>
            </w:pPr>
            <w:r>
              <w:t>Category</w:t>
            </w:r>
          </w:p>
        </w:tc>
        <w:tc>
          <w:tcPr>
            <w:tcW w:w="5675" w:type="dxa"/>
          </w:tcPr>
          <w:p w14:paraId="70088086" w14:textId="77777777" w:rsidR="00132B4C" w:rsidRPr="007B154A" w:rsidRDefault="00132B4C" w:rsidP="00282E31">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Cost considerations</w:t>
            </w:r>
          </w:p>
        </w:tc>
        <w:tc>
          <w:tcPr>
            <w:tcW w:w="3116" w:type="dxa"/>
          </w:tcPr>
          <w:p w14:paraId="113775CA" w14:textId="77777777" w:rsidR="00132B4C" w:rsidRDefault="00132B4C" w:rsidP="00282E31">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Source</w:t>
            </w:r>
          </w:p>
        </w:tc>
      </w:tr>
      <w:tr w:rsidR="00677ED1" w:rsidRPr="001B05CB" w14:paraId="04FB01E1" w14:textId="77777777" w:rsidTr="00A9770D">
        <w:trPr>
          <w:trHeight w:val="578"/>
        </w:trPr>
        <w:tc>
          <w:tcPr>
            <w:cnfStyle w:val="001000000000" w:firstRow="0" w:lastRow="0" w:firstColumn="1" w:lastColumn="0" w:oddVBand="0" w:evenVBand="0" w:oddHBand="0" w:evenHBand="0" w:firstRowFirstColumn="0" w:firstRowLastColumn="0" w:lastRowFirstColumn="0" w:lastRowLastColumn="0"/>
            <w:tcW w:w="1413" w:type="dxa"/>
          </w:tcPr>
          <w:p w14:paraId="1DDBA3B2" w14:textId="77777777" w:rsidR="00132B4C" w:rsidRPr="007B154A" w:rsidRDefault="00132B4C" w:rsidP="00282E31">
            <w:pPr>
              <w:pStyle w:val="Tabletextbold"/>
              <w:rPr>
                <w:szCs w:val="20"/>
              </w:rPr>
            </w:pPr>
            <w:r>
              <w:t xml:space="preserve">Facial </w:t>
            </w:r>
            <w:r>
              <w:rPr>
                <w:szCs w:val="20"/>
              </w:rPr>
              <w:t>prostheses</w:t>
            </w:r>
            <w:r w:rsidRPr="007B154A">
              <w:rPr>
                <w:szCs w:val="20"/>
              </w:rPr>
              <w:t xml:space="preserve"> </w:t>
            </w:r>
            <w:r>
              <w:rPr>
                <w:szCs w:val="20"/>
              </w:rPr>
              <w:t>(inc. ear, nose and hemi-facial)</w:t>
            </w:r>
          </w:p>
        </w:tc>
        <w:tc>
          <w:tcPr>
            <w:tcW w:w="5675" w:type="dxa"/>
          </w:tcPr>
          <w:p w14:paraId="0E23AFDF" w14:textId="77777777" w:rsidR="00132B4C" w:rsidRDefault="00132B4C" w:rsidP="00282E31">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New - average cost: $6,000 (range: $2,000 to $10,000). Distribution of costs is unknown. Cost does not include initial consultation. An individual may have an interim prosthesis through the healing period and while their permanent prosthesis is being manufactured.</w:t>
            </w:r>
          </w:p>
          <w:p w14:paraId="0A1EA713" w14:textId="77777777" w:rsidR="00132B4C" w:rsidRDefault="00132B4C" w:rsidP="00282E31">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Replacement - average cost: $4,500 (up to 75% of a new prosthesis).</w:t>
            </w:r>
          </w:p>
          <w:p w14:paraId="54FC4C0F" w14:textId="759D969C" w:rsidR="00132B4C" w:rsidRPr="001A290C" w:rsidRDefault="00132B4C" w:rsidP="00282E31">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 xml:space="preserve">Facial prostheses need replacing every 3 </w:t>
            </w:r>
            <w:r w:rsidR="003A5018">
              <w:rPr>
                <w:bCs/>
                <w:szCs w:val="20"/>
              </w:rPr>
              <w:t>to</w:t>
            </w:r>
            <w:r>
              <w:rPr>
                <w:bCs/>
                <w:szCs w:val="20"/>
              </w:rPr>
              <w:t xml:space="preserve"> 5 years. Some maintenance may be required, but the cost and frequency </w:t>
            </w:r>
            <w:proofErr w:type="gramStart"/>
            <w:r>
              <w:rPr>
                <w:bCs/>
                <w:szCs w:val="20"/>
              </w:rPr>
              <w:t>is</w:t>
            </w:r>
            <w:proofErr w:type="gramEnd"/>
            <w:r>
              <w:rPr>
                <w:bCs/>
                <w:szCs w:val="20"/>
              </w:rPr>
              <w:t xml:space="preserve"> unknown and dependent on the individual.</w:t>
            </w:r>
          </w:p>
        </w:tc>
        <w:tc>
          <w:tcPr>
            <w:tcW w:w="3116" w:type="dxa"/>
          </w:tcPr>
          <w:p w14:paraId="6DFEB237" w14:textId="0AADF353" w:rsidR="00132B4C" w:rsidRDefault="00132B4C" w:rsidP="00282E31">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Stakeholder consultation, including</w:t>
            </w:r>
            <w:r w:rsidR="00D52D42">
              <w:rPr>
                <w:bCs/>
                <w:szCs w:val="20"/>
              </w:rPr>
              <w:t xml:space="preserve"> </w:t>
            </w:r>
            <w:proofErr w:type="gramStart"/>
            <w:r w:rsidR="00D52D42">
              <w:rPr>
                <w:bCs/>
                <w:szCs w:val="20"/>
              </w:rPr>
              <w:t>with</w:t>
            </w:r>
            <w:r>
              <w:rPr>
                <w:bCs/>
                <w:szCs w:val="20"/>
              </w:rPr>
              <w:t>;</w:t>
            </w:r>
            <w:proofErr w:type="gramEnd"/>
          </w:p>
          <w:p w14:paraId="5F07CEDB" w14:textId="77777777" w:rsidR="00132B4C" w:rsidRDefault="00132B4C" w:rsidP="00282E31">
            <w:pPr>
              <w:pStyle w:val="TableBullet2ndlevel"/>
              <w:cnfStyle w:val="000000000000" w:firstRow="0" w:lastRow="0" w:firstColumn="0" w:lastColumn="0" w:oddVBand="0" w:evenVBand="0" w:oddHBand="0" w:evenHBand="0" w:firstRowFirstColumn="0" w:firstRowLastColumn="0" w:lastRowFirstColumn="0" w:lastRowLastColumn="0"/>
              <w:rPr>
                <w:bCs/>
                <w:sz w:val="18"/>
                <w:szCs w:val="20"/>
              </w:rPr>
            </w:pPr>
            <w:r>
              <w:rPr>
                <w:bCs/>
                <w:sz w:val="18"/>
                <w:szCs w:val="20"/>
              </w:rPr>
              <w:t>Retailers</w:t>
            </w:r>
          </w:p>
          <w:p w14:paraId="49979088" w14:textId="4D58F332" w:rsidR="00132B4C" w:rsidRDefault="0065065F" w:rsidP="00282E31">
            <w:pPr>
              <w:pStyle w:val="TableBullet2ndlevel"/>
              <w:cnfStyle w:val="000000000000" w:firstRow="0" w:lastRow="0" w:firstColumn="0" w:lastColumn="0" w:oddVBand="0" w:evenVBand="0" w:oddHBand="0" w:evenHBand="0" w:firstRowFirstColumn="0" w:firstRowLastColumn="0" w:lastRowFirstColumn="0" w:lastRowLastColumn="0"/>
              <w:rPr>
                <w:bCs/>
                <w:sz w:val="18"/>
                <w:szCs w:val="20"/>
              </w:rPr>
            </w:pPr>
            <w:r>
              <w:rPr>
                <w:bCs/>
                <w:sz w:val="18"/>
                <w:szCs w:val="20"/>
              </w:rPr>
              <w:t>Individuals with lived experience</w:t>
            </w:r>
          </w:p>
          <w:p w14:paraId="56909D9A" w14:textId="77777777" w:rsidR="00132B4C" w:rsidRDefault="00132B4C" w:rsidP="00282E31">
            <w:pPr>
              <w:pStyle w:val="TableBullet2ndlevel"/>
              <w:cnfStyle w:val="000000000000" w:firstRow="0" w:lastRow="0" w:firstColumn="0" w:lastColumn="0" w:oddVBand="0" w:evenVBand="0" w:oddHBand="0" w:evenHBand="0" w:firstRowFirstColumn="0" w:firstRowLastColumn="0" w:lastRowFirstColumn="0" w:lastRowLastColumn="0"/>
            </w:pPr>
            <w:r>
              <w:rPr>
                <w:bCs/>
                <w:sz w:val="18"/>
                <w:szCs w:val="20"/>
              </w:rPr>
              <w:t>Clinicians</w:t>
            </w:r>
          </w:p>
        </w:tc>
      </w:tr>
      <w:tr w:rsidR="00677ED1" w:rsidRPr="00FA30FA" w14:paraId="4CA5632E" w14:textId="77777777" w:rsidTr="00A9770D">
        <w:trPr>
          <w:trHeight w:val="576"/>
        </w:trPr>
        <w:tc>
          <w:tcPr>
            <w:cnfStyle w:val="001000000000" w:firstRow="0" w:lastRow="0" w:firstColumn="1" w:lastColumn="0" w:oddVBand="0" w:evenVBand="0" w:oddHBand="0" w:evenHBand="0" w:firstRowFirstColumn="0" w:firstRowLastColumn="0" w:lastRowFirstColumn="0" w:lastRowLastColumn="0"/>
            <w:tcW w:w="1413" w:type="dxa"/>
          </w:tcPr>
          <w:p w14:paraId="2C83BB8D" w14:textId="3ACDAC6B" w:rsidR="00132B4C" w:rsidRPr="007B154A" w:rsidRDefault="00870652" w:rsidP="00282E31">
            <w:pPr>
              <w:pStyle w:val="Tabletextbold"/>
              <w:rPr>
                <w:szCs w:val="20"/>
              </w:rPr>
            </w:pPr>
            <w:r>
              <w:t>Ocular prostheses</w:t>
            </w:r>
          </w:p>
        </w:tc>
        <w:tc>
          <w:tcPr>
            <w:tcW w:w="5675" w:type="dxa"/>
          </w:tcPr>
          <w:p w14:paraId="54BEED82" w14:textId="77777777" w:rsidR="00132B4C" w:rsidRDefault="00132B4C" w:rsidP="00282E31">
            <w:pPr>
              <w:pStyle w:val="TableBullet1stlevel"/>
              <w:cnfStyle w:val="000000000000" w:firstRow="0" w:lastRow="0" w:firstColumn="0" w:lastColumn="0" w:oddVBand="0" w:evenVBand="0" w:oddHBand="0" w:evenHBand="0" w:firstRowFirstColumn="0" w:firstRowLastColumn="0" w:lastRowFirstColumn="0" w:lastRowLastColumn="0"/>
            </w:pPr>
            <w:r>
              <w:t xml:space="preserve">New – average cost: $2,500. </w:t>
            </w:r>
          </w:p>
          <w:p w14:paraId="3BAA7389" w14:textId="77777777" w:rsidR="00132B4C" w:rsidRDefault="00132B4C" w:rsidP="00282E31">
            <w:pPr>
              <w:pStyle w:val="TableBullet1stlevel"/>
              <w:cnfStyle w:val="000000000000" w:firstRow="0" w:lastRow="0" w:firstColumn="0" w:lastColumn="0" w:oddVBand="0" w:evenVBand="0" w:oddHBand="0" w:evenHBand="0" w:firstRowFirstColumn="0" w:firstRowLastColumn="0" w:lastRowFirstColumn="0" w:lastRowLastColumn="0"/>
            </w:pPr>
            <w:r>
              <w:t>Replacement - average cost: $2,500.</w:t>
            </w:r>
          </w:p>
          <w:p w14:paraId="151F2A69" w14:textId="77777777" w:rsidR="00132B4C" w:rsidRDefault="00132B4C" w:rsidP="00282E31">
            <w:pPr>
              <w:pStyle w:val="TableBullet1stlevel"/>
              <w:cnfStyle w:val="000000000000" w:firstRow="0" w:lastRow="0" w:firstColumn="0" w:lastColumn="0" w:oddVBand="0" w:evenVBand="0" w:oddHBand="0" w:evenHBand="0" w:firstRowFirstColumn="0" w:firstRowLastColumn="0" w:lastRowFirstColumn="0" w:lastRowLastColumn="0"/>
            </w:pPr>
            <w:r>
              <w:t>Annual maintenance: $70.</w:t>
            </w:r>
          </w:p>
          <w:p w14:paraId="67AAB73D" w14:textId="26D40F85" w:rsidR="00132B4C" w:rsidRPr="009C50A4" w:rsidRDefault="000713FE" w:rsidP="00282E31">
            <w:pPr>
              <w:pStyle w:val="TableBullet1stlevel"/>
              <w:cnfStyle w:val="000000000000" w:firstRow="0" w:lastRow="0" w:firstColumn="0" w:lastColumn="0" w:oddVBand="0" w:evenVBand="0" w:oddHBand="0" w:evenHBand="0" w:firstRowFirstColumn="0" w:firstRowLastColumn="0" w:lastRowFirstColumn="0" w:lastRowLastColumn="0"/>
            </w:pPr>
            <w:r>
              <w:t>Prosthetic</w:t>
            </w:r>
            <w:r w:rsidR="00132B4C">
              <w:t xml:space="preserve"> eyes should be replaced every 3 to 5 years.</w:t>
            </w:r>
          </w:p>
        </w:tc>
        <w:tc>
          <w:tcPr>
            <w:tcW w:w="3116" w:type="dxa"/>
          </w:tcPr>
          <w:p w14:paraId="1B4488BD" w14:textId="576FCAF9" w:rsidR="00132B4C" w:rsidRDefault="00132B4C" w:rsidP="00282E31">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Stakeholder consultation, including</w:t>
            </w:r>
            <w:r w:rsidR="00D52D42">
              <w:rPr>
                <w:bCs/>
                <w:szCs w:val="20"/>
              </w:rPr>
              <w:t xml:space="preserve"> </w:t>
            </w:r>
            <w:proofErr w:type="gramStart"/>
            <w:r w:rsidR="00D52D42">
              <w:rPr>
                <w:bCs/>
                <w:szCs w:val="20"/>
              </w:rPr>
              <w:t>with</w:t>
            </w:r>
            <w:r>
              <w:rPr>
                <w:bCs/>
                <w:szCs w:val="20"/>
              </w:rPr>
              <w:t>;</w:t>
            </w:r>
            <w:proofErr w:type="gramEnd"/>
          </w:p>
          <w:p w14:paraId="2F3E6B84" w14:textId="77777777" w:rsidR="00132B4C" w:rsidRPr="00A9770D" w:rsidRDefault="00132B4C" w:rsidP="00282E31">
            <w:pPr>
              <w:pStyle w:val="TableBullet2ndlevel"/>
              <w:cnfStyle w:val="000000000000" w:firstRow="0" w:lastRow="0" w:firstColumn="0" w:lastColumn="0" w:oddVBand="0" w:evenVBand="0" w:oddHBand="0" w:evenHBand="0" w:firstRowFirstColumn="0" w:firstRowLastColumn="0" w:lastRowFirstColumn="0" w:lastRowLastColumn="0"/>
              <w:rPr>
                <w:sz w:val="18"/>
                <w:szCs w:val="20"/>
              </w:rPr>
            </w:pPr>
            <w:r>
              <w:rPr>
                <w:bCs/>
                <w:sz w:val="18"/>
                <w:szCs w:val="20"/>
              </w:rPr>
              <w:t>Retailers</w:t>
            </w:r>
          </w:p>
          <w:p w14:paraId="08AF6AEB" w14:textId="77777777" w:rsidR="00132B4C" w:rsidRDefault="00132B4C" w:rsidP="00282E31">
            <w:pPr>
              <w:pStyle w:val="TableBullet2ndlevel"/>
              <w:cnfStyle w:val="000000000000" w:firstRow="0" w:lastRow="0" w:firstColumn="0" w:lastColumn="0" w:oddVBand="0" w:evenVBand="0" w:oddHBand="0" w:evenHBand="0" w:firstRowFirstColumn="0" w:firstRowLastColumn="0" w:lastRowFirstColumn="0" w:lastRowLastColumn="0"/>
            </w:pPr>
            <w:r>
              <w:rPr>
                <w:bCs/>
                <w:sz w:val="18"/>
                <w:szCs w:val="20"/>
              </w:rPr>
              <w:t>Clinicians</w:t>
            </w:r>
          </w:p>
        </w:tc>
      </w:tr>
      <w:tr w:rsidR="00677ED1" w:rsidRPr="00FA30FA" w14:paraId="16255D28" w14:textId="77777777" w:rsidTr="00A9770D">
        <w:trPr>
          <w:trHeight w:val="576"/>
        </w:trPr>
        <w:tc>
          <w:tcPr>
            <w:cnfStyle w:val="001000000000" w:firstRow="0" w:lastRow="0" w:firstColumn="1" w:lastColumn="0" w:oddVBand="0" w:evenVBand="0" w:oddHBand="0" w:evenHBand="0" w:firstRowFirstColumn="0" w:firstRowLastColumn="0" w:lastRowFirstColumn="0" w:lastRowLastColumn="0"/>
            <w:tcW w:w="1413" w:type="dxa"/>
          </w:tcPr>
          <w:p w14:paraId="1B95A689" w14:textId="1B98DE91" w:rsidR="00EB63DA" w:rsidRDefault="00EB63DA" w:rsidP="00282E31">
            <w:pPr>
              <w:pStyle w:val="Tabletextbold"/>
              <w:rPr>
                <w:szCs w:val="20"/>
              </w:rPr>
            </w:pPr>
            <w:r>
              <w:t>External breast prostheses</w:t>
            </w:r>
          </w:p>
        </w:tc>
        <w:tc>
          <w:tcPr>
            <w:tcW w:w="5675" w:type="dxa"/>
          </w:tcPr>
          <w:p w14:paraId="529F30B3" w14:textId="77777777" w:rsidR="00EB63DA" w:rsidRPr="00F20570" w:rsidRDefault="00EB63DA" w:rsidP="00282E31">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rsidRPr="00DC0878">
              <w:t>$400 for a prosthesis or up to $800 for a double mastectomy</w:t>
            </w:r>
            <w:r>
              <w:t>.</w:t>
            </w:r>
          </w:p>
          <w:p w14:paraId="401C1C91" w14:textId="77777777" w:rsidR="00EB63DA" w:rsidRPr="00034E1C" w:rsidRDefault="00EB63DA" w:rsidP="00282E31">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Eligibility also covers prophylactic</w:t>
            </w:r>
            <w:r w:rsidRPr="00DC0878">
              <w:t xml:space="preserve"> mastectomy</w:t>
            </w:r>
            <w:r>
              <w:t>.</w:t>
            </w:r>
          </w:p>
          <w:p w14:paraId="1180C2D7" w14:textId="77777777" w:rsidR="00EB63DA" w:rsidRDefault="00EB63DA" w:rsidP="00282E31">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The reimbursement of external breast prosthesis has not changed or had indexation applied since 2008.</w:t>
            </w:r>
          </w:p>
          <w:p w14:paraId="13BF759E" w14:textId="77777777" w:rsidR="00EB63DA" w:rsidRDefault="00EB63DA" w:rsidP="00282E31">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Individuals can claim every 2 years.</w:t>
            </w:r>
          </w:p>
          <w:p w14:paraId="5722A86B" w14:textId="330FFB20" w:rsidR="00EB63DA" w:rsidRDefault="00EB63DA" w:rsidP="00282E31">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Excludes reconstructive surgery.</w:t>
            </w:r>
          </w:p>
        </w:tc>
        <w:tc>
          <w:tcPr>
            <w:tcW w:w="3116" w:type="dxa"/>
          </w:tcPr>
          <w:p w14:paraId="37E0AAE7" w14:textId="0078A443" w:rsidR="00EB63DA" w:rsidRDefault="00EB63DA" w:rsidP="00282E31">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Stakeholder consultatio</w:t>
            </w:r>
            <w:r w:rsidR="00D52D42">
              <w:rPr>
                <w:bCs/>
                <w:szCs w:val="20"/>
              </w:rPr>
              <w:t>n</w:t>
            </w:r>
            <w:r>
              <w:rPr>
                <w:bCs/>
                <w:szCs w:val="20"/>
              </w:rPr>
              <w:t xml:space="preserve"> </w:t>
            </w:r>
            <w:r w:rsidR="00D52D42">
              <w:rPr>
                <w:bCs/>
                <w:szCs w:val="20"/>
              </w:rPr>
              <w:t>with</w:t>
            </w:r>
            <w:r w:rsidR="00D52D42" w:rsidRPr="002C1AE4" w:rsidDel="00D52D42">
              <w:rPr>
                <w:bCs/>
                <w:szCs w:val="20"/>
              </w:rPr>
              <w:t xml:space="preserve"> </w:t>
            </w:r>
            <w:r w:rsidR="00D52D42">
              <w:rPr>
                <w:bCs/>
                <w:szCs w:val="20"/>
              </w:rPr>
              <w:t>c</w:t>
            </w:r>
            <w:r>
              <w:rPr>
                <w:bCs/>
                <w:szCs w:val="20"/>
              </w:rPr>
              <w:t>linicians</w:t>
            </w:r>
          </w:p>
          <w:p w14:paraId="67A3E8C3" w14:textId="4109394F" w:rsidR="00EB63DA" w:rsidRDefault="00EB63DA" w:rsidP="00282E31">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EBPRP documentation</w:t>
            </w:r>
          </w:p>
        </w:tc>
      </w:tr>
      <w:tr w:rsidR="00677ED1" w:rsidRPr="00FA30FA" w14:paraId="6376848C" w14:textId="77777777" w:rsidTr="00A9770D">
        <w:trPr>
          <w:trHeight w:val="576"/>
        </w:trPr>
        <w:tc>
          <w:tcPr>
            <w:cnfStyle w:val="001000000000" w:firstRow="0" w:lastRow="0" w:firstColumn="1" w:lastColumn="0" w:oddVBand="0" w:evenVBand="0" w:oddHBand="0" w:evenHBand="0" w:firstRowFirstColumn="0" w:firstRowLastColumn="0" w:lastRowFirstColumn="0" w:lastRowLastColumn="0"/>
            <w:tcW w:w="1413" w:type="dxa"/>
          </w:tcPr>
          <w:p w14:paraId="7FDAC32F" w14:textId="136BC52F" w:rsidR="00132B4C" w:rsidRDefault="00870652" w:rsidP="00282E31">
            <w:pPr>
              <w:pStyle w:val="Tabletextbold"/>
              <w:rPr>
                <w:szCs w:val="20"/>
              </w:rPr>
            </w:pPr>
            <w:r>
              <w:t>Limb prostheses</w:t>
            </w:r>
          </w:p>
        </w:tc>
        <w:tc>
          <w:tcPr>
            <w:tcW w:w="5675" w:type="dxa"/>
          </w:tcPr>
          <w:p w14:paraId="067EDC5C" w14:textId="55BA1258" w:rsidR="00132B4C" w:rsidRDefault="00132B4C" w:rsidP="00282E31">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The average cost of a</w:t>
            </w:r>
            <w:r w:rsidR="00870652">
              <w:rPr>
                <w:bCs/>
                <w:szCs w:val="20"/>
              </w:rPr>
              <w:t xml:space="preserve"> prosthetic</w:t>
            </w:r>
            <w:r>
              <w:rPr>
                <w:bCs/>
                <w:szCs w:val="20"/>
              </w:rPr>
              <w:t xml:space="preserve"> limb is </w:t>
            </w:r>
            <w:proofErr w:type="gramStart"/>
            <w:r>
              <w:rPr>
                <w:bCs/>
                <w:szCs w:val="20"/>
              </w:rPr>
              <w:t>unknown,</w:t>
            </w:r>
            <w:proofErr w:type="gramEnd"/>
            <w:r>
              <w:rPr>
                <w:bCs/>
                <w:szCs w:val="20"/>
              </w:rPr>
              <w:t xml:space="preserve"> however the range of costs is significant. </w:t>
            </w:r>
          </w:p>
          <w:p w14:paraId="4BD879AE" w14:textId="77777777" w:rsidR="00132B4C" w:rsidRDefault="00132B4C" w:rsidP="00282E31">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Cost – Range: &lt;$10,000 to $250,000+</w:t>
            </w:r>
          </w:p>
          <w:p w14:paraId="4AC0F442" w14:textId="1A9E5FD6" w:rsidR="00132B4C" w:rsidRDefault="00132B4C" w:rsidP="00282E31">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 xml:space="preserve">Componentry and labour make up the largest proportion of </w:t>
            </w:r>
            <w:proofErr w:type="gramStart"/>
            <w:r>
              <w:t>costs,</w:t>
            </w:r>
            <w:proofErr w:type="gramEnd"/>
            <w:r>
              <w:t xml:space="preserve"> however costs are dependent on type of limb and needs of the </w:t>
            </w:r>
            <w:r w:rsidR="0065065F">
              <w:rPr>
                <w:bCs/>
                <w:szCs w:val="20"/>
              </w:rPr>
              <w:t>individual</w:t>
            </w:r>
            <w:r>
              <w:rPr>
                <w:bCs/>
                <w:szCs w:val="20"/>
              </w:rPr>
              <w:t>.</w:t>
            </w:r>
          </w:p>
          <w:p w14:paraId="67675EF7" w14:textId="77777777" w:rsidR="00132B4C" w:rsidRDefault="00132B4C" w:rsidP="00282E31">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An individual may have an interim prosthesis through the healing period and while their permanent prosthesis is being manufactured.</w:t>
            </w:r>
          </w:p>
          <w:p w14:paraId="03B32584" w14:textId="0960AD80" w:rsidR="00132B4C" w:rsidRDefault="00132B4C" w:rsidP="00282E31">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 xml:space="preserve">Lower cost limbs are most often provided by state-based limb schemes, with high-cost limbs available through the NDIS, based on </w:t>
            </w:r>
            <w:r w:rsidR="0065065F">
              <w:rPr>
                <w:bCs/>
                <w:szCs w:val="20"/>
              </w:rPr>
              <w:t>individual</w:t>
            </w:r>
            <w:r>
              <w:rPr>
                <w:bCs/>
                <w:szCs w:val="20"/>
              </w:rPr>
              <w:t xml:space="preserve"> need.</w:t>
            </w:r>
          </w:p>
          <w:p w14:paraId="0AB2EF21" w14:textId="77777777" w:rsidR="00132B4C" w:rsidRDefault="00132B4C" w:rsidP="00282E31">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Consumables and maintenance: $3,000 per year, noting that maintenance costs for high-cost limbs can be significantly more, however this is dependent on the limb and the needs of the individual.</w:t>
            </w:r>
          </w:p>
          <w:p w14:paraId="0D8C84FB" w14:textId="09F86D07" w:rsidR="00132B4C" w:rsidRDefault="00132B4C" w:rsidP="00282E31">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 xml:space="preserve">Consumable costs can include gloves, stockings, donning aids, gel socks, liners, sheaths, socks, stump shrinkers and suspension sleeves. Consumable costs are individualised and based on the needs of the </w:t>
            </w:r>
            <w:r w:rsidR="0065065F">
              <w:rPr>
                <w:bCs/>
                <w:szCs w:val="20"/>
              </w:rPr>
              <w:t>individual</w:t>
            </w:r>
            <w:r>
              <w:rPr>
                <w:bCs/>
                <w:szCs w:val="20"/>
              </w:rPr>
              <w:t>.</w:t>
            </w:r>
          </w:p>
          <w:p w14:paraId="62D6494E" w14:textId="77777777" w:rsidR="00132B4C" w:rsidRPr="009C1931" w:rsidRDefault="00132B4C" w:rsidP="00282E31">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Limbs are expected to last 3 to 5 years before being replaced.</w:t>
            </w:r>
          </w:p>
        </w:tc>
        <w:tc>
          <w:tcPr>
            <w:tcW w:w="3116" w:type="dxa"/>
          </w:tcPr>
          <w:p w14:paraId="51C7110C" w14:textId="6FA0F2F6" w:rsidR="00132B4C" w:rsidRPr="002C1AE4" w:rsidRDefault="00132B4C" w:rsidP="00282E31">
            <w:pPr>
              <w:pStyle w:val="TableBullet1stlevel"/>
              <w:cnfStyle w:val="000000000000" w:firstRow="0" w:lastRow="0" w:firstColumn="0" w:lastColumn="0" w:oddVBand="0" w:evenVBand="0" w:oddHBand="0" w:evenHBand="0" w:firstRowFirstColumn="0" w:firstRowLastColumn="0" w:lastRowFirstColumn="0" w:lastRowLastColumn="0"/>
              <w:rPr>
                <w:bCs/>
                <w:szCs w:val="20"/>
              </w:rPr>
            </w:pPr>
            <w:r>
              <w:t>Stakeholder consultation, including</w:t>
            </w:r>
            <w:r w:rsidR="00D52D42">
              <w:rPr>
                <w:bCs/>
                <w:szCs w:val="20"/>
              </w:rPr>
              <w:t xml:space="preserve"> </w:t>
            </w:r>
            <w:proofErr w:type="gramStart"/>
            <w:r w:rsidR="00D52D42">
              <w:rPr>
                <w:bCs/>
                <w:szCs w:val="20"/>
              </w:rPr>
              <w:t>with</w:t>
            </w:r>
            <w:r>
              <w:rPr>
                <w:bCs/>
                <w:szCs w:val="20"/>
              </w:rPr>
              <w:t>;</w:t>
            </w:r>
            <w:proofErr w:type="gramEnd"/>
          </w:p>
          <w:p w14:paraId="5CE5DFC9" w14:textId="77777777" w:rsidR="00132B4C" w:rsidRDefault="00132B4C" w:rsidP="00282E31">
            <w:pPr>
              <w:pStyle w:val="TableBullet2ndlevel"/>
              <w:cnfStyle w:val="000000000000" w:firstRow="0" w:lastRow="0" w:firstColumn="0" w:lastColumn="0" w:oddVBand="0" w:evenVBand="0" w:oddHBand="0" w:evenHBand="0" w:firstRowFirstColumn="0" w:firstRowLastColumn="0" w:lastRowFirstColumn="0" w:lastRowLastColumn="0"/>
              <w:rPr>
                <w:bCs/>
                <w:sz w:val="18"/>
                <w:szCs w:val="20"/>
              </w:rPr>
            </w:pPr>
            <w:r>
              <w:rPr>
                <w:bCs/>
                <w:sz w:val="18"/>
                <w:szCs w:val="20"/>
              </w:rPr>
              <w:t>Clinicians</w:t>
            </w:r>
          </w:p>
          <w:p w14:paraId="79C70778" w14:textId="2F425138" w:rsidR="00132B4C" w:rsidRDefault="00132B4C" w:rsidP="00282E31">
            <w:pPr>
              <w:pStyle w:val="TableBullet2ndlevel"/>
              <w:cnfStyle w:val="000000000000" w:firstRow="0" w:lastRow="0" w:firstColumn="0" w:lastColumn="0" w:oddVBand="0" w:evenVBand="0" w:oddHBand="0" w:evenHBand="0" w:firstRowFirstColumn="0" w:firstRowLastColumn="0" w:lastRowFirstColumn="0" w:lastRowLastColumn="0"/>
            </w:pPr>
            <w:r>
              <w:rPr>
                <w:bCs/>
                <w:sz w:val="18"/>
                <w:szCs w:val="20"/>
              </w:rPr>
              <w:t>NDI</w:t>
            </w:r>
            <w:r w:rsidR="00D52D42">
              <w:rPr>
                <w:bCs/>
                <w:sz w:val="18"/>
                <w:szCs w:val="20"/>
              </w:rPr>
              <w:t>A</w:t>
            </w:r>
          </w:p>
        </w:tc>
      </w:tr>
    </w:tbl>
    <w:p w14:paraId="232AE84B" w14:textId="23B20345" w:rsidR="00941174" w:rsidRPr="00CF30AE" w:rsidRDefault="00941174" w:rsidP="00E51784">
      <w:pPr>
        <w:pStyle w:val="Caption-Source"/>
        <w:rPr>
          <w:i/>
          <w:color w:val="auto"/>
          <w:szCs w:val="20"/>
        </w:rPr>
      </w:pPr>
      <w:r w:rsidRPr="00E51784">
        <w:t xml:space="preserve">Source: </w:t>
      </w:r>
      <w:r w:rsidR="0044544E" w:rsidRPr="0044544E">
        <w:t>Independent reviewer</w:t>
      </w:r>
      <w:r w:rsidR="00584D02" w:rsidRPr="00CD3106">
        <w:t xml:space="preserve"> (</w:t>
      </w:r>
      <w:r w:rsidRPr="00CD3106">
        <w:t>2025</w:t>
      </w:r>
      <w:r w:rsidR="00584D02" w:rsidRPr="00CD3106">
        <w:t>)</w:t>
      </w:r>
    </w:p>
    <w:p w14:paraId="249C91D9" w14:textId="0871ABFA" w:rsidR="004A601F" w:rsidRDefault="009D1D68" w:rsidP="008239ED">
      <w:pPr>
        <w:pStyle w:val="Heading2"/>
      </w:pPr>
      <w:bookmarkStart w:id="154" w:name="_Toc207348757"/>
      <w:r w:rsidRPr="009D1D68">
        <w:t>Costings for each</w:t>
      </w:r>
      <w:r>
        <w:t xml:space="preserve"> option</w:t>
      </w:r>
      <w:bookmarkEnd w:id="154"/>
    </w:p>
    <w:p w14:paraId="2EE4AF66" w14:textId="20A23FB4" w:rsidR="00C61101" w:rsidRPr="00DD71E7" w:rsidRDefault="00C61101" w:rsidP="00DD71E7">
      <w:r w:rsidRPr="00DD71E7">
        <w:t xml:space="preserve">This section provides an overview of the costs associated with the </w:t>
      </w:r>
      <w:r w:rsidR="003B142F" w:rsidRPr="00DD71E7">
        <w:t xml:space="preserve">three </w:t>
      </w:r>
      <w:r w:rsidRPr="00DD71E7">
        <w:t xml:space="preserve">options for a national </w:t>
      </w:r>
      <w:r w:rsidR="003B142F" w:rsidRPr="00DD71E7">
        <w:t xml:space="preserve">cancer </w:t>
      </w:r>
      <w:r w:rsidRPr="00DD71E7">
        <w:t xml:space="preserve">prosthesis </w:t>
      </w:r>
      <w:r w:rsidR="003B142F" w:rsidRPr="00DD71E7">
        <w:t>program,</w:t>
      </w:r>
      <w:r w:rsidRPr="00DD71E7">
        <w:t xml:space="preserve"> </w:t>
      </w:r>
      <w:r w:rsidR="003B142F" w:rsidRPr="00DD71E7">
        <w:t>as</w:t>
      </w:r>
      <w:r w:rsidRPr="00DD71E7">
        <w:t xml:space="preserve"> described in Section</w:t>
      </w:r>
      <w:r w:rsidR="00E33A0F" w:rsidRPr="00DD71E7">
        <w:t xml:space="preserve"> 5.</w:t>
      </w:r>
      <w:r w:rsidRPr="00DD71E7">
        <w:t xml:space="preserve"> </w:t>
      </w:r>
    </w:p>
    <w:p w14:paraId="162995E7" w14:textId="196B3115" w:rsidR="00C61101" w:rsidRDefault="00C61101" w:rsidP="003B142F">
      <w:pPr>
        <w:pStyle w:val="Heading3"/>
      </w:pPr>
      <w:bookmarkStart w:id="155" w:name="_Ref201769064"/>
      <w:r>
        <w:t>Assumption</w:t>
      </w:r>
      <w:r w:rsidR="001B2239">
        <w:t>s</w:t>
      </w:r>
      <w:r>
        <w:t xml:space="preserve"> and limitations to the cost estimates</w:t>
      </w:r>
      <w:bookmarkEnd w:id="155"/>
    </w:p>
    <w:p w14:paraId="54687B16" w14:textId="7A048895" w:rsidR="00C61101" w:rsidRPr="00DD71E7" w:rsidRDefault="00C61101" w:rsidP="00DD71E7">
      <w:r w:rsidRPr="00DD71E7">
        <w:t xml:space="preserve">It should be noted </w:t>
      </w:r>
      <w:r w:rsidR="004369B3" w:rsidRPr="00DD71E7">
        <w:t xml:space="preserve">that the analysis presented within this section is based on </w:t>
      </w:r>
      <w:proofErr w:type="gramStart"/>
      <w:r w:rsidR="004369B3" w:rsidRPr="00DD71E7">
        <w:t>a number of</w:t>
      </w:r>
      <w:proofErr w:type="gramEnd"/>
      <w:r w:rsidR="004369B3" w:rsidRPr="00DD71E7">
        <w:t xml:space="preserve"> assumptions and is limited by a range of factors</w:t>
      </w:r>
      <w:r w:rsidR="000751B8" w:rsidRPr="00DD71E7">
        <w:t xml:space="preserve">, as outlined below. </w:t>
      </w:r>
    </w:p>
    <w:p w14:paraId="4746CF5C" w14:textId="2C551D86" w:rsidR="00C61101" w:rsidRDefault="00C61101" w:rsidP="00F70196">
      <w:pPr>
        <w:pStyle w:val="Bullet1stlevel"/>
      </w:pPr>
      <w:r>
        <w:t>The</w:t>
      </w:r>
      <w:r w:rsidR="000751B8">
        <w:t xml:space="preserve"> cost analysis was limited by </w:t>
      </w:r>
      <w:r>
        <w:t>significant data limitations</w:t>
      </w:r>
      <w:r w:rsidR="000A16B0">
        <w:t>,</w:t>
      </w:r>
      <w:r>
        <w:t xml:space="preserve"> including</w:t>
      </w:r>
      <w:r w:rsidR="000751B8">
        <w:t xml:space="preserve"> a lack of publicly available data related</w:t>
      </w:r>
      <w:r w:rsidR="00E45B92">
        <w:t> </w:t>
      </w:r>
      <w:r w:rsidR="000751B8">
        <w:t>to</w:t>
      </w:r>
      <w:r>
        <w:t>:</w:t>
      </w:r>
    </w:p>
    <w:p w14:paraId="028DEA7F" w14:textId="31B0CFB3" w:rsidR="00C61101" w:rsidRDefault="00C61101" w:rsidP="00F70196">
      <w:pPr>
        <w:pStyle w:val="Bullet2ndlevel"/>
      </w:pPr>
      <w:r>
        <w:t>The range of cancer types that may lead to an individual needing a prosthesis following treatment. As a proxy, several types of cancer have been included to develop cost estimates:</w:t>
      </w:r>
    </w:p>
    <w:p w14:paraId="04D31D39" w14:textId="671CCAE2" w:rsidR="00293277" w:rsidRDefault="00293277" w:rsidP="00F70196">
      <w:pPr>
        <w:pStyle w:val="Bullet3rdlevel"/>
      </w:pPr>
      <w:r>
        <w:t>Bone cancer</w:t>
      </w:r>
    </w:p>
    <w:p w14:paraId="3214C430" w14:textId="56A03D88" w:rsidR="00293277" w:rsidRDefault="00293277" w:rsidP="00F70196">
      <w:pPr>
        <w:pStyle w:val="Bullet3rdlevel"/>
      </w:pPr>
      <w:r>
        <w:t>Breast cancer</w:t>
      </w:r>
    </w:p>
    <w:p w14:paraId="61B72CEB" w14:textId="5C6566CB" w:rsidR="00293277" w:rsidRDefault="00293277" w:rsidP="00F70196">
      <w:pPr>
        <w:pStyle w:val="Bullet3rdlevel"/>
      </w:pPr>
      <w:r>
        <w:t>Eye cancer</w:t>
      </w:r>
    </w:p>
    <w:p w14:paraId="4B431826" w14:textId="3925522A" w:rsidR="00293277" w:rsidRDefault="00293277" w:rsidP="00F70196">
      <w:pPr>
        <w:pStyle w:val="Bullet3rdlevel"/>
      </w:pPr>
      <w:r>
        <w:t>Head and neck cancer, including lip</w:t>
      </w:r>
    </w:p>
    <w:p w14:paraId="68024F68" w14:textId="67CDD59E" w:rsidR="00293277" w:rsidRDefault="00293277" w:rsidP="00F70196">
      <w:pPr>
        <w:pStyle w:val="Bullet3rdlevel"/>
      </w:pPr>
      <w:r>
        <w:t>Melanoma, where it occurs on the face</w:t>
      </w:r>
    </w:p>
    <w:p w14:paraId="22F93CD1" w14:textId="6A593EDA" w:rsidR="00C61101" w:rsidRDefault="00C61101" w:rsidP="00F70196">
      <w:pPr>
        <w:pStyle w:val="Bullet3rdlevel"/>
      </w:pPr>
      <w:r>
        <w:t>Sarcoma, all types.</w:t>
      </w:r>
    </w:p>
    <w:p w14:paraId="4E9EF54B" w14:textId="6D38600A" w:rsidR="00C61101" w:rsidRDefault="00C61101" w:rsidP="00F70196">
      <w:pPr>
        <w:pStyle w:val="Bullet2ndlevel"/>
      </w:pPr>
      <w:r>
        <w:t xml:space="preserve">The number of people </w:t>
      </w:r>
      <w:r w:rsidR="000A16B0">
        <w:t>who</w:t>
      </w:r>
      <w:r>
        <w:t xml:space="preserve"> require a prosthesis following a cancer diagnosis</w:t>
      </w:r>
    </w:p>
    <w:p w14:paraId="43351025" w14:textId="3F7769D0" w:rsidR="00C61101" w:rsidRDefault="00E32B72" w:rsidP="00F70196">
      <w:pPr>
        <w:pStyle w:val="Bullet2ndlevel"/>
      </w:pPr>
      <w:r>
        <w:t>The</w:t>
      </w:r>
      <w:r w:rsidR="00C61101">
        <w:t xml:space="preserve"> cost of prostheses. </w:t>
      </w:r>
      <w:r>
        <w:t>As outlined in</w:t>
      </w:r>
      <w:r w:rsidR="00F51BD4">
        <w:t xml:space="preserve"> </w:t>
      </w:r>
      <w:r w:rsidR="00F51BD4">
        <w:fldChar w:fldCharType="begin"/>
      </w:r>
      <w:r w:rsidR="00F51BD4">
        <w:instrText xml:space="preserve"> REF _Ref201583530 \h </w:instrText>
      </w:r>
      <w:r w:rsidR="00F70196">
        <w:instrText xml:space="preserve"> \* MERGEFORMAT </w:instrText>
      </w:r>
      <w:r w:rsidR="00F51BD4">
        <w:fldChar w:fldCharType="separate"/>
      </w:r>
      <w:r w:rsidR="008004C7">
        <w:t xml:space="preserve">Table </w:t>
      </w:r>
      <w:r w:rsidR="008004C7">
        <w:rPr>
          <w:noProof/>
        </w:rPr>
        <w:t>26</w:t>
      </w:r>
      <w:r w:rsidR="00F51BD4">
        <w:fldChar w:fldCharType="end"/>
      </w:r>
      <w:r>
        <w:t>, c</w:t>
      </w:r>
      <w:r w:rsidR="00C61101">
        <w:t>ost</w:t>
      </w:r>
      <w:r>
        <w:t xml:space="preserve"> inputs for different prosthesis types</w:t>
      </w:r>
      <w:r w:rsidR="00C61101">
        <w:t xml:space="preserve"> were derived from stakeholder engagement activities, including </w:t>
      </w:r>
      <w:r>
        <w:t xml:space="preserve">interviews with </w:t>
      </w:r>
      <w:r w:rsidR="00C61101">
        <w:t>clinicians, retailers</w:t>
      </w:r>
      <w:r>
        <w:t xml:space="preserve"> and </w:t>
      </w:r>
      <w:r w:rsidR="00C61101">
        <w:t xml:space="preserve">manufacturers </w:t>
      </w:r>
      <w:r>
        <w:t xml:space="preserve">of prostheses </w:t>
      </w:r>
      <w:r w:rsidR="00C61101">
        <w:t xml:space="preserve">and </w:t>
      </w:r>
      <w:r w:rsidR="0065065F">
        <w:t>individuals with living or lived experience of cancer</w:t>
      </w:r>
      <w:r>
        <w:t>, as well as survey results</w:t>
      </w:r>
      <w:r w:rsidR="00C61101">
        <w:t>.</w:t>
      </w:r>
    </w:p>
    <w:p w14:paraId="65B9235F" w14:textId="34FDD736" w:rsidR="00C61101" w:rsidRDefault="00E32B72" w:rsidP="00F70196">
      <w:pPr>
        <w:pStyle w:val="Bullet2ndlevel"/>
      </w:pPr>
      <w:r>
        <w:t>T</w:t>
      </w:r>
      <w:r w:rsidR="00C61101">
        <w:t xml:space="preserve">he current waitlist for a prosthesis following treatment for cancer, or the number of people that may be eligible for a prosthesis under </w:t>
      </w:r>
      <w:r w:rsidR="00385826">
        <w:t xml:space="preserve">a </w:t>
      </w:r>
      <w:r>
        <w:t>new</w:t>
      </w:r>
      <w:r w:rsidR="00C61101">
        <w:t xml:space="preserve"> national </w:t>
      </w:r>
      <w:r>
        <w:t>program who are</w:t>
      </w:r>
      <w:r w:rsidR="00C61101">
        <w:t xml:space="preserve"> not currently on a waitlist.</w:t>
      </w:r>
    </w:p>
    <w:p w14:paraId="0A8EDBBE" w14:textId="27D6BDEB" w:rsidR="00C61101" w:rsidRDefault="00C61101" w:rsidP="00F70196">
      <w:pPr>
        <w:pStyle w:val="Bullet1stlevel"/>
      </w:pPr>
      <w:r>
        <w:t xml:space="preserve">Given the data limitations, the cost estimates </w:t>
      </w:r>
      <w:r w:rsidR="00CE0B10">
        <w:t xml:space="preserve">presented in this report </w:t>
      </w:r>
      <w:r>
        <w:t>should be considered a</w:t>
      </w:r>
      <w:r w:rsidR="005804D8">
        <w:t>n</w:t>
      </w:r>
      <w:r>
        <w:t xml:space="preserve"> </w:t>
      </w:r>
      <w:r w:rsidR="005804D8">
        <w:t>approximate</w:t>
      </w:r>
      <w:r>
        <w:t xml:space="preserve"> order of magnitude. Sensitivity analysis was undertaken to </w:t>
      </w:r>
      <w:r w:rsidRPr="00B43392">
        <w:t>understand the impact o</w:t>
      </w:r>
      <w:r w:rsidR="000A16B0">
        <w:t>f</w:t>
      </w:r>
      <w:r w:rsidRPr="00B43392">
        <w:t xml:space="preserve"> changes to key inputs.</w:t>
      </w:r>
      <w:r>
        <w:t xml:space="preserve"> A full list of assumptions and inputs is available in</w:t>
      </w:r>
      <w:r w:rsidR="00797F42">
        <w:t xml:space="preserve"> </w:t>
      </w:r>
      <w:r w:rsidR="00797F42">
        <w:fldChar w:fldCharType="begin"/>
      </w:r>
      <w:r w:rsidR="00797F42">
        <w:instrText xml:space="preserve"> REF _Ref204269319 \w \h </w:instrText>
      </w:r>
      <w:r w:rsidR="00F70196">
        <w:instrText xml:space="preserve"> \* MERGEFORMAT </w:instrText>
      </w:r>
      <w:r w:rsidR="00797F42">
        <w:fldChar w:fldCharType="separate"/>
      </w:r>
      <w:r w:rsidR="00D955D8">
        <w:t>Appendix H</w:t>
      </w:r>
      <w:r w:rsidR="00797F42">
        <w:fldChar w:fldCharType="end"/>
      </w:r>
      <w:r w:rsidRPr="001E4C70">
        <w:t>.</w:t>
      </w:r>
    </w:p>
    <w:p w14:paraId="2590AE8A" w14:textId="05FCEBAE" w:rsidR="00C61101" w:rsidRDefault="00C61101" w:rsidP="00F70196">
      <w:pPr>
        <w:pStyle w:val="Bullet1stlevel"/>
      </w:pPr>
      <w:r>
        <w:t xml:space="preserve">The cost model assumes a start date </w:t>
      </w:r>
      <w:r w:rsidR="00CE0B10">
        <w:t xml:space="preserve">for the national cancer prosthesis program </w:t>
      </w:r>
      <w:r>
        <w:t xml:space="preserve">of 1 July 2026, and models costs on an annual basis from </w:t>
      </w:r>
      <w:r w:rsidRPr="00662C4F">
        <w:t>FY26/27 to FY35/36 (10 years)</w:t>
      </w:r>
      <w:r>
        <w:t>.</w:t>
      </w:r>
    </w:p>
    <w:p w14:paraId="56B006F5" w14:textId="39F20287" w:rsidR="00115BDF" w:rsidRDefault="00115BDF" w:rsidP="00115BDF">
      <w:pPr>
        <w:pStyle w:val="Bullet1stlevel"/>
      </w:pPr>
      <w:r>
        <w:t>Publicly available data on disease incidence and population projections have been used to determine the potential number of people eligible for a prosthesis. It should be noted that that incidence data is based on calendar years and population data is based on financial years. This difference is not expected to generate material differences in the total number of people potentially eligible for a national scheme.</w:t>
      </w:r>
    </w:p>
    <w:p w14:paraId="3A84A58C" w14:textId="2802052B" w:rsidR="00C61101" w:rsidRDefault="00C61101" w:rsidP="00F70196">
      <w:pPr>
        <w:pStyle w:val="Bullet1stlevel"/>
      </w:pPr>
      <w:r w:rsidRPr="00662C4F">
        <w:t>Cost estimates include the cost of the prosthesis</w:t>
      </w:r>
      <w:r>
        <w:t xml:space="preserve"> </w:t>
      </w:r>
      <w:r w:rsidRPr="00662C4F">
        <w:t xml:space="preserve">and </w:t>
      </w:r>
      <w:r>
        <w:t xml:space="preserve">the </w:t>
      </w:r>
      <w:r w:rsidRPr="00662C4F">
        <w:t>maintenance and replacement</w:t>
      </w:r>
      <w:r>
        <w:t xml:space="preserve"> of</w:t>
      </w:r>
      <w:r w:rsidRPr="00662C4F">
        <w:t xml:space="preserve"> prostheses when required.</w:t>
      </w:r>
      <w:r>
        <w:t xml:space="preserve"> This considers both the time and materials </w:t>
      </w:r>
      <w:r w:rsidR="00085FA4">
        <w:t>required</w:t>
      </w:r>
      <w:r>
        <w:t xml:space="preserve"> for the manufacture of each prosthesis.</w:t>
      </w:r>
    </w:p>
    <w:p w14:paraId="0DCFB54B" w14:textId="39D6B5AF" w:rsidR="00C61101" w:rsidRDefault="00C61101" w:rsidP="00F70196">
      <w:pPr>
        <w:pStyle w:val="Bullet1stlevel"/>
      </w:pPr>
      <w:r w:rsidRPr="00662C4F">
        <w:t xml:space="preserve">Cost estimates </w:t>
      </w:r>
      <w:r>
        <w:t xml:space="preserve">assume that all people eligible for a prosthesis access one. </w:t>
      </w:r>
      <w:r w:rsidR="00D95EEF">
        <w:t xml:space="preserve">The timing of replacements is based on input from stakeholders, with prostheses typically </w:t>
      </w:r>
      <w:r>
        <w:t xml:space="preserve">requiring replacement every </w:t>
      </w:r>
      <w:r w:rsidR="00FD613C">
        <w:t>two</w:t>
      </w:r>
      <w:r>
        <w:t xml:space="preserve"> to </w:t>
      </w:r>
      <w:r w:rsidR="00FD613C">
        <w:t>five</w:t>
      </w:r>
      <w:r>
        <w:t xml:space="preserve"> years.</w:t>
      </w:r>
      <w:r w:rsidR="00D331C2">
        <w:t xml:space="preserve"> </w:t>
      </w:r>
      <w:r w:rsidR="00FD613C">
        <w:t>Based on stakeholder input, t</w:t>
      </w:r>
      <w:r w:rsidR="00D331C2">
        <w:t>he model has ad</w:t>
      </w:r>
      <w:r w:rsidR="009611C6">
        <w:t xml:space="preserve">opted a </w:t>
      </w:r>
      <w:r w:rsidR="00FD613C">
        <w:t>three</w:t>
      </w:r>
      <w:r w:rsidR="00D51240">
        <w:t>-</w:t>
      </w:r>
      <w:r w:rsidR="009611C6">
        <w:t xml:space="preserve">year replacement cycle for facial prostheses and </w:t>
      </w:r>
      <w:r w:rsidR="00FD613C">
        <w:t>limb prostheses</w:t>
      </w:r>
      <w:r w:rsidR="009611C6">
        <w:t xml:space="preserve"> and </w:t>
      </w:r>
      <w:r w:rsidR="00FD613C">
        <w:t>two</w:t>
      </w:r>
      <w:r w:rsidR="009611C6">
        <w:t xml:space="preserve"> years for external breast prostheses</w:t>
      </w:r>
      <w:r w:rsidR="00FD613C">
        <w:t>,</w:t>
      </w:r>
      <w:r w:rsidR="009611C6">
        <w:t xml:space="preserve"> in</w:t>
      </w:r>
      <w:r w:rsidR="00E8478B">
        <w:t xml:space="preserve"> line with </w:t>
      </w:r>
      <w:r w:rsidR="00770354">
        <w:t>EBPRP</w:t>
      </w:r>
      <w:r w:rsidR="00E8478B">
        <w:t xml:space="preserve"> guidelines.</w:t>
      </w:r>
    </w:p>
    <w:p w14:paraId="121C538E" w14:textId="1867E6EA" w:rsidR="00323810" w:rsidRDefault="00C61101" w:rsidP="00F70196">
      <w:pPr>
        <w:pStyle w:val="Bullet1stlevel"/>
      </w:pPr>
      <w:r>
        <w:t xml:space="preserve">The cost model does not consider disease staging, however, in determining the number of prostheses requiring replacement, </w:t>
      </w:r>
      <w:r w:rsidR="00FD613C">
        <w:t>five</w:t>
      </w:r>
      <w:r>
        <w:t>-year survival estimates have been incorporated to estimate the number of people who require a replacement</w:t>
      </w:r>
      <w:r w:rsidR="00FD613C">
        <w:t xml:space="preserve"> prosthesis</w:t>
      </w:r>
      <w:r>
        <w:t>. Additionally, there is no</w:t>
      </w:r>
      <w:r w:rsidR="00FD613C">
        <w:t xml:space="preserve"> </w:t>
      </w:r>
      <w:r>
        <w:t xml:space="preserve">data </w:t>
      </w:r>
      <w:r w:rsidR="00FD613C">
        <w:t>available</w:t>
      </w:r>
      <w:r>
        <w:t xml:space="preserve"> to describe the number of people who currently have a prosthesis and may </w:t>
      </w:r>
      <w:r w:rsidR="00D51240">
        <w:t>be</w:t>
      </w:r>
      <w:r>
        <w:t xml:space="preserve"> eligible for a replacement following the implementation of a national scheme.</w:t>
      </w:r>
    </w:p>
    <w:p w14:paraId="5A5C03D7" w14:textId="0C67FFF6" w:rsidR="00C86486" w:rsidRDefault="00C86486" w:rsidP="00F70196">
      <w:pPr>
        <w:pStyle w:val="Bullet1stlevel"/>
      </w:pPr>
      <w:r>
        <w:t>The cost model does not account for advances in treatment options for people with a cancer diagnosis</w:t>
      </w:r>
      <w:r w:rsidR="000C3C10">
        <w:t xml:space="preserve">, including potential </w:t>
      </w:r>
      <w:r w:rsidR="000B3E3D">
        <w:t xml:space="preserve">treatment </w:t>
      </w:r>
      <w:r w:rsidR="000C3C10">
        <w:t>advances</w:t>
      </w:r>
      <w:r w:rsidR="000B3E3D">
        <w:t xml:space="preserve"> that result in lower demand for </w:t>
      </w:r>
      <w:r w:rsidR="00243A26">
        <w:t>prostheses</w:t>
      </w:r>
      <w:r w:rsidR="000B3E3D">
        <w:t>.</w:t>
      </w:r>
    </w:p>
    <w:p w14:paraId="3C3C575D" w14:textId="1C785D63" w:rsidR="00C61101" w:rsidRDefault="00C61101" w:rsidP="00F70196">
      <w:pPr>
        <w:pStyle w:val="Bullet1stlevel"/>
      </w:pPr>
      <w:r>
        <w:t>A range of factors identified during consultations as being important in survivorship care for people with lived or living experience of a cancer diagnosis</w:t>
      </w:r>
      <w:r w:rsidR="009C00B5">
        <w:t xml:space="preserve"> have been excluded from cost estimates</w:t>
      </w:r>
      <w:r w:rsidR="00F00118">
        <w:t xml:space="preserve">, </w:t>
      </w:r>
      <w:r w:rsidR="00A006EC">
        <w:t>including the use of a prosthesis</w:t>
      </w:r>
      <w:r>
        <w:t xml:space="preserve"> and a range of implementation and operational costs. </w:t>
      </w:r>
      <w:r w:rsidR="00F5772E">
        <w:t xml:space="preserve">If a national cancer prostheses program were to be implemented, more detailed modelling would be required to </w:t>
      </w:r>
      <w:r w:rsidR="00EA6626">
        <w:t>quantify</w:t>
      </w:r>
      <w:r w:rsidR="005A2CEC">
        <w:t xml:space="preserve"> these costs, which </w:t>
      </w:r>
      <w:r w:rsidR="00EA6626">
        <w:t xml:space="preserve">may </w:t>
      </w:r>
      <w:r>
        <w:t xml:space="preserve">include but are not limited to: </w:t>
      </w:r>
    </w:p>
    <w:p w14:paraId="71F053D6" w14:textId="7CCDC74F" w:rsidR="00C61101" w:rsidRDefault="00C61101" w:rsidP="00F70196">
      <w:pPr>
        <w:pStyle w:val="Bullet2ndlevel"/>
      </w:pPr>
      <w:r>
        <w:t xml:space="preserve">Patient prehabilitation, rehabilitation and other </w:t>
      </w:r>
      <w:r w:rsidR="00D95EEF">
        <w:t>wrap-around</w:t>
      </w:r>
      <w:r>
        <w:t xml:space="preserve"> </w:t>
      </w:r>
      <w:r w:rsidR="009C00B5">
        <w:t xml:space="preserve">supports and </w:t>
      </w:r>
      <w:r>
        <w:t>services</w:t>
      </w:r>
    </w:p>
    <w:p w14:paraId="2BCD3CC4" w14:textId="4FD18B2B" w:rsidR="00C61101" w:rsidRDefault="00C61101" w:rsidP="00F70196">
      <w:pPr>
        <w:pStyle w:val="Bullet2ndlevel"/>
      </w:pPr>
      <w:r>
        <w:t xml:space="preserve">The development of educational material for clinicians and </w:t>
      </w:r>
      <w:r w:rsidR="006765C9">
        <w:t>people with lived experience of cancer</w:t>
      </w:r>
      <w:r>
        <w:t xml:space="preserve"> that supports the visibility of the scheme and access</w:t>
      </w:r>
    </w:p>
    <w:p w14:paraId="7BA10723" w14:textId="7EE0BECF" w:rsidR="00C61101" w:rsidRDefault="00C61101" w:rsidP="00F70196">
      <w:pPr>
        <w:pStyle w:val="Bullet2ndlevel"/>
      </w:pPr>
      <w:r>
        <w:t xml:space="preserve">Patient transport </w:t>
      </w:r>
      <w:r w:rsidR="009C00B5">
        <w:t>or travel</w:t>
      </w:r>
      <w:r>
        <w:t xml:space="preserve"> costs. These costs are assumed to be covered by state-based patient transport schemes</w:t>
      </w:r>
    </w:p>
    <w:p w14:paraId="6B9BC50B" w14:textId="3E8C2A36" w:rsidR="00C61101" w:rsidRPr="00B43392" w:rsidRDefault="00C61101" w:rsidP="00F70196">
      <w:pPr>
        <w:pStyle w:val="Bullet2ndlevel"/>
      </w:pPr>
      <w:r>
        <w:t>Costs associated with the governance, administration and implementation of a national scheme. This includes any costs associated with Health Technology Assessment (HTA) processes or engagement with regulatory or advisory bodies (if required)</w:t>
      </w:r>
      <w:r w:rsidR="00D95EEF">
        <w:t>,</w:t>
      </w:r>
      <w:r>
        <w:t xml:space="preserve"> including the Medical Services Advisory Committee (MSAC) and the Therapeutic Goods Administration (TGA)</w:t>
      </w:r>
    </w:p>
    <w:p w14:paraId="51E33699" w14:textId="3E9C1C1F" w:rsidR="00C61101" w:rsidRDefault="00C61101" w:rsidP="00F70196">
      <w:pPr>
        <w:pStyle w:val="Bullet2ndlevel"/>
      </w:pPr>
      <w:r>
        <w:t xml:space="preserve">Additional data collection and reporting mechanisms required for a national scheme, including data sharing agreements with state and territory health services, or changes </w:t>
      </w:r>
      <w:r w:rsidR="00606800">
        <w:t xml:space="preserve">to </w:t>
      </w:r>
      <w:r w:rsidR="00C272B7">
        <w:t>national datasets</w:t>
      </w:r>
      <w:r w:rsidR="00621264">
        <w:t>.</w:t>
      </w:r>
    </w:p>
    <w:p w14:paraId="14B27250" w14:textId="05EFACE7" w:rsidR="00C61101" w:rsidRDefault="00C61101" w:rsidP="00F70196">
      <w:pPr>
        <w:pStyle w:val="Bullet1stlevel"/>
      </w:pPr>
      <w:r>
        <w:t>The cost model does not consider the impacts on state-based programs or funding arrangements</w:t>
      </w:r>
      <w:r w:rsidR="00621264">
        <w:t>.</w:t>
      </w:r>
    </w:p>
    <w:p w14:paraId="1CD81BAA" w14:textId="77777777" w:rsidR="00C61101" w:rsidRDefault="00C61101" w:rsidP="00F70196">
      <w:pPr>
        <w:pStyle w:val="Bullet1stlevel"/>
      </w:pPr>
      <w:r>
        <w:t>The cost model does not consider the types of professions that may be able to provide services under a national scheme.</w:t>
      </w:r>
    </w:p>
    <w:p w14:paraId="29AA0FDE" w14:textId="3A3A299D" w:rsidR="00C61101" w:rsidRPr="00DD71E7" w:rsidRDefault="00C61101" w:rsidP="00DD71E7">
      <w:r w:rsidRPr="00DD71E7">
        <w:t>Detailed assumptions for each option are available in</w:t>
      </w:r>
      <w:r w:rsidR="00877B1D" w:rsidRPr="00DD71E7">
        <w:t xml:space="preserve"> </w:t>
      </w:r>
      <w:r w:rsidR="00877B1D" w:rsidRPr="00DD71E7">
        <w:fldChar w:fldCharType="begin"/>
      </w:r>
      <w:r w:rsidR="00877B1D" w:rsidRPr="00DD71E7">
        <w:instrText xml:space="preserve"> REF _Ref204251774 \w \h </w:instrText>
      </w:r>
      <w:r w:rsidR="00DD71E7">
        <w:instrText xml:space="preserve"> \* MERGEFORMAT </w:instrText>
      </w:r>
      <w:r w:rsidR="00877B1D" w:rsidRPr="00DD71E7">
        <w:fldChar w:fldCharType="separate"/>
      </w:r>
      <w:r w:rsidR="00D955D8" w:rsidRPr="00DD71E7">
        <w:t>Appendix H</w:t>
      </w:r>
      <w:r w:rsidR="00877B1D" w:rsidRPr="00DD71E7">
        <w:fldChar w:fldCharType="end"/>
      </w:r>
      <w:r w:rsidRPr="00DD71E7">
        <w:t>.</w:t>
      </w:r>
    </w:p>
    <w:p w14:paraId="7C2F7995" w14:textId="1BF6EC5E" w:rsidR="00C61101" w:rsidRDefault="00C61101" w:rsidP="00C61101">
      <w:pPr>
        <w:pStyle w:val="Heading3"/>
      </w:pPr>
      <w:bookmarkStart w:id="156" w:name="_Ref200487542"/>
      <w:r>
        <w:t>Option 1</w:t>
      </w:r>
      <w:r w:rsidR="00B77D0C">
        <w:t>:</w:t>
      </w:r>
      <w:r w:rsidR="00E7601E">
        <w:t xml:space="preserve"> Facial prostheses only</w:t>
      </w:r>
      <w:bookmarkEnd w:id="156"/>
    </w:p>
    <w:p w14:paraId="23697175" w14:textId="763D4F52" w:rsidR="00B26A7F" w:rsidRPr="00DD71E7" w:rsidRDefault="00E85551" w:rsidP="00DD71E7">
      <w:r>
        <w:t xml:space="preserve">Option 1 </w:t>
      </w:r>
      <w:r w:rsidR="00B77D0C">
        <w:t xml:space="preserve">for a national cancer prostheses program </w:t>
      </w:r>
      <w:r>
        <w:t xml:space="preserve">considers the </w:t>
      </w:r>
      <w:r w:rsidR="00AB6629">
        <w:t>facial prostheses only</w:t>
      </w:r>
      <w:r w:rsidR="00DC7951">
        <w:t>,</w:t>
      </w:r>
      <w:r w:rsidR="00AB6629">
        <w:t xml:space="preserve"> </w:t>
      </w:r>
      <w:r w:rsidR="00DC7951">
        <w:t>including</w:t>
      </w:r>
      <w:r w:rsidR="00AB6629">
        <w:t xml:space="preserve"> </w:t>
      </w:r>
      <w:r w:rsidR="00B77D0C">
        <w:t xml:space="preserve">prosthetic </w:t>
      </w:r>
      <w:r w:rsidR="00AB6629">
        <w:t>eyes, ears</w:t>
      </w:r>
      <w:r w:rsidR="00B77D0C">
        <w:t xml:space="preserve"> and </w:t>
      </w:r>
      <w:r w:rsidR="00AB6629">
        <w:t>noses</w:t>
      </w:r>
      <w:r w:rsidR="00B77D0C">
        <w:t xml:space="preserve"> as well as</w:t>
      </w:r>
      <w:r w:rsidR="00DC7951">
        <w:t xml:space="preserve"> hemi-facial</w:t>
      </w:r>
      <w:r w:rsidR="00AB6629">
        <w:t xml:space="preserve"> </w:t>
      </w:r>
      <w:r w:rsidR="00DC7951">
        <w:t xml:space="preserve">prostheses. </w:t>
      </w:r>
      <w:r w:rsidR="0037465C">
        <w:t>As described above</w:t>
      </w:r>
      <w:r w:rsidR="000B553D">
        <w:t>,</w:t>
      </w:r>
      <w:r w:rsidR="0037465C">
        <w:t xml:space="preserve"> limited data </w:t>
      </w:r>
      <w:r w:rsidR="000B553D">
        <w:t>was available regarding</w:t>
      </w:r>
      <w:r w:rsidR="0037465C">
        <w:t xml:space="preserve"> the number of facial prostheses required annually </w:t>
      </w:r>
      <w:proofErr w:type="gramStart"/>
      <w:r w:rsidR="0037465C">
        <w:t>as a result of</w:t>
      </w:r>
      <w:proofErr w:type="gramEnd"/>
      <w:r w:rsidR="0037465C">
        <w:t xml:space="preserve"> cancer </w:t>
      </w:r>
      <w:r w:rsidR="00B26A7F">
        <w:t xml:space="preserve">or cancer </w:t>
      </w:r>
      <w:r w:rsidR="0037465C">
        <w:t>treatment</w:t>
      </w:r>
      <w:r w:rsidR="00765C0D">
        <w:t xml:space="preserve"> and the types of cancer </w:t>
      </w:r>
      <w:r w:rsidR="00765C0D" w:rsidRPr="00DD71E7">
        <w:t xml:space="preserve">that may result </w:t>
      </w:r>
      <w:r w:rsidR="00863A75" w:rsidRPr="00DD71E7">
        <w:t>the need for</w:t>
      </w:r>
      <w:r w:rsidR="00765C0D" w:rsidRPr="00DD71E7">
        <w:t xml:space="preserve"> a prosthesis. </w:t>
      </w:r>
    </w:p>
    <w:p w14:paraId="74554924" w14:textId="498F8EE3" w:rsidR="00E85551" w:rsidRPr="00DD71E7" w:rsidRDefault="00C622EC" w:rsidP="00DD71E7">
      <w:r w:rsidRPr="00DD71E7">
        <w:t xml:space="preserve">In determining the number of facial prostheses required, the total number of </w:t>
      </w:r>
      <w:r w:rsidR="00902607" w:rsidRPr="00DD71E7">
        <w:t xml:space="preserve">head and neck cancer (including lip), </w:t>
      </w:r>
      <w:r w:rsidR="009C7859" w:rsidRPr="00DD71E7">
        <w:t>eye cancer and melanoma that occurs on the face</w:t>
      </w:r>
      <w:r w:rsidR="00863CB9" w:rsidRPr="00DD71E7">
        <w:t xml:space="preserve"> were estimated</w:t>
      </w:r>
      <w:r w:rsidR="00DA58FD" w:rsidRPr="00DD71E7">
        <w:t xml:space="preserve"> using age-</w:t>
      </w:r>
      <w:r w:rsidR="00AA17AA" w:rsidRPr="00DD71E7">
        <w:t>standardised</w:t>
      </w:r>
      <w:r w:rsidR="00DA58FD" w:rsidRPr="00DD71E7">
        <w:t xml:space="preserve"> </w:t>
      </w:r>
      <w:r w:rsidR="00AA17AA" w:rsidRPr="00DD71E7">
        <w:t>incidence rates and publicly available population projections.</w:t>
      </w:r>
      <w:r w:rsidR="00E83E78" w:rsidRPr="00DD71E7">
        <w:t xml:space="preserve"> </w:t>
      </w:r>
      <w:r w:rsidR="008E4502" w:rsidRPr="00DD71E7">
        <w:t>T</w:t>
      </w:r>
      <w:r w:rsidR="006B2048" w:rsidRPr="00DD71E7">
        <w:t xml:space="preserve">he number of cancer cases </w:t>
      </w:r>
      <w:r w:rsidR="008E4502" w:rsidRPr="00DD71E7">
        <w:t xml:space="preserve">that lead to a prosthesis was estimated </w:t>
      </w:r>
      <w:r w:rsidR="000340C6" w:rsidRPr="00DD71E7">
        <w:t xml:space="preserve">from </w:t>
      </w:r>
      <w:r w:rsidR="00D817BA" w:rsidRPr="00DD71E7">
        <w:t xml:space="preserve">publicly available </w:t>
      </w:r>
      <w:r w:rsidR="00A6652E" w:rsidRPr="00DD71E7">
        <w:t>reports</w:t>
      </w:r>
      <w:r w:rsidR="008B6B97" w:rsidRPr="00DD71E7">
        <w:t xml:space="preserve"> and adjusted for the total number of cases.</w:t>
      </w:r>
      <w:r w:rsidR="005C6A64" w:rsidRPr="00DD71E7">
        <w:t xml:space="preserve"> </w:t>
      </w:r>
    </w:p>
    <w:p w14:paraId="0EBDB115" w14:textId="0370198C" w:rsidR="007A2087" w:rsidRDefault="00D13EDF" w:rsidP="00DD71E7">
      <w:r w:rsidRPr="00DD71E7">
        <w:t>Stakeholders reported that most f</w:t>
      </w:r>
      <w:r w:rsidR="00CA5718" w:rsidRPr="00DD71E7">
        <w:t xml:space="preserve">acial prostheses </w:t>
      </w:r>
      <w:r w:rsidR="004A3670" w:rsidRPr="00DD71E7">
        <w:t xml:space="preserve">are expected to last </w:t>
      </w:r>
      <w:r w:rsidRPr="00DD71E7">
        <w:t>between three and five</w:t>
      </w:r>
      <w:r w:rsidR="004A3670" w:rsidRPr="00DD71E7">
        <w:t xml:space="preserve"> years before </w:t>
      </w:r>
      <w:r w:rsidR="00F44BB4" w:rsidRPr="00DD71E7">
        <w:t xml:space="preserve">needing to be replaced. The cost estimates have assumed </w:t>
      </w:r>
      <w:r w:rsidR="005B0A6F" w:rsidRPr="00DD71E7">
        <w:t xml:space="preserve">that prostheses will be replaced every </w:t>
      </w:r>
      <w:r w:rsidRPr="00DD71E7">
        <w:t>three</w:t>
      </w:r>
      <w:r w:rsidR="005B0A6F" w:rsidRPr="00DD71E7">
        <w:t xml:space="preserve"> years.</w:t>
      </w:r>
      <w:r w:rsidR="00C83C8B" w:rsidRPr="00DD71E7">
        <w:t xml:space="preserve"> </w:t>
      </w:r>
      <w:r w:rsidR="00EA0AB1" w:rsidRPr="00DD71E7">
        <w:t xml:space="preserve">Survival was accounted for </w:t>
      </w:r>
      <w:r w:rsidR="007A114C" w:rsidRPr="00DD71E7">
        <w:t>by adjusting the n</w:t>
      </w:r>
      <w:r w:rsidR="007A114C">
        <w:t xml:space="preserve">umber of </w:t>
      </w:r>
      <w:r w:rsidR="00C37432">
        <w:t xml:space="preserve">replacement prostheses </w:t>
      </w:r>
      <w:r w:rsidR="00E70FC7">
        <w:t xml:space="preserve">by the </w:t>
      </w:r>
      <w:r>
        <w:t>five</w:t>
      </w:r>
      <w:r w:rsidR="00E70FC7">
        <w:t>-year survival rate</w:t>
      </w:r>
      <w:r w:rsidR="002259F0">
        <w:t xml:space="preserve"> for the cancer types listed above</w:t>
      </w:r>
      <w:r w:rsidR="00E70FC7">
        <w:t>.</w:t>
      </w:r>
      <w:r w:rsidR="00A8226A">
        <w:t xml:space="preserve"> </w:t>
      </w:r>
    </w:p>
    <w:p w14:paraId="475C3D0B" w14:textId="6D499085" w:rsidR="005C246D" w:rsidRPr="00DD71E7" w:rsidRDefault="005444C8" w:rsidP="00DD71E7">
      <w:r w:rsidRPr="00DD71E7">
        <w:fldChar w:fldCharType="begin"/>
      </w:r>
      <w:r w:rsidRPr="00DD71E7">
        <w:instrText xml:space="preserve"> REF _Ref200483680 \h </w:instrText>
      </w:r>
      <w:r w:rsidR="00DD71E7">
        <w:instrText xml:space="preserve"> \* MERGEFORMAT </w:instrText>
      </w:r>
      <w:r w:rsidRPr="00DD71E7">
        <w:fldChar w:fldCharType="separate"/>
      </w:r>
      <w:r w:rsidR="008004C7" w:rsidRPr="00DD71E7">
        <w:t>Table 27</w:t>
      </w:r>
      <w:r w:rsidRPr="00DD71E7">
        <w:fldChar w:fldCharType="end"/>
      </w:r>
      <w:r w:rsidRPr="00DD71E7">
        <w:t xml:space="preserve"> below </w:t>
      </w:r>
      <w:r w:rsidR="007A2087" w:rsidRPr="00DD71E7">
        <w:t>outlines the</w:t>
      </w:r>
      <w:r w:rsidR="00241FC2" w:rsidRPr="00DD71E7">
        <w:t xml:space="preserve"> cost inputs </w:t>
      </w:r>
      <w:r w:rsidR="007A2087" w:rsidRPr="00DD71E7">
        <w:t xml:space="preserve">used </w:t>
      </w:r>
      <w:r w:rsidR="0094675C" w:rsidRPr="00DD71E7">
        <w:t>for facial prostheses.</w:t>
      </w:r>
      <w:r w:rsidR="00E12A00" w:rsidRPr="00DD71E7">
        <w:t xml:space="preserve"> These costs represent the average cost </w:t>
      </w:r>
      <w:r w:rsidR="0049505A" w:rsidRPr="00DD71E7">
        <w:t>and were</w:t>
      </w:r>
      <w:r w:rsidR="004448C2" w:rsidRPr="00DD71E7">
        <w:t xml:space="preserve"> sourced through stakeholder engagement activities.</w:t>
      </w:r>
      <w:r w:rsidR="003A463E" w:rsidRPr="00DD71E7">
        <w:t xml:space="preserve"> As described above, </w:t>
      </w:r>
      <w:r w:rsidR="007A2087" w:rsidRPr="00DD71E7">
        <w:t>some</w:t>
      </w:r>
      <w:r w:rsidR="003A463E" w:rsidRPr="00DD71E7">
        <w:t xml:space="preserve"> facial prostheses can cost </w:t>
      </w:r>
      <w:proofErr w:type="gramStart"/>
      <w:r w:rsidR="007A2087" w:rsidRPr="00DD71E7">
        <w:t>in excess of</w:t>
      </w:r>
      <w:proofErr w:type="gramEnd"/>
      <w:r w:rsidR="00CB0E4D" w:rsidRPr="00DD71E7">
        <w:t xml:space="preserve"> </w:t>
      </w:r>
      <w:r w:rsidR="006253F2" w:rsidRPr="00DD71E7">
        <w:t>$10,000</w:t>
      </w:r>
      <w:r w:rsidR="00102742" w:rsidRPr="00DD71E7">
        <w:t xml:space="preserve"> and are </w:t>
      </w:r>
      <w:r w:rsidR="00BA71DD" w:rsidRPr="00DD71E7">
        <w:t>bespoke items designed to meet the needs of the individual.</w:t>
      </w:r>
      <w:r w:rsidR="00DD6557" w:rsidRPr="00DD71E7">
        <w:t xml:space="preserve"> Further detail on cost input</w:t>
      </w:r>
      <w:r w:rsidR="007F5BEA" w:rsidRPr="00DD71E7">
        <w:t>s</w:t>
      </w:r>
      <w:r w:rsidR="00DD6557" w:rsidRPr="00DD71E7">
        <w:t xml:space="preserve"> is available in</w:t>
      </w:r>
      <w:r w:rsidR="0037542D" w:rsidRPr="00DD71E7">
        <w:t xml:space="preserve"> </w:t>
      </w:r>
      <w:r w:rsidR="0037542D" w:rsidRPr="00DD71E7">
        <w:fldChar w:fldCharType="begin"/>
      </w:r>
      <w:r w:rsidR="0037542D" w:rsidRPr="00DD71E7">
        <w:instrText xml:space="preserve"> REF _Ref204267980 \w \h </w:instrText>
      </w:r>
      <w:r w:rsidR="00DD71E7">
        <w:instrText xml:space="preserve"> \* MERGEFORMAT </w:instrText>
      </w:r>
      <w:r w:rsidR="0037542D" w:rsidRPr="00DD71E7">
        <w:fldChar w:fldCharType="separate"/>
      </w:r>
      <w:r w:rsidR="00D955D8" w:rsidRPr="00DD71E7">
        <w:t>Appendix H</w:t>
      </w:r>
      <w:r w:rsidR="0037542D" w:rsidRPr="00DD71E7">
        <w:fldChar w:fldCharType="end"/>
      </w:r>
      <w:r w:rsidR="007F5BEA" w:rsidRPr="00DD71E7">
        <w:t>.</w:t>
      </w:r>
    </w:p>
    <w:p w14:paraId="37213375" w14:textId="4C32C0E7" w:rsidR="009E1E67" w:rsidRDefault="00CD26EE" w:rsidP="00CD26EE">
      <w:pPr>
        <w:pStyle w:val="Caption"/>
      </w:pPr>
      <w:bookmarkStart w:id="157" w:name="_Ref200483680"/>
      <w:bookmarkStart w:id="158" w:name="_Ref200483655"/>
      <w:bookmarkStart w:id="159" w:name="_Toc207348592"/>
      <w:r>
        <w:t xml:space="preserve">Table </w:t>
      </w:r>
      <w:r w:rsidR="004F27F5">
        <w:fldChar w:fldCharType="begin"/>
      </w:r>
      <w:r w:rsidR="004F27F5">
        <w:instrText xml:space="preserve"> SEQ Table \* ARABIC </w:instrText>
      </w:r>
      <w:r w:rsidR="004F27F5">
        <w:fldChar w:fldCharType="separate"/>
      </w:r>
      <w:r w:rsidR="004F27F5">
        <w:rPr>
          <w:noProof/>
        </w:rPr>
        <w:t>27</w:t>
      </w:r>
      <w:r w:rsidR="004F27F5">
        <w:rPr>
          <w:noProof/>
        </w:rPr>
        <w:fldChar w:fldCharType="end"/>
      </w:r>
      <w:bookmarkEnd w:id="157"/>
      <w:r>
        <w:t xml:space="preserve">: </w:t>
      </w:r>
      <w:r w:rsidR="00CF73E4">
        <w:t>Option 1</w:t>
      </w:r>
      <w:r>
        <w:t xml:space="preserve"> cost inputs</w:t>
      </w:r>
      <w:bookmarkEnd w:id="158"/>
      <w:bookmarkEnd w:id="159"/>
    </w:p>
    <w:tbl>
      <w:tblPr>
        <w:tblStyle w:val="KPMGTable"/>
        <w:tblW w:w="10274" w:type="dxa"/>
        <w:tblLook w:val="04A0" w:firstRow="1" w:lastRow="0" w:firstColumn="1" w:lastColumn="0" w:noHBand="0" w:noVBand="1"/>
      </w:tblPr>
      <w:tblGrid>
        <w:gridCol w:w="3424"/>
        <w:gridCol w:w="3425"/>
        <w:gridCol w:w="3425"/>
      </w:tblGrid>
      <w:tr w:rsidR="00677ED1" w14:paraId="574D85E8" w14:textId="77777777" w:rsidTr="00095062">
        <w:trPr>
          <w:cnfStyle w:val="100000000000" w:firstRow="1" w:lastRow="0" w:firstColumn="0" w:lastColumn="0" w:oddVBand="0" w:evenVBand="0" w:oddHBand="0"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3424" w:type="dxa"/>
          </w:tcPr>
          <w:p w14:paraId="59C1E1DD" w14:textId="68C48C35" w:rsidR="007B0C97" w:rsidRPr="006223CE" w:rsidRDefault="00F70196" w:rsidP="00F70196">
            <w:pPr>
              <w:pStyle w:val="TableHeading"/>
            </w:pPr>
            <w:r>
              <w:t>Prosthesis type</w:t>
            </w:r>
          </w:p>
        </w:tc>
        <w:tc>
          <w:tcPr>
            <w:tcW w:w="3425" w:type="dxa"/>
          </w:tcPr>
          <w:p w14:paraId="7E02B5DF" w14:textId="5C809A00" w:rsidR="007B0C97" w:rsidRPr="00941174" w:rsidRDefault="00914632" w:rsidP="00F70196">
            <w:pPr>
              <w:pStyle w:val="TableHeading"/>
              <w:cnfStyle w:val="100000000000" w:firstRow="1" w:lastRow="0" w:firstColumn="0" w:lastColumn="0" w:oddVBand="0" w:evenVBand="0" w:oddHBand="0" w:evenHBand="0" w:firstRowFirstColumn="0" w:firstRowLastColumn="0" w:lastRowFirstColumn="0" w:lastRowLastColumn="0"/>
            </w:pPr>
            <w:r w:rsidRPr="00941174">
              <w:t>New prosthesis cost</w:t>
            </w:r>
          </w:p>
        </w:tc>
        <w:tc>
          <w:tcPr>
            <w:tcW w:w="3425" w:type="dxa"/>
          </w:tcPr>
          <w:p w14:paraId="49081D01" w14:textId="15962073" w:rsidR="007B0C97" w:rsidRPr="00941174" w:rsidRDefault="00914632" w:rsidP="00F70196">
            <w:pPr>
              <w:pStyle w:val="TableHeading"/>
              <w:cnfStyle w:val="100000000000" w:firstRow="1" w:lastRow="0" w:firstColumn="0" w:lastColumn="0" w:oddVBand="0" w:evenVBand="0" w:oddHBand="0" w:evenHBand="0" w:firstRowFirstColumn="0" w:firstRowLastColumn="0" w:lastRowFirstColumn="0" w:lastRowLastColumn="0"/>
            </w:pPr>
            <w:r w:rsidRPr="00941174">
              <w:t xml:space="preserve">Replacement </w:t>
            </w:r>
            <w:r w:rsidR="006223CE" w:rsidRPr="00941174">
              <w:t>/ maintenance cost</w:t>
            </w:r>
          </w:p>
        </w:tc>
      </w:tr>
      <w:tr w:rsidR="00677ED1" w14:paraId="15B039EB" w14:textId="77777777" w:rsidTr="00095062">
        <w:trPr>
          <w:trHeight w:val="373"/>
        </w:trPr>
        <w:tc>
          <w:tcPr>
            <w:cnfStyle w:val="001000000000" w:firstRow="0" w:lastRow="0" w:firstColumn="1" w:lastColumn="0" w:oddVBand="0" w:evenVBand="0" w:oddHBand="0" w:evenHBand="0" w:firstRowFirstColumn="0" w:firstRowLastColumn="0" w:lastRowFirstColumn="0" w:lastRowLastColumn="0"/>
            <w:tcW w:w="3424" w:type="dxa"/>
          </w:tcPr>
          <w:p w14:paraId="5416E740" w14:textId="610C3B4B" w:rsidR="007B0C97" w:rsidRPr="00941174" w:rsidRDefault="007B0C97" w:rsidP="00F70196">
            <w:pPr>
              <w:pStyle w:val="Tabletextbold"/>
            </w:pPr>
            <w:r w:rsidRPr="00941174">
              <w:t>Facial prosth</w:t>
            </w:r>
            <w:r w:rsidR="0026799A" w:rsidRPr="00941174">
              <w:t>eses</w:t>
            </w:r>
          </w:p>
        </w:tc>
        <w:tc>
          <w:tcPr>
            <w:tcW w:w="3425" w:type="dxa"/>
          </w:tcPr>
          <w:p w14:paraId="0DB27784" w14:textId="2FE4385C" w:rsidR="007B0C97" w:rsidRPr="006223CE" w:rsidRDefault="006223CE" w:rsidP="00F70196">
            <w:pPr>
              <w:pStyle w:val="TableText"/>
              <w:cnfStyle w:val="000000000000" w:firstRow="0" w:lastRow="0" w:firstColumn="0" w:lastColumn="0" w:oddVBand="0" w:evenVBand="0" w:oddHBand="0" w:evenHBand="0" w:firstRowFirstColumn="0" w:firstRowLastColumn="0" w:lastRowFirstColumn="0" w:lastRowLastColumn="0"/>
            </w:pPr>
            <w:r>
              <w:t>$6,000</w:t>
            </w:r>
          </w:p>
        </w:tc>
        <w:tc>
          <w:tcPr>
            <w:tcW w:w="3425" w:type="dxa"/>
          </w:tcPr>
          <w:p w14:paraId="129FC0B2" w14:textId="58108450" w:rsidR="007B0C97" w:rsidRPr="006223CE" w:rsidRDefault="0095420C" w:rsidP="00F70196">
            <w:pPr>
              <w:pStyle w:val="TableText"/>
              <w:cnfStyle w:val="000000000000" w:firstRow="0" w:lastRow="0" w:firstColumn="0" w:lastColumn="0" w:oddVBand="0" w:evenVBand="0" w:oddHBand="0" w:evenHBand="0" w:firstRowFirstColumn="0" w:firstRowLastColumn="0" w:lastRowFirstColumn="0" w:lastRowLastColumn="0"/>
            </w:pPr>
            <w:r>
              <w:t>$4,500</w:t>
            </w:r>
          </w:p>
        </w:tc>
      </w:tr>
      <w:tr w:rsidR="00677ED1" w14:paraId="10AE6F07" w14:textId="77777777" w:rsidTr="00095062">
        <w:trPr>
          <w:trHeight w:val="373"/>
        </w:trPr>
        <w:tc>
          <w:tcPr>
            <w:cnfStyle w:val="001000000000" w:firstRow="0" w:lastRow="0" w:firstColumn="1" w:lastColumn="0" w:oddVBand="0" w:evenVBand="0" w:oddHBand="0" w:evenHBand="0" w:firstRowFirstColumn="0" w:firstRowLastColumn="0" w:lastRowFirstColumn="0" w:lastRowLastColumn="0"/>
            <w:tcW w:w="3424" w:type="dxa"/>
          </w:tcPr>
          <w:p w14:paraId="24AAAA44" w14:textId="55D500F3" w:rsidR="007B0C97" w:rsidRPr="00941174" w:rsidRDefault="0026799A" w:rsidP="00F70196">
            <w:pPr>
              <w:pStyle w:val="Tabletextbold"/>
            </w:pPr>
            <w:r w:rsidRPr="00941174">
              <w:t>Eye (ocular) prostheses</w:t>
            </w:r>
          </w:p>
        </w:tc>
        <w:tc>
          <w:tcPr>
            <w:tcW w:w="3425" w:type="dxa"/>
          </w:tcPr>
          <w:p w14:paraId="4252A787" w14:textId="5604C786" w:rsidR="007B0C97" w:rsidRPr="006223CE" w:rsidRDefault="0095420C" w:rsidP="00F70196">
            <w:pPr>
              <w:pStyle w:val="TableText"/>
              <w:cnfStyle w:val="000000000000" w:firstRow="0" w:lastRow="0" w:firstColumn="0" w:lastColumn="0" w:oddVBand="0" w:evenVBand="0" w:oddHBand="0" w:evenHBand="0" w:firstRowFirstColumn="0" w:firstRowLastColumn="0" w:lastRowFirstColumn="0" w:lastRowLastColumn="0"/>
            </w:pPr>
            <w:r>
              <w:t>$2,500</w:t>
            </w:r>
          </w:p>
        </w:tc>
        <w:tc>
          <w:tcPr>
            <w:tcW w:w="3425" w:type="dxa"/>
          </w:tcPr>
          <w:p w14:paraId="77F1C20D" w14:textId="3F7F1512" w:rsidR="007B0C97" w:rsidRPr="006223CE" w:rsidRDefault="0095420C" w:rsidP="00F70196">
            <w:pPr>
              <w:pStyle w:val="TableText"/>
              <w:cnfStyle w:val="000000000000" w:firstRow="0" w:lastRow="0" w:firstColumn="0" w:lastColumn="0" w:oddVBand="0" w:evenVBand="0" w:oddHBand="0" w:evenHBand="0" w:firstRowFirstColumn="0" w:firstRowLastColumn="0" w:lastRowFirstColumn="0" w:lastRowLastColumn="0"/>
            </w:pPr>
            <w:r>
              <w:t>$2,50</w:t>
            </w:r>
            <w:r w:rsidR="00327357">
              <w:t>0 + $70 annual polish</w:t>
            </w:r>
          </w:p>
        </w:tc>
      </w:tr>
      <w:tr w:rsidR="00677ED1" w14:paraId="013F3CE8" w14:textId="77777777">
        <w:trPr>
          <w:trHeight w:val="373"/>
        </w:trPr>
        <w:tc>
          <w:tcPr>
            <w:cnfStyle w:val="001000000000" w:firstRow="0" w:lastRow="0" w:firstColumn="1" w:lastColumn="0" w:oddVBand="0" w:evenVBand="0" w:oddHBand="0" w:evenHBand="0" w:firstRowFirstColumn="0" w:firstRowLastColumn="0" w:lastRowFirstColumn="0" w:lastRowLastColumn="0"/>
            <w:tcW w:w="3424" w:type="dxa"/>
          </w:tcPr>
          <w:p w14:paraId="38CDEE05" w14:textId="7148E4BD" w:rsidR="00C76746" w:rsidRPr="00941174" w:rsidRDefault="00357FE6" w:rsidP="00F70196">
            <w:pPr>
              <w:pStyle w:val="Tabletextbold"/>
            </w:pPr>
            <w:r w:rsidRPr="00941174">
              <w:t>Proportion requiring a prosthesis</w:t>
            </w:r>
          </w:p>
        </w:tc>
        <w:tc>
          <w:tcPr>
            <w:tcW w:w="3425" w:type="dxa"/>
          </w:tcPr>
          <w:p w14:paraId="130CCBC2" w14:textId="77777777" w:rsidR="00F70196" w:rsidRDefault="00F70196" w:rsidP="00F70196">
            <w:pPr>
              <w:pStyle w:val="TableText"/>
              <w:cnfStyle w:val="000000000000" w:firstRow="0" w:lastRow="0" w:firstColumn="0" w:lastColumn="0" w:oddVBand="0" w:evenVBand="0" w:oddHBand="0" w:evenHBand="0" w:firstRowFirstColumn="0" w:firstRowLastColumn="0" w:lastRowFirstColumn="0" w:lastRowLastColumn="0"/>
            </w:pPr>
            <w:r>
              <w:t>4.52%</w:t>
            </w:r>
          </w:p>
        </w:tc>
        <w:tc>
          <w:tcPr>
            <w:tcW w:w="3425" w:type="dxa"/>
          </w:tcPr>
          <w:p w14:paraId="26D98139" w14:textId="77CD8725" w:rsidR="00C76746" w:rsidRDefault="00F70196" w:rsidP="00F70196">
            <w:pPr>
              <w:pStyle w:val="TableText"/>
              <w:cnfStyle w:val="000000000000" w:firstRow="0" w:lastRow="0" w:firstColumn="0" w:lastColumn="0" w:oddVBand="0" w:evenVBand="0" w:oddHBand="0" w:evenHBand="0" w:firstRowFirstColumn="0" w:firstRowLastColumn="0" w:lastRowFirstColumn="0" w:lastRowLastColumn="0"/>
            </w:pPr>
            <w:r>
              <w:t>N/A</w:t>
            </w:r>
          </w:p>
        </w:tc>
      </w:tr>
      <w:tr w:rsidR="00677ED1" w14:paraId="4E01BE46" w14:textId="77777777">
        <w:trPr>
          <w:trHeight w:val="373"/>
        </w:trPr>
        <w:tc>
          <w:tcPr>
            <w:cnfStyle w:val="001000000000" w:firstRow="0" w:lastRow="0" w:firstColumn="1" w:lastColumn="0" w:oddVBand="0" w:evenVBand="0" w:oddHBand="0" w:evenHBand="0" w:firstRowFirstColumn="0" w:firstRowLastColumn="0" w:lastRowFirstColumn="0" w:lastRowLastColumn="0"/>
            <w:tcW w:w="3424" w:type="dxa"/>
          </w:tcPr>
          <w:p w14:paraId="01A6256C" w14:textId="71516BB1" w:rsidR="00357FE6" w:rsidRPr="00941174" w:rsidRDefault="00357FE6" w:rsidP="00F70196">
            <w:pPr>
              <w:pStyle w:val="Tabletextbold"/>
            </w:pPr>
            <w:r w:rsidRPr="00941174">
              <w:t>Annual indexation</w:t>
            </w:r>
          </w:p>
        </w:tc>
        <w:tc>
          <w:tcPr>
            <w:tcW w:w="3425" w:type="dxa"/>
          </w:tcPr>
          <w:p w14:paraId="1A15A64C" w14:textId="16D8B77E" w:rsidR="00F70196" w:rsidRDefault="00F70196" w:rsidP="00F70196">
            <w:pPr>
              <w:pStyle w:val="TableText"/>
              <w:cnfStyle w:val="000000000000" w:firstRow="0" w:lastRow="0" w:firstColumn="0" w:lastColumn="0" w:oddVBand="0" w:evenVBand="0" w:oddHBand="0" w:evenHBand="0" w:firstRowFirstColumn="0" w:firstRowLastColumn="0" w:lastRowFirstColumn="0" w:lastRowLastColumn="0"/>
            </w:pPr>
            <w:r>
              <w:t>4.10% (FY25/26), 3.0% (ongoing)</w:t>
            </w:r>
          </w:p>
        </w:tc>
        <w:tc>
          <w:tcPr>
            <w:tcW w:w="3425" w:type="dxa"/>
          </w:tcPr>
          <w:p w14:paraId="5DF65402" w14:textId="55B60DF4" w:rsidR="00357FE6" w:rsidRDefault="00F70196" w:rsidP="00F70196">
            <w:pPr>
              <w:pStyle w:val="TableText"/>
              <w:cnfStyle w:val="000000000000" w:firstRow="0" w:lastRow="0" w:firstColumn="0" w:lastColumn="0" w:oddVBand="0" w:evenVBand="0" w:oddHBand="0" w:evenHBand="0" w:firstRowFirstColumn="0" w:firstRowLastColumn="0" w:lastRowFirstColumn="0" w:lastRowLastColumn="0"/>
            </w:pPr>
            <w:r>
              <w:t>N/A</w:t>
            </w:r>
          </w:p>
        </w:tc>
      </w:tr>
    </w:tbl>
    <w:p w14:paraId="6B254B41" w14:textId="77777777" w:rsidR="00DD71E7" w:rsidRDefault="00CD26EE" w:rsidP="005B053B">
      <w:pPr>
        <w:pStyle w:val="Caption-Source"/>
      </w:pPr>
      <w:r w:rsidRPr="00A74539">
        <w:t xml:space="preserve">Source: </w:t>
      </w:r>
      <w:r w:rsidR="0044544E" w:rsidRPr="0044544E">
        <w:t>Independent reviewer</w:t>
      </w:r>
      <w:r w:rsidR="00584D02" w:rsidRPr="00A74539">
        <w:t xml:space="preserve"> (</w:t>
      </w:r>
      <w:r w:rsidR="00941174" w:rsidRPr="00A74539">
        <w:t>2025</w:t>
      </w:r>
      <w:r w:rsidR="00584D02" w:rsidRPr="00A74539">
        <w:t>)</w:t>
      </w:r>
    </w:p>
    <w:p w14:paraId="56E87843" w14:textId="3697730B" w:rsidR="005B053B" w:rsidRPr="00DD71E7" w:rsidRDefault="005B053B" w:rsidP="00DD71E7">
      <w:pPr>
        <w:rPr>
          <w:highlight w:val="yellow"/>
        </w:rPr>
      </w:pPr>
      <w:r w:rsidRPr="00DD71E7">
        <w:rPr>
          <w:highlight w:val="yellow"/>
        </w:rPr>
        <w:br w:type="page"/>
      </w:r>
    </w:p>
    <w:p w14:paraId="288282AE" w14:textId="5ED27F40" w:rsidR="00CD7BD6" w:rsidRPr="00DD71E7" w:rsidRDefault="005B053B" w:rsidP="00DD71E7">
      <w:r w:rsidRPr="00DD71E7">
        <w:t>The tables</w:t>
      </w:r>
      <w:r w:rsidR="00412150" w:rsidRPr="00DD71E7">
        <w:t xml:space="preserve"> below</w:t>
      </w:r>
      <w:r w:rsidR="008D701C" w:rsidRPr="00DD71E7">
        <w:t xml:space="preserve"> </w:t>
      </w:r>
      <w:r w:rsidR="0019064D" w:rsidRPr="00DD71E7">
        <w:t>illustrate the total number of cases, new prostheses, replacements and mainten</w:t>
      </w:r>
      <w:r w:rsidR="0070587D" w:rsidRPr="00DD71E7">
        <w:t>ance</w:t>
      </w:r>
      <w:r w:rsidR="001D4D20" w:rsidRPr="00DD71E7">
        <w:t xml:space="preserve"> and costs for Option 1 over 10 years.</w:t>
      </w:r>
      <w:r w:rsidR="0039052C" w:rsidRPr="00DD71E7">
        <w:t xml:space="preserve"> </w:t>
      </w:r>
      <w:r w:rsidR="0012158F" w:rsidRPr="00DD71E7">
        <w:t xml:space="preserve">The estimated cost of Option 1 </w:t>
      </w:r>
      <w:r w:rsidR="00CE14D5" w:rsidRPr="00DD71E7">
        <w:t>ranges from $2.91 million in FY</w:t>
      </w:r>
      <w:r w:rsidR="003C47C2" w:rsidRPr="00DD71E7">
        <w:t>26/2</w:t>
      </w:r>
      <w:r w:rsidR="00DF1CA0" w:rsidRPr="00DD71E7">
        <w:t>7</w:t>
      </w:r>
      <w:r w:rsidR="003C47C2" w:rsidRPr="00DD71E7">
        <w:t xml:space="preserve"> to $6.</w:t>
      </w:r>
      <w:r w:rsidR="00B33A08" w:rsidRPr="00DD71E7">
        <w:t>21</w:t>
      </w:r>
      <w:r w:rsidR="003C47C2" w:rsidRPr="00DD71E7">
        <w:t xml:space="preserve"> million on FY35/36</w:t>
      </w:r>
      <w:r w:rsidR="00FD4CA2" w:rsidRPr="00DD71E7">
        <w:t xml:space="preserve">, with a total cost over 10 years of </w:t>
      </w:r>
      <w:r w:rsidR="00B61ED2" w:rsidRPr="00DD71E7">
        <w:t>$5</w:t>
      </w:r>
      <w:r w:rsidR="00D27AAB" w:rsidRPr="00DD71E7">
        <w:t>1.63</w:t>
      </w:r>
      <w:r w:rsidR="00B61ED2" w:rsidRPr="00DD71E7">
        <w:t xml:space="preserve"> million</w:t>
      </w:r>
      <w:r w:rsidR="00DF1CA0" w:rsidRPr="00DD71E7">
        <w:t>.</w:t>
      </w:r>
      <w:bookmarkStart w:id="160" w:name="_Ref200484339"/>
    </w:p>
    <w:p w14:paraId="54DDED84" w14:textId="1D3CBDF3" w:rsidR="0037465C" w:rsidRPr="00E85551" w:rsidRDefault="0037465C" w:rsidP="0037465C">
      <w:pPr>
        <w:pStyle w:val="Caption"/>
      </w:pPr>
      <w:bookmarkStart w:id="161" w:name="_Toc207348593"/>
      <w:r>
        <w:t>Table</w:t>
      </w:r>
      <w:r w:rsidR="008930C5">
        <w:t xml:space="preserve"> </w:t>
      </w:r>
      <w:r w:rsidR="004F27F5">
        <w:fldChar w:fldCharType="begin"/>
      </w:r>
      <w:r w:rsidR="004F27F5">
        <w:instrText xml:space="preserve"> SEQ Table \* ARABIC </w:instrText>
      </w:r>
      <w:r w:rsidR="004F27F5">
        <w:fldChar w:fldCharType="separate"/>
      </w:r>
      <w:r w:rsidR="004F27F5">
        <w:rPr>
          <w:noProof/>
        </w:rPr>
        <w:t>28</w:t>
      </w:r>
      <w:r w:rsidR="004F27F5">
        <w:rPr>
          <w:noProof/>
        </w:rPr>
        <w:fldChar w:fldCharType="end"/>
      </w:r>
      <w:bookmarkEnd w:id="160"/>
      <w:r w:rsidR="002A330F">
        <w:t>:</w:t>
      </w:r>
      <w:r>
        <w:t xml:space="preserve"> Option 1 </w:t>
      </w:r>
      <w:r w:rsidR="005B053B">
        <w:t xml:space="preserve">total number of </w:t>
      </w:r>
      <w:r w:rsidR="00BC2A48">
        <w:t>cancer cases diagnosed per year</w:t>
      </w:r>
      <w:bookmarkEnd w:id="161"/>
    </w:p>
    <w:tbl>
      <w:tblPr>
        <w:tblStyle w:val="KPMGTable"/>
        <w:tblW w:w="10237" w:type="dxa"/>
        <w:tblLayout w:type="fixed"/>
        <w:tblLook w:val="04A0" w:firstRow="1" w:lastRow="0" w:firstColumn="1" w:lastColumn="0" w:noHBand="0" w:noVBand="1"/>
      </w:tblPr>
      <w:tblGrid>
        <w:gridCol w:w="1134"/>
        <w:gridCol w:w="910"/>
        <w:gridCol w:w="910"/>
        <w:gridCol w:w="910"/>
        <w:gridCol w:w="911"/>
        <w:gridCol w:w="910"/>
        <w:gridCol w:w="910"/>
        <w:gridCol w:w="911"/>
        <w:gridCol w:w="910"/>
        <w:gridCol w:w="910"/>
        <w:gridCol w:w="911"/>
      </w:tblGrid>
      <w:tr w:rsidR="00AD6F37" w:rsidRPr="004A4B51" w14:paraId="2CF6B7E3" w14:textId="39436114" w:rsidTr="00BC2A48">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134" w:type="dxa"/>
          </w:tcPr>
          <w:p w14:paraId="3183F3B2" w14:textId="40E53109" w:rsidR="00923628" w:rsidRPr="004A4B51" w:rsidRDefault="00BC2A48" w:rsidP="00BC2A48">
            <w:pPr>
              <w:pStyle w:val="TableHeading"/>
            </w:pPr>
            <w:r>
              <w:t>Type of cancer</w:t>
            </w:r>
          </w:p>
        </w:tc>
        <w:tc>
          <w:tcPr>
            <w:tcW w:w="910" w:type="dxa"/>
          </w:tcPr>
          <w:p w14:paraId="2E28CC75" w14:textId="2343B96A" w:rsidR="00923628" w:rsidRPr="004A4B51" w:rsidRDefault="00C00C68" w:rsidP="00BC2A48">
            <w:pPr>
              <w:pStyle w:val="TableHeading"/>
              <w:cnfStyle w:val="100000000000" w:firstRow="1" w:lastRow="0" w:firstColumn="0" w:lastColumn="0" w:oddVBand="0" w:evenVBand="0" w:oddHBand="0" w:evenHBand="0" w:firstRowFirstColumn="0" w:firstRowLastColumn="0" w:lastRowFirstColumn="0" w:lastRowLastColumn="0"/>
            </w:pPr>
            <w:r>
              <w:t>FY</w:t>
            </w:r>
            <w:r w:rsidR="00923628" w:rsidRPr="004A4B51">
              <w:t>26/27</w:t>
            </w:r>
          </w:p>
        </w:tc>
        <w:tc>
          <w:tcPr>
            <w:tcW w:w="910" w:type="dxa"/>
          </w:tcPr>
          <w:p w14:paraId="6E386158" w14:textId="782CD1A6" w:rsidR="00923628" w:rsidRPr="004A4B51" w:rsidRDefault="00C00C68" w:rsidP="00BC2A48">
            <w:pPr>
              <w:pStyle w:val="TableHeading"/>
              <w:cnfStyle w:val="100000000000" w:firstRow="1" w:lastRow="0" w:firstColumn="0" w:lastColumn="0" w:oddVBand="0" w:evenVBand="0" w:oddHBand="0" w:evenHBand="0" w:firstRowFirstColumn="0" w:firstRowLastColumn="0" w:lastRowFirstColumn="0" w:lastRowLastColumn="0"/>
            </w:pPr>
            <w:r>
              <w:t>FY</w:t>
            </w:r>
            <w:r w:rsidR="00923628" w:rsidRPr="004A4B51">
              <w:t>27/28</w:t>
            </w:r>
          </w:p>
        </w:tc>
        <w:tc>
          <w:tcPr>
            <w:tcW w:w="910" w:type="dxa"/>
          </w:tcPr>
          <w:p w14:paraId="03FB59B2" w14:textId="6A73CBB5" w:rsidR="00923628" w:rsidRPr="004A4B51" w:rsidRDefault="00923628" w:rsidP="00BC2A48">
            <w:pPr>
              <w:pStyle w:val="TableHeading"/>
              <w:cnfStyle w:val="100000000000" w:firstRow="1" w:lastRow="0" w:firstColumn="0" w:lastColumn="0" w:oddVBand="0" w:evenVBand="0" w:oddHBand="0" w:evenHBand="0" w:firstRowFirstColumn="0" w:firstRowLastColumn="0" w:lastRowFirstColumn="0" w:lastRowLastColumn="0"/>
            </w:pPr>
            <w:r w:rsidRPr="004A4B51">
              <w:t>FY28/29</w:t>
            </w:r>
          </w:p>
        </w:tc>
        <w:tc>
          <w:tcPr>
            <w:tcW w:w="911" w:type="dxa"/>
          </w:tcPr>
          <w:p w14:paraId="5CACA45B" w14:textId="775AC913" w:rsidR="00923628" w:rsidRPr="004A4B51" w:rsidRDefault="00923628" w:rsidP="00BC2A48">
            <w:pPr>
              <w:pStyle w:val="TableHeading"/>
              <w:cnfStyle w:val="100000000000" w:firstRow="1" w:lastRow="0" w:firstColumn="0" w:lastColumn="0" w:oddVBand="0" w:evenVBand="0" w:oddHBand="0" w:evenHBand="0" w:firstRowFirstColumn="0" w:firstRowLastColumn="0" w:lastRowFirstColumn="0" w:lastRowLastColumn="0"/>
            </w:pPr>
            <w:r w:rsidRPr="004A4B51">
              <w:t>FY29/30</w:t>
            </w:r>
          </w:p>
        </w:tc>
        <w:tc>
          <w:tcPr>
            <w:tcW w:w="910" w:type="dxa"/>
          </w:tcPr>
          <w:p w14:paraId="662A14B8" w14:textId="260C42FF" w:rsidR="00923628" w:rsidRPr="004A4B51" w:rsidRDefault="00923628" w:rsidP="00BC2A48">
            <w:pPr>
              <w:pStyle w:val="TableHeading"/>
              <w:cnfStyle w:val="100000000000" w:firstRow="1" w:lastRow="0" w:firstColumn="0" w:lastColumn="0" w:oddVBand="0" w:evenVBand="0" w:oddHBand="0" w:evenHBand="0" w:firstRowFirstColumn="0" w:firstRowLastColumn="0" w:lastRowFirstColumn="0" w:lastRowLastColumn="0"/>
            </w:pPr>
            <w:r w:rsidRPr="004A4B51">
              <w:t>FY30/31</w:t>
            </w:r>
          </w:p>
        </w:tc>
        <w:tc>
          <w:tcPr>
            <w:tcW w:w="910" w:type="dxa"/>
          </w:tcPr>
          <w:p w14:paraId="7769B2A1" w14:textId="3F72F3B3" w:rsidR="00923628" w:rsidRPr="004A4B51" w:rsidRDefault="00923628" w:rsidP="00BC2A48">
            <w:pPr>
              <w:pStyle w:val="TableHeading"/>
              <w:cnfStyle w:val="100000000000" w:firstRow="1" w:lastRow="0" w:firstColumn="0" w:lastColumn="0" w:oddVBand="0" w:evenVBand="0" w:oddHBand="0" w:evenHBand="0" w:firstRowFirstColumn="0" w:firstRowLastColumn="0" w:lastRowFirstColumn="0" w:lastRowLastColumn="0"/>
            </w:pPr>
            <w:r w:rsidRPr="004A4B51">
              <w:t>FY31/32</w:t>
            </w:r>
          </w:p>
        </w:tc>
        <w:tc>
          <w:tcPr>
            <w:tcW w:w="911" w:type="dxa"/>
          </w:tcPr>
          <w:p w14:paraId="19AE48B9" w14:textId="37FBE34F" w:rsidR="00923628" w:rsidRPr="004A4B51" w:rsidRDefault="00923628" w:rsidP="00BC2A48">
            <w:pPr>
              <w:pStyle w:val="TableHeading"/>
              <w:cnfStyle w:val="100000000000" w:firstRow="1" w:lastRow="0" w:firstColumn="0" w:lastColumn="0" w:oddVBand="0" w:evenVBand="0" w:oddHBand="0" w:evenHBand="0" w:firstRowFirstColumn="0" w:firstRowLastColumn="0" w:lastRowFirstColumn="0" w:lastRowLastColumn="0"/>
            </w:pPr>
            <w:r w:rsidRPr="004A4B51">
              <w:t>FY32/33</w:t>
            </w:r>
          </w:p>
        </w:tc>
        <w:tc>
          <w:tcPr>
            <w:tcW w:w="910" w:type="dxa"/>
          </w:tcPr>
          <w:p w14:paraId="45CF8096" w14:textId="554C19E6" w:rsidR="00923628" w:rsidRPr="004A4B51" w:rsidRDefault="00923628" w:rsidP="00BC2A48">
            <w:pPr>
              <w:pStyle w:val="TableHeading"/>
              <w:cnfStyle w:val="100000000000" w:firstRow="1" w:lastRow="0" w:firstColumn="0" w:lastColumn="0" w:oddVBand="0" w:evenVBand="0" w:oddHBand="0" w:evenHBand="0" w:firstRowFirstColumn="0" w:firstRowLastColumn="0" w:lastRowFirstColumn="0" w:lastRowLastColumn="0"/>
            </w:pPr>
            <w:r w:rsidRPr="004A4B51">
              <w:t>FY33/34</w:t>
            </w:r>
          </w:p>
        </w:tc>
        <w:tc>
          <w:tcPr>
            <w:tcW w:w="910" w:type="dxa"/>
          </w:tcPr>
          <w:p w14:paraId="7E0FA6C8" w14:textId="638A8257" w:rsidR="00923628" w:rsidRPr="004A4B51" w:rsidRDefault="00923628" w:rsidP="00BC2A48">
            <w:pPr>
              <w:pStyle w:val="TableHeading"/>
              <w:cnfStyle w:val="100000000000" w:firstRow="1" w:lastRow="0" w:firstColumn="0" w:lastColumn="0" w:oddVBand="0" w:evenVBand="0" w:oddHBand="0" w:evenHBand="0" w:firstRowFirstColumn="0" w:firstRowLastColumn="0" w:lastRowFirstColumn="0" w:lastRowLastColumn="0"/>
            </w:pPr>
            <w:r w:rsidRPr="004A4B51">
              <w:t>FY34/35</w:t>
            </w:r>
          </w:p>
        </w:tc>
        <w:tc>
          <w:tcPr>
            <w:tcW w:w="911" w:type="dxa"/>
          </w:tcPr>
          <w:p w14:paraId="68F01893" w14:textId="53B73220" w:rsidR="00923628" w:rsidRPr="004A4B51" w:rsidRDefault="00923628" w:rsidP="00BC2A48">
            <w:pPr>
              <w:pStyle w:val="TableHeading"/>
              <w:cnfStyle w:val="100000000000" w:firstRow="1" w:lastRow="0" w:firstColumn="0" w:lastColumn="0" w:oddVBand="0" w:evenVBand="0" w:oddHBand="0" w:evenHBand="0" w:firstRowFirstColumn="0" w:firstRowLastColumn="0" w:lastRowFirstColumn="0" w:lastRowLastColumn="0"/>
            </w:pPr>
            <w:r w:rsidRPr="004A4B51">
              <w:t>FY35/36</w:t>
            </w:r>
          </w:p>
        </w:tc>
      </w:tr>
      <w:tr w:rsidR="00677ED1" w:rsidRPr="004A4B51" w14:paraId="73BF0639" w14:textId="5D3A18D1" w:rsidTr="00BC2A48">
        <w:trPr>
          <w:trHeight w:val="583"/>
        </w:trPr>
        <w:tc>
          <w:tcPr>
            <w:cnfStyle w:val="001000000000" w:firstRow="0" w:lastRow="0" w:firstColumn="1" w:lastColumn="0" w:oddVBand="0" w:evenVBand="0" w:oddHBand="0" w:evenHBand="0" w:firstRowFirstColumn="0" w:firstRowLastColumn="0" w:lastRowFirstColumn="0" w:lastRowLastColumn="0"/>
            <w:tcW w:w="1134" w:type="dxa"/>
          </w:tcPr>
          <w:p w14:paraId="0FF93A70" w14:textId="361B5AC6" w:rsidR="004D1003" w:rsidRPr="00FD5E24" w:rsidRDefault="004D1003" w:rsidP="00BC2A48">
            <w:pPr>
              <w:pStyle w:val="Tabletextbold"/>
            </w:pPr>
            <w:r w:rsidRPr="00FD5E24">
              <w:t xml:space="preserve">Head and neck cancer </w:t>
            </w:r>
          </w:p>
        </w:tc>
        <w:tc>
          <w:tcPr>
            <w:tcW w:w="910" w:type="dxa"/>
          </w:tcPr>
          <w:p w14:paraId="67438C4A" w14:textId="0262684A" w:rsidR="004D1003" w:rsidRPr="00FD5E24" w:rsidRDefault="004D1003" w:rsidP="00BC2A48">
            <w:pPr>
              <w:pStyle w:val="TableText"/>
              <w:cnfStyle w:val="000000000000" w:firstRow="0" w:lastRow="0" w:firstColumn="0" w:lastColumn="0" w:oddVBand="0" w:evenVBand="0" w:oddHBand="0" w:evenHBand="0" w:firstRowFirstColumn="0" w:firstRowLastColumn="0" w:lastRowFirstColumn="0" w:lastRowLastColumn="0"/>
            </w:pPr>
            <w:r w:rsidRPr="00FD5E24">
              <w:t>5,672</w:t>
            </w:r>
          </w:p>
        </w:tc>
        <w:tc>
          <w:tcPr>
            <w:tcW w:w="910" w:type="dxa"/>
          </w:tcPr>
          <w:p w14:paraId="2569D62A" w14:textId="14479D14" w:rsidR="004D1003" w:rsidRPr="00FD5E24" w:rsidRDefault="004D1003" w:rsidP="00BC2A48">
            <w:pPr>
              <w:pStyle w:val="TableText"/>
              <w:cnfStyle w:val="000000000000" w:firstRow="0" w:lastRow="0" w:firstColumn="0" w:lastColumn="0" w:oddVBand="0" w:evenVBand="0" w:oddHBand="0" w:evenHBand="0" w:firstRowFirstColumn="0" w:firstRowLastColumn="0" w:lastRowFirstColumn="0" w:lastRowLastColumn="0"/>
            </w:pPr>
            <w:r w:rsidRPr="00FD5E24">
              <w:t>5,753</w:t>
            </w:r>
          </w:p>
        </w:tc>
        <w:tc>
          <w:tcPr>
            <w:tcW w:w="910" w:type="dxa"/>
          </w:tcPr>
          <w:p w14:paraId="6849D695" w14:textId="1A61B29B" w:rsidR="004D1003" w:rsidRPr="00FD5E24" w:rsidRDefault="004D1003" w:rsidP="00BC2A48">
            <w:pPr>
              <w:pStyle w:val="TableText"/>
              <w:cnfStyle w:val="000000000000" w:firstRow="0" w:lastRow="0" w:firstColumn="0" w:lastColumn="0" w:oddVBand="0" w:evenVBand="0" w:oddHBand="0" w:evenHBand="0" w:firstRowFirstColumn="0" w:firstRowLastColumn="0" w:lastRowFirstColumn="0" w:lastRowLastColumn="0"/>
            </w:pPr>
            <w:r w:rsidRPr="00FD5E24">
              <w:t>5,831</w:t>
            </w:r>
          </w:p>
        </w:tc>
        <w:tc>
          <w:tcPr>
            <w:tcW w:w="911" w:type="dxa"/>
          </w:tcPr>
          <w:p w14:paraId="73B9FD59" w14:textId="310DA07A" w:rsidR="004D1003" w:rsidRPr="00FD5E24" w:rsidRDefault="004D1003" w:rsidP="00BC2A48">
            <w:pPr>
              <w:pStyle w:val="TableText"/>
              <w:cnfStyle w:val="000000000000" w:firstRow="0" w:lastRow="0" w:firstColumn="0" w:lastColumn="0" w:oddVBand="0" w:evenVBand="0" w:oddHBand="0" w:evenHBand="0" w:firstRowFirstColumn="0" w:firstRowLastColumn="0" w:lastRowFirstColumn="0" w:lastRowLastColumn="0"/>
            </w:pPr>
            <w:r w:rsidRPr="00FD5E24">
              <w:t>5,905</w:t>
            </w:r>
          </w:p>
        </w:tc>
        <w:tc>
          <w:tcPr>
            <w:tcW w:w="910" w:type="dxa"/>
          </w:tcPr>
          <w:p w14:paraId="41393CC3" w14:textId="72D23CB0" w:rsidR="004D1003" w:rsidRPr="00FD5E24" w:rsidRDefault="004D1003" w:rsidP="00BC2A48">
            <w:pPr>
              <w:pStyle w:val="TableText"/>
              <w:cnfStyle w:val="000000000000" w:firstRow="0" w:lastRow="0" w:firstColumn="0" w:lastColumn="0" w:oddVBand="0" w:evenVBand="0" w:oddHBand="0" w:evenHBand="0" w:firstRowFirstColumn="0" w:firstRowLastColumn="0" w:lastRowFirstColumn="0" w:lastRowLastColumn="0"/>
            </w:pPr>
            <w:r w:rsidRPr="00FD5E24">
              <w:t>5,976</w:t>
            </w:r>
          </w:p>
        </w:tc>
        <w:tc>
          <w:tcPr>
            <w:tcW w:w="910" w:type="dxa"/>
          </w:tcPr>
          <w:p w14:paraId="4BDCE160" w14:textId="066F1A03" w:rsidR="004D1003" w:rsidRPr="00FD5E24" w:rsidRDefault="004D1003" w:rsidP="00BC2A48">
            <w:pPr>
              <w:pStyle w:val="TableText"/>
              <w:cnfStyle w:val="000000000000" w:firstRow="0" w:lastRow="0" w:firstColumn="0" w:lastColumn="0" w:oddVBand="0" w:evenVBand="0" w:oddHBand="0" w:evenHBand="0" w:firstRowFirstColumn="0" w:firstRowLastColumn="0" w:lastRowFirstColumn="0" w:lastRowLastColumn="0"/>
            </w:pPr>
            <w:r w:rsidRPr="00FD5E24">
              <w:t>6,044</w:t>
            </w:r>
          </w:p>
        </w:tc>
        <w:tc>
          <w:tcPr>
            <w:tcW w:w="911" w:type="dxa"/>
          </w:tcPr>
          <w:p w14:paraId="15D4FEB5" w14:textId="6F45921F" w:rsidR="004D1003" w:rsidRPr="00FD5E24" w:rsidRDefault="004D1003" w:rsidP="00BC2A48">
            <w:pPr>
              <w:pStyle w:val="TableText"/>
              <w:cnfStyle w:val="000000000000" w:firstRow="0" w:lastRow="0" w:firstColumn="0" w:lastColumn="0" w:oddVBand="0" w:evenVBand="0" w:oddHBand="0" w:evenHBand="0" w:firstRowFirstColumn="0" w:firstRowLastColumn="0" w:lastRowFirstColumn="0" w:lastRowLastColumn="0"/>
            </w:pPr>
            <w:r w:rsidRPr="00FD5E24">
              <w:t>6,109</w:t>
            </w:r>
          </w:p>
        </w:tc>
        <w:tc>
          <w:tcPr>
            <w:tcW w:w="910" w:type="dxa"/>
          </w:tcPr>
          <w:p w14:paraId="76A61D04" w14:textId="5B038F78" w:rsidR="004D1003" w:rsidRPr="00FD5E24" w:rsidRDefault="004D1003" w:rsidP="00BC2A48">
            <w:pPr>
              <w:pStyle w:val="TableText"/>
              <w:cnfStyle w:val="000000000000" w:firstRow="0" w:lastRow="0" w:firstColumn="0" w:lastColumn="0" w:oddVBand="0" w:evenVBand="0" w:oddHBand="0" w:evenHBand="0" w:firstRowFirstColumn="0" w:firstRowLastColumn="0" w:lastRowFirstColumn="0" w:lastRowLastColumn="0"/>
            </w:pPr>
            <w:r w:rsidRPr="00FD5E24">
              <w:t>6,172</w:t>
            </w:r>
          </w:p>
        </w:tc>
        <w:tc>
          <w:tcPr>
            <w:tcW w:w="910" w:type="dxa"/>
          </w:tcPr>
          <w:p w14:paraId="29A40EA5" w14:textId="32A3D120" w:rsidR="004D1003" w:rsidRPr="00FD5E24" w:rsidRDefault="004D1003" w:rsidP="00BC2A48">
            <w:pPr>
              <w:pStyle w:val="TableText"/>
              <w:cnfStyle w:val="000000000000" w:firstRow="0" w:lastRow="0" w:firstColumn="0" w:lastColumn="0" w:oddVBand="0" w:evenVBand="0" w:oddHBand="0" w:evenHBand="0" w:firstRowFirstColumn="0" w:firstRowLastColumn="0" w:lastRowFirstColumn="0" w:lastRowLastColumn="0"/>
            </w:pPr>
            <w:r w:rsidRPr="00FD5E24">
              <w:t>6,234</w:t>
            </w:r>
          </w:p>
        </w:tc>
        <w:tc>
          <w:tcPr>
            <w:tcW w:w="911" w:type="dxa"/>
          </w:tcPr>
          <w:p w14:paraId="18D6FAEC" w14:textId="519A8CFE" w:rsidR="004D1003" w:rsidRPr="004A4B51" w:rsidRDefault="004D1003" w:rsidP="00BC2A48">
            <w:pPr>
              <w:pStyle w:val="TableText"/>
              <w:cnfStyle w:val="000000000000" w:firstRow="0" w:lastRow="0" w:firstColumn="0" w:lastColumn="0" w:oddVBand="0" w:evenVBand="0" w:oddHBand="0" w:evenHBand="0" w:firstRowFirstColumn="0" w:firstRowLastColumn="0" w:lastRowFirstColumn="0" w:lastRowLastColumn="0"/>
            </w:pPr>
            <w:r w:rsidRPr="004A4B51">
              <w:rPr>
                <w:color w:val="000000"/>
              </w:rPr>
              <w:t>6,296</w:t>
            </w:r>
          </w:p>
        </w:tc>
      </w:tr>
      <w:tr w:rsidR="00677ED1" w:rsidRPr="004A4B51" w14:paraId="443DD815" w14:textId="19F99D16" w:rsidTr="00BC2A48">
        <w:trPr>
          <w:trHeight w:val="583"/>
        </w:trPr>
        <w:tc>
          <w:tcPr>
            <w:cnfStyle w:val="001000000000" w:firstRow="0" w:lastRow="0" w:firstColumn="1" w:lastColumn="0" w:oddVBand="0" w:evenVBand="0" w:oddHBand="0" w:evenHBand="0" w:firstRowFirstColumn="0" w:firstRowLastColumn="0" w:lastRowFirstColumn="0" w:lastRowLastColumn="0"/>
            <w:tcW w:w="1134" w:type="dxa"/>
          </w:tcPr>
          <w:p w14:paraId="025EBD8F" w14:textId="52762230" w:rsidR="004D1003" w:rsidRPr="00FD5E24" w:rsidRDefault="004D1003" w:rsidP="00BC2A48">
            <w:pPr>
              <w:pStyle w:val="Tabletextbold"/>
            </w:pPr>
            <w:r w:rsidRPr="00FD5E24">
              <w:t xml:space="preserve">Eye cancer </w:t>
            </w:r>
          </w:p>
        </w:tc>
        <w:tc>
          <w:tcPr>
            <w:tcW w:w="910" w:type="dxa"/>
          </w:tcPr>
          <w:p w14:paraId="079ACC60" w14:textId="311FDA58" w:rsidR="004D1003" w:rsidRPr="00FD5E24" w:rsidRDefault="004D1003" w:rsidP="00BC2A48">
            <w:pPr>
              <w:pStyle w:val="TableText"/>
              <w:cnfStyle w:val="000000000000" w:firstRow="0" w:lastRow="0" w:firstColumn="0" w:lastColumn="0" w:oddVBand="0" w:evenVBand="0" w:oddHBand="0" w:evenHBand="0" w:firstRowFirstColumn="0" w:firstRowLastColumn="0" w:lastRowFirstColumn="0" w:lastRowLastColumn="0"/>
            </w:pPr>
            <w:r w:rsidRPr="00FD5E24">
              <w:t>389</w:t>
            </w:r>
          </w:p>
        </w:tc>
        <w:tc>
          <w:tcPr>
            <w:tcW w:w="910" w:type="dxa"/>
          </w:tcPr>
          <w:p w14:paraId="589F45E8" w14:textId="2E08354A" w:rsidR="004D1003" w:rsidRPr="00FD5E24" w:rsidRDefault="004D1003" w:rsidP="00BC2A48">
            <w:pPr>
              <w:pStyle w:val="TableText"/>
              <w:cnfStyle w:val="000000000000" w:firstRow="0" w:lastRow="0" w:firstColumn="0" w:lastColumn="0" w:oddVBand="0" w:evenVBand="0" w:oddHBand="0" w:evenHBand="0" w:firstRowFirstColumn="0" w:firstRowLastColumn="0" w:lastRowFirstColumn="0" w:lastRowLastColumn="0"/>
            </w:pPr>
            <w:r w:rsidRPr="00FD5E24">
              <w:t>395</w:t>
            </w:r>
          </w:p>
        </w:tc>
        <w:tc>
          <w:tcPr>
            <w:tcW w:w="910" w:type="dxa"/>
          </w:tcPr>
          <w:p w14:paraId="7149CD9B" w14:textId="0BF13120" w:rsidR="004D1003" w:rsidRPr="00FD5E24" w:rsidRDefault="004D1003" w:rsidP="00BC2A48">
            <w:pPr>
              <w:pStyle w:val="TableText"/>
              <w:cnfStyle w:val="000000000000" w:firstRow="0" w:lastRow="0" w:firstColumn="0" w:lastColumn="0" w:oddVBand="0" w:evenVBand="0" w:oddHBand="0" w:evenHBand="0" w:firstRowFirstColumn="0" w:firstRowLastColumn="0" w:lastRowFirstColumn="0" w:lastRowLastColumn="0"/>
            </w:pPr>
            <w:r w:rsidRPr="00FD5E24">
              <w:t>400</w:t>
            </w:r>
          </w:p>
        </w:tc>
        <w:tc>
          <w:tcPr>
            <w:tcW w:w="911" w:type="dxa"/>
          </w:tcPr>
          <w:p w14:paraId="37619949" w14:textId="3EF658EA" w:rsidR="004D1003" w:rsidRPr="00FD5E24" w:rsidRDefault="004D1003" w:rsidP="00BC2A48">
            <w:pPr>
              <w:pStyle w:val="TableText"/>
              <w:cnfStyle w:val="000000000000" w:firstRow="0" w:lastRow="0" w:firstColumn="0" w:lastColumn="0" w:oddVBand="0" w:evenVBand="0" w:oddHBand="0" w:evenHBand="0" w:firstRowFirstColumn="0" w:firstRowLastColumn="0" w:lastRowFirstColumn="0" w:lastRowLastColumn="0"/>
            </w:pPr>
            <w:r w:rsidRPr="00FD5E24">
              <w:t>405</w:t>
            </w:r>
          </w:p>
        </w:tc>
        <w:tc>
          <w:tcPr>
            <w:tcW w:w="910" w:type="dxa"/>
          </w:tcPr>
          <w:p w14:paraId="3642679A" w14:textId="0BBDDD02" w:rsidR="004D1003" w:rsidRPr="00FD5E24" w:rsidRDefault="004D1003" w:rsidP="00BC2A48">
            <w:pPr>
              <w:pStyle w:val="TableText"/>
              <w:cnfStyle w:val="000000000000" w:firstRow="0" w:lastRow="0" w:firstColumn="0" w:lastColumn="0" w:oddVBand="0" w:evenVBand="0" w:oddHBand="0" w:evenHBand="0" w:firstRowFirstColumn="0" w:firstRowLastColumn="0" w:lastRowFirstColumn="0" w:lastRowLastColumn="0"/>
            </w:pPr>
            <w:r w:rsidRPr="00FD5E24">
              <w:t>410</w:t>
            </w:r>
          </w:p>
        </w:tc>
        <w:tc>
          <w:tcPr>
            <w:tcW w:w="910" w:type="dxa"/>
          </w:tcPr>
          <w:p w14:paraId="2C8D4FDF" w14:textId="0DD43A98" w:rsidR="004D1003" w:rsidRPr="00FD5E24" w:rsidRDefault="004D1003" w:rsidP="00BC2A48">
            <w:pPr>
              <w:pStyle w:val="TableText"/>
              <w:cnfStyle w:val="000000000000" w:firstRow="0" w:lastRow="0" w:firstColumn="0" w:lastColumn="0" w:oddVBand="0" w:evenVBand="0" w:oddHBand="0" w:evenHBand="0" w:firstRowFirstColumn="0" w:firstRowLastColumn="0" w:lastRowFirstColumn="0" w:lastRowLastColumn="0"/>
            </w:pPr>
            <w:r w:rsidRPr="00FD5E24">
              <w:t>415</w:t>
            </w:r>
          </w:p>
        </w:tc>
        <w:tc>
          <w:tcPr>
            <w:tcW w:w="911" w:type="dxa"/>
          </w:tcPr>
          <w:p w14:paraId="426D433A" w14:textId="21D89AC8" w:rsidR="004D1003" w:rsidRPr="00FD5E24" w:rsidRDefault="004D1003" w:rsidP="00BC2A48">
            <w:pPr>
              <w:pStyle w:val="TableText"/>
              <w:cnfStyle w:val="000000000000" w:firstRow="0" w:lastRow="0" w:firstColumn="0" w:lastColumn="0" w:oddVBand="0" w:evenVBand="0" w:oddHBand="0" w:evenHBand="0" w:firstRowFirstColumn="0" w:firstRowLastColumn="0" w:lastRowFirstColumn="0" w:lastRowLastColumn="0"/>
            </w:pPr>
            <w:r w:rsidRPr="00FD5E24">
              <w:t>419</w:t>
            </w:r>
          </w:p>
        </w:tc>
        <w:tc>
          <w:tcPr>
            <w:tcW w:w="910" w:type="dxa"/>
          </w:tcPr>
          <w:p w14:paraId="7D351E20" w14:textId="0DB6C207" w:rsidR="004D1003" w:rsidRPr="00FD5E24" w:rsidRDefault="004D1003" w:rsidP="00BC2A48">
            <w:pPr>
              <w:pStyle w:val="TableText"/>
              <w:cnfStyle w:val="000000000000" w:firstRow="0" w:lastRow="0" w:firstColumn="0" w:lastColumn="0" w:oddVBand="0" w:evenVBand="0" w:oddHBand="0" w:evenHBand="0" w:firstRowFirstColumn="0" w:firstRowLastColumn="0" w:lastRowFirstColumn="0" w:lastRowLastColumn="0"/>
            </w:pPr>
            <w:r w:rsidRPr="00FD5E24">
              <w:t>424</w:t>
            </w:r>
          </w:p>
        </w:tc>
        <w:tc>
          <w:tcPr>
            <w:tcW w:w="910" w:type="dxa"/>
          </w:tcPr>
          <w:p w14:paraId="55F32F58" w14:textId="373E3214" w:rsidR="004D1003" w:rsidRPr="00FD5E24" w:rsidRDefault="004D1003" w:rsidP="00BC2A48">
            <w:pPr>
              <w:pStyle w:val="TableText"/>
              <w:cnfStyle w:val="000000000000" w:firstRow="0" w:lastRow="0" w:firstColumn="0" w:lastColumn="0" w:oddVBand="0" w:evenVBand="0" w:oddHBand="0" w:evenHBand="0" w:firstRowFirstColumn="0" w:firstRowLastColumn="0" w:lastRowFirstColumn="0" w:lastRowLastColumn="0"/>
            </w:pPr>
            <w:r w:rsidRPr="00FD5E24">
              <w:t>428</w:t>
            </w:r>
          </w:p>
        </w:tc>
        <w:tc>
          <w:tcPr>
            <w:tcW w:w="911" w:type="dxa"/>
          </w:tcPr>
          <w:p w14:paraId="180C12BC" w14:textId="6813F132" w:rsidR="004D1003" w:rsidRPr="004A4B51" w:rsidRDefault="004D1003" w:rsidP="00BC2A48">
            <w:pPr>
              <w:pStyle w:val="TableText"/>
              <w:cnfStyle w:val="000000000000" w:firstRow="0" w:lastRow="0" w:firstColumn="0" w:lastColumn="0" w:oddVBand="0" w:evenVBand="0" w:oddHBand="0" w:evenHBand="0" w:firstRowFirstColumn="0" w:firstRowLastColumn="0" w:lastRowFirstColumn="0" w:lastRowLastColumn="0"/>
            </w:pPr>
            <w:r w:rsidRPr="004A4B51">
              <w:rPr>
                <w:color w:val="000000"/>
              </w:rPr>
              <w:t>432</w:t>
            </w:r>
          </w:p>
        </w:tc>
      </w:tr>
      <w:tr w:rsidR="00677ED1" w:rsidRPr="004A4B51" w14:paraId="5913DA1E" w14:textId="13C611BA" w:rsidTr="00BC2A48">
        <w:trPr>
          <w:trHeight w:val="583"/>
        </w:trPr>
        <w:tc>
          <w:tcPr>
            <w:cnfStyle w:val="001000000000" w:firstRow="0" w:lastRow="0" w:firstColumn="1" w:lastColumn="0" w:oddVBand="0" w:evenVBand="0" w:oddHBand="0" w:evenHBand="0" w:firstRowFirstColumn="0" w:firstRowLastColumn="0" w:lastRowFirstColumn="0" w:lastRowLastColumn="0"/>
            <w:tcW w:w="1134" w:type="dxa"/>
          </w:tcPr>
          <w:p w14:paraId="13976EB4" w14:textId="190A777D" w:rsidR="004D1003" w:rsidRPr="00FD5E24" w:rsidRDefault="00603EDE" w:rsidP="00BC2A48">
            <w:pPr>
              <w:pStyle w:val="Tabletextbold"/>
            </w:pPr>
            <w:r w:rsidRPr="00FD5E24">
              <w:t>Facial melanoma</w:t>
            </w:r>
            <w:r w:rsidR="00385F82" w:rsidRPr="00FD5E24">
              <w:t xml:space="preserve"> </w:t>
            </w:r>
          </w:p>
        </w:tc>
        <w:tc>
          <w:tcPr>
            <w:tcW w:w="910" w:type="dxa"/>
          </w:tcPr>
          <w:p w14:paraId="337EB766" w14:textId="4B270AB1" w:rsidR="004D1003" w:rsidRPr="00FD5E24" w:rsidRDefault="004D1003" w:rsidP="00BC2A48">
            <w:pPr>
              <w:pStyle w:val="TableText"/>
              <w:cnfStyle w:val="000000000000" w:firstRow="0" w:lastRow="0" w:firstColumn="0" w:lastColumn="0" w:oddVBand="0" w:evenVBand="0" w:oddHBand="0" w:evenHBand="0" w:firstRowFirstColumn="0" w:firstRowLastColumn="0" w:lastRowFirstColumn="0" w:lastRowLastColumn="0"/>
            </w:pPr>
            <w:r w:rsidRPr="00FD5E24">
              <w:t>3,396</w:t>
            </w:r>
          </w:p>
        </w:tc>
        <w:tc>
          <w:tcPr>
            <w:tcW w:w="910" w:type="dxa"/>
          </w:tcPr>
          <w:p w14:paraId="1F4E8CE3" w14:textId="33D1F840" w:rsidR="004D1003" w:rsidRPr="00FD5E24" w:rsidRDefault="004D1003" w:rsidP="00BC2A48">
            <w:pPr>
              <w:pStyle w:val="TableText"/>
              <w:cnfStyle w:val="000000000000" w:firstRow="0" w:lastRow="0" w:firstColumn="0" w:lastColumn="0" w:oddVBand="0" w:evenVBand="0" w:oddHBand="0" w:evenHBand="0" w:firstRowFirstColumn="0" w:firstRowLastColumn="0" w:lastRowFirstColumn="0" w:lastRowLastColumn="0"/>
            </w:pPr>
            <w:r w:rsidRPr="00FD5E24">
              <w:t>3,445</w:t>
            </w:r>
          </w:p>
        </w:tc>
        <w:tc>
          <w:tcPr>
            <w:tcW w:w="910" w:type="dxa"/>
          </w:tcPr>
          <w:p w14:paraId="237FA939" w14:textId="192D81D3" w:rsidR="004D1003" w:rsidRPr="00FD5E24" w:rsidRDefault="004D1003" w:rsidP="00BC2A48">
            <w:pPr>
              <w:pStyle w:val="TableText"/>
              <w:cnfStyle w:val="000000000000" w:firstRow="0" w:lastRow="0" w:firstColumn="0" w:lastColumn="0" w:oddVBand="0" w:evenVBand="0" w:oddHBand="0" w:evenHBand="0" w:firstRowFirstColumn="0" w:firstRowLastColumn="0" w:lastRowFirstColumn="0" w:lastRowLastColumn="0"/>
            </w:pPr>
            <w:r w:rsidRPr="00FD5E24">
              <w:t>3,491</w:t>
            </w:r>
          </w:p>
        </w:tc>
        <w:tc>
          <w:tcPr>
            <w:tcW w:w="911" w:type="dxa"/>
          </w:tcPr>
          <w:p w14:paraId="738BB17E" w14:textId="01DA3593" w:rsidR="004D1003" w:rsidRPr="00FD5E24" w:rsidRDefault="004D1003" w:rsidP="00BC2A48">
            <w:pPr>
              <w:pStyle w:val="TableText"/>
              <w:cnfStyle w:val="000000000000" w:firstRow="0" w:lastRow="0" w:firstColumn="0" w:lastColumn="0" w:oddVBand="0" w:evenVBand="0" w:oddHBand="0" w:evenHBand="0" w:firstRowFirstColumn="0" w:firstRowLastColumn="0" w:lastRowFirstColumn="0" w:lastRowLastColumn="0"/>
            </w:pPr>
            <w:r w:rsidRPr="00FD5E24">
              <w:t>3,536</w:t>
            </w:r>
          </w:p>
        </w:tc>
        <w:tc>
          <w:tcPr>
            <w:tcW w:w="910" w:type="dxa"/>
          </w:tcPr>
          <w:p w14:paraId="51251B0B" w14:textId="2B460B8A" w:rsidR="004D1003" w:rsidRPr="00FD5E24" w:rsidRDefault="004D1003" w:rsidP="00BC2A48">
            <w:pPr>
              <w:pStyle w:val="TableText"/>
              <w:cnfStyle w:val="000000000000" w:firstRow="0" w:lastRow="0" w:firstColumn="0" w:lastColumn="0" w:oddVBand="0" w:evenVBand="0" w:oddHBand="0" w:evenHBand="0" w:firstRowFirstColumn="0" w:firstRowLastColumn="0" w:lastRowFirstColumn="0" w:lastRowLastColumn="0"/>
            </w:pPr>
            <w:r w:rsidRPr="00FD5E24">
              <w:t>3,578</w:t>
            </w:r>
          </w:p>
        </w:tc>
        <w:tc>
          <w:tcPr>
            <w:tcW w:w="910" w:type="dxa"/>
          </w:tcPr>
          <w:p w14:paraId="178B60F8" w14:textId="39357D62" w:rsidR="004D1003" w:rsidRPr="00FD5E24" w:rsidRDefault="004D1003" w:rsidP="00BC2A48">
            <w:pPr>
              <w:pStyle w:val="TableText"/>
              <w:cnfStyle w:val="000000000000" w:firstRow="0" w:lastRow="0" w:firstColumn="0" w:lastColumn="0" w:oddVBand="0" w:evenVBand="0" w:oddHBand="0" w:evenHBand="0" w:firstRowFirstColumn="0" w:firstRowLastColumn="0" w:lastRowFirstColumn="0" w:lastRowLastColumn="0"/>
            </w:pPr>
            <w:r w:rsidRPr="00FD5E24">
              <w:t>3,619</w:t>
            </w:r>
          </w:p>
        </w:tc>
        <w:tc>
          <w:tcPr>
            <w:tcW w:w="911" w:type="dxa"/>
          </w:tcPr>
          <w:p w14:paraId="391E054D" w14:textId="5417F7AF" w:rsidR="004D1003" w:rsidRPr="00FD5E24" w:rsidRDefault="004D1003" w:rsidP="00BC2A48">
            <w:pPr>
              <w:pStyle w:val="TableText"/>
              <w:cnfStyle w:val="000000000000" w:firstRow="0" w:lastRow="0" w:firstColumn="0" w:lastColumn="0" w:oddVBand="0" w:evenVBand="0" w:oddHBand="0" w:evenHBand="0" w:firstRowFirstColumn="0" w:firstRowLastColumn="0" w:lastRowFirstColumn="0" w:lastRowLastColumn="0"/>
            </w:pPr>
            <w:r w:rsidRPr="00FD5E24">
              <w:t>3,658</w:t>
            </w:r>
          </w:p>
        </w:tc>
        <w:tc>
          <w:tcPr>
            <w:tcW w:w="910" w:type="dxa"/>
          </w:tcPr>
          <w:p w14:paraId="42EE50FB" w14:textId="3685E1AC" w:rsidR="004D1003" w:rsidRPr="00FD5E24" w:rsidRDefault="004D1003" w:rsidP="00BC2A48">
            <w:pPr>
              <w:pStyle w:val="TableText"/>
              <w:cnfStyle w:val="000000000000" w:firstRow="0" w:lastRow="0" w:firstColumn="0" w:lastColumn="0" w:oddVBand="0" w:evenVBand="0" w:oddHBand="0" w:evenHBand="0" w:firstRowFirstColumn="0" w:firstRowLastColumn="0" w:lastRowFirstColumn="0" w:lastRowLastColumn="0"/>
            </w:pPr>
            <w:r w:rsidRPr="00FD5E24">
              <w:t>3,696</w:t>
            </w:r>
          </w:p>
        </w:tc>
        <w:tc>
          <w:tcPr>
            <w:tcW w:w="910" w:type="dxa"/>
          </w:tcPr>
          <w:p w14:paraId="2D7847BD" w14:textId="492F48F1" w:rsidR="004D1003" w:rsidRPr="00FD5E24" w:rsidRDefault="004D1003" w:rsidP="00BC2A48">
            <w:pPr>
              <w:pStyle w:val="TableText"/>
              <w:cnfStyle w:val="000000000000" w:firstRow="0" w:lastRow="0" w:firstColumn="0" w:lastColumn="0" w:oddVBand="0" w:evenVBand="0" w:oddHBand="0" w:evenHBand="0" w:firstRowFirstColumn="0" w:firstRowLastColumn="0" w:lastRowFirstColumn="0" w:lastRowLastColumn="0"/>
            </w:pPr>
            <w:r w:rsidRPr="00FD5E24">
              <w:t>3,733</w:t>
            </w:r>
          </w:p>
        </w:tc>
        <w:tc>
          <w:tcPr>
            <w:tcW w:w="911" w:type="dxa"/>
          </w:tcPr>
          <w:p w14:paraId="30A2C238" w14:textId="360E2E00" w:rsidR="004D1003" w:rsidRPr="004A4B51" w:rsidRDefault="004D1003" w:rsidP="00BC2A48">
            <w:pPr>
              <w:pStyle w:val="TableText"/>
              <w:cnfStyle w:val="000000000000" w:firstRow="0" w:lastRow="0" w:firstColumn="0" w:lastColumn="0" w:oddVBand="0" w:evenVBand="0" w:oddHBand="0" w:evenHBand="0" w:firstRowFirstColumn="0" w:firstRowLastColumn="0" w:lastRowFirstColumn="0" w:lastRowLastColumn="0"/>
            </w:pPr>
            <w:r w:rsidRPr="004A4B51">
              <w:rPr>
                <w:color w:val="000000"/>
              </w:rPr>
              <w:t>3,770</w:t>
            </w:r>
          </w:p>
        </w:tc>
      </w:tr>
      <w:tr w:rsidR="00677ED1" w:rsidRPr="004A4B51" w14:paraId="7371EE08" w14:textId="28ED71DE" w:rsidTr="00BC2A48">
        <w:trPr>
          <w:trHeight w:val="346"/>
        </w:trPr>
        <w:tc>
          <w:tcPr>
            <w:cnfStyle w:val="001000000000" w:firstRow="0" w:lastRow="0" w:firstColumn="1" w:lastColumn="0" w:oddVBand="0" w:evenVBand="0" w:oddHBand="0" w:evenHBand="0" w:firstRowFirstColumn="0" w:firstRowLastColumn="0" w:lastRowFirstColumn="0" w:lastRowLastColumn="0"/>
            <w:tcW w:w="1134" w:type="dxa"/>
          </w:tcPr>
          <w:p w14:paraId="69A38A6F" w14:textId="4A5882FD" w:rsidR="005E4EF8" w:rsidRPr="00FD5E24" w:rsidRDefault="005E4EF8" w:rsidP="00BC2A48">
            <w:pPr>
              <w:pStyle w:val="Tabletextbold"/>
              <w:rPr>
                <w:b/>
              </w:rPr>
            </w:pPr>
            <w:r w:rsidRPr="00FD5E24">
              <w:rPr>
                <w:b/>
              </w:rPr>
              <w:t>Total</w:t>
            </w:r>
          </w:p>
        </w:tc>
        <w:tc>
          <w:tcPr>
            <w:tcW w:w="910" w:type="dxa"/>
          </w:tcPr>
          <w:p w14:paraId="4202C6D9" w14:textId="189F608A" w:rsidR="005E4EF8" w:rsidRPr="00FD5E24" w:rsidRDefault="005E4EF8" w:rsidP="00BC2A48">
            <w:pPr>
              <w:pStyle w:val="Tabletextbold"/>
              <w:cnfStyle w:val="000000000000" w:firstRow="0" w:lastRow="0" w:firstColumn="0" w:lastColumn="0" w:oddVBand="0" w:evenVBand="0" w:oddHBand="0" w:evenHBand="0" w:firstRowFirstColumn="0" w:firstRowLastColumn="0" w:lastRowFirstColumn="0" w:lastRowLastColumn="0"/>
            </w:pPr>
            <w:r w:rsidRPr="00FD5E24">
              <w:t>9,458</w:t>
            </w:r>
          </w:p>
        </w:tc>
        <w:tc>
          <w:tcPr>
            <w:tcW w:w="910" w:type="dxa"/>
          </w:tcPr>
          <w:p w14:paraId="7F935CB4" w14:textId="35475038" w:rsidR="005E4EF8" w:rsidRPr="00FD5E24" w:rsidRDefault="005E4EF8" w:rsidP="00BC2A48">
            <w:pPr>
              <w:pStyle w:val="Tabletextbold"/>
              <w:cnfStyle w:val="000000000000" w:firstRow="0" w:lastRow="0" w:firstColumn="0" w:lastColumn="0" w:oddVBand="0" w:evenVBand="0" w:oddHBand="0" w:evenHBand="0" w:firstRowFirstColumn="0" w:firstRowLastColumn="0" w:lastRowFirstColumn="0" w:lastRowLastColumn="0"/>
            </w:pPr>
            <w:r w:rsidRPr="00FD5E24">
              <w:t>9,593</w:t>
            </w:r>
          </w:p>
        </w:tc>
        <w:tc>
          <w:tcPr>
            <w:tcW w:w="910" w:type="dxa"/>
          </w:tcPr>
          <w:p w14:paraId="5358587B" w14:textId="0BDD5621" w:rsidR="005E4EF8" w:rsidRPr="00FD5E24" w:rsidRDefault="005E4EF8" w:rsidP="00BC2A48">
            <w:pPr>
              <w:pStyle w:val="Tabletextbold"/>
              <w:cnfStyle w:val="000000000000" w:firstRow="0" w:lastRow="0" w:firstColumn="0" w:lastColumn="0" w:oddVBand="0" w:evenVBand="0" w:oddHBand="0" w:evenHBand="0" w:firstRowFirstColumn="0" w:firstRowLastColumn="0" w:lastRowFirstColumn="0" w:lastRowLastColumn="0"/>
            </w:pPr>
            <w:r w:rsidRPr="00FD5E24">
              <w:t>9,722</w:t>
            </w:r>
          </w:p>
        </w:tc>
        <w:tc>
          <w:tcPr>
            <w:tcW w:w="911" w:type="dxa"/>
          </w:tcPr>
          <w:p w14:paraId="7F474085" w14:textId="453DE50A" w:rsidR="005E4EF8" w:rsidRPr="00FD5E24" w:rsidRDefault="005E4EF8" w:rsidP="00BC2A48">
            <w:pPr>
              <w:pStyle w:val="Tabletextbold"/>
              <w:cnfStyle w:val="000000000000" w:firstRow="0" w:lastRow="0" w:firstColumn="0" w:lastColumn="0" w:oddVBand="0" w:evenVBand="0" w:oddHBand="0" w:evenHBand="0" w:firstRowFirstColumn="0" w:firstRowLastColumn="0" w:lastRowFirstColumn="0" w:lastRowLastColumn="0"/>
            </w:pPr>
            <w:r w:rsidRPr="00FD5E24">
              <w:t>9,846</w:t>
            </w:r>
          </w:p>
        </w:tc>
        <w:tc>
          <w:tcPr>
            <w:tcW w:w="910" w:type="dxa"/>
          </w:tcPr>
          <w:p w14:paraId="6B832659" w14:textId="72887B2F" w:rsidR="005E4EF8" w:rsidRPr="00FD5E24" w:rsidRDefault="005E4EF8" w:rsidP="00BC2A48">
            <w:pPr>
              <w:pStyle w:val="Tabletextbold"/>
              <w:cnfStyle w:val="000000000000" w:firstRow="0" w:lastRow="0" w:firstColumn="0" w:lastColumn="0" w:oddVBand="0" w:evenVBand="0" w:oddHBand="0" w:evenHBand="0" w:firstRowFirstColumn="0" w:firstRowLastColumn="0" w:lastRowFirstColumn="0" w:lastRowLastColumn="0"/>
            </w:pPr>
            <w:r w:rsidRPr="00FD5E24">
              <w:t>9,965</w:t>
            </w:r>
          </w:p>
        </w:tc>
        <w:tc>
          <w:tcPr>
            <w:tcW w:w="910" w:type="dxa"/>
          </w:tcPr>
          <w:p w14:paraId="2163243D" w14:textId="78EAB002" w:rsidR="005E4EF8" w:rsidRPr="00FD5E24" w:rsidRDefault="005E4EF8" w:rsidP="00BC2A48">
            <w:pPr>
              <w:pStyle w:val="Tabletextbold"/>
              <w:cnfStyle w:val="000000000000" w:firstRow="0" w:lastRow="0" w:firstColumn="0" w:lastColumn="0" w:oddVBand="0" w:evenVBand="0" w:oddHBand="0" w:evenHBand="0" w:firstRowFirstColumn="0" w:firstRowLastColumn="0" w:lastRowFirstColumn="0" w:lastRowLastColumn="0"/>
            </w:pPr>
            <w:r w:rsidRPr="00FD5E24">
              <w:t>10,078</w:t>
            </w:r>
          </w:p>
        </w:tc>
        <w:tc>
          <w:tcPr>
            <w:tcW w:w="911" w:type="dxa"/>
          </w:tcPr>
          <w:p w14:paraId="0718087A" w14:textId="5E6F3955" w:rsidR="005E4EF8" w:rsidRPr="00FD5E24" w:rsidRDefault="005E4EF8" w:rsidP="00BC2A48">
            <w:pPr>
              <w:pStyle w:val="Tabletextbold"/>
              <w:cnfStyle w:val="000000000000" w:firstRow="0" w:lastRow="0" w:firstColumn="0" w:lastColumn="0" w:oddVBand="0" w:evenVBand="0" w:oddHBand="0" w:evenHBand="0" w:firstRowFirstColumn="0" w:firstRowLastColumn="0" w:lastRowFirstColumn="0" w:lastRowLastColumn="0"/>
            </w:pPr>
            <w:r w:rsidRPr="00FD5E24">
              <w:t>10,185</w:t>
            </w:r>
          </w:p>
        </w:tc>
        <w:tc>
          <w:tcPr>
            <w:tcW w:w="910" w:type="dxa"/>
          </w:tcPr>
          <w:p w14:paraId="766E0AAD" w14:textId="6BF74E6A" w:rsidR="005E4EF8" w:rsidRPr="00FD5E24" w:rsidRDefault="005E4EF8" w:rsidP="00BC2A48">
            <w:pPr>
              <w:pStyle w:val="Tabletextbold"/>
              <w:cnfStyle w:val="000000000000" w:firstRow="0" w:lastRow="0" w:firstColumn="0" w:lastColumn="0" w:oddVBand="0" w:evenVBand="0" w:oddHBand="0" w:evenHBand="0" w:firstRowFirstColumn="0" w:firstRowLastColumn="0" w:lastRowFirstColumn="0" w:lastRowLastColumn="0"/>
            </w:pPr>
            <w:r w:rsidRPr="00FD5E24">
              <w:t>10,291</w:t>
            </w:r>
          </w:p>
        </w:tc>
        <w:tc>
          <w:tcPr>
            <w:tcW w:w="910" w:type="dxa"/>
          </w:tcPr>
          <w:p w14:paraId="7018A7B2" w14:textId="09881EDD" w:rsidR="005E4EF8" w:rsidRPr="00FD5E24" w:rsidRDefault="005E4EF8" w:rsidP="00BC2A48">
            <w:pPr>
              <w:pStyle w:val="Tabletextbold"/>
              <w:cnfStyle w:val="000000000000" w:firstRow="0" w:lastRow="0" w:firstColumn="0" w:lastColumn="0" w:oddVBand="0" w:evenVBand="0" w:oddHBand="0" w:evenHBand="0" w:firstRowFirstColumn="0" w:firstRowLastColumn="0" w:lastRowFirstColumn="0" w:lastRowLastColumn="0"/>
            </w:pPr>
            <w:r w:rsidRPr="00FD5E24">
              <w:t>10,395</w:t>
            </w:r>
          </w:p>
        </w:tc>
        <w:tc>
          <w:tcPr>
            <w:tcW w:w="911" w:type="dxa"/>
          </w:tcPr>
          <w:p w14:paraId="383611F0" w14:textId="4614BC8E" w:rsidR="005E4EF8" w:rsidRPr="004A4B51" w:rsidRDefault="005E4EF8" w:rsidP="00BC2A48">
            <w:pPr>
              <w:pStyle w:val="Tabletextbold"/>
              <w:cnfStyle w:val="000000000000" w:firstRow="0" w:lastRow="0" w:firstColumn="0" w:lastColumn="0" w:oddVBand="0" w:evenVBand="0" w:oddHBand="0" w:evenHBand="0" w:firstRowFirstColumn="0" w:firstRowLastColumn="0" w:lastRowFirstColumn="0" w:lastRowLastColumn="0"/>
            </w:pPr>
            <w:r w:rsidRPr="004A4B51">
              <w:rPr>
                <w:color w:val="000000"/>
              </w:rPr>
              <w:t>10,498</w:t>
            </w:r>
          </w:p>
        </w:tc>
      </w:tr>
    </w:tbl>
    <w:p w14:paraId="380B3D5C" w14:textId="7E11C511" w:rsidR="00BC2A48" w:rsidRDefault="00BC2A48" w:rsidP="00BC2A48">
      <w:pPr>
        <w:pStyle w:val="Caption-Source"/>
      </w:pPr>
      <w:r w:rsidRPr="00C00C68">
        <w:t xml:space="preserve">Source: </w:t>
      </w:r>
      <w:r w:rsidR="0044544E" w:rsidRPr="0044544E">
        <w:t>Independent reviewer</w:t>
      </w:r>
      <w:r>
        <w:t xml:space="preserve"> (</w:t>
      </w:r>
      <w:r w:rsidRPr="00C00C68">
        <w:t>2025</w:t>
      </w:r>
      <w:r>
        <w:t>)</w:t>
      </w:r>
    </w:p>
    <w:p w14:paraId="01836C56" w14:textId="62321EEF" w:rsidR="00BC2A48" w:rsidRDefault="00BC2A48" w:rsidP="00BC2A48">
      <w:pPr>
        <w:pStyle w:val="Caption"/>
      </w:pPr>
      <w:bookmarkStart w:id="162" w:name="_Toc207348594"/>
      <w:r>
        <w:t xml:space="preserve">Table </w:t>
      </w:r>
      <w:r w:rsidR="004F27F5">
        <w:fldChar w:fldCharType="begin"/>
      </w:r>
      <w:r w:rsidR="004F27F5">
        <w:instrText xml:space="preserve"> SEQ Table \* ARABIC </w:instrText>
      </w:r>
      <w:r w:rsidR="004F27F5">
        <w:fldChar w:fldCharType="separate"/>
      </w:r>
      <w:r w:rsidR="004F27F5">
        <w:rPr>
          <w:noProof/>
        </w:rPr>
        <w:t>29</w:t>
      </w:r>
      <w:r w:rsidR="004F27F5">
        <w:rPr>
          <w:noProof/>
        </w:rPr>
        <w:fldChar w:fldCharType="end"/>
      </w:r>
      <w:r>
        <w:t xml:space="preserve">: Option </w:t>
      </w:r>
      <w:r w:rsidRPr="00166242">
        <w:t>1</w:t>
      </w:r>
      <w:r>
        <w:t xml:space="preserve"> total number of new prostheses required per year per cancer type</w:t>
      </w:r>
      <w:bookmarkEnd w:id="162"/>
    </w:p>
    <w:tbl>
      <w:tblPr>
        <w:tblStyle w:val="KPMGTable"/>
        <w:tblW w:w="10237" w:type="dxa"/>
        <w:tblLayout w:type="fixed"/>
        <w:tblLook w:val="04A0" w:firstRow="1" w:lastRow="0" w:firstColumn="1" w:lastColumn="0" w:noHBand="0" w:noVBand="1"/>
      </w:tblPr>
      <w:tblGrid>
        <w:gridCol w:w="1134"/>
        <w:gridCol w:w="910"/>
        <w:gridCol w:w="910"/>
        <w:gridCol w:w="910"/>
        <w:gridCol w:w="911"/>
        <w:gridCol w:w="910"/>
        <w:gridCol w:w="910"/>
        <w:gridCol w:w="911"/>
        <w:gridCol w:w="910"/>
        <w:gridCol w:w="910"/>
        <w:gridCol w:w="911"/>
      </w:tblGrid>
      <w:tr w:rsidR="00AD6F37" w:rsidRPr="004A4B51" w14:paraId="026F1D79" w14:textId="77777777" w:rsidTr="00BC2A48">
        <w:trPr>
          <w:cnfStyle w:val="100000000000" w:firstRow="1" w:lastRow="0" w:firstColumn="0" w:lastColumn="0" w:oddVBand="0" w:evenVBand="0" w:oddHBand="0"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1134" w:type="dxa"/>
          </w:tcPr>
          <w:p w14:paraId="6442F6F5" w14:textId="78E6D490" w:rsidR="00BC2A48" w:rsidRPr="00FD5E24" w:rsidRDefault="00BC2A48" w:rsidP="00BC2A48">
            <w:pPr>
              <w:pStyle w:val="TableHeading"/>
              <w:rPr>
                <w:szCs w:val="18"/>
              </w:rPr>
            </w:pPr>
            <w:r>
              <w:t>Type of cancer</w:t>
            </w:r>
          </w:p>
        </w:tc>
        <w:tc>
          <w:tcPr>
            <w:tcW w:w="910" w:type="dxa"/>
          </w:tcPr>
          <w:p w14:paraId="7808F43C" w14:textId="4A758CC0" w:rsidR="00BC2A48" w:rsidRPr="00FD5E24" w:rsidRDefault="00BC2A48" w:rsidP="00BC2A48">
            <w:pPr>
              <w:pStyle w:val="TableHeading"/>
              <w:cnfStyle w:val="100000000000" w:firstRow="1" w:lastRow="0" w:firstColumn="0" w:lastColumn="0" w:oddVBand="0" w:evenVBand="0" w:oddHBand="0" w:evenHBand="0" w:firstRowFirstColumn="0" w:firstRowLastColumn="0" w:lastRowFirstColumn="0" w:lastRowLastColumn="0"/>
              <w:rPr>
                <w:szCs w:val="18"/>
              </w:rPr>
            </w:pPr>
            <w:r>
              <w:t>FY</w:t>
            </w:r>
            <w:r w:rsidRPr="004A4B51">
              <w:t>26/27</w:t>
            </w:r>
          </w:p>
        </w:tc>
        <w:tc>
          <w:tcPr>
            <w:tcW w:w="910" w:type="dxa"/>
          </w:tcPr>
          <w:p w14:paraId="0A8E9CD5" w14:textId="1AA58615" w:rsidR="00BC2A48" w:rsidRPr="00FD5E24" w:rsidRDefault="00BC2A48" w:rsidP="00BC2A48">
            <w:pPr>
              <w:pStyle w:val="TableHeading"/>
              <w:cnfStyle w:val="100000000000" w:firstRow="1" w:lastRow="0" w:firstColumn="0" w:lastColumn="0" w:oddVBand="0" w:evenVBand="0" w:oddHBand="0" w:evenHBand="0" w:firstRowFirstColumn="0" w:firstRowLastColumn="0" w:lastRowFirstColumn="0" w:lastRowLastColumn="0"/>
              <w:rPr>
                <w:szCs w:val="18"/>
              </w:rPr>
            </w:pPr>
            <w:r>
              <w:t>FY</w:t>
            </w:r>
            <w:r w:rsidRPr="004A4B51">
              <w:t>27/28</w:t>
            </w:r>
          </w:p>
        </w:tc>
        <w:tc>
          <w:tcPr>
            <w:tcW w:w="910" w:type="dxa"/>
          </w:tcPr>
          <w:p w14:paraId="1C2354BF" w14:textId="5B158F6C" w:rsidR="00BC2A48" w:rsidRPr="00FD5E24" w:rsidRDefault="00BC2A48" w:rsidP="00BC2A48">
            <w:pPr>
              <w:pStyle w:val="TableHeading"/>
              <w:cnfStyle w:val="100000000000" w:firstRow="1" w:lastRow="0" w:firstColumn="0" w:lastColumn="0" w:oddVBand="0" w:evenVBand="0" w:oddHBand="0" w:evenHBand="0" w:firstRowFirstColumn="0" w:firstRowLastColumn="0" w:lastRowFirstColumn="0" w:lastRowLastColumn="0"/>
              <w:rPr>
                <w:szCs w:val="18"/>
              </w:rPr>
            </w:pPr>
            <w:r w:rsidRPr="004A4B51">
              <w:t>FY28/29</w:t>
            </w:r>
          </w:p>
        </w:tc>
        <w:tc>
          <w:tcPr>
            <w:tcW w:w="911" w:type="dxa"/>
          </w:tcPr>
          <w:p w14:paraId="1276F42A" w14:textId="652BFA20" w:rsidR="00BC2A48" w:rsidRPr="00FD5E24" w:rsidRDefault="00BC2A48" w:rsidP="00BC2A48">
            <w:pPr>
              <w:pStyle w:val="TableHeading"/>
              <w:cnfStyle w:val="100000000000" w:firstRow="1" w:lastRow="0" w:firstColumn="0" w:lastColumn="0" w:oddVBand="0" w:evenVBand="0" w:oddHBand="0" w:evenHBand="0" w:firstRowFirstColumn="0" w:firstRowLastColumn="0" w:lastRowFirstColumn="0" w:lastRowLastColumn="0"/>
              <w:rPr>
                <w:szCs w:val="18"/>
              </w:rPr>
            </w:pPr>
            <w:r w:rsidRPr="004A4B51">
              <w:t>FY29/30</w:t>
            </w:r>
          </w:p>
        </w:tc>
        <w:tc>
          <w:tcPr>
            <w:tcW w:w="910" w:type="dxa"/>
          </w:tcPr>
          <w:p w14:paraId="78819B63" w14:textId="632779EF" w:rsidR="00BC2A48" w:rsidRPr="00FD5E24" w:rsidRDefault="00BC2A48" w:rsidP="00BC2A48">
            <w:pPr>
              <w:pStyle w:val="TableHeading"/>
              <w:cnfStyle w:val="100000000000" w:firstRow="1" w:lastRow="0" w:firstColumn="0" w:lastColumn="0" w:oddVBand="0" w:evenVBand="0" w:oddHBand="0" w:evenHBand="0" w:firstRowFirstColumn="0" w:firstRowLastColumn="0" w:lastRowFirstColumn="0" w:lastRowLastColumn="0"/>
              <w:rPr>
                <w:szCs w:val="18"/>
              </w:rPr>
            </w:pPr>
            <w:r w:rsidRPr="004A4B51">
              <w:t>FY30/31</w:t>
            </w:r>
          </w:p>
        </w:tc>
        <w:tc>
          <w:tcPr>
            <w:tcW w:w="910" w:type="dxa"/>
          </w:tcPr>
          <w:p w14:paraId="1F3324A5" w14:textId="7C7DBDA2" w:rsidR="00BC2A48" w:rsidRPr="00FD5E24" w:rsidRDefault="00BC2A48" w:rsidP="00BC2A48">
            <w:pPr>
              <w:pStyle w:val="TableHeading"/>
              <w:cnfStyle w:val="100000000000" w:firstRow="1" w:lastRow="0" w:firstColumn="0" w:lastColumn="0" w:oddVBand="0" w:evenVBand="0" w:oddHBand="0" w:evenHBand="0" w:firstRowFirstColumn="0" w:firstRowLastColumn="0" w:lastRowFirstColumn="0" w:lastRowLastColumn="0"/>
              <w:rPr>
                <w:szCs w:val="18"/>
              </w:rPr>
            </w:pPr>
            <w:r w:rsidRPr="004A4B51">
              <w:t>FY31/32</w:t>
            </w:r>
          </w:p>
        </w:tc>
        <w:tc>
          <w:tcPr>
            <w:tcW w:w="911" w:type="dxa"/>
          </w:tcPr>
          <w:p w14:paraId="08119534" w14:textId="7EE0DAB2" w:rsidR="00BC2A48" w:rsidRPr="00FD5E24" w:rsidRDefault="00BC2A48" w:rsidP="00BC2A48">
            <w:pPr>
              <w:pStyle w:val="TableHeading"/>
              <w:cnfStyle w:val="100000000000" w:firstRow="1" w:lastRow="0" w:firstColumn="0" w:lastColumn="0" w:oddVBand="0" w:evenVBand="0" w:oddHBand="0" w:evenHBand="0" w:firstRowFirstColumn="0" w:firstRowLastColumn="0" w:lastRowFirstColumn="0" w:lastRowLastColumn="0"/>
              <w:rPr>
                <w:szCs w:val="18"/>
              </w:rPr>
            </w:pPr>
            <w:r w:rsidRPr="004A4B51">
              <w:t>FY32/33</w:t>
            </w:r>
          </w:p>
        </w:tc>
        <w:tc>
          <w:tcPr>
            <w:tcW w:w="910" w:type="dxa"/>
          </w:tcPr>
          <w:p w14:paraId="25959567" w14:textId="1332DFC5" w:rsidR="00BC2A48" w:rsidRPr="00FD5E24" w:rsidRDefault="00BC2A48" w:rsidP="00BC2A48">
            <w:pPr>
              <w:pStyle w:val="TableHeading"/>
              <w:cnfStyle w:val="100000000000" w:firstRow="1" w:lastRow="0" w:firstColumn="0" w:lastColumn="0" w:oddVBand="0" w:evenVBand="0" w:oddHBand="0" w:evenHBand="0" w:firstRowFirstColumn="0" w:firstRowLastColumn="0" w:lastRowFirstColumn="0" w:lastRowLastColumn="0"/>
              <w:rPr>
                <w:szCs w:val="18"/>
              </w:rPr>
            </w:pPr>
            <w:r w:rsidRPr="004A4B51">
              <w:t>FY33/34</w:t>
            </w:r>
          </w:p>
        </w:tc>
        <w:tc>
          <w:tcPr>
            <w:tcW w:w="910" w:type="dxa"/>
          </w:tcPr>
          <w:p w14:paraId="76915C05" w14:textId="21BF3AD8" w:rsidR="00BC2A48" w:rsidRPr="00FD5E24" w:rsidRDefault="00BC2A48" w:rsidP="00BC2A48">
            <w:pPr>
              <w:pStyle w:val="TableHeading"/>
              <w:cnfStyle w:val="100000000000" w:firstRow="1" w:lastRow="0" w:firstColumn="0" w:lastColumn="0" w:oddVBand="0" w:evenVBand="0" w:oddHBand="0" w:evenHBand="0" w:firstRowFirstColumn="0" w:firstRowLastColumn="0" w:lastRowFirstColumn="0" w:lastRowLastColumn="0"/>
              <w:rPr>
                <w:szCs w:val="18"/>
              </w:rPr>
            </w:pPr>
            <w:r w:rsidRPr="004A4B51">
              <w:t>FY34/35</w:t>
            </w:r>
          </w:p>
        </w:tc>
        <w:tc>
          <w:tcPr>
            <w:tcW w:w="911" w:type="dxa"/>
          </w:tcPr>
          <w:p w14:paraId="41841038" w14:textId="404145BD" w:rsidR="00BC2A48" w:rsidRPr="004A4B51" w:rsidRDefault="00BC2A48" w:rsidP="00BC2A48">
            <w:pPr>
              <w:pStyle w:val="TableHeading"/>
              <w:cnfStyle w:val="100000000000" w:firstRow="1" w:lastRow="0" w:firstColumn="0" w:lastColumn="0" w:oddVBand="0" w:evenVBand="0" w:oddHBand="0" w:evenHBand="0" w:firstRowFirstColumn="0" w:firstRowLastColumn="0" w:lastRowFirstColumn="0" w:lastRowLastColumn="0"/>
              <w:rPr>
                <w:color w:val="000000"/>
                <w:szCs w:val="18"/>
              </w:rPr>
            </w:pPr>
            <w:r w:rsidRPr="004A4B51">
              <w:t>FY35/36</w:t>
            </w:r>
          </w:p>
        </w:tc>
      </w:tr>
      <w:tr w:rsidR="00677ED1" w:rsidRPr="004A4B51" w14:paraId="08A24472" w14:textId="1095E7E7" w:rsidTr="00BC2A48">
        <w:trPr>
          <w:trHeight w:val="485"/>
        </w:trPr>
        <w:tc>
          <w:tcPr>
            <w:cnfStyle w:val="001000000000" w:firstRow="0" w:lastRow="0" w:firstColumn="1" w:lastColumn="0" w:oddVBand="0" w:evenVBand="0" w:oddHBand="0" w:evenHBand="0" w:firstRowFirstColumn="0" w:firstRowLastColumn="0" w:lastRowFirstColumn="0" w:lastRowLastColumn="0"/>
            <w:tcW w:w="1134" w:type="dxa"/>
          </w:tcPr>
          <w:p w14:paraId="74C599BF" w14:textId="5714171F" w:rsidR="00006C87" w:rsidRPr="00FD5E24" w:rsidRDefault="00A20BDA" w:rsidP="00BC2A48">
            <w:pPr>
              <w:pStyle w:val="Tabletextbold"/>
            </w:pPr>
            <w:r w:rsidRPr="00FD5E24">
              <w:t xml:space="preserve">Head and neck cancer </w:t>
            </w:r>
          </w:p>
        </w:tc>
        <w:tc>
          <w:tcPr>
            <w:tcW w:w="910" w:type="dxa"/>
          </w:tcPr>
          <w:p w14:paraId="5BA82381" w14:textId="14725C4D" w:rsidR="00006C87" w:rsidRPr="00FD5E24" w:rsidRDefault="00006C87" w:rsidP="00BC2A48">
            <w:pPr>
              <w:pStyle w:val="TableText"/>
              <w:cnfStyle w:val="000000000000" w:firstRow="0" w:lastRow="0" w:firstColumn="0" w:lastColumn="0" w:oddVBand="0" w:evenVBand="0" w:oddHBand="0" w:evenHBand="0" w:firstRowFirstColumn="0" w:firstRowLastColumn="0" w:lastRowFirstColumn="0" w:lastRowLastColumn="0"/>
            </w:pPr>
            <w:r w:rsidRPr="00FD5E24">
              <w:t>256</w:t>
            </w:r>
          </w:p>
        </w:tc>
        <w:tc>
          <w:tcPr>
            <w:tcW w:w="910" w:type="dxa"/>
          </w:tcPr>
          <w:p w14:paraId="5C66F416" w14:textId="024BA435" w:rsidR="00006C87" w:rsidRPr="00FD5E24" w:rsidRDefault="00006C87" w:rsidP="00BC2A48">
            <w:pPr>
              <w:pStyle w:val="TableText"/>
              <w:cnfStyle w:val="000000000000" w:firstRow="0" w:lastRow="0" w:firstColumn="0" w:lastColumn="0" w:oddVBand="0" w:evenVBand="0" w:oddHBand="0" w:evenHBand="0" w:firstRowFirstColumn="0" w:firstRowLastColumn="0" w:lastRowFirstColumn="0" w:lastRowLastColumn="0"/>
            </w:pPr>
            <w:r w:rsidRPr="00FD5E24">
              <w:t>260</w:t>
            </w:r>
          </w:p>
        </w:tc>
        <w:tc>
          <w:tcPr>
            <w:tcW w:w="910" w:type="dxa"/>
          </w:tcPr>
          <w:p w14:paraId="74AEE33B" w14:textId="2AE73B81" w:rsidR="00006C87" w:rsidRPr="00FD5E24" w:rsidRDefault="00006C87" w:rsidP="00BC2A48">
            <w:pPr>
              <w:pStyle w:val="TableText"/>
              <w:cnfStyle w:val="000000000000" w:firstRow="0" w:lastRow="0" w:firstColumn="0" w:lastColumn="0" w:oddVBand="0" w:evenVBand="0" w:oddHBand="0" w:evenHBand="0" w:firstRowFirstColumn="0" w:firstRowLastColumn="0" w:lastRowFirstColumn="0" w:lastRowLastColumn="0"/>
            </w:pPr>
            <w:r w:rsidRPr="00FD5E24">
              <w:t>264</w:t>
            </w:r>
          </w:p>
        </w:tc>
        <w:tc>
          <w:tcPr>
            <w:tcW w:w="911" w:type="dxa"/>
          </w:tcPr>
          <w:p w14:paraId="74503635" w14:textId="03E28AD4" w:rsidR="00006C87" w:rsidRPr="00FD5E24" w:rsidRDefault="00006C87" w:rsidP="00BC2A48">
            <w:pPr>
              <w:pStyle w:val="TableText"/>
              <w:cnfStyle w:val="000000000000" w:firstRow="0" w:lastRow="0" w:firstColumn="0" w:lastColumn="0" w:oddVBand="0" w:evenVBand="0" w:oddHBand="0" w:evenHBand="0" w:firstRowFirstColumn="0" w:firstRowLastColumn="0" w:lastRowFirstColumn="0" w:lastRowLastColumn="0"/>
            </w:pPr>
            <w:r w:rsidRPr="00FD5E24">
              <w:t>267</w:t>
            </w:r>
          </w:p>
        </w:tc>
        <w:tc>
          <w:tcPr>
            <w:tcW w:w="910" w:type="dxa"/>
          </w:tcPr>
          <w:p w14:paraId="443C7F1F" w14:textId="24F48BA8" w:rsidR="00006C87" w:rsidRPr="00FD5E24" w:rsidRDefault="00006C87" w:rsidP="00BC2A48">
            <w:pPr>
              <w:pStyle w:val="TableText"/>
              <w:cnfStyle w:val="000000000000" w:firstRow="0" w:lastRow="0" w:firstColumn="0" w:lastColumn="0" w:oddVBand="0" w:evenVBand="0" w:oddHBand="0" w:evenHBand="0" w:firstRowFirstColumn="0" w:firstRowLastColumn="0" w:lastRowFirstColumn="0" w:lastRowLastColumn="0"/>
            </w:pPr>
            <w:r w:rsidRPr="00FD5E24">
              <w:t>270</w:t>
            </w:r>
          </w:p>
        </w:tc>
        <w:tc>
          <w:tcPr>
            <w:tcW w:w="910" w:type="dxa"/>
          </w:tcPr>
          <w:p w14:paraId="5FE5A971" w14:textId="549E7F0D" w:rsidR="00006C87" w:rsidRPr="00FD5E24" w:rsidRDefault="00006C87" w:rsidP="00BC2A48">
            <w:pPr>
              <w:pStyle w:val="TableText"/>
              <w:cnfStyle w:val="000000000000" w:firstRow="0" w:lastRow="0" w:firstColumn="0" w:lastColumn="0" w:oddVBand="0" w:evenVBand="0" w:oddHBand="0" w:evenHBand="0" w:firstRowFirstColumn="0" w:firstRowLastColumn="0" w:lastRowFirstColumn="0" w:lastRowLastColumn="0"/>
            </w:pPr>
            <w:r w:rsidRPr="00FD5E24">
              <w:t>273</w:t>
            </w:r>
          </w:p>
        </w:tc>
        <w:tc>
          <w:tcPr>
            <w:tcW w:w="911" w:type="dxa"/>
          </w:tcPr>
          <w:p w14:paraId="5ACBD1D9" w14:textId="5F7CF973" w:rsidR="00006C87" w:rsidRPr="00FD5E24" w:rsidRDefault="00006C87" w:rsidP="00BC2A48">
            <w:pPr>
              <w:pStyle w:val="TableText"/>
              <w:cnfStyle w:val="000000000000" w:firstRow="0" w:lastRow="0" w:firstColumn="0" w:lastColumn="0" w:oddVBand="0" w:evenVBand="0" w:oddHBand="0" w:evenHBand="0" w:firstRowFirstColumn="0" w:firstRowLastColumn="0" w:lastRowFirstColumn="0" w:lastRowLastColumn="0"/>
            </w:pPr>
            <w:r w:rsidRPr="00FD5E24">
              <w:t>276</w:t>
            </w:r>
          </w:p>
        </w:tc>
        <w:tc>
          <w:tcPr>
            <w:tcW w:w="910" w:type="dxa"/>
          </w:tcPr>
          <w:p w14:paraId="455BA917" w14:textId="587AA7EA" w:rsidR="00006C87" w:rsidRPr="00FD5E24" w:rsidRDefault="00006C87" w:rsidP="00BC2A48">
            <w:pPr>
              <w:pStyle w:val="TableText"/>
              <w:cnfStyle w:val="000000000000" w:firstRow="0" w:lastRow="0" w:firstColumn="0" w:lastColumn="0" w:oddVBand="0" w:evenVBand="0" w:oddHBand="0" w:evenHBand="0" w:firstRowFirstColumn="0" w:firstRowLastColumn="0" w:lastRowFirstColumn="0" w:lastRowLastColumn="0"/>
            </w:pPr>
            <w:r w:rsidRPr="00FD5E24">
              <w:t>279</w:t>
            </w:r>
          </w:p>
        </w:tc>
        <w:tc>
          <w:tcPr>
            <w:tcW w:w="910" w:type="dxa"/>
          </w:tcPr>
          <w:p w14:paraId="16B7BE82" w14:textId="74888E80" w:rsidR="00006C87" w:rsidRPr="00FD5E24" w:rsidRDefault="00006C87" w:rsidP="00BC2A48">
            <w:pPr>
              <w:pStyle w:val="TableText"/>
              <w:cnfStyle w:val="000000000000" w:firstRow="0" w:lastRow="0" w:firstColumn="0" w:lastColumn="0" w:oddVBand="0" w:evenVBand="0" w:oddHBand="0" w:evenHBand="0" w:firstRowFirstColumn="0" w:firstRowLastColumn="0" w:lastRowFirstColumn="0" w:lastRowLastColumn="0"/>
            </w:pPr>
            <w:r w:rsidRPr="00FD5E24">
              <w:t>282</w:t>
            </w:r>
          </w:p>
        </w:tc>
        <w:tc>
          <w:tcPr>
            <w:tcW w:w="911" w:type="dxa"/>
          </w:tcPr>
          <w:p w14:paraId="61EE39FF" w14:textId="35CFC42E" w:rsidR="00006C87" w:rsidRPr="004A4B51" w:rsidRDefault="00006C87" w:rsidP="00BC2A48">
            <w:pPr>
              <w:pStyle w:val="TableText"/>
              <w:cnfStyle w:val="000000000000" w:firstRow="0" w:lastRow="0" w:firstColumn="0" w:lastColumn="0" w:oddVBand="0" w:evenVBand="0" w:oddHBand="0" w:evenHBand="0" w:firstRowFirstColumn="0" w:firstRowLastColumn="0" w:lastRowFirstColumn="0" w:lastRowLastColumn="0"/>
            </w:pPr>
            <w:r w:rsidRPr="004A4B51">
              <w:rPr>
                <w:color w:val="000000"/>
              </w:rPr>
              <w:t>285</w:t>
            </w:r>
          </w:p>
        </w:tc>
      </w:tr>
      <w:tr w:rsidR="00677ED1" w:rsidRPr="004A4B51" w14:paraId="7DA85974" w14:textId="77777777" w:rsidTr="00BC2A48">
        <w:trPr>
          <w:trHeight w:val="485"/>
        </w:trPr>
        <w:tc>
          <w:tcPr>
            <w:cnfStyle w:val="001000000000" w:firstRow="0" w:lastRow="0" w:firstColumn="1" w:lastColumn="0" w:oddVBand="0" w:evenVBand="0" w:oddHBand="0" w:evenHBand="0" w:firstRowFirstColumn="0" w:firstRowLastColumn="0" w:lastRowFirstColumn="0" w:lastRowLastColumn="0"/>
            <w:tcW w:w="1134" w:type="dxa"/>
          </w:tcPr>
          <w:p w14:paraId="07B86B13" w14:textId="67FB129D" w:rsidR="00006C87" w:rsidRPr="00FD5E24" w:rsidRDefault="00A20BDA" w:rsidP="00BC2A48">
            <w:pPr>
              <w:pStyle w:val="Tabletextbold"/>
            </w:pPr>
            <w:r w:rsidRPr="00FD5E24">
              <w:t xml:space="preserve">Eye cancer </w:t>
            </w:r>
          </w:p>
        </w:tc>
        <w:tc>
          <w:tcPr>
            <w:tcW w:w="910" w:type="dxa"/>
          </w:tcPr>
          <w:p w14:paraId="48F05D24" w14:textId="7EA5DFF7" w:rsidR="00006C87" w:rsidRPr="00FD5E24" w:rsidRDefault="00006C87" w:rsidP="00BC2A48">
            <w:pPr>
              <w:pStyle w:val="TableText"/>
              <w:cnfStyle w:val="000000000000" w:firstRow="0" w:lastRow="0" w:firstColumn="0" w:lastColumn="0" w:oddVBand="0" w:evenVBand="0" w:oddHBand="0" w:evenHBand="0" w:firstRowFirstColumn="0" w:firstRowLastColumn="0" w:lastRowFirstColumn="0" w:lastRowLastColumn="0"/>
            </w:pPr>
            <w:r w:rsidRPr="00FD5E24">
              <w:t>136</w:t>
            </w:r>
          </w:p>
        </w:tc>
        <w:tc>
          <w:tcPr>
            <w:tcW w:w="910" w:type="dxa"/>
          </w:tcPr>
          <w:p w14:paraId="4832127B" w14:textId="3C8DFCF8" w:rsidR="00006C87" w:rsidRPr="00FD5E24" w:rsidRDefault="00006C87" w:rsidP="00BC2A48">
            <w:pPr>
              <w:pStyle w:val="TableText"/>
              <w:cnfStyle w:val="000000000000" w:firstRow="0" w:lastRow="0" w:firstColumn="0" w:lastColumn="0" w:oddVBand="0" w:evenVBand="0" w:oddHBand="0" w:evenHBand="0" w:firstRowFirstColumn="0" w:firstRowLastColumn="0" w:lastRowFirstColumn="0" w:lastRowLastColumn="0"/>
            </w:pPr>
            <w:r w:rsidRPr="00FD5E24">
              <w:t>138</w:t>
            </w:r>
          </w:p>
        </w:tc>
        <w:tc>
          <w:tcPr>
            <w:tcW w:w="910" w:type="dxa"/>
          </w:tcPr>
          <w:p w14:paraId="43FBE1CF" w14:textId="2E2E81D9" w:rsidR="00006C87" w:rsidRPr="00FD5E24" w:rsidRDefault="00006C87" w:rsidP="00BC2A48">
            <w:pPr>
              <w:pStyle w:val="TableText"/>
              <w:cnfStyle w:val="000000000000" w:firstRow="0" w:lastRow="0" w:firstColumn="0" w:lastColumn="0" w:oddVBand="0" w:evenVBand="0" w:oddHBand="0" w:evenHBand="0" w:firstRowFirstColumn="0" w:firstRowLastColumn="0" w:lastRowFirstColumn="0" w:lastRowLastColumn="0"/>
            </w:pPr>
            <w:r w:rsidRPr="00FD5E24">
              <w:t>140</w:t>
            </w:r>
          </w:p>
        </w:tc>
        <w:tc>
          <w:tcPr>
            <w:tcW w:w="911" w:type="dxa"/>
          </w:tcPr>
          <w:p w14:paraId="311295F8" w14:textId="49382DCF" w:rsidR="00006C87" w:rsidRPr="00FD5E24" w:rsidRDefault="00006C87" w:rsidP="00BC2A48">
            <w:pPr>
              <w:pStyle w:val="TableText"/>
              <w:cnfStyle w:val="000000000000" w:firstRow="0" w:lastRow="0" w:firstColumn="0" w:lastColumn="0" w:oddVBand="0" w:evenVBand="0" w:oddHBand="0" w:evenHBand="0" w:firstRowFirstColumn="0" w:firstRowLastColumn="0" w:lastRowFirstColumn="0" w:lastRowLastColumn="0"/>
            </w:pPr>
            <w:r w:rsidRPr="00FD5E24">
              <w:t>142</w:t>
            </w:r>
          </w:p>
        </w:tc>
        <w:tc>
          <w:tcPr>
            <w:tcW w:w="910" w:type="dxa"/>
          </w:tcPr>
          <w:p w14:paraId="311027C8" w14:textId="0B423F16" w:rsidR="00006C87" w:rsidRPr="00FD5E24" w:rsidRDefault="00006C87" w:rsidP="00BC2A48">
            <w:pPr>
              <w:pStyle w:val="TableText"/>
              <w:cnfStyle w:val="000000000000" w:firstRow="0" w:lastRow="0" w:firstColumn="0" w:lastColumn="0" w:oddVBand="0" w:evenVBand="0" w:oddHBand="0" w:evenHBand="0" w:firstRowFirstColumn="0" w:firstRowLastColumn="0" w:lastRowFirstColumn="0" w:lastRowLastColumn="0"/>
            </w:pPr>
            <w:r w:rsidRPr="00FD5E24">
              <w:t>144</w:t>
            </w:r>
          </w:p>
        </w:tc>
        <w:tc>
          <w:tcPr>
            <w:tcW w:w="910" w:type="dxa"/>
          </w:tcPr>
          <w:p w14:paraId="53D2F195" w14:textId="077ADD27" w:rsidR="00006C87" w:rsidRPr="00FD5E24" w:rsidRDefault="00006C87" w:rsidP="00BC2A48">
            <w:pPr>
              <w:pStyle w:val="TableText"/>
              <w:cnfStyle w:val="000000000000" w:firstRow="0" w:lastRow="0" w:firstColumn="0" w:lastColumn="0" w:oddVBand="0" w:evenVBand="0" w:oddHBand="0" w:evenHBand="0" w:firstRowFirstColumn="0" w:firstRowLastColumn="0" w:lastRowFirstColumn="0" w:lastRowLastColumn="0"/>
            </w:pPr>
            <w:r w:rsidRPr="00FD5E24">
              <w:t>145</w:t>
            </w:r>
          </w:p>
        </w:tc>
        <w:tc>
          <w:tcPr>
            <w:tcW w:w="911" w:type="dxa"/>
          </w:tcPr>
          <w:p w14:paraId="5E8AB75F" w14:textId="0F82D073" w:rsidR="00006C87" w:rsidRPr="00FD5E24" w:rsidRDefault="00006C87" w:rsidP="00BC2A48">
            <w:pPr>
              <w:pStyle w:val="TableText"/>
              <w:cnfStyle w:val="000000000000" w:firstRow="0" w:lastRow="0" w:firstColumn="0" w:lastColumn="0" w:oddVBand="0" w:evenVBand="0" w:oddHBand="0" w:evenHBand="0" w:firstRowFirstColumn="0" w:firstRowLastColumn="0" w:lastRowFirstColumn="0" w:lastRowLastColumn="0"/>
            </w:pPr>
            <w:r w:rsidRPr="00FD5E24">
              <w:t>147</w:t>
            </w:r>
          </w:p>
        </w:tc>
        <w:tc>
          <w:tcPr>
            <w:tcW w:w="910" w:type="dxa"/>
          </w:tcPr>
          <w:p w14:paraId="0AA993FA" w14:textId="288396DB" w:rsidR="00006C87" w:rsidRPr="00FD5E24" w:rsidRDefault="00006C87" w:rsidP="00BC2A48">
            <w:pPr>
              <w:pStyle w:val="TableText"/>
              <w:cnfStyle w:val="000000000000" w:firstRow="0" w:lastRow="0" w:firstColumn="0" w:lastColumn="0" w:oddVBand="0" w:evenVBand="0" w:oddHBand="0" w:evenHBand="0" w:firstRowFirstColumn="0" w:firstRowLastColumn="0" w:lastRowFirstColumn="0" w:lastRowLastColumn="0"/>
            </w:pPr>
            <w:r w:rsidRPr="00FD5E24">
              <w:t>148</w:t>
            </w:r>
          </w:p>
        </w:tc>
        <w:tc>
          <w:tcPr>
            <w:tcW w:w="910" w:type="dxa"/>
          </w:tcPr>
          <w:p w14:paraId="269E96D8" w14:textId="5B3F298C" w:rsidR="00006C87" w:rsidRPr="00FD5E24" w:rsidRDefault="00006C87" w:rsidP="00BC2A48">
            <w:pPr>
              <w:pStyle w:val="TableText"/>
              <w:cnfStyle w:val="000000000000" w:firstRow="0" w:lastRow="0" w:firstColumn="0" w:lastColumn="0" w:oddVBand="0" w:evenVBand="0" w:oddHBand="0" w:evenHBand="0" w:firstRowFirstColumn="0" w:firstRowLastColumn="0" w:lastRowFirstColumn="0" w:lastRowLastColumn="0"/>
            </w:pPr>
            <w:r w:rsidRPr="00FD5E24">
              <w:t>150</w:t>
            </w:r>
          </w:p>
        </w:tc>
        <w:tc>
          <w:tcPr>
            <w:tcW w:w="911" w:type="dxa"/>
          </w:tcPr>
          <w:p w14:paraId="2D0D98B6" w14:textId="2129BF78" w:rsidR="00006C87" w:rsidRPr="004A4B51" w:rsidRDefault="00006C87" w:rsidP="00BC2A48">
            <w:pPr>
              <w:pStyle w:val="TableText"/>
              <w:cnfStyle w:val="000000000000" w:firstRow="0" w:lastRow="0" w:firstColumn="0" w:lastColumn="0" w:oddVBand="0" w:evenVBand="0" w:oddHBand="0" w:evenHBand="0" w:firstRowFirstColumn="0" w:firstRowLastColumn="0" w:lastRowFirstColumn="0" w:lastRowLastColumn="0"/>
            </w:pPr>
            <w:r w:rsidRPr="004A4B51">
              <w:rPr>
                <w:color w:val="000000"/>
              </w:rPr>
              <w:t>151</w:t>
            </w:r>
          </w:p>
        </w:tc>
      </w:tr>
      <w:tr w:rsidR="00677ED1" w:rsidRPr="004A4B51" w14:paraId="23FBB82D" w14:textId="77777777" w:rsidTr="00BC2A48">
        <w:trPr>
          <w:trHeight w:val="485"/>
        </w:trPr>
        <w:tc>
          <w:tcPr>
            <w:cnfStyle w:val="001000000000" w:firstRow="0" w:lastRow="0" w:firstColumn="1" w:lastColumn="0" w:oddVBand="0" w:evenVBand="0" w:oddHBand="0" w:evenHBand="0" w:firstRowFirstColumn="0" w:firstRowLastColumn="0" w:lastRowFirstColumn="0" w:lastRowLastColumn="0"/>
            <w:tcW w:w="1134" w:type="dxa"/>
          </w:tcPr>
          <w:p w14:paraId="2DA98914" w14:textId="4DC55164" w:rsidR="00006C87" w:rsidRPr="00FD5E24" w:rsidRDefault="00A20BDA" w:rsidP="00BC2A48">
            <w:pPr>
              <w:pStyle w:val="Tabletextbold"/>
            </w:pPr>
            <w:r w:rsidRPr="00FD5E24">
              <w:t xml:space="preserve">Facial melanoma </w:t>
            </w:r>
          </w:p>
        </w:tc>
        <w:tc>
          <w:tcPr>
            <w:tcW w:w="910" w:type="dxa"/>
          </w:tcPr>
          <w:p w14:paraId="5BFCA153" w14:textId="59A32FBD" w:rsidR="00006C87" w:rsidRPr="00FD5E24" w:rsidRDefault="00006C87" w:rsidP="00BC2A48">
            <w:pPr>
              <w:pStyle w:val="TableText"/>
              <w:cnfStyle w:val="000000000000" w:firstRow="0" w:lastRow="0" w:firstColumn="0" w:lastColumn="0" w:oddVBand="0" w:evenVBand="0" w:oddHBand="0" w:evenHBand="0" w:firstRowFirstColumn="0" w:firstRowLastColumn="0" w:lastRowFirstColumn="0" w:lastRowLastColumn="0"/>
            </w:pPr>
            <w:r w:rsidRPr="00FD5E24">
              <w:t>154</w:t>
            </w:r>
          </w:p>
        </w:tc>
        <w:tc>
          <w:tcPr>
            <w:tcW w:w="910" w:type="dxa"/>
          </w:tcPr>
          <w:p w14:paraId="05C5DDEC" w14:textId="646B5AFF" w:rsidR="00006C87" w:rsidRPr="00FD5E24" w:rsidRDefault="00006C87" w:rsidP="00BC2A48">
            <w:pPr>
              <w:pStyle w:val="TableText"/>
              <w:cnfStyle w:val="000000000000" w:firstRow="0" w:lastRow="0" w:firstColumn="0" w:lastColumn="0" w:oddVBand="0" w:evenVBand="0" w:oddHBand="0" w:evenHBand="0" w:firstRowFirstColumn="0" w:firstRowLastColumn="0" w:lastRowFirstColumn="0" w:lastRowLastColumn="0"/>
            </w:pPr>
            <w:r w:rsidRPr="00FD5E24">
              <w:t>156</w:t>
            </w:r>
          </w:p>
        </w:tc>
        <w:tc>
          <w:tcPr>
            <w:tcW w:w="910" w:type="dxa"/>
          </w:tcPr>
          <w:p w14:paraId="12DF6860" w14:textId="058ED3B7" w:rsidR="00006C87" w:rsidRPr="00FD5E24" w:rsidRDefault="00006C87" w:rsidP="00BC2A48">
            <w:pPr>
              <w:pStyle w:val="TableText"/>
              <w:cnfStyle w:val="000000000000" w:firstRow="0" w:lastRow="0" w:firstColumn="0" w:lastColumn="0" w:oddVBand="0" w:evenVBand="0" w:oddHBand="0" w:evenHBand="0" w:firstRowFirstColumn="0" w:firstRowLastColumn="0" w:lastRowFirstColumn="0" w:lastRowLastColumn="0"/>
            </w:pPr>
            <w:r w:rsidRPr="00FD5E24">
              <w:t>158</w:t>
            </w:r>
          </w:p>
        </w:tc>
        <w:tc>
          <w:tcPr>
            <w:tcW w:w="911" w:type="dxa"/>
          </w:tcPr>
          <w:p w14:paraId="1FB3E2D9" w14:textId="535CB63F" w:rsidR="00006C87" w:rsidRPr="00FD5E24" w:rsidRDefault="00006C87" w:rsidP="00BC2A48">
            <w:pPr>
              <w:pStyle w:val="TableText"/>
              <w:cnfStyle w:val="000000000000" w:firstRow="0" w:lastRow="0" w:firstColumn="0" w:lastColumn="0" w:oddVBand="0" w:evenVBand="0" w:oddHBand="0" w:evenHBand="0" w:firstRowFirstColumn="0" w:firstRowLastColumn="0" w:lastRowFirstColumn="0" w:lastRowLastColumn="0"/>
            </w:pPr>
            <w:r w:rsidRPr="00FD5E24">
              <w:t>160</w:t>
            </w:r>
          </w:p>
        </w:tc>
        <w:tc>
          <w:tcPr>
            <w:tcW w:w="910" w:type="dxa"/>
          </w:tcPr>
          <w:p w14:paraId="53126C9B" w14:textId="26C87384" w:rsidR="00006C87" w:rsidRPr="00FD5E24" w:rsidRDefault="00006C87" w:rsidP="00BC2A48">
            <w:pPr>
              <w:pStyle w:val="TableText"/>
              <w:cnfStyle w:val="000000000000" w:firstRow="0" w:lastRow="0" w:firstColumn="0" w:lastColumn="0" w:oddVBand="0" w:evenVBand="0" w:oddHBand="0" w:evenHBand="0" w:firstRowFirstColumn="0" w:firstRowLastColumn="0" w:lastRowFirstColumn="0" w:lastRowLastColumn="0"/>
            </w:pPr>
            <w:r w:rsidRPr="00FD5E24">
              <w:t>162</w:t>
            </w:r>
          </w:p>
        </w:tc>
        <w:tc>
          <w:tcPr>
            <w:tcW w:w="910" w:type="dxa"/>
          </w:tcPr>
          <w:p w14:paraId="04DD64FB" w14:textId="7304669E" w:rsidR="00006C87" w:rsidRPr="00FD5E24" w:rsidRDefault="00006C87" w:rsidP="00BC2A48">
            <w:pPr>
              <w:pStyle w:val="TableText"/>
              <w:cnfStyle w:val="000000000000" w:firstRow="0" w:lastRow="0" w:firstColumn="0" w:lastColumn="0" w:oddVBand="0" w:evenVBand="0" w:oddHBand="0" w:evenHBand="0" w:firstRowFirstColumn="0" w:firstRowLastColumn="0" w:lastRowFirstColumn="0" w:lastRowLastColumn="0"/>
            </w:pPr>
            <w:r w:rsidRPr="00FD5E24">
              <w:t>164</w:t>
            </w:r>
          </w:p>
        </w:tc>
        <w:tc>
          <w:tcPr>
            <w:tcW w:w="911" w:type="dxa"/>
          </w:tcPr>
          <w:p w14:paraId="3C77AF86" w14:textId="0AE1A92C" w:rsidR="00006C87" w:rsidRPr="00FD5E24" w:rsidRDefault="00006C87" w:rsidP="00BC2A48">
            <w:pPr>
              <w:pStyle w:val="TableText"/>
              <w:cnfStyle w:val="000000000000" w:firstRow="0" w:lastRow="0" w:firstColumn="0" w:lastColumn="0" w:oddVBand="0" w:evenVBand="0" w:oddHBand="0" w:evenHBand="0" w:firstRowFirstColumn="0" w:firstRowLastColumn="0" w:lastRowFirstColumn="0" w:lastRowLastColumn="0"/>
            </w:pPr>
            <w:r w:rsidRPr="00FD5E24">
              <w:t>165</w:t>
            </w:r>
          </w:p>
        </w:tc>
        <w:tc>
          <w:tcPr>
            <w:tcW w:w="910" w:type="dxa"/>
          </w:tcPr>
          <w:p w14:paraId="56958650" w14:textId="0E23B482" w:rsidR="00006C87" w:rsidRPr="00FD5E24" w:rsidRDefault="00006C87" w:rsidP="00BC2A48">
            <w:pPr>
              <w:pStyle w:val="TableText"/>
              <w:cnfStyle w:val="000000000000" w:firstRow="0" w:lastRow="0" w:firstColumn="0" w:lastColumn="0" w:oddVBand="0" w:evenVBand="0" w:oddHBand="0" w:evenHBand="0" w:firstRowFirstColumn="0" w:firstRowLastColumn="0" w:lastRowFirstColumn="0" w:lastRowLastColumn="0"/>
            </w:pPr>
            <w:r w:rsidRPr="00FD5E24">
              <w:t>167</w:t>
            </w:r>
          </w:p>
        </w:tc>
        <w:tc>
          <w:tcPr>
            <w:tcW w:w="910" w:type="dxa"/>
          </w:tcPr>
          <w:p w14:paraId="414E94B6" w14:textId="0AD0A98F" w:rsidR="00006C87" w:rsidRPr="00FD5E24" w:rsidRDefault="00006C87" w:rsidP="00BC2A48">
            <w:pPr>
              <w:pStyle w:val="TableText"/>
              <w:cnfStyle w:val="000000000000" w:firstRow="0" w:lastRow="0" w:firstColumn="0" w:lastColumn="0" w:oddVBand="0" w:evenVBand="0" w:oddHBand="0" w:evenHBand="0" w:firstRowFirstColumn="0" w:firstRowLastColumn="0" w:lastRowFirstColumn="0" w:lastRowLastColumn="0"/>
            </w:pPr>
            <w:r w:rsidRPr="00FD5E24">
              <w:t>169</w:t>
            </w:r>
          </w:p>
        </w:tc>
        <w:tc>
          <w:tcPr>
            <w:tcW w:w="911" w:type="dxa"/>
          </w:tcPr>
          <w:p w14:paraId="7EABE84C" w14:textId="02058D9F" w:rsidR="00006C87" w:rsidRPr="004A4B51" w:rsidRDefault="00006C87" w:rsidP="00BC2A48">
            <w:pPr>
              <w:pStyle w:val="TableText"/>
              <w:cnfStyle w:val="000000000000" w:firstRow="0" w:lastRow="0" w:firstColumn="0" w:lastColumn="0" w:oddVBand="0" w:evenVBand="0" w:oddHBand="0" w:evenHBand="0" w:firstRowFirstColumn="0" w:firstRowLastColumn="0" w:lastRowFirstColumn="0" w:lastRowLastColumn="0"/>
            </w:pPr>
            <w:r w:rsidRPr="004A4B51">
              <w:rPr>
                <w:color w:val="000000"/>
              </w:rPr>
              <w:t>170</w:t>
            </w:r>
          </w:p>
        </w:tc>
      </w:tr>
      <w:tr w:rsidR="00677ED1" w:rsidRPr="004A4B51" w14:paraId="63A8E170" w14:textId="77777777" w:rsidTr="00BC2A48">
        <w:trPr>
          <w:trHeight w:val="346"/>
        </w:trPr>
        <w:tc>
          <w:tcPr>
            <w:cnfStyle w:val="001000000000" w:firstRow="0" w:lastRow="0" w:firstColumn="1" w:lastColumn="0" w:oddVBand="0" w:evenVBand="0" w:oddHBand="0" w:evenHBand="0" w:firstRowFirstColumn="0" w:firstRowLastColumn="0" w:lastRowFirstColumn="0" w:lastRowLastColumn="0"/>
            <w:tcW w:w="1134" w:type="dxa"/>
          </w:tcPr>
          <w:p w14:paraId="40251209" w14:textId="365EE4D6" w:rsidR="00F164FD" w:rsidRPr="00FD5E24" w:rsidRDefault="00C00C68" w:rsidP="00BC2A48">
            <w:pPr>
              <w:pStyle w:val="Tabletextbold"/>
              <w:rPr>
                <w:b/>
              </w:rPr>
            </w:pPr>
            <w:r w:rsidRPr="00FD5E24">
              <w:rPr>
                <w:b/>
              </w:rPr>
              <w:t>Total</w:t>
            </w:r>
          </w:p>
        </w:tc>
        <w:tc>
          <w:tcPr>
            <w:tcW w:w="910" w:type="dxa"/>
          </w:tcPr>
          <w:p w14:paraId="6931BC0F" w14:textId="1F57C1E5" w:rsidR="00F164FD" w:rsidRPr="00FD5E24" w:rsidRDefault="00F164FD" w:rsidP="00BC2A48">
            <w:pPr>
              <w:pStyle w:val="Tabletextbold"/>
              <w:cnfStyle w:val="000000000000" w:firstRow="0" w:lastRow="0" w:firstColumn="0" w:lastColumn="0" w:oddVBand="0" w:evenVBand="0" w:oddHBand="0" w:evenHBand="0" w:firstRowFirstColumn="0" w:firstRowLastColumn="0" w:lastRowFirstColumn="0" w:lastRowLastColumn="0"/>
            </w:pPr>
            <w:r w:rsidRPr="00FD5E24">
              <w:t>546</w:t>
            </w:r>
          </w:p>
        </w:tc>
        <w:tc>
          <w:tcPr>
            <w:tcW w:w="910" w:type="dxa"/>
          </w:tcPr>
          <w:p w14:paraId="34086EA8" w14:textId="04B62C76" w:rsidR="00F164FD" w:rsidRPr="00FD5E24" w:rsidRDefault="00F164FD" w:rsidP="00BC2A48">
            <w:pPr>
              <w:pStyle w:val="Tabletextbold"/>
              <w:cnfStyle w:val="000000000000" w:firstRow="0" w:lastRow="0" w:firstColumn="0" w:lastColumn="0" w:oddVBand="0" w:evenVBand="0" w:oddHBand="0" w:evenHBand="0" w:firstRowFirstColumn="0" w:firstRowLastColumn="0" w:lastRowFirstColumn="0" w:lastRowLastColumn="0"/>
            </w:pPr>
            <w:r w:rsidRPr="00FD5E24">
              <w:t>554</w:t>
            </w:r>
          </w:p>
        </w:tc>
        <w:tc>
          <w:tcPr>
            <w:tcW w:w="910" w:type="dxa"/>
          </w:tcPr>
          <w:p w14:paraId="4289E964" w14:textId="5BD45C2B" w:rsidR="00F164FD" w:rsidRPr="00FD5E24" w:rsidRDefault="00F164FD" w:rsidP="00BC2A48">
            <w:pPr>
              <w:pStyle w:val="Tabletextbold"/>
              <w:cnfStyle w:val="000000000000" w:firstRow="0" w:lastRow="0" w:firstColumn="0" w:lastColumn="0" w:oddVBand="0" w:evenVBand="0" w:oddHBand="0" w:evenHBand="0" w:firstRowFirstColumn="0" w:firstRowLastColumn="0" w:lastRowFirstColumn="0" w:lastRowLastColumn="0"/>
            </w:pPr>
            <w:r w:rsidRPr="00FD5E24">
              <w:t>561</w:t>
            </w:r>
          </w:p>
        </w:tc>
        <w:tc>
          <w:tcPr>
            <w:tcW w:w="911" w:type="dxa"/>
          </w:tcPr>
          <w:p w14:paraId="3FCB6A4F" w14:textId="7CE0CB63" w:rsidR="00F164FD" w:rsidRPr="00FD5E24" w:rsidRDefault="00F164FD" w:rsidP="00BC2A48">
            <w:pPr>
              <w:pStyle w:val="Tabletextbold"/>
              <w:cnfStyle w:val="000000000000" w:firstRow="0" w:lastRow="0" w:firstColumn="0" w:lastColumn="0" w:oddVBand="0" w:evenVBand="0" w:oddHBand="0" w:evenHBand="0" w:firstRowFirstColumn="0" w:firstRowLastColumn="0" w:lastRowFirstColumn="0" w:lastRowLastColumn="0"/>
            </w:pPr>
            <w:r w:rsidRPr="00FD5E24">
              <w:t>569</w:t>
            </w:r>
          </w:p>
        </w:tc>
        <w:tc>
          <w:tcPr>
            <w:tcW w:w="910" w:type="dxa"/>
          </w:tcPr>
          <w:p w14:paraId="79BA2F63" w14:textId="56E79923" w:rsidR="00F164FD" w:rsidRPr="00FD5E24" w:rsidRDefault="00F164FD" w:rsidP="00BC2A48">
            <w:pPr>
              <w:pStyle w:val="Tabletextbold"/>
              <w:cnfStyle w:val="000000000000" w:firstRow="0" w:lastRow="0" w:firstColumn="0" w:lastColumn="0" w:oddVBand="0" w:evenVBand="0" w:oddHBand="0" w:evenHBand="0" w:firstRowFirstColumn="0" w:firstRowLastColumn="0" w:lastRowFirstColumn="0" w:lastRowLastColumn="0"/>
            </w:pPr>
            <w:r w:rsidRPr="00FD5E24">
              <w:t>575</w:t>
            </w:r>
          </w:p>
        </w:tc>
        <w:tc>
          <w:tcPr>
            <w:tcW w:w="910" w:type="dxa"/>
          </w:tcPr>
          <w:p w14:paraId="76B8EF3C" w14:textId="0DEABD71" w:rsidR="00F164FD" w:rsidRPr="00FD5E24" w:rsidRDefault="00F164FD" w:rsidP="00BC2A48">
            <w:pPr>
              <w:pStyle w:val="Tabletextbold"/>
              <w:cnfStyle w:val="000000000000" w:firstRow="0" w:lastRow="0" w:firstColumn="0" w:lastColumn="0" w:oddVBand="0" w:evenVBand="0" w:oddHBand="0" w:evenHBand="0" w:firstRowFirstColumn="0" w:firstRowLastColumn="0" w:lastRowFirstColumn="0" w:lastRowLastColumn="0"/>
            </w:pPr>
            <w:r w:rsidRPr="00FD5E24">
              <w:t>582</w:t>
            </w:r>
          </w:p>
        </w:tc>
        <w:tc>
          <w:tcPr>
            <w:tcW w:w="911" w:type="dxa"/>
          </w:tcPr>
          <w:p w14:paraId="2FBEBDD2" w14:textId="017256D8" w:rsidR="00F164FD" w:rsidRPr="00FD5E24" w:rsidRDefault="00F164FD" w:rsidP="00BC2A48">
            <w:pPr>
              <w:pStyle w:val="Tabletextbold"/>
              <w:cnfStyle w:val="000000000000" w:firstRow="0" w:lastRow="0" w:firstColumn="0" w:lastColumn="0" w:oddVBand="0" w:evenVBand="0" w:oddHBand="0" w:evenHBand="0" w:firstRowFirstColumn="0" w:firstRowLastColumn="0" w:lastRowFirstColumn="0" w:lastRowLastColumn="0"/>
            </w:pPr>
            <w:r w:rsidRPr="00FD5E24">
              <w:t>588</w:t>
            </w:r>
          </w:p>
        </w:tc>
        <w:tc>
          <w:tcPr>
            <w:tcW w:w="910" w:type="dxa"/>
          </w:tcPr>
          <w:p w14:paraId="4384DFDB" w14:textId="1A7A5830" w:rsidR="00F164FD" w:rsidRPr="00FD5E24" w:rsidRDefault="00F164FD" w:rsidP="00BC2A48">
            <w:pPr>
              <w:pStyle w:val="Tabletextbold"/>
              <w:cnfStyle w:val="000000000000" w:firstRow="0" w:lastRow="0" w:firstColumn="0" w:lastColumn="0" w:oddVBand="0" w:evenVBand="0" w:oddHBand="0" w:evenHBand="0" w:firstRowFirstColumn="0" w:firstRowLastColumn="0" w:lastRowFirstColumn="0" w:lastRowLastColumn="0"/>
            </w:pPr>
            <w:r w:rsidRPr="00FD5E24">
              <w:t>594</w:t>
            </w:r>
          </w:p>
        </w:tc>
        <w:tc>
          <w:tcPr>
            <w:tcW w:w="910" w:type="dxa"/>
          </w:tcPr>
          <w:p w14:paraId="5B8CA1BC" w14:textId="6295FA5C" w:rsidR="00F164FD" w:rsidRPr="00FD5E24" w:rsidRDefault="00F164FD" w:rsidP="00BC2A48">
            <w:pPr>
              <w:pStyle w:val="Tabletextbold"/>
              <w:cnfStyle w:val="000000000000" w:firstRow="0" w:lastRow="0" w:firstColumn="0" w:lastColumn="0" w:oddVBand="0" w:evenVBand="0" w:oddHBand="0" w:evenHBand="0" w:firstRowFirstColumn="0" w:firstRowLastColumn="0" w:lastRowFirstColumn="0" w:lastRowLastColumn="0"/>
            </w:pPr>
            <w:r w:rsidRPr="00FD5E24">
              <w:t>600</w:t>
            </w:r>
          </w:p>
        </w:tc>
        <w:tc>
          <w:tcPr>
            <w:tcW w:w="911" w:type="dxa"/>
          </w:tcPr>
          <w:p w14:paraId="3D258695" w14:textId="2EB2875C" w:rsidR="00F164FD" w:rsidRPr="00F164FD" w:rsidRDefault="00F164FD" w:rsidP="00BC2A48">
            <w:pPr>
              <w:pStyle w:val="Tabletextbold"/>
              <w:cnfStyle w:val="000000000000" w:firstRow="0" w:lastRow="0" w:firstColumn="0" w:lastColumn="0" w:oddVBand="0" w:evenVBand="0" w:oddHBand="0" w:evenHBand="0" w:firstRowFirstColumn="0" w:firstRowLastColumn="0" w:lastRowFirstColumn="0" w:lastRowLastColumn="0"/>
              <w:rPr>
                <w:color w:val="000000"/>
              </w:rPr>
            </w:pPr>
            <w:r w:rsidRPr="00F164FD">
              <w:rPr>
                <w:color w:val="000000"/>
              </w:rPr>
              <w:t>606</w:t>
            </w:r>
          </w:p>
        </w:tc>
      </w:tr>
    </w:tbl>
    <w:p w14:paraId="4E0F8D60" w14:textId="341D8805" w:rsidR="00BC2A48" w:rsidRDefault="00BC2A48" w:rsidP="00BC2A48">
      <w:pPr>
        <w:pStyle w:val="Caption-Source"/>
      </w:pPr>
      <w:r w:rsidRPr="00C00C68">
        <w:t xml:space="preserve">Source: </w:t>
      </w:r>
      <w:r w:rsidR="0044544E" w:rsidRPr="0044544E">
        <w:t>Independent reviewer</w:t>
      </w:r>
      <w:r>
        <w:t xml:space="preserve"> (</w:t>
      </w:r>
      <w:r w:rsidRPr="00C00C68">
        <w:t>2025</w:t>
      </w:r>
      <w:r>
        <w:t>)</w:t>
      </w:r>
    </w:p>
    <w:p w14:paraId="5BCFD86D" w14:textId="79DE8379" w:rsidR="00BC2A48" w:rsidRDefault="00BC2A48" w:rsidP="00BC2A48">
      <w:pPr>
        <w:pStyle w:val="Caption"/>
      </w:pPr>
      <w:bookmarkStart w:id="163" w:name="_Toc207348595"/>
      <w:r>
        <w:t xml:space="preserve">Table </w:t>
      </w:r>
      <w:r w:rsidR="004F27F5">
        <w:fldChar w:fldCharType="begin"/>
      </w:r>
      <w:r w:rsidR="004F27F5">
        <w:instrText xml:space="preserve"> SEQ Table \* ARABIC </w:instrText>
      </w:r>
      <w:r w:rsidR="004F27F5">
        <w:fldChar w:fldCharType="separate"/>
      </w:r>
      <w:r w:rsidR="004F27F5">
        <w:rPr>
          <w:noProof/>
        </w:rPr>
        <w:t>30</w:t>
      </w:r>
      <w:r w:rsidR="004F27F5">
        <w:rPr>
          <w:noProof/>
        </w:rPr>
        <w:fldChar w:fldCharType="end"/>
      </w:r>
      <w:r>
        <w:t xml:space="preserve">: </w:t>
      </w:r>
      <w:r w:rsidRPr="00F312D4">
        <w:t xml:space="preserve">Option 1 </w:t>
      </w:r>
      <w:r>
        <w:t>total number of replacement prostheses required per year by cancer type</w:t>
      </w:r>
      <w:bookmarkEnd w:id="163"/>
    </w:p>
    <w:tbl>
      <w:tblPr>
        <w:tblStyle w:val="KPMGTable"/>
        <w:tblW w:w="10237" w:type="dxa"/>
        <w:tblLayout w:type="fixed"/>
        <w:tblLook w:val="04A0" w:firstRow="1" w:lastRow="0" w:firstColumn="1" w:lastColumn="0" w:noHBand="0" w:noVBand="1"/>
      </w:tblPr>
      <w:tblGrid>
        <w:gridCol w:w="1134"/>
        <w:gridCol w:w="910"/>
        <w:gridCol w:w="910"/>
        <w:gridCol w:w="910"/>
        <w:gridCol w:w="911"/>
        <w:gridCol w:w="910"/>
        <w:gridCol w:w="910"/>
        <w:gridCol w:w="911"/>
        <w:gridCol w:w="910"/>
        <w:gridCol w:w="910"/>
        <w:gridCol w:w="911"/>
      </w:tblGrid>
      <w:tr w:rsidR="00AD6F37" w:rsidRPr="004A4B51" w14:paraId="0B13ADE5" w14:textId="77777777" w:rsidTr="00BC2A48">
        <w:trPr>
          <w:cnfStyle w:val="100000000000" w:firstRow="1" w:lastRow="0" w:firstColumn="0" w:lastColumn="0" w:oddVBand="0" w:evenVBand="0" w:oddHBand="0" w:evenHBand="0" w:firstRowFirstColumn="0" w:firstRowLastColumn="0" w:lastRowFirstColumn="0" w:lastRowLastColumn="0"/>
          <w:trHeight w:val="516"/>
        </w:trPr>
        <w:tc>
          <w:tcPr>
            <w:cnfStyle w:val="001000000000" w:firstRow="0" w:lastRow="0" w:firstColumn="1" w:lastColumn="0" w:oddVBand="0" w:evenVBand="0" w:oddHBand="0" w:evenHBand="0" w:firstRowFirstColumn="0" w:firstRowLastColumn="0" w:lastRowFirstColumn="0" w:lastRowLastColumn="0"/>
            <w:tcW w:w="1134" w:type="dxa"/>
          </w:tcPr>
          <w:p w14:paraId="60BC6B91" w14:textId="6510136A" w:rsidR="00BC2A48" w:rsidRPr="00FD5E24" w:rsidRDefault="00BC2A48" w:rsidP="00BC2A48">
            <w:pPr>
              <w:pStyle w:val="TableHeading"/>
              <w:rPr>
                <w:szCs w:val="18"/>
              </w:rPr>
            </w:pPr>
            <w:r>
              <w:t>Type of cancer</w:t>
            </w:r>
          </w:p>
        </w:tc>
        <w:tc>
          <w:tcPr>
            <w:tcW w:w="910" w:type="dxa"/>
          </w:tcPr>
          <w:p w14:paraId="37777DB5" w14:textId="34C5B063" w:rsidR="00BC2A48" w:rsidRPr="00FD5E24" w:rsidRDefault="00BC2A48" w:rsidP="00BC2A48">
            <w:pPr>
              <w:pStyle w:val="TableHeading"/>
              <w:cnfStyle w:val="100000000000" w:firstRow="1" w:lastRow="0" w:firstColumn="0" w:lastColumn="0" w:oddVBand="0" w:evenVBand="0" w:oddHBand="0" w:evenHBand="0" w:firstRowFirstColumn="0" w:firstRowLastColumn="0" w:lastRowFirstColumn="0" w:lastRowLastColumn="0"/>
              <w:rPr>
                <w:szCs w:val="18"/>
              </w:rPr>
            </w:pPr>
            <w:r>
              <w:t>FY</w:t>
            </w:r>
            <w:r w:rsidRPr="004A4B51">
              <w:t>26/27</w:t>
            </w:r>
          </w:p>
        </w:tc>
        <w:tc>
          <w:tcPr>
            <w:tcW w:w="910" w:type="dxa"/>
          </w:tcPr>
          <w:p w14:paraId="7E1E4F08" w14:textId="1F0C8881" w:rsidR="00BC2A48" w:rsidRPr="00FD5E24" w:rsidRDefault="00BC2A48" w:rsidP="00BC2A48">
            <w:pPr>
              <w:pStyle w:val="TableHeading"/>
              <w:cnfStyle w:val="100000000000" w:firstRow="1" w:lastRow="0" w:firstColumn="0" w:lastColumn="0" w:oddVBand="0" w:evenVBand="0" w:oddHBand="0" w:evenHBand="0" w:firstRowFirstColumn="0" w:firstRowLastColumn="0" w:lastRowFirstColumn="0" w:lastRowLastColumn="0"/>
              <w:rPr>
                <w:szCs w:val="18"/>
              </w:rPr>
            </w:pPr>
            <w:r>
              <w:t>FY</w:t>
            </w:r>
            <w:r w:rsidRPr="004A4B51">
              <w:t>27/28</w:t>
            </w:r>
          </w:p>
        </w:tc>
        <w:tc>
          <w:tcPr>
            <w:tcW w:w="910" w:type="dxa"/>
          </w:tcPr>
          <w:p w14:paraId="6BCAF4A4" w14:textId="3EDD7BBB" w:rsidR="00BC2A48" w:rsidRPr="00FD5E24" w:rsidRDefault="00BC2A48" w:rsidP="00BC2A48">
            <w:pPr>
              <w:pStyle w:val="TableHeading"/>
              <w:cnfStyle w:val="100000000000" w:firstRow="1" w:lastRow="0" w:firstColumn="0" w:lastColumn="0" w:oddVBand="0" w:evenVBand="0" w:oddHBand="0" w:evenHBand="0" w:firstRowFirstColumn="0" w:firstRowLastColumn="0" w:lastRowFirstColumn="0" w:lastRowLastColumn="0"/>
              <w:rPr>
                <w:szCs w:val="18"/>
              </w:rPr>
            </w:pPr>
            <w:r w:rsidRPr="004A4B51">
              <w:t>FY28/29</w:t>
            </w:r>
          </w:p>
        </w:tc>
        <w:tc>
          <w:tcPr>
            <w:tcW w:w="911" w:type="dxa"/>
          </w:tcPr>
          <w:p w14:paraId="641838D4" w14:textId="51E0779E" w:rsidR="00BC2A48" w:rsidRPr="00FD5E24" w:rsidRDefault="00BC2A48" w:rsidP="00BC2A48">
            <w:pPr>
              <w:pStyle w:val="TableHeading"/>
              <w:cnfStyle w:val="100000000000" w:firstRow="1" w:lastRow="0" w:firstColumn="0" w:lastColumn="0" w:oddVBand="0" w:evenVBand="0" w:oddHBand="0" w:evenHBand="0" w:firstRowFirstColumn="0" w:firstRowLastColumn="0" w:lastRowFirstColumn="0" w:lastRowLastColumn="0"/>
              <w:rPr>
                <w:szCs w:val="18"/>
              </w:rPr>
            </w:pPr>
            <w:r w:rsidRPr="004A4B51">
              <w:t>FY29/30</w:t>
            </w:r>
          </w:p>
        </w:tc>
        <w:tc>
          <w:tcPr>
            <w:tcW w:w="910" w:type="dxa"/>
          </w:tcPr>
          <w:p w14:paraId="10490398" w14:textId="2B59DB91" w:rsidR="00BC2A48" w:rsidRPr="00FD5E24" w:rsidRDefault="00BC2A48" w:rsidP="00BC2A48">
            <w:pPr>
              <w:pStyle w:val="TableHeading"/>
              <w:cnfStyle w:val="100000000000" w:firstRow="1" w:lastRow="0" w:firstColumn="0" w:lastColumn="0" w:oddVBand="0" w:evenVBand="0" w:oddHBand="0" w:evenHBand="0" w:firstRowFirstColumn="0" w:firstRowLastColumn="0" w:lastRowFirstColumn="0" w:lastRowLastColumn="0"/>
              <w:rPr>
                <w:szCs w:val="18"/>
              </w:rPr>
            </w:pPr>
            <w:r w:rsidRPr="004A4B51">
              <w:t>FY30/31</w:t>
            </w:r>
          </w:p>
        </w:tc>
        <w:tc>
          <w:tcPr>
            <w:tcW w:w="910" w:type="dxa"/>
          </w:tcPr>
          <w:p w14:paraId="5C1BAB3E" w14:textId="3149041F" w:rsidR="00BC2A48" w:rsidRPr="00FD5E24" w:rsidRDefault="00BC2A48" w:rsidP="00BC2A48">
            <w:pPr>
              <w:pStyle w:val="TableHeading"/>
              <w:cnfStyle w:val="100000000000" w:firstRow="1" w:lastRow="0" w:firstColumn="0" w:lastColumn="0" w:oddVBand="0" w:evenVBand="0" w:oddHBand="0" w:evenHBand="0" w:firstRowFirstColumn="0" w:firstRowLastColumn="0" w:lastRowFirstColumn="0" w:lastRowLastColumn="0"/>
              <w:rPr>
                <w:szCs w:val="18"/>
              </w:rPr>
            </w:pPr>
            <w:r w:rsidRPr="004A4B51">
              <w:t>FY31/32</w:t>
            </w:r>
          </w:p>
        </w:tc>
        <w:tc>
          <w:tcPr>
            <w:tcW w:w="911" w:type="dxa"/>
          </w:tcPr>
          <w:p w14:paraId="2C855F3D" w14:textId="592FE6D0" w:rsidR="00BC2A48" w:rsidRPr="00FD5E24" w:rsidRDefault="00BC2A48" w:rsidP="00BC2A48">
            <w:pPr>
              <w:pStyle w:val="TableHeading"/>
              <w:cnfStyle w:val="100000000000" w:firstRow="1" w:lastRow="0" w:firstColumn="0" w:lastColumn="0" w:oddVBand="0" w:evenVBand="0" w:oddHBand="0" w:evenHBand="0" w:firstRowFirstColumn="0" w:firstRowLastColumn="0" w:lastRowFirstColumn="0" w:lastRowLastColumn="0"/>
              <w:rPr>
                <w:szCs w:val="18"/>
              </w:rPr>
            </w:pPr>
            <w:r w:rsidRPr="004A4B51">
              <w:t>FY32/33</w:t>
            </w:r>
          </w:p>
        </w:tc>
        <w:tc>
          <w:tcPr>
            <w:tcW w:w="910" w:type="dxa"/>
          </w:tcPr>
          <w:p w14:paraId="13A3685A" w14:textId="1DB69354" w:rsidR="00BC2A48" w:rsidRPr="00FD5E24" w:rsidRDefault="00BC2A48" w:rsidP="00BC2A48">
            <w:pPr>
              <w:pStyle w:val="TableHeading"/>
              <w:cnfStyle w:val="100000000000" w:firstRow="1" w:lastRow="0" w:firstColumn="0" w:lastColumn="0" w:oddVBand="0" w:evenVBand="0" w:oddHBand="0" w:evenHBand="0" w:firstRowFirstColumn="0" w:firstRowLastColumn="0" w:lastRowFirstColumn="0" w:lastRowLastColumn="0"/>
              <w:rPr>
                <w:szCs w:val="18"/>
              </w:rPr>
            </w:pPr>
            <w:r w:rsidRPr="004A4B51">
              <w:t>FY33/34</w:t>
            </w:r>
          </w:p>
        </w:tc>
        <w:tc>
          <w:tcPr>
            <w:tcW w:w="910" w:type="dxa"/>
          </w:tcPr>
          <w:p w14:paraId="7EE6F937" w14:textId="003EC839" w:rsidR="00BC2A48" w:rsidRPr="00FD5E24" w:rsidRDefault="00BC2A48" w:rsidP="00BC2A48">
            <w:pPr>
              <w:pStyle w:val="TableHeading"/>
              <w:cnfStyle w:val="100000000000" w:firstRow="1" w:lastRow="0" w:firstColumn="0" w:lastColumn="0" w:oddVBand="0" w:evenVBand="0" w:oddHBand="0" w:evenHBand="0" w:firstRowFirstColumn="0" w:firstRowLastColumn="0" w:lastRowFirstColumn="0" w:lastRowLastColumn="0"/>
              <w:rPr>
                <w:szCs w:val="18"/>
              </w:rPr>
            </w:pPr>
            <w:r w:rsidRPr="004A4B51">
              <w:t>FY34/35</w:t>
            </w:r>
          </w:p>
        </w:tc>
        <w:tc>
          <w:tcPr>
            <w:tcW w:w="911" w:type="dxa"/>
          </w:tcPr>
          <w:p w14:paraId="7DF3BFD8" w14:textId="0393E9DC" w:rsidR="00BC2A48" w:rsidRPr="004A4B51" w:rsidRDefault="00BC2A48" w:rsidP="00BC2A48">
            <w:pPr>
              <w:pStyle w:val="TableHeading"/>
              <w:cnfStyle w:val="100000000000" w:firstRow="1" w:lastRow="0" w:firstColumn="0" w:lastColumn="0" w:oddVBand="0" w:evenVBand="0" w:oddHBand="0" w:evenHBand="0" w:firstRowFirstColumn="0" w:firstRowLastColumn="0" w:lastRowFirstColumn="0" w:lastRowLastColumn="0"/>
              <w:rPr>
                <w:color w:val="000000"/>
                <w:szCs w:val="18"/>
              </w:rPr>
            </w:pPr>
            <w:r w:rsidRPr="004A4B51">
              <w:t>FY35/36</w:t>
            </w:r>
          </w:p>
        </w:tc>
      </w:tr>
      <w:tr w:rsidR="00677ED1" w:rsidRPr="004A4B51" w14:paraId="045D8F98" w14:textId="77777777" w:rsidTr="00BC2A48">
        <w:trPr>
          <w:trHeight w:val="516"/>
        </w:trPr>
        <w:tc>
          <w:tcPr>
            <w:cnfStyle w:val="001000000000" w:firstRow="0" w:lastRow="0" w:firstColumn="1" w:lastColumn="0" w:oddVBand="0" w:evenVBand="0" w:oddHBand="0" w:evenHBand="0" w:firstRowFirstColumn="0" w:firstRowLastColumn="0" w:lastRowFirstColumn="0" w:lastRowLastColumn="0"/>
            <w:tcW w:w="1134" w:type="dxa"/>
          </w:tcPr>
          <w:p w14:paraId="1D30EBB5" w14:textId="4A4712CB" w:rsidR="000F1A47" w:rsidRPr="00FD5E24" w:rsidRDefault="000F1A47" w:rsidP="00BC2A48">
            <w:pPr>
              <w:pStyle w:val="Tabletextbold"/>
            </w:pPr>
            <w:r w:rsidRPr="00FD5E24">
              <w:t xml:space="preserve">Head and neck </w:t>
            </w:r>
            <w:r w:rsidR="003D1C57" w:rsidRPr="00FD5E24">
              <w:t>cancer</w:t>
            </w:r>
          </w:p>
        </w:tc>
        <w:tc>
          <w:tcPr>
            <w:tcW w:w="910" w:type="dxa"/>
          </w:tcPr>
          <w:p w14:paraId="78CF3B71" w14:textId="1078E868" w:rsidR="000F1A47" w:rsidRPr="00FD5E24" w:rsidRDefault="000F1A47" w:rsidP="00BC2A48">
            <w:pPr>
              <w:pStyle w:val="TableText"/>
              <w:cnfStyle w:val="000000000000" w:firstRow="0" w:lastRow="0" w:firstColumn="0" w:lastColumn="0" w:oddVBand="0" w:evenVBand="0" w:oddHBand="0" w:evenHBand="0" w:firstRowFirstColumn="0" w:firstRowLastColumn="0" w:lastRowFirstColumn="0" w:lastRowLastColumn="0"/>
            </w:pPr>
            <w:r w:rsidRPr="00FD5E24">
              <w:t>0</w:t>
            </w:r>
          </w:p>
        </w:tc>
        <w:tc>
          <w:tcPr>
            <w:tcW w:w="910" w:type="dxa"/>
          </w:tcPr>
          <w:p w14:paraId="41286333" w14:textId="0978995A" w:rsidR="000F1A47" w:rsidRPr="00FD5E24" w:rsidRDefault="000F1A47" w:rsidP="00BC2A48">
            <w:pPr>
              <w:pStyle w:val="TableText"/>
              <w:cnfStyle w:val="000000000000" w:firstRow="0" w:lastRow="0" w:firstColumn="0" w:lastColumn="0" w:oddVBand="0" w:evenVBand="0" w:oddHBand="0" w:evenHBand="0" w:firstRowFirstColumn="0" w:firstRowLastColumn="0" w:lastRowFirstColumn="0" w:lastRowLastColumn="0"/>
            </w:pPr>
            <w:r w:rsidRPr="00FD5E24">
              <w:t>0</w:t>
            </w:r>
          </w:p>
        </w:tc>
        <w:tc>
          <w:tcPr>
            <w:tcW w:w="910" w:type="dxa"/>
          </w:tcPr>
          <w:p w14:paraId="45726CD3" w14:textId="729FD4AE" w:rsidR="000F1A47" w:rsidRPr="00FD5E24" w:rsidRDefault="000F1A47" w:rsidP="00BC2A48">
            <w:pPr>
              <w:pStyle w:val="TableText"/>
              <w:cnfStyle w:val="000000000000" w:firstRow="0" w:lastRow="0" w:firstColumn="0" w:lastColumn="0" w:oddVBand="0" w:evenVBand="0" w:oddHBand="0" w:evenHBand="0" w:firstRowFirstColumn="0" w:firstRowLastColumn="0" w:lastRowFirstColumn="0" w:lastRowLastColumn="0"/>
            </w:pPr>
            <w:r w:rsidRPr="00FD5E24">
              <w:t>0</w:t>
            </w:r>
          </w:p>
        </w:tc>
        <w:tc>
          <w:tcPr>
            <w:tcW w:w="911" w:type="dxa"/>
          </w:tcPr>
          <w:p w14:paraId="51C5B790" w14:textId="34D0A78E" w:rsidR="000F1A47" w:rsidRPr="00FD5E24" w:rsidRDefault="000F1A47" w:rsidP="00BC2A48">
            <w:pPr>
              <w:pStyle w:val="TableText"/>
              <w:cnfStyle w:val="000000000000" w:firstRow="0" w:lastRow="0" w:firstColumn="0" w:lastColumn="0" w:oddVBand="0" w:evenVBand="0" w:oddHBand="0" w:evenHBand="0" w:firstRowFirstColumn="0" w:firstRowLastColumn="0" w:lastRowFirstColumn="0" w:lastRowLastColumn="0"/>
            </w:pPr>
            <w:r w:rsidRPr="00FD5E24">
              <w:t>199</w:t>
            </w:r>
          </w:p>
        </w:tc>
        <w:tc>
          <w:tcPr>
            <w:tcW w:w="910" w:type="dxa"/>
          </w:tcPr>
          <w:p w14:paraId="291FF225" w14:textId="43B8CED3" w:rsidR="000F1A47" w:rsidRPr="00FD5E24" w:rsidRDefault="000F1A47" w:rsidP="00BC2A48">
            <w:pPr>
              <w:pStyle w:val="TableText"/>
              <w:cnfStyle w:val="000000000000" w:firstRow="0" w:lastRow="0" w:firstColumn="0" w:lastColumn="0" w:oddVBand="0" w:evenVBand="0" w:oddHBand="0" w:evenHBand="0" w:firstRowFirstColumn="0" w:firstRowLastColumn="0" w:lastRowFirstColumn="0" w:lastRowLastColumn="0"/>
            </w:pPr>
            <w:r w:rsidRPr="00FD5E24">
              <w:t>202</w:t>
            </w:r>
          </w:p>
        </w:tc>
        <w:tc>
          <w:tcPr>
            <w:tcW w:w="910" w:type="dxa"/>
          </w:tcPr>
          <w:p w14:paraId="49993F52" w14:textId="23E33F22" w:rsidR="000F1A47" w:rsidRPr="00FD5E24" w:rsidRDefault="000F1A47" w:rsidP="00BC2A48">
            <w:pPr>
              <w:pStyle w:val="TableText"/>
              <w:cnfStyle w:val="000000000000" w:firstRow="0" w:lastRow="0" w:firstColumn="0" w:lastColumn="0" w:oddVBand="0" w:evenVBand="0" w:oddHBand="0" w:evenHBand="0" w:firstRowFirstColumn="0" w:firstRowLastColumn="0" w:lastRowFirstColumn="0" w:lastRowLastColumn="0"/>
            </w:pPr>
            <w:r w:rsidRPr="00FD5E24">
              <w:t>205</w:t>
            </w:r>
          </w:p>
        </w:tc>
        <w:tc>
          <w:tcPr>
            <w:tcW w:w="911" w:type="dxa"/>
          </w:tcPr>
          <w:p w14:paraId="171F0A61" w14:textId="5FF9C3F5" w:rsidR="000F1A47" w:rsidRPr="00FD5E24" w:rsidRDefault="000F1A47" w:rsidP="00BC2A48">
            <w:pPr>
              <w:pStyle w:val="TableText"/>
              <w:cnfStyle w:val="000000000000" w:firstRow="0" w:lastRow="0" w:firstColumn="0" w:lastColumn="0" w:oddVBand="0" w:evenVBand="0" w:oddHBand="0" w:evenHBand="0" w:firstRowFirstColumn="0" w:firstRowLastColumn="0" w:lastRowFirstColumn="0" w:lastRowLastColumn="0"/>
            </w:pPr>
            <w:r w:rsidRPr="00FD5E24">
              <w:t>143</w:t>
            </w:r>
          </w:p>
        </w:tc>
        <w:tc>
          <w:tcPr>
            <w:tcW w:w="910" w:type="dxa"/>
          </w:tcPr>
          <w:p w14:paraId="1CDDD9B2" w14:textId="0BDF6839" w:rsidR="000F1A47" w:rsidRPr="00FD5E24" w:rsidRDefault="000F1A47" w:rsidP="00BC2A48">
            <w:pPr>
              <w:pStyle w:val="TableText"/>
              <w:cnfStyle w:val="000000000000" w:firstRow="0" w:lastRow="0" w:firstColumn="0" w:lastColumn="0" w:oddVBand="0" w:evenVBand="0" w:oddHBand="0" w:evenHBand="0" w:firstRowFirstColumn="0" w:firstRowLastColumn="0" w:lastRowFirstColumn="0" w:lastRowLastColumn="0"/>
            </w:pPr>
            <w:r w:rsidRPr="00FD5E24">
              <w:t>145</w:t>
            </w:r>
          </w:p>
        </w:tc>
        <w:tc>
          <w:tcPr>
            <w:tcW w:w="910" w:type="dxa"/>
          </w:tcPr>
          <w:p w14:paraId="05F54CD2" w14:textId="14ADFA7F" w:rsidR="000F1A47" w:rsidRPr="00FD5E24" w:rsidRDefault="000F1A47" w:rsidP="00BC2A48">
            <w:pPr>
              <w:pStyle w:val="TableText"/>
              <w:cnfStyle w:val="000000000000" w:firstRow="0" w:lastRow="0" w:firstColumn="0" w:lastColumn="0" w:oddVBand="0" w:evenVBand="0" w:oddHBand="0" w:evenHBand="0" w:firstRowFirstColumn="0" w:firstRowLastColumn="0" w:lastRowFirstColumn="0" w:lastRowLastColumn="0"/>
            </w:pPr>
            <w:r w:rsidRPr="00FD5E24">
              <w:t>147</w:t>
            </w:r>
          </w:p>
        </w:tc>
        <w:tc>
          <w:tcPr>
            <w:tcW w:w="911" w:type="dxa"/>
          </w:tcPr>
          <w:p w14:paraId="2E90CEE2" w14:textId="716F9EEB" w:rsidR="000F1A47" w:rsidRPr="004A4B51" w:rsidRDefault="000F1A47" w:rsidP="00BC2A48">
            <w:pPr>
              <w:pStyle w:val="TableText"/>
              <w:cnfStyle w:val="000000000000" w:firstRow="0" w:lastRow="0" w:firstColumn="0" w:lastColumn="0" w:oddVBand="0" w:evenVBand="0" w:oddHBand="0" w:evenHBand="0" w:firstRowFirstColumn="0" w:firstRowLastColumn="0" w:lastRowFirstColumn="0" w:lastRowLastColumn="0"/>
              <w:rPr>
                <w:color w:val="000000"/>
              </w:rPr>
            </w:pPr>
            <w:r w:rsidRPr="004A4B51">
              <w:rPr>
                <w:color w:val="000000"/>
              </w:rPr>
              <w:t>103</w:t>
            </w:r>
          </w:p>
        </w:tc>
      </w:tr>
      <w:tr w:rsidR="00677ED1" w:rsidRPr="004A4B51" w14:paraId="39728CDF" w14:textId="77777777" w:rsidTr="00BC2A48">
        <w:trPr>
          <w:trHeight w:val="516"/>
        </w:trPr>
        <w:tc>
          <w:tcPr>
            <w:cnfStyle w:val="001000000000" w:firstRow="0" w:lastRow="0" w:firstColumn="1" w:lastColumn="0" w:oddVBand="0" w:evenVBand="0" w:oddHBand="0" w:evenHBand="0" w:firstRowFirstColumn="0" w:firstRowLastColumn="0" w:lastRowFirstColumn="0" w:lastRowLastColumn="0"/>
            <w:tcW w:w="1134" w:type="dxa"/>
          </w:tcPr>
          <w:p w14:paraId="66A7D05C" w14:textId="31FF9BB6" w:rsidR="000F1A47" w:rsidRPr="00FD5E24" w:rsidRDefault="00D47848" w:rsidP="00BC2A48">
            <w:pPr>
              <w:pStyle w:val="Tabletextbold"/>
            </w:pPr>
            <w:r w:rsidRPr="00FD5E24">
              <w:t>Eye cancer</w:t>
            </w:r>
          </w:p>
        </w:tc>
        <w:tc>
          <w:tcPr>
            <w:tcW w:w="910" w:type="dxa"/>
          </w:tcPr>
          <w:p w14:paraId="4EF1526E" w14:textId="78AEFFE2" w:rsidR="000F1A47" w:rsidRPr="00FD5E24" w:rsidRDefault="000F1A47" w:rsidP="00BC2A48">
            <w:pPr>
              <w:pStyle w:val="TableText"/>
              <w:cnfStyle w:val="000000000000" w:firstRow="0" w:lastRow="0" w:firstColumn="0" w:lastColumn="0" w:oddVBand="0" w:evenVBand="0" w:oddHBand="0" w:evenHBand="0" w:firstRowFirstColumn="0" w:firstRowLastColumn="0" w:lastRowFirstColumn="0" w:lastRowLastColumn="0"/>
            </w:pPr>
            <w:r w:rsidRPr="00FD5E24">
              <w:t>0</w:t>
            </w:r>
          </w:p>
        </w:tc>
        <w:tc>
          <w:tcPr>
            <w:tcW w:w="910" w:type="dxa"/>
          </w:tcPr>
          <w:p w14:paraId="1AF42D37" w14:textId="6C9B77DC" w:rsidR="000F1A47" w:rsidRPr="00FD5E24" w:rsidRDefault="000F1A47" w:rsidP="00BC2A48">
            <w:pPr>
              <w:pStyle w:val="TableText"/>
              <w:cnfStyle w:val="000000000000" w:firstRow="0" w:lastRow="0" w:firstColumn="0" w:lastColumn="0" w:oddVBand="0" w:evenVBand="0" w:oddHBand="0" w:evenHBand="0" w:firstRowFirstColumn="0" w:firstRowLastColumn="0" w:lastRowFirstColumn="0" w:lastRowLastColumn="0"/>
            </w:pPr>
            <w:r w:rsidRPr="00FD5E24">
              <w:t>0</w:t>
            </w:r>
          </w:p>
        </w:tc>
        <w:tc>
          <w:tcPr>
            <w:tcW w:w="910" w:type="dxa"/>
          </w:tcPr>
          <w:p w14:paraId="247755FF" w14:textId="23522F61" w:rsidR="000F1A47" w:rsidRPr="00FD5E24" w:rsidRDefault="000F1A47" w:rsidP="00BC2A48">
            <w:pPr>
              <w:pStyle w:val="TableText"/>
              <w:cnfStyle w:val="000000000000" w:firstRow="0" w:lastRow="0" w:firstColumn="0" w:lastColumn="0" w:oddVBand="0" w:evenVBand="0" w:oddHBand="0" w:evenHBand="0" w:firstRowFirstColumn="0" w:firstRowLastColumn="0" w:lastRowFirstColumn="0" w:lastRowLastColumn="0"/>
            </w:pPr>
            <w:r w:rsidRPr="00FD5E24">
              <w:t>0</w:t>
            </w:r>
          </w:p>
        </w:tc>
        <w:tc>
          <w:tcPr>
            <w:tcW w:w="911" w:type="dxa"/>
          </w:tcPr>
          <w:p w14:paraId="112AE843" w14:textId="5F2D7BF4" w:rsidR="000F1A47" w:rsidRPr="00FD5E24" w:rsidRDefault="00D47848" w:rsidP="00BC2A48">
            <w:pPr>
              <w:pStyle w:val="TableText"/>
              <w:cnfStyle w:val="000000000000" w:firstRow="0" w:lastRow="0" w:firstColumn="0" w:lastColumn="0" w:oddVBand="0" w:evenVBand="0" w:oddHBand="0" w:evenHBand="0" w:firstRowFirstColumn="0" w:firstRowLastColumn="0" w:lastRowFirstColumn="0" w:lastRowLastColumn="0"/>
            </w:pPr>
            <w:r w:rsidRPr="00FD5E24">
              <w:t>117</w:t>
            </w:r>
          </w:p>
        </w:tc>
        <w:tc>
          <w:tcPr>
            <w:tcW w:w="910" w:type="dxa"/>
          </w:tcPr>
          <w:p w14:paraId="361D16E6" w14:textId="6EF919B4" w:rsidR="000F1A47" w:rsidRPr="00FD5E24" w:rsidRDefault="00D47848" w:rsidP="00BC2A48">
            <w:pPr>
              <w:pStyle w:val="TableText"/>
              <w:cnfStyle w:val="000000000000" w:firstRow="0" w:lastRow="0" w:firstColumn="0" w:lastColumn="0" w:oddVBand="0" w:evenVBand="0" w:oddHBand="0" w:evenHBand="0" w:firstRowFirstColumn="0" w:firstRowLastColumn="0" w:lastRowFirstColumn="0" w:lastRowLastColumn="0"/>
            </w:pPr>
            <w:r w:rsidRPr="00FD5E24">
              <w:t>119</w:t>
            </w:r>
          </w:p>
        </w:tc>
        <w:tc>
          <w:tcPr>
            <w:tcW w:w="910" w:type="dxa"/>
          </w:tcPr>
          <w:p w14:paraId="1504571D" w14:textId="655BF4F7" w:rsidR="000F1A47" w:rsidRPr="00FD5E24" w:rsidRDefault="00D47848" w:rsidP="00BC2A48">
            <w:pPr>
              <w:pStyle w:val="TableText"/>
              <w:cnfStyle w:val="000000000000" w:firstRow="0" w:lastRow="0" w:firstColumn="0" w:lastColumn="0" w:oddVBand="0" w:evenVBand="0" w:oddHBand="0" w:evenHBand="0" w:firstRowFirstColumn="0" w:firstRowLastColumn="0" w:lastRowFirstColumn="0" w:lastRowLastColumn="0"/>
            </w:pPr>
            <w:r w:rsidRPr="00FD5E24">
              <w:t>120</w:t>
            </w:r>
          </w:p>
        </w:tc>
        <w:tc>
          <w:tcPr>
            <w:tcW w:w="911" w:type="dxa"/>
          </w:tcPr>
          <w:p w14:paraId="628EBA0A" w14:textId="13D19B33" w:rsidR="000F1A47" w:rsidRPr="00FD5E24" w:rsidRDefault="00D47848" w:rsidP="00BC2A48">
            <w:pPr>
              <w:pStyle w:val="TableText"/>
              <w:cnfStyle w:val="000000000000" w:firstRow="0" w:lastRow="0" w:firstColumn="0" w:lastColumn="0" w:oddVBand="0" w:evenVBand="0" w:oddHBand="0" w:evenHBand="0" w:firstRowFirstColumn="0" w:firstRowLastColumn="0" w:lastRowFirstColumn="0" w:lastRowLastColumn="0"/>
            </w:pPr>
            <w:r w:rsidRPr="00FD5E24">
              <w:t>93</w:t>
            </w:r>
          </w:p>
        </w:tc>
        <w:tc>
          <w:tcPr>
            <w:tcW w:w="910" w:type="dxa"/>
          </w:tcPr>
          <w:p w14:paraId="18840EEA" w14:textId="6B3BA37B" w:rsidR="000F1A47" w:rsidRPr="00FD5E24" w:rsidRDefault="00D47848" w:rsidP="00BC2A48">
            <w:pPr>
              <w:pStyle w:val="TableText"/>
              <w:cnfStyle w:val="000000000000" w:firstRow="0" w:lastRow="0" w:firstColumn="0" w:lastColumn="0" w:oddVBand="0" w:evenVBand="0" w:oddHBand="0" w:evenHBand="0" w:firstRowFirstColumn="0" w:firstRowLastColumn="0" w:lastRowFirstColumn="0" w:lastRowLastColumn="0"/>
            </w:pPr>
            <w:r w:rsidRPr="00FD5E24">
              <w:t>94</w:t>
            </w:r>
          </w:p>
        </w:tc>
        <w:tc>
          <w:tcPr>
            <w:tcW w:w="910" w:type="dxa"/>
          </w:tcPr>
          <w:p w14:paraId="1D3CF576" w14:textId="69FB891C" w:rsidR="000F1A47" w:rsidRPr="00FD5E24" w:rsidRDefault="00D47848" w:rsidP="00BC2A48">
            <w:pPr>
              <w:pStyle w:val="TableText"/>
              <w:cnfStyle w:val="000000000000" w:firstRow="0" w:lastRow="0" w:firstColumn="0" w:lastColumn="0" w:oddVBand="0" w:evenVBand="0" w:oddHBand="0" w:evenHBand="0" w:firstRowFirstColumn="0" w:firstRowLastColumn="0" w:lastRowFirstColumn="0" w:lastRowLastColumn="0"/>
            </w:pPr>
            <w:r w:rsidRPr="00FD5E24">
              <w:t>96</w:t>
            </w:r>
          </w:p>
        </w:tc>
        <w:tc>
          <w:tcPr>
            <w:tcW w:w="911" w:type="dxa"/>
          </w:tcPr>
          <w:p w14:paraId="46A16A29" w14:textId="71C7F8DF" w:rsidR="000F1A47" w:rsidRPr="004A4B51" w:rsidRDefault="00D47848" w:rsidP="00BC2A48">
            <w:pPr>
              <w:pStyle w:val="TableText"/>
              <w:cnfStyle w:val="000000000000" w:firstRow="0" w:lastRow="0" w:firstColumn="0" w:lastColumn="0" w:oddVBand="0" w:evenVBand="0" w:oddHBand="0" w:evenHBand="0" w:firstRowFirstColumn="0" w:firstRowLastColumn="0" w:lastRowFirstColumn="0" w:lastRowLastColumn="0"/>
              <w:rPr>
                <w:color w:val="000000"/>
              </w:rPr>
            </w:pPr>
            <w:r w:rsidRPr="004A4B51">
              <w:rPr>
                <w:color w:val="000000"/>
              </w:rPr>
              <w:t>79</w:t>
            </w:r>
          </w:p>
        </w:tc>
      </w:tr>
      <w:tr w:rsidR="00677ED1" w:rsidRPr="004A4B51" w14:paraId="6DC9BCD3" w14:textId="77777777" w:rsidTr="00BC2A48">
        <w:trPr>
          <w:trHeight w:val="516"/>
        </w:trPr>
        <w:tc>
          <w:tcPr>
            <w:cnfStyle w:val="001000000000" w:firstRow="0" w:lastRow="0" w:firstColumn="1" w:lastColumn="0" w:oddVBand="0" w:evenVBand="0" w:oddHBand="0" w:evenHBand="0" w:firstRowFirstColumn="0" w:firstRowLastColumn="0" w:lastRowFirstColumn="0" w:lastRowLastColumn="0"/>
            <w:tcW w:w="1134" w:type="dxa"/>
          </w:tcPr>
          <w:p w14:paraId="48651F70" w14:textId="77777777" w:rsidR="00D47848" w:rsidRPr="00FD5E24" w:rsidRDefault="00D47848" w:rsidP="00BC2A48">
            <w:pPr>
              <w:pStyle w:val="Tabletextbold"/>
            </w:pPr>
            <w:r w:rsidRPr="00FD5E24">
              <w:t>Facial melanoma</w:t>
            </w:r>
          </w:p>
        </w:tc>
        <w:tc>
          <w:tcPr>
            <w:tcW w:w="910" w:type="dxa"/>
          </w:tcPr>
          <w:p w14:paraId="6A73E41A" w14:textId="77777777" w:rsidR="00D47848" w:rsidRPr="00FD5E24" w:rsidRDefault="00D47848" w:rsidP="00BC2A48">
            <w:pPr>
              <w:pStyle w:val="TableText"/>
              <w:cnfStyle w:val="000000000000" w:firstRow="0" w:lastRow="0" w:firstColumn="0" w:lastColumn="0" w:oddVBand="0" w:evenVBand="0" w:oddHBand="0" w:evenHBand="0" w:firstRowFirstColumn="0" w:firstRowLastColumn="0" w:lastRowFirstColumn="0" w:lastRowLastColumn="0"/>
            </w:pPr>
            <w:r w:rsidRPr="00FD5E24">
              <w:t>0</w:t>
            </w:r>
          </w:p>
        </w:tc>
        <w:tc>
          <w:tcPr>
            <w:tcW w:w="910" w:type="dxa"/>
          </w:tcPr>
          <w:p w14:paraId="7B02A02B" w14:textId="77777777" w:rsidR="00D47848" w:rsidRPr="00FD5E24" w:rsidRDefault="00D47848" w:rsidP="00BC2A48">
            <w:pPr>
              <w:pStyle w:val="TableText"/>
              <w:cnfStyle w:val="000000000000" w:firstRow="0" w:lastRow="0" w:firstColumn="0" w:lastColumn="0" w:oddVBand="0" w:evenVBand="0" w:oddHBand="0" w:evenHBand="0" w:firstRowFirstColumn="0" w:firstRowLastColumn="0" w:lastRowFirstColumn="0" w:lastRowLastColumn="0"/>
            </w:pPr>
            <w:r w:rsidRPr="00FD5E24">
              <w:t>0</w:t>
            </w:r>
          </w:p>
        </w:tc>
        <w:tc>
          <w:tcPr>
            <w:tcW w:w="910" w:type="dxa"/>
          </w:tcPr>
          <w:p w14:paraId="2EC792F3" w14:textId="77777777" w:rsidR="00D47848" w:rsidRPr="00FD5E24" w:rsidRDefault="00D47848" w:rsidP="00BC2A48">
            <w:pPr>
              <w:pStyle w:val="TableText"/>
              <w:cnfStyle w:val="000000000000" w:firstRow="0" w:lastRow="0" w:firstColumn="0" w:lastColumn="0" w:oddVBand="0" w:evenVBand="0" w:oddHBand="0" w:evenHBand="0" w:firstRowFirstColumn="0" w:firstRowLastColumn="0" w:lastRowFirstColumn="0" w:lastRowLastColumn="0"/>
            </w:pPr>
            <w:r w:rsidRPr="00FD5E24">
              <w:t>0</w:t>
            </w:r>
          </w:p>
        </w:tc>
        <w:tc>
          <w:tcPr>
            <w:tcW w:w="911" w:type="dxa"/>
          </w:tcPr>
          <w:p w14:paraId="395D3B89" w14:textId="77777777" w:rsidR="00D47848" w:rsidRPr="00FD5E24" w:rsidRDefault="00D47848" w:rsidP="00BC2A48">
            <w:pPr>
              <w:pStyle w:val="TableText"/>
              <w:cnfStyle w:val="000000000000" w:firstRow="0" w:lastRow="0" w:firstColumn="0" w:lastColumn="0" w:oddVBand="0" w:evenVBand="0" w:oddHBand="0" w:evenHBand="0" w:firstRowFirstColumn="0" w:firstRowLastColumn="0" w:lastRowFirstColumn="0" w:lastRowLastColumn="0"/>
            </w:pPr>
            <w:r w:rsidRPr="00FD5E24">
              <w:t>146</w:t>
            </w:r>
          </w:p>
        </w:tc>
        <w:tc>
          <w:tcPr>
            <w:tcW w:w="910" w:type="dxa"/>
          </w:tcPr>
          <w:p w14:paraId="48C1C6A5" w14:textId="77777777" w:rsidR="00D47848" w:rsidRPr="00FD5E24" w:rsidRDefault="00D47848" w:rsidP="00BC2A48">
            <w:pPr>
              <w:pStyle w:val="TableText"/>
              <w:cnfStyle w:val="000000000000" w:firstRow="0" w:lastRow="0" w:firstColumn="0" w:lastColumn="0" w:oddVBand="0" w:evenVBand="0" w:oddHBand="0" w:evenHBand="0" w:firstRowFirstColumn="0" w:firstRowLastColumn="0" w:lastRowFirstColumn="0" w:lastRowLastColumn="0"/>
            </w:pPr>
            <w:r w:rsidRPr="00FD5E24">
              <w:t>148</w:t>
            </w:r>
          </w:p>
        </w:tc>
        <w:tc>
          <w:tcPr>
            <w:tcW w:w="910" w:type="dxa"/>
          </w:tcPr>
          <w:p w14:paraId="4CEE738B" w14:textId="77777777" w:rsidR="00D47848" w:rsidRPr="00FD5E24" w:rsidRDefault="00D47848" w:rsidP="00BC2A48">
            <w:pPr>
              <w:pStyle w:val="TableText"/>
              <w:cnfStyle w:val="000000000000" w:firstRow="0" w:lastRow="0" w:firstColumn="0" w:lastColumn="0" w:oddVBand="0" w:evenVBand="0" w:oddHBand="0" w:evenHBand="0" w:firstRowFirstColumn="0" w:firstRowLastColumn="0" w:lastRowFirstColumn="0" w:lastRowLastColumn="0"/>
            </w:pPr>
            <w:r w:rsidRPr="00FD5E24">
              <w:t>150</w:t>
            </w:r>
          </w:p>
        </w:tc>
        <w:tc>
          <w:tcPr>
            <w:tcW w:w="911" w:type="dxa"/>
          </w:tcPr>
          <w:p w14:paraId="72D37FE6" w14:textId="77777777" w:rsidR="00D47848" w:rsidRPr="00FD5E24" w:rsidRDefault="00D47848" w:rsidP="00BC2A48">
            <w:pPr>
              <w:pStyle w:val="TableText"/>
              <w:cnfStyle w:val="000000000000" w:firstRow="0" w:lastRow="0" w:firstColumn="0" w:lastColumn="0" w:oddVBand="0" w:evenVBand="0" w:oddHBand="0" w:evenHBand="0" w:firstRowFirstColumn="0" w:firstRowLastColumn="0" w:lastRowFirstColumn="0" w:lastRowLastColumn="0"/>
            </w:pPr>
            <w:r w:rsidRPr="00FD5E24">
              <w:t>137</w:t>
            </w:r>
          </w:p>
        </w:tc>
        <w:tc>
          <w:tcPr>
            <w:tcW w:w="910" w:type="dxa"/>
          </w:tcPr>
          <w:p w14:paraId="36DE83AE" w14:textId="77777777" w:rsidR="00D47848" w:rsidRPr="00FD5E24" w:rsidRDefault="00D47848" w:rsidP="00BC2A48">
            <w:pPr>
              <w:pStyle w:val="TableText"/>
              <w:cnfStyle w:val="000000000000" w:firstRow="0" w:lastRow="0" w:firstColumn="0" w:lastColumn="0" w:oddVBand="0" w:evenVBand="0" w:oddHBand="0" w:evenHBand="0" w:firstRowFirstColumn="0" w:firstRowLastColumn="0" w:lastRowFirstColumn="0" w:lastRowLastColumn="0"/>
            </w:pPr>
            <w:r w:rsidRPr="00FD5E24">
              <w:t>139</w:t>
            </w:r>
          </w:p>
        </w:tc>
        <w:tc>
          <w:tcPr>
            <w:tcW w:w="910" w:type="dxa"/>
          </w:tcPr>
          <w:p w14:paraId="116E7E0F" w14:textId="77777777" w:rsidR="00D47848" w:rsidRPr="00FD5E24" w:rsidRDefault="00D47848" w:rsidP="00BC2A48">
            <w:pPr>
              <w:pStyle w:val="TableText"/>
              <w:cnfStyle w:val="000000000000" w:firstRow="0" w:lastRow="0" w:firstColumn="0" w:lastColumn="0" w:oddVBand="0" w:evenVBand="0" w:oddHBand="0" w:evenHBand="0" w:firstRowFirstColumn="0" w:firstRowLastColumn="0" w:lastRowFirstColumn="0" w:lastRowLastColumn="0"/>
            </w:pPr>
            <w:r w:rsidRPr="00FD5E24">
              <w:t>141</w:t>
            </w:r>
          </w:p>
        </w:tc>
        <w:tc>
          <w:tcPr>
            <w:tcW w:w="911" w:type="dxa"/>
          </w:tcPr>
          <w:p w14:paraId="56E6C2BD" w14:textId="77777777" w:rsidR="00D47848" w:rsidRPr="004A4B51" w:rsidRDefault="00D47848" w:rsidP="00BC2A48">
            <w:pPr>
              <w:pStyle w:val="TableText"/>
              <w:cnfStyle w:val="000000000000" w:firstRow="0" w:lastRow="0" w:firstColumn="0" w:lastColumn="0" w:oddVBand="0" w:evenVBand="0" w:oddHBand="0" w:evenHBand="0" w:firstRowFirstColumn="0" w:firstRowLastColumn="0" w:lastRowFirstColumn="0" w:lastRowLastColumn="0"/>
              <w:rPr>
                <w:color w:val="000000"/>
              </w:rPr>
            </w:pPr>
            <w:r w:rsidRPr="004A4B51">
              <w:rPr>
                <w:color w:val="000000"/>
              </w:rPr>
              <w:t>129</w:t>
            </w:r>
          </w:p>
        </w:tc>
      </w:tr>
      <w:tr w:rsidR="00677ED1" w:rsidRPr="004A4B51" w14:paraId="42E9112C" w14:textId="77777777" w:rsidTr="00BC2A48">
        <w:trPr>
          <w:trHeight w:val="346"/>
        </w:trPr>
        <w:tc>
          <w:tcPr>
            <w:cnfStyle w:val="001000000000" w:firstRow="0" w:lastRow="0" w:firstColumn="1" w:lastColumn="0" w:oddVBand="0" w:evenVBand="0" w:oddHBand="0" w:evenHBand="0" w:firstRowFirstColumn="0" w:firstRowLastColumn="0" w:lastRowFirstColumn="0" w:lastRowLastColumn="0"/>
            <w:tcW w:w="1134" w:type="dxa"/>
          </w:tcPr>
          <w:p w14:paraId="3635E301" w14:textId="40A604DE" w:rsidR="004A7BE1" w:rsidRPr="00FD5E24" w:rsidRDefault="000F1A47" w:rsidP="00BC2A48">
            <w:pPr>
              <w:pStyle w:val="Tabletextbold"/>
              <w:rPr>
                <w:b/>
              </w:rPr>
            </w:pPr>
            <w:r w:rsidRPr="00FD5E24">
              <w:rPr>
                <w:b/>
              </w:rPr>
              <w:t>Total</w:t>
            </w:r>
          </w:p>
        </w:tc>
        <w:tc>
          <w:tcPr>
            <w:tcW w:w="910" w:type="dxa"/>
          </w:tcPr>
          <w:p w14:paraId="4C5278DA" w14:textId="208ED185" w:rsidR="004A7BE1" w:rsidRPr="00FD5E24" w:rsidRDefault="004A7BE1" w:rsidP="00BC2A48">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FD5E24">
              <w:rPr>
                <w:rFonts w:cstheme="minorHAnsi"/>
                <w:szCs w:val="18"/>
              </w:rPr>
              <w:t>0</w:t>
            </w:r>
          </w:p>
        </w:tc>
        <w:tc>
          <w:tcPr>
            <w:tcW w:w="910" w:type="dxa"/>
          </w:tcPr>
          <w:p w14:paraId="12F314B8" w14:textId="2208A460" w:rsidR="004A7BE1" w:rsidRPr="00FD5E24" w:rsidRDefault="004A7BE1" w:rsidP="00BC2A48">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FD5E24">
              <w:rPr>
                <w:rFonts w:cstheme="minorHAnsi"/>
                <w:szCs w:val="18"/>
              </w:rPr>
              <w:t>0</w:t>
            </w:r>
          </w:p>
        </w:tc>
        <w:tc>
          <w:tcPr>
            <w:tcW w:w="910" w:type="dxa"/>
          </w:tcPr>
          <w:p w14:paraId="126EA24D" w14:textId="4096AE2C" w:rsidR="004A7BE1" w:rsidRPr="00FD5E24" w:rsidRDefault="004A7BE1" w:rsidP="00BC2A48">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FD5E24">
              <w:rPr>
                <w:rFonts w:cstheme="minorHAnsi"/>
                <w:szCs w:val="18"/>
              </w:rPr>
              <w:t>0</w:t>
            </w:r>
          </w:p>
        </w:tc>
        <w:tc>
          <w:tcPr>
            <w:tcW w:w="911" w:type="dxa"/>
          </w:tcPr>
          <w:p w14:paraId="39551414" w14:textId="6FA4A9C5" w:rsidR="004A7BE1" w:rsidRPr="00FD5E24" w:rsidRDefault="004A7BE1" w:rsidP="00BC2A48">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FD5E24">
              <w:rPr>
                <w:rFonts w:cstheme="minorHAnsi"/>
                <w:szCs w:val="18"/>
              </w:rPr>
              <w:t>462</w:t>
            </w:r>
          </w:p>
        </w:tc>
        <w:tc>
          <w:tcPr>
            <w:tcW w:w="910" w:type="dxa"/>
          </w:tcPr>
          <w:p w14:paraId="0FF00E46" w14:textId="1B11D7F7" w:rsidR="004A7BE1" w:rsidRPr="00FD5E24" w:rsidRDefault="004A7BE1" w:rsidP="00BC2A48">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FD5E24">
              <w:rPr>
                <w:rFonts w:cstheme="minorHAnsi"/>
                <w:szCs w:val="18"/>
              </w:rPr>
              <w:t>469</w:t>
            </w:r>
          </w:p>
        </w:tc>
        <w:tc>
          <w:tcPr>
            <w:tcW w:w="910" w:type="dxa"/>
          </w:tcPr>
          <w:p w14:paraId="07604017" w14:textId="1696D9B4" w:rsidR="004A7BE1" w:rsidRPr="00FD5E24" w:rsidRDefault="004A7BE1" w:rsidP="00BC2A48">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FD5E24">
              <w:rPr>
                <w:rFonts w:cstheme="minorHAnsi"/>
                <w:szCs w:val="18"/>
              </w:rPr>
              <w:t>475</w:t>
            </w:r>
          </w:p>
        </w:tc>
        <w:tc>
          <w:tcPr>
            <w:tcW w:w="911" w:type="dxa"/>
          </w:tcPr>
          <w:p w14:paraId="12876FBA" w14:textId="342A7FFF" w:rsidR="004A7BE1" w:rsidRPr="00FD5E24" w:rsidRDefault="004A7BE1" w:rsidP="00BC2A48">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FD5E24">
              <w:rPr>
                <w:rFonts w:cstheme="minorHAnsi"/>
                <w:szCs w:val="18"/>
              </w:rPr>
              <w:t>374</w:t>
            </w:r>
          </w:p>
        </w:tc>
        <w:tc>
          <w:tcPr>
            <w:tcW w:w="910" w:type="dxa"/>
          </w:tcPr>
          <w:p w14:paraId="70D5DCFA" w14:textId="5D7D168D" w:rsidR="004A7BE1" w:rsidRPr="00FD5E24" w:rsidRDefault="004A7BE1" w:rsidP="00BC2A48">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FD5E24">
              <w:rPr>
                <w:rFonts w:cstheme="minorHAnsi"/>
                <w:szCs w:val="18"/>
              </w:rPr>
              <w:t>379</w:t>
            </w:r>
          </w:p>
        </w:tc>
        <w:tc>
          <w:tcPr>
            <w:tcW w:w="910" w:type="dxa"/>
          </w:tcPr>
          <w:p w14:paraId="578B5BAE" w14:textId="22D712EA" w:rsidR="004A7BE1" w:rsidRPr="00FD5E24" w:rsidRDefault="004A7BE1" w:rsidP="00BC2A48">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FD5E24">
              <w:rPr>
                <w:rFonts w:cstheme="minorHAnsi"/>
                <w:szCs w:val="18"/>
              </w:rPr>
              <w:t>384</w:t>
            </w:r>
          </w:p>
        </w:tc>
        <w:tc>
          <w:tcPr>
            <w:tcW w:w="911" w:type="dxa"/>
          </w:tcPr>
          <w:p w14:paraId="1848FB9A" w14:textId="2FFD5FDE" w:rsidR="004A7BE1" w:rsidRPr="000F1A47" w:rsidRDefault="004A7BE1" w:rsidP="00BC2A48">
            <w:pPr>
              <w:pStyle w:val="Tabletextbold"/>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0F1A47">
              <w:rPr>
                <w:rFonts w:cstheme="minorHAnsi"/>
                <w:color w:val="000000"/>
                <w:szCs w:val="18"/>
              </w:rPr>
              <w:t>311</w:t>
            </w:r>
          </w:p>
        </w:tc>
      </w:tr>
    </w:tbl>
    <w:p w14:paraId="14C02494" w14:textId="5B42E247" w:rsidR="00BC2A48" w:rsidRDefault="00BC2A48" w:rsidP="00BC2A48">
      <w:pPr>
        <w:pStyle w:val="Caption-Source"/>
      </w:pPr>
      <w:r w:rsidRPr="00C00C68">
        <w:t xml:space="preserve">Source: </w:t>
      </w:r>
      <w:r w:rsidR="0044544E" w:rsidRPr="0044544E">
        <w:t>Independent reviewer</w:t>
      </w:r>
      <w:r>
        <w:t xml:space="preserve"> (</w:t>
      </w:r>
      <w:r w:rsidRPr="00C00C68">
        <w:t>2025</w:t>
      </w:r>
      <w:r>
        <w:t>)</w:t>
      </w:r>
    </w:p>
    <w:p w14:paraId="70C07BF8" w14:textId="77777777" w:rsidR="0044544E" w:rsidRDefault="0044544E" w:rsidP="00C76D17">
      <w:bookmarkStart w:id="164" w:name="_Toc207348596"/>
      <w:r>
        <w:br w:type="page"/>
      </w:r>
    </w:p>
    <w:p w14:paraId="31A5BED0" w14:textId="4F3649F8" w:rsidR="008A45A2" w:rsidRDefault="008A45A2" w:rsidP="008A45A2">
      <w:pPr>
        <w:pStyle w:val="Caption"/>
      </w:pPr>
      <w:r>
        <w:t xml:space="preserve">Table </w:t>
      </w:r>
      <w:r w:rsidR="004F27F5">
        <w:fldChar w:fldCharType="begin"/>
      </w:r>
      <w:r w:rsidR="004F27F5">
        <w:instrText xml:space="preserve"> SEQ Table \* ARABIC </w:instrText>
      </w:r>
      <w:r w:rsidR="004F27F5">
        <w:fldChar w:fldCharType="separate"/>
      </w:r>
      <w:r w:rsidR="004F27F5">
        <w:rPr>
          <w:noProof/>
        </w:rPr>
        <w:t>31</w:t>
      </w:r>
      <w:r w:rsidR="004F27F5">
        <w:rPr>
          <w:noProof/>
        </w:rPr>
        <w:fldChar w:fldCharType="end"/>
      </w:r>
      <w:r>
        <w:t xml:space="preserve">: </w:t>
      </w:r>
      <w:r w:rsidRPr="000209F7">
        <w:t>Option 1</w:t>
      </w:r>
      <w:r>
        <w:t xml:space="preserve"> total cost per year</w:t>
      </w:r>
      <w:bookmarkEnd w:id="164"/>
    </w:p>
    <w:tbl>
      <w:tblPr>
        <w:tblStyle w:val="KPMGTable"/>
        <w:tblW w:w="10237" w:type="dxa"/>
        <w:tblLayout w:type="fixed"/>
        <w:tblLook w:val="04A0" w:firstRow="1" w:lastRow="0" w:firstColumn="1" w:lastColumn="0" w:noHBand="0" w:noVBand="1"/>
      </w:tblPr>
      <w:tblGrid>
        <w:gridCol w:w="1134"/>
        <w:gridCol w:w="910"/>
        <w:gridCol w:w="910"/>
        <w:gridCol w:w="910"/>
        <w:gridCol w:w="911"/>
        <w:gridCol w:w="910"/>
        <w:gridCol w:w="910"/>
        <w:gridCol w:w="911"/>
        <w:gridCol w:w="910"/>
        <w:gridCol w:w="910"/>
        <w:gridCol w:w="911"/>
      </w:tblGrid>
      <w:tr w:rsidR="00AD6F37" w:rsidRPr="004A4B51" w14:paraId="2A3315F9" w14:textId="77777777" w:rsidTr="0044544E">
        <w:trPr>
          <w:cnfStyle w:val="100000000000" w:firstRow="1" w:lastRow="0" w:firstColumn="0" w:lastColumn="0" w:oddVBand="0" w:evenVBand="0" w:oddHBand="0" w:evenHBand="0" w:firstRowFirstColumn="0" w:firstRowLastColumn="0" w:lastRowFirstColumn="0" w:lastRowLastColumn="0"/>
          <w:trHeight w:val="854"/>
          <w:tblHeader/>
        </w:trPr>
        <w:tc>
          <w:tcPr>
            <w:cnfStyle w:val="001000000000" w:firstRow="0" w:lastRow="0" w:firstColumn="1" w:lastColumn="0" w:oddVBand="0" w:evenVBand="0" w:oddHBand="0" w:evenHBand="0" w:firstRowFirstColumn="0" w:firstRowLastColumn="0" w:lastRowFirstColumn="0" w:lastRowLastColumn="0"/>
            <w:tcW w:w="1134" w:type="dxa"/>
          </w:tcPr>
          <w:p w14:paraId="05D384F9" w14:textId="02DB8471" w:rsidR="008A45A2" w:rsidRPr="00FD5E24" w:rsidRDefault="008A45A2" w:rsidP="008A45A2">
            <w:pPr>
              <w:pStyle w:val="TableHeading"/>
              <w:rPr>
                <w:szCs w:val="18"/>
              </w:rPr>
            </w:pPr>
            <w:r>
              <w:t>Type of cancer</w:t>
            </w:r>
          </w:p>
        </w:tc>
        <w:tc>
          <w:tcPr>
            <w:tcW w:w="910" w:type="dxa"/>
          </w:tcPr>
          <w:p w14:paraId="1EA103A0" w14:textId="3A749C7C" w:rsidR="008A45A2" w:rsidRPr="00FD5E24" w:rsidRDefault="008A45A2" w:rsidP="008A45A2">
            <w:pPr>
              <w:pStyle w:val="TableHeading"/>
              <w:cnfStyle w:val="100000000000" w:firstRow="1" w:lastRow="0" w:firstColumn="0" w:lastColumn="0" w:oddVBand="0" w:evenVBand="0" w:oddHBand="0" w:evenHBand="0" w:firstRowFirstColumn="0" w:firstRowLastColumn="0" w:lastRowFirstColumn="0" w:lastRowLastColumn="0"/>
              <w:rPr>
                <w:rFonts w:cs="Arial"/>
                <w:szCs w:val="18"/>
              </w:rPr>
            </w:pPr>
            <w:r>
              <w:t>FY</w:t>
            </w:r>
            <w:r w:rsidRPr="004A4B51">
              <w:t>26/27</w:t>
            </w:r>
          </w:p>
        </w:tc>
        <w:tc>
          <w:tcPr>
            <w:tcW w:w="910" w:type="dxa"/>
          </w:tcPr>
          <w:p w14:paraId="2214C953" w14:textId="26A41070" w:rsidR="008A45A2" w:rsidRPr="00FD5E24" w:rsidRDefault="008A45A2" w:rsidP="008A45A2">
            <w:pPr>
              <w:pStyle w:val="TableHeading"/>
              <w:cnfStyle w:val="100000000000" w:firstRow="1" w:lastRow="0" w:firstColumn="0" w:lastColumn="0" w:oddVBand="0" w:evenVBand="0" w:oddHBand="0" w:evenHBand="0" w:firstRowFirstColumn="0" w:firstRowLastColumn="0" w:lastRowFirstColumn="0" w:lastRowLastColumn="0"/>
              <w:rPr>
                <w:rFonts w:cs="Arial"/>
                <w:szCs w:val="18"/>
              </w:rPr>
            </w:pPr>
            <w:r>
              <w:t>FY</w:t>
            </w:r>
            <w:r w:rsidRPr="004A4B51">
              <w:t>27/28</w:t>
            </w:r>
          </w:p>
        </w:tc>
        <w:tc>
          <w:tcPr>
            <w:tcW w:w="910" w:type="dxa"/>
          </w:tcPr>
          <w:p w14:paraId="127C3179" w14:textId="7F176124" w:rsidR="008A45A2" w:rsidRPr="00FD5E24" w:rsidRDefault="008A45A2" w:rsidP="008A45A2">
            <w:pPr>
              <w:pStyle w:val="TableHeading"/>
              <w:cnfStyle w:val="100000000000" w:firstRow="1" w:lastRow="0" w:firstColumn="0" w:lastColumn="0" w:oddVBand="0" w:evenVBand="0" w:oddHBand="0" w:evenHBand="0" w:firstRowFirstColumn="0" w:firstRowLastColumn="0" w:lastRowFirstColumn="0" w:lastRowLastColumn="0"/>
              <w:rPr>
                <w:rFonts w:cs="Arial"/>
                <w:szCs w:val="18"/>
              </w:rPr>
            </w:pPr>
            <w:r w:rsidRPr="004A4B51">
              <w:t>FY28/29</w:t>
            </w:r>
          </w:p>
        </w:tc>
        <w:tc>
          <w:tcPr>
            <w:tcW w:w="911" w:type="dxa"/>
          </w:tcPr>
          <w:p w14:paraId="4182AAE6" w14:textId="3EF694B8" w:rsidR="008A45A2" w:rsidRPr="00FD5E24" w:rsidRDefault="008A45A2" w:rsidP="008A45A2">
            <w:pPr>
              <w:pStyle w:val="TableHeading"/>
              <w:cnfStyle w:val="100000000000" w:firstRow="1" w:lastRow="0" w:firstColumn="0" w:lastColumn="0" w:oddVBand="0" w:evenVBand="0" w:oddHBand="0" w:evenHBand="0" w:firstRowFirstColumn="0" w:firstRowLastColumn="0" w:lastRowFirstColumn="0" w:lastRowLastColumn="0"/>
              <w:rPr>
                <w:rFonts w:cs="Arial"/>
                <w:szCs w:val="18"/>
              </w:rPr>
            </w:pPr>
            <w:r w:rsidRPr="004A4B51">
              <w:t>FY29/30</w:t>
            </w:r>
          </w:p>
        </w:tc>
        <w:tc>
          <w:tcPr>
            <w:tcW w:w="910" w:type="dxa"/>
          </w:tcPr>
          <w:p w14:paraId="4CE31F62" w14:textId="14B42D64" w:rsidR="008A45A2" w:rsidRPr="00FD5E24" w:rsidRDefault="008A45A2" w:rsidP="008A45A2">
            <w:pPr>
              <w:pStyle w:val="TableHeading"/>
              <w:cnfStyle w:val="100000000000" w:firstRow="1" w:lastRow="0" w:firstColumn="0" w:lastColumn="0" w:oddVBand="0" w:evenVBand="0" w:oddHBand="0" w:evenHBand="0" w:firstRowFirstColumn="0" w:firstRowLastColumn="0" w:lastRowFirstColumn="0" w:lastRowLastColumn="0"/>
              <w:rPr>
                <w:rFonts w:cs="Arial"/>
                <w:szCs w:val="18"/>
              </w:rPr>
            </w:pPr>
            <w:r w:rsidRPr="004A4B51">
              <w:t>FY30/31</w:t>
            </w:r>
          </w:p>
        </w:tc>
        <w:tc>
          <w:tcPr>
            <w:tcW w:w="910" w:type="dxa"/>
          </w:tcPr>
          <w:p w14:paraId="4037C6AC" w14:textId="5F3E00EF" w:rsidR="008A45A2" w:rsidRPr="00FD5E24" w:rsidRDefault="008A45A2" w:rsidP="008A45A2">
            <w:pPr>
              <w:pStyle w:val="TableHeading"/>
              <w:cnfStyle w:val="100000000000" w:firstRow="1" w:lastRow="0" w:firstColumn="0" w:lastColumn="0" w:oddVBand="0" w:evenVBand="0" w:oddHBand="0" w:evenHBand="0" w:firstRowFirstColumn="0" w:firstRowLastColumn="0" w:lastRowFirstColumn="0" w:lastRowLastColumn="0"/>
              <w:rPr>
                <w:rFonts w:cs="Arial"/>
                <w:szCs w:val="18"/>
              </w:rPr>
            </w:pPr>
            <w:r w:rsidRPr="004A4B51">
              <w:t>FY31/32</w:t>
            </w:r>
          </w:p>
        </w:tc>
        <w:tc>
          <w:tcPr>
            <w:tcW w:w="911" w:type="dxa"/>
          </w:tcPr>
          <w:p w14:paraId="36CD86AE" w14:textId="68B6C616" w:rsidR="008A45A2" w:rsidRPr="00FD5E24" w:rsidRDefault="008A45A2" w:rsidP="008A45A2">
            <w:pPr>
              <w:pStyle w:val="TableHeading"/>
              <w:cnfStyle w:val="100000000000" w:firstRow="1" w:lastRow="0" w:firstColumn="0" w:lastColumn="0" w:oddVBand="0" w:evenVBand="0" w:oddHBand="0" w:evenHBand="0" w:firstRowFirstColumn="0" w:firstRowLastColumn="0" w:lastRowFirstColumn="0" w:lastRowLastColumn="0"/>
              <w:rPr>
                <w:rFonts w:cs="Arial"/>
                <w:szCs w:val="18"/>
              </w:rPr>
            </w:pPr>
            <w:r w:rsidRPr="004A4B51">
              <w:t>FY32/33</w:t>
            </w:r>
          </w:p>
        </w:tc>
        <w:tc>
          <w:tcPr>
            <w:tcW w:w="910" w:type="dxa"/>
          </w:tcPr>
          <w:p w14:paraId="05B4A505" w14:textId="46DA1E19" w:rsidR="008A45A2" w:rsidRPr="00FD5E24" w:rsidRDefault="008A45A2" w:rsidP="008A45A2">
            <w:pPr>
              <w:pStyle w:val="TableHeading"/>
              <w:cnfStyle w:val="100000000000" w:firstRow="1" w:lastRow="0" w:firstColumn="0" w:lastColumn="0" w:oddVBand="0" w:evenVBand="0" w:oddHBand="0" w:evenHBand="0" w:firstRowFirstColumn="0" w:firstRowLastColumn="0" w:lastRowFirstColumn="0" w:lastRowLastColumn="0"/>
              <w:rPr>
                <w:rFonts w:cs="Arial"/>
                <w:szCs w:val="18"/>
              </w:rPr>
            </w:pPr>
            <w:r w:rsidRPr="004A4B51">
              <w:t>FY33/34</w:t>
            </w:r>
          </w:p>
        </w:tc>
        <w:tc>
          <w:tcPr>
            <w:tcW w:w="910" w:type="dxa"/>
          </w:tcPr>
          <w:p w14:paraId="7E2B6231" w14:textId="38C17255" w:rsidR="008A45A2" w:rsidRPr="00FD5E24" w:rsidRDefault="008A45A2" w:rsidP="008A45A2">
            <w:pPr>
              <w:pStyle w:val="TableHeading"/>
              <w:cnfStyle w:val="100000000000" w:firstRow="1" w:lastRow="0" w:firstColumn="0" w:lastColumn="0" w:oddVBand="0" w:evenVBand="0" w:oddHBand="0" w:evenHBand="0" w:firstRowFirstColumn="0" w:firstRowLastColumn="0" w:lastRowFirstColumn="0" w:lastRowLastColumn="0"/>
              <w:rPr>
                <w:rFonts w:cs="Arial"/>
                <w:szCs w:val="18"/>
              </w:rPr>
            </w:pPr>
            <w:r w:rsidRPr="004A4B51">
              <w:t>FY34/35</w:t>
            </w:r>
          </w:p>
        </w:tc>
        <w:tc>
          <w:tcPr>
            <w:tcW w:w="911" w:type="dxa"/>
          </w:tcPr>
          <w:p w14:paraId="6162E68A" w14:textId="704C0B21" w:rsidR="008A45A2" w:rsidRPr="00F41C7C" w:rsidRDefault="008A45A2" w:rsidP="008A45A2">
            <w:pPr>
              <w:pStyle w:val="TableHeading"/>
              <w:cnfStyle w:val="100000000000" w:firstRow="1" w:lastRow="0" w:firstColumn="0" w:lastColumn="0" w:oddVBand="0" w:evenVBand="0" w:oddHBand="0" w:evenHBand="0" w:firstRowFirstColumn="0" w:firstRowLastColumn="0" w:lastRowFirstColumn="0" w:lastRowLastColumn="0"/>
              <w:rPr>
                <w:rFonts w:cs="Arial"/>
                <w:color w:val="000000"/>
                <w:szCs w:val="18"/>
              </w:rPr>
            </w:pPr>
            <w:r w:rsidRPr="004A4B51">
              <w:t>FY35/36</w:t>
            </w:r>
          </w:p>
        </w:tc>
      </w:tr>
      <w:tr w:rsidR="00677ED1" w:rsidRPr="004A4B51" w14:paraId="1A1B7284" w14:textId="77777777" w:rsidTr="008A45A2">
        <w:trPr>
          <w:trHeight w:val="854"/>
        </w:trPr>
        <w:tc>
          <w:tcPr>
            <w:cnfStyle w:val="001000000000" w:firstRow="0" w:lastRow="0" w:firstColumn="1" w:lastColumn="0" w:oddVBand="0" w:evenVBand="0" w:oddHBand="0" w:evenHBand="0" w:firstRowFirstColumn="0" w:firstRowLastColumn="0" w:lastRowFirstColumn="0" w:lastRowLastColumn="0"/>
            <w:tcW w:w="1134" w:type="dxa"/>
          </w:tcPr>
          <w:p w14:paraId="4E2EBAAC" w14:textId="5829BAD7" w:rsidR="003C3FDD" w:rsidRPr="00FD5E24" w:rsidRDefault="00C00C68" w:rsidP="008A45A2">
            <w:pPr>
              <w:pStyle w:val="Tabletextbold"/>
            </w:pPr>
            <w:r w:rsidRPr="00FD5E24">
              <w:t>N</w:t>
            </w:r>
            <w:r w:rsidR="003C3FDD" w:rsidRPr="00FD5E24">
              <w:t xml:space="preserve">ew prostheses </w:t>
            </w:r>
            <w:r w:rsidR="00A20BDA" w:rsidRPr="00FD5E24">
              <w:br/>
            </w:r>
            <w:r w:rsidR="003C3FDD" w:rsidRPr="00FD5E24">
              <w:t>($, millions)</w:t>
            </w:r>
          </w:p>
        </w:tc>
        <w:tc>
          <w:tcPr>
            <w:tcW w:w="910" w:type="dxa"/>
          </w:tcPr>
          <w:p w14:paraId="71BC2AD4" w14:textId="4C8B5A8F" w:rsidR="003C3FDD" w:rsidRPr="00FD5E24" w:rsidRDefault="003C3FDD" w:rsidP="008A45A2">
            <w:pPr>
              <w:pStyle w:val="TableText"/>
              <w:cnfStyle w:val="000000000000" w:firstRow="0" w:lastRow="0" w:firstColumn="0" w:lastColumn="0" w:oddVBand="0" w:evenVBand="0" w:oddHBand="0" w:evenHBand="0" w:firstRowFirstColumn="0" w:firstRowLastColumn="0" w:lastRowFirstColumn="0" w:lastRowLastColumn="0"/>
              <w:rPr>
                <w:b/>
              </w:rPr>
            </w:pPr>
            <w:r w:rsidRPr="00FD5E24">
              <w:t>$2.91</w:t>
            </w:r>
          </w:p>
        </w:tc>
        <w:tc>
          <w:tcPr>
            <w:tcW w:w="910" w:type="dxa"/>
          </w:tcPr>
          <w:p w14:paraId="5AC3F8C1" w14:textId="4C3F6C2A" w:rsidR="003C3FDD" w:rsidRPr="00FD5E24" w:rsidRDefault="003C3FDD" w:rsidP="008A45A2">
            <w:pPr>
              <w:pStyle w:val="TableText"/>
              <w:cnfStyle w:val="000000000000" w:firstRow="0" w:lastRow="0" w:firstColumn="0" w:lastColumn="0" w:oddVBand="0" w:evenVBand="0" w:oddHBand="0" w:evenHBand="0" w:firstRowFirstColumn="0" w:firstRowLastColumn="0" w:lastRowFirstColumn="0" w:lastRowLastColumn="0"/>
              <w:rPr>
                <w:b/>
              </w:rPr>
            </w:pPr>
            <w:r w:rsidRPr="00FD5E24">
              <w:t>$3.</w:t>
            </w:r>
            <w:r w:rsidR="007B4028" w:rsidRPr="00FD5E24">
              <w:t>14</w:t>
            </w:r>
          </w:p>
        </w:tc>
        <w:tc>
          <w:tcPr>
            <w:tcW w:w="910" w:type="dxa"/>
          </w:tcPr>
          <w:p w14:paraId="2B2AFA20" w14:textId="0B41C252" w:rsidR="003C3FDD" w:rsidRPr="00FD5E24" w:rsidRDefault="003C3FDD" w:rsidP="008A45A2">
            <w:pPr>
              <w:pStyle w:val="TableText"/>
              <w:cnfStyle w:val="000000000000" w:firstRow="0" w:lastRow="0" w:firstColumn="0" w:lastColumn="0" w:oddVBand="0" w:evenVBand="0" w:oddHBand="0" w:evenHBand="0" w:firstRowFirstColumn="0" w:firstRowLastColumn="0" w:lastRowFirstColumn="0" w:lastRowLastColumn="0"/>
              <w:rPr>
                <w:b/>
              </w:rPr>
            </w:pPr>
            <w:r w:rsidRPr="00FD5E24">
              <w:t>$3.</w:t>
            </w:r>
            <w:r w:rsidR="007B4028" w:rsidRPr="00FD5E24">
              <w:t>27</w:t>
            </w:r>
          </w:p>
        </w:tc>
        <w:tc>
          <w:tcPr>
            <w:tcW w:w="911" w:type="dxa"/>
          </w:tcPr>
          <w:p w14:paraId="2ACA7AB0" w14:textId="41FACD40" w:rsidR="003C3FDD" w:rsidRPr="00FD5E24" w:rsidRDefault="003C3FDD" w:rsidP="008A45A2">
            <w:pPr>
              <w:pStyle w:val="TableText"/>
              <w:cnfStyle w:val="000000000000" w:firstRow="0" w:lastRow="0" w:firstColumn="0" w:lastColumn="0" w:oddVBand="0" w:evenVBand="0" w:oddHBand="0" w:evenHBand="0" w:firstRowFirstColumn="0" w:firstRowLastColumn="0" w:lastRowFirstColumn="0" w:lastRowLastColumn="0"/>
              <w:rPr>
                <w:b/>
              </w:rPr>
            </w:pPr>
            <w:r w:rsidRPr="00FD5E24">
              <w:t>$3.42</w:t>
            </w:r>
          </w:p>
        </w:tc>
        <w:tc>
          <w:tcPr>
            <w:tcW w:w="910" w:type="dxa"/>
          </w:tcPr>
          <w:p w14:paraId="34D17C58" w14:textId="2BC286E6" w:rsidR="003C3FDD" w:rsidRPr="00FD5E24" w:rsidRDefault="003C3FDD" w:rsidP="008A45A2">
            <w:pPr>
              <w:pStyle w:val="TableText"/>
              <w:cnfStyle w:val="000000000000" w:firstRow="0" w:lastRow="0" w:firstColumn="0" w:lastColumn="0" w:oddVBand="0" w:evenVBand="0" w:oddHBand="0" w:evenHBand="0" w:firstRowFirstColumn="0" w:firstRowLastColumn="0" w:lastRowFirstColumn="0" w:lastRowLastColumn="0"/>
              <w:rPr>
                <w:b/>
              </w:rPr>
            </w:pPr>
            <w:r w:rsidRPr="00FD5E24">
              <w:t>$3.</w:t>
            </w:r>
            <w:r w:rsidR="007B4028" w:rsidRPr="00FD5E24">
              <w:t>56</w:t>
            </w:r>
          </w:p>
        </w:tc>
        <w:tc>
          <w:tcPr>
            <w:tcW w:w="910" w:type="dxa"/>
          </w:tcPr>
          <w:p w14:paraId="639BFD9B" w14:textId="7007C4E2" w:rsidR="003C3FDD" w:rsidRPr="00FD5E24" w:rsidRDefault="003C3FDD" w:rsidP="008A45A2">
            <w:pPr>
              <w:pStyle w:val="TableText"/>
              <w:cnfStyle w:val="000000000000" w:firstRow="0" w:lastRow="0" w:firstColumn="0" w:lastColumn="0" w:oddVBand="0" w:evenVBand="0" w:oddHBand="0" w:evenHBand="0" w:firstRowFirstColumn="0" w:firstRowLastColumn="0" w:lastRowFirstColumn="0" w:lastRowLastColumn="0"/>
              <w:rPr>
                <w:b/>
              </w:rPr>
            </w:pPr>
            <w:r w:rsidRPr="00FD5E24">
              <w:t>$3.</w:t>
            </w:r>
            <w:r w:rsidR="007B4028" w:rsidRPr="00FD5E24">
              <w:t>71</w:t>
            </w:r>
          </w:p>
        </w:tc>
        <w:tc>
          <w:tcPr>
            <w:tcW w:w="911" w:type="dxa"/>
          </w:tcPr>
          <w:p w14:paraId="725D01A4" w14:textId="5CBAD946" w:rsidR="003C3FDD" w:rsidRPr="00FD5E24" w:rsidRDefault="003C3FDD" w:rsidP="008A45A2">
            <w:pPr>
              <w:pStyle w:val="TableText"/>
              <w:cnfStyle w:val="000000000000" w:firstRow="0" w:lastRow="0" w:firstColumn="0" w:lastColumn="0" w:oddVBand="0" w:evenVBand="0" w:oddHBand="0" w:evenHBand="0" w:firstRowFirstColumn="0" w:firstRowLastColumn="0" w:lastRowFirstColumn="0" w:lastRowLastColumn="0"/>
              <w:rPr>
                <w:b/>
              </w:rPr>
            </w:pPr>
            <w:r w:rsidRPr="00FD5E24">
              <w:t>$3.</w:t>
            </w:r>
            <w:r w:rsidR="007B4028" w:rsidRPr="00FD5E24">
              <w:t>86</w:t>
            </w:r>
          </w:p>
        </w:tc>
        <w:tc>
          <w:tcPr>
            <w:tcW w:w="910" w:type="dxa"/>
          </w:tcPr>
          <w:p w14:paraId="7514E4B7" w14:textId="1222DC35" w:rsidR="003C3FDD" w:rsidRPr="00FD5E24" w:rsidRDefault="003C3FDD" w:rsidP="008A45A2">
            <w:pPr>
              <w:pStyle w:val="TableText"/>
              <w:cnfStyle w:val="000000000000" w:firstRow="0" w:lastRow="0" w:firstColumn="0" w:lastColumn="0" w:oddVBand="0" w:evenVBand="0" w:oddHBand="0" w:evenHBand="0" w:firstRowFirstColumn="0" w:firstRowLastColumn="0" w:lastRowFirstColumn="0" w:lastRowLastColumn="0"/>
              <w:rPr>
                <w:b/>
              </w:rPr>
            </w:pPr>
            <w:r w:rsidRPr="00FD5E24">
              <w:t>$4.</w:t>
            </w:r>
            <w:r w:rsidR="007B4028" w:rsidRPr="00FD5E24">
              <w:t>02</w:t>
            </w:r>
          </w:p>
        </w:tc>
        <w:tc>
          <w:tcPr>
            <w:tcW w:w="910" w:type="dxa"/>
          </w:tcPr>
          <w:p w14:paraId="3D972F4D" w14:textId="1F35AE55" w:rsidR="003C3FDD" w:rsidRPr="00FD5E24" w:rsidRDefault="003C3FDD" w:rsidP="008A45A2">
            <w:pPr>
              <w:pStyle w:val="TableText"/>
              <w:cnfStyle w:val="000000000000" w:firstRow="0" w:lastRow="0" w:firstColumn="0" w:lastColumn="0" w:oddVBand="0" w:evenVBand="0" w:oddHBand="0" w:evenHBand="0" w:firstRowFirstColumn="0" w:firstRowLastColumn="0" w:lastRowFirstColumn="0" w:lastRowLastColumn="0"/>
              <w:rPr>
                <w:b/>
              </w:rPr>
            </w:pPr>
            <w:r w:rsidRPr="00FD5E24">
              <w:t>$4.</w:t>
            </w:r>
            <w:r w:rsidR="007B4028" w:rsidRPr="00FD5E24">
              <w:t>18</w:t>
            </w:r>
          </w:p>
        </w:tc>
        <w:tc>
          <w:tcPr>
            <w:tcW w:w="911" w:type="dxa"/>
          </w:tcPr>
          <w:p w14:paraId="6BFE6952" w14:textId="31E0DCB6" w:rsidR="003C3FDD" w:rsidRPr="00F41C7C" w:rsidRDefault="003C3FDD" w:rsidP="008A45A2">
            <w:pPr>
              <w:pStyle w:val="TableText"/>
              <w:cnfStyle w:val="000000000000" w:firstRow="0" w:lastRow="0" w:firstColumn="0" w:lastColumn="0" w:oddVBand="0" w:evenVBand="0" w:oddHBand="0" w:evenHBand="0" w:firstRowFirstColumn="0" w:firstRowLastColumn="0" w:lastRowFirstColumn="0" w:lastRowLastColumn="0"/>
              <w:rPr>
                <w:b/>
                <w:color w:val="000000"/>
              </w:rPr>
            </w:pPr>
            <w:r w:rsidRPr="00F41C7C">
              <w:rPr>
                <w:color w:val="000000"/>
              </w:rPr>
              <w:t>$4.</w:t>
            </w:r>
            <w:r w:rsidR="007B4028" w:rsidRPr="00F41C7C">
              <w:rPr>
                <w:color w:val="000000"/>
              </w:rPr>
              <w:t>35</w:t>
            </w:r>
          </w:p>
        </w:tc>
      </w:tr>
      <w:tr w:rsidR="00677ED1" w:rsidRPr="004A4B51" w14:paraId="7FFE4C84" w14:textId="77777777" w:rsidTr="008A45A2">
        <w:trPr>
          <w:trHeight w:val="854"/>
        </w:trPr>
        <w:tc>
          <w:tcPr>
            <w:cnfStyle w:val="001000000000" w:firstRow="0" w:lastRow="0" w:firstColumn="1" w:lastColumn="0" w:oddVBand="0" w:evenVBand="0" w:oddHBand="0" w:evenHBand="0" w:firstRowFirstColumn="0" w:firstRowLastColumn="0" w:lastRowFirstColumn="0" w:lastRowLastColumn="0"/>
            <w:tcW w:w="1134" w:type="dxa"/>
          </w:tcPr>
          <w:p w14:paraId="7D90295C" w14:textId="7A79C69F" w:rsidR="003C3FDD" w:rsidRPr="00FD5E24" w:rsidRDefault="003C3FDD" w:rsidP="008A45A2">
            <w:pPr>
              <w:pStyle w:val="Tabletextbold"/>
            </w:pPr>
            <w:r w:rsidRPr="00FD5E24">
              <w:t>Replacement</w:t>
            </w:r>
            <w:r w:rsidR="00C00C68" w:rsidRPr="00FD5E24">
              <w:t>s</w:t>
            </w:r>
            <w:r w:rsidR="00A20BDA" w:rsidRPr="00FD5E24">
              <w:t>/</w:t>
            </w:r>
            <w:r w:rsidRPr="00FD5E24">
              <w:t xml:space="preserve"> maintenance </w:t>
            </w:r>
            <w:r w:rsidR="00C00C68" w:rsidRPr="00FD5E24">
              <w:br/>
            </w:r>
            <w:r w:rsidRPr="00FD5E24">
              <w:t>($, millions)</w:t>
            </w:r>
          </w:p>
        </w:tc>
        <w:tc>
          <w:tcPr>
            <w:tcW w:w="910" w:type="dxa"/>
          </w:tcPr>
          <w:p w14:paraId="1E8FACAE" w14:textId="2C0BFE8F" w:rsidR="003C3FDD" w:rsidRPr="00FD5E24" w:rsidRDefault="003C3FDD" w:rsidP="008A45A2">
            <w:pPr>
              <w:pStyle w:val="TableText"/>
              <w:cnfStyle w:val="000000000000" w:firstRow="0" w:lastRow="0" w:firstColumn="0" w:lastColumn="0" w:oddVBand="0" w:evenVBand="0" w:oddHBand="0" w:evenHBand="0" w:firstRowFirstColumn="0" w:firstRowLastColumn="0" w:lastRowFirstColumn="0" w:lastRowLastColumn="0"/>
              <w:rPr>
                <w:b/>
              </w:rPr>
            </w:pPr>
            <w:r w:rsidRPr="00FD5E24">
              <w:t>$0.00</w:t>
            </w:r>
          </w:p>
        </w:tc>
        <w:tc>
          <w:tcPr>
            <w:tcW w:w="910" w:type="dxa"/>
          </w:tcPr>
          <w:p w14:paraId="08E0453D" w14:textId="6331791B" w:rsidR="003C3FDD" w:rsidRPr="00FD5E24" w:rsidRDefault="003C3FDD" w:rsidP="008A45A2">
            <w:pPr>
              <w:pStyle w:val="TableText"/>
              <w:cnfStyle w:val="000000000000" w:firstRow="0" w:lastRow="0" w:firstColumn="0" w:lastColumn="0" w:oddVBand="0" w:evenVBand="0" w:oddHBand="0" w:evenHBand="0" w:firstRowFirstColumn="0" w:firstRowLastColumn="0" w:lastRowFirstColumn="0" w:lastRowLastColumn="0"/>
              <w:rPr>
                <w:b/>
              </w:rPr>
            </w:pPr>
            <w:r w:rsidRPr="00FD5E24">
              <w:t>$0.04</w:t>
            </w:r>
          </w:p>
        </w:tc>
        <w:tc>
          <w:tcPr>
            <w:tcW w:w="910" w:type="dxa"/>
          </w:tcPr>
          <w:p w14:paraId="1ECCE737" w14:textId="7BFFF3BF" w:rsidR="003C3FDD" w:rsidRPr="00FD5E24" w:rsidRDefault="003C3FDD" w:rsidP="008A45A2">
            <w:pPr>
              <w:pStyle w:val="TableText"/>
              <w:cnfStyle w:val="000000000000" w:firstRow="0" w:lastRow="0" w:firstColumn="0" w:lastColumn="0" w:oddVBand="0" w:evenVBand="0" w:oddHBand="0" w:evenHBand="0" w:firstRowFirstColumn="0" w:firstRowLastColumn="0" w:lastRowFirstColumn="0" w:lastRowLastColumn="0"/>
              <w:rPr>
                <w:b/>
              </w:rPr>
            </w:pPr>
            <w:r w:rsidRPr="00FD5E24">
              <w:t>$0.05</w:t>
            </w:r>
          </w:p>
        </w:tc>
        <w:tc>
          <w:tcPr>
            <w:tcW w:w="911" w:type="dxa"/>
          </w:tcPr>
          <w:p w14:paraId="35CEE958" w14:textId="2536D8A8" w:rsidR="003C3FDD" w:rsidRPr="00FD5E24" w:rsidRDefault="003C3FDD" w:rsidP="008A45A2">
            <w:pPr>
              <w:pStyle w:val="TableText"/>
              <w:cnfStyle w:val="000000000000" w:firstRow="0" w:lastRow="0" w:firstColumn="0" w:lastColumn="0" w:oddVBand="0" w:evenVBand="0" w:oddHBand="0" w:evenHBand="0" w:firstRowFirstColumn="0" w:firstRowLastColumn="0" w:lastRowFirstColumn="0" w:lastRowLastColumn="0"/>
              <w:rPr>
                <w:b/>
              </w:rPr>
            </w:pPr>
            <w:r w:rsidRPr="00FD5E24">
              <w:t>$2.22</w:t>
            </w:r>
          </w:p>
        </w:tc>
        <w:tc>
          <w:tcPr>
            <w:tcW w:w="910" w:type="dxa"/>
          </w:tcPr>
          <w:p w14:paraId="5DDAAFEE" w14:textId="2FE6C196" w:rsidR="003C3FDD" w:rsidRPr="00FD5E24" w:rsidRDefault="003C3FDD" w:rsidP="008A45A2">
            <w:pPr>
              <w:pStyle w:val="TableText"/>
              <w:cnfStyle w:val="000000000000" w:firstRow="0" w:lastRow="0" w:firstColumn="0" w:lastColumn="0" w:oddVBand="0" w:evenVBand="0" w:oddHBand="0" w:evenHBand="0" w:firstRowFirstColumn="0" w:firstRowLastColumn="0" w:lastRowFirstColumn="0" w:lastRowLastColumn="0"/>
              <w:rPr>
                <w:b/>
              </w:rPr>
            </w:pPr>
            <w:r w:rsidRPr="00FD5E24">
              <w:t>$2.</w:t>
            </w:r>
            <w:r w:rsidR="00F41C7C" w:rsidRPr="00FD5E24">
              <w:t>32</w:t>
            </w:r>
          </w:p>
        </w:tc>
        <w:tc>
          <w:tcPr>
            <w:tcW w:w="910" w:type="dxa"/>
          </w:tcPr>
          <w:p w14:paraId="299C2AEF" w14:textId="2A5CDAB8" w:rsidR="003C3FDD" w:rsidRPr="00FD5E24" w:rsidRDefault="003C3FDD" w:rsidP="008A45A2">
            <w:pPr>
              <w:pStyle w:val="TableText"/>
              <w:cnfStyle w:val="000000000000" w:firstRow="0" w:lastRow="0" w:firstColumn="0" w:lastColumn="0" w:oddVBand="0" w:evenVBand="0" w:oddHBand="0" w:evenHBand="0" w:firstRowFirstColumn="0" w:firstRowLastColumn="0" w:lastRowFirstColumn="0" w:lastRowLastColumn="0"/>
              <w:rPr>
                <w:b/>
              </w:rPr>
            </w:pPr>
            <w:r w:rsidRPr="00FD5E24">
              <w:t>$2.</w:t>
            </w:r>
            <w:r w:rsidR="00F41C7C" w:rsidRPr="00FD5E24">
              <w:t>43</w:t>
            </w:r>
          </w:p>
        </w:tc>
        <w:tc>
          <w:tcPr>
            <w:tcW w:w="911" w:type="dxa"/>
          </w:tcPr>
          <w:p w14:paraId="6727D4C2" w14:textId="6E025964" w:rsidR="003C3FDD" w:rsidRPr="00FD5E24" w:rsidRDefault="003C3FDD" w:rsidP="008A45A2">
            <w:pPr>
              <w:pStyle w:val="TableText"/>
              <w:cnfStyle w:val="000000000000" w:firstRow="0" w:lastRow="0" w:firstColumn="0" w:lastColumn="0" w:oddVBand="0" w:evenVBand="0" w:oddHBand="0" w:evenHBand="0" w:firstRowFirstColumn="0" w:firstRowLastColumn="0" w:lastRowFirstColumn="0" w:lastRowLastColumn="0"/>
              <w:rPr>
                <w:b/>
              </w:rPr>
            </w:pPr>
            <w:r w:rsidRPr="00FD5E24">
              <w:t>$2.</w:t>
            </w:r>
            <w:r w:rsidR="00F41C7C" w:rsidRPr="00FD5E24">
              <w:t>00</w:t>
            </w:r>
          </w:p>
        </w:tc>
        <w:tc>
          <w:tcPr>
            <w:tcW w:w="910" w:type="dxa"/>
          </w:tcPr>
          <w:p w14:paraId="7E1A10AE" w14:textId="1CD95065" w:rsidR="003C3FDD" w:rsidRPr="00FD5E24" w:rsidRDefault="003C3FDD" w:rsidP="008A45A2">
            <w:pPr>
              <w:pStyle w:val="TableText"/>
              <w:cnfStyle w:val="000000000000" w:firstRow="0" w:lastRow="0" w:firstColumn="0" w:lastColumn="0" w:oddVBand="0" w:evenVBand="0" w:oddHBand="0" w:evenHBand="0" w:firstRowFirstColumn="0" w:firstRowLastColumn="0" w:lastRowFirstColumn="0" w:lastRowLastColumn="0"/>
              <w:rPr>
                <w:b/>
              </w:rPr>
            </w:pPr>
            <w:r w:rsidRPr="00FD5E24">
              <w:t>$2.</w:t>
            </w:r>
            <w:r w:rsidR="00F41C7C" w:rsidRPr="00FD5E24">
              <w:t>10</w:t>
            </w:r>
          </w:p>
        </w:tc>
        <w:tc>
          <w:tcPr>
            <w:tcW w:w="910" w:type="dxa"/>
          </w:tcPr>
          <w:p w14:paraId="48FEED3B" w14:textId="61219D90" w:rsidR="003C3FDD" w:rsidRPr="00FD5E24" w:rsidRDefault="003C3FDD" w:rsidP="008A45A2">
            <w:pPr>
              <w:pStyle w:val="TableText"/>
              <w:cnfStyle w:val="000000000000" w:firstRow="0" w:lastRow="0" w:firstColumn="0" w:lastColumn="0" w:oddVBand="0" w:evenVBand="0" w:oddHBand="0" w:evenHBand="0" w:firstRowFirstColumn="0" w:firstRowLastColumn="0" w:lastRowFirstColumn="0" w:lastRowLastColumn="0"/>
              <w:rPr>
                <w:b/>
              </w:rPr>
            </w:pPr>
            <w:r w:rsidRPr="00FD5E24">
              <w:t>$2.</w:t>
            </w:r>
            <w:r w:rsidR="00F41C7C" w:rsidRPr="00FD5E24">
              <w:t>20</w:t>
            </w:r>
          </w:p>
        </w:tc>
        <w:tc>
          <w:tcPr>
            <w:tcW w:w="911" w:type="dxa"/>
          </w:tcPr>
          <w:p w14:paraId="76DFBA63" w14:textId="4A52A38C" w:rsidR="003C3FDD" w:rsidRPr="00F41C7C" w:rsidRDefault="003C3FDD" w:rsidP="008A45A2">
            <w:pPr>
              <w:pStyle w:val="TableText"/>
              <w:cnfStyle w:val="000000000000" w:firstRow="0" w:lastRow="0" w:firstColumn="0" w:lastColumn="0" w:oddVBand="0" w:evenVBand="0" w:oddHBand="0" w:evenHBand="0" w:firstRowFirstColumn="0" w:firstRowLastColumn="0" w:lastRowFirstColumn="0" w:lastRowLastColumn="0"/>
              <w:rPr>
                <w:b/>
                <w:color w:val="000000"/>
              </w:rPr>
            </w:pPr>
            <w:r w:rsidRPr="00F41C7C">
              <w:rPr>
                <w:color w:val="000000"/>
              </w:rPr>
              <w:t>$1.</w:t>
            </w:r>
            <w:r w:rsidR="00F41C7C" w:rsidRPr="00F41C7C">
              <w:rPr>
                <w:color w:val="000000"/>
              </w:rPr>
              <w:t>86</w:t>
            </w:r>
          </w:p>
        </w:tc>
      </w:tr>
      <w:tr w:rsidR="00677ED1" w:rsidRPr="00503EEC" w14:paraId="3B7BD643" w14:textId="77777777" w:rsidTr="008A45A2">
        <w:trPr>
          <w:trHeight w:val="556"/>
        </w:trPr>
        <w:tc>
          <w:tcPr>
            <w:cnfStyle w:val="001000000000" w:firstRow="0" w:lastRow="0" w:firstColumn="1" w:lastColumn="0" w:oddVBand="0" w:evenVBand="0" w:oddHBand="0" w:evenHBand="0" w:firstRowFirstColumn="0" w:firstRowLastColumn="0" w:lastRowFirstColumn="0" w:lastRowLastColumn="0"/>
            <w:tcW w:w="1134" w:type="dxa"/>
          </w:tcPr>
          <w:p w14:paraId="75DD8295" w14:textId="0A85C671" w:rsidR="003C3FDD" w:rsidRPr="00A20BDA" w:rsidRDefault="00503EEC" w:rsidP="008A45A2">
            <w:pPr>
              <w:pStyle w:val="Tabletextbold"/>
              <w:rPr>
                <w:b/>
              </w:rPr>
            </w:pPr>
            <w:r w:rsidRPr="00A20BDA">
              <w:rPr>
                <w:b/>
              </w:rPr>
              <w:t>Total cost</w:t>
            </w:r>
            <w:r w:rsidR="003C3FDD" w:rsidRPr="00A20BDA">
              <w:rPr>
                <w:b/>
              </w:rPr>
              <w:t xml:space="preserve"> </w:t>
            </w:r>
            <w:r w:rsidR="001522E0" w:rsidRPr="00A20BDA">
              <w:rPr>
                <w:b/>
              </w:rPr>
              <w:br/>
            </w:r>
            <w:r w:rsidR="003C3FDD" w:rsidRPr="00A20BDA">
              <w:rPr>
                <w:b/>
              </w:rPr>
              <w:t>($, millions)</w:t>
            </w:r>
          </w:p>
        </w:tc>
        <w:tc>
          <w:tcPr>
            <w:tcW w:w="910" w:type="dxa"/>
          </w:tcPr>
          <w:p w14:paraId="4DE786EA" w14:textId="48171D74" w:rsidR="003C3FDD" w:rsidRPr="00A20BDA" w:rsidRDefault="003C3FDD" w:rsidP="008A45A2">
            <w:pPr>
              <w:pStyle w:val="Tabletextbold"/>
              <w:cnfStyle w:val="000000000000" w:firstRow="0" w:lastRow="0" w:firstColumn="0" w:lastColumn="0" w:oddVBand="0" w:evenVBand="0" w:oddHBand="0" w:evenHBand="0" w:firstRowFirstColumn="0" w:firstRowLastColumn="0" w:lastRowFirstColumn="0" w:lastRowLastColumn="0"/>
            </w:pPr>
            <w:r w:rsidRPr="00A20BDA">
              <w:t>$2.91</w:t>
            </w:r>
          </w:p>
        </w:tc>
        <w:tc>
          <w:tcPr>
            <w:tcW w:w="910" w:type="dxa"/>
          </w:tcPr>
          <w:p w14:paraId="462F915B" w14:textId="4AF97E93" w:rsidR="003C3FDD" w:rsidRPr="00A20BDA" w:rsidRDefault="003C3FDD" w:rsidP="008A45A2">
            <w:pPr>
              <w:pStyle w:val="Tabletextbold"/>
              <w:cnfStyle w:val="000000000000" w:firstRow="0" w:lastRow="0" w:firstColumn="0" w:lastColumn="0" w:oddVBand="0" w:evenVBand="0" w:oddHBand="0" w:evenHBand="0" w:firstRowFirstColumn="0" w:firstRowLastColumn="0" w:lastRowFirstColumn="0" w:lastRowLastColumn="0"/>
            </w:pPr>
            <w:r w:rsidRPr="00A20BDA">
              <w:t>$3.</w:t>
            </w:r>
            <w:r w:rsidR="00F41C7C" w:rsidRPr="00A20BDA">
              <w:t>18</w:t>
            </w:r>
          </w:p>
        </w:tc>
        <w:tc>
          <w:tcPr>
            <w:tcW w:w="910" w:type="dxa"/>
          </w:tcPr>
          <w:p w14:paraId="29E81B70" w14:textId="3753B8B6" w:rsidR="003C3FDD" w:rsidRPr="00A20BDA" w:rsidRDefault="003C3FDD" w:rsidP="008A45A2">
            <w:pPr>
              <w:pStyle w:val="Tabletextbold"/>
              <w:cnfStyle w:val="000000000000" w:firstRow="0" w:lastRow="0" w:firstColumn="0" w:lastColumn="0" w:oddVBand="0" w:evenVBand="0" w:oddHBand="0" w:evenHBand="0" w:firstRowFirstColumn="0" w:firstRowLastColumn="0" w:lastRowFirstColumn="0" w:lastRowLastColumn="0"/>
            </w:pPr>
            <w:r w:rsidRPr="00A20BDA">
              <w:t>$3.</w:t>
            </w:r>
            <w:r w:rsidR="00F41C7C" w:rsidRPr="00A20BDA">
              <w:t>32</w:t>
            </w:r>
          </w:p>
        </w:tc>
        <w:tc>
          <w:tcPr>
            <w:tcW w:w="911" w:type="dxa"/>
          </w:tcPr>
          <w:p w14:paraId="48716730" w14:textId="55A46BBD" w:rsidR="003C3FDD" w:rsidRPr="00A20BDA" w:rsidRDefault="003C3FDD" w:rsidP="008A45A2">
            <w:pPr>
              <w:pStyle w:val="Tabletextbold"/>
              <w:cnfStyle w:val="000000000000" w:firstRow="0" w:lastRow="0" w:firstColumn="0" w:lastColumn="0" w:oddVBand="0" w:evenVBand="0" w:oddHBand="0" w:evenHBand="0" w:firstRowFirstColumn="0" w:firstRowLastColumn="0" w:lastRowFirstColumn="0" w:lastRowLastColumn="0"/>
            </w:pPr>
            <w:r w:rsidRPr="00A20BDA">
              <w:t>$5.</w:t>
            </w:r>
            <w:r w:rsidR="00F41C7C" w:rsidRPr="00A20BDA">
              <w:t>6</w:t>
            </w:r>
            <w:r w:rsidR="00BF5C7D">
              <w:t>4</w:t>
            </w:r>
          </w:p>
        </w:tc>
        <w:tc>
          <w:tcPr>
            <w:tcW w:w="910" w:type="dxa"/>
          </w:tcPr>
          <w:p w14:paraId="41906B90" w14:textId="1BAE9700" w:rsidR="003C3FDD" w:rsidRPr="00A20BDA" w:rsidRDefault="003C3FDD" w:rsidP="008A45A2">
            <w:pPr>
              <w:pStyle w:val="Tabletextbold"/>
              <w:cnfStyle w:val="000000000000" w:firstRow="0" w:lastRow="0" w:firstColumn="0" w:lastColumn="0" w:oddVBand="0" w:evenVBand="0" w:oddHBand="0" w:evenHBand="0" w:firstRowFirstColumn="0" w:firstRowLastColumn="0" w:lastRowFirstColumn="0" w:lastRowLastColumn="0"/>
            </w:pPr>
            <w:r w:rsidRPr="00A20BDA">
              <w:t>$5.</w:t>
            </w:r>
            <w:r w:rsidR="00F41C7C" w:rsidRPr="00A20BDA">
              <w:t>88</w:t>
            </w:r>
          </w:p>
        </w:tc>
        <w:tc>
          <w:tcPr>
            <w:tcW w:w="910" w:type="dxa"/>
          </w:tcPr>
          <w:p w14:paraId="5C7B45F5" w14:textId="20A918C6" w:rsidR="003C3FDD" w:rsidRPr="00A20BDA" w:rsidRDefault="003C3FDD" w:rsidP="008A45A2">
            <w:pPr>
              <w:pStyle w:val="Tabletextbold"/>
              <w:cnfStyle w:val="000000000000" w:firstRow="0" w:lastRow="0" w:firstColumn="0" w:lastColumn="0" w:oddVBand="0" w:evenVBand="0" w:oddHBand="0" w:evenHBand="0" w:firstRowFirstColumn="0" w:firstRowLastColumn="0" w:lastRowFirstColumn="0" w:lastRowLastColumn="0"/>
            </w:pPr>
            <w:r w:rsidRPr="00A20BDA">
              <w:t>$6.</w:t>
            </w:r>
            <w:r w:rsidR="00F41C7C" w:rsidRPr="00A20BDA">
              <w:t>14</w:t>
            </w:r>
          </w:p>
        </w:tc>
        <w:tc>
          <w:tcPr>
            <w:tcW w:w="911" w:type="dxa"/>
          </w:tcPr>
          <w:p w14:paraId="0037AF42" w14:textId="27C61A91" w:rsidR="003C3FDD" w:rsidRPr="00A20BDA" w:rsidRDefault="00F41C7C" w:rsidP="008A45A2">
            <w:pPr>
              <w:pStyle w:val="Tabletextbold"/>
              <w:cnfStyle w:val="000000000000" w:firstRow="0" w:lastRow="0" w:firstColumn="0" w:lastColumn="0" w:oddVBand="0" w:evenVBand="0" w:oddHBand="0" w:evenHBand="0" w:firstRowFirstColumn="0" w:firstRowLastColumn="0" w:lastRowFirstColumn="0" w:lastRowLastColumn="0"/>
            </w:pPr>
            <w:r w:rsidRPr="00A20BDA">
              <w:t>$5.86</w:t>
            </w:r>
          </w:p>
        </w:tc>
        <w:tc>
          <w:tcPr>
            <w:tcW w:w="910" w:type="dxa"/>
          </w:tcPr>
          <w:p w14:paraId="734B35FD" w14:textId="0FB63101" w:rsidR="003C3FDD" w:rsidRPr="00A20BDA" w:rsidRDefault="003C3FDD" w:rsidP="008A45A2">
            <w:pPr>
              <w:pStyle w:val="Tabletextbold"/>
              <w:cnfStyle w:val="000000000000" w:firstRow="0" w:lastRow="0" w:firstColumn="0" w:lastColumn="0" w:oddVBand="0" w:evenVBand="0" w:oddHBand="0" w:evenHBand="0" w:firstRowFirstColumn="0" w:firstRowLastColumn="0" w:lastRowFirstColumn="0" w:lastRowLastColumn="0"/>
            </w:pPr>
            <w:r w:rsidRPr="00A20BDA">
              <w:t>$6.</w:t>
            </w:r>
            <w:r w:rsidR="00F41C7C" w:rsidRPr="00A20BDA">
              <w:t>1</w:t>
            </w:r>
            <w:r w:rsidR="00BF5C7D">
              <w:t>2</w:t>
            </w:r>
          </w:p>
        </w:tc>
        <w:tc>
          <w:tcPr>
            <w:tcW w:w="910" w:type="dxa"/>
          </w:tcPr>
          <w:p w14:paraId="276321E6" w14:textId="2EBAD187" w:rsidR="003C3FDD" w:rsidRPr="00A20BDA" w:rsidRDefault="003C3FDD" w:rsidP="008A45A2">
            <w:pPr>
              <w:pStyle w:val="Tabletextbold"/>
              <w:cnfStyle w:val="000000000000" w:firstRow="0" w:lastRow="0" w:firstColumn="0" w:lastColumn="0" w:oddVBand="0" w:evenVBand="0" w:oddHBand="0" w:evenHBand="0" w:firstRowFirstColumn="0" w:firstRowLastColumn="0" w:lastRowFirstColumn="0" w:lastRowLastColumn="0"/>
            </w:pPr>
            <w:r w:rsidRPr="00A20BDA">
              <w:t>$6.</w:t>
            </w:r>
            <w:r w:rsidR="00F41C7C" w:rsidRPr="00A20BDA">
              <w:t>38</w:t>
            </w:r>
          </w:p>
        </w:tc>
        <w:tc>
          <w:tcPr>
            <w:tcW w:w="911" w:type="dxa"/>
          </w:tcPr>
          <w:p w14:paraId="21184781" w14:textId="66C21F56" w:rsidR="003C3FDD" w:rsidRPr="00A20BDA" w:rsidRDefault="003C3FDD" w:rsidP="008A45A2">
            <w:pPr>
              <w:pStyle w:val="Tabletextbold"/>
              <w:cnfStyle w:val="000000000000" w:firstRow="0" w:lastRow="0" w:firstColumn="0" w:lastColumn="0" w:oddVBand="0" w:evenVBand="0" w:oddHBand="0" w:evenHBand="0" w:firstRowFirstColumn="0" w:firstRowLastColumn="0" w:lastRowFirstColumn="0" w:lastRowLastColumn="0"/>
            </w:pPr>
            <w:r w:rsidRPr="00A20BDA">
              <w:t>$6.</w:t>
            </w:r>
            <w:r w:rsidR="00F41C7C" w:rsidRPr="00A20BDA">
              <w:t>21</w:t>
            </w:r>
          </w:p>
        </w:tc>
      </w:tr>
      <w:tr w:rsidR="00677ED1" w:rsidRPr="004A4B51" w14:paraId="4EE5B3F6" w14:textId="77777777" w:rsidTr="008A45A2">
        <w:trPr>
          <w:trHeight w:val="711"/>
        </w:trPr>
        <w:tc>
          <w:tcPr>
            <w:cnfStyle w:val="001000000000" w:firstRow="0" w:lastRow="0" w:firstColumn="1" w:lastColumn="0" w:oddVBand="0" w:evenVBand="0" w:oddHBand="0" w:evenHBand="0" w:firstRowFirstColumn="0" w:firstRowLastColumn="0" w:lastRowFirstColumn="0" w:lastRowLastColumn="0"/>
            <w:tcW w:w="1134" w:type="dxa"/>
          </w:tcPr>
          <w:p w14:paraId="02934F41" w14:textId="629F0B6A" w:rsidR="00DC4F41" w:rsidRPr="00A20BDA" w:rsidRDefault="00DC4F41" w:rsidP="008A45A2">
            <w:pPr>
              <w:pStyle w:val="Tabletextbold"/>
              <w:rPr>
                <w:b/>
              </w:rPr>
            </w:pPr>
            <w:r w:rsidRPr="00A20BDA">
              <w:rPr>
                <w:b/>
              </w:rPr>
              <w:t xml:space="preserve">Present value (FY24/25 </w:t>
            </w:r>
            <w:r w:rsidR="001522E0" w:rsidRPr="00A20BDA">
              <w:rPr>
                <w:b/>
              </w:rPr>
              <w:br/>
            </w:r>
            <w:r w:rsidRPr="00A20BDA">
              <w:rPr>
                <w:b/>
              </w:rPr>
              <w:t>$, millions)</w:t>
            </w:r>
          </w:p>
        </w:tc>
        <w:tc>
          <w:tcPr>
            <w:tcW w:w="910" w:type="dxa"/>
          </w:tcPr>
          <w:p w14:paraId="685410FB" w14:textId="029435B0" w:rsidR="00DC4F41" w:rsidRPr="00A20BDA" w:rsidRDefault="00DC4F41" w:rsidP="008A45A2">
            <w:pPr>
              <w:pStyle w:val="Tabletextbold"/>
              <w:cnfStyle w:val="000000000000" w:firstRow="0" w:lastRow="0" w:firstColumn="0" w:lastColumn="0" w:oddVBand="0" w:evenVBand="0" w:oddHBand="0" w:evenHBand="0" w:firstRowFirstColumn="0" w:firstRowLastColumn="0" w:lastRowFirstColumn="0" w:lastRowLastColumn="0"/>
            </w:pPr>
            <w:r w:rsidRPr="00A20BDA">
              <w:t>$2.78</w:t>
            </w:r>
          </w:p>
        </w:tc>
        <w:tc>
          <w:tcPr>
            <w:tcW w:w="910" w:type="dxa"/>
          </w:tcPr>
          <w:p w14:paraId="7C1C5901" w14:textId="3EF8D6B4" w:rsidR="00DC4F41" w:rsidRPr="00A20BDA" w:rsidRDefault="00DC4F41" w:rsidP="008A45A2">
            <w:pPr>
              <w:pStyle w:val="Tabletextbold"/>
              <w:cnfStyle w:val="000000000000" w:firstRow="0" w:lastRow="0" w:firstColumn="0" w:lastColumn="0" w:oddVBand="0" w:evenVBand="0" w:oddHBand="0" w:evenHBand="0" w:firstRowFirstColumn="0" w:firstRowLastColumn="0" w:lastRowFirstColumn="0" w:lastRowLastColumn="0"/>
            </w:pPr>
            <w:r w:rsidRPr="00A20BDA">
              <w:t>$2.</w:t>
            </w:r>
            <w:r w:rsidR="007D6B92" w:rsidRPr="00A20BDA">
              <w:t>88</w:t>
            </w:r>
          </w:p>
        </w:tc>
        <w:tc>
          <w:tcPr>
            <w:tcW w:w="910" w:type="dxa"/>
          </w:tcPr>
          <w:p w14:paraId="668F7AD0" w14:textId="32E3DE1B" w:rsidR="00DC4F41" w:rsidRPr="00A20BDA" w:rsidRDefault="00DC4F41" w:rsidP="008A45A2">
            <w:pPr>
              <w:pStyle w:val="Tabletextbold"/>
              <w:cnfStyle w:val="000000000000" w:firstRow="0" w:lastRow="0" w:firstColumn="0" w:lastColumn="0" w:oddVBand="0" w:evenVBand="0" w:oddHBand="0" w:evenHBand="0" w:firstRowFirstColumn="0" w:firstRowLastColumn="0" w:lastRowFirstColumn="0" w:lastRowLastColumn="0"/>
            </w:pPr>
            <w:r w:rsidRPr="00A20BDA">
              <w:t>$2.</w:t>
            </w:r>
            <w:r w:rsidR="007D6B92" w:rsidRPr="00A20BDA">
              <w:t>87</w:t>
            </w:r>
          </w:p>
        </w:tc>
        <w:tc>
          <w:tcPr>
            <w:tcW w:w="911" w:type="dxa"/>
          </w:tcPr>
          <w:p w14:paraId="29677CB8" w14:textId="3FDD619A" w:rsidR="00DC4F41" w:rsidRPr="00A20BDA" w:rsidRDefault="00DC4F41" w:rsidP="008A45A2">
            <w:pPr>
              <w:pStyle w:val="Tabletextbold"/>
              <w:cnfStyle w:val="000000000000" w:firstRow="0" w:lastRow="0" w:firstColumn="0" w:lastColumn="0" w:oddVBand="0" w:evenVBand="0" w:oddHBand="0" w:evenHBand="0" w:firstRowFirstColumn="0" w:firstRowLastColumn="0" w:lastRowFirstColumn="0" w:lastRowLastColumn="0"/>
            </w:pPr>
            <w:r w:rsidRPr="00A20BDA">
              <w:t>$4.</w:t>
            </w:r>
            <w:r w:rsidR="007D6B92" w:rsidRPr="00A20BDA">
              <w:t>63</w:t>
            </w:r>
          </w:p>
        </w:tc>
        <w:tc>
          <w:tcPr>
            <w:tcW w:w="910" w:type="dxa"/>
          </w:tcPr>
          <w:p w14:paraId="02285BB1" w14:textId="43079958" w:rsidR="00DC4F41" w:rsidRPr="00A20BDA" w:rsidRDefault="00DC4F41" w:rsidP="008A45A2">
            <w:pPr>
              <w:pStyle w:val="Tabletextbold"/>
              <w:cnfStyle w:val="000000000000" w:firstRow="0" w:lastRow="0" w:firstColumn="0" w:lastColumn="0" w:oddVBand="0" w:evenVBand="0" w:oddHBand="0" w:evenHBand="0" w:firstRowFirstColumn="0" w:firstRowLastColumn="0" w:lastRowFirstColumn="0" w:lastRowLastColumn="0"/>
            </w:pPr>
            <w:r w:rsidRPr="00A20BDA">
              <w:t>$4.</w:t>
            </w:r>
            <w:r w:rsidR="007D6B92" w:rsidRPr="00A20BDA">
              <w:t>61</w:t>
            </w:r>
          </w:p>
        </w:tc>
        <w:tc>
          <w:tcPr>
            <w:tcW w:w="910" w:type="dxa"/>
          </w:tcPr>
          <w:p w14:paraId="6152354B" w14:textId="34818145" w:rsidR="00DC4F41" w:rsidRPr="00A20BDA" w:rsidRDefault="00DC4F41" w:rsidP="008A45A2">
            <w:pPr>
              <w:pStyle w:val="Tabletextbold"/>
              <w:cnfStyle w:val="000000000000" w:firstRow="0" w:lastRow="0" w:firstColumn="0" w:lastColumn="0" w:oddVBand="0" w:evenVBand="0" w:oddHBand="0" w:evenHBand="0" w:firstRowFirstColumn="0" w:firstRowLastColumn="0" w:lastRowFirstColumn="0" w:lastRowLastColumn="0"/>
            </w:pPr>
            <w:r w:rsidRPr="00A20BDA">
              <w:t>$4.</w:t>
            </w:r>
            <w:r w:rsidR="007D6B92" w:rsidRPr="00A20BDA">
              <w:t>58</w:t>
            </w:r>
          </w:p>
        </w:tc>
        <w:tc>
          <w:tcPr>
            <w:tcW w:w="911" w:type="dxa"/>
          </w:tcPr>
          <w:p w14:paraId="29D36D98" w14:textId="769666BF" w:rsidR="00DC4F41" w:rsidRPr="00A20BDA" w:rsidRDefault="00DC4F41" w:rsidP="008A45A2">
            <w:pPr>
              <w:pStyle w:val="Tabletextbold"/>
              <w:cnfStyle w:val="000000000000" w:firstRow="0" w:lastRow="0" w:firstColumn="0" w:lastColumn="0" w:oddVBand="0" w:evenVBand="0" w:oddHBand="0" w:evenHBand="0" w:firstRowFirstColumn="0" w:firstRowLastColumn="0" w:lastRowFirstColumn="0" w:lastRowLastColumn="0"/>
            </w:pPr>
            <w:r w:rsidRPr="00A20BDA">
              <w:t>$4.</w:t>
            </w:r>
            <w:r w:rsidR="007D6B92" w:rsidRPr="00A20BDA">
              <w:t>16</w:t>
            </w:r>
          </w:p>
        </w:tc>
        <w:tc>
          <w:tcPr>
            <w:tcW w:w="910" w:type="dxa"/>
          </w:tcPr>
          <w:p w14:paraId="2F20278D" w14:textId="64D61BE5" w:rsidR="00DC4F41" w:rsidRPr="00A20BDA" w:rsidRDefault="00DC4F41" w:rsidP="008A45A2">
            <w:pPr>
              <w:pStyle w:val="Tabletextbold"/>
              <w:cnfStyle w:val="000000000000" w:firstRow="0" w:lastRow="0" w:firstColumn="0" w:lastColumn="0" w:oddVBand="0" w:evenVBand="0" w:oddHBand="0" w:evenHBand="0" w:firstRowFirstColumn="0" w:firstRowLastColumn="0" w:lastRowFirstColumn="0" w:lastRowLastColumn="0"/>
            </w:pPr>
            <w:r w:rsidRPr="00A20BDA">
              <w:t>$4.</w:t>
            </w:r>
            <w:r w:rsidR="007D6B92" w:rsidRPr="00A20BDA">
              <w:t>14</w:t>
            </w:r>
          </w:p>
        </w:tc>
        <w:tc>
          <w:tcPr>
            <w:tcW w:w="910" w:type="dxa"/>
          </w:tcPr>
          <w:p w14:paraId="7F9A2310" w14:textId="62AA9EE5" w:rsidR="00DC4F41" w:rsidRPr="00A20BDA" w:rsidRDefault="00DC4F41" w:rsidP="008A45A2">
            <w:pPr>
              <w:pStyle w:val="Tabletextbold"/>
              <w:cnfStyle w:val="000000000000" w:firstRow="0" w:lastRow="0" w:firstColumn="0" w:lastColumn="0" w:oddVBand="0" w:evenVBand="0" w:oddHBand="0" w:evenHBand="0" w:firstRowFirstColumn="0" w:firstRowLastColumn="0" w:lastRowFirstColumn="0" w:lastRowLastColumn="0"/>
            </w:pPr>
            <w:r w:rsidRPr="00A20BDA">
              <w:t>$4.</w:t>
            </w:r>
            <w:r w:rsidR="007D6B92" w:rsidRPr="00A20BDA">
              <w:t>11</w:t>
            </w:r>
          </w:p>
        </w:tc>
        <w:tc>
          <w:tcPr>
            <w:tcW w:w="911" w:type="dxa"/>
          </w:tcPr>
          <w:p w14:paraId="57400AA8" w14:textId="4C067363" w:rsidR="00DC4F41" w:rsidRPr="00A20BDA" w:rsidRDefault="007D6B92" w:rsidP="008A45A2">
            <w:pPr>
              <w:pStyle w:val="Tabletextbold"/>
              <w:cnfStyle w:val="000000000000" w:firstRow="0" w:lastRow="0" w:firstColumn="0" w:lastColumn="0" w:oddVBand="0" w:evenVBand="0" w:oddHBand="0" w:evenHBand="0" w:firstRowFirstColumn="0" w:firstRowLastColumn="0" w:lastRowFirstColumn="0" w:lastRowLastColumn="0"/>
            </w:pPr>
            <w:r w:rsidRPr="00A20BDA">
              <w:t>$3.81</w:t>
            </w:r>
          </w:p>
        </w:tc>
      </w:tr>
    </w:tbl>
    <w:p w14:paraId="0027A2A3" w14:textId="10804DFD" w:rsidR="003D1C57" w:rsidRDefault="00802105" w:rsidP="00AE1142">
      <w:pPr>
        <w:pStyle w:val="Caption-Source"/>
      </w:pPr>
      <w:r w:rsidRPr="00C00C68">
        <w:t xml:space="preserve">Source: </w:t>
      </w:r>
      <w:r w:rsidR="0044544E" w:rsidRPr="0044544E">
        <w:t>Independent reviewer</w:t>
      </w:r>
      <w:r w:rsidR="00584D02">
        <w:t xml:space="preserve"> (</w:t>
      </w:r>
      <w:r w:rsidR="00941174" w:rsidRPr="00C00C68">
        <w:t>2025</w:t>
      </w:r>
      <w:r w:rsidR="00584D02">
        <w:t>)</w:t>
      </w:r>
    </w:p>
    <w:p w14:paraId="39266A2C" w14:textId="2080F82F" w:rsidR="00D1167A" w:rsidRPr="00D1167A" w:rsidRDefault="00D1167A" w:rsidP="00DD71E7">
      <w:r>
        <w:fldChar w:fldCharType="begin"/>
      </w:r>
      <w:r>
        <w:instrText xml:space="preserve"> REF _Ref200485785 \h </w:instrText>
      </w:r>
      <w:r>
        <w:fldChar w:fldCharType="separate"/>
      </w:r>
      <w:r w:rsidR="00D955D8">
        <w:t xml:space="preserve">Figure </w:t>
      </w:r>
      <w:r w:rsidR="006E77A4">
        <w:rPr>
          <w:noProof/>
        </w:rPr>
        <w:t>15</w:t>
      </w:r>
      <w:r>
        <w:fldChar w:fldCharType="end"/>
      </w:r>
      <w:r>
        <w:t xml:space="preserve"> below illustrates the change in costs over time</w:t>
      </w:r>
      <w:r w:rsidR="001A71DB">
        <w:t xml:space="preserve"> over a ten</w:t>
      </w:r>
      <w:r w:rsidR="00387DD4">
        <w:t>-</w:t>
      </w:r>
      <w:r w:rsidR="001A71DB">
        <w:t>year period from FY26</w:t>
      </w:r>
      <w:r w:rsidR="004507C9">
        <w:t>/27</w:t>
      </w:r>
      <w:r w:rsidR="001A71DB">
        <w:t xml:space="preserve"> to FY</w:t>
      </w:r>
      <w:r w:rsidR="004507C9">
        <w:t>36/37</w:t>
      </w:r>
      <w:r>
        <w:t>.</w:t>
      </w:r>
      <w:r w:rsidR="00A06C28">
        <w:t xml:space="preserve"> As described above, there is no data available to </w:t>
      </w:r>
      <w:r w:rsidR="00705FD1">
        <w:t>estimate</w:t>
      </w:r>
      <w:r w:rsidR="00A06C28">
        <w:t xml:space="preserve"> the current need or size of </w:t>
      </w:r>
      <w:r w:rsidR="00B66665">
        <w:t>waitlists for facial prostheses</w:t>
      </w:r>
      <w:r w:rsidR="00705FD1">
        <w:t xml:space="preserve">, </w:t>
      </w:r>
      <w:r w:rsidR="000D39CF">
        <w:t>mean</w:t>
      </w:r>
      <w:r w:rsidR="00705FD1">
        <w:t>ing</w:t>
      </w:r>
      <w:r w:rsidR="000D39CF">
        <w:t xml:space="preserve"> that </w:t>
      </w:r>
      <w:r w:rsidR="00705FD1">
        <w:t xml:space="preserve">demand for prostheses may be higher </w:t>
      </w:r>
      <w:r w:rsidR="000D39CF">
        <w:t xml:space="preserve">in the </w:t>
      </w:r>
      <w:r w:rsidR="00705FD1">
        <w:t>initial few</w:t>
      </w:r>
      <w:r w:rsidR="000D39CF">
        <w:t xml:space="preserve"> years </w:t>
      </w:r>
      <w:r w:rsidR="00705FD1">
        <w:t xml:space="preserve">of </w:t>
      </w:r>
      <w:r w:rsidR="00BE0F5B">
        <w:t>programs and</w:t>
      </w:r>
      <w:r w:rsidR="000D39CF">
        <w:t xml:space="preserve"> costs may be underestimated</w:t>
      </w:r>
      <w:r w:rsidR="00785537">
        <w:t>.</w:t>
      </w:r>
    </w:p>
    <w:p w14:paraId="6AAE6664" w14:textId="3805716E" w:rsidR="004F3E9C" w:rsidRPr="0097512B" w:rsidRDefault="0097512B" w:rsidP="0097512B">
      <w:pPr>
        <w:pStyle w:val="Caption"/>
      </w:pPr>
      <w:bookmarkStart w:id="165" w:name="_Ref200485785"/>
      <w:bookmarkStart w:id="166" w:name="_Ref200485768"/>
      <w:bookmarkStart w:id="167" w:name="_Toc207348722"/>
      <w:r>
        <w:t xml:space="preserve">Figure </w:t>
      </w:r>
      <w:r w:rsidR="006E77A4">
        <w:fldChar w:fldCharType="begin"/>
      </w:r>
      <w:r w:rsidR="006E77A4">
        <w:instrText xml:space="preserve"> SEQ Figure \* ARABIC </w:instrText>
      </w:r>
      <w:r w:rsidR="006E77A4">
        <w:fldChar w:fldCharType="separate"/>
      </w:r>
      <w:r w:rsidR="006E77A4">
        <w:rPr>
          <w:noProof/>
        </w:rPr>
        <w:t>15</w:t>
      </w:r>
      <w:r w:rsidR="006E77A4">
        <w:rPr>
          <w:noProof/>
        </w:rPr>
        <w:fldChar w:fldCharType="end"/>
      </w:r>
      <w:bookmarkEnd w:id="165"/>
      <w:r>
        <w:t>: Option 1</w:t>
      </w:r>
      <w:r w:rsidR="00CF73E4">
        <w:t xml:space="preserve"> </w:t>
      </w:r>
      <w:r>
        <w:t>annual costs</w:t>
      </w:r>
      <w:bookmarkEnd w:id="166"/>
      <w:bookmarkEnd w:id="167"/>
    </w:p>
    <w:p w14:paraId="653E01DF" w14:textId="25D55E9A" w:rsidR="008332C1" w:rsidRPr="008332C1" w:rsidRDefault="008332C1" w:rsidP="00DD71E7">
      <w:r w:rsidRPr="00DD71E7">
        <w:drawing>
          <wp:inline distT="0" distB="0" distL="0" distR="0" wp14:anchorId="4EE2A6CD" wp14:editId="77568403">
            <wp:extent cx="6569710" cy="3252470"/>
            <wp:effectExtent l="0" t="0" r="2540" b="5080"/>
            <wp:docPr id="1504931427" name="Picture 4" descr="The graph illustrates in FY26/27 the total cost is 2.91 million which steadily rises to 6.21 million in FY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931427" name="Picture 4" descr="The graph illustrates in FY26/27 the total cost is 2.91 million which steadily rises to 6.21 million in FY35/3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569710" cy="3252470"/>
                    </a:xfrm>
                    <a:prstGeom prst="rect">
                      <a:avLst/>
                    </a:prstGeom>
                    <a:noFill/>
                    <a:ln>
                      <a:noFill/>
                    </a:ln>
                  </pic:spPr>
                </pic:pic>
              </a:graphicData>
            </a:graphic>
          </wp:inline>
        </w:drawing>
      </w:r>
    </w:p>
    <w:p w14:paraId="50293573" w14:textId="77777777" w:rsidR="00C76D17" w:rsidRDefault="0097512B" w:rsidP="00124E4A">
      <w:pPr>
        <w:pStyle w:val="Caption-Source"/>
      </w:pPr>
      <w:r w:rsidRPr="00BB592E">
        <w:t xml:space="preserve">Source: </w:t>
      </w:r>
      <w:r w:rsidR="0044544E" w:rsidRPr="0044544E">
        <w:t>Independent reviewer</w:t>
      </w:r>
      <w:r w:rsidR="00584D02" w:rsidRPr="004E7DC8">
        <w:t xml:space="preserve"> (</w:t>
      </w:r>
      <w:r w:rsidR="00941174" w:rsidRPr="004E7DC8">
        <w:t>2025</w:t>
      </w:r>
      <w:r w:rsidR="00584D02" w:rsidRPr="004E7DC8">
        <w:t>)</w:t>
      </w:r>
    </w:p>
    <w:p w14:paraId="6213CCA4" w14:textId="3458DD29" w:rsidR="004E7DC8" w:rsidRPr="00C76D17" w:rsidRDefault="004E7DC8" w:rsidP="00C76D17">
      <w:r w:rsidRPr="00C76D17">
        <w:br w:type="page"/>
      </w:r>
    </w:p>
    <w:p w14:paraId="16B6AA3C" w14:textId="3C6405E0" w:rsidR="00C61101" w:rsidRDefault="00C61101" w:rsidP="00C61101">
      <w:pPr>
        <w:pStyle w:val="Heading3"/>
      </w:pPr>
      <w:bookmarkStart w:id="168" w:name="_Ref201609098"/>
      <w:r>
        <w:t>Option 2</w:t>
      </w:r>
      <w:r w:rsidR="00814695">
        <w:t>:</w:t>
      </w:r>
      <w:r w:rsidR="00E7601E">
        <w:t xml:space="preserve"> Facial prostheses and </w:t>
      </w:r>
      <w:bookmarkEnd w:id="168"/>
      <w:r w:rsidR="00624BFC">
        <w:t>external breast prostheses</w:t>
      </w:r>
    </w:p>
    <w:p w14:paraId="7052F122" w14:textId="18209F99" w:rsidR="00771EC7" w:rsidRPr="00DD71E7" w:rsidRDefault="00771EC7" w:rsidP="00DD71E7">
      <w:r w:rsidRPr="00DD71E7">
        <w:t xml:space="preserve">Option 2 includes facial prostheses, as described in Section </w:t>
      </w:r>
      <w:r w:rsidRPr="00DD71E7">
        <w:fldChar w:fldCharType="begin"/>
      </w:r>
      <w:r w:rsidRPr="00DD71E7">
        <w:instrText xml:space="preserve"> REF _Ref200487542 \r \h </w:instrText>
      </w:r>
      <w:r w:rsidR="00DD71E7">
        <w:instrText xml:space="preserve"> \* MERGEFORMAT </w:instrText>
      </w:r>
      <w:r w:rsidRPr="00DD71E7">
        <w:fldChar w:fldCharType="separate"/>
      </w:r>
      <w:r w:rsidR="00D955D8" w:rsidRPr="00DD71E7">
        <w:t>6.3.2</w:t>
      </w:r>
      <w:r w:rsidRPr="00DD71E7">
        <w:fldChar w:fldCharType="end"/>
      </w:r>
      <w:r w:rsidRPr="00DD71E7">
        <w:t xml:space="preserve">, with the addition breast prostheses through the EBPRP. It is noted that the EBPRP has been funded since 2008. The cost estimates presented here are not designed to replace the work done by the Department to determine the funding envelope for the </w:t>
      </w:r>
      <w:proofErr w:type="gramStart"/>
      <w:r w:rsidRPr="00DD71E7">
        <w:t>EBPRP, and</w:t>
      </w:r>
      <w:proofErr w:type="gramEnd"/>
      <w:r w:rsidRPr="00DD71E7">
        <w:t xml:space="preserve"> are included here to estimate future costs of the program and to estimate the total cost of the presented options. </w:t>
      </w:r>
    </w:p>
    <w:p w14:paraId="107F10B4" w14:textId="69B1465E" w:rsidR="006C3C3C" w:rsidRPr="00DD71E7" w:rsidRDefault="00771EC7" w:rsidP="00DD71E7">
      <w:r w:rsidRPr="00DD71E7">
        <w:t>Estimates of breast cancer incidence and publicly available population projections, combined with published rates for unilateral and bilateral mastectomy were used to determine the total number of people who would be eligible for an external breast prosthesis. The number of replacement prostheses required was adjusted to account for the number of people that would go on to have reconstructive surgery and no longer require a prosthesis, and for overall survival. It is assumed that an external breast prosthesis needs to be replaced every 2 years.</w:t>
      </w:r>
      <w:r w:rsidR="004C0E6D" w:rsidRPr="00DD71E7">
        <w:t xml:space="preserve"> </w:t>
      </w:r>
      <w:r w:rsidR="004C0E6D" w:rsidRPr="00DD71E7">
        <w:fldChar w:fldCharType="begin"/>
      </w:r>
      <w:r w:rsidR="004C0E6D" w:rsidRPr="00DD71E7">
        <w:instrText xml:space="preserve"> REF _Ref203040842 \h </w:instrText>
      </w:r>
      <w:r w:rsidR="00DD71E7">
        <w:instrText xml:space="preserve"> \* MERGEFORMAT </w:instrText>
      </w:r>
      <w:r w:rsidR="004C0E6D" w:rsidRPr="00DD71E7">
        <w:fldChar w:fldCharType="separate"/>
      </w:r>
      <w:r w:rsidR="008004C7" w:rsidRPr="00DD71E7">
        <w:t>Table 32</w:t>
      </w:r>
      <w:r w:rsidR="004C0E6D" w:rsidRPr="00DD71E7">
        <w:fldChar w:fldCharType="end"/>
      </w:r>
      <w:r w:rsidR="008004C7" w:rsidRPr="00DD71E7">
        <w:t> </w:t>
      </w:r>
      <w:r w:rsidR="004C0E6D" w:rsidRPr="00DD71E7">
        <w:t>below outlined the key cost inputs.</w:t>
      </w:r>
      <w:r w:rsidR="006C3C3C" w:rsidRPr="00DD71E7">
        <w:t xml:space="preserve"> Further detail on cost inputs is available in </w:t>
      </w:r>
      <w:r w:rsidR="00B7732B" w:rsidRPr="00DD71E7">
        <w:fldChar w:fldCharType="begin"/>
      </w:r>
      <w:r w:rsidR="00B7732B" w:rsidRPr="00DD71E7">
        <w:instrText xml:space="preserve"> REF _Ref204251774 \w \h </w:instrText>
      </w:r>
      <w:r w:rsidR="00DD71E7">
        <w:instrText xml:space="preserve"> \* MERGEFORMAT </w:instrText>
      </w:r>
      <w:r w:rsidR="00B7732B" w:rsidRPr="00DD71E7">
        <w:fldChar w:fldCharType="separate"/>
      </w:r>
      <w:r w:rsidR="00D955D8" w:rsidRPr="00DD71E7">
        <w:t>Appendix H</w:t>
      </w:r>
      <w:r w:rsidR="00B7732B" w:rsidRPr="00DD71E7">
        <w:fldChar w:fldCharType="end"/>
      </w:r>
      <w:r w:rsidR="006C3C3C" w:rsidRPr="00DD71E7">
        <w:t>.</w:t>
      </w:r>
    </w:p>
    <w:p w14:paraId="38335636" w14:textId="742D6BA7" w:rsidR="00304535" w:rsidRDefault="00304535" w:rsidP="00304535">
      <w:pPr>
        <w:pStyle w:val="Caption"/>
      </w:pPr>
      <w:bookmarkStart w:id="169" w:name="_Ref200488736"/>
      <w:bookmarkStart w:id="170" w:name="_Ref203040842"/>
      <w:bookmarkStart w:id="171" w:name="_Ref200488718"/>
      <w:bookmarkStart w:id="172" w:name="_Toc207348597"/>
      <w:r>
        <w:t xml:space="preserve">Table </w:t>
      </w:r>
      <w:r w:rsidR="004F27F5">
        <w:fldChar w:fldCharType="begin"/>
      </w:r>
      <w:r w:rsidR="004F27F5">
        <w:instrText xml:space="preserve"> SEQ Table \* ARABIC </w:instrText>
      </w:r>
      <w:r w:rsidR="004F27F5">
        <w:fldChar w:fldCharType="separate"/>
      </w:r>
      <w:r w:rsidR="004F27F5">
        <w:rPr>
          <w:noProof/>
        </w:rPr>
        <w:t>32</w:t>
      </w:r>
      <w:r w:rsidR="004F27F5">
        <w:rPr>
          <w:noProof/>
        </w:rPr>
        <w:fldChar w:fldCharType="end"/>
      </w:r>
      <w:bookmarkEnd w:id="169"/>
      <w:bookmarkEnd w:id="170"/>
      <w:r>
        <w:t>: Option 2 cost inputs</w:t>
      </w:r>
      <w:bookmarkEnd w:id="171"/>
      <w:bookmarkEnd w:id="172"/>
    </w:p>
    <w:tbl>
      <w:tblPr>
        <w:tblStyle w:val="KPMGTable"/>
        <w:tblW w:w="0" w:type="auto"/>
        <w:tblLook w:val="04A0" w:firstRow="1" w:lastRow="0" w:firstColumn="1" w:lastColumn="0" w:noHBand="0" w:noVBand="1"/>
      </w:tblPr>
      <w:tblGrid>
        <w:gridCol w:w="6289"/>
        <w:gridCol w:w="3915"/>
      </w:tblGrid>
      <w:tr w:rsidR="00BC4FBB" w14:paraId="2C773600" w14:textId="77777777" w:rsidTr="00F971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4" w:type="dxa"/>
          </w:tcPr>
          <w:p w14:paraId="288C51F4" w14:textId="77777777" w:rsidR="006920F7" w:rsidRPr="00941174" w:rsidRDefault="006920F7" w:rsidP="00F97109">
            <w:pPr>
              <w:pStyle w:val="TableHeading"/>
              <w:rPr>
                <w:b w:val="0"/>
                <w:color w:val="FFFFFF" w:themeColor="background1"/>
                <w:szCs w:val="20"/>
              </w:rPr>
            </w:pPr>
            <w:r w:rsidRPr="00941174">
              <w:t>Cost input</w:t>
            </w:r>
          </w:p>
        </w:tc>
        <w:tc>
          <w:tcPr>
            <w:tcW w:w="3964" w:type="dxa"/>
          </w:tcPr>
          <w:p w14:paraId="2A30C80C" w14:textId="77777777" w:rsidR="006920F7" w:rsidRPr="00941174" w:rsidRDefault="006920F7" w:rsidP="00F97109">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rsidRPr="00941174">
              <w:t>Value</w:t>
            </w:r>
          </w:p>
        </w:tc>
      </w:tr>
      <w:tr w:rsidR="00677ED1" w14:paraId="3927AEE4" w14:textId="77777777" w:rsidTr="00F97109">
        <w:trPr>
          <w:trHeight w:val="148"/>
        </w:trPr>
        <w:tc>
          <w:tcPr>
            <w:cnfStyle w:val="001000000000" w:firstRow="0" w:lastRow="0" w:firstColumn="1" w:lastColumn="0" w:oddVBand="0" w:evenVBand="0" w:oddHBand="0" w:evenHBand="0" w:firstRowFirstColumn="0" w:firstRowLastColumn="0" w:lastRowFirstColumn="0" w:lastRowLastColumn="0"/>
            <w:tcW w:w="6374" w:type="dxa"/>
          </w:tcPr>
          <w:p w14:paraId="745F55F8" w14:textId="77777777" w:rsidR="006920F7" w:rsidRPr="00941174" w:rsidRDefault="006920F7" w:rsidP="00F97109">
            <w:pPr>
              <w:pStyle w:val="Tabletextbold"/>
              <w:rPr>
                <w:b/>
                <w:szCs w:val="18"/>
              </w:rPr>
            </w:pPr>
            <w:r w:rsidRPr="00941174">
              <w:t>External breast prosthesis reimbursement (new and replacement)</w:t>
            </w:r>
          </w:p>
        </w:tc>
        <w:tc>
          <w:tcPr>
            <w:tcW w:w="3964" w:type="dxa"/>
          </w:tcPr>
          <w:p w14:paraId="18596941" w14:textId="50F69530" w:rsidR="006920F7" w:rsidRPr="00AA5713" w:rsidRDefault="006920F7" w:rsidP="00F97109">
            <w:pPr>
              <w:pStyle w:val="TableText"/>
              <w:cnfStyle w:val="000000000000" w:firstRow="0" w:lastRow="0" w:firstColumn="0" w:lastColumn="0" w:oddVBand="0" w:evenVBand="0" w:oddHBand="0" w:evenHBand="0" w:firstRowFirstColumn="0" w:firstRowLastColumn="0" w:lastRowFirstColumn="0" w:lastRowLastColumn="0"/>
              <w:rPr>
                <w:szCs w:val="18"/>
              </w:rPr>
            </w:pPr>
            <w:r w:rsidRPr="00AA5713">
              <w:rPr>
                <w:szCs w:val="18"/>
              </w:rPr>
              <w:t>Unilateral - $400</w:t>
            </w:r>
            <w:r w:rsidR="0019780B">
              <w:rPr>
                <w:szCs w:val="18"/>
              </w:rPr>
              <w:t xml:space="preserve">, </w:t>
            </w:r>
            <w:r w:rsidRPr="00AA5713">
              <w:rPr>
                <w:szCs w:val="18"/>
              </w:rPr>
              <w:t>Bilateral - $800</w:t>
            </w:r>
          </w:p>
        </w:tc>
      </w:tr>
      <w:tr w:rsidR="00677ED1" w14:paraId="6DD5D52A" w14:textId="77777777" w:rsidTr="00F97109">
        <w:tc>
          <w:tcPr>
            <w:cnfStyle w:val="001000000000" w:firstRow="0" w:lastRow="0" w:firstColumn="1" w:lastColumn="0" w:oddVBand="0" w:evenVBand="0" w:oddHBand="0" w:evenHBand="0" w:firstRowFirstColumn="0" w:firstRowLastColumn="0" w:lastRowFirstColumn="0" w:lastRowLastColumn="0"/>
            <w:tcW w:w="6374" w:type="dxa"/>
          </w:tcPr>
          <w:p w14:paraId="426D3738" w14:textId="77777777" w:rsidR="006920F7" w:rsidRPr="00941174" w:rsidRDefault="006920F7" w:rsidP="00F97109">
            <w:pPr>
              <w:pStyle w:val="Tabletextbold"/>
              <w:rPr>
                <w:b/>
                <w:szCs w:val="18"/>
              </w:rPr>
            </w:pPr>
            <w:r w:rsidRPr="00941174">
              <w:t>Unilateral mastectomy rate</w:t>
            </w:r>
          </w:p>
        </w:tc>
        <w:tc>
          <w:tcPr>
            <w:tcW w:w="3964" w:type="dxa"/>
          </w:tcPr>
          <w:p w14:paraId="72EC49BD" w14:textId="77777777" w:rsidR="006920F7" w:rsidRPr="00AA5713" w:rsidRDefault="006920F7" w:rsidP="00F97109">
            <w:pPr>
              <w:pStyle w:val="TableText"/>
              <w:cnfStyle w:val="000000000000" w:firstRow="0" w:lastRow="0" w:firstColumn="0" w:lastColumn="0" w:oddVBand="0" w:evenVBand="0" w:oddHBand="0" w:evenHBand="0" w:firstRowFirstColumn="0" w:firstRowLastColumn="0" w:lastRowFirstColumn="0" w:lastRowLastColumn="0"/>
              <w:rPr>
                <w:szCs w:val="18"/>
              </w:rPr>
            </w:pPr>
            <w:r w:rsidRPr="00AA5713">
              <w:rPr>
                <w:szCs w:val="18"/>
              </w:rPr>
              <w:t>21.0%</w:t>
            </w:r>
          </w:p>
        </w:tc>
      </w:tr>
      <w:tr w:rsidR="00677ED1" w14:paraId="4AB41D61" w14:textId="77777777" w:rsidTr="00F97109">
        <w:tc>
          <w:tcPr>
            <w:cnfStyle w:val="001000000000" w:firstRow="0" w:lastRow="0" w:firstColumn="1" w:lastColumn="0" w:oddVBand="0" w:evenVBand="0" w:oddHBand="0" w:evenHBand="0" w:firstRowFirstColumn="0" w:firstRowLastColumn="0" w:lastRowFirstColumn="0" w:lastRowLastColumn="0"/>
            <w:tcW w:w="6374" w:type="dxa"/>
          </w:tcPr>
          <w:p w14:paraId="3F5F8FB0" w14:textId="77777777" w:rsidR="006920F7" w:rsidRPr="00941174" w:rsidRDefault="006920F7" w:rsidP="00F97109">
            <w:pPr>
              <w:pStyle w:val="Tabletextbold"/>
              <w:rPr>
                <w:b/>
                <w:szCs w:val="18"/>
              </w:rPr>
            </w:pPr>
            <w:r w:rsidRPr="00941174">
              <w:t>Bilateral mastectomy rate</w:t>
            </w:r>
          </w:p>
        </w:tc>
        <w:tc>
          <w:tcPr>
            <w:tcW w:w="3964" w:type="dxa"/>
          </w:tcPr>
          <w:p w14:paraId="50182E46" w14:textId="77777777" w:rsidR="006920F7" w:rsidRPr="00AA5713" w:rsidRDefault="006920F7" w:rsidP="00F97109">
            <w:pPr>
              <w:pStyle w:val="TableText"/>
              <w:cnfStyle w:val="000000000000" w:firstRow="0" w:lastRow="0" w:firstColumn="0" w:lastColumn="0" w:oddVBand="0" w:evenVBand="0" w:oddHBand="0" w:evenHBand="0" w:firstRowFirstColumn="0" w:firstRowLastColumn="0" w:lastRowFirstColumn="0" w:lastRowLastColumn="0"/>
              <w:rPr>
                <w:szCs w:val="18"/>
              </w:rPr>
            </w:pPr>
            <w:r w:rsidRPr="00AA5713">
              <w:rPr>
                <w:szCs w:val="18"/>
              </w:rPr>
              <w:t>12.5%</w:t>
            </w:r>
          </w:p>
        </w:tc>
      </w:tr>
      <w:tr w:rsidR="00677ED1" w14:paraId="6705C18A" w14:textId="77777777" w:rsidTr="00F97109">
        <w:tc>
          <w:tcPr>
            <w:cnfStyle w:val="001000000000" w:firstRow="0" w:lastRow="0" w:firstColumn="1" w:lastColumn="0" w:oddVBand="0" w:evenVBand="0" w:oddHBand="0" w:evenHBand="0" w:firstRowFirstColumn="0" w:firstRowLastColumn="0" w:lastRowFirstColumn="0" w:lastRowLastColumn="0"/>
            <w:tcW w:w="6374" w:type="dxa"/>
          </w:tcPr>
          <w:p w14:paraId="7AD7E5EE" w14:textId="77777777" w:rsidR="006920F7" w:rsidRPr="00941174" w:rsidRDefault="006920F7" w:rsidP="00F97109">
            <w:pPr>
              <w:pStyle w:val="Tabletextbold"/>
              <w:rPr>
                <w:b/>
                <w:szCs w:val="18"/>
              </w:rPr>
            </w:pPr>
            <w:r w:rsidRPr="00941174">
              <w:t>Reconstruction rate</w:t>
            </w:r>
          </w:p>
        </w:tc>
        <w:tc>
          <w:tcPr>
            <w:tcW w:w="3964" w:type="dxa"/>
          </w:tcPr>
          <w:p w14:paraId="479CD78B" w14:textId="77777777" w:rsidR="006920F7" w:rsidRPr="00AA5713" w:rsidRDefault="006920F7" w:rsidP="00F97109">
            <w:pPr>
              <w:pStyle w:val="TableText"/>
              <w:cnfStyle w:val="000000000000" w:firstRow="0" w:lastRow="0" w:firstColumn="0" w:lastColumn="0" w:oddVBand="0" w:evenVBand="0" w:oddHBand="0" w:evenHBand="0" w:firstRowFirstColumn="0" w:firstRowLastColumn="0" w:lastRowFirstColumn="0" w:lastRowLastColumn="0"/>
              <w:rPr>
                <w:szCs w:val="18"/>
              </w:rPr>
            </w:pPr>
            <w:r w:rsidRPr="00AA5713">
              <w:rPr>
                <w:szCs w:val="18"/>
              </w:rPr>
              <w:t>50.0%</w:t>
            </w:r>
          </w:p>
        </w:tc>
      </w:tr>
      <w:tr w:rsidR="00677ED1" w14:paraId="0176C532" w14:textId="77777777" w:rsidTr="00F97109">
        <w:tc>
          <w:tcPr>
            <w:cnfStyle w:val="001000000000" w:firstRow="0" w:lastRow="0" w:firstColumn="1" w:lastColumn="0" w:oddVBand="0" w:evenVBand="0" w:oddHBand="0" w:evenHBand="0" w:firstRowFirstColumn="0" w:firstRowLastColumn="0" w:lastRowFirstColumn="0" w:lastRowLastColumn="0"/>
            <w:tcW w:w="6374" w:type="dxa"/>
          </w:tcPr>
          <w:p w14:paraId="62DEC75D" w14:textId="77777777" w:rsidR="006920F7" w:rsidRPr="00941174" w:rsidRDefault="006920F7" w:rsidP="00F97109">
            <w:pPr>
              <w:pStyle w:val="Tabletextbold"/>
              <w:rPr>
                <w:b/>
                <w:szCs w:val="18"/>
              </w:rPr>
            </w:pPr>
            <w:r w:rsidRPr="00941174">
              <w:t>Annual indexation</w:t>
            </w:r>
          </w:p>
        </w:tc>
        <w:tc>
          <w:tcPr>
            <w:tcW w:w="3964" w:type="dxa"/>
          </w:tcPr>
          <w:p w14:paraId="17931AC5" w14:textId="77777777" w:rsidR="006920F7" w:rsidRPr="00AA5713" w:rsidRDefault="006920F7" w:rsidP="00F9710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4.10% (FY25/26), 3.0% (ongoing)</w:t>
            </w:r>
          </w:p>
        </w:tc>
      </w:tr>
    </w:tbl>
    <w:p w14:paraId="7624C849" w14:textId="51B3B5D0" w:rsidR="00993698" w:rsidRDefault="00E568B0" w:rsidP="00F97109">
      <w:pPr>
        <w:pStyle w:val="Caption-Source"/>
      </w:pPr>
      <w:r w:rsidRPr="001240F8">
        <w:t xml:space="preserve">Source: </w:t>
      </w:r>
      <w:r w:rsidR="0044544E" w:rsidRPr="0044544E">
        <w:t>Independent reviewer</w:t>
      </w:r>
      <w:r w:rsidR="00584D02">
        <w:t xml:space="preserve"> (</w:t>
      </w:r>
      <w:r w:rsidR="001240F8">
        <w:t>2025</w:t>
      </w:r>
      <w:r w:rsidR="00584D02">
        <w:t>)</w:t>
      </w:r>
    </w:p>
    <w:p w14:paraId="525F27D3" w14:textId="3AAB75C9" w:rsidR="006402B6" w:rsidRPr="00DD71E7" w:rsidRDefault="005B2A87" w:rsidP="00DD71E7">
      <w:r w:rsidRPr="00DD71E7">
        <w:t>The tables</w:t>
      </w:r>
      <w:r w:rsidR="006402B6" w:rsidRPr="00DD71E7">
        <w:t xml:space="preserve"> below illustrate the total number of cases, new </w:t>
      </w:r>
      <w:r w:rsidR="00894244" w:rsidRPr="00DD71E7">
        <w:t>prosthetic</w:t>
      </w:r>
      <w:r w:rsidR="006402B6" w:rsidRPr="00DD71E7">
        <w:t xml:space="preserve"> </w:t>
      </w:r>
      <w:r w:rsidR="00170963" w:rsidRPr="00DD71E7">
        <w:t xml:space="preserve">external breast prostheses </w:t>
      </w:r>
      <w:r w:rsidR="006402B6" w:rsidRPr="00DD71E7">
        <w:t>and replacement</w:t>
      </w:r>
      <w:r w:rsidR="00894244" w:rsidRPr="00DD71E7">
        <w:t xml:space="preserve">s </w:t>
      </w:r>
      <w:r w:rsidR="006402B6" w:rsidRPr="00DD71E7">
        <w:t xml:space="preserve">for Option 2 </w:t>
      </w:r>
      <w:r w:rsidR="00894244" w:rsidRPr="00DD71E7">
        <w:t xml:space="preserve">as well as the total costs </w:t>
      </w:r>
      <w:r w:rsidR="006402B6" w:rsidRPr="00DD71E7">
        <w:t>over 10 years.</w:t>
      </w:r>
      <w:r w:rsidR="0039052C" w:rsidRPr="00DD71E7">
        <w:t xml:space="preserve"> </w:t>
      </w:r>
      <w:r w:rsidR="006402B6" w:rsidRPr="00DD71E7">
        <w:t xml:space="preserve">The estimated cost of Option </w:t>
      </w:r>
      <w:r w:rsidR="001151BF" w:rsidRPr="00DD71E7">
        <w:t>2</w:t>
      </w:r>
      <w:r w:rsidR="006402B6" w:rsidRPr="00DD71E7">
        <w:t xml:space="preserve"> ranges from $</w:t>
      </w:r>
      <w:r w:rsidR="00D4776D" w:rsidRPr="00DD71E7">
        <w:t>7.</w:t>
      </w:r>
      <w:r w:rsidR="00887E71" w:rsidRPr="00DD71E7">
        <w:t>07</w:t>
      </w:r>
      <w:r w:rsidR="006402B6" w:rsidRPr="00DD71E7">
        <w:t xml:space="preserve"> million in FY26/27 to $</w:t>
      </w:r>
      <w:r w:rsidR="00515284" w:rsidRPr="00DD71E7">
        <w:t>1</w:t>
      </w:r>
      <w:r w:rsidR="00107AB9" w:rsidRPr="00DD71E7">
        <w:t>5.23</w:t>
      </w:r>
      <w:r w:rsidR="006402B6" w:rsidRPr="00DD71E7">
        <w:t xml:space="preserve"> million </w:t>
      </w:r>
      <w:r w:rsidR="00515284" w:rsidRPr="00DD71E7">
        <w:t>i</w:t>
      </w:r>
      <w:r w:rsidR="006402B6" w:rsidRPr="00DD71E7">
        <w:t>n FY35/36, with a total cost over 10 years of $</w:t>
      </w:r>
      <w:r w:rsidR="001151BF" w:rsidRPr="00DD71E7">
        <w:t>1</w:t>
      </w:r>
      <w:r w:rsidR="006864E8" w:rsidRPr="00DD71E7">
        <w:t>2</w:t>
      </w:r>
      <w:r w:rsidR="00107AB9" w:rsidRPr="00DD71E7">
        <w:t>3</w:t>
      </w:r>
      <w:r w:rsidR="006864E8" w:rsidRPr="00DD71E7">
        <w:t>.</w:t>
      </w:r>
      <w:r w:rsidR="00107AB9" w:rsidRPr="00DD71E7">
        <w:t>38</w:t>
      </w:r>
      <w:r w:rsidR="006402B6" w:rsidRPr="00DD71E7">
        <w:t xml:space="preserve"> million.</w:t>
      </w:r>
      <w:r w:rsidR="00215E34" w:rsidRPr="00DD71E7">
        <w:t xml:space="preserve"> This is an incremental increase to Option 1 of </w:t>
      </w:r>
      <w:r w:rsidR="00BA357C" w:rsidRPr="00DD71E7">
        <w:t>$</w:t>
      </w:r>
      <w:r w:rsidR="00107AB9" w:rsidRPr="00DD71E7">
        <w:t>71.76</w:t>
      </w:r>
      <w:r w:rsidR="00407765" w:rsidRPr="00DD71E7">
        <w:t xml:space="preserve"> million over 10 years.</w:t>
      </w:r>
    </w:p>
    <w:p w14:paraId="756D9EE9" w14:textId="54AF0692" w:rsidR="00441A60" w:rsidRPr="00441A60" w:rsidRDefault="006402B6" w:rsidP="006402B6">
      <w:pPr>
        <w:pStyle w:val="Caption"/>
      </w:pPr>
      <w:bookmarkStart w:id="173" w:name="_Ref200488788"/>
      <w:bookmarkStart w:id="174" w:name="_Toc207348598"/>
      <w:r>
        <w:t xml:space="preserve">Table </w:t>
      </w:r>
      <w:r w:rsidR="004F27F5">
        <w:fldChar w:fldCharType="begin"/>
      </w:r>
      <w:r w:rsidR="004F27F5">
        <w:instrText xml:space="preserve"> SEQ Table \* ARABIC </w:instrText>
      </w:r>
      <w:r w:rsidR="004F27F5">
        <w:fldChar w:fldCharType="separate"/>
      </w:r>
      <w:r w:rsidR="004F27F5">
        <w:rPr>
          <w:noProof/>
        </w:rPr>
        <w:t>33</w:t>
      </w:r>
      <w:r w:rsidR="004F27F5">
        <w:rPr>
          <w:noProof/>
        </w:rPr>
        <w:fldChar w:fldCharType="end"/>
      </w:r>
      <w:bookmarkEnd w:id="173"/>
      <w:r>
        <w:t xml:space="preserve">: </w:t>
      </w:r>
      <w:r w:rsidR="008B139B" w:rsidRPr="00F47631">
        <w:t xml:space="preserve">Option </w:t>
      </w:r>
      <w:r w:rsidR="008B139B">
        <w:t>2</w:t>
      </w:r>
      <w:r w:rsidR="008B139B" w:rsidRPr="00F47631">
        <w:t xml:space="preserve"> </w:t>
      </w:r>
      <w:r w:rsidR="005B2A87">
        <w:t>total number of cancer cases diagnosed per year</w:t>
      </w:r>
      <w:bookmarkEnd w:id="174"/>
    </w:p>
    <w:tbl>
      <w:tblPr>
        <w:tblStyle w:val="KPMGTable"/>
        <w:tblW w:w="10438" w:type="dxa"/>
        <w:tblLook w:val="04A0" w:firstRow="1" w:lastRow="0" w:firstColumn="1" w:lastColumn="0" w:noHBand="0" w:noVBand="1"/>
      </w:tblPr>
      <w:tblGrid>
        <w:gridCol w:w="1433"/>
        <w:gridCol w:w="900"/>
        <w:gridCol w:w="900"/>
        <w:gridCol w:w="900"/>
        <w:gridCol w:w="900"/>
        <w:gridCol w:w="900"/>
        <w:gridCol w:w="900"/>
        <w:gridCol w:w="900"/>
        <w:gridCol w:w="900"/>
        <w:gridCol w:w="900"/>
        <w:gridCol w:w="905"/>
      </w:tblGrid>
      <w:tr w:rsidR="00AD6F37" w:rsidRPr="0019780B" w14:paraId="0174F3E4" w14:textId="77777777" w:rsidTr="005B2A87">
        <w:trPr>
          <w:cnfStyle w:val="100000000000" w:firstRow="1" w:lastRow="0" w:firstColumn="0" w:lastColumn="0" w:oddVBand="0" w:evenVBand="0" w:oddHBand="0"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1433" w:type="dxa"/>
          </w:tcPr>
          <w:p w14:paraId="2480D48B" w14:textId="1C22DCEE" w:rsidR="00DA6852" w:rsidRPr="0019780B" w:rsidRDefault="005B2A87" w:rsidP="005B2A87">
            <w:pPr>
              <w:pStyle w:val="TableHeading"/>
            </w:pPr>
            <w:r>
              <w:t>Type of cancer</w:t>
            </w:r>
          </w:p>
        </w:tc>
        <w:tc>
          <w:tcPr>
            <w:tcW w:w="900" w:type="dxa"/>
          </w:tcPr>
          <w:p w14:paraId="7D669C27" w14:textId="77777777" w:rsidR="00DA6852" w:rsidRPr="0019780B" w:rsidRDefault="00DA6852" w:rsidP="005B2A87">
            <w:pPr>
              <w:pStyle w:val="TableHeading"/>
              <w:cnfStyle w:val="100000000000" w:firstRow="1" w:lastRow="0" w:firstColumn="0" w:lastColumn="0" w:oddVBand="0" w:evenVBand="0" w:oddHBand="0" w:evenHBand="0" w:firstRowFirstColumn="0" w:firstRowLastColumn="0" w:lastRowFirstColumn="0" w:lastRowLastColumn="0"/>
            </w:pPr>
            <w:r w:rsidRPr="0019780B">
              <w:t>FY26/27</w:t>
            </w:r>
          </w:p>
        </w:tc>
        <w:tc>
          <w:tcPr>
            <w:tcW w:w="900" w:type="dxa"/>
          </w:tcPr>
          <w:p w14:paraId="64818531" w14:textId="77777777" w:rsidR="00DA6852" w:rsidRPr="0019780B" w:rsidRDefault="00DA6852" w:rsidP="005B2A87">
            <w:pPr>
              <w:pStyle w:val="TableHeading"/>
              <w:cnfStyle w:val="100000000000" w:firstRow="1" w:lastRow="0" w:firstColumn="0" w:lastColumn="0" w:oddVBand="0" w:evenVBand="0" w:oddHBand="0" w:evenHBand="0" w:firstRowFirstColumn="0" w:firstRowLastColumn="0" w:lastRowFirstColumn="0" w:lastRowLastColumn="0"/>
            </w:pPr>
            <w:r w:rsidRPr="0019780B">
              <w:t>FY27/28</w:t>
            </w:r>
          </w:p>
        </w:tc>
        <w:tc>
          <w:tcPr>
            <w:tcW w:w="900" w:type="dxa"/>
          </w:tcPr>
          <w:p w14:paraId="57DFA0E9" w14:textId="77777777" w:rsidR="00DA6852" w:rsidRPr="0019780B" w:rsidRDefault="00DA6852" w:rsidP="005B2A87">
            <w:pPr>
              <w:pStyle w:val="TableHeading"/>
              <w:cnfStyle w:val="100000000000" w:firstRow="1" w:lastRow="0" w:firstColumn="0" w:lastColumn="0" w:oddVBand="0" w:evenVBand="0" w:oddHBand="0" w:evenHBand="0" w:firstRowFirstColumn="0" w:firstRowLastColumn="0" w:lastRowFirstColumn="0" w:lastRowLastColumn="0"/>
            </w:pPr>
            <w:r w:rsidRPr="0019780B">
              <w:t>FY28/29</w:t>
            </w:r>
          </w:p>
        </w:tc>
        <w:tc>
          <w:tcPr>
            <w:tcW w:w="900" w:type="dxa"/>
          </w:tcPr>
          <w:p w14:paraId="392CEB01" w14:textId="77777777" w:rsidR="00DA6852" w:rsidRPr="0019780B" w:rsidRDefault="00DA6852" w:rsidP="005B2A87">
            <w:pPr>
              <w:pStyle w:val="TableHeading"/>
              <w:cnfStyle w:val="100000000000" w:firstRow="1" w:lastRow="0" w:firstColumn="0" w:lastColumn="0" w:oddVBand="0" w:evenVBand="0" w:oddHBand="0" w:evenHBand="0" w:firstRowFirstColumn="0" w:firstRowLastColumn="0" w:lastRowFirstColumn="0" w:lastRowLastColumn="0"/>
            </w:pPr>
            <w:r w:rsidRPr="0019780B">
              <w:t>FY29/30</w:t>
            </w:r>
          </w:p>
        </w:tc>
        <w:tc>
          <w:tcPr>
            <w:tcW w:w="900" w:type="dxa"/>
          </w:tcPr>
          <w:p w14:paraId="0B404F79" w14:textId="77777777" w:rsidR="00DA6852" w:rsidRPr="0019780B" w:rsidRDefault="00DA6852" w:rsidP="005B2A87">
            <w:pPr>
              <w:pStyle w:val="TableHeading"/>
              <w:cnfStyle w:val="100000000000" w:firstRow="1" w:lastRow="0" w:firstColumn="0" w:lastColumn="0" w:oddVBand="0" w:evenVBand="0" w:oddHBand="0" w:evenHBand="0" w:firstRowFirstColumn="0" w:firstRowLastColumn="0" w:lastRowFirstColumn="0" w:lastRowLastColumn="0"/>
            </w:pPr>
            <w:r w:rsidRPr="0019780B">
              <w:t>FY30/31</w:t>
            </w:r>
          </w:p>
        </w:tc>
        <w:tc>
          <w:tcPr>
            <w:tcW w:w="900" w:type="dxa"/>
          </w:tcPr>
          <w:p w14:paraId="3D357AB9" w14:textId="77777777" w:rsidR="00DA6852" w:rsidRPr="0019780B" w:rsidRDefault="00DA6852" w:rsidP="005B2A87">
            <w:pPr>
              <w:pStyle w:val="TableHeading"/>
              <w:cnfStyle w:val="100000000000" w:firstRow="1" w:lastRow="0" w:firstColumn="0" w:lastColumn="0" w:oddVBand="0" w:evenVBand="0" w:oddHBand="0" w:evenHBand="0" w:firstRowFirstColumn="0" w:firstRowLastColumn="0" w:lastRowFirstColumn="0" w:lastRowLastColumn="0"/>
            </w:pPr>
            <w:r w:rsidRPr="0019780B">
              <w:t>FY31/32</w:t>
            </w:r>
          </w:p>
        </w:tc>
        <w:tc>
          <w:tcPr>
            <w:tcW w:w="900" w:type="dxa"/>
          </w:tcPr>
          <w:p w14:paraId="47B1D3AA" w14:textId="77777777" w:rsidR="00DA6852" w:rsidRPr="0019780B" w:rsidRDefault="00DA6852" w:rsidP="005B2A87">
            <w:pPr>
              <w:pStyle w:val="TableHeading"/>
              <w:cnfStyle w:val="100000000000" w:firstRow="1" w:lastRow="0" w:firstColumn="0" w:lastColumn="0" w:oddVBand="0" w:evenVBand="0" w:oddHBand="0" w:evenHBand="0" w:firstRowFirstColumn="0" w:firstRowLastColumn="0" w:lastRowFirstColumn="0" w:lastRowLastColumn="0"/>
            </w:pPr>
            <w:r w:rsidRPr="0019780B">
              <w:t>FY32/33</w:t>
            </w:r>
          </w:p>
        </w:tc>
        <w:tc>
          <w:tcPr>
            <w:tcW w:w="900" w:type="dxa"/>
          </w:tcPr>
          <w:p w14:paraId="0C11ED0A" w14:textId="77777777" w:rsidR="00DA6852" w:rsidRPr="0019780B" w:rsidRDefault="00DA6852" w:rsidP="005B2A87">
            <w:pPr>
              <w:pStyle w:val="TableHeading"/>
              <w:cnfStyle w:val="100000000000" w:firstRow="1" w:lastRow="0" w:firstColumn="0" w:lastColumn="0" w:oddVBand="0" w:evenVBand="0" w:oddHBand="0" w:evenHBand="0" w:firstRowFirstColumn="0" w:firstRowLastColumn="0" w:lastRowFirstColumn="0" w:lastRowLastColumn="0"/>
            </w:pPr>
            <w:r w:rsidRPr="0019780B">
              <w:t>FY33/34</w:t>
            </w:r>
          </w:p>
        </w:tc>
        <w:tc>
          <w:tcPr>
            <w:tcW w:w="900" w:type="dxa"/>
          </w:tcPr>
          <w:p w14:paraId="26BF48AA" w14:textId="77777777" w:rsidR="00DA6852" w:rsidRPr="0019780B" w:rsidRDefault="00DA6852" w:rsidP="005B2A87">
            <w:pPr>
              <w:pStyle w:val="TableHeading"/>
              <w:cnfStyle w:val="100000000000" w:firstRow="1" w:lastRow="0" w:firstColumn="0" w:lastColumn="0" w:oddVBand="0" w:evenVBand="0" w:oddHBand="0" w:evenHBand="0" w:firstRowFirstColumn="0" w:firstRowLastColumn="0" w:lastRowFirstColumn="0" w:lastRowLastColumn="0"/>
            </w:pPr>
            <w:r w:rsidRPr="0019780B">
              <w:t>FY34/35</w:t>
            </w:r>
          </w:p>
        </w:tc>
        <w:tc>
          <w:tcPr>
            <w:tcW w:w="905" w:type="dxa"/>
          </w:tcPr>
          <w:p w14:paraId="135365CC" w14:textId="77777777" w:rsidR="00DA6852" w:rsidRPr="0019780B" w:rsidRDefault="00DA6852" w:rsidP="005B2A87">
            <w:pPr>
              <w:pStyle w:val="TableHeading"/>
              <w:cnfStyle w:val="100000000000" w:firstRow="1" w:lastRow="0" w:firstColumn="0" w:lastColumn="0" w:oddVBand="0" w:evenVBand="0" w:oddHBand="0" w:evenHBand="0" w:firstRowFirstColumn="0" w:firstRowLastColumn="0" w:lastRowFirstColumn="0" w:lastRowLastColumn="0"/>
            </w:pPr>
            <w:r w:rsidRPr="0019780B">
              <w:t>FY35/36</w:t>
            </w:r>
          </w:p>
        </w:tc>
      </w:tr>
      <w:tr w:rsidR="00677ED1" w:rsidRPr="0019780B" w14:paraId="5C63341A" w14:textId="77777777" w:rsidTr="005B2A87">
        <w:trPr>
          <w:trHeight w:val="293"/>
        </w:trPr>
        <w:tc>
          <w:tcPr>
            <w:cnfStyle w:val="001000000000" w:firstRow="0" w:lastRow="0" w:firstColumn="1" w:lastColumn="0" w:oddVBand="0" w:evenVBand="0" w:oddHBand="0" w:evenHBand="0" w:firstRowFirstColumn="0" w:firstRowLastColumn="0" w:lastRowFirstColumn="0" w:lastRowLastColumn="0"/>
            <w:tcW w:w="1433" w:type="dxa"/>
          </w:tcPr>
          <w:p w14:paraId="0D0200D9" w14:textId="77777777" w:rsidR="00DA6852" w:rsidRPr="0019780B" w:rsidRDefault="00DA6852" w:rsidP="005B2A87">
            <w:pPr>
              <w:pStyle w:val="Tabletextbold"/>
            </w:pPr>
            <w:r w:rsidRPr="0019780B">
              <w:t>Breast cancer</w:t>
            </w:r>
          </w:p>
        </w:tc>
        <w:tc>
          <w:tcPr>
            <w:tcW w:w="900" w:type="dxa"/>
          </w:tcPr>
          <w:p w14:paraId="20E73BD5" w14:textId="77777777" w:rsidR="00DA6852" w:rsidRPr="0019780B" w:rsidRDefault="00DA6852" w:rsidP="005B2A87">
            <w:pPr>
              <w:pStyle w:val="TableText"/>
              <w:cnfStyle w:val="000000000000" w:firstRow="0" w:lastRow="0" w:firstColumn="0" w:lastColumn="0" w:oddVBand="0" w:evenVBand="0" w:oddHBand="0" w:evenHBand="0" w:firstRowFirstColumn="0" w:firstRowLastColumn="0" w:lastRowFirstColumn="0" w:lastRowLastColumn="0"/>
            </w:pPr>
            <w:r w:rsidRPr="0019780B">
              <w:t>21,716</w:t>
            </w:r>
          </w:p>
        </w:tc>
        <w:tc>
          <w:tcPr>
            <w:tcW w:w="900" w:type="dxa"/>
          </w:tcPr>
          <w:p w14:paraId="61EF1A4A" w14:textId="77777777" w:rsidR="00DA6852" w:rsidRPr="0019780B" w:rsidRDefault="00DA6852" w:rsidP="005B2A87">
            <w:pPr>
              <w:pStyle w:val="TableText"/>
              <w:cnfStyle w:val="000000000000" w:firstRow="0" w:lastRow="0" w:firstColumn="0" w:lastColumn="0" w:oddVBand="0" w:evenVBand="0" w:oddHBand="0" w:evenHBand="0" w:firstRowFirstColumn="0" w:firstRowLastColumn="0" w:lastRowFirstColumn="0" w:lastRowLastColumn="0"/>
            </w:pPr>
            <w:r w:rsidRPr="0019780B">
              <w:t>22,025</w:t>
            </w:r>
          </w:p>
        </w:tc>
        <w:tc>
          <w:tcPr>
            <w:tcW w:w="900" w:type="dxa"/>
          </w:tcPr>
          <w:p w14:paraId="2CD086C4" w14:textId="77777777" w:rsidR="00DA6852" w:rsidRPr="0019780B" w:rsidRDefault="00DA6852" w:rsidP="005B2A87">
            <w:pPr>
              <w:pStyle w:val="TableText"/>
              <w:cnfStyle w:val="000000000000" w:firstRow="0" w:lastRow="0" w:firstColumn="0" w:lastColumn="0" w:oddVBand="0" w:evenVBand="0" w:oddHBand="0" w:evenHBand="0" w:firstRowFirstColumn="0" w:firstRowLastColumn="0" w:lastRowFirstColumn="0" w:lastRowLastColumn="0"/>
            </w:pPr>
            <w:r w:rsidRPr="0019780B">
              <w:t>22,322</w:t>
            </w:r>
          </w:p>
        </w:tc>
        <w:tc>
          <w:tcPr>
            <w:tcW w:w="900" w:type="dxa"/>
          </w:tcPr>
          <w:p w14:paraId="56CEC6AC" w14:textId="77777777" w:rsidR="00DA6852" w:rsidRPr="0019780B" w:rsidRDefault="00DA6852" w:rsidP="005B2A87">
            <w:pPr>
              <w:pStyle w:val="TableText"/>
              <w:cnfStyle w:val="000000000000" w:firstRow="0" w:lastRow="0" w:firstColumn="0" w:lastColumn="0" w:oddVBand="0" w:evenVBand="0" w:oddHBand="0" w:evenHBand="0" w:firstRowFirstColumn="0" w:firstRowLastColumn="0" w:lastRowFirstColumn="0" w:lastRowLastColumn="0"/>
            </w:pPr>
            <w:r w:rsidRPr="0019780B">
              <w:t>22,607</w:t>
            </w:r>
          </w:p>
        </w:tc>
        <w:tc>
          <w:tcPr>
            <w:tcW w:w="900" w:type="dxa"/>
          </w:tcPr>
          <w:p w14:paraId="55A89A89" w14:textId="77777777" w:rsidR="00DA6852" w:rsidRPr="0019780B" w:rsidRDefault="00DA6852" w:rsidP="005B2A87">
            <w:pPr>
              <w:pStyle w:val="TableText"/>
              <w:cnfStyle w:val="000000000000" w:firstRow="0" w:lastRow="0" w:firstColumn="0" w:lastColumn="0" w:oddVBand="0" w:evenVBand="0" w:oddHBand="0" w:evenHBand="0" w:firstRowFirstColumn="0" w:firstRowLastColumn="0" w:lastRowFirstColumn="0" w:lastRowLastColumn="0"/>
            </w:pPr>
            <w:r w:rsidRPr="0019780B">
              <w:t>22,879</w:t>
            </w:r>
          </w:p>
        </w:tc>
        <w:tc>
          <w:tcPr>
            <w:tcW w:w="900" w:type="dxa"/>
          </w:tcPr>
          <w:p w14:paraId="403D62BF" w14:textId="77777777" w:rsidR="00DA6852" w:rsidRPr="0019780B" w:rsidRDefault="00DA6852" w:rsidP="005B2A87">
            <w:pPr>
              <w:pStyle w:val="TableText"/>
              <w:cnfStyle w:val="000000000000" w:firstRow="0" w:lastRow="0" w:firstColumn="0" w:lastColumn="0" w:oddVBand="0" w:evenVBand="0" w:oddHBand="0" w:evenHBand="0" w:firstRowFirstColumn="0" w:firstRowLastColumn="0" w:lastRowFirstColumn="0" w:lastRowLastColumn="0"/>
            </w:pPr>
            <w:r w:rsidRPr="0019780B">
              <w:t>23,140</w:t>
            </w:r>
          </w:p>
        </w:tc>
        <w:tc>
          <w:tcPr>
            <w:tcW w:w="900" w:type="dxa"/>
          </w:tcPr>
          <w:p w14:paraId="0E01FF39" w14:textId="77777777" w:rsidR="00DA6852" w:rsidRPr="0019780B" w:rsidRDefault="00DA6852" w:rsidP="005B2A87">
            <w:pPr>
              <w:pStyle w:val="TableText"/>
              <w:cnfStyle w:val="000000000000" w:firstRow="0" w:lastRow="0" w:firstColumn="0" w:lastColumn="0" w:oddVBand="0" w:evenVBand="0" w:oddHBand="0" w:evenHBand="0" w:firstRowFirstColumn="0" w:firstRowLastColumn="0" w:lastRowFirstColumn="0" w:lastRowLastColumn="0"/>
            </w:pPr>
            <w:r w:rsidRPr="0019780B">
              <w:t>23,386</w:t>
            </w:r>
          </w:p>
        </w:tc>
        <w:tc>
          <w:tcPr>
            <w:tcW w:w="900" w:type="dxa"/>
          </w:tcPr>
          <w:p w14:paraId="7DA8EC45" w14:textId="77777777" w:rsidR="00DA6852" w:rsidRPr="0019780B" w:rsidRDefault="00DA6852" w:rsidP="005B2A87">
            <w:pPr>
              <w:pStyle w:val="TableText"/>
              <w:cnfStyle w:val="000000000000" w:firstRow="0" w:lastRow="0" w:firstColumn="0" w:lastColumn="0" w:oddVBand="0" w:evenVBand="0" w:oddHBand="0" w:evenHBand="0" w:firstRowFirstColumn="0" w:firstRowLastColumn="0" w:lastRowFirstColumn="0" w:lastRowLastColumn="0"/>
            </w:pPr>
            <w:r w:rsidRPr="0019780B">
              <w:t>23,629</w:t>
            </w:r>
          </w:p>
        </w:tc>
        <w:tc>
          <w:tcPr>
            <w:tcW w:w="900" w:type="dxa"/>
          </w:tcPr>
          <w:p w14:paraId="547D069B" w14:textId="77777777" w:rsidR="00DA6852" w:rsidRPr="0019780B" w:rsidRDefault="00DA6852" w:rsidP="005B2A87">
            <w:pPr>
              <w:pStyle w:val="TableText"/>
              <w:cnfStyle w:val="000000000000" w:firstRow="0" w:lastRow="0" w:firstColumn="0" w:lastColumn="0" w:oddVBand="0" w:evenVBand="0" w:oddHBand="0" w:evenHBand="0" w:firstRowFirstColumn="0" w:firstRowLastColumn="0" w:lastRowFirstColumn="0" w:lastRowLastColumn="0"/>
            </w:pPr>
            <w:r w:rsidRPr="0019780B">
              <w:t>23,868</w:t>
            </w:r>
          </w:p>
        </w:tc>
        <w:tc>
          <w:tcPr>
            <w:tcW w:w="905" w:type="dxa"/>
          </w:tcPr>
          <w:p w14:paraId="5B7345BE" w14:textId="77777777" w:rsidR="00DA6852" w:rsidRPr="0019780B" w:rsidRDefault="00DA6852" w:rsidP="005B2A87">
            <w:pPr>
              <w:pStyle w:val="TableText"/>
              <w:cnfStyle w:val="000000000000" w:firstRow="0" w:lastRow="0" w:firstColumn="0" w:lastColumn="0" w:oddVBand="0" w:evenVBand="0" w:oddHBand="0" w:evenHBand="0" w:firstRowFirstColumn="0" w:firstRowLastColumn="0" w:lastRowFirstColumn="0" w:lastRowLastColumn="0"/>
            </w:pPr>
            <w:r w:rsidRPr="0019780B">
              <w:t>24,104</w:t>
            </w:r>
          </w:p>
        </w:tc>
      </w:tr>
      <w:tr w:rsidR="00677ED1" w:rsidRPr="0019780B" w14:paraId="353368D3" w14:textId="77777777" w:rsidTr="005B2A87">
        <w:trPr>
          <w:trHeight w:val="293"/>
        </w:trPr>
        <w:tc>
          <w:tcPr>
            <w:cnfStyle w:val="001000000000" w:firstRow="0" w:lastRow="0" w:firstColumn="1" w:lastColumn="0" w:oddVBand="0" w:evenVBand="0" w:oddHBand="0" w:evenHBand="0" w:firstRowFirstColumn="0" w:firstRowLastColumn="0" w:lastRowFirstColumn="0" w:lastRowLastColumn="0"/>
            <w:tcW w:w="1433" w:type="dxa"/>
          </w:tcPr>
          <w:p w14:paraId="00B76577" w14:textId="77777777" w:rsidR="00DA6852" w:rsidRPr="0019780B" w:rsidRDefault="00DA6852" w:rsidP="005B2A87">
            <w:pPr>
              <w:pStyle w:val="Tabletextbold"/>
              <w:rPr>
                <w:b/>
              </w:rPr>
            </w:pPr>
            <w:r w:rsidRPr="0019780B">
              <w:rPr>
                <w:b/>
              </w:rPr>
              <w:t xml:space="preserve">Total </w:t>
            </w:r>
          </w:p>
        </w:tc>
        <w:tc>
          <w:tcPr>
            <w:tcW w:w="900" w:type="dxa"/>
          </w:tcPr>
          <w:p w14:paraId="4EF5DB4E" w14:textId="77777777" w:rsidR="00DA6852" w:rsidRPr="0019780B" w:rsidRDefault="00DA6852" w:rsidP="005B2A87">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19780B">
              <w:rPr>
                <w:rFonts w:cstheme="minorHAnsi"/>
                <w:szCs w:val="18"/>
              </w:rPr>
              <w:t>21,716</w:t>
            </w:r>
          </w:p>
        </w:tc>
        <w:tc>
          <w:tcPr>
            <w:tcW w:w="900" w:type="dxa"/>
          </w:tcPr>
          <w:p w14:paraId="48EB1B16" w14:textId="77777777" w:rsidR="00DA6852" w:rsidRPr="0019780B" w:rsidRDefault="00DA6852" w:rsidP="005B2A87">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19780B">
              <w:rPr>
                <w:rFonts w:cstheme="minorHAnsi"/>
                <w:szCs w:val="18"/>
              </w:rPr>
              <w:t>22,025</w:t>
            </w:r>
          </w:p>
        </w:tc>
        <w:tc>
          <w:tcPr>
            <w:tcW w:w="900" w:type="dxa"/>
          </w:tcPr>
          <w:p w14:paraId="7E7AF1C1" w14:textId="77777777" w:rsidR="00DA6852" w:rsidRPr="0019780B" w:rsidRDefault="00DA6852" w:rsidP="005B2A87">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19780B">
              <w:rPr>
                <w:rFonts w:cstheme="minorHAnsi"/>
                <w:szCs w:val="18"/>
              </w:rPr>
              <w:t>22,322</w:t>
            </w:r>
          </w:p>
        </w:tc>
        <w:tc>
          <w:tcPr>
            <w:tcW w:w="900" w:type="dxa"/>
          </w:tcPr>
          <w:p w14:paraId="4D99865A" w14:textId="77777777" w:rsidR="00DA6852" w:rsidRPr="0019780B" w:rsidRDefault="00DA6852" w:rsidP="005B2A87">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19780B">
              <w:rPr>
                <w:rFonts w:cstheme="minorHAnsi"/>
                <w:szCs w:val="18"/>
              </w:rPr>
              <w:t>22,607</w:t>
            </w:r>
          </w:p>
        </w:tc>
        <w:tc>
          <w:tcPr>
            <w:tcW w:w="900" w:type="dxa"/>
          </w:tcPr>
          <w:p w14:paraId="15C413AC" w14:textId="77777777" w:rsidR="00DA6852" w:rsidRPr="0019780B" w:rsidRDefault="00DA6852" w:rsidP="005B2A87">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19780B">
              <w:rPr>
                <w:rFonts w:cstheme="minorHAnsi"/>
                <w:szCs w:val="18"/>
              </w:rPr>
              <w:t>22,879</w:t>
            </w:r>
          </w:p>
        </w:tc>
        <w:tc>
          <w:tcPr>
            <w:tcW w:w="900" w:type="dxa"/>
          </w:tcPr>
          <w:p w14:paraId="1E337352" w14:textId="77777777" w:rsidR="00DA6852" w:rsidRPr="0019780B" w:rsidRDefault="00DA6852" w:rsidP="005B2A87">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19780B">
              <w:rPr>
                <w:rFonts w:cstheme="minorHAnsi"/>
                <w:szCs w:val="18"/>
              </w:rPr>
              <w:t>23,140</w:t>
            </w:r>
          </w:p>
        </w:tc>
        <w:tc>
          <w:tcPr>
            <w:tcW w:w="900" w:type="dxa"/>
          </w:tcPr>
          <w:p w14:paraId="36DBCF5B" w14:textId="77777777" w:rsidR="00DA6852" w:rsidRPr="0019780B" w:rsidRDefault="00DA6852" w:rsidP="005B2A87">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19780B">
              <w:rPr>
                <w:rFonts w:cstheme="minorHAnsi"/>
                <w:szCs w:val="18"/>
              </w:rPr>
              <w:t>23,386</w:t>
            </w:r>
          </w:p>
        </w:tc>
        <w:tc>
          <w:tcPr>
            <w:tcW w:w="900" w:type="dxa"/>
          </w:tcPr>
          <w:p w14:paraId="29AEA33D" w14:textId="77777777" w:rsidR="00DA6852" w:rsidRPr="0019780B" w:rsidRDefault="00DA6852" w:rsidP="005B2A87">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19780B">
              <w:rPr>
                <w:rFonts w:cstheme="minorHAnsi"/>
                <w:szCs w:val="18"/>
              </w:rPr>
              <w:t>23,629</w:t>
            </w:r>
          </w:p>
        </w:tc>
        <w:tc>
          <w:tcPr>
            <w:tcW w:w="900" w:type="dxa"/>
          </w:tcPr>
          <w:p w14:paraId="2BB91216" w14:textId="77777777" w:rsidR="00DA6852" w:rsidRPr="0019780B" w:rsidRDefault="00DA6852" w:rsidP="005B2A87">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19780B">
              <w:rPr>
                <w:rFonts w:cstheme="minorHAnsi"/>
                <w:szCs w:val="18"/>
              </w:rPr>
              <w:t>23,868</w:t>
            </w:r>
          </w:p>
        </w:tc>
        <w:tc>
          <w:tcPr>
            <w:tcW w:w="905" w:type="dxa"/>
          </w:tcPr>
          <w:p w14:paraId="75F78EEF" w14:textId="77777777" w:rsidR="00DA6852" w:rsidRPr="0019780B" w:rsidRDefault="00DA6852" w:rsidP="005B2A87">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19780B">
              <w:rPr>
                <w:rFonts w:cstheme="minorHAnsi"/>
                <w:szCs w:val="18"/>
              </w:rPr>
              <w:t>24,104</w:t>
            </w:r>
          </w:p>
        </w:tc>
      </w:tr>
    </w:tbl>
    <w:p w14:paraId="41EE9F34" w14:textId="179FF125" w:rsidR="005B2A87" w:rsidRPr="005B2A87" w:rsidRDefault="005B2A87" w:rsidP="005B2A87">
      <w:pPr>
        <w:pStyle w:val="Caption-Source"/>
      </w:pPr>
      <w:r w:rsidRPr="005B2A87">
        <w:t xml:space="preserve">Source: </w:t>
      </w:r>
      <w:r w:rsidR="0044544E" w:rsidRPr="0044544E">
        <w:t>Independent reviewer</w:t>
      </w:r>
      <w:r w:rsidRPr="005B2A87">
        <w:t xml:space="preserve"> (2025)</w:t>
      </w:r>
    </w:p>
    <w:p w14:paraId="23A0A9EE" w14:textId="357B0D8B" w:rsidR="005B2A87" w:rsidRDefault="005B2A87" w:rsidP="005B2A87">
      <w:pPr>
        <w:pStyle w:val="Caption"/>
      </w:pPr>
      <w:bookmarkStart w:id="175" w:name="_Toc207348599"/>
      <w:r>
        <w:t xml:space="preserve">Table </w:t>
      </w:r>
      <w:r w:rsidR="004F27F5">
        <w:fldChar w:fldCharType="begin"/>
      </w:r>
      <w:r w:rsidR="004F27F5">
        <w:instrText xml:space="preserve"> SEQ Table \* ARABIC </w:instrText>
      </w:r>
      <w:r w:rsidR="004F27F5">
        <w:fldChar w:fldCharType="separate"/>
      </w:r>
      <w:r w:rsidR="004F27F5">
        <w:rPr>
          <w:noProof/>
        </w:rPr>
        <w:t>34</w:t>
      </w:r>
      <w:r w:rsidR="004F27F5">
        <w:rPr>
          <w:noProof/>
        </w:rPr>
        <w:fldChar w:fldCharType="end"/>
      </w:r>
      <w:r>
        <w:t>: Option 2 total number of new prostheses required per year</w:t>
      </w:r>
      <w:bookmarkEnd w:id="175"/>
    </w:p>
    <w:tbl>
      <w:tblPr>
        <w:tblStyle w:val="KPMGTable"/>
        <w:tblW w:w="10438" w:type="dxa"/>
        <w:tblLook w:val="04A0" w:firstRow="1" w:lastRow="0" w:firstColumn="1" w:lastColumn="0" w:noHBand="0" w:noVBand="1"/>
      </w:tblPr>
      <w:tblGrid>
        <w:gridCol w:w="1433"/>
        <w:gridCol w:w="900"/>
        <w:gridCol w:w="900"/>
        <w:gridCol w:w="900"/>
        <w:gridCol w:w="900"/>
        <w:gridCol w:w="900"/>
        <w:gridCol w:w="900"/>
        <w:gridCol w:w="900"/>
        <w:gridCol w:w="900"/>
        <w:gridCol w:w="900"/>
        <w:gridCol w:w="905"/>
      </w:tblGrid>
      <w:tr w:rsidR="00AD6F37" w:rsidRPr="0019780B" w14:paraId="09C2885A" w14:textId="77777777" w:rsidTr="005B2A87">
        <w:trPr>
          <w:cnfStyle w:val="100000000000" w:firstRow="1" w:lastRow="0" w:firstColumn="0" w:lastColumn="0" w:oddVBand="0" w:evenVBand="0" w:oddHBand="0"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1433" w:type="dxa"/>
          </w:tcPr>
          <w:p w14:paraId="3FB7F907" w14:textId="2A1CEE0C" w:rsidR="005B2A87" w:rsidRPr="0019780B" w:rsidRDefault="005B2A87" w:rsidP="005B2A87">
            <w:pPr>
              <w:pStyle w:val="TableHeading"/>
              <w:rPr>
                <w:szCs w:val="18"/>
              </w:rPr>
            </w:pPr>
            <w:r>
              <w:t>Type of prostheses</w:t>
            </w:r>
          </w:p>
        </w:tc>
        <w:tc>
          <w:tcPr>
            <w:tcW w:w="900" w:type="dxa"/>
          </w:tcPr>
          <w:p w14:paraId="0FD946DB" w14:textId="6FA08F7C" w:rsidR="005B2A87" w:rsidRPr="0019780B" w:rsidRDefault="005B2A87" w:rsidP="005B2A87">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FY26/27</w:t>
            </w:r>
          </w:p>
        </w:tc>
        <w:tc>
          <w:tcPr>
            <w:tcW w:w="900" w:type="dxa"/>
          </w:tcPr>
          <w:p w14:paraId="1D7FF3B6" w14:textId="7DAD7510" w:rsidR="005B2A87" w:rsidRPr="0019780B" w:rsidRDefault="005B2A87" w:rsidP="005B2A87">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FY27/28</w:t>
            </w:r>
          </w:p>
        </w:tc>
        <w:tc>
          <w:tcPr>
            <w:tcW w:w="900" w:type="dxa"/>
          </w:tcPr>
          <w:p w14:paraId="50B550C7" w14:textId="0270F21C" w:rsidR="005B2A87" w:rsidRPr="0019780B" w:rsidRDefault="005B2A87" w:rsidP="005B2A87">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FY28/29</w:t>
            </w:r>
          </w:p>
        </w:tc>
        <w:tc>
          <w:tcPr>
            <w:tcW w:w="900" w:type="dxa"/>
          </w:tcPr>
          <w:p w14:paraId="56E8BCF5" w14:textId="4204C30F" w:rsidR="005B2A87" w:rsidRPr="0019780B" w:rsidRDefault="005B2A87" w:rsidP="005B2A87">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FY29/30</w:t>
            </w:r>
          </w:p>
        </w:tc>
        <w:tc>
          <w:tcPr>
            <w:tcW w:w="900" w:type="dxa"/>
          </w:tcPr>
          <w:p w14:paraId="39A5D49A" w14:textId="4BBBFAB5" w:rsidR="005B2A87" w:rsidRPr="0019780B" w:rsidRDefault="005B2A87" w:rsidP="005B2A87">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FY30/31</w:t>
            </w:r>
          </w:p>
        </w:tc>
        <w:tc>
          <w:tcPr>
            <w:tcW w:w="900" w:type="dxa"/>
          </w:tcPr>
          <w:p w14:paraId="29D9EA5E" w14:textId="058DBD96" w:rsidR="005B2A87" w:rsidRPr="0019780B" w:rsidRDefault="005B2A87" w:rsidP="005B2A87">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FY31/32</w:t>
            </w:r>
          </w:p>
        </w:tc>
        <w:tc>
          <w:tcPr>
            <w:tcW w:w="900" w:type="dxa"/>
          </w:tcPr>
          <w:p w14:paraId="2800EA7F" w14:textId="29AED014" w:rsidR="005B2A87" w:rsidRPr="0019780B" w:rsidRDefault="005B2A87" w:rsidP="005B2A87">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FY32/33</w:t>
            </w:r>
          </w:p>
        </w:tc>
        <w:tc>
          <w:tcPr>
            <w:tcW w:w="900" w:type="dxa"/>
          </w:tcPr>
          <w:p w14:paraId="4630D584" w14:textId="327145AA" w:rsidR="005B2A87" w:rsidRPr="0019780B" w:rsidRDefault="005B2A87" w:rsidP="005B2A87">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FY33/34</w:t>
            </w:r>
          </w:p>
        </w:tc>
        <w:tc>
          <w:tcPr>
            <w:tcW w:w="900" w:type="dxa"/>
          </w:tcPr>
          <w:p w14:paraId="5A7BF873" w14:textId="3E8A5FA7" w:rsidR="005B2A87" w:rsidRPr="0019780B" w:rsidRDefault="005B2A87" w:rsidP="005B2A87">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FY34/35</w:t>
            </w:r>
          </w:p>
        </w:tc>
        <w:tc>
          <w:tcPr>
            <w:tcW w:w="905" w:type="dxa"/>
          </w:tcPr>
          <w:p w14:paraId="60F74943" w14:textId="5D845BCA" w:rsidR="005B2A87" w:rsidRPr="0019780B" w:rsidRDefault="005B2A87" w:rsidP="005B2A87">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FY35/36</w:t>
            </w:r>
          </w:p>
        </w:tc>
      </w:tr>
      <w:tr w:rsidR="00677ED1" w:rsidRPr="0019780B" w14:paraId="7EA6383B" w14:textId="77777777" w:rsidTr="005B2A87">
        <w:trPr>
          <w:trHeight w:val="427"/>
        </w:trPr>
        <w:tc>
          <w:tcPr>
            <w:cnfStyle w:val="001000000000" w:firstRow="0" w:lastRow="0" w:firstColumn="1" w:lastColumn="0" w:oddVBand="0" w:evenVBand="0" w:oddHBand="0" w:evenHBand="0" w:firstRowFirstColumn="0" w:firstRowLastColumn="0" w:lastRowFirstColumn="0" w:lastRowLastColumn="0"/>
            <w:tcW w:w="1433" w:type="dxa"/>
          </w:tcPr>
          <w:p w14:paraId="04DEA57F" w14:textId="77777777" w:rsidR="00DA6852" w:rsidRPr="0019780B" w:rsidRDefault="00DA6852" w:rsidP="005B2A87">
            <w:pPr>
              <w:pStyle w:val="Tabletextbold"/>
            </w:pPr>
            <w:r w:rsidRPr="0019780B">
              <w:t>Unilateral mastectomy</w:t>
            </w:r>
          </w:p>
        </w:tc>
        <w:tc>
          <w:tcPr>
            <w:tcW w:w="900" w:type="dxa"/>
          </w:tcPr>
          <w:p w14:paraId="6C7FBD78" w14:textId="77777777" w:rsidR="00DA6852" w:rsidRPr="0019780B" w:rsidRDefault="00DA6852" w:rsidP="005B2A87">
            <w:pPr>
              <w:pStyle w:val="TableText"/>
              <w:cnfStyle w:val="000000000000" w:firstRow="0" w:lastRow="0" w:firstColumn="0" w:lastColumn="0" w:oddVBand="0" w:evenVBand="0" w:oddHBand="0" w:evenHBand="0" w:firstRowFirstColumn="0" w:firstRowLastColumn="0" w:lastRowFirstColumn="0" w:lastRowLastColumn="0"/>
            </w:pPr>
            <w:r w:rsidRPr="0019780B">
              <w:t>4,560</w:t>
            </w:r>
          </w:p>
        </w:tc>
        <w:tc>
          <w:tcPr>
            <w:tcW w:w="900" w:type="dxa"/>
          </w:tcPr>
          <w:p w14:paraId="7B94979B" w14:textId="77777777" w:rsidR="00DA6852" w:rsidRPr="0019780B" w:rsidRDefault="00DA6852" w:rsidP="005B2A87">
            <w:pPr>
              <w:pStyle w:val="TableText"/>
              <w:cnfStyle w:val="000000000000" w:firstRow="0" w:lastRow="0" w:firstColumn="0" w:lastColumn="0" w:oddVBand="0" w:evenVBand="0" w:oddHBand="0" w:evenHBand="0" w:firstRowFirstColumn="0" w:firstRowLastColumn="0" w:lastRowFirstColumn="0" w:lastRowLastColumn="0"/>
            </w:pPr>
            <w:r w:rsidRPr="0019780B">
              <w:t>4,625</w:t>
            </w:r>
          </w:p>
        </w:tc>
        <w:tc>
          <w:tcPr>
            <w:tcW w:w="900" w:type="dxa"/>
          </w:tcPr>
          <w:p w14:paraId="0E890E9F" w14:textId="77777777" w:rsidR="00DA6852" w:rsidRPr="0019780B" w:rsidRDefault="00DA6852" w:rsidP="005B2A87">
            <w:pPr>
              <w:pStyle w:val="TableText"/>
              <w:cnfStyle w:val="000000000000" w:firstRow="0" w:lastRow="0" w:firstColumn="0" w:lastColumn="0" w:oddVBand="0" w:evenVBand="0" w:oddHBand="0" w:evenHBand="0" w:firstRowFirstColumn="0" w:firstRowLastColumn="0" w:lastRowFirstColumn="0" w:lastRowLastColumn="0"/>
            </w:pPr>
            <w:r w:rsidRPr="0019780B">
              <w:t>4,688</w:t>
            </w:r>
          </w:p>
        </w:tc>
        <w:tc>
          <w:tcPr>
            <w:tcW w:w="900" w:type="dxa"/>
          </w:tcPr>
          <w:p w14:paraId="3B02A03C" w14:textId="77777777" w:rsidR="00DA6852" w:rsidRPr="0019780B" w:rsidRDefault="00DA6852" w:rsidP="005B2A87">
            <w:pPr>
              <w:pStyle w:val="TableText"/>
              <w:cnfStyle w:val="000000000000" w:firstRow="0" w:lastRow="0" w:firstColumn="0" w:lastColumn="0" w:oddVBand="0" w:evenVBand="0" w:oddHBand="0" w:evenHBand="0" w:firstRowFirstColumn="0" w:firstRowLastColumn="0" w:lastRowFirstColumn="0" w:lastRowLastColumn="0"/>
            </w:pPr>
            <w:r w:rsidRPr="0019780B">
              <w:t>4,747</w:t>
            </w:r>
          </w:p>
        </w:tc>
        <w:tc>
          <w:tcPr>
            <w:tcW w:w="900" w:type="dxa"/>
          </w:tcPr>
          <w:p w14:paraId="6EC9F9A8" w14:textId="77777777" w:rsidR="00DA6852" w:rsidRPr="0019780B" w:rsidRDefault="00DA6852" w:rsidP="005B2A87">
            <w:pPr>
              <w:pStyle w:val="TableText"/>
              <w:cnfStyle w:val="000000000000" w:firstRow="0" w:lastRow="0" w:firstColumn="0" w:lastColumn="0" w:oddVBand="0" w:evenVBand="0" w:oddHBand="0" w:evenHBand="0" w:firstRowFirstColumn="0" w:firstRowLastColumn="0" w:lastRowFirstColumn="0" w:lastRowLastColumn="0"/>
            </w:pPr>
            <w:r w:rsidRPr="0019780B">
              <w:t>4,805</w:t>
            </w:r>
          </w:p>
        </w:tc>
        <w:tc>
          <w:tcPr>
            <w:tcW w:w="900" w:type="dxa"/>
          </w:tcPr>
          <w:p w14:paraId="557B9665" w14:textId="77777777" w:rsidR="00DA6852" w:rsidRPr="0019780B" w:rsidRDefault="00DA6852" w:rsidP="005B2A87">
            <w:pPr>
              <w:pStyle w:val="TableText"/>
              <w:cnfStyle w:val="000000000000" w:firstRow="0" w:lastRow="0" w:firstColumn="0" w:lastColumn="0" w:oddVBand="0" w:evenVBand="0" w:oddHBand="0" w:evenHBand="0" w:firstRowFirstColumn="0" w:firstRowLastColumn="0" w:lastRowFirstColumn="0" w:lastRowLastColumn="0"/>
            </w:pPr>
            <w:r w:rsidRPr="0019780B">
              <w:t>4,859</w:t>
            </w:r>
          </w:p>
        </w:tc>
        <w:tc>
          <w:tcPr>
            <w:tcW w:w="900" w:type="dxa"/>
          </w:tcPr>
          <w:p w14:paraId="01457DFB" w14:textId="77777777" w:rsidR="00DA6852" w:rsidRPr="0019780B" w:rsidRDefault="00DA6852" w:rsidP="005B2A87">
            <w:pPr>
              <w:pStyle w:val="TableText"/>
              <w:cnfStyle w:val="000000000000" w:firstRow="0" w:lastRow="0" w:firstColumn="0" w:lastColumn="0" w:oddVBand="0" w:evenVBand="0" w:oddHBand="0" w:evenHBand="0" w:firstRowFirstColumn="0" w:firstRowLastColumn="0" w:lastRowFirstColumn="0" w:lastRowLastColumn="0"/>
            </w:pPr>
            <w:r w:rsidRPr="0019780B">
              <w:t>4,911</w:t>
            </w:r>
          </w:p>
        </w:tc>
        <w:tc>
          <w:tcPr>
            <w:tcW w:w="900" w:type="dxa"/>
          </w:tcPr>
          <w:p w14:paraId="61FEBF21" w14:textId="77777777" w:rsidR="00DA6852" w:rsidRPr="0019780B" w:rsidRDefault="00DA6852" w:rsidP="005B2A87">
            <w:pPr>
              <w:pStyle w:val="TableText"/>
              <w:cnfStyle w:val="000000000000" w:firstRow="0" w:lastRow="0" w:firstColumn="0" w:lastColumn="0" w:oddVBand="0" w:evenVBand="0" w:oddHBand="0" w:evenHBand="0" w:firstRowFirstColumn="0" w:firstRowLastColumn="0" w:lastRowFirstColumn="0" w:lastRowLastColumn="0"/>
            </w:pPr>
            <w:r w:rsidRPr="0019780B">
              <w:t>4,962</w:t>
            </w:r>
          </w:p>
        </w:tc>
        <w:tc>
          <w:tcPr>
            <w:tcW w:w="900" w:type="dxa"/>
          </w:tcPr>
          <w:p w14:paraId="04F730A1" w14:textId="77777777" w:rsidR="00DA6852" w:rsidRPr="0019780B" w:rsidRDefault="00DA6852" w:rsidP="005B2A87">
            <w:pPr>
              <w:pStyle w:val="TableText"/>
              <w:cnfStyle w:val="000000000000" w:firstRow="0" w:lastRow="0" w:firstColumn="0" w:lastColumn="0" w:oddVBand="0" w:evenVBand="0" w:oddHBand="0" w:evenHBand="0" w:firstRowFirstColumn="0" w:firstRowLastColumn="0" w:lastRowFirstColumn="0" w:lastRowLastColumn="0"/>
            </w:pPr>
            <w:r w:rsidRPr="0019780B">
              <w:t>5,012</w:t>
            </w:r>
          </w:p>
        </w:tc>
        <w:tc>
          <w:tcPr>
            <w:tcW w:w="905" w:type="dxa"/>
          </w:tcPr>
          <w:p w14:paraId="1A11550D" w14:textId="77777777" w:rsidR="00DA6852" w:rsidRPr="0019780B" w:rsidRDefault="00DA6852" w:rsidP="005B2A87">
            <w:pPr>
              <w:pStyle w:val="TableText"/>
              <w:cnfStyle w:val="000000000000" w:firstRow="0" w:lastRow="0" w:firstColumn="0" w:lastColumn="0" w:oddVBand="0" w:evenVBand="0" w:oddHBand="0" w:evenHBand="0" w:firstRowFirstColumn="0" w:firstRowLastColumn="0" w:lastRowFirstColumn="0" w:lastRowLastColumn="0"/>
            </w:pPr>
            <w:r w:rsidRPr="0019780B">
              <w:t>5,062</w:t>
            </w:r>
          </w:p>
        </w:tc>
      </w:tr>
      <w:tr w:rsidR="00677ED1" w:rsidRPr="0019780B" w14:paraId="1D20B78A" w14:textId="77777777" w:rsidTr="005B2A87">
        <w:trPr>
          <w:trHeight w:val="427"/>
        </w:trPr>
        <w:tc>
          <w:tcPr>
            <w:cnfStyle w:val="001000000000" w:firstRow="0" w:lastRow="0" w:firstColumn="1" w:lastColumn="0" w:oddVBand="0" w:evenVBand="0" w:oddHBand="0" w:evenHBand="0" w:firstRowFirstColumn="0" w:firstRowLastColumn="0" w:lastRowFirstColumn="0" w:lastRowLastColumn="0"/>
            <w:tcW w:w="1433" w:type="dxa"/>
          </w:tcPr>
          <w:p w14:paraId="4B8F93E1" w14:textId="77777777" w:rsidR="00DA6852" w:rsidRPr="0019780B" w:rsidRDefault="00DA6852" w:rsidP="005B2A87">
            <w:pPr>
              <w:pStyle w:val="Tabletextbold"/>
            </w:pPr>
            <w:r w:rsidRPr="0019780B">
              <w:t xml:space="preserve">Bilateral mastectomy </w:t>
            </w:r>
          </w:p>
        </w:tc>
        <w:tc>
          <w:tcPr>
            <w:tcW w:w="900" w:type="dxa"/>
          </w:tcPr>
          <w:p w14:paraId="5E28F5A7" w14:textId="77777777" w:rsidR="00DA6852" w:rsidRPr="0019780B" w:rsidRDefault="00DA6852" w:rsidP="005B2A87">
            <w:pPr>
              <w:pStyle w:val="TableText"/>
              <w:cnfStyle w:val="000000000000" w:firstRow="0" w:lastRow="0" w:firstColumn="0" w:lastColumn="0" w:oddVBand="0" w:evenVBand="0" w:oddHBand="0" w:evenHBand="0" w:firstRowFirstColumn="0" w:firstRowLastColumn="0" w:lastRowFirstColumn="0" w:lastRowLastColumn="0"/>
            </w:pPr>
            <w:r w:rsidRPr="0019780B">
              <w:t>2,715</w:t>
            </w:r>
          </w:p>
        </w:tc>
        <w:tc>
          <w:tcPr>
            <w:tcW w:w="900" w:type="dxa"/>
          </w:tcPr>
          <w:p w14:paraId="6464FC7B" w14:textId="77777777" w:rsidR="00DA6852" w:rsidRPr="0019780B" w:rsidRDefault="00DA6852" w:rsidP="005B2A87">
            <w:pPr>
              <w:pStyle w:val="TableText"/>
              <w:cnfStyle w:val="000000000000" w:firstRow="0" w:lastRow="0" w:firstColumn="0" w:lastColumn="0" w:oddVBand="0" w:evenVBand="0" w:oddHBand="0" w:evenHBand="0" w:firstRowFirstColumn="0" w:firstRowLastColumn="0" w:lastRowFirstColumn="0" w:lastRowLastColumn="0"/>
            </w:pPr>
            <w:r w:rsidRPr="0019780B">
              <w:t>2,753</w:t>
            </w:r>
          </w:p>
        </w:tc>
        <w:tc>
          <w:tcPr>
            <w:tcW w:w="900" w:type="dxa"/>
          </w:tcPr>
          <w:p w14:paraId="1136DB58" w14:textId="77777777" w:rsidR="00DA6852" w:rsidRPr="0019780B" w:rsidRDefault="00DA6852" w:rsidP="005B2A87">
            <w:pPr>
              <w:pStyle w:val="TableText"/>
              <w:cnfStyle w:val="000000000000" w:firstRow="0" w:lastRow="0" w:firstColumn="0" w:lastColumn="0" w:oddVBand="0" w:evenVBand="0" w:oddHBand="0" w:evenHBand="0" w:firstRowFirstColumn="0" w:firstRowLastColumn="0" w:lastRowFirstColumn="0" w:lastRowLastColumn="0"/>
            </w:pPr>
            <w:r w:rsidRPr="0019780B">
              <w:t>2,790</w:t>
            </w:r>
          </w:p>
        </w:tc>
        <w:tc>
          <w:tcPr>
            <w:tcW w:w="900" w:type="dxa"/>
          </w:tcPr>
          <w:p w14:paraId="00897E96" w14:textId="77777777" w:rsidR="00DA6852" w:rsidRPr="0019780B" w:rsidRDefault="00DA6852" w:rsidP="005B2A87">
            <w:pPr>
              <w:pStyle w:val="TableText"/>
              <w:cnfStyle w:val="000000000000" w:firstRow="0" w:lastRow="0" w:firstColumn="0" w:lastColumn="0" w:oddVBand="0" w:evenVBand="0" w:oddHBand="0" w:evenHBand="0" w:firstRowFirstColumn="0" w:firstRowLastColumn="0" w:lastRowFirstColumn="0" w:lastRowLastColumn="0"/>
            </w:pPr>
            <w:r w:rsidRPr="0019780B">
              <w:t>2,826</w:t>
            </w:r>
          </w:p>
        </w:tc>
        <w:tc>
          <w:tcPr>
            <w:tcW w:w="900" w:type="dxa"/>
          </w:tcPr>
          <w:p w14:paraId="35C9FC23" w14:textId="77777777" w:rsidR="00DA6852" w:rsidRPr="0019780B" w:rsidRDefault="00DA6852" w:rsidP="005B2A87">
            <w:pPr>
              <w:pStyle w:val="TableText"/>
              <w:cnfStyle w:val="000000000000" w:firstRow="0" w:lastRow="0" w:firstColumn="0" w:lastColumn="0" w:oddVBand="0" w:evenVBand="0" w:oddHBand="0" w:evenHBand="0" w:firstRowFirstColumn="0" w:firstRowLastColumn="0" w:lastRowFirstColumn="0" w:lastRowLastColumn="0"/>
            </w:pPr>
            <w:r w:rsidRPr="0019780B">
              <w:t>2,860</w:t>
            </w:r>
          </w:p>
        </w:tc>
        <w:tc>
          <w:tcPr>
            <w:tcW w:w="900" w:type="dxa"/>
          </w:tcPr>
          <w:p w14:paraId="20DA94AC" w14:textId="77777777" w:rsidR="00DA6852" w:rsidRPr="0019780B" w:rsidRDefault="00DA6852" w:rsidP="005B2A87">
            <w:pPr>
              <w:pStyle w:val="TableText"/>
              <w:cnfStyle w:val="000000000000" w:firstRow="0" w:lastRow="0" w:firstColumn="0" w:lastColumn="0" w:oddVBand="0" w:evenVBand="0" w:oddHBand="0" w:evenHBand="0" w:firstRowFirstColumn="0" w:firstRowLastColumn="0" w:lastRowFirstColumn="0" w:lastRowLastColumn="0"/>
            </w:pPr>
            <w:r w:rsidRPr="0019780B">
              <w:t>2,892</w:t>
            </w:r>
          </w:p>
        </w:tc>
        <w:tc>
          <w:tcPr>
            <w:tcW w:w="900" w:type="dxa"/>
          </w:tcPr>
          <w:p w14:paraId="7C865423" w14:textId="77777777" w:rsidR="00DA6852" w:rsidRPr="0019780B" w:rsidRDefault="00DA6852" w:rsidP="005B2A87">
            <w:pPr>
              <w:pStyle w:val="TableText"/>
              <w:cnfStyle w:val="000000000000" w:firstRow="0" w:lastRow="0" w:firstColumn="0" w:lastColumn="0" w:oddVBand="0" w:evenVBand="0" w:oddHBand="0" w:evenHBand="0" w:firstRowFirstColumn="0" w:firstRowLastColumn="0" w:lastRowFirstColumn="0" w:lastRowLastColumn="0"/>
            </w:pPr>
            <w:r w:rsidRPr="0019780B">
              <w:t>2,923</w:t>
            </w:r>
          </w:p>
        </w:tc>
        <w:tc>
          <w:tcPr>
            <w:tcW w:w="900" w:type="dxa"/>
          </w:tcPr>
          <w:p w14:paraId="4856B1C2" w14:textId="77777777" w:rsidR="00DA6852" w:rsidRPr="0019780B" w:rsidRDefault="00DA6852" w:rsidP="005B2A87">
            <w:pPr>
              <w:pStyle w:val="TableText"/>
              <w:cnfStyle w:val="000000000000" w:firstRow="0" w:lastRow="0" w:firstColumn="0" w:lastColumn="0" w:oddVBand="0" w:evenVBand="0" w:oddHBand="0" w:evenHBand="0" w:firstRowFirstColumn="0" w:firstRowLastColumn="0" w:lastRowFirstColumn="0" w:lastRowLastColumn="0"/>
            </w:pPr>
            <w:r w:rsidRPr="0019780B">
              <w:t>2,954</w:t>
            </w:r>
          </w:p>
        </w:tc>
        <w:tc>
          <w:tcPr>
            <w:tcW w:w="900" w:type="dxa"/>
          </w:tcPr>
          <w:p w14:paraId="40EE40CF" w14:textId="77777777" w:rsidR="00DA6852" w:rsidRPr="0019780B" w:rsidRDefault="00DA6852" w:rsidP="005B2A87">
            <w:pPr>
              <w:pStyle w:val="TableText"/>
              <w:cnfStyle w:val="000000000000" w:firstRow="0" w:lastRow="0" w:firstColumn="0" w:lastColumn="0" w:oddVBand="0" w:evenVBand="0" w:oddHBand="0" w:evenHBand="0" w:firstRowFirstColumn="0" w:firstRowLastColumn="0" w:lastRowFirstColumn="0" w:lastRowLastColumn="0"/>
            </w:pPr>
            <w:r w:rsidRPr="0019780B">
              <w:t>2,984</w:t>
            </w:r>
          </w:p>
        </w:tc>
        <w:tc>
          <w:tcPr>
            <w:tcW w:w="905" w:type="dxa"/>
          </w:tcPr>
          <w:p w14:paraId="0F391D2B" w14:textId="77777777" w:rsidR="00DA6852" w:rsidRPr="0019780B" w:rsidRDefault="00DA6852" w:rsidP="005B2A87">
            <w:pPr>
              <w:pStyle w:val="TableText"/>
              <w:cnfStyle w:val="000000000000" w:firstRow="0" w:lastRow="0" w:firstColumn="0" w:lastColumn="0" w:oddVBand="0" w:evenVBand="0" w:oddHBand="0" w:evenHBand="0" w:firstRowFirstColumn="0" w:firstRowLastColumn="0" w:lastRowFirstColumn="0" w:lastRowLastColumn="0"/>
            </w:pPr>
            <w:r w:rsidRPr="0019780B">
              <w:t>3,013</w:t>
            </w:r>
          </w:p>
        </w:tc>
      </w:tr>
      <w:tr w:rsidR="00677ED1" w:rsidRPr="0019780B" w14:paraId="00A5AC44" w14:textId="77777777" w:rsidTr="005B2A87">
        <w:trPr>
          <w:trHeight w:val="287"/>
        </w:trPr>
        <w:tc>
          <w:tcPr>
            <w:cnfStyle w:val="001000000000" w:firstRow="0" w:lastRow="0" w:firstColumn="1" w:lastColumn="0" w:oddVBand="0" w:evenVBand="0" w:oddHBand="0" w:evenHBand="0" w:firstRowFirstColumn="0" w:firstRowLastColumn="0" w:lastRowFirstColumn="0" w:lastRowLastColumn="0"/>
            <w:tcW w:w="1433" w:type="dxa"/>
          </w:tcPr>
          <w:p w14:paraId="0B2DF676" w14:textId="77777777" w:rsidR="00DA6852" w:rsidRPr="0019780B" w:rsidRDefault="00DA6852" w:rsidP="005B2A87">
            <w:pPr>
              <w:pStyle w:val="Tabletextbold"/>
              <w:rPr>
                <w:b/>
              </w:rPr>
            </w:pPr>
            <w:r w:rsidRPr="0019780B">
              <w:rPr>
                <w:b/>
              </w:rPr>
              <w:t xml:space="preserve">Total </w:t>
            </w:r>
          </w:p>
        </w:tc>
        <w:tc>
          <w:tcPr>
            <w:tcW w:w="900" w:type="dxa"/>
          </w:tcPr>
          <w:p w14:paraId="7D54D1B9" w14:textId="77777777" w:rsidR="00DA6852" w:rsidRPr="0019780B" w:rsidRDefault="00DA6852" w:rsidP="005B2A87">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19780B">
              <w:rPr>
                <w:rFonts w:cstheme="minorHAnsi"/>
                <w:szCs w:val="18"/>
              </w:rPr>
              <w:t>9,989</w:t>
            </w:r>
          </w:p>
        </w:tc>
        <w:tc>
          <w:tcPr>
            <w:tcW w:w="900" w:type="dxa"/>
          </w:tcPr>
          <w:p w14:paraId="39FEA3A3" w14:textId="77777777" w:rsidR="00DA6852" w:rsidRPr="0019780B" w:rsidRDefault="00DA6852" w:rsidP="005B2A87">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19780B">
              <w:rPr>
                <w:rFonts w:cstheme="minorHAnsi"/>
                <w:szCs w:val="18"/>
              </w:rPr>
              <w:t>10,132</w:t>
            </w:r>
          </w:p>
        </w:tc>
        <w:tc>
          <w:tcPr>
            <w:tcW w:w="900" w:type="dxa"/>
          </w:tcPr>
          <w:p w14:paraId="78D880C0" w14:textId="77777777" w:rsidR="00DA6852" w:rsidRPr="0019780B" w:rsidRDefault="00DA6852" w:rsidP="005B2A87">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19780B">
              <w:rPr>
                <w:rFonts w:cstheme="minorHAnsi"/>
                <w:szCs w:val="18"/>
              </w:rPr>
              <w:t>10,268</w:t>
            </w:r>
          </w:p>
        </w:tc>
        <w:tc>
          <w:tcPr>
            <w:tcW w:w="900" w:type="dxa"/>
          </w:tcPr>
          <w:p w14:paraId="24D02C1B" w14:textId="77777777" w:rsidR="00DA6852" w:rsidRPr="0019780B" w:rsidRDefault="00DA6852" w:rsidP="005B2A87">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19780B">
              <w:rPr>
                <w:rFonts w:cstheme="minorHAnsi"/>
                <w:szCs w:val="18"/>
              </w:rPr>
              <w:t>10,399</w:t>
            </w:r>
          </w:p>
        </w:tc>
        <w:tc>
          <w:tcPr>
            <w:tcW w:w="900" w:type="dxa"/>
          </w:tcPr>
          <w:p w14:paraId="6138C014" w14:textId="77777777" w:rsidR="00DA6852" w:rsidRPr="0019780B" w:rsidRDefault="00DA6852" w:rsidP="005B2A87">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19780B">
              <w:rPr>
                <w:rFonts w:cstheme="minorHAnsi"/>
                <w:szCs w:val="18"/>
              </w:rPr>
              <w:t>10,525</w:t>
            </w:r>
          </w:p>
        </w:tc>
        <w:tc>
          <w:tcPr>
            <w:tcW w:w="900" w:type="dxa"/>
          </w:tcPr>
          <w:p w14:paraId="592DA8EA" w14:textId="77777777" w:rsidR="00DA6852" w:rsidRPr="0019780B" w:rsidRDefault="00DA6852" w:rsidP="005B2A87">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19780B">
              <w:rPr>
                <w:rFonts w:cstheme="minorHAnsi"/>
                <w:szCs w:val="18"/>
              </w:rPr>
              <w:t>10,644</w:t>
            </w:r>
          </w:p>
        </w:tc>
        <w:tc>
          <w:tcPr>
            <w:tcW w:w="900" w:type="dxa"/>
          </w:tcPr>
          <w:p w14:paraId="47B5F731" w14:textId="77777777" w:rsidR="00DA6852" w:rsidRPr="0019780B" w:rsidRDefault="00DA6852" w:rsidP="005B2A87">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19780B">
              <w:rPr>
                <w:rFonts w:cstheme="minorHAnsi"/>
                <w:szCs w:val="18"/>
              </w:rPr>
              <w:t>10,758</w:t>
            </w:r>
          </w:p>
        </w:tc>
        <w:tc>
          <w:tcPr>
            <w:tcW w:w="900" w:type="dxa"/>
          </w:tcPr>
          <w:p w14:paraId="2AD8F901" w14:textId="77777777" w:rsidR="00DA6852" w:rsidRPr="0019780B" w:rsidRDefault="00DA6852" w:rsidP="005B2A87">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19780B">
              <w:rPr>
                <w:rFonts w:cstheme="minorHAnsi"/>
                <w:szCs w:val="18"/>
              </w:rPr>
              <w:t>10,869</w:t>
            </w:r>
          </w:p>
        </w:tc>
        <w:tc>
          <w:tcPr>
            <w:tcW w:w="900" w:type="dxa"/>
          </w:tcPr>
          <w:p w14:paraId="60D56BE9" w14:textId="77777777" w:rsidR="00DA6852" w:rsidRPr="0019780B" w:rsidRDefault="00DA6852" w:rsidP="005B2A87">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19780B">
              <w:rPr>
                <w:rFonts w:cstheme="minorHAnsi"/>
                <w:szCs w:val="18"/>
              </w:rPr>
              <w:t>10,979</w:t>
            </w:r>
          </w:p>
        </w:tc>
        <w:tc>
          <w:tcPr>
            <w:tcW w:w="905" w:type="dxa"/>
          </w:tcPr>
          <w:p w14:paraId="7699AD99" w14:textId="77777777" w:rsidR="00DA6852" w:rsidRPr="0019780B" w:rsidRDefault="00DA6852" w:rsidP="005B2A87">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19780B">
              <w:rPr>
                <w:rFonts w:cstheme="minorHAnsi"/>
                <w:szCs w:val="18"/>
              </w:rPr>
              <w:t>11,088</w:t>
            </w:r>
          </w:p>
        </w:tc>
      </w:tr>
    </w:tbl>
    <w:p w14:paraId="1E67F394" w14:textId="00967271" w:rsidR="00B1059E" w:rsidRPr="005B2A87" w:rsidRDefault="00B1059E" w:rsidP="00B1059E">
      <w:pPr>
        <w:pStyle w:val="Caption-Source"/>
      </w:pPr>
      <w:r w:rsidRPr="005B2A87">
        <w:t xml:space="preserve">Source: </w:t>
      </w:r>
      <w:r w:rsidR="0044544E" w:rsidRPr="0044544E">
        <w:t>Independent reviewer</w:t>
      </w:r>
      <w:r w:rsidRPr="005B2A87">
        <w:t xml:space="preserve"> (2025)</w:t>
      </w:r>
    </w:p>
    <w:p w14:paraId="12D5BB17" w14:textId="1B853F03" w:rsidR="00B1059E" w:rsidRDefault="00B1059E" w:rsidP="00B1059E">
      <w:pPr>
        <w:pStyle w:val="Caption"/>
      </w:pPr>
      <w:bookmarkStart w:id="176" w:name="_Toc207348600"/>
      <w:r>
        <w:t xml:space="preserve">Table </w:t>
      </w:r>
      <w:r w:rsidR="004F27F5">
        <w:fldChar w:fldCharType="begin"/>
      </w:r>
      <w:r w:rsidR="004F27F5">
        <w:instrText xml:space="preserve"> SEQ Table \* ARABIC </w:instrText>
      </w:r>
      <w:r w:rsidR="004F27F5">
        <w:fldChar w:fldCharType="separate"/>
      </w:r>
      <w:r w:rsidR="004F27F5">
        <w:rPr>
          <w:noProof/>
        </w:rPr>
        <w:t>35</w:t>
      </w:r>
      <w:r w:rsidR="004F27F5">
        <w:rPr>
          <w:noProof/>
        </w:rPr>
        <w:fldChar w:fldCharType="end"/>
      </w:r>
      <w:r>
        <w:t>: Option 2 total number of replacement prostheses required per year</w:t>
      </w:r>
      <w:bookmarkEnd w:id="176"/>
    </w:p>
    <w:tbl>
      <w:tblPr>
        <w:tblStyle w:val="KPMGTable"/>
        <w:tblW w:w="10438" w:type="dxa"/>
        <w:tblLook w:val="04A0" w:firstRow="1" w:lastRow="0" w:firstColumn="1" w:lastColumn="0" w:noHBand="0" w:noVBand="1"/>
      </w:tblPr>
      <w:tblGrid>
        <w:gridCol w:w="1437"/>
        <w:gridCol w:w="899"/>
        <w:gridCol w:w="899"/>
        <w:gridCol w:w="899"/>
        <w:gridCol w:w="900"/>
        <w:gridCol w:w="900"/>
        <w:gridCol w:w="900"/>
        <w:gridCol w:w="900"/>
        <w:gridCol w:w="900"/>
        <w:gridCol w:w="900"/>
        <w:gridCol w:w="904"/>
      </w:tblGrid>
      <w:tr w:rsidR="00AD6F37" w:rsidRPr="0019780B" w14:paraId="40BD85FF" w14:textId="77777777" w:rsidTr="00071E54">
        <w:trPr>
          <w:cnfStyle w:val="100000000000" w:firstRow="1" w:lastRow="0" w:firstColumn="0" w:lastColumn="0" w:oddVBand="0" w:evenVBand="0" w:oddHBand="0"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437" w:type="dxa"/>
          </w:tcPr>
          <w:p w14:paraId="6B977341" w14:textId="6C7F9D5C" w:rsidR="00B1059E" w:rsidRPr="0019780B" w:rsidRDefault="00B1059E" w:rsidP="00B1059E">
            <w:pPr>
              <w:pStyle w:val="TableHeading"/>
              <w:rPr>
                <w:szCs w:val="18"/>
              </w:rPr>
            </w:pPr>
            <w:r>
              <w:t>Type of prostheses</w:t>
            </w:r>
          </w:p>
        </w:tc>
        <w:tc>
          <w:tcPr>
            <w:tcW w:w="899" w:type="dxa"/>
          </w:tcPr>
          <w:p w14:paraId="2C2D6BF1" w14:textId="76C4D445" w:rsidR="00B1059E" w:rsidRPr="0019780B" w:rsidRDefault="00B1059E" w:rsidP="00B1059E">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FY26/27</w:t>
            </w:r>
          </w:p>
        </w:tc>
        <w:tc>
          <w:tcPr>
            <w:tcW w:w="899" w:type="dxa"/>
          </w:tcPr>
          <w:p w14:paraId="6592C29B" w14:textId="78105306" w:rsidR="00B1059E" w:rsidRPr="0019780B" w:rsidRDefault="00B1059E" w:rsidP="00B1059E">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FY27/28</w:t>
            </w:r>
          </w:p>
        </w:tc>
        <w:tc>
          <w:tcPr>
            <w:tcW w:w="899" w:type="dxa"/>
          </w:tcPr>
          <w:p w14:paraId="4A40AE24" w14:textId="254E060A" w:rsidR="00B1059E" w:rsidRPr="0019780B" w:rsidRDefault="00B1059E" w:rsidP="00B1059E">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FY28/29</w:t>
            </w:r>
          </w:p>
        </w:tc>
        <w:tc>
          <w:tcPr>
            <w:tcW w:w="900" w:type="dxa"/>
          </w:tcPr>
          <w:p w14:paraId="2E658241" w14:textId="3D4A8706" w:rsidR="00B1059E" w:rsidRPr="0019780B" w:rsidRDefault="00B1059E" w:rsidP="00B1059E">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FY29/30</w:t>
            </w:r>
          </w:p>
        </w:tc>
        <w:tc>
          <w:tcPr>
            <w:tcW w:w="900" w:type="dxa"/>
          </w:tcPr>
          <w:p w14:paraId="0742D607" w14:textId="6F2ABF67" w:rsidR="00B1059E" w:rsidRPr="0019780B" w:rsidRDefault="00B1059E" w:rsidP="00B1059E">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FY30/31</w:t>
            </w:r>
          </w:p>
        </w:tc>
        <w:tc>
          <w:tcPr>
            <w:tcW w:w="900" w:type="dxa"/>
          </w:tcPr>
          <w:p w14:paraId="2A1978ED" w14:textId="55FDC488" w:rsidR="00B1059E" w:rsidRPr="0019780B" w:rsidRDefault="00B1059E" w:rsidP="00B1059E">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FY31/32</w:t>
            </w:r>
          </w:p>
        </w:tc>
        <w:tc>
          <w:tcPr>
            <w:tcW w:w="900" w:type="dxa"/>
          </w:tcPr>
          <w:p w14:paraId="2E40E049" w14:textId="036987D3" w:rsidR="00B1059E" w:rsidRPr="0019780B" w:rsidRDefault="00B1059E" w:rsidP="00B1059E">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FY32/33</w:t>
            </w:r>
          </w:p>
        </w:tc>
        <w:tc>
          <w:tcPr>
            <w:tcW w:w="900" w:type="dxa"/>
          </w:tcPr>
          <w:p w14:paraId="09E90F3D" w14:textId="028C6B25" w:rsidR="00B1059E" w:rsidRPr="0019780B" w:rsidRDefault="00B1059E" w:rsidP="00B1059E">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FY33/34</w:t>
            </w:r>
          </w:p>
        </w:tc>
        <w:tc>
          <w:tcPr>
            <w:tcW w:w="900" w:type="dxa"/>
          </w:tcPr>
          <w:p w14:paraId="4CFA4BE9" w14:textId="5FF71479" w:rsidR="00B1059E" w:rsidRPr="0019780B" w:rsidRDefault="00B1059E" w:rsidP="00B1059E">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FY34/35</w:t>
            </w:r>
          </w:p>
        </w:tc>
        <w:tc>
          <w:tcPr>
            <w:tcW w:w="904" w:type="dxa"/>
          </w:tcPr>
          <w:p w14:paraId="393EFEB0" w14:textId="24D96258" w:rsidR="00B1059E" w:rsidRPr="0019780B" w:rsidRDefault="00B1059E" w:rsidP="00B1059E">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FY35/36</w:t>
            </w:r>
          </w:p>
        </w:tc>
      </w:tr>
      <w:tr w:rsidR="00677ED1" w:rsidRPr="0019780B" w14:paraId="7E1827DB" w14:textId="77777777" w:rsidTr="00071E54">
        <w:trPr>
          <w:trHeight w:val="293"/>
        </w:trPr>
        <w:tc>
          <w:tcPr>
            <w:cnfStyle w:val="001000000000" w:firstRow="0" w:lastRow="0" w:firstColumn="1" w:lastColumn="0" w:oddVBand="0" w:evenVBand="0" w:oddHBand="0" w:evenHBand="0" w:firstRowFirstColumn="0" w:firstRowLastColumn="0" w:lastRowFirstColumn="0" w:lastRowLastColumn="0"/>
            <w:tcW w:w="1437" w:type="dxa"/>
          </w:tcPr>
          <w:p w14:paraId="7F21B32C" w14:textId="77777777" w:rsidR="00DA6852" w:rsidRPr="0019780B" w:rsidRDefault="00DA6852" w:rsidP="00B1059E">
            <w:pPr>
              <w:pStyle w:val="Tabletextbold"/>
            </w:pPr>
            <w:r w:rsidRPr="0019780B">
              <w:t>Replacements</w:t>
            </w:r>
          </w:p>
        </w:tc>
        <w:tc>
          <w:tcPr>
            <w:tcW w:w="899" w:type="dxa"/>
          </w:tcPr>
          <w:p w14:paraId="4AE3A388" w14:textId="77777777" w:rsidR="00DA6852" w:rsidRPr="0019780B" w:rsidRDefault="00DA6852" w:rsidP="00071E54">
            <w:pPr>
              <w:pStyle w:val="TableText"/>
              <w:cnfStyle w:val="000000000000" w:firstRow="0" w:lastRow="0" w:firstColumn="0" w:lastColumn="0" w:oddVBand="0" w:evenVBand="0" w:oddHBand="0" w:evenHBand="0" w:firstRowFirstColumn="0" w:firstRowLastColumn="0" w:lastRowFirstColumn="0" w:lastRowLastColumn="0"/>
            </w:pPr>
            <w:r w:rsidRPr="0019780B">
              <w:t>0</w:t>
            </w:r>
          </w:p>
        </w:tc>
        <w:tc>
          <w:tcPr>
            <w:tcW w:w="899" w:type="dxa"/>
          </w:tcPr>
          <w:p w14:paraId="1A057EB0" w14:textId="77777777" w:rsidR="00DA6852" w:rsidRPr="0019780B" w:rsidRDefault="00DA6852" w:rsidP="00071E54">
            <w:pPr>
              <w:pStyle w:val="TableText"/>
              <w:cnfStyle w:val="000000000000" w:firstRow="0" w:lastRow="0" w:firstColumn="0" w:lastColumn="0" w:oddVBand="0" w:evenVBand="0" w:oddHBand="0" w:evenHBand="0" w:firstRowFirstColumn="0" w:firstRowLastColumn="0" w:lastRowFirstColumn="0" w:lastRowLastColumn="0"/>
            </w:pPr>
            <w:r w:rsidRPr="0019780B">
              <w:t>0</w:t>
            </w:r>
          </w:p>
        </w:tc>
        <w:tc>
          <w:tcPr>
            <w:tcW w:w="899" w:type="dxa"/>
          </w:tcPr>
          <w:p w14:paraId="5FD9D717" w14:textId="77777777" w:rsidR="00DA6852" w:rsidRPr="0019780B" w:rsidRDefault="00DA6852" w:rsidP="00071E54">
            <w:pPr>
              <w:pStyle w:val="TableText"/>
              <w:cnfStyle w:val="000000000000" w:firstRow="0" w:lastRow="0" w:firstColumn="0" w:lastColumn="0" w:oddVBand="0" w:evenVBand="0" w:oddHBand="0" w:evenHBand="0" w:firstRowFirstColumn="0" w:firstRowLastColumn="0" w:lastRowFirstColumn="0" w:lastRowLastColumn="0"/>
            </w:pPr>
            <w:r w:rsidRPr="0019780B">
              <w:t>4,755</w:t>
            </w:r>
          </w:p>
        </w:tc>
        <w:tc>
          <w:tcPr>
            <w:tcW w:w="900" w:type="dxa"/>
          </w:tcPr>
          <w:p w14:paraId="431D6D30" w14:textId="77777777" w:rsidR="00DA6852" w:rsidRPr="0019780B" w:rsidRDefault="00DA6852" w:rsidP="00071E54">
            <w:pPr>
              <w:pStyle w:val="TableText"/>
              <w:cnfStyle w:val="000000000000" w:firstRow="0" w:lastRow="0" w:firstColumn="0" w:lastColumn="0" w:oddVBand="0" w:evenVBand="0" w:oddHBand="0" w:evenHBand="0" w:firstRowFirstColumn="0" w:firstRowLastColumn="0" w:lastRowFirstColumn="0" w:lastRowLastColumn="0"/>
            </w:pPr>
            <w:r w:rsidRPr="0019780B">
              <w:t>4,742</w:t>
            </w:r>
          </w:p>
        </w:tc>
        <w:tc>
          <w:tcPr>
            <w:tcW w:w="900" w:type="dxa"/>
          </w:tcPr>
          <w:p w14:paraId="5AF2B07D" w14:textId="77777777" w:rsidR="00DA6852" w:rsidRPr="0019780B" w:rsidRDefault="00DA6852" w:rsidP="00071E54">
            <w:pPr>
              <w:pStyle w:val="TableText"/>
              <w:cnfStyle w:val="000000000000" w:firstRow="0" w:lastRow="0" w:firstColumn="0" w:lastColumn="0" w:oddVBand="0" w:evenVBand="0" w:oddHBand="0" w:evenHBand="0" w:firstRowFirstColumn="0" w:firstRowLastColumn="0" w:lastRowFirstColumn="0" w:lastRowLastColumn="0"/>
            </w:pPr>
            <w:r w:rsidRPr="0019780B">
              <w:t>4,805</w:t>
            </w:r>
          </w:p>
        </w:tc>
        <w:tc>
          <w:tcPr>
            <w:tcW w:w="900" w:type="dxa"/>
          </w:tcPr>
          <w:p w14:paraId="2B699463" w14:textId="77777777" w:rsidR="00DA6852" w:rsidRPr="0019780B" w:rsidRDefault="00DA6852" w:rsidP="00071E54">
            <w:pPr>
              <w:pStyle w:val="TableText"/>
              <w:cnfStyle w:val="000000000000" w:firstRow="0" w:lastRow="0" w:firstColumn="0" w:lastColumn="0" w:oddVBand="0" w:evenVBand="0" w:oddHBand="0" w:evenHBand="0" w:firstRowFirstColumn="0" w:firstRowLastColumn="0" w:lastRowFirstColumn="0" w:lastRowLastColumn="0"/>
            </w:pPr>
            <w:r w:rsidRPr="0019780B">
              <w:t>4,451</w:t>
            </w:r>
          </w:p>
        </w:tc>
        <w:tc>
          <w:tcPr>
            <w:tcW w:w="900" w:type="dxa"/>
          </w:tcPr>
          <w:p w14:paraId="0C6E5FCD" w14:textId="77777777" w:rsidR="00DA6852" w:rsidRPr="0019780B" w:rsidRDefault="00DA6852" w:rsidP="00071E54">
            <w:pPr>
              <w:pStyle w:val="TableText"/>
              <w:cnfStyle w:val="000000000000" w:firstRow="0" w:lastRow="0" w:firstColumn="0" w:lastColumn="0" w:oddVBand="0" w:evenVBand="0" w:oddHBand="0" w:evenHBand="0" w:firstRowFirstColumn="0" w:firstRowLastColumn="0" w:lastRowFirstColumn="0" w:lastRowLastColumn="0"/>
            </w:pPr>
            <w:r w:rsidRPr="0019780B">
              <w:t>4,362</w:t>
            </w:r>
          </w:p>
        </w:tc>
        <w:tc>
          <w:tcPr>
            <w:tcW w:w="900" w:type="dxa"/>
          </w:tcPr>
          <w:p w14:paraId="015DFA0B" w14:textId="77777777" w:rsidR="00DA6852" w:rsidRPr="0019780B" w:rsidRDefault="00DA6852" w:rsidP="00071E54">
            <w:pPr>
              <w:pStyle w:val="TableText"/>
              <w:cnfStyle w:val="000000000000" w:firstRow="0" w:lastRow="0" w:firstColumn="0" w:lastColumn="0" w:oddVBand="0" w:evenVBand="0" w:oddHBand="0" w:evenHBand="0" w:firstRowFirstColumn="0" w:firstRowLastColumn="0" w:lastRowFirstColumn="0" w:lastRowLastColumn="0"/>
            </w:pPr>
            <w:r w:rsidRPr="0019780B">
              <w:t>4,421</w:t>
            </w:r>
          </w:p>
        </w:tc>
        <w:tc>
          <w:tcPr>
            <w:tcW w:w="900" w:type="dxa"/>
          </w:tcPr>
          <w:p w14:paraId="0D4E1ED0" w14:textId="77777777" w:rsidR="00DA6852" w:rsidRPr="0019780B" w:rsidRDefault="00DA6852" w:rsidP="00071E54">
            <w:pPr>
              <w:pStyle w:val="TableText"/>
              <w:cnfStyle w:val="000000000000" w:firstRow="0" w:lastRow="0" w:firstColumn="0" w:lastColumn="0" w:oddVBand="0" w:evenVBand="0" w:oddHBand="0" w:evenHBand="0" w:firstRowFirstColumn="0" w:firstRowLastColumn="0" w:lastRowFirstColumn="0" w:lastRowLastColumn="0"/>
            </w:pPr>
            <w:r w:rsidRPr="0019780B">
              <w:t>4,095</w:t>
            </w:r>
          </w:p>
        </w:tc>
        <w:tc>
          <w:tcPr>
            <w:tcW w:w="904" w:type="dxa"/>
          </w:tcPr>
          <w:p w14:paraId="0900C87D" w14:textId="77777777" w:rsidR="00DA6852" w:rsidRPr="0019780B" w:rsidRDefault="00DA6852" w:rsidP="00071E54">
            <w:pPr>
              <w:pStyle w:val="TableText"/>
              <w:cnfStyle w:val="000000000000" w:firstRow="0" w:lastRow="0" w:firstColumn="0" w:lastColumn="0" w:oddVBand="0" w:evenVBand="0" w:oddHBand="0" w:evenHBand="0" w:firstRowFirstColumn="0" w:firstRowLastColumn="0" w:lastRowFirstColumn="0" w:lastRowLastColumn="0"/>
            </w:pPr>
            <w:r w:rsidRPr="0019780B">
              <w:t>4,013</w:t>
            </w:r>
          </w:p>
        </w:tc>
      </w:tr>
      <w:tr w:rsidR="00677ED1" w:rsidRPr="0019780B" w14:paraId="24FCED4B" w14:textId="77777777" w:rsidTr="00071E54">
        <w:trPr>
          <w:trHeight w:val="287"/>
        </w:trPr>
        <w:tc>
          <w:tcPr>
            <w:cnfStyle w:val="001000000000" w:firstRow="0" w:lastRow="0" w:firstColumn="1" w:lastColumn="0" w:oddVBand="0" w:evenVBand="0" w:oddHBand="0" w:evenHBand="0" w:firstRowFirstColumn="0" w:firstRowLastColumn="0" w:lastRowFirstColumn="0" w:lastRowLastColumn="0"/>
            <w:tcW w:w="1437" w:type="dxa"/>
          </w:tcPr>
          <w:p w14:paraId="7FBDE6D7" w14:textId="77777777" w:rsidR="00DA6852" w:rsidRPr="0019780B" w:rsidRDefault="00DA6852" w:rsidP="00B1059E">
            <w:pPr>
              <w:pStyle w:val="Tabletextbold"/>
              <w:rPr>
                <w:b/>
              </w:rPr>
            </w:pPr>
            <w:r w:rsidRPr="0019780B">
              <w:rPr>
                <w:b/>
              </w:rPr>
              <w:t xml:space="preserve">Total </w:t>
            </w:r>
          </w:p>
        </w:tc>
        <w:tc>
          <w:tcPr>
            <w:tcW w:w="899" w:type="dxa"/>
          </w:tcPr>
          <w:p w14:paraId="334DCC74" w14:textId="77777777" w:rsidR="00DA6852" w:rsidRPr="0019780B" w:rsidRDefault="00DA6852" w:rsidP="00071E54">
            <w:pPr>
              <w:pStyle w:val="Tabletextbold"/>
              <w:cnfStyle w:val="000000000000" w:firstRow="0" w:lastRow="0" w:firstColumn="0" w:lastColumn="0" w:oddVBand="0" w:evenVBand="0" w:oddHBand="0" w:evenHBand="0" w:firstRowFirstColumn="0" w:firstRowLastColumn="0" w:lastRowFirstColumn="0" w:lastRowLastColumn="0"/>
            </w:pPr>
            <w:r w:rsidRPr="0019780B">
              <w:t>0</w:t>
            </w:r>
          </w:p>
        </w:tc>
        <w:tc>
          <w:tcPr>
            <w:tcW w:w="899" w:type="dxa"/>
          </w:tcPr>
          <w:p w14:paraId="4AA94BD7" w14:textId="77777777" w:rsidR="00DA6852" w:rsidRPr="0019780B" w:rsidRDefault="00DA6852" w:rsidP="00071E54">
            <w:pPr>
              <w:pStyle w:val="Tabletextbold"/>
              <w:cnfStyle w:val="000000000000" w:firstRow="0" w:lastRow="0" w:firstColumn="0" w:lastColumn="0" w:oddVBand="0" w:evenVBand="0" w:oddHBand="0" w:evenHBand="0" w:firstRowFirstColumn="0" w:firstRowLastColumn="0" w:lastRowFirstColumn="0" w:lastRowLastColumn="0"/>
            </w:pPr>
            <w:r w:rsidRPr="0019780B">
              <w:t>0</w:t>
            </w:r>
          </w:p>
        </w:tc>
        <w:tc>
          <w:tcPr>
            <w:tcW w:w="899" w:type="dxa"/>
          </w:tcPr>
          <w:p w14:paraId="5BCF5ECE" w14:textId="77777777" w:rsidR="00DA6852" w:rsidRPr="0019780B" w:rsidRDefault="00DA6852" w:rsidP="00071E54">
            <w:pPr>
              <w:pStyle w:val="Tabletextbold"/>
              <w:cnfStyle w:val="000000000000" w:firstRow="0" w:lastRow="0" w:firstColumn="0" w:lastColumn="0" w:oddVBand="0" w:evenVBand="0" w:oddHBand="0" w:evenHBand="0" w:firstRowFirstColumn="0" w:firstRowLastColumn="0" w:lastRowFirstColumn="0" w:lastRowLastColumn="0"/>
            </w:pPr>
            <w:r w:rsidRPr="0019780B">
              <w:t>4,755</w:t>
            </w:r>
          </w:p>
        </w:tc>
        <w:tc>
          <w:tcPr>
            <w:tcW w:w="900" w:type="dxa"/>
          </w:tcPr>
          <w:p w14:paraId="3D74EDA9" w14:textId="77777777" w:rsidR="00DA6852" w:rsidRPr="0019780B" w:rsidRDefault="00DA6852" w:rsidP="00071E54">
            <w:pPr>
              <w:pStyle w:val="Tabletextbold"/>
              <w:cnfStyle w:val="000000000000" w:firstRow="0" w:lastRow="0" w:firstColumn="0" w:lastColumn="0" w:oddVBand="0" w:evenVBand="0" w:oddHBand="0" w:evenHBand="0" w:firstRowFirstColumn="0" w:firstRowLastColumn="0" w:lastRowFirstColumn="0" w:lastRowLastColumn="0"/>
            </w:pPr>
            <w:r w:rsidRPr="0019780B">
              <w:t>4,742</w:t>
            </w:r>
          </w:p>
        </w:tc>
        <w:tc>
          <w:tcPr>
            <w:tcW w:w="900" w:type="dxa"/>
          </w:tcPr>
          <w:p w14:paraId="49CE4AA7" w14:textId="77777777" w:rsidR="00DA6852" w:rsidRPr="0019780B" w:rsidRDefault="00DA6852" w:rsidP="00071E54">
            <w:pPr>
              <w:pStyle w:val="Tabletextbold"/>
              <w:cnfStyle w:val="000000000000" w:firstRow="0" w:lastRow="0" w:firstColumn="0" w:lastColumn="0" w:oddVBand="0" w:evenVBand="0" w:oddHBand="0" w:evenHBand="0" w:firstRowFirstColumn="0" w:firstRowLastColumn="0" w:lastRowFirstColumn="0" w:lastRowLastColumn="0"/>
            </w:pPr>
            <w:r w:rsidRPr="0019780B">
              <w:t>4,805</w:t>
            </w:r>
          </w:p>
        </w:tc>
        <w:tc>
          <w:tcPr>
            <w:tcW w:w="900" w:type="dxa"/>
          </w:tcPr>
          <w:p w14:paraId="0A12D5D8" w14:textId="77777777" w:rsidR="00DA6852" w:rsidRPr="0019780B" w:rsidRDefault="00DA6852" w:rsidP="00071E54">
            <w:pPr>
              <w:pStyle w:val="Tabletextbold"/>
              <w:cnfStyle w:val="000000000000" w:firstRow="0" w:lastRow="0" w:firstColumn="0" w:lastColumn="0" w:oddVBand="0" w:evenVBand="0" w:oddHBand="0" w:evenHBand="0" w:firstRowFirstColumn="0" w:firstRowLastColumn="0" w:lastRowFirstColumn="0" w:lastRowLastColumn="0"/>
            </w:pPr>
            <w:r w:rsidRPr="0019780B">
              <w:t>4,451</w:t>
            </w:r>
          </w:p>
        </w:tc>
        <w:tc>
          <w:tcPr>
            <w:tcW w:w="900" w:type="dxa"/>
          </w:tcPr>
          <w:p w14:paraId="0FA26589" w14:textId="77777777" w:rsidR="00DA6852" w:rsidRPr="0019780B" w:rsidRDefault="00DA6852" w:rsidP="00071E54">
            <w:pPr>
              <w:pStyle w:val="Tabletextbold"/>
              <w:cnfStyle w:val="000000000000" w:firstRow="0" w:lastRow="0" w:firstColumn="0" w:lastColumn="0" w:oddVBand="0" w:evenVBand="0" w:oddHBand="0" w:evenHBand="0" w:firstRowFirstColumn="0" w:firstRowLastColumn="0" w:lastRowFirstColumn="0" w:lastRowLastColumn="0"/>
            </w:pPr>
            <w:r w:rsidRPr="0019780B">
              <w:t>4,362</w:t>
            </w:r>
          </w:p>
        </w:tc>
        <w:tc>
          <w:tcPr>
            <w:tcW w:w="900" w:type="dxa"/>
          </w:tcPr>
          <w:p w14:paraId="641DF6BC" w14:textId="77777777" w:rsidR="00DA6852" w:rsidRPr="0019780B" w:rsidRDefault="00DA6852" w:rsidP="00071E54">
            <w:pPr>
              <w:pStyle w:val="Tabletextbold"/>
              <w:cnfStyle w:val="000000000000" w:firstRow="0" w:lastRow="0" w:firstColumn="0" w:lastColumn="0" w:oddVBand="0" w:evenVBand="0" w:oddHBand="0" w:evenHBand="0" w:firstRowFirstColumn="0" w:firstRowLastColumn="0" w:lastRowFirstColumn="0" w:lastRowLastColumn="0"/>
            </w:pPr>
            <w:r w:rsidRPr="0019780B">
              <w:t>4,421</w:t>
            </w:r>
          </w:p>
        </w:tc>
        <w:tc>
          <w:tcPr>
            <w:tcW w:w="900" w:type="dxa"/>
          </w:tcPr>
          <w:p w14:paraId="6C8F6C73" w14:textId="77777777" w:rsidR="00DA6852" w:rsidRPr="0019780B" w:rsidRDefault="00DA6852" w:rsidP="00071E54">
            <w:pPr>
              <w:pStyle w:val="Tabletextbold"/>
              <w:cnfStyle w:val="000000000000" w:firstRow="0" w:lastRow="0" w:firstColumn="0" w:lastColumn="0" w:oddVBand="0" w:evenVBand="0" w:oddHBand="0" w:evenHBand="0" w:firstRowFirstColumn="0" w:firstRowLastColumn="0" w:lastRowFirstColumn="0" w:lastRowLastColumn="0"/>
            </w:pPr>
            <w:r w:rsidRPr="0019780B">
              <w:t>4,095</w:t>
            </w:r>
          </w:p>
        </w:tc>
        <w:tc>
          <w:tcPr>
            <w:tcW w:w="904" w:type="dxa"/>
          </w:tcPr>
          <w:p w14:paraId="55407608" w14:textId="77777777" w:rsidR="00DA6852" w:rsidRPr="0019780B" w:rsidRDefault="00DA6852" w:rsidP="00071E54">
            <w:pPr>
              <w:pStyle w:val="Tabletextbold"/>
              <w:cnfStyle w:val="000000000000" w:firstRow="0" w:lastRow="0" w:firstColumn="0" w:lastColumn="0" w:oddVBand="0" w:evenVBand="0" w:oddHBand="0" w:evenHBand="0" w:firstRowFirstColumn="0" w:firstRowLastColumn="0" w:lastRowFirstColumn="0" w:lastRowLastColumn="0"/>
            </w:pPr>
            <w:r w:rsidRPr="0019780B">
              <w:t>4,013</w:t>
            </w:r>
          </w:p>
        </w:tc>
      </w:tr>
    </w:tbl>
    <w:p w14:paraId="2EBC4433" w14:textId="5E6A9995" w:rsidR="00071E54" w:rsidRPr="005B2A87" w:rsidRDefault="00071E54" w:rsidP="00071E54">
      <w:pPr>
        <w:pStyle w:val="Caption-Source"/>
      </w:pPr>
      <w:r w:rsidRPr="005B2A87">
        <w:t xml:space="preserve">Source: </w:t>
      </w:r>
      <w:r w:rsidR="0044544E" w:rsidRPr="0044544E">
        <w:t>Independent reviewer</w:t>
      </w:r>
      <w:r w:rsidRPr="005B2A87">
        <w:t xml:space="preserve"> (2025)</w:t>
      </w:r>
    </w:p>
    <w:p w14:paraId="0ADA50DD" w14:textId="77777777" w:rsidR="0044544E" w:rsidRDefault="0044544E" w:rsidP="00C76D17">
      <w:pPr>
        <w:rPr>
          <w:color w:val="00338D" w:themeColor="text2"/>
          <w:sz w:val="18"/>
          <w:szCs w:val="18"/>
        </w:rPr>
      </w:pPr>
      <w:bookmarkStart w:id="177" w:name="_Toc207348601"/>
      <w:r>
        <w:br w:type="page"/>
      </w:r>
    </w:p>
    <w:p w14:paraId="34F23511" w14:textId="683D184E" w:rsidR="00071E54" w:rsidRDefault="00071E54" w:rsidP="00071E54">
      <w:pPr>
        <w:pStyle w:val="Caption"/>
      </w:pPr>
      <w:r>
        <w:t xml:space="preserve">Table </w:t>
      </w:r>
      <w:r w:rsidR="004F27F5">
        <w:fldChar w:fldCharType="begin"/>
      </w:r>
      <w:r w:rsidR="004F27F5">
        <w:instrText xml:space="preserve"> SEQ Table \* ARABIC </w:instrText>
      </w:r>
      <w:r w:rsidR="004F27F5">
        <w:fldChar w:fldCharType="separate"/>
      </w:r>
      <w:r w:rsidR="004F27F5">
        <w:rPr>
          <w:noProof/>
        </w:rPr>
        <w:t>36</w:t>
      </w:r>
      <w:r w:rsidR="004F27F5">
        <w:rPr>
          <w:noProof/>
        </w:rPr>
        <w:fldChar w:fldCharType="end"/>
      </w:r>
      <w:r>
        <w:t>: Option 2 total cost per year</w:t>
      </w:r>
      <w:bookmarkEnd w:id="177"/>
    </w:p>
    <w:tbl>
      <w:tblPr>
        <w:tblStyle w:val="KPMGTable"/>
        <w:tblW w:w="10438" w:type="dxa"/>
        <w:tblLook w:val="04A0" w:firstRow="1" w:lastRow="0" w:firstColumn="1" w:lastColumn="0" w:noHBand="0" w:noVBand="1"/>
      </w:tblPr>
      <w:tblGrid>
        <w:gridCol w:w="1433"/>
        <w:gridCol w:w="900"/>
        <w:gridCol w:w="900"/>
        <w:gridCol w:w="900"/>
        <w:gridCol w:w="900"/>
        <w:gridCol w:w="900"/>
        <w:gridCol w:w="900"/>
        <w:gridCol w:w="900"/>
        <w:gridCol w:w="900"/>
        <w:gridCol w:w="900"/>
        <w:gridCol w:w="905"/>
      </w:tblGrid>
      <w:tr w:rsidR="00AD6F37" w:rsidRPr="0019780B" w14:paraId="279FD5D1" w14:textId="77777777" w:rsidTr="00071E54">
        <w:trPr>
          <w:cnfStyle w:val="100000000000" w:firstRow="1" w:lastRow="0" w:firstColumn="0" w:lastColumn="0" w:oddVBand="0" w:evenVBand="0" w:oddHBand="0"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1433" w:type="dxa"/>
          </w:tcPr>
          <w:p w14:paraId="7A8A64C1" w14:textId="78FC0707" w:rsidR="00071E54" w:rsidRPr="0019780B" w:rsidRDefault="00071E54" w:rsidP="00071E54">
            <w:pPr>
              <w:pStyle w:val="TableHeading"/>
              <w:rPr>
                <w:szCs w:val="18"/>
              </w:rPr>
            </w:pPr>
            <w:r>
              <w:t>Type of prostheses</w:t>
            </w:r>
          </w:p>
        </w:tc>
        <w:tc>
          <w:tcPr>
            <w:tcW w:w="900" w:type="dxa"/>
          </w:tcPr>
          <w:p w14:paraId="2A4834A1" w14:textId="77A68D07" w:rsidR="00071E54" w:rsidRPr="0019780B" w:rsidRDefault="00071E54" w:rsidP="00071E54">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FY26/27</w:t>
            </w:r>
          </w:p>
        </w:tc>
        <w:tc>
          <w:tcPr>
            <w:tcW w:w="900" w:type="dxa"/>
          </w:tcPr>
          <w:p w14:paraId="2F17C959" w14:textId="4B7D3E8D" w:rsidR="00071E54" w:rsidRPr="0019780B" w:rsidRDefault="00071E54" w:rsidP="00071E54">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FY27/28</w:t>
            </w:r>
          </w:p>
        </w:tc>
        <w:tc>
          <w:tcPr>
            <w:tcW w:w="900" w:type="dxa"/>
          </w:tcPr>
          <w:p w14:paraId="3E943266" w14:textId="1ED58E8D" w:rsidR="00071E54" w:rsidRPr="0019780B" w:rsidRDefault="00071E54" w:rsidP="00071E54">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FY28/29</w:t>
            </w:r>
          </w:p>
        </w:tc>
        <w:tc>
          <w:tcPr>
            <w:tcW w:w="900" w:type="dxa"/>
          </w:tcPr>
          <w:p w14:paraId="565E4F71" w14:textId="01CA7D36" w:rsidR="00071E54" w:rsidRPr="0019780B" w:rsidRDefault="00071E54" w:rsidP="00071E54">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FY29/30</w:t>
            </w:r>
          </w:p>
        </w:tc>
        <w:tc>
          <w:tcPr>
            <w:tcW w:w="900" w:type="dxa"/>
          </w:tcPr>
          <w:p w14:paraId="7B1A7A76" w14:textId="503226C1" w:rsidR="00071E54" w:rsidRPr="0019780B" w:rsidRDefault="00071E54" w:rsidP="00071E54">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FY30/31</w:t>
            </w:r>
          </w:p>
        </w:tc>
        <w:tc>
          <w:tcPr>
            <w:tcW w:w="900" w:type="dxa"/>
          </w:tcPr>
          <w:p w14:paraId="41D90DF5" w14:textId="2F05A56A" w:rsidR="00071E54" w:rsidRPr="0019780B" w:rsidRDefault="00071E54" w:rsidP="00071E54">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FY31/32</w:t>
            </w:r>
          </w:p>
        </w:tc>
        <w:tc>
          <w:tcPr>
            <w:tcW w:w="900" w:type="dxa"/>
          </w:tcPr>
          <w:p w14:paraId="3EF94B0B" w14:textId="06A7A230" w:rsidR="00071E54" w:rsidRPr="0019780B" w:rsidRDefault="00071E54" w:rsidP="00071E54">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FY32/33</w:t>
            </w:r>
          </w:p>
        </w:tc>
        <w:tc>
          <w:tcPr>
            <w:tcW w:w="900" w:type="dxa"/>
          </w:tcPr>
          <w:p w14:paraId="7CC0B311" w14:textId="6805B445" w:rsidR="00071E54" w:rsidRPr="0019780B" w:rsidRDefault="00071E54" w:rsidP="00071E54">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FY33/34</w:t>
            </w:r>
          </w:p>
        </w:tc>
        <w:tc>
          <w:tcPr>
            <w:tcW w:w="900" w:type="dxa"/>
          </w:tcPr>
          <w:p w14:paraId="07A29DB9" w14:textId="3DE1BB0B" w:rsidR="00071E54" w:rsidRPr="0019780B" w:rsidRDefault="00071E54" w:rsidP="00071E54">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FY34/35</w:t>
            </w:r>
          </w:p>
        </w:tc>
        <w:tc>
          <w:tcPr>
            <w:tcW w:w="905" w:type="dxa"/>
          </w:tcPr>
          <w:p w14:paraId="04897024" w14:textId="17D17821" w:rsidR="00071E54" w:rsidRPr="0019780B" w:rsidRDefault="00071E54" w:rsidP="00071E54">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FY35/36</w:t>
            </w:r>
          </w:p>
        </w:tc>
      </w:tr>
      <w:tr w:rsidR="00677ED1" w:rsidRPr="0019780B" w14:paraId="020E7E5E" w14:textId="77777777" w:rsidTr="00071E54">
        <w:trPr>
          <w:trHeight w:val="560"/>
        </w:trPr>
        <w:tc>
          <w:tcPr>
            <w:cnfStyle w:val="001000000000" w:firstRow="0" w:lastRow="0" w:firstColumn="1" w:lastColumn="0" w:oddVBand="0" w:evenVBand="0" w:oddHBand="0" w:evenHBand="0" w:firstRowFirstColumn="0" w:firstRowLastColumn="0" w:lastRowFirstColumn="0" w:lastRowLastColumn="0"/>
            <w:tcW w:w="1433" w:type="dxa"/>
          </w:tcPr>
          <w:p w14:paraId="0612B03B" w14:textId="77777777" w:rsidR="00DA6852" w:rsidRPr="0019780B" w:rsidRDefault="00DA6852" w:rsidP="00071E54">
            <w:pPr>
              <w:pStyle w:val="Tabletextbold"/>
            </w:pPr>
            <w:r w:rsidRPr="0019780B">
              <w:t xml:space="preserve">Total new prostheses </w:t>
            </w:r>
            <w:r w:rsidRPr="0019780B">
              <w:br/>
              <w:t>($, millions)</w:t>
            </w:r>
          </w:p>
        </w:tc>
        <w:tc>
          <w:tcPr>
            <w:tcW w:w="900" w:type="dxa"/>
          </w:tcPr>
          <w:p w14:paraId="15FF682E" w14:textId="77777777" w:rsidR="00DA6852" w:rsidRPr="0019780B" w:rsidRDefault="00DA6852" w:rsidP="00071E54">
            <w:pPr>
              <w:pStyle w:val="TableText"/>
              <w:cnfStyle w:val="000000000000" w:firstRow="0" w:lastRow="0" w:firstColumn="0" w:lastColumn="0" w:oddVBand="0" w:evenVBand="0" w:oddHBand="0" w:evenHBand="0" w:firstRowFirstColumn="0" w:firstRowLastColumn="0" w:lastRowFirstColumn="0" w:lastRowLastColumn="0"/>
              <w:rPr>
                <w:b/>
                <w:highlight w:val="yellow"/>
              </w:rPr>
            </w:pPr>
            <w:r w:rsidRPr="0019780B">
              <w:t>$4.16</w:t>
            </w:r>
          </w:p>
        </w:tc>
        <w:tc>
          <w:tcPr>
            <w:tcW w:w="900" w:type="dxa"/>
          </w:tcPr>
          <w:p w14:paraId="024C6EA7" w14:textId="77777777" w:rsidR="00DA6852" w:rsidRPr="0019780B" w:rsidRDefault="00DA6852" w:rsidP="00071E54">
            <w:pPr>
              <w:pStyle w:val="TableText"/>
              <w:cnfStyle w:val="000000000000" w:firstRow="0" w:lastRow="0" w:firstColumn="0" w:lastColumn="0" w:oddVBand="0" w:evenVBand="0" w:oddHBand="0" w:evenHBand="0" w:firstRowFirstColumn="0" w:firstRowLastColumn="0" w:lastRowFirstColumn="0" w:lastRowLastColumn="0"/>
              <w:rPr>
                <w:b/>
                <w:highlight w:val="yellow"/>
              </w:rPr>
            </w:pPr>
            <w:r w:rsidRPr="0019780B">
              <w:t>$4.48</w:t>
            </w:r>
          </w:p>
        </w:tc>
        <w:tc>
          <w:tcPr>
            <w:tcW w:w="900" w:type="dxa"/>
          </w:tcPr>
          <w:p w14:paraId="493DAA26" w14:textId="77777777" w:rsidR="00DA6852" w:rsidRPr="0019780B" w:rsidRDefault="00DA6852" w:rsidP="00071E54">
            <w:pPr>
              <w:pStyle w:val="TableText"/>
              <w:cnfStyle w:val="000000000000" w:firstRow="0" w:lastRow="0" w:firstColumn="0" w:lastColumn="0" w:oddVBand="0" w:evenVBand="0" w:oddHBand="0" w:evenHBand="0" w:firstRowFirstColumn="0" w:firstRowLastColumn="0" w:lastRowFirstColumn="0" w:lastRowLastColumn="0"/>
              <w:rPr>
                <w:b/>
                <w:highlight w:val="yellow"/>
              </w:rPr>
            </w:pPr>
            <w:r w:rsidRPr="0019780B">
              <w:t>$4.67</w:t>
            </w:r>
          </w:p>
        </w:tc>
        <w:tc>
          <w:tcPr>
            <w:tcW w:w="900" w:type="dxa"/>
          </w:tcPr>
          <w:p w14:paraId="5DB55776" w14:textId="77777777" w:rsidR="00DA6852" w:rsidRPr="0019780B" w:rsidRDefault="00DA6852" w:rsidP="00071E54">
            <w:pPr>
              <w:pStyle w:val="TableText"/>
              <w:cnfStyle w:val="000000000000" w:firstRow="0" w:lastRow="0" w:firstColumn="0" w:lastColumn="0" w:oddVBand="0" w:evenVBand="0" w:oddHBand="0" w:evenHBand="0" w:firstRowFirstColumn="0" w:firstRowLastColumn="0" w:lastRowFirstColumn="0" w:lastRowLastColumn="0"/>
              <w:rPr>
                <w:b/>
                <w:highlight w:val="yellow"/>
              </w:rPr>
            </w:pPr>
            <w:r w:rsidRPr="0019780B">
              <w:t>$4.87</w:t>
            </w:r>
          </w:p>
        </w:tc>
        <w:tc>
          <w:tcPr>
            <w:tcW w:w="900" w:type="dxa"/>
          </w:tcPr>
          <w:p w14:paraId="10E92AAE" w14:textId="77777777" w:rsidR="00DA6852" w:rsidRPr="0019780B" w:rsidRDefault="00DA6852" w:rsidP="00071E54">
            <w:pPr>
              <w:pStyle w:val="TableText"/>
              <w:cnfStyle w:val="000000000000" w:firstRow="0" w:lastRow="0" w:firstColumn="0" w:lastColumn="0" w:oddVBand="0" w:evenVBand="0" w:oddHBand="0" w:evenHBand="0" w:firstRowFirstColumn="0" w:firstRowLastColumn="0" w:lastRowFirstColumn="0" w:lastRowLastColumn="0"/>
              <w:rPr>
                <w:b/>
                <w:highlight w:val="yellow"/>
              </w:rPr>
            </w:pPr>
            <w:r w:rsidRPr="0019780B">
              <w:t>$5.08</w:t>
            </w:r>
          </w:p>
        </w:tc>
        <w:tc>
          <w:tcPr>
            <w:tcW w:w="900" w:type="dxa"/>
          </w:tcPr>
          <w:p w14:paraId="5C16FC66" w14:textId="77777777" w:rsidR="00DA6852" w:rsidRPr="0019780B" w:rsidRDefault="00DA6852" w:rsidP="00071E54">
            <w:pPr>
              <w:pStyle w:val="TableText"/>
              <w:cnfStyle w:val="000000000000" w:firstRow="0" w:lastRow="0" w:firstColumn="0" w:lastColumn="0" w:oddVBand="0" w:evenVBand="0" w:oddHBand="0" w:evenHBand="0" w:firstRowFirstColumn="0" w:firstRowLastColumn="0" w:lastRowFirstColumn="0" w:lastRowLastColumn="0"/>
              <w:rPr>
                <w:b/>
                <w:highlight w:val="yellow"/>
              </w:rPr>
            </w:pPr>
            <w:r w:rsidRPr="0019780B">
              <w:t>$5.29</w:t>
            </w:r>
          </w:p>
        </w:tc>
        <w:tc>
          <w:tcPr>
            <w:tcW w:w="900" w:type="dxa"/>
          </w:tcPr>
          <w:p w14:paraId="78DDAED1" w14:textId="77777777" w:rsidR="00DA6852" w:rsidRPr="0019780B" w:rsidRDefault="00DA6852" w:rsidP="00071E54">
            <w:pPr>
              <w:pStyle w:val="TableText"/>
              <w:cnfStyle w:val="000000000000" w:firstRow="0" w:lastRow="0" w:firstColumn="0" w:lastColumn="0" w:oddVBand="0" w:evenVBand="0" w:oddHBand="0" w:evenHBand="0" w:firstRowFirstColumn="0" w:firstRowLastColumn="0" w:lastRowFirstColumn="0" w:lastRowLastColumn="0"/>
              <w:rPr>
                <w:b/>
                <w:highlight w:val="yellow"/>
              </w:rPr>
            </w:pPr>
            <w:r w:rsidRPr="0019780B">
              <w:t>$5.51</w:t>
            </w:r>
          </w:p>
        </w:tc>
        <w:tc>
          <w:tcPr>
            <w:tcW w:w="900" w:type="dxa"/>
          </w:tcPr>
          <w:p w14:paraId="6B8878FE" w14:textId="77777777" w:rsidR="00DA6852" w:rsidRPr="0019780B" w:rsidRDefault="00DA6852" w:rsidP="00071E54">
            <w:pPr>
              <w:pStyle w:val="TableText"/>
              <w:cnfStyle w:val="000000000000" w:firstRow="0" w:lastRow="0" w:firstColumn="0" w:lastColumn="0" w:oddVBand="0" w:evenVBand="0" w:oddHBand="0" w:evenHBand="0" w:firstRowFirstColumn="0" w:firstRowLastColumn="0" w:lastRowFirstColumn="0" w:lastRowLastColumn="0"/>
              <w:rPr>
                <w:b/>
                <w:highlight w:val="yellow"/>
              </w:rPr>
            </w:pPr>
            <w:r w:rsidRPr="0019780B">
              <w:t>$5.73</w:t>
            </w:r>
          </w:p>
        </w:tc>
        <w:tc>
          <w:tcPr>
            <w:tcW w:w="900" w:type="dxa"/>
          </w:tcPr>
          <w:p w14:paraId="6D9685DB" w14:textId="77777777" w:rsidR="00DA6852" w:rsidRPr="0019780B" w:rsidRDefault="00DA6852" w:rsidP="00071E54">
            <w:pPr>
              <w:pStyle w:val="TableText"/>
              <w:cnfStyle w:val="000000000000" w:firstRow="0" w:lastRow="0" w:firstColumn="0" w:lastColumn="0" w:oddVBand="0" w:evenVBand="0" w:oddHBand="0" w:evenHBand="0" w:firstRowFirstColumn="0" w:firstRowLastColumn="0" w:lastRowFirstColumn="0" w:lastRowLastColumn="0"/>
              <w:rPr>
                <w:b/>
                <w:highlight w:val="yellow"/>
              </w:rPr>
            </w:pPr>
            <w:r w:rsidRPr="0019780B">
              <w:t>$5.97</w:t>
            </w:r>
          </w:p>
        </w:tc>
        <w:tc>
          <w:tcPr>
            <w:tcW w:w="905" w:type="dxa"/>
          </w:tcPr>
          <w:p w14:paraId="429A1DD1" w14:textId="77777777" w:rsidR="00DA6852" w:rsidRPr="0019780B" w:rsidRDefault="00DA6852" w:rsidP="00071E54">
            <w:pPr>
              <w:pStyle w:val="TableText"/>
              <w:cnfStyle w:val="000000000000" w:firstRow="0" w:lastRow="0" w:firstColumn="0" w:lastColumn="0" w:oddVBand="0" w:evenVBand="0" w:oddHBand="0" w:evenHBand="0" w:firstRowFirstColumn="0" w:firstRowLastColumn="0" w:lastRowFirstColumn="0" w:lastRowLastColumn="0"/>
              <w:rPr>
                <w:b/>
                <w:highlight w:val="yellow"/>
              </w:rPr>
            </w:pPr>
            <w:r w:rsidRPr="0019780B">
              <w:t>$6.20</w:t>
            </w:r>
          </w:p>
        </w:tc>
      </w:tr>
      <w:tr w:rsidR="00677ED1" w:rsidRPr="0019780B" w14:paraId="5A49A58C" w14:textId="77777777" w:rsidTr="00071E54">
        <w:trPr>
          <w:trHeight w:val="560"/>
        </w:trPr>
        <w:tc>
          <w:tcPr>
            <w:cnfStyle w:val="001000000000" w:firstRow="0" w:lastRow="0" w:firstColumn="1" w:lastColumn="0" w:oddVBand="0" w:evenVBand="0" w:oddHBand="0" w:evenHBand="0" w:firstRowFirstColumn="0" w:firstRowLastColumn="0" w:lastRowFirstColumn="0" w:lastRowLastColumn="0"/>
            <w:tcW w:w="1433" w:type="dxa"/>
          </w:tcPr>
          <w:p w14:paraId="3CDC6211" w14:textId="77777777" w:rsidR="00DA6852" w:rsidRPr="0019780B" w:rsidRDefault="00DA6852" w:rsidP="00071E54">
            <w:pPr>
              <w:pStyle w:val="Tabletextbold"/>
            </w:pPr>
            <w:r w:rsidRPr="0019780B">
              <w:t>Replacements /maintenance ($, millions)</w:t>
            </w:r>
          </w:p>
        </w:tc>
        <w:tc>
          <w:tcPr>
            <w:tcW w:w="900" w:type="dxa"/>
          </w:tcPr>
          <w:p w14:paraId="6DAAFDEA" w14:textId="77777777" w:rsidR="00DA6852" w:rsidRPr="0019780B" w:rsidRDefault="00DA6852" w:rsidP="00071E54">
            <w:pPr>
              <w:pStyle w:val="TableText"/>
              <w:cnfStyle w:val="000000000000" w:firstRow="0" w:lastRow="0" w:firstColumn="0" w:lastColumn="0" w:oddVBand="0" w:evenVBand="0" w:oddHBand="0" w:evenHBand="0" w:firstRowFirstColumn="0" w:firstRowLastColumn="0" w:lastRowFirstColumn="0" w:lastRowLastColumn="0"/>
              <w:rPr>
                <w:b/>
                <w:highlight w:val="yellow"/>
              </w:rPr>
            </w:pPr>
            <w:r w:rsidRPr="0019780B">
              <w:t>$0.00</w:t>
            </w:r>
          </w:p>
        </w:tc>
        <w:tc>
          <w:tcPr>
            <w:tcW w:w="900" w:type="dxa"/>
          </w:tcPr>
          <w:p w14:paraId="53DBEEBF" w14:textId="77777777" w:rsidR="00DA6852" w:rsidRPr="0019780B" w:rsidRDefault="00DA6852" w:rsidP="00071E54">
            <w:pPr>
              <w:pStyle w:val="TableText"/>
              <w:cnfStyle w:val="000000000000" w:firstRow="0" w:lastRow="0" w:firstColumn="0" w:lastColumn="0" w:oddVBand="0" w:evenVBand="0" w:oddHBand="0" w:evenHBand="0" w:firstRowFirstColumn="0" w:firstRowLastColumn="0" w:lastRowFirstColumn="0" w:lastRowLastColumn="0"/>
              <w:rPr>
                <w:b/>
                <w:highlight w:val="yellow"/>
              </w:rPr>
            </w:pPr>
            <w:r w:rsidRPr="0019780B">
              <w:t>$0.00</w:t>
            </w:r>
          </w:p>
        </w:tc>
        <w:tc>
          <w:tcPr>
            <w:tcW w:w="900" w:type="dxa"/>
          </w:tcPr>
          <w:p w14:paraId="3762EF3A" w14:textId="77777777" w:rsidR="00DA6852" w:rsidRPr="0019780B" w:rsidRDefault="00DA6852" w:rsidP="00071E54">
            <w:pPr>
              <w:pStyle w:val="TableText"/>
              <w:cnfStyle w:val="000000000000" w:firstRow="0" w:lastRow="0" w:firstColumn="0" w:lastColumn="0" w:oddVBand="0" w:evenVBand="0" w:oddHBand="0" w:evenHBand="0" w:firstRowFirstColumn="0" w:firstRowLastColumn="0" w:lastRowFirstColumn="0" w:lastRowLastColumn="0"/>
              <w:rPr>
                <w:b/>
                <w:highlight w:val="yellow"/>
              </w:rPr>
            </w:pPr>
            <w:r w:rsidRPr="0019780B">
              <w:t>$2.16</w:t>
            </w:r>
          </w:p>
        </w:tc>
        <w:tc>
          <w:tcPr>
            <w:tcW w:w="900" w:type="dxa"/>
          </w:tcPr>
          <w:p w14:paraId="698055BD" w14:textId="77777777" w:rsidR="00DA6852" w:rsidRPr="0019780B" w:rsidRDefault="00DA6852" w:rsidP="00071E54">
            <w:pPr>
              <w:pStyle w:val="TableText"/>
              <w:cnfStyle w:val="000000000000" w:firstRow="0" w:lastRow="0" w:firstColumn="0" w:lastColumn="0" w:oddVBand="0" w:evenVBand="0" w:oddHBand="0" w:evenHBand="0" w:firstRowFirstColumn="0" w:firstRowLastColumn="0" w:lastRowFirstColumn="0" w:lastRowLastColumn="0"/>
              <w:rPr>
                <w:b/>
                <w:highlight w:val="yellow"/>
              </w:rPr>
            </w:pPr>
            <w:r w:rsidRPr="0019780B">
              <w:t>$2.22</w:t>
            </w:r>
          </w:p>
        </w:tc>
        <w:tc>
          <w:tcPr>
            <w:tcW w:w="900" w:type="dxa"/>
          </w:tcPr>
          <w:p w14:paraId="7B663369" w14:textId="77777777" w:rsidR="00DA6852" w:rsidRPr="0019780B" w:rsidRDefault="00DA6852" w:rsidP="00071E54">
            <w:pPr>
              <w:pStyle w:val="TableText"/>
              <w:cnfStyle w:val="000000000000" w:firstRow="0" w:lastRow="0" w:firstColumn="0" w:lastColumn="0" w:oddVBand="0" w:evenVBand="0" w:oddHBand="0" w:evenHBand="0" w:firstRowFirstColumn="0" w:firstRowLastColumn="0" w:lastRowFirstColumn="0" w:lastRowLastColumn="0"/>
              <w:rPr>
                <w:b/>
                <w:highlight w:val="yellow"/>
              </w:rPr>
            </w:pPr>
            <w:r w:rsidRPr="0019780B">
              <w:t>$2.32</w:t>
            </w:r>
          </w:p>
        </w:tc>
        <w:tc>
          <w:tcPr>
            <w:tcW w:w="900" w:type="dxa"/>
          </w:tcPr>
          <w:p w14:paraId="1ACF37BC" w14:textId="77777777" w:rsidR="00DA6852" w:rsidRPr="0019780B" w:rsidRDefault="00DA6852" w:rsidP="00071E54">
            <w:pPr>
              <w:pStyle w:val="TableText"/>
              <w:cnfStyle w:val="000000000000" w:firstRow="0" w:lastRow="0" w:firstColumn="0" w:lastColumn="0" w:oddVBand="0" w:evenVBand="0" w:oddHBand="0" w:evenHBand="0" w:firstRowFirstColumn="0" w:firstRowLastColumn="0" w:lastRowFirstColumn="0" w:lastRowLastColumn="0"/>
              <w:rPr>
                <w:b/>
                <w:highlight w:val="yellow"/>
              </w:rPr>
            </w:pPr>
            <w:r w:rsidRPr="0019780B">
              <w:t>$2.21</w:t>
            </w:r>
          </w:p>
        </w:tc>
        <w:tc>
          <w:tcPr>
            <w:tcW w:w="900" w:type="dxa"/>
          </w:tcPr>
          <w:p w14:paraId="1A99F30D" w14:textId="77777777" w:rsidR="00DA6852" w:rsidRPr="0019780B" w:rsidRDefault="00DA6852" w:rsidP="00071E54">
            <w:pPr>
              <w:pStyle w:val="TableText"/>
              <w:cnfStyle w:val="000000000000" w:firstRow="0" w:lastRow="0" w:firstColumn="0" w:lastColumn="0" w:oddVBand="0" w:evenVBand="0" w:oddHBand="0" w:evenHBand="0" w:firstRowFirstColumn="0" w:firstRowLastColumn="0" w:lastRowFirstColumn="0" w:lastRowLastColumn="0"/>
              <w:rPr>
                <w:b/>
                <w:highlight w:val="yellow"/>
              </w:rPr>
            </w:pPr>
            <w:r w:rsidRPr="0019780B">
              <w:t>$2.23</w:t>
            </w:r>
          </w:p>
        </w:tc>
        <w:tc>
          <w:tcPr>
            <w:tcW w:w="900" w:type="dxa"/>
          </w:tcPr>
          <w:p w14:paraId="1F0E05B4" w14:textId="77777777" w:rsidR="00DA6852" w:rsidRPr="0019780B" w:rsidRDefault="00DA6852" w:rsidP="00071E54">
            <w:pPr>
              <w:pStyle w:val="TableText"/>
              <w:cnfStyle w:val="000000000000" w:firstRow="0" w:lastRow="0" w:firstColumn="0" w:lastColumn="0" w:oddVBand="0" w:evenVBand="0" w:oddHBand="0" w:evenHBand="0" w:firstRowFirstColumn="0" w:firstRowLastColumn="0" w:lastRowFirstColumn="0" w:lastRowLastColumn="0"/>
              <w:rPr>
                <w:b/>
                <w:highlight w:val="yellow"/>
              </w:rPr>
            </w:pPr>
            <w:r w:rsidRPr="0019780B">
              <w:t>$2.33</w:t>
            </w:r>
          </w:p>
        </w:tc>
        <w:tc>
          <w:tcPr>
            <w:tcW w:w="900" w:type="dxa"/>
          </w:tcPr>
          <w:p w14:paraId="77FD84E8" w14:textId="77777777" w:rsidR="00DA6852" w:rsidRPr="0019780B" w:rsidRDefault="00DA6852" w:rsidP="00071E54">
            <w:pPr>
              <w:pStyle w:val="TableText"/>
              <w:cnfStyle w:val="000000000000" w:firstRow="0" w:lastRow="0" w:firstColumn="0" w:lastColumn="0" w:oddVBand="0" w:evenVBand="0" w:oddHBand="0" w:evenHBand="0" w:firstRowFirstColumn="0" w:firstRowLastColumn="0" w:lastRowFirstColumn="0" w:lastRowLastColumn="0"/>
              <w:rPr>
                <w:b/>
                <w:highlight w:val="yellow"/>
              </w:rPr>
            </w:pPr>
            <w:r w:rsidRPr="0019780B">
              <w:t>$2.22</w:t>
            </w:r>
          </w:p>
        </w:tc>
        <w:tc>
          <w:tcPr>
            <w:tcW w:w="905" w:type="dxa"/>
          </w:tcPr>
          <w:p w14:paraId="53E0B32A" w14:textId="77777777" w:rsidR="00DA6852" w:rsidRPr="0019780B" w:rsidRDefault="00DA6852" w:rsidP="00071E54">
            <w:pPr>
              <w:pStyle w:val="TableText"/>
              <w:cnfStyle w:val="000000000000" w:firstRow="0" w:lastRow="0" w:firstColumn="0" w:lastColumn="0" w:oddVBand="0" w:evenVBand="0" w:oddHBand="0" w:evenHBand="0" w:firstRowFirstColumn="0" w:firstRowLastColumn="0" w:lastRowFirstColumn="0" w:lastRowLastColumn="0"/>
              <w:rPr>
                <w:b/>
                <w:highlight w:val="yellow"/>
              </w:rPr>
            </w:pPr>
            <w:r w:rsidRPr="0019780B">
              <w:t>$2.25</w:t>
            </w:r>
          </w:p>
        </w:tc>
      </w:tr>
      <w:tr w:rsidR="00677ED1" w:rsidRPr="0019780B" w14:paraId="2964C9A2" w14:textId="77777777" w:rsidTr="00071E54">
        <w:trPr>
          <w:trHeight w:val="560"/>
        </w:trPr>
        <w:tc>
          <w:tcPr>
            <w:cnfStyle w:val="001000000000" w:firstRow="0" w:lastRow="0" w:firstColumn="1" w:lastColumn="0" w:oddVBand="0" w:evenVBand="0" w:oddHBand="0" w:evenHBand="0" w:firstRowFirstColumn="0" w:firstRowLastColumn="0" w:lastRowFirstColumn="0" w:lastRowLastColumn="0"/>
            <w:tcW w:w="1433" w:type="dxa"/>
          </w:tcPr>
          <w:p w14:paraId="14759400" w14:textId="77777777" w:rsidR="00DA6852" w:rsidRPr="0019780B" w:rsidRDefault="00DA6852" w:rsidP="00071E54">
            <w:pPr>
              <w:pStyle w:val="Tabletextbold"/>
            </w:pPr>
            <w:r w:rsidRPr="0019780B">
              <w:t>Total breast costs ($, millions)</w:t>
            </w:r>
          </w:p>
        </w:tc>
        <w:tc>
          <w:tcPr>
            <w:tcW w:w="900" w:type="dxa"/>
          </w:tcPr>
          <w:p w14:paraId="7DBB77C6" w14:textId="77777777" w:rsidR="00DA6852" w:rsidRPr="00EF4876" w:rsidRDefault="00DA6852" w:rsidP="00071E54">
            <w:pPr>
              <w:pStyle w:val="TableText"/>
              <w:cnfStyle w:val="000000000000" w:firstRow="0" w:lastRow="0" w:firstColumn="0" w:lastColumn="0" w:oddVBand="0" w:evenVBand="0" w:oddHBand="0" w:evenHBand="0" w:firstRowFirstColumn="0" w:firstRowLastColumn="0" w:lastRowFirstColumn="0" w:lastRowLastColumn="0"/>
            </w:pPr>
            <w:r w:rsidRPr="0019780B">
              <w:t>$4.16</w:t>
            </w:r>
          </w:p>
        </w:tc>
        <w:tc>
          <w:tcPr>
            <w:tcW w:w="900" w:type="dxa"/>
          </w:tcPr>
          <w:p w14:paraId="1BEED47A" w14:textId="77418C5B" w:rsidR="00DA6852" w:rsidRPr="00EF4876" w:rsidRDefault="00DA6852" w:rsidP="00071E54">
            <w:pPr>
              <w:pStyle w:val="TableText"/>
              <w:cnfStyle w:val="000000000000" w:firstRow="0" w:lastRow="0" w:firstColumn="0" w:lastColumn="0" w:oddVBand="0" w:evenVBand="0" w:oddHBand="0" w:evenHBand="0" w:firstRowFirstColumn="0" w:firstRowLastColumn="0" w:lastRowFirstColumn="0" w:lastRowLastColumn="0"/>
            </w:pPr>
            <w:r w:rsidRPr="0019780B">
              <w:t>$4.</w:t>
            </w:r>
            <w:r w:rsidR="005B2A6E" w:rsidRPr="00EF4876">
              <w:t>48</w:t>
            </w:r>
          </w:p>
        </w:tc>
        <w:tc>
          <w:tcPr>
            <w:tcW w:w="900" w:type="dxa"/>
          </w:tcPr>
          <w:p w14:paraId="345A1560" w14:textId="032B8B26" w:rsidR="00DA6852" w:rsidRPr="00EF4876" w:rsidRDefault="00DA6852" w:rsidP="00071E54">
            <w:pPr>
              <w:pStyle w:val="TableText"/>
              <w:cnfStyle w:val="000000000000" w:firstRow="0" w:lastRow="0" w:firstColumn="0" w:lastColumn="0" w:oddVBand="0" w:evenVBand="0" w:oddHBand="0" w:evenHBand="0" w:firstRowFirstColumn="0" w:firstRowLastColumn="0" w:lastRowFirstColumn="0" w:lastRowLastColumn="0"/>
            </w:pPr>
            <w:r w:rsidRPr="0019780B">
              <w:t>$6.</w:t>
            </w:r>
            <w:r w:rsidR="005B2A6E" w:rsidRPr="00EF4876">
              <w:t>84</w:t>
            </w:r>
          </w:p>
        </w:tc>
        <w:tc>
          <w:tcPr>
            <w:tcW w:w="900" w:type="dxa"/>
          </w:tcPr>
          <w:p w14:paraId="7EF2E188" w14:textId="0F73B700" w:rsidR="00DA6852" w:rsidRPr="00EF4876" w:rsidRDefault="00DA6852" w:rsidP="00071E54">
            <w:pPr>
              <w:pStyle w:val="TableText"/>
              <w:cnfStyle w:val="000000000000" w:firstRow="0" w:lastRow="0" w:firstColumn="0" w:lastColumn="0" w:oddVBand="0" w:evenVBand="0" w:oddHBand="0" w:evenHBand="0" w:firstRowFirstColumn="0" w:firstRowLastColumn="0" w:lastRowFirstColumn="0" w:lastRowLastColumn="0"/>
            </w:pPr>
            <w:r w:rsidRPr="0019780B">
              <w:t>$7.</w:t>
            </w:r>
            <w:r w:rsidR="005B2A6E" w:rsidRPr="00EF4876">
              <w:t>10</w:t>
            </w:r>
          </w:p>
        </w:tc>
        <w:tc>
          <w:tcPr>
            <w:tcW w:w="900" w:type="dxa"/>
          </w:tcPr>
          <w:p w14:paraId="46C3208E" w14:textId="59F3641C" w:rsidR="00DA6852" w:rsidRPr="00EF4876" w:rsidRDefault="00DA6852" w:rsidP="00071E54">
            <w:pPr>
              <w:pStyle w:val="TableText"/>
              <w:cnfStyle w:val="000000000000" w:firstRow="0" w:lastRow="0" w:firstColumn="0" w:lastColumn="0" w:oddVBand="0" w:evenVBand="0" w:oddHBand="0" w:evenHBand="0" w:firstRowFirstColumn="0" w:firstRowLastColumn="0" w:lastRowFirstColumn="0" w:lastRowLastColumn="0"/>
            </w:pPr>
            <w:r w:rsidRPr="0019780B">
              <w:t>$7.</w:t>
            </w:r>
            <w:r w:rsidR="005B2A6E" w:rsidRPr="00EF4876">
              <w:t>40</w:t>
            </w:r>
          </w:p>
        </w:tc>
        <w:tc>
          <w:tcPr>
            <w:tcW w:w="900" w:type="dxa"/>
          </w:tcPr>
          <w:p w14:paraId="46C4D50E" w14:textId="66F831C6" w:rsidR="00DA6852" w:rsidRPr="00EF4876" w:rsidRDefault="00DA6852" w:rsidP="00071E54">
            <w:pPr>
              <w:pStyle w:val="TableText"/>
              <w:cnfStyle w:val="000000000000" w:firstRow="0" w:lastRow="0" w:firstColumn="0" w:lastColumn="0" w:oddVBand="0" w:evenVBand="0" w:oddHBand="0" w:evenHBand="0" w:firstRowFirstColumn="0" w:firstRowLastColumn="0" w:lastRowFirstColumn="0" w:lastRowLastColumn="0"/>
            </w:pPr>
            <w:r w:rsidRPr="0019780B">
              <w:t>$7.</w:t>
            </w:r>
            <w:r w:rsidR="005B2A6E" w:rsidRPr="00EF4876">
              <w:t>51</w:t>
            </w:r>
          </w:p>
        </w:tc>
        <w:tc>
          <w:tcPr>
            <w:tcW w:w="900" w:type="dxa"/>
          </w:tcPr>
          <w:p w14:paraId="082E6264" w14:textId="6F2F2CAC" w:rsidR="00DA6852" w:rsidRPr="00EF4876" w:rsidRDefault="005B2A6E" w:rsidP="00071E54">
            <w:pPr>
              <w:pStyle w:val="TableText"/>
              <w:cnfStyle w:val="000000000000" w:firstRow="0" w:lastRow="0" w:firstColumn="0" w:lastColumn="0" w:oddVBand="0" w:evenVBand="0" w:oddHBand="0" w:evenHBand="0" w:firstRowFirstColumn="0" w:firstRowLastColumn="0" w:lastRowFirstColumn="0" w:lastRowLastColumn="0"/>
            </w:pPr>
            <w:r w:rsidRPr="00EF4876">
              <w:t>$7.74</w:t>
            </w:r>
          </w:p>
        </w:tc>
        <w:tc>
          <w:tcPr>
            <w:tcW w:w="900" w:type="dxa"/>
          </w:tcPr>
          <w:p w14:paraId="768143CE" w14:textId="00A4E847" w:rsidR="00DA6852" w:rsidRPr="00EF4876" w:rsidRDefault="00DA6852" w:rsidP="00071E54">
            <w:pPr>
              <w:pStyle w:val="TableText"/>
              <w:cnfStyle w:val="000000000000" w:firstRow="0" w:lastRow="0" w:firstColumn="0" w:lastColumn="0" w:oddVBand="0" w:evenVBand="0" w:oddHBand="0" w:evenHBand="0" w:firstRowFirstColumn="0" w:firstRowLastColumn="0" w:lastRowFirstColumn="0" w:lastRowLastColumn="0"/>
            </w:pPr>
            <w:r w:rsidRPr="0019780B">
              <w:t>$8.</w:t>
            </w:r>
            <w:r w:rsidR="005B2A6E" w:rsidRPr="00EF4876">
              <w:t>07</w:t>
            </w:r>
          </w:p>
        </w:tc>
        <w:tc>
          <w:tcPr>
            <w:tcW w:w="900" w:type="dxa"/>
          </w:tcPr>
          <w:p w14:paraId="58133FDA" w14:textId="79AC8501" w:rsidR="00DA6852" w:rsidRPr="00EF4876" w:rsidRDefault="00DA6852" w:rsidP="00071E54">
            <w:pPr>
              <w:pStyle w:val="TableText"/>
              <w:cnfStyle w:val="000000000000" w:firstRow="0" w:lastRow="0" w:firstColumn="0" w:lastColumn="0" w:oddVBand="0" w:evenVBand="0" w:oddHBand="0" w:evenHBand="0" w:firstRowFirstColumn="0" w:firstRowLastColumn="0" w:lastRowFirstColumn="0" w:lastRowLastColumn="0"/>
            </w:pPr>
            <w:r w:rsidRPr="0019780B">
              <w:t>$8.</w:t>
            </w:r>
            <w:r w:rsidR="005B2A6E" w:rsidRPr="00EF4876">
              <w:t>19</w:t>
            </w:r>
          </w:p>
        </w:tc>
        <w:tc>
          <w:tcPr>
            <w:tcW w:w="905" w:type="dxa"/>
          </w:tcPr>
          <w:p w14:paraId="75857E83" w14:textId="01D442A4" w:rsidR="00DA6852" w:rsidRPr="00EF4876" w:rsidRDefault="005B2A6E" w:rsidP="00071E54">
            <w:pPr>
              <w:pStyle w:val="TableText"/>
              <w:cnfStyle w:val="000000000000" w:firstRow="0" w:lastRow="0" w:firstColumn="0" w:lastColumn="0" w:oddVBand="0" w:evenVBand="0" w:oddHBand="0" w:evenHBand="0" w:firstRowFirstColumn="0" w:firstRowLastColumn="0" w:lastRowFirstColumn="0" w:lastRowLastColumn="0"/>
            </w:pPr>
            <w:r w:rsidRPr="00EF4876">
              <w:t>$8.45</w:t>
            </w:r>
          </w:p>
        </w:tc>
      </w:tr>
      <w:tr w:rsidR="00677ED1" w:rsidRPr="0019780B" w14:paraId="2ED6004D" w14:textId="77777777" w:rsidTr="00071E54">
        <w:trPr>
          <w:trHeight w:val="79"/>
        </w:trPr>
        <w:tc>
          <w:tcPr>
            <w:cnfStyle w:val="001000000000" w:firstRow="0" w:lastRow="0" w:firstColumn="1" w:lastColumn="0" w:oddVBand="0" w:evenVBand="0" w:oddHBand="0" w:evenHBand="0" w:firstRowFirstColumn="0" w:firstRowLastColumn="0" w:lastRowFirstColumn="0" w:lastRowLastColumn="0"/>
            <w:tcW w:w="1433" w:type="dxa"/>
          </w:tcPr>
          <w:p w14:paraId="1F9CF84B" w14:textId="77777777" w:rsidR="00DA6852" w:rsidRPr="0019780B" w:rsidRDefault="00DA6852" w:rsidP="00071E54">
            <w:pPr>
              <w:pStyle w:val="Tabletextbold"/>
              <w:rPr>
                <w:b/>
              </w:rPr>
            </w:pPr>
            <w:r w:rsidRPr="0019780B">
              <w:rPr>
                <w:b/>
              </w:rPr>
              <w:t>Total option cost ($, millions)</w:t>
            </w:r>
          </w:p>
        </w:tc>
        <w:tc>
          <w:tcPr>
            <w:tcW w:w="900" w:type="dxa"/>
          </w:tcPr>
          <w:p w14:paraId="63EE0858" w14:textId="6D88EB5A" w:rsidR="00DA6852" w:rsidRPr="0042443F" w:rsidRDefault="00FC6E85" w:rsidP="00071E54">
            <w:pPr>
              <w:pStyle w:val="Tabletextbold"/>
              <w:cnfStyle w:val="000000000000" w:firstRow="0" w:lastRow="0" w:firstColumn="0" w:lastColumn="0" w:oddVBand="0" w:evenVBand="0" w:oddHBand="0" w:evenHBand="0" w:firstRowFirstColumn="0" w:firstRowLastColumn="0" w:lastRowFirstColumn="0" w:lastRowLastColumn="0"/>
              <w:rPr>
                <w:rStyle w:val="Strong"/>
              </w:rPr>
            </w:pPr>
            <w:r w:rsidRPr="0042443F">
              <w:rPr>
                <w:rStyle w:val="Strong"/>
              </w:rPr>
              <w:t>$7.07</w:t>
            </w:r>
          </w:p>
        </w:tc>
        <w:tc>
          <w:tcPr>
            <w:tcW w:w="900" w:type="dxa"/>
          </w:tcPr>
          <w:p w14:paraId="3DC31387" w14:textId="2515B983" w:rsidR="00DA6852" w:rsidRPr="0042443F" w:rsidRDefault="00FC6E85" w:rsidP="00071E54">
            <w:pPr>
              <w:pStyle w:val="Tabletextbold"/>
              <w:cnfStyle w:val="000000000000" w:firstRow="0" w:lastRow="0" w:firstColumn="0" w:lastColumn="0" w:oddVBand="0" w:evenVBand="0" w:oddHBand="0" w:evenHBand="0" w:firstRowFirstColumn="0" w:firstRowLastColumn="0" w:lastRowFirstColumn="0" w:lastRowLastColumn="0"/>
              <w:rPr>
                <w:rStyle w:val="Strong"/>
              </w:rPr>
            </w:pPr>
            <w:r w:rsidRPr="0042443F">
              <w:rPr>
                <w:rStyle w:val="Strong"/>
              </w:rPr>
              <w:t>$7.</w:t>
            </w:r>
            <w:r w:rsidR="009A5813" w:rsidRPr="0042443F">
              <w:rPr>
                <w:rStyle w:val="Strong"/>
              </w:rPr>
              <w:t>65</w:t>
            </w:r>
          </w:p>
        </w:tc>
        <w:tc>
          <w:tcPr>
            <w:tcW w:w="900" w:type="dxa"/>
          </w:tcPr>
          <w:p w14:paraId="7FD0E9AC" w14:textId="75C3E9A8" w:rsidR="00DA6852" w:rsidRPr="0042443F" w:rsidRDefault="00FC6E85" w:rsidP="00071E54">
            <w:pPr>
              <w:pStyle w:val="Tabletextbold"/>
              <w:cnfStyle w:val="000000000000" w:firstRow="0" w:lastRow="0" w:firstColumn="0" w:lastColumn="0" w:oddVBand="0" w:evenVBand="0" w:oddHBand="0" w:evenHBand="0" w:firstRowFirstColumn="0" w:firstRowLastColumn="0" w:lastRowFirstColumn="0" w:lastRowLastColumn="0"/>
              <w:rPr>
                <w:rStyle w:val="Strong"/>
              </w:rPr>
            </w:pPr>
            <w:r w:rsidRPr="0042443F">
              <w:rPr>
                <w:rStyle w:val="Strong"/>
              </w:rPr>
              <w:t>$10.</w:t>
            </w:r>
            <w:r w:rsidR="009A5813" w:rsidRPr="0042443F">
              <w:rPr>
                <w:rStyle w:val="Strong"/>
              </w:rPr>
              <w:t>16</w:t>
            </w:r>
          </w:p>
        </w:tc>
        <w:tc>
          <w:tcPr>
            <w:tcW w:w="900" w:type="dxa"/>
          </w:tcPr>
          <w:p w14:paraId="0CA15E34" w14:textId="6ACC5D42" w:rsidR="00DA6852" w:rsidRPr="0042443F" w:rsidRDefault="00DA6852" w:rsidP="00071E54">
            <w:pPr>
              <w:pStyle w:val="Tabletextbold"/>
              <w:cnfStyle w:val="000000000000" w:firstRow="0" w:lastRow="0" w:firstColumn="0" w:lastColumn="0" w:oddVBand="0" w:evenVBand="0" w:oddHBand="0" w:evenHBand="0" w:firstRowFirstColumn="0" w:firstRowLastColumn="0" w:lastRowFirstColumn="0" w:lastRowLastColumn="0"/>
              <w:rPr>
                <w:rStyle w:val="Strong"/>
              </w:rPr>
            </w:pPr>
            <w:r w:rsidRPr="0042443F">
              <w:rPr>
                <w:rStyle w:val="Strong"/>
              </w:rPr>
              <w:t>$12</w:t>
            </w:r>
            <w:r w:rsidR="00FC6E85" w:rsidRPr="0042443F">
              <w:rPr>
                <w:rStyle w:val="Strong"/>
              </w:rPr>
              <w:t>.</w:t>
            </w:r>
            <w:r w:rsidR="009A5813" w:rsidRPr="0042443F">
              <w:rPr>
                <w:rStyle w:val="Strong"/>
              </w:rPr>
              <w:t>73</w:t>
            </w:r>
          </w:p>
        </w:tc>
        <w:tc>
          <w:tcPr>
            <w:tcW w:w="900" w:type="dxa"/>
          </w:tcPr>
          <w:p w14:paraId="25A7A7F7" w14:textId="750A3EA9" w:rsidR="00DA6852" w:rsidRPr="0042443F" w:rsidRDefault="00FC6E85" w:rsidP="00071E54">
            <w:pPr>
              <w:pStyle w:val="Tabletextbold"/>
              <w:cnfStyle w:val="000000000000" w:firstRow="0" w:lastRow="0" w:firstColumn="0" w:lastColumn="0" w:oddVBand="0" w:evenVBand="0" w:oddHBand="0" w:evenHBand="0" w:firstRowFirstColumn="0" w:firstRowLastColumn="0" w:lastRowFirstColumn="0" w:lastRowLastColumn="0"/>
              <w:rPr>
                <w:rStyle w:val="Strong"/>
              </w:rPr>
            </w:pPr>
            <w:r w:rsidRPr="0042443F">
              <w:rPr>
                <w:rStyle w:val="Strong"/>
              </w:rPr>
              <w:t>$13.</w:t>
            </w:r>
            <w:r w:rsidR="009A5813" w:rsidRPr="0042443F">
              <w:rPr>
                <w:rStyle w:val="Strong"/>
              </w:rPr>
              <w:t>28</w:t>
            </w:r>
          </w:p>
        </w:tc>
        <w:tc>
          <w:tcPr>
            <w:tcW w:w="900" w:type="dxa"/>
          </w:tcPr>
          <w:p w14:paraId="2BE3759D" w14:textId="5EBCB9B4" w:rsidR="00DA6852" w:rsidRPr="0042443F" w:rsidRDefault="00FC6E85" w:rsidP="00071E54">
            <w:pPr>
              <w:pStyle w:val="Tabletextbold"/>
              <w:cnfStyle w:val="000000000000" w:firstRow="0" w:lastRow="0" w:firstColumn="0" w:lastColumn="0" w:oddVBand="0" w:evenVBand="0" w:oddHBand="0" w:evenHBand="0" w:firstRowFirstColumn="0" w:firstRowLastColumn="0" w:lastRowFirstColumn="0" w:lastRowLastColumn="0"/>
              <w:rPr>
                <w:rStyle w:val="Strong"/>
              </w:rPr>
            </w:pPr>
            <w:r w:rsidRPr="0042443F">
              <w:rPr>
                <w:rStyle w:val="Strong"/>
              </w:rPr>
              <w:t>$13.</w:t>
            </w:r>
            <w:r w:rsidR="009A5813" w:rsidRPr="0042443F">
              <w:rPr>
                <w:rStyle w:val="Strong"/>
              </w:rPr>
              <w:t>65</w:t>
            </w:r>
          </w:p>
        </w:tc>
        <w:tc>
          <w:tcPr>
            <w:tcW w:w="900" w:type="dxa"/>
          </w:tcPr>
          <w:p w14:paraId="5023DB6E" w14:textId="23F9FF0F" w:rsidR="00DA6852" w:rsidRPr="0042443F" w:rsidRDefault="00FC6E85" w:rsidP="00071E54">
            <w:pPr>
              <w:pStyle w:val="Tabletextbold"/>
              <w:cnfStyle w:val="000000000000" w:firstRow="0" w:lastRow="0" w:firstColumn="0" w:lastColumn="0" w:oddVBand="0" w:evenVBand="0" w:oddHBand="0" w:evenHBand="0" w:firstRowFirstColumn="0" w:firstRowLastColumn="0" w:lastRowFirstColumn="0" w:lastRowLastColumn="0"/>
              <w:rPr>
                <w:rStyle w:val="Strong"/>
              </w:rPr>
            </w:pPr>
            <w:r w:rsidRPr="0042443F">
              <w:rPr>
                <w:rStyle w:val="Strong"/>
              </w:rPr>
              <w:t>$13.</w:t>
            </w:r>
            <w:r w:rsidR="009A5813" w:rsidRPr="0042443F">
              <w:rPr>
                <w:rStyle w:val="Strong"/>
              </w:rPr>
              <w:t>60</w:t>
            </w:r>
          </w:p>
        </w:tc>
        <w:tc>
          <w:tcPr>
            <w:tcW w:w="900" w:type="dxa"/>
          </w:tcPr>
          <w:p w14:paraId="0AA5EB2C" w14:textId="3B7ABB39" w:rsidR="00DA6852" w:rsidRPr="0042443F" w:rsidRDefault="00FC6E85" w:rsidP="00071E54">
            <w:pPr>
              <w:pStyle w:val="Tabletextbold"/>
              <w:cnfStyle w:val="000000000000" w:firstRow="0" w:lastRow="0" w:firstColumn="0" w:lastColumn="0" w:oddVBand="0" w:evenVBand="0" w:oddHBand="0" w:evenHBand="0" w:firstRowFirstColumn="0" w:firstRowLastColumn="0" w:lastRowFirstColumn="0" w:lastRowLastColumn="0"/>
              <w:rPr>
                <w:rStyle w:val="Strong"/>
              </w:rPr>
            </w:pPr>
            <w:r w:rsidRPr="0042443F">
              <w:rPr>
                <w:rStyle w:val="Strong"/>
              </w:rPr>
              <w:t>$14.</w:t>
            </w:r>
            <w:r w:rsidR="009A5813" w:rsidRPr="0042443F">
              <w:rPr>
                <w:rStyle w:val="Strong"/>
              </w:rPr>
              <w:t>18</w:t>
            </w:r>
          </w:p>
        </w:tc>
        <w:tc>
          <w:tcPr>
            <w:tcW w:w="900" w:type="dxa"/>
          </w:tcPr>
          <w:p w14:paraId="1A3BB328" w14:textId="73C90C6A" w:rsidR="00DA6852" w:rsidRPr="0042443F" w:rsidRDefault="009A5813" w:rsidP="00071E54">
            <w:pPr>
              <w:pStyle w:val="Tabletextbold"/>
              <w:cnfStyle w:val="000000000000" w:firstRow="0" w:lastRow="0" w:firstColumn="0" w:lastColumn="0" w:oddVBand="0" w:evenVBand="0" w:oddHBand="0" w:evenHBand="0" w:firstRowFirstColumn="0" w:firstRowLastColumn="0" w:lastRowFirstColumn="0" w:lastRowLastColumn="0"/>
              <w:rPr>
                <w:rStyle w:val="Strong"/>
              </w:rPr>
            </w:pPr>
            <w:r w:rsidRPr="0042443F">
              <w:rPr>
                <w:rStyle w:val="Strong"/>
              </w:rPr>
              <w:t>$14.57</w:t>
            </w:r>
          </w:p>
        </w:tc>
        <w:tc>
          <w:tcPr>
            <w:tcW w:w="905" w:type="dxa"/>
          </w:tcPr>
          <w:p w14:paraId="7F54B389" w14:textId="09615870" w:rsidR="00DA6852" w:rsidRPr="0042443F" w:rsidRDefault="009A5813" w:rsidP="00071E54">
            <w:pPr>
              <w:pStyle w:val="Tabletextbold"/>
              <w:cnfStyle w:val="000000000000" w:firstRow="0" w:lastRow="0" w:firstColumn="0" w:lastColumn="0" w:oddVBand="0" w:evenVBand="0" w:oddHBand="0" w:evenHBand="0" w:firstRowFirstColumn="0" w:firstRowLastColumn="0" w:lastRowFirstColumn="0" w:lastRowLastColumn="0"/>
              <w:rPr>
                <w:rStyle w:val="Strong"/>
              </w:rPr>
            </w:pPr>
            <w:r w:rsidRPr="0042443F">
              <w:rPr>
                <w:rStyle w:val="Strong"/>
              </w:rPr>
              <w:t>$14.66</w:t>
            </w:r>
          </w:p>
        </w:tc>
      </w:tr>
      <w:tr w:rsidR="00677ED1" w:rsidRPr="0019780B" w14:paraId="3264D430" w14:textId="77777777" w:rsidTr="00071E54">
        <w:trPr>
          <w:trHeight w:val="79"/>
        </w:trPr>
        <w:tc>
          <w:tcPr>
            <w:cnfStyle w:val="001000000000" w:firstRow="0" w:lastRow="0" w:firstColumn="1" w:lastColumn="0" w:oddVBand="0" w:evenVBand="0" w:oddHBand="0" w:evenHBand="0" w:firstRowFirstColumn="0" w:firstRowLastColumn="0" w:lastRowFirstColumn="0" w:lastRowLastColumn="0"/>
            <w:tcW w:w="1433" w:type="dxa"/>
          </w:tcPr>
          <w:p w14:paraId="7C5A177F" w14:textId="77777777" w:rsidR="00DA6852" w:rsidRPr="0019780B" w:rsidRDefault="00DA6852" w:rsidP="00071E54">
            <w:pPr>
              <w:pStyle w:val="Tabletextbold"/>
              <w:rPr>
                <w:b/>
              </w:rPr>
            </w:pPr>
            <w:r w:rsidRPr="0019780B">
              <w:rPr>
                <w:b/>
                <w:i/>
              </w:rPr>
              <w:t>Present value (FY24/25 $, millions)</w:t>
            </w:r>
          </w:p>
        </w:tc>
        <w:tc>
          <w:tcPr>
            <w:tcW w:w="900" w:type="dxa"/>
          </w:tcPr>
          <w:p w14:paraId="274469C9" w14:textId="6D04EF03" w:rsidR="00DA6852" w:rsidRPr="00EF4876" w:rsidRDefault="00B47345" w:rsidP="00071E54">
            <w:pPr>
              <w:pStyle w:val="Tabletextbold"/>
              <w:cnfStyle w:val="000000000000" w:firstRow="0" w:lastRow="0" w:firstColumn="0" w:lastColumn="0" w:oddVBand="0" w:evenVBand="0" w:oddHBand="0" w:evenHBand="0" w:firstRowFirstColumn="0" w:firstRowLastColumn="0" w:lastRowFirstColumn="0" w:lastRowLastColumn="0"/>
              <w:rPr>
                <w:rFonts w:cstheme="minorHAnsi"/>
              </w:rPr>
            </w:pPr>
            <w:r w:rsidRPr="00EF4876">
              <w:rPr>
                <w:rFonts w:cstheme="minorHAnsi"/>
              </w:rPr>
              <w:t>$6.74</w:t>
            </w:r>
          </w:p>
        </w:tc>
        <w:tc>
          <w:tcPr>
            <w:tcW w:w="900" w:type="dxa"/>
          </w:tcPr>
          <w:p w14:paraId="069B073C" w14:textId="59E9319D" w:rsidR="00DA6852" w:rsidRPr="00EF4876" w:rsidRDefault="00B47345" w:rsidP="00071E54">
            <w:pPr>
              <w:pStyle w:val="Tabletextbold"/>
              <w:cnfStyle w:val="000000000000" w:firstRow="0" w:lastRow="0" w:firstColumn="0" w:lastColumn="0" w:oddVBand="0" w:evenVBand="0" w:oddHBand="0" w:evenHBand="0" w:firstRowFirstColumn="0" w:firstRowLastColumn="0" w:lastRowFirstColumn="0" w:lastRowLastColumn="0"/>
              <w:rPr>
                <w:rFonts w:cstheme="minorHAnsi"/>
              </w:rPr>
            </w:pPr>
            <w:r w:rsidRPr="00EF4876">
              <w:rPr>
                <w:rFonts w:cstheme="minorHAnsi"/>
              </w:rPr>
              <w:t>$6.</w:t>
            </w:r>
            <w:r w:rsidR="00493D35" w:rsidRPr="00EF4876">
              <w:rPr>
                <w:rFonts w:cstheme="minorHAnsi"/>
              </w:rPr>
              <w:t>94</w:t>
            </w:r>
          </w:p>
        </w:tc>
        <w:tc>
          <w:tcPr>
            <w:tcW w:w="900" w:type="dxa"/>
          </w:tcPr>
          <w:p w14:paraId="047139A7" w14:textId="42CD250D" w:rsidR="00DA6852" w:rsidRPr="00EF4876" w:rsidRDefault="00DA6852" w:rsidP="00071E54">
            <w:pPr>
              <w:pStyle w:val="Tabletextbold"/>
              <w:cnfStyle w:val="000000000000" w:firstRow="0" w:lastRow="0" w:firstColumn="0" w:lastColumn="0" w:oddVBand="0" w:evenVBand="0" w:oddHBand="0" w:evenHBand="0" w:firstRowFirstColumn="0" w:firstRowLastColumn="0" w:lastRowFirstColumn="0" w:lastRowLastColumn="0"/>
              <w:rPr>
                <w:rFonts w:cstheme="minorHAnsi"/>
              </w:rPr>
            </w:pPr>
            <w:r w:rsidRPr="00EF4876">
              <w:rPr>
                <w:rFonts w:cstheme="minorHAnsi"/>
              </w:rPr>
              <w:t>$</w:t>
            </w:r>
            <w:r w:rsidR="00B47345" w:rsidRPr="00EF4876">
              <w:rPr>
                <w:rFonts w:cstheme="minorHAnsi"/>
              </w:rPr>
              <w:t>8</w:t>
            </w:r>
            <w:r w:rsidRPr="00EF4876">
              <w:rPr>
                <w:rFonts w:cstheme="minorHAnsi"/>
              </w:rPr>
              <w:t>.</w:t>
            </w:r>
            <w:r w:rsidR="00493D35" w:rsidRPr="00EF4876">
              <w:rPr>
                <w:rFonts w:cstheme="minorHAnsi"/>
              </w:rPr>
              <w:t>77</w:t>
            </w:r>
          </w:p>
        </w:tc>
        <w:tc>
          <w:tcPr>
            <w:tcW w:w="900" w:type="dxa"/>
          </w:tcPr>
          <w:p w14:paraId="06BD7FA2" w14:textId="218FCD1F" w:rsidR="00DA6852" w:rsidRPr="00EF4876" w:rsidRDefault="00B47345" w:rsidP="00071E54">
            <w:pPr>
              <w:pStyle w:val="Tabletextbold"/>
              <w:cnfStyle w:val="000000000000" w:firstRow="0" w:lastRow="0" w:firstColumn="0" w:lastColumn="0" w:oddVBand="0" w:evenVBand="0" w:oddHBand="0" w:evenHBand="0" w:firstRowFirstColumn="0" w:firstRowLastColumn="0" w:lastRowFirstColumn="0" w:lastRowLastColumn="0"/>
              <w:rPr>
                <w:rFonts w:cstheme="minorHAnsi"/>
              </w:rPr>
            </w:pPr>
            <w:r w:rsidRPr="00EF4876">
              <w:rPr>
                <w:rFonts w:cstheme="minorHAnsi"/>
              </w:rPr>
              <w:t>$10.</w:t>
            </w:r>
            <w:r w:rsidR="00493D35" w:rsidRPr="00EF4876">
              <w:rPr>
                <w:rFonts w:cstheme="minorHAnsi"/>
              </w:rPr>
              <w:t>47</w:t>
            </w:r>
          </w:p>
        </w:tc>
        <w:tc>
          <w:tcPr>
            <w:tcW w:w="900" w:type="dxa"/>
          </w:tcPr>
          <w:p w14:paraId="2ED613AA" w14:textId="7AE0F02A" w:rsidR="00DA6852" w:rsidRPr="00EF4876" w:rsidRDefault="00B47345" w:rsidP="00071E54">
            <w:pPr>
              <w:pStyle w:val="Tabletextbold"/>
              <w:cnfStyle w:val="000000000000" w:firstRow="0" w:lastRow="0" w:firstColumn="0" w:lastColumn="0" w:oddVBand="0" w:evenVBand="0" w:oddHBand="0" w:evenHBand="0" w:firstRowFirstColumn="0" w:firstRowLastColumn="0" w:lastRowFirstColumn="0" w:lastRowLastColumn="0"/>
              <w:rPr>
                <w:rFonts w:cstheme="minorHAnsi"/>
              </w:rPr>
            </w:pPr>
            <w:r w:rsidRPr="00EF4876">
              <w:rPr>
                <w:rFonts w:cstheme="minorHAnsi"/>
              </w:rPr>
              <w:t>$10.</w:t>
            </w:r>
            <w:r w:rsidR="00493D35" w:rsidRPr="00EF4876">
              <w:rPr>
                <w:rFonts w:cstheme="minorHAnsi"/>
              </w:rPr>
              <w:t>41</w:t>
            </w:r>
          </w:p>
        </w:tc>
        <w:tc>
          <w:tcPr>
            <w:tcW w:w="900" w:type="dxa"/>
          </w:tcPr>
          <w:p w14:paraId="65BD21DE" w14:textId="20ABE710" w:rsidR="00DA6852" w:rsidRPr="00EF4876" w:rsidRDefault="00DA6852" w:rsidP="00071E54">
            <w:pPr>
              <w:pStyle w:val="Tabletextbold"/>
              <w:cnfStyle w:val="000000000000" w:firstRow="0" w:lastRow="0" w:firstColumn="0" w:lastColumn="0" w:oddVBand="0" w:evenVBand="0" w:oddHBand="0" w:evenHBand="0" w:firstRowFirstColumn="0" w:firstRowLastColumn="0" w:lastRowFirstColumn="0" w:lastRowLastColumn="0"/>
              <w:rPr>
                <w:rFonts w:cstheme="minorHAnsi"/>
              </w:rPr>
            </w:pPr>
            <w:r w:rsidRPr="00EF4876">
              <w:rPr>
                <w:rFonts w:cstheme="minorHAnsi"/>
              </w:rPr>
              <w:t>$10</w:t>
            </w:r>
            <w:r w:rsidR="00B47345" w:rsidRPr="00EF4876">
              <w:rPr>
                <w:rFonts w:cstheme="minorHAnsi"/>
              </w:rPr>
              <w:t>.</w:t>
            </w:r>
            <w:r w:rsidR="00493D35" w:rsidRPr="00EF4876">
              <w:rPr>
                <w:rFonts w:cstheme="minorHAnsi"/>
              </w:rPr>
              <w:t>18</w:t>
            </w:r>
          </w:p>
        </w:tc>
        <w:tc>
          <w:tcPr>
            <w:tcW w:w="900" w:type="dxa"/>
          </w:tcPr>
          <w:p w14:paraId="23C93BEF" w14:textId="1A317580" w:rsidR="00DA6852" w:rsidRPr="00EF4876" w:rsidRDefault="00B47345" w:rsidP="00071E54">
            <w:pPr>
              <w:pStyle w:val="Tabletextbold"/>
              <w:cnfStyle w:val="000000000000" w:firstRow="0" w:lastRow="0" w:firstColumn="0" w:lastColumn="0" w:oddVBand="0" w:evenVBand="0" w:oddHBand="0" w:evenHBand="0" w:firstRowFirstColumn="0" w:firstRowLastColumn="0" w:lastRowFirstColumn="0" w:lastRowLastColumn="0"/>
              <w:rPr>
                <w:rFonts w:cstheme="minorHAnsi"/>
              </w:rPr>
            </w:pPr>
            <w:r w:rsidRPr="00EF4876">
              <w:rPr>
                <w:rFonts w:cstheme="minorHAnsi"/>
              </w:rPr>
              <w:t>$9.</w:t>
            </w:r>
            <w:r w:rsidR="00493D35" w:rsidRPr="00EF4876">
              <w:rPr>
                <w:rFonts w:cstheme="minorHAnsi"/>
              </w:rPr>
              <w:t>67</w:t>
            </w:r>
          </w:p>
        </w:tc>
        <w:tc>
          <w:tcPr>
            <w:tcW w:w="900" w:type="dxa"/>
          </w:tcPr>
          <w:p w14:paraId="7A0D0415" w14:textId="1387BE49" w:rsidR="00DA6852" w:rsidRPr="00EF4876" w:rsidRDefault="00B47345" w:rsidP="00071E54">
            <w:pPr>
              <w:pStyle w:val="Tabletextbold"/>
              <w:cnfStyle w:val="000000000000" w:firstRow="0" w:lastRow="0" w:firstColumn="0" w:lastColumn="0" w:oddVBand="0" w:evenVBand="0" w:oddHBand="0" w:evenHBand="0" w:firstRowFirstColumn="0" w:firstRowLastColumn="0" w:lastRowFirstColumn="0" w:lastRowLastColumn="0"/>
              <w:rPr>
                <w:rFonts w:cstheme="minorHAnsi"/>
              </w:rPr>
            </w:pPr>
            <w:r w:rsidRPr="00EF4876">
              <w:rPr>
                <w:rFonts w:cstheme="minorHAnsi"/>
              </w:rPr>
              <w:t>$9.</w:t>
            </w:r>
            <w:r w:rsidR="00493D35" w:rsidRPr="00EF4876">
              <w:rPr>
                <w:rFonts w:cstheme="minorHAnsi"/>
              </w:rPr>
              <w:t>60</w:t>
            </w:r>
          </w:p>
        </w:tc>
        <w:tc>
          <w:tcPr>
            <w:tcW w:w="900" w:type="dxa"/>
          </w:tcPr>
          <w:p w14:paraId="606285AD" w14:textId="4356F300" w:rsidR="00DA6852" w:rsidRPr="00EF4876" w:rsidRDefault="00B47345" w:rsidP="00071E54">
            <w:pPr>
              <w:pStyle w:val="Tabletextbold"/>
              <w:cnfStyle w:val="000000000000" w:firstRow="0" w:lastRow="0" w:firstColumn="0" w:lastColumn="0" w:oddVBand="0" w:evenVBand="0" w:oddHBand="0" w:evenHBand="0" w:firstRowFirstColumn="0" w:firstRowLastColumn="0" w:lastRowFirstColumn="0" w:lastRowLastColumn="0"/>
              <w:rPr>
                <w:rFonts w:cstheme="minorHAnsi"/>
              </w:rPr>
            </w:pPr>
            <w:r w:rsidRPr="00EF4876">
              <w:rPr>
                <w:rFonts w:cstheme="minorHAnsi"/>
              </w:rPr>
              <w:t>$9.</w:t>
            </w:r>
            <w:r w:rsidR="00493D35" w:rsidRPr="00EF4876">
              <w:rPr>
                <w:rFonts w:cstheme="minorHAnsi"/>
              </w:rPr>
              <w:t>39</w:t>
            </w:r>
          </w:p>
        </w:tc>
        <w:tc>
          <w:tcPr>
            <w:tcW w:w="905" w:type="dxa"/>
          </w:tcPr>
          <w:p w14:paraId="3EAF14FD" w14:textId="3315FCA9" w:rsidR="00DA6852" w:rsidRPr="00EF4876" w:rsidRDefault="00B47345" w:rsidP="00071E54">
            <w:pPr>
              <w:pStyle w:val="Tabletextbold"/>
              <w:cnfStyle w:val="000000000000" w:firstRow="0" w:lastRow="0" w:firstColumn="0" w:lastColumn="0" w:oddVBand="0" w:evenVBand="0" w:oddHBand="0" w:evenHBand="0" w:firstRowFirstColumn="0" w:firstRowLastColumn="0" w:lastRowFirstColumn="0" w:lastRowLastColumn="0"/>
              <w:rPr>
                <w:rFonts w:cstheme="minorHAnsi"/>
              </w:rPr>
            </w:pPr>
            <w:r w:rsidRPr="00EF4876">
              <w:rPr>
                <w:rFonts w:cstheme="minorHAnsi"/>
              </w:rPr>
              <w:t>$9.</w:t>
            </w:r>
            <w:r w:rsidR="00493D35" w:rsidRPr="00EF4876">
              <w:rPr>
                <w:rFonts w:cstheme="minorHAnsi"/>
              </w:rPr>
              <w:t>00</w:t>
            </w:r>
          </w:p>
        </w:tc>
      </w:tr>
    </w:tbl>
    <w:p w14:paraId="78AD6BED" w14:textId="793DCE5F" w:rsidR="00C61101" w:rsidRPr="00CD3106" w:rsidRDefault="008B139B" w:rsidP="00835D6B">
      <w:pPr>
        <w:pStyle w:val="Caption-Source"/>
      </w:pPr>
      <w:r w:rsidRPr="00835D6B">
        <w:t xml:space="preserve">Source: </w:t>
      </w:r>
      <w:r w:rsidR="0044544E" w:rsidRPr="0044544E">
        <w:t>Independent reviewer</w:t>
      </w:r>
      <w:r w:rsidR="00584D02" w:rsidRPr="00CD3106">
        <w:t xml:space="preserve"> (</w:t>
      </w:r>
      <w:r w:rsidR="001240F8" w:rsidRPr="00CD3106">
        <w:t>2025</w:t>
      </w:r>
      <w:r w:rsidR="00584D02" w:rsidRPr="00CD3106">
        <w:t>)</w:t>
      </w:r>
    </w:p>
    <w:p w14:paraId="301262C7" w14:textId="2AF0C026" w:rsidR="00C61101" w:rsidRDefault="00D407C3" w:rsidP="00DD71E7">
      <w:r>
        <w:fldChar w:fldCharType="begin"/>
      </w:r>
      <w:r>
        <w:instrText xml:space="preserve"> REF _Ref200489509 \h </w:instrText>
      </w:r>
      <w:r>
        <w:fldChar w:fldCharType="separate"/>
      </w:r>
      <w:r w:rsidR="00A8610D">
        <w:t xml:space="preserve">Figure </w:t>
      </w:r>
      <w:r w:rsidR="00A8610D">
        <w:rPr>
          <w:noProof/>
        </w:rPr>
        <w:t>16</w:t>
      </w:r>
      <w:r>
        <w:fldChar w:fldCharType="end"/>
      </w:r>
      <w:r w:rsidR="007C53FF">
        <w:t xml:space="preserve"> </w:t>
      </w:r>
      <w:r w:rsidR="00071E54">
        <w:t>below</w:t>
      </w:r>
      <w:r w:rsidR="007C53FF">
        <w:t xml:space="preserve"> illustrates the costs associated with Option 2</w:t>
      </w:r>
      <w:r w:rsidR="00894244">
        <w:t xml:space="preserve"> over time</w:t>
      </w:r>
      <w:r w:rsidR="007C53FF">
        <w:t xml:space="preserve"> and the contribution of facial prostheses and </w:t>
      </w:r>
      <w:r w:rsidR="00542908">
        <w:t>external breast prostheses</w:t>
      </w:r>
      <w:r w:rsidR="00DE724E">
        <w:t xml:space="preserve"> </w:t>
      </w:r>
      <w:r w:rsidR="007C53FF">
        <w:t xml:space="preserve">to the total cost. </w:t>
      </w:r>
      <w:proofErr w:type="gramStart"/>
      <w:r w:rsidR="007C53FF">
        <w:t>Similar to</w:t>
      </w:r>
      <w:proofErr w:type="gramEnd"/>
      <w:r w:rsidR="007C53FF">
        <w:t xml:space="preserve"> Option 1</w:t>
      </w:r>
      <w:r w:rsidR="00894244">
        <w:t>,</w:t>
      </w:r>
      <w:r w:rsidR="007C53FF">
        <w:t xml:space="preserve"> there is no data to describe the current need or size of waitlists for </w:t>
      </w:r>
      <w:r w:rsidR="00320052">
        <w:t>external breast prostheses</w:t>
      </w:r>
      <w:r w:rsidR="00E02378">
        <w:t xml:space="preserve">, </w:t>
      </w:r>
      <w:r w:rsidR="00894244">
        <w:t>meaning</w:t>
      </w:r>
      <w:r w:rsidR="00E02378">
        <w:t xml:space="preserve"> costs in the early years may be underestimated.</w:t>
      </w:r>
    </w:p>
    <w:p w14:paraId="52C306D6" w14:textId="6EF38F27" w:rsidR="001819B0" w:rsidRDefault="001819B0" w:rsidP="001819B0">
      <w:pPr>
        <w:pStyle w:val="Caption"/>
      </w:pPr>
      <w:bookmarkStart w:id="178" w:name="_Ref200489509"/>
      <w:bookmarkStart w:id="179" w:name="_Toc207348723"/>
      <w:r>
        <w:t xml:space="preserve">Figure </w:t>
      </w:r>
      <w:r w:rsidR="00A8610D">
        <w:fldChar w:fldCharType="begin"/>
      </w:r>
      <w:r w:rsidR="00A8610D">
        <w:instrText xml:space="preserve"> SEQ Figure \* ARABIC </w:instrText>
      </w:r>
      <w:r w:rsidR="00A8610D">
        <w:fldChar w:fldCharType="separate"/>
      </w:r>
      <w:r w:rsidR="00A8610D">
        <w:rPr>
          <w:noProof/>
        </w:rPr>
        <w:t>16</w:t>
      </w:r>
      <w:r w:rsidR="00A8610D">
        <w:rPr>
          <w:noProof/>
        </w:rPr>
        <w:fldChar w:fldCharType="end"/>
      </w:r>
      <w:bookmarkEnd w:id="178"/>
      <w:r>
        <w:t>: Option 2 annual costs</w:t>
      </w:r>
      <w:bookmarkEnd w:id="179"/>
    </w:p>
    <w:p w14:paraId="2557356F" w14:textId="48207CA6" w:rsidR="00191048" w:rsidRPr="00191048" w:rsidRDefault="00191048" w:rsidP="00DD71E7">
      <w:r w:rsidRPr="00DD71E7">
        <w:drawing>
          <wp:inline distT="0" distB="0" distL="0" distR="0" wp14:anchorId="5C39EFE7" wp14:editId="7841EE92">
            <wp:extent cx="6527800" cy="2751455"/>
            <wp:effectExtent l="0" t="0" r="6350" b="0"/>
            <wp:docPr id="157353531" name="Picture 5" descr="The graph illustrates in FY26/27 the total cost is 7.07 million which steadily rises to 14.66 million in FY35/36. Breast prostheses consistantly contributes more to total c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53531" name="Picture 5" descr="The graph illustrates in FY26/27 the total cost is 7.07 million which steadily rises to 14.66 million in FY35/36. Breast prostheses consistantly contributes more to total cos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527800" cy="2751455"/>
                    </a:xfrm>
                    <a:prstGeom prst="rect">
                      <a:avLst/>
                    </a:prstGeom>
                    <a:noFill/>
                    <a:ln>
                      <a:noFill/>
                    </a:ln>
                  </pic:spPr>
                </pic:pic>
              </a:graphicData>
            </a:graphic>
          </wp:inline>
        </w:drawing>
      </w:r>
    </w:p>
    <w:p w14:paraId="7C4281FC" w14:textId="40C43199" w:rsidR="001A5BF1" w:rsidRPr="00CD3106" w:rsidRDefault="001819B0" w:rsidP="00082F2C">
      <w:pPr>
        <w:pStyle w:val="Caption-Source"/>
      </w:pPr>
      <w:r w:rsidRPr="00EB75F0">
        <w:t xml:space="preserve">Source: </w:t>
      </w:r>
      <w:r w:rsidR="0044544E" w:rsidRPr="0044544E">
        <w:t>Independent reviewer</w:t>
      </w:r>
      <w:r w:rsidR="00584D02" w:rsidRPr="00CD3106">
        <w:t xml:space="preserve"> (</w:t>
      </w:r>
      <w:r w:rsidR="001240F8" w:rsidRPr="00CD3106">
        <w:t>2025</w:t>
      </w:r>
      <w:r w:rsidR="00584D02" w:rsidRPr="00CD3106">
        <w:t>)</w:t>
      </w:r>
    </w:p>
    <w:p w14:paraId="151959ED" w14:textId="48E6C0B2" w:rsidR="00CD3106" w:rsidRPr="00C76D17" w:rsidRDefault="00F133FB" w:rsidP="00C76D17">
      <w:r w:rsidRPr="00C76D17">
        <w:t xml:space="preserve">It should be noted that the EBPRP current funding is $6.87 million annually or $27.50 million over the period FY21/22 to FY24/25. Total expenditure over this period was $24.25 million. These costs are </w:t>
      </w:r>
      <w:proofErr w:type="gramStart"/>
      <w:r w:rsidRPr="00C76D17">
        <w:t>similar to</w:t>
      </w:r>
      <w:proofErr w:type="gramEnd"/>
      <w:r w:rsidRPr="00C76D17">
        <w:t xml:space="preserve"> those modelled above, for external breast prostheses, with average annual costs being $7.18 million over the 10-year time horizon.</w:t>
      </w:r>
      <w:r w:rsidR="00CD3106" w:rsidRPr="00C76D17">
        <w:br w:type="page"/>
      </w:r>
    </w:p>
    <w:p w14:paraId="4C64338D" w14:textId="146B8CD8" w:rsidR="00C61101" w:rsidRDefault="00C61101" w:rsidP="00C61101">
      <w:pPr>
        <w:pStyle w:val="Heading3"/>
      </w:pPr>
      <w:r>
        <w:t>Option 3</w:t>
      </w:r>
      <w:r w:rsidR="00507089">
        <w:t>:</w:t>
      </w:r>
      <w:r w:rsidR="0025390D">
        <w:t xml:space="preserve"> Facial prostheses, </w:t>
      </w:r>
      <w:r w:rsidR="00770354">
        <w:t>EBPRP</w:t>
      </w:r>
      <w:r w:rsidR="00FF7E70">
        <w:t xml:space="preserve"> and prosthetic limbs for those aged 65 years and older </w:t>
      </w:r>
    </w:p>
    <w:p w14:paraId="2E19ED54" w14:textId="11D70111" w:rsidR="00DD1E2B" w:rsidRDefault="00D63301" w:rsidP="00DD71E7">
      <w:r>
        <w:t xml:space="preserve">Option 3 includes facial prostheses </w:t>
      </w:r>
      <w:r w:rsidR="00FE1249">
        <w:t xml:space="preserve">and </w:t>
      </w:r>
      <w:r w:rsidR="001227FF">
        <w:t xml:space="preserve">external breast </w:t>
      </w:r>
      <w:r w:rsidR="007937D6">
        <w:t>prostheses</w:t>
      </w:r>
      <w:r w:rsidR="00FE1249">
        <w:t xml:space="preserve"> as described</w:t>
      </w:r>
      <w:r w:rsidR="00FE1249" w:rsidRPr="002F6F82">
        <w:t xml:space="preserve"> </w:t>
      </w:r>
      <w:r w:rsidR="00AF44D8" w:rsidRPr="002F6F82">
        <w:t xml:space="preserve">Section </w:t>
      </w:r>
      <w:r w:rsidR="00AF44D8" w:rsidRPr="002F6F82">
        <w:fldChar w:fldCharType="begin"/>
      </w:r>
      <w:r w:rsidR="00AF44D8" w:rsidRPr="002F6F82">
        <w:instrText xml:space="preserve"> REF _Ref201609098 \r \h  \* MERGEFORMAT </w:instrText>
      </w:r>
      <w:r w:rsidR="00AF44D8" w:rsidRPr="002F6F82">
        <w:fldChar w:fldCharType="separate"/>
      </w:r>
      <w:r w:rsidR="00D955D8">
        <w:t>6.3.3</w:t>
      </w:r>
      <w:r w:rsidR="00AF44D8" w:rsidRPr="002F6F82">
        <w:fldChar w:fldCharType="end"/>
      </w:r>
      <w:r w:rsidR="00FE1249" w:rsidRPr="002F6F82">
        <w:t xml:space="preserve">, with the addition of </w:t>
      </w:r>
      <w:r w:rsidR="00DD1E2B" w:rsidRPr="002F6F82">
        <w:t>prosthetic limbs for people over 65 years of age. Similarly to facial prostheses, th</w:t>
      </w:r>
      <w:r w:rsidR="00DD1E2B">
        <w:t>ere is limited data available to identify the types of cancer that may lead to a limb amputation. A rapid literature scan identified sarcoma and bone cancer as the leading causes of limb amputation in people with cancer. The literature scan also identified the proportion of people with soft-tissue sarcoma that required an amputation, with this figure being used as a proxy for all sarcoma types and bone cancer.</w:t>
      </w:r>
      <w:r w:rsidR="00DD1E2B">
        <w:rPr>
          <w:rFonts w:ascii="ZWAdobeF" w:hAnsi="ZWAdobeF" w:cs="ZWAdobeF"/>
          <w:color w:val="auto"/>
          <w:sz w:val="2"/>
          <w:szCs w:val="2"/>
        </w:rPr>
        <w:t>172F</w:t>
      </w:r>
      <w:r w:rsidR="00DD1E2B">
        <w:rPr>
          <w:rStyle w:val="FootnoteReference"/>
        </w:rPr>
        <w:footnoteReference w:id="165"/>
      </w:r>
      <w:r w:rsidR="00DD1E2B" w:rsidRPr="00294069">
        <w:rPr>
          <w:vertAlign w:val="superscript"/>
        </w:rPr>
        <w:t xml:space="preserve">, </w:t>
      </w:r>
      <w:r w:rsidR="00DD1E2B">
        <w:rPr>
          <w:rFonts w:ascii="ZWAdobeF" w:hAnsi="ZWAdobeF" w:cs="ZWAdobeF"/>
          <w:color w:val="auto"/>
          <w:sz w:val="2"/>
          <w:szCs w:val="2"/>
        </w:rPr>
        <w:t>173F</w:t>
      </w:r>
      <w:r w:rsidR="00DD1E2B">
        <w:rPr>
          <w:rStyle w:val="FootnoteReference"/>
        </w:rPr>
        <w:footnoteReference w:id="166"/>
      </w:r>
    </w:p>
    <w:p w14:paraId="64015195" w14:textId="2F3B51F9" w:rsidR="00DD1E2B" w:rsidRPr="00DD71E7" w:rsidRDefault="00DD1E2B" w:rsidP="00DD71E7">
      <w:r>
        <w:t xml:space="preserve">Stakeholders reported that limb prostheses are expected to last three to five years before needing to be replaced, with additional annual maintenance and consumable costs. For the cost estimates, it is assumed that prosthetic limbs will be replaced every three years. Survival was accounted for by adjusting the number of prosthetic limbs by the five-year survival rate for sarcoma and bone cancer. </w:t>
      </w:r>
      <w:r w:rsidR="00993698">
        <w:fldChar w:fldCharType="begin"/>
      </w:r>
      <w:r w:rsidR="00993698">
        <w:instrText xml:space="preserve"> REF _Ref203382234 \h </w:instrText>
      </w:r>
      <w:r w:rsidR="00993698">
        <w:fldChar w:fldCharType="separate"/>
      </w:r>
      <w:r w:rsidR="008004C7">
        <w:t xml:space="preserve">Table </w:t>
      </w:r>
      <w:r w:rsidR="008004C7">
        <w:rPr>
          <w:noProof/>
        </w:rPr>
        <w:t>37</w:t>
      </w:r>
      <w:r w:rsidR="00993698">
        <w:fldChar w:fldCharType="end"/>
      </w:r>
      <w:r w:rsidR="00993698">
        <w:t xml:space="preserve"> </w:t>
      </w:r>
      <w:r>
        <w:t>outlines the key cost inputs for limb prostheses. Costs associated with</w:t>
      </w:r>
      <w:r w:rsidRPr="00032A19">
        <w:t xml:space="preserve"> </w:t>
      </w:r>
      <w:r>
        <w:t xml:space="preserve">prosthetic limbs are difficult to determine, with minimal publicly available data. State-based limb schemes are often capped at a price less than $15,000, while limbs provided by the NDIS can cost upwards of $100,000. Findings from stakeholder engagement activities also suggested that approximately three quarters of the over 65 population who require limb prostheses would benefit from more advanced limbs than what was available </w:t>
      </w:r>
      <w:r w:rsidRPr="00DD71E7">
        <w:t>through most state-based limb schemes.</w:t>
      </w:r>
      <w:r w:rsidR="00300CF0" w:rsidRPr="00DD71E7">
        <w:t xml:space="preserve"> Further detail on cost inputs is available in </w:t>
      </w:r>
      <w:r w:rsidR="00B7732B" w:rsidRPr="00DD71E7">
        <w:fldChar w:fldCharType="begin"/>
      </w:r>
      <w:r w:rsidR="00B7732B" w:rsidRPr="00DD71E7">
        <w:instrText xml:space="preserve"> REF _Ref204251774 \w \h </w:instrText>
      </w:r>
      <w:r w:rsidR="00BF4DD7" w:rsidRPr="00DD71E7">
        <w:instrText xml:space="preserve"> \* MERGEFORMAT </w:instrText>
      </w:r>
      <w:r w:rsidR="00B7732B" w:rsidRPr="00DD71E7">
        <w:fldChar w:fldCharType="separate"/>
      </w:r>
      <w:r w:rsidR="00D955D8" w:rsidRPr="00DD71E7">
        <w:t>Appendix H</w:t>
      </w:r>
      <w:r w:rsidR="00B7732B" w:rsidRPr="00DD71E7">
        <w:fldChar w:fldCharType="end"/>
      </w:r>
      <w:r w:rsidR="00300CF0" w:rsidRPr="00DD71E7">
        <w:t>.</w:t>
      </w:r>
    </w:p>
    <w:p w14:paraId="70067666" w14:textId="45B5E306" w:rsidR="00993698" w:rsidRPr="00DD71E7" w:rsidRDefault="00DD1E2B" w:rsidP="00DD71E7">
      <w:r w:rsidRPr="00DD71E7">
        <w:t xml:space="preserve">Additionally, there is no data to describe the distribution of limb prostheses between limb types such as above or below the elbow, hands, fingers, toes and above or below the knee. This means that there is significant uncertainty around the price for prosthetic limbs used in the cost model. </w:t>
      </w:r>
      <w:bookmarkStart w:id="180" w:name="_Ref203382234"/>
    </w:p>
    <w:p w14:paraId="333AA33B" w14:textId="26659728" w:rsidR="00E00350" w:rsidRDefault="00322A8D" w:rsidP="00322A8D">
      <w:pPr>
        <w:pStyle w:val="Caption"/>
      </w:pPr>
      <w:bookmarkStart w:id="181" w:name="_Toc207348602"/>
      <w:r>
        <w:t xml:space="preserve">Table </w:t>
      </w:r>
      <w:r w:rsidR="004F27F5">
        <w:fldChar w:fldCharType="begin"/>
      </w:r>
      <w:r w:rsidR="004F27F5">
        <w:instrText xml:space="preserve"> SEQ Table \* ARABIC </w:instrText>
      </w:r>
      <w:r w:rsidR="004F27F5">
        <w:fldChar w:fldCharType="separate"/>
      </w:r>
      <w:r w:rsidR="004F27F5">
        <w:rPr>
          <w:noProof/>
        </w:rPr>
        <w:t>37</w:t>
      </w:r>
      <w:r w:rsidR="004F27F5">
        <w:rPr>
          <w:noProof/>
        </w:rPr>
        <w:fldChar w:fldCharType="end"/>
      </w:r>
      <w:bookmarkEnd w:id="180"/>
      <w:r>
        <w:t>: Option 3 cost inputs</w:t>
      </w:r>
      <w:bookmarkEnd w:id="181"/>
    </w:p>
    <w:tbl>
      <w:tblPr>
        <w:tblStyle w:val="KPMGTable"/>
        <w:tblW w:w="10423" w:type="dxa"/>
        <w:tblLook w:val="04A0" w:firstRow="1" w:lastRow="0" w:firstColumn="1" w:lastColumn="0" w:noHBand="0" w:noVBand="1"/>
      </w:tblPr>
      <w:tblGrid>
        <w:gridCol w:w="3121"/>
        <w:gridCol w:w="2390"/>
        <w:gridCol w:w="2395"/>
        <w:gridCol w:w="2517"/>
      </w:tblGrid>
      <w:tr w:rsidR="00305136" w14:paraId="2127E859" w14:textId="3E8E48A3" w:rsidTr="00E90C85">
        <w:trPr>
          <w:cnfStyle w:val="100000000000" w:firstRow="1" w:lastRow="0" w:firstColumn="0" w:lastColumn="0" w:oddVBand="0" w:evenVBand="0" w:oddHBand="0"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3168" w:type="dxa"/>
          </w:tcPr>
          <w:p w14:paraId="5D2AF555" w14:textId="606FEBF3" w:rsidR="006920F7" w:rsidRPr="00E90C85" w:rsidRDefault="0067336E" w:rsidP="00E90C85">
            <w:pPr>
              <w:pStyle w:val="TableHeading"/>
            </w:pPr>
            <w:r w:rsidRPr="00E90C85">
              <w:t>Cost input</w:t>
            </w:r>
          </w:p>
        </w:tc>
        <w:tc>
          <w:tcPr>
            <w:tcW w:w="2418" w:type="dxa"/>
          </w:tcPr>
          <w:p w14:paraId="54129B2A" w14:textId="77777777" w:rsidR="006920F7" w:rsidRPr="00E90C85" w:rsidRDefault="006920F7" w:rsidP="00E90C85">
            <w:pPr>
              <w:pStyle w:val="TableHeading"/>
              <w:cnfStyle w:val="100000000000" w:firstRow="1" w:lastRow="0" w:firstColumn="0" w:lastColumn="0" w:oddVBand="0" w:evenVBand="0" w:oddHBand="0" w:evenHBand="0" w:firstRowFirstColumn="0" w:firstRowLastColumn="0" w:lastRowFirstColumn="0" w:lastRowLastColumn="0"/>
            </w:pPr>
            <w:r w:rsidRPr="00E90C85">
              <w:t>New prosthesis cost</w:t>
            </w:r>
          </w:p>
        </w:tc>
        <w:tc>
          <w:tcPr>
            <w:tcW w:w="2419" w:type="dxa"/>
          </w:tcPr>
          <w:p w14:paraId="68D77990" w14:textId="4994E852" w:rsidR="006920F7" w:rsidRPr="00E90C85" w:rsidRDefault="0067336E" w:rsidP="00E90C85">
            <w:pPr>
              <w:pStyle w:val="TableHeading"/>
              <w:cnfStyle w:val="100000000000" w:firstRow="1" w:lastRow="0" w:firstColumn="0" w:lastColumn="0" w:oddVBand="0" w:evenVBand="0" w:oddHBand="0" w:evenHBand="0" w:firstRowFirstColumn="0" w:firstRowLastColumn="0" w:lastRowFirstColumn="0" w:lastRowLastColumn="0"/>
            </w:pPr>
            <w:r w:rsidRPr="00E90C85">
              <w:t>Replacement</w:t>
            </w:r>
          </w:p>
        </w:tc>
        <w:tc>
          <w:tcPr>
            <w:tcW w:w="2418" w:type="dxa"/>
          </w:tcPr>
          <w:p w14:paraId="039CA199" w14:textId="0A29A592" w:rsidR="0067336E" w:rsidRPr="00E90C85" w:rsidRDefault="0067336E" w:rsidP="00E90C85">
            <w:pPr>
              <w:pStyle w:val="TableHeading"/>
              <w:cnfStyle w:val="100000000000" w:firstRow="1" w:lastRow="0" w:firstColumn="0" w:lastColumn="0" w:oddVBand="0" w:evenVBand="0" w:oddHBand="0" w:evenHBand="0" w:firstRowFirstColumn="0" w:firstRowLastColumn="0" w:lastRowFirstColumn="0" w:lastRowLastColumn="0"/>
            </w:pPr>
            <w:r w:rsidRPr="00E90C85">
              <w:t>Annual maintenance/consumables</w:t>
            </w:r>
          </w:p>
        </w:tc>
      </w:tr>
      <w:tr w:rsidR="00677ED1" w14:paraId="0D3BE053" w14:textId="10468751" w:rsidTr="00E90C85">
        <w:trPr>
          <w:trHeight w:val="379"/>
        </w:trPr>
        <w:tc>
          <w:tcPr>
            <w:cnfStyle w:val="001000000000" w:firstRow="0" w:lastRow="0" w:firstColumn="1" w:lastColumn="0" w:oddVBand="0" w:evenVBand="0" w:oddHBand="0" w:evenHBand="0" w:firstRowFirstColumn="0" w:firstRowLastColumn="0" w:lastRowFirstColumn="0" w:lastRowLastColumn="0"/>
            <w:tcW w:w="3168" w:type="dxa"/>
          </w:tcPr>
          <w:p w14:paraId="45705B85" w14:textId="6B975F15" w:rsidR="006920F7" w:rsidRPr="00941174" w:rsidRDefault="00993698" w:rsidP="00E90C85">
            <w:pPr>
              <w:pStyle w:val="Tabletextbold"/>
            </w:pPr>
            <w:r>
              <w:t>Prosthetic</w:t>
            </w:r>
            <w:r w:rsidR="006920F7" w:rsidRPr="00941174">
              <w:t xml:space="preserve"> limbs (all types, average cost)</w:t>
            </w:r>
          </w:p>
        </w:tc>
        <w:tc>
          <w:tcPr>
            <w:tcW w:w="2418" w:type="dxa"/>
          </w:tcPr>
          <w:p w14:paraId="0273E6E5" w14:textId="77777777" w:rsidR="006920F7" w:rsidRPr="006223CE" w:rsidRDefault="006920F7" w:rsidP="00E90C85">
            <w:pPr>
              <w:pStyle w:val="TableText"/>
              <w:cnfStyle w:val="000000000000" w:firstRow="0" w:lastRow="0" w:firstColumn="0" w:lastColumn="0" w:oddVBand="0" w:evenVBand="0" w:oddHBand="0" w:evenHBand="0" w:firstRowFirstColumn="0" w:firstRowLastColumn="0" w:lastRowFirstColumn="0" w:lastRowLastColumn="0"/>
            </w:pPr>
            <w:r>
              <w:t>$100,000</w:t>
            </w:r>
          </w:p>
        </w:tc>
        <w:tc>
          <w:tcPr>
            <w:tcW w:w="2419" w:type="dxa"/>
          </w:tcPr>
          <w:p w14:paraId="336D900C" w14:textId="4E46EB25" w:rsidR="006920F7" w:rsidRPr="006223CE" w:rsidRDefault="0067336E" w:rsidP="00E90C85">
            <w:pPr>
              <w:pStyle w:val="TableText"/>
              <w:cnfStyle w:val="000000000000" w:firstRow="0" w:lastRow="0" w:firstColumn="0" w:lastColumn="0" w:oddVBand="0" w:evenVBand="0" w:oddHBand="0" w:evenHBand="0" w:firstRowFirstColumn="0" w:firstRowLastColumn="0" w:lastRowFirstColumn="0" w:lastRowLastColumn="0"/>
            </w:pPr>
            <w:r>
              <w:t>$75,000</w:t>
            </w:r>
          </w:p>
        </w:tc>
        <w:tc>
          <w:tcPr>
            <w:tcW w:w="2418" w:type="dxa"/>
          </w:tcPr>
          <w:p w14:paraId="27A0587A" w14:textId="53FDE4FF" w:rsidR="0067336E" w:rsidRDefault="0067336E" w:rsidP="00E90C85">
            <w:pPr>
              <w:pStyle w:val="TableText"/>
              <w:cnfStyle w:val="000000000000" w:firstRow="0" w:lastRow="0" w:firstColumn="0" w:lastColumn="0" w:oddVBand="0" w:evenVBand="0" w:oddHBand="0" w:evenHBand="0" w:firstRowFirstColumn="0" w:firstRowLastColumn="0" w:lastRowFirstColumn="0" w:lastRowLastColumn="0"/>
            </w:pPr>
            <w:r>
              <w:t>$3,000</w:t>
            </w:r>
          </w:p>
        </w:tc>
      </w:tr>
      <w:tr w:rsidR="00677ED1" w14:paraId="31564E76" w14:textId="5A0EBFFC" w:rsidTr="00E90C85">
        <w:trPr>
          <w:trHeight w:val="444"/>
        </w:trPr>
        <w:tc>
          <w:tcPr>
            <w:cnfStyle w:val="001000000000" w:firstRow="0" w:lastRow="0" w:firstColumn="1" w:lastColumn="0" w:oddVBand="0" w:evenVBand="0" w:oddHBand="0" w:evenHBand="0" w:firstRowFirstColumn="0" w:firstRowLastColumn="0" w:lastRowFirstColumn="0" w:lastRowLastColumn="0"/>
            <w:tcW w:w="3168" w:type="dxa"/>
          </w:tcPr>
          <w:p w14:paraId="4E944BD2" w14:textId="77777777" w:rsidR="006920F7" w:rsidRPr="00941174" w:rsidRDefault="006920F7" w:rsidP="00E90C85">
            <w:pPr>
              <w:pStyle w:val="Tabletextbold"/>
            </w:pPr>
            <w:r w:rsidRPr="00941174">
              <w:t>Proportion requiring a prosthesis</w:t>
            </w:r>
          </w:p>
        </w:tc>
        <w:tc>
          <w:tcPr>
            <w:tcW w:w="2418" w:type="dxa"/>
          </w:tcPr>
          <w:p w14:paraId="41E0C06C" w14:textId="77777777" w:rsidR="00E90C85" w:rsidRDefault="00E90C85" w:rsidP="00E90C85">
            <w:pPr>
              <w:pStyle w:val="TableText"/>
              <w:cnfStyle w:val="000000000000" w:firstRow="0" w:lastRow="0" w:firstColumn="0" w:lastColumn="0" w:oddVBand="0" w:evenVBand="0" w:oddHBand="0" w:evenHBand="0" w:firstRowFirstColumn="0" w:firstRowLastColumn="0" w:lastRowFirstColumn="0" w:lastRowLastColumn="0"/>
            </w:pPr>
            <w:r>
              <w:t>4.20%</w:t>
            </w:r>
          </w:p>
        </w:tc>
        <w:tc>
          <w:tcPr>
            <w:tcW w:w="2419" w:type="dxa"/>
          </w:tcPr>
          <w:p w14:paraId="2A2D9267" w14:textId="060471B6" w:rsidR="006920F7" w:rsidRDefault="00E90C85" w:rsidP="00E90C85">
            <w:pPr>
              <w:pStyle w:val="TableText"/>
              <w:cnfStyle w:val="000000000000" w:firstRow="0" w:lastRow="0" w:firstColumn="0" w:lastColumn="0" w:oddVBand="0" w:evenVBand="0" w:oddHBand="0" w:evenHBand="0" w:firstRowFirstColumn="0" w:firstRowLastColumn="0" w:lastRowFirstColumn="0" w:lastRowLastColumn="0"/>
            </w:pPr>
            <w:r>
              <w:t>N/A</w:t>
            </w:r>
          </w:p>
        </w:tc>
        <w:tc>
          <w:tcPr>
            <w:tcW w:w="2418" w:type="dxa"/>
          </w:tcPr>
          <w:p w14:paraId="5AE85F4C" w14:textId="3E89E7CF" w:rsidR="00E90C85" w:rsidRDefault="00E90C85" w:rsidP="00E90C85">
            <w:pPr>
              <w:pStyle w:val="TableText"/>
              <w:cnfStyle w:val="000000000000" w:firstRow="0" w:lastRow="0" w:firstColumn="0" w:lastColumn="0" w:oddVBand="0" w:evenVBand="0" w:oddHBand="0" w:evenHBand="0" w:firstRowFirstColumn="0" w:firstRowLastColumn="0" w:lastRowFirstColumn="0" w:lastRowLastColumn="0"/>
            </w:pPr>
            <w:r>
              <w:t>N/A</w:t>
            </w:r>
          </w:p>
        </w:tc>
      </w:tr>
      <w:tr w:rsidR="00677ED1" w14:paraId="223A5EEA" w14:textId="65E274DF" w:rsidTr="00E90C85">
        <w:trPr>
          <w:trHeight w:val="453"/>
        </w:trPr>
        <w:tc>
          <w:tcPr>
            <w:cnfStyle w:val="001000000000" w:firstRow="0" w:lastRow="0" w:firstColumn="1" w:lastColumn="0" w:oddVBand="0" w:evenVBand="0" w:oddHBand="0" w:evenHBand="0" w:firstRowFirstColumn="0" w:firstRowLastColumn="0" w:lastRowFirstColumn="0" w:lastRowLastColumn="0"/>
            <w:tcW w:w="3168" w:type="dxa"/>
          </w:tcPr>
          <w:p w14:paraId="570CE4ED" w14:textId="77777777" w:rsidR="006920F7" w:rsidRPr="00941174" w:rsidRDefault="006920F7" w:rsidP="00E90C85">
            <w:pPr>
              <w:pStyle w:val="Tabletextbold"/>
            </w:pPr>
            <w:r w:rsidRPr="00941174">
              <w:t>Annual indexation</w:t>
            </w:r>
          </w:p>
        </w:tc>
        <w:tc>
          <w:tcPr>
            <w:tcW w:w="2418" w:type="dxa"/>
          </w:tcPr>
          <w:p w14:paraId="5282238B" w14:textId="77777777" w:rsidR="00E90C85" w:rsidRDefault="00E90C85" w:rsidP="00E90C85">
            <w:pPr>
              <w:pStyle w:val="TableText"/>
              <w:cnfStyle w:val="000000000000" w:firstRow="0" w:lastRow="0" w:firstColumn="0" w:lastColumn="0" w:oddVBand="0" w:evenVBand="0" w:oddHBand="0" w:evenHBand="0" w:firstRowFirstColumn="0" w:firstRowLastColumn="0" w:lastRowFirstColumn="0" w:lastRowLastColumn="0"/>
            </w:pPr>
            <w:r>
              <w:t>4.10% (FY25/26), 3.0% (ongoing)</w:t>
            </w:r>
          </w:p>
        </w:tc>
        <w:tc>
          <w:tcPr>
            <w:tcW w:w="2419" w:type="dxa"/>
          </w:tcPr>
          <w:p w14:paraId="24B72CB2" w14:textId="5DE12A0B" w:rsidR="006920F7" w:rsidRDefault="00E90C85" w:rsidP="00E90C85">
            <w:pPr>
              <w:pStyle w:val="TableText"/>
              <w:cnfStyle w:val="000000000000" w:firstRow="0" w:lastRow="0" w:firstColumn="0" w:lastColumn="0" w:oddVBand="0" w:evenVBand="0" w:oddHBand="0" w:evenHBand="0" w:firstRowFirstColumn="0" w:firstRowLastColumn="0" w:lastRowFirstColumn="0" w:lastRowLastColumn="0"/>
            </w:pPr>
            <w:r>
              <w:t>N/A</w:t>
            </w:r>
          </w:p>
        </w:tc>
        <w:tc>
          <w:tcPr>
            <w:tcW w:w="2418" w:type="dxa"/>
          </w:tcPr>
          <w:p w14:paraId="6F407D91" w14:textId="1979FA6A" w:rsidR="00E90C85" w:rsidRDefault="00E90C85" w:rsidP="00E90C85">
            <w:pPr>
              <w:pStyle w:val="TableText"/>
              <w:cnfStyle w:val="000000000000" w:firstRow="0" w:lastRow="0" w:firstColumn="0" w:lastColumn="0" w:oddVBand="0" w:evenVBand="0" w:oddHBand="0" w:evenHBand="0" w:firstRowFirstColumn="0" w:firstRowLastColumn="0" w:lastRowFirstColumn="0" w:lastRowLastColumn="0"/>
            </w:pPr>
            <w:r>
              <w:t>N/A</w:t>
            </w:r>
          </w:p>
        </w:tc>
      </w:tr>
    </w:tbl>
    <w:p w14:paraId="1792585D" w14:textId="580ABACC" w:rsidR="00322A8D" w:rsidRPr="00CD3106" w:rsidRDefault="00322A8D" w:rsidP="00E90C85">
      <w:pPr>
        <w:pStyle w:val="Caption-Source"/>
      </w:pPr>
      <w:r w:rsidRPr="001240F8">
        <w:t xml:space="preserve">Source: </w:t>
      </w:r>
      <w:r w:rsidR="0044544E" w:rsidRPr="0044544E">
        <w:t>Independent reviewer</w:t>
      </w:r>
      <w:r w:rsidR="00584D02" w:rsidRPr="00CD3106">
        <w:t xml:space="preserve"> (</w:t>
      </w:r>
      <w:r w:rsidR="001240F8" w:rsidRPr="00CD3106">
        <w:t>2025</w:t>
      </w:r>
      <w:r w:rsidR="00584D02" w:rsidRPr="00CD3106">
        <w:t>)</w:t>
      </w:r>
    </w:p>
    <w:p w14:paraId="7A4ED5F6" w14:textId="11C48192" w:rsidR="00322A8D" w:rsidRPr="00C76D17" w:rsidRDefault="0009466A" w:rsidP="00C76D17">
      <w:r w:rsidRPr="00C76D17">
        <w:t>The tables</w:t>
      </w:r>
      <w:r w:rsidR="00322A8D" w:rsidRPr="00C76D17">
        <w:t xml:space="preserve"> below illustrate the total number of cases, new external breast prostheses, replacement and maintenance and costs for Option </w:t>
      </w:r>
      <w:r w:rsidR="003302F3" w:rsidRPr="00C76D17">
        <w:t>3</w:t>
      </w:r>
      <w:r w:rsidR="00322A8D" w:rsidRPr="00C76D17">
        <w:t xml:space="preserve"> over 10 years</w:t>
      </w:r>
      <w:r w:rsidR="009570B9" w:rsidRPr="00C76D17">
        <w:t xml:space="preserve">. </w:t>
      </w:r>
      <w:r w:rsidR="00322A8D" w:rsidRPr="00C76D17">
        <w:t xml:space="preserve">The estimated cost of Option </w:t>
      </w:r>
      <w:r w:rsidR="0039052C" w:rsidRPr="00C76D17">
        <w:t>3</w:t>
      </w:r>
      <w:r w:rsidR="00322A8D" w:rsidRPr="00C76D17">
        <w:t xml:space="preserve"> ranges from $</w:t>
      </w:r>
      <w:r w:rsidR="008D7B3E" w:rsidRPr="00C76D17">
        <w:t>1</w:t>
      </w:r>
      <w:r w:rsidR="0006697F" w:rsidRPr="00C76D17">
        <w:t>2.08</w:t>
      </w:r>
      <w:r w:rsidR="00322A8D" w:rsidRPr="00C76D17">
        <w:t xml:space="preserve"> million in FY26/27 to $</w:t>
      </w:r>
      <w:r w:rsidR="0006697F" w:rsidRPr="00C76D17">
        <w:t>25.4</w:t>
      </w:r>
      <w:r w:rsidR="003D4234" w:rsidRPr="00C76D17">
        <w:t>0</w:t>
      </w:r>
      <w:r w:rsidR="00322A8D" w:rsidRPr="00C76D17">
        <w:t xml:space="preserve"> million </w:t>
      </w:r>
      <w:r w:rsidR="00A154B5" w:rsidRPr="00C76D17">
        <w:t>i</w:t>
      </w:r>
      <w:r w:rsidR="00322A8D" w:rsidRPr="00C76D17">
        <w:t>n FY35/36, with a total cost over 10 years of $</w:t>
      </w:r>
      <w:r w:rsidR="00A154B5" w:rsidRPr="00C76D17">
        <w:t>2</w:t>
      </w:r>
      <w:r w:rsidR="002903D5" w:rsidRPr="00C76D17">
        <w:t>09</w:t>
      </w:r>
      <w:r w:rsidR="00931446" w:rsidRPr="00C76D17">
        <w:t>.75</w:t>
      </w:r>
      <w:r w:rsidR="00322A8D" w:rsidRPr="00C76D17">
        <w:t xml:space="preserve"> million. This is an incremental increase to Option 1 of $</w:t>
      </w:r>
      <w:r w:rsidR="00803134" w:rsidRPr="00C76D17">
        <w:t>2</w:t>
      </w:r>
      <w:r w:rsidR="003B4841" w:rsidRPr="00C76D17">
        <w:t>09</w:t>
      </w:r>
      <w:r w:rsidR="00086F33" w:rsidRPr="00C76D17">
        <w:t>.</w:t>
      </w:r>
      <w:r w:rsidR="00A2425B" w:rsidRPr="00C76D17">
        <w:t>7</w:t>
      </w:r>
      <w:r w:rsidR="00086F33" w:rsidRPr="00C76D17">
        <w:t>5</w:t>
      </w:r>
      <w:r w:rsidR="00322A8D" w:rsidRPr="00C76D17">
        <w:t xml:space="preserve"> million over 10 years</w:t>
      </w:r>
      <w:r w:rsidR="00803134" w:rsidRPr="00C76D17">
        <w:t>, and an incrementa</w:t>
      </w:r>
      <w:r w:rsidR="00673AAA" w:rsidRPr="00C76D17">
        <w:t>l</w:t>
      </w:r>
      <w:r w:rsidR="00803134" w:rsidRPr="00C76D17">
        <w:t xml:space="preserve"> increase</w:t>
      </w:r>
      <w:r w:rsidR="00673AAA" w:rsidRPr="00C76D17">
        <w:t xml:space="preserve"> to Option 2</w:t>
      </w:r>
      <w:r w:rsidR="00803134" w:rsidRPr="00C76D17">
        <w:t xml:space="preserve"> of $</w:t>
      </w:r>
      <w:r w:rsidR="00311116" w:rsidRPr="00C76D17">
        <w:t>86.37</w:t>
      </w:r>
      <w:r w:rsidR="00CD5B09" w:rsidRPr="00C76D17">
        <w:t xml:space="preserve"> </w:t>
      </w:r>
      <w:r w:rsidR="00803134" w:rsidRPr="00C76D17">
        <w:t xml:space="preserve">million </w:t>
      </w:r>
      <w:r w:rsidR="00673AAA" w:rsidRPr="00C76D17">
        <w:t>over 10 years</w:t>
      </w:r>
      <w:r w:rsidR="00322A8D" w:rsidRPr="00C76D17">
        <w:t>.</w:t>
      </w:r>
      <w:r w:rsidR="009570B9" w:rsidRPr="00C76D17">
        <w:t xml:space="preserve"> </w:t>
      </w:r>
    </w:p>
    <w:p w14:paraId="296C615A" w14:textId="1B5A870F" w:rsidR="008E70BC" w:rsidRDefault="00143B3B" w:rsidP="00143B3B">
      <w:pPr>
        <w:pStyle w:val="Caption"/>
      </w:pPr>
      <w:bookmarkStart w:id="182" w:name="_Ref200493270"/>
      <w:bookmarkStart w:id="183" w:name="_Toc207348603"/>
      <w:r>
        <w:t xml:space="preserve">Table </w:t>
      </w:r>
      <w:r w:rsidR="004F27F5">
        <w:fldChar w:fldCharType="begin"/>
      </w:r>
      <w:r w:rsidR="004F27F5">
        <w:instrText xml:space="preserve"> SEQ Table \* ARABIC </w:instrText>
      </w:r>
      <w:r w:rsidR="004F27F5">
        <w:fldChar w:fldCharType="separate"/>
      </w:r>
      <w:r w:rsidR="004F27F5">
        <w:rPr>
          <w:noProof/>
        </w:rPr>
        <w:t>38</w:t>
      </w:r>
      <w:r w:rsidR="004F27F5">
        <w:rPr>
          <w:noProof/>
        </w:rPr>
        <w:fldChar w:fldCharType="end"/>
      </w:r>
      <w:bookmarkEnd w:id="182"/>
      <w:r>
        <w:t xml:space="preserve">: Option 3 </w:t>
      </w:r>
      <w:r w:rsidR="0009466A">
        <w:t>total number of cancer cases diagnosed per year (over 65 years)</w:t>
      </w:r>
      <w:bookmarkEnd w:id="183"/>
    </w:p>
    <w:tbl>
      <w:tblPr>
        <w:tblStyle w:val="KPMGTable"/>
        <w:tblW w:w="10643" w:type="dxa"/>
        <w:tblLayout w:type="fixed"/>
        <w:tblLook w:val="04A0" w:firstRow="1" w:lastRow="0" w:firstColumn="1" w:lastColumn="0" w:noHBand="0" w:noVBand="1"/>
      </w:tblPr>
      <w:tblGrid>
        <w:gridCol w:w="1609"/>
        <w:gridCol w:w="905"/>
        <w:gridCol w:w="906"/>
        <w:gridCol w:w="903"/>
        <w:gridCol w:w="903"/>
        <w:gridCol w:w="903"/>
        <w:gridCol w:w="903"/>
        <w:gridCol w:w="901"/>
        <w:gridCol w:w="902"/>
        <w:gridCol w:w="902"/>
        <w:gridCol w:w="906"/>
      </w:tblGrid>
      <w:tr w:rsidR="00AD6F37" w:rsidRPr="004A4B51" w14:paraId="3F5B9B11" w14:textId="77777777" w:rsidTr="0009466A">
        <w:trPr>
          <w:cnfStyle w:val="100000000000" w:firstRow="1" w:lastRow="0" w:firstColumn="0" w:lastColumn="0" w:oddVBand="0" w:evenVBand="0" w:oddHBand="0" w:evenHBand="0" w:firstRowFirstColumn="0" w:firstRowLastColumn="0" w:lastRowFirstColumn="0" w:lastRowLastColumn="0"/>
          <w:trHeight w:val="441"/>
        </w:trPr>
        <w:tc>
          <w:tcPr>
            <w:cnfStyle w:val="001000000000" w:firstRow="0" w:lastRow="0" w:firstColumn="1" w:lastColumn="0" w:oddVBand="0" w:evenVBand="0" w:oddHBand="0" w:evenHBand="0" w:firstRowFirstColumn="0" w:firstRowLastColumn="0" w:lastRowFirstColumn="0" w:lastRowLastColumn="0"/>
            <w:tcW w:w="1609" w:type="dxa"/>
          </w:tcPr>
          <w:p w14:paraId="4CBEB034" w14:textId="2BBA5A4B" w:rsidR="005C746B" w:rsidRPr="005F53C1" w:rsidRDefault="0009466A" w:rsidP="0009466A">
            <w:pPr>
              <w:pStyle w:val="TableHeading"/>
            </w:pPr>
            <w:r>
              <w:t>Type of cancer</w:t>
            </w:r>
          </w:p>
        </w:tc>
        <w:tc>
          <w:tcPr>
            <w:tcW w:w="905" w:type="dxa"/>
          </w:tcPr>
          <w:p w14:paraId="4A7AA716" w14:textId="77777777" w:rsidR="005C746B" w:rsidRPr="0019780B" w:rsidRDefault="005C746B" w:rsidP="0009466A">
            <w:pPr>
              <w:pStyle w:val="TableHeading"/>
              <w:cnfStyle w:val="100000000000" w:firstRow="1" w:lastRow="0" w:firstColumn="0" w:lastColumn="0" w:oddVBand="0" w:evenVBand="0" w:oddHBand="0" w:evenHBand="0" w:firstRowFirstColumn="0" w:firstRowLastColumn="0" w:lastRowFirstColumn="0" w:lastRowLastColumn="0"/>
            </w:pPr>
            <w:r w:rsidRPr="0019780B">
              <w:t>FY26/27</w:t>
            </w:r>
          </w:p>
        </w:tc>
        <w:tc>
          <w:tcPr>
            <w:tcW w:w="906" w:type="dxa"/>
          </w:tcPr>
          <w:p w14:paraId="5E68DBEB" w14:textId="77777777" w:rsidR="005C746B" w:rsidRPr="0019780B" w:rsidRDefault="005C746B" w:rsidP="0009466A">
            <w:pPr>
              <w:pStyle w:val="TableHeading"/>
              <w:cnfStyle w:val="100000000000" w:firstRow="1" w:lastRow="0" w:firstColumn="0" w:lastColumn="0" w:oddVBand="0" w:evenVBand="0" w:oddHBand="0" w:evenHBand="0" w:firstRowFirstColumn="0" w:firstRowLastColumn="0" w:lastRowFirstColumn="0" w:lastRowLastColumn="0"/>
            </w:pPr>
            <w:r w:rsidRPr="0019780B">
              <w:t>FY27/28</w:t>
            </w:r>
          </w:p>
        </w:tc>
        <w:tc>
          <w:tcPr>
            <w:tcW w:w="903" w:type="dxa"/>
          </w:tcPr>
          <w:p w14:paraId="77C9B9E8" w14:textId="77777777" w:rsidR="005C746B" w:rsidRPr="0019780B" w:rsidRDefault="005C746B" w:rsidP="0009466A">
            <w:pPr>
              <w:pStyle w:val="TableHeading"/>
              <w:cnfStyle w:val="100000000000" w:firstRow="1" w:lastRow="0" w:firstColumn="0" w:lastColumn="0" w:oddVBand="0" w:evenVBand="0" w:oddHBand="0" w:evenHBand="0" w:firstRowFirstColumn="0" w:firstRowLastColumn="0" w:lastRowFirstColumn="0" w:lastRowLastColumn="0"/>
            </w:pPr>
            <w:r w:rsidRPr="0019780B">
              <w:t>FY28/29</w:t>
            </w:r>
          </w:p>
        </w:tc>
        <w:tc>
          <w:tcPr>
            <w:tcW w:w="903" w:type="dxa"/>
          </w:tcPr>
          <w:p w14:paraId="10EDFCEF" w14:textId="77777777" w:rsidR="005C746B" w:rsidRPr="0019780B" w:rsidRDefault="005C746B" w:rsidP="0009466A">
            <w:pPr>
              <w:pStyle w:val="TableHeading"/>
              <w:cnfStyle w:val="100000000000" w:firstRow="1" w:lastRow="0" w:firstColumn="0" w:lastColumn="0" w:oddVBand="0" w:evenVBand="0" w:oddHBand="0" w:evenHBand="0" w:firstRowFirstColumn="0" w:firstRowLastColumn="0" w:lastRowFirstColumn="0" w:lastRowLastColumn="0"/>
            </w:pPr>
            <w:r w:rsidRPr="0019780B">
              <w:t>FY29/30</w:t>
            </w:r>
          </w:p>
        </w:tc>
        <w:tc>
          <w:tcPr>
            <w:tcW w:w="903" w:type="dxa"/>
          </w:tcPr>
          <w:p w14:paraId="150D15D9" w14:textId="77777777" w:rsidR="005C746B" w:rsidRPr="0019780B" w:rsidRDefault="005C746B" w:rsidP="0009466A">
            <w:pPr>
              <w:pStyle w:val="TableHeading"/>
              <w:cnfStyle w:val="100000000000" w:firstRow="1" w:lastRow="0" w:firstColumn="0" w:lastColumn="0" w:oddVBand="0" w:evenVBand="0" w:oddHBand="0" w:evenHBand="0" w:firstRowFirstColumn="0" w:firstRowLastColumn="0" w:lastRowFirstColumn="0" w:lastRowLastColumn="0"/>
            </w:pPr>
            <w:r w:rsidRPr="0019780B">
              <w:t>FY30/31</w:t>
            </w:r>
          </w:p>
        </w:tc>
        <w:tc>
          <w:tcPr>
            <w:tcW w:w="903" w:type="dxa"/>
          </w:tcPr>
          <w:p w14:paraId="320BE213" w14:textId="77777777" w:rsidR="005C746B" w:rsidRPr="0019780B" w:rsidRDefault="005C746B" w:rsidP="0009466A">
            <w:pPr>
              <w:pStyle w:val="TableHeading"/>
              <w:cnfStyle w:val="100000000000" w:firstRow="1" w:lastRow="0" w:firstColumn="0" w:lastColumn="0" w:oddVBand="0" w:evenVBand="0" w:oddHBand="0" w:evenHBand="0" w:firstRowFirstColumn="0" w:firstRowLastColumn="0" w:lastRowFirstColumn="0" w:lastRowLastColumn="0"/>
            </w:pPr>
            <w:r w:rsidRPr="0019780B">
              <w:t>FY31/32</w:t>
            </w:r>
          </w:p>
        </w:tc>
        <w:tc>
          <w:tcPr>
            <w:tcW w:w="901" w:type="dxa"/>
          </w:tcPr>
          <w:p w14:paraId="0CECCE3E" w14:textId="77777777" w:rsidR="005C746B" w:rsidRPr="0019780B" w:rsidRDefault="005C746B" w:rsidP="0009466A">
            <w:pPr>
              <w:pStyle w:val="TableHeading"/>
              <w:cnfStyle w:val="100000000000" w:firstRow="1" w:lastRow="0" w:firstColumn="0" w:lastColumn="0" w:oddVBand="0" w:evenVBand="0" w:oddHBand="0" w:evenHBand="0" w:firstRowFirstColumn="0" w:firstRowLastColumn="0" w:lastRowFirstColumn="0" w:lastRowLastColumn="0"/>
            </w:pPr>
            <w:r w:rsidRPr="0019780B">
              <w:t>FY32/33</w:t>
            </w:r>
          </w:p>
        </w:tc>
        <w:tc>
          <w:tcPr>
            <w:tcW w:w="902" w:type="dxa"/>
          </w:tcPr>
          <w:p w14:paraId="73B0E41B" w14:textId="77777777" w:rsidR="005C746B" w:rsidRPr="0019780B" w:rsidRDefault="005C746B" w:rsidP="0009466A">
            <w:pPr>
              <w:pStyle w:val="TableHeading"/>
              <w:cnfStyle w:val="100000000000" w:firstRow="1" w:lastRow="0" w:firstColumn="0" w:lastColumn="0" w:oddVBand="0" w:evenVBand="0" w:oddHBand="0" w:evenHBand="0" w:firstRowFirstColumn="0" w:firstRowLastColumn="0" w:lastRowFirstColumn="0" w:lastRowLastColumn="0"/>
            </w:pPr>
            <w:r w:rsidRPr="0019780B">
              <w:t>FY33/34</w:t>
            </w:r>
          </w:p>
        </w:tc>
        <w:tc>
          <w:tcPr>
            <w:tcW w:w="902" w:type="dxa"/>
          </w:tcPr>
          <w:p w14:paraId="642BD9DD" w14:textId="77777777" w:rsidR="005C746B" w:rsidRPr="0019780B" w:rsidRDefault="005C746B" w:rsidP="0009466A">
            <w:pPr>
              <w:pStyle w:val="TableHeading"/>
              <w:cnfStyle w:val="100000000000" w:firstRow="1" w:lastRow="0" w:firstColumn="0" w:lastColumn="0" w:oddVBand="0" w:evenVBand="0" w:oddHBand="0" w:evenHBand="0" w:firstRowFirstColumn="0" w:firstRowLastColumn="0" w:lastRowFirstColumn="0" w:lastRowLastColumn="0"/>
            </w:pPr>
            <w:r w:rsidRPr="0019780B">
              <w:t>FY34/35</w:t>
            </w:r>
          </w:p>
        </w:tc>
        <w:tc>
          <w:tcPr>
            <w:tcW w:w="906" w:type="dxa"/>
          </w:tcPr>
          <w:p w14:paraId="0151EF72" w14:textId="77777777" w:rsidR="005C746B" w:rsidRPr="0019780B" w:rsidRDefault="005C746B" w:rsidP="0009466A">
            <w:pPr>
              <w:pStyle w:val="TableHeading"/>
              <w:cnfStyle w:val="100000000000" w:firstRow="1" w:lastRow="0" w:firstColumn="0" w:lastColumn="0" w:oddVBand="0" w:evenVBand="0" w:oddHBand="0" w:evenHBand="0" w:firstRowFirstColumn="0" w:firstRowLastColumn="0" w:lastRowFirstColumn="0" w:lastRowLastColumn="0"/>
            </w:pPr>
            <w:r w:rsidRPr="0019780B">
              <w:t>FY35/36</w:t>
            </w:r>
          </w:p>
        </w:tc>
      </w:tr>
      <w:tr w:rsidR="00677ED1" w:rsidRPr="004A4B51" w14:paraId="5390EE22" w14:textId="77777777" w:rsidTr="0009466A">
        <w:trPr>
          <w:trHeight w:val="356"/>
        </w:trPr>
        <w:tc>
          <w:tcPr>
            <w:cnfStyle w:val="001000000000" w:firstRow="0" w:lastRow="0" w:firstColumn="1" w:lastColumn="0" w:oddVBand="0" w:evenVBand="0" w:oddHBand="0" w:evenHBand="0" w:firstRowFirstColumn="0" w:firstRowLastColumn="0" w:lastRowFirstColumn="0" w:lastRowLastColumn="0"/>
            <w:tcW w:w="1609" w:type="dxa"/>
          </w:tcPr>
          <w:p w14:paraId="2F1DC10A" w14:textId="77777777" w:rsidR="005C746B" w:rsidRPr="005F53C1" w:rsidRDefault="005C746B" w:rsidP="0009466A">
            <w:pPr>
              <w:pStyle w:val="Tabletextbold"/>
            </w:pPr>
            <w:r w:rsidRPr="005F53C1">
              <w:t>Sarcoma</w:t>
            </w:r>
          </w:p>
        </w:tc>
        <w:tc>
          <w:tcPr>
            <w:tcW w:w="905" w:type="dxa"/>
          </w:tcPr>
          <w:p w14:paraId="2383580E" w14:textId="77777777" w:rsidR="005C746B" w:rsidRPr="005F53C1"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5F53C1">
              <w:t>1,018</w:t>
            </w:r>
          </w:p>
        </w:tc>
        <w:tc>
          <w:tcPr>
            <w:tcW w:w="906" w:type="dxa"/>
          </w:tcPr>
          <w:p w14:paraId="00D5C624" w14:textId="77777777" w:rsidR="005C746B" w:rsidRPr="00FD5E24"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FD5E24">
              <w:t>1,048</w:t>
            </w:r>
          </w:p>
        </w:tc>
        <w:tc>
          <w:tcPr>
            <w:tcW w:w="903" w:type="dxa"/>
          </w:tcPr>
          <w:p w14:paraId="241EF745" w14:textId="77777777" w:rsidR="005C746B" w:rsidRPr="00FD5E24"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FD5E24">
              <w:t>1,076</w:t>
            </w:r>
          </w:p>
        </w:tc>
        <w:tc>
          <w:tcPr>
            <w:tcW w:w="903" w:type="dxa"/>
          </w:tcPr>
          <w:p w14:paraId="5300E1A4" w14:textId="77777777" w:rsidR="005C746B" w:rsidRPr="00FD5E24"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FD5E24">
              <w:t>1,102</w:t>
            </w:r>
          </w:p>
        </w:tc>
        <w:tc>
          <w:tcPr>
            <w:tcW w:w="903" w:type="dxa"/>
          </w:tcPr>
          <w:p w14:paraId="63DD322C" w14:textId="77777777" w:rsidR="005C746B" w:rsidRPr="00FD5E24"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FD5E24">
              <w:t>1,126</w:t>
            </w:r>
          </w:p>
        </w:tc>
        <w:tc>
          <w:tcPr>
            <w:tcW w:w="903" w:type="dxa"/>
          </w:tcPr>
          <w:p w14:paraId="37DA9F32" w14:textId="77777777" w:rsidR="005C746B" w:rsidRPr="00FD5E24"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FD5E24">
              <w:t>1,149</w:t>
            </w:r>
          </w:p>
        </w:tc>
        <w:tc>
          <w:tcPr>
            <w:tcW w:w="901" w:type="dxa"/>
          </w:tcPr>
          <w:p w14:paraId="591A1981" w14:textId="77777777" w:rsidR="005C746B" w:rsidRPr="005F53C1"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5F53C1">
              <w:t>1,173</w:t>
            </w:r>
          </w:p>
        </w:tc>
        <w:tc>
          <w:tcPr>
            <w:tcW w:w="902" w:type="dxa"/>
          </w:tcPr>
          <w:p w14:paraId="5951499F" w14:textId="77777777" w:rsidR="005C746B" w:rsidRPr="005F53C1"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5F53C1">
              <w:t>1,198</w:t>
            </w:r>
          </w:p>
        </w:tc>
        <w:tc>
          <w:tcPr>
            <w:tcW w:w="902" w:type="dxa"/>
          </w:tcPr>
          <w:p w14:paraId="1E8237D9" w14:textId="77777777" w:rsidR="005C746B" w:rsidRPr="005F53C1"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5F53C1">
              <w:t>1,223</w:t>
            </w:r>
          </w:p>
        </w:tc>
        <w:tc>
          <w:tcPr>
            <w:tcW w:w="906" w:type="dxa"/>
          </w:tcPr>
          <w:p w14:paraId="04A54691" w14:textId="77777777" w:rsidR="005C746B" w:rsidRPr="005F53C1"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5F53C1">
              <w:t>1,248</w:t>
            </w:r>
          </w:p>
        </w:tc>
      </w:tr>
      <w:tr w:rsidR="00677ED1" w:rsidRPr="004A4B51" w14:paraId="31FE7897" w14:textId="77777777" w:rsidTr="0009466A">
        <w:trPr>
          <w:trHeight w:val="356"/>
        </w:trPr>
        <w:tc>
          <w:tcPr>
            <w:cnfStyle w:val="001000000000" w:firstRow="0" w:lastRow="0" w:firstColumn="1" w:lastColumn="0" w:oddVBand="0" w:evenVBand="0" w:oddHBand="0" w:evenHBand="0" w:firstRowFirstColumn="0" w:firstRowLastColumn="0" w:lastRowFirstColumn="0" w:lastRowLastColumn="0"/>
            <w:tcW w:w="1609" w:type="dxa"/>
          </w:tcPr>
          <w:p w14:paraId="7A0C76CC" w14:textId="77777777" w:rsidR="005C746B" w:rsidRPr="005F53C1" w:rsidRDefault="005C746B" w:rsidP="0009466A">
            <w:pPr>
              <w:pStyle w:val="Tabletextbold"/>
            </w:pPr>
            <w:r w:rsidRPr="005F53C1">
              <w:t>Bone cancer</w:t>
            </w:r>
          </w:p>
        </w:tc>
        <w:tc>
          <w:tcPr>
            <w:tcW w:w="905" w:type="dxa"/>
          </w:tcPr>
          <w:p w14:paraId="4B367841" w14:textId="77777777" w:rsidR="005C746B" w:rsidRPr="005F53C1"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5F53C1">
              <w:t>94</w:t>
            </w:r>
          </w:p>
        </w:tc>
        <w:tc>
          <w:tcPr>
            <w:tcW w:w="906" w:type="dxa"/>
          </w:tcPr>
          <w:p w14:paraId="03B0311B" w14:textId="77777777" w:rsidR="005C746B" w:rsidRPr="00FD5E24"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FD5E24">
              <w:t>97</w:t>
            </w:r>
          </w:p>
        </w:tc>
        <w:tc>
          <w:tcPr>
            <w:tcW w:w="903" w:type="dxa"/>
          </w:tcPr>
          <w:p w14:paraId="195883F8" w14:textId="77777777" w:rsidR="005C746B" w:rsidRPr="00FD5E24"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FD5E24">
              <w:t>100</w:t>
            </w:r>
          </w:p>
        </w:tc>
        <w:tc>
          <w:tcPr>
            <w:tcW w:w="903" w:type="dxa"/>
          </w:tcPr>
          <w:p w14:paraId="73CB8C8B" w14:textId="77777777" w:rsidR="005C746B" w:rsidRPr="00FD5E24"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FD5E24">
              <w:t>103</w:t>
            </w:r>
          </w:p>
        </w:tc>
        <w:tc>
          <w:tcPr>
            <w:tcW w:w="903" w:type="dxa"/>
          </w:tcPr>
          <w:p w14:paraId="62DBAD53" w14:textId="77777777" w:rsidR="005C746B" w:rsidRPr="00FD5E24"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FD5E24">
              <w:t>106</w:t>
            </w:r>
          </w:p>
        </w:tc>
        <w:tc>
          <w:tcPr>
            <w:tcW w:w="903" w:type="dxa"/>
          </w:tcPr>
          <w:p w14:paraId="20953AAC" w14:textId="77777777" w:rsidR="005C746B" w:rsidRPr="00FD5E24"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FD5E24">
              <w:t>109</w:t>
            </w:r>
          </w:p>
        </w:tc>
        <w:tc>
          <w:tcPr>
            <w:tcW w:w="901" w:type="dxa"/>
          </w:tcPr>
          <w:p w14:paraId="17F89315" w14:textId="77777777" w:rsidR="005C746B" w:rsidRPr="005F53C1"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5F53C1">
              <w:t>111</w:t>
            </w:r>
          </w:p>
        </w:tc>
        <w:tc>
          <w:tcPr>
            <w:tcW w:w="902" w:type="dxa"/>
          </w:tcPr>
          <w:p w14:paraId="362F41C1" w14:textId="77777777" w:rsidR="005C746B" w:rsidRPr="005F53C1"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5F53C1">
              <w:t>114</w:t>
            </w:r>
          </w:p>
        </w:tc>
        <w:tc>
          <w:tcPr>
            <w:tcW w:w="902" w:type="dxa"/>
          </w:tcPr>
          <w:p w14:paraId="4DFA5AA2" w14:textId="77777777" w:rsidR="005C746B" w:rsidRPr="005F53C1"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5F53C1">
              <w:t>116</w:t>
            </w:r>
          </w:p>
        </w:tc>
        <w:tc>
          <w:tcPr>
            <w:tcW w:w="906" w:type="dxa"/>
          </w:tcPr>
          <w:p w14:paraId="1873EAAC" w14:textId="77777777" w:rsidR="005C746B" w:rsidRPr="005F53C1"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5F53C1">
              <w:t>120</w:t>
            </w:r>
          </w:p>
        </w:tc>
      </w:tr>
      <w:tr w:rsidR="00677ED1" w:rsidRPr="004A4B51" w14:paraId="47B43855" w14:textId="77777777" w:rsidTr="0009466A">
        <w:trPr>
          <w:trHeight w:val="379"/>
        </w:trPr>
        <w:tc>
          <w:tcPr>
            <w:cnfStyle w:val="001000000000" w:firstRow="0" w:lastRow="0" w:firstColumn="1" w:lastColumn="0" w:oddVBand="0" w:evenVBand="0" w:oddHBand="0" w:evenHBand="0" w:firstRowFirstColumn="0" w:firstRowLastColumn="0" w:lastRowFirstColumn="0" w:lastRowLastColumn="0"/>
            <w:tcW w:w="1609" w:type="dxa"/>
          </w:tcPr>
          <w:p w14:paraId="0A6503DD" w14:textId="77777777" w:rsidR="005C746B" w:rsidRPr="005F53C1" w:rsidRDefault="005C746B" w:rsidP="0009466A">
            <w:pPr>
              <w:pStyle w:val="Tabletextbold"/>
              <w:rPr>
                <w:b/>
              </w:rPr>
            </w:pPr>
            <w:r>
              <w:rPr>
                <w:b/>
              </w:rPr>
              <w:t>Total</w:t>
            </w:r>
          </w:p>
        </w:tc>
        <w:tc>
          <w:tcPr>
            <w:tcW w:w="905" w:type="dxa"/>
          </w:tcPr>
          <w:p w14:paraId="6051E1F1" w14:textId="77777777" w:rsidR="005C746B" w:rsidRPr="005F53C1" w:rsidRDefault="005C746B" w:rsidP="0009466A">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5F53C1">
              <w:rPr>
                <w:rFonts w:cstheme="minorHAnsi"/>
                <w:color w:val="000000"/>
                <w:szCs w:val="18"/>
              </w:rPr>
              <w:t>1,112</w:t>
            </w:r>
          </w:p>
        </w:tc>
        <w:tc>
          <w:tcPr>
            <w:tcW w:w="906" w:type="dxa"/>
          </w:tcPr>
          <w:p w14:paraId="4055BE48" w14:textId="77777777" w:rsidR="005C746B" w:rsidRPr="00FD5E24" w:rsidRDefault="005C746B" w:rsidP="0009466A">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FD5E24">
              <w:rPr>
                <w:rFonts w:cstheme="minorHAnsi"/>
                <w:szCs w:val="18"/>
              </w:rPr>
              <w:t>1,145</w:t>
            </w:r>
          </w:p>
        </w:tc>
        <w:tc>
          <w:tcPr>
            <w:tcW w:w="903" w:type="dxa"/>
          </w:tcPr>
          <w:p w14:paraId="3471A0EE" w14:textId="77777777" w:rsidR="005C746B" w:rsidRPr="00FD5E24" w:rsidRDefault="005C746B" w:rsidP="0009466A">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FD5E24">
              <w:rPr>
                <w:rFonts w:cstheme="minorHAnsi"/>
                <w:szCs w:val="18"/>
              </w:rPr>
              <w:t>1,176</w:t>
            </w:r>
          </w:p>
        </w:tc>
        <w:tc>
          <w:tcPr>
            <w:tcW w:w="903" w:type="dxa"/>
          </w:tcPr>
          <w:p w14:paraId="06379CF6" w14:textId="77777777" w:rsidR="005C746B" w:rsidRPr="00FD5E24" w:rsidRDefault="005C746B" w:rsidP="0009466A">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FD5E24">
              <w:rPr>
                <w:rFonts w:cstheme="minorHAnsi"/>
                <w:szCs w:val="18"/>
              </w:rPr>
              <w:t>1,205</w:t>
            </w:r>
          </w:p>
        </w:tc>
        <w:tc>
          <w:tcPr>
            <w:tcW w:w="903" w:type="dxa"/>
          </w:tcPr>
          <w:p w14:paraId="1E8D3C52" w14:textId="77777777" w:rsidR="005C746B" w:rsidRPr="00FD5E24" w:rsidRDefault="005C746B" w:rsidP="0009466A">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FD5E24">
              <w:rPr>
                <w:rFonts w:cstheme="minorHAnsi"/>
                <w:szCs w:val="18"/>
              </w:rPr>
              <w:t>1,232</w:t>
            </w:r>
          </w:p>
        </w:tc>
        <w:tc>
          <w:tcPr>
            <w:tcW w:w="903" w:type="dxa"/>
          </w:tcPr>
          <w:p w14:paraId="2B4FDD0C" w14:textId="77777777" w:rsidR="005C746B" w:rsidRPr="00FD5E24" w:rsidRDefault="005C746B" w:rsidP="0009466A">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FD5E24">
              <w:rPr>
                <w:rFonts w:cstheme="minorHAnsi"/>
                <w:szCs w:val="18"/>
              </w:rPr>
              <w:t>1,258</w:t>
            </w:r>
          </w:p>
        </w:tc>
        <w:tc>
          <w:tcPr>
            <w:tcW w:w="901" w:type="dxa"/>
          </w:tcPr>
          <w:p w14:paraId="31DFE53C" w14:textId="77777777" w:rsidR="005C746B" w:rsidRPr="005F53C1" w:rsidRDefault="005C746B" w:rsidP="0009466A">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5F53C1">
              <w:rPr>
                <w:rFonts w:cstheme="minorHAnsi"/>
                <w:color w:val="000000"/>
                <w:szCs w:val="18"/>
              </w:rPr>
              <w:t>1,284</w:t>
            </w:r>
          </w:p>
        </w:tc>
        <w:tc>
          <w:tcPr>
            <w:tcW w:w="902" w:type="dxa"/>
          </w:tcPr>
          <w:p w14:paraId="7569FA66" w14:textId="77777777" w:rsidR="005C746B" w:rsidRPr="005F53C1" w:rsidRDefault="005C746B" w:rsidP="0009466A">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5F53C1">
              <w:rPr>
                <w:rFonts w:cstheme="minorHAnsi"/>
                <w:color w:val="000000"/>
                <w:szCs w:val="18"/>
              </w:rPr>
              <w:t>1,312</w:t>
            </w:r>
          </w:p>
        </w:tc>
        <w:tc>
          <w:tcPr>
            <w:tcW w:w="902" w:type="dxa"/>
          </w:tcPr>
          <w:p w14:paraId="7DB7FF75" w14:textId="77777777" w:rsidR="005C746B" w:rsidRPr="005F53C1" w:rsidRDefault="005C746B" w:rsidP="0009466A">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5F53C1">
              <w:rPr>
                <w:rFonts w:cstheme="minorHAnsi"/>
                <w:color w:val="000000"/>
                <w:szCs w:val="18"/>
              </w:rPr>
              <w:t>1,339</w:t>
            </w:r>
          </w:p>
        </w:tc>
        <w:tc>
          <w:tcPr>
            <w:tcW w:w="906" w:type="dxa"/>
          </w:tcPr>
          <w:p w14:paraId="16D014A2" w14:textId="77777777" w:rsidR="005C746B" w:rsidRPr="005F53C1" w:rsidRDefault="005C746B" w:rsidP="0009466A">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5F53C1">
              <w:rPr>
                <w:rFonts w:cstheme="minorHAnsi"/>
                <w:color w:val="000000"/>
                <w:szCs w:val="18"/>
              </w:rPr>
              <w:t>1,368</w:t>
            </w:r>
          </w:p>
        </w:tc>
      </w:tr>
    </w:tbl>
    <w:p w14:paraId="4F199FD2" w14:textId="3B6B17AD" w:rsidR="0009466A" w:rsidRPr="0009466A" w:rsidRDefault="0009466A" w:rsidP="0009466A">
      <w:pPr>
        <w:pStyle w:val="Caption-Source"/>
      </w:pPr>
      <w:r w:rsidRPr="0009466A">
        <w:t xml:space="preserve">Source: </w:t>
      </w:r>
      <w:r w:rsidR="0044544E" w:rsidRPr="0044544E">
        <w:t>Independent reviewer</w:t>
      </w:r>
      <w:r w:rsidRPr="0009466A">
        <w:t xml:space="preserve"> (2025)</w:t>
      </w:r>
    </w:p>
    <w:p w14:paraId="55266DAA" w14:textId="77777777" w:rsidR="00CD3106" w:rsidRDefault="00CD3106" w:rsidP="00C76D17">
      <w:r>
        <w:br w:type="page"/>
      </w:r>
    </w:p>
    <w:p w14:paraId="7BE51E4F" w14:textId="222F2339" w:rsidR="0009466A" w:rsidRDefault="0009466A" w:rsidP="0009466A">
      <w:pPr>
        <w:pStyle w:val="Caption"/>
      </w:pPr>
      <w:bookmarkStart w:id="184" w:name="_Toc207348604"/>
      <w:r>
        <w:t xml:space="preserve">Table </w:t>
      </w:r>
      <w:r w:rsidR="004F27F5">
        <w:fldChar w:fldCharType="begin"/>
      </w:r>
      <w:r w:rsidR="004F27F5">
        <w:instrText xml:space="preserve"> SEQ Table \* ARABIC </w:instrText>
      </w:r>
      <w:r w:rsidR="004F27F5">
        <w:fldChar w:fldCharType="separate"/>
      </w:r>
      <w:r w:rsidR="004F27F5">
        <w:rPr>
          <w:noProof/>
        </w:rPr>
        <w:t>39</w:t>
      </w:r>
      <w:r w:rsidR="004F27F5">
        <w:rPr>
          <w:noProof/>
        </w:rPr>
        <w:fldChar w:fldCharType="end"/>
      </w:r>
      <w:r>
        <w:t>: Option 3 total number of new prostheses required per year by cancer type (over 65 years)</w:t>
      </w:r>
      <w:bookmarkEnd w:id="184"/>
    </w:p>
    <w:tbl>
      <w:tblPr>
        <w:tblStyle w:val="KPMGTable"/>
        <w:tblW w:w="10643" w:type="dxa"/>
        <w:tblLayout w:type="fixed"/>
        <w:tblLook w:val="04A0" w:firstRow="1" w:lastRow="0" w:firstColumn="1" w:lastColumn="0" w:noHBand="0" w:noVBand="1"/>
      </w:tblPr>
      <w:tblGrid>
        <w:gridCol w:w="1609"/>
        <w:gridCol w:w="905"/>
        <w:gridCol w:w="906"/>
        <w:gridCol w:w="903"/>
        <w:gridCol w:w="903"/>
        <w:gridCol w:w="903"/>
        <w:gridCol w:w="903"/>
        <w:gridCol w:w="901"/>
        <w:gridCol w:w="902"/>
        <w:gridCol w:w="902"/>
        <w:gridCol w:w="906"/>
      </w:tblGrid>
      <w:tr w:rsidR="00AD6F37" w:rsidRPr="004A4B51" w14:paraId="7309EC30" w14:textId="77777777" w:rsidTr="0009466A">
        <w:trPr>
          <w:cnfStyle w:val="100000000000" w:firstRow="1" w:lastRow="0" w:firstColumn="0" w:lastColumn="0" w:oddVBand="0" w:evenVBand="0" w:oddHBand="0"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1609" w:type="dxa"/>
          </w:tcPr>
          <w:p w14:paraId="685B3C99" w14:textId="610C9D0D" w:rsidR="0009466A" w:rsidRPr="005F53C1" w:rsidRDefault="0009466A" w:rsidP="0009466A">
            <w:pPr>
              <w:pStyle w:val="TableHeading"/>
              <w:rPr>
                <w:szCs w:val="18"/>
              </w:rPr>
            </w:pPr>
            <w:r>
              <w:t>Type of cancer</w:t>
            </w:r>
          </w:p>
        </w:tc>
        <w:tc>
          <w:tcPr>
            <w:tcW w:w="905" w:type="dxa"/>
          </w:tcPr>
          <w:p w14:paraId="0F30AE19" w14:textId="3BF1E30D" w:rsidR="0009466A" w:rsidRPr="005F53C1" w:rsidRDefault="0009466A" w:rsidP="0009466A">
            <w:pPr>
              <w:pStyle w:val="TableHeading"/>
              <w:cnfStyle w:val="100000000000" w:firstRow="1" w:lastRow="0" w:firstColumn="0" w:lastColumn="0" w:oddVBand="0" w:evenVBand="0" w:oddHBand="0" w:evenHBand="0" w:firstRowFirstColumn="0" w:firstRowLastColumn="0" w:lastRowFirstColumn="0" w:lastRowLastColumn="0"/>
              <w:rPr>
                <w:color w:val="000000"/>
                <w:szCs w:val="18"/>
              </w:rPr>
            </w:pPr>
            <w:r w:rsidRPr="0019780B">
              <w:t>FY26/27</w:t>
            </w:r>
          </w:p>
        </w:tc>
        <w:tc>
          <w:tcPr>
            <w:tcW w:w="906" w:type="dxa"/>
          </w:tcPr>
          <w:p w14:paraId="5993B9DD" w14:textId="49A02FB5" w:rsidR="0009466A" w:rsidRPr="00FD5E24" w:rsidRDefault="0009466A" w:rsidP="0009466A">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FY27/28</w:t>
            </w:r>
          </w:p>
        </w:tc>
        <w:tc>
          <w:tcPr>
            <w:tcW w:w="903" w:type="dxa"/>
          </w:tcPr>
          <w:p w14:paraId="134E49C0" w14:textId="2152FF42" w:rsidR="0009466A" w:rsidRPr="00FD5E24" w:rsidRDefault="0009466A" w:rsidP="0009466A">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FY28/29</w:t>
            </w:r>
          </w:p>
        </w:tc>
        <w:tc>
          <w:tcPr>
            <w:tcW w:w="903" w:type="dxa"/>
          </w:tcPr>
          <w:p w14:paraId="3D7004E5" w14:textId="08174BEA" w:rsidR="0009466A" w:rsidRPr="00FD5E24" w:rsidRDefault="0009466A" w:rsidP="0009466A">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FY29/30</w:t>
            </w:r>
          </w:p>
        </w:tc>
        <w:tc>
          <w:tcPr>
            <w:tcW w:w="903" w:type="dxa"/>
          </w:tcPr>
          <w:p w14:paraId="0D789D3C" w14:textId="00C807AF" w:rsidR="0009466A" w:rsidRPr="00FD5E24" w:rsidRDefault="0009466A" w:rsidP="0009466A">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FY30/31</w:t>
            </w:r>
          </w:p>
        </w:tc>
        <w:tc>
          <w:tcPr>
            <w:tcW w:w="903" w:type="dxa"/>
          </w:tcPr>
          <w:p w14:paraId="6734CAAE" w14:textId="14DB767B" w:rsidR="0009466A" w:rsidRPr="00FD5E24" w:rsidRDefault="0009466A" w:rsidP="0009466A">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FY31/32</w:t>
            </w:r>
          </w:p>
        </w:tc>
        <w:tc>
          <w:tcPr>
            <w:tcW w:w="901" w:type="dxa"/>
          </w:tcPr>
          <w:p w14:paraId="6F5064C7" w14:textId="425CFF1D" w:rsidR="0009466A" w:rsidRPr="005F53C1" w:rsidRDefault="0009466A" w:rsidP="0009466A">
            <w:pPr>
              <w:pStyle w:val="TableHeading"/>
              <w:cnfStyle w:val="100000000000" w:firstRow="1" w:lastRow="0" w:firstColumn="0" w:lastColumn="0" w:oddVBand="0" w:evenVBand="0" w:oddHBand="0" w:evenHBand="0" w:firstRowFirstColumn="0" w:firstRowLastColumn="0" w:lastRowFirstColumn="0" w:lastRowLastColumn="0"/>
              <w:rPr>
                <w:color w:val="000000"/>
                <w:szCs w:val="18"/>
              </w:rPr>
            </w:pPr>
            <w:r w:rsidRPr="0019780B">
              <w:t>FY32/33</w:t>
            </w:r>
          </w:p>
        </w:tc>
        <w:tc>
          <w:tcPr>
            <w:tcW w:w="902" w:type="dxa"/>
          </w:tcPr>
          <w:p w14:paraId="7A3711E3" w14:textId="04B3C3E2" w:rsidR="0009466A" w:rsidRPr="005F53C1" w:rsidRDefault="0009466A" w:rsidP="0009466A">
            <w:pPr>
              <w:pStyle w:val="TableHeading"/>
              <w:cnfStyle w:val="100000000000" w:firstRow="1" w:lastRow="0" w:firstColumn="0" w:lastColumn="0" w:oddVBand="0" w:evenVBand="0" w:oddHBand="0" w:evenHBand="0" w:firstRowFirstColumn="0" w:firstRowLastColumn="0" w:lastRowFirstColumn="0" w:lastRowLastColumn="0"/>
              <w:rPr>
                <w:color w:val="000000"/>
                <w:szCs w:val="18"/>
              </w:rPr>
            </w:pPr>
            <w:r w:rsidRPr="0019780B">
              <w:t>FY33/34</w:t>
            </w:r>
          </w:p>
        </w:tc>
        <w:tc>
          <w:tcPr>
            <w:tcW w:w="902" w:type="dxa"/>
          </w:tcPr>
          <w:p w14:paraId="2DB62B60" w14:textId="7F6E63B4" w:rsidR="0009466A" w:rsidRPr="005F53C1" w:rsidRDefault="0009466A" w:rsidP="0009466A">
            <w:pPr>
              <w:pStyle w:val="TableHeading"/>
              <w:cnfStyle w:val="100000000000" w:firstRow="1" w:lastRow="0" w:firstColumn="0" w:lastColumn="0" w:oddVBand="0" w:evenVBand="0" w:oddHBand="0" w:evenHBand="0" w:firstRowFirstColumn="0" w:firstRowLastColumn="0" w:lastRowFirstColumn="0" w:lastRowLastColumn="0"/>
              <w:rPr>
                <w:color w:val="000000"/>
                <w:szCs w:val="18"/>
              </w:rPr>
            </w:pPr>
            <w:r w:rsidRPr="0019780B">
              <w:t>FY34/35</w:t>
            </w:r>
          </w:p>
        </w:tc>
        <w:tc>
          <w:tcPr>
            <w:tcW w:w="906" w:type="dxa"/>
          </w:tcPr>
          <w:p w14:paraId="40AAC9BB" w14:textId="48F3EFD8" w:rsidR="0009466A" w:rsidRPr="005F53C1" w:rsidRDefault="0009466A" w:rsidP="0009466A">
            <w:pPr>
              <w:pStyle w:val="TableHeading"/>
              <w:cnfStyle w:val="100000000000" w:firstRow="1" w:lastRow="0" w:firstColumn="0" w:lastColumn="0" w:oddVBand="0" w:evenVBand="0" w:oddHBand="0" w:evenHBand="0" w:firstRowFirstColumn="0" w:firstRowLastColumn="0" w:lastRowFirstColumn="0" w:lastRowLastColumn="0"/>
              <w:rPr>
                <w:color w:val="000000"/>
                <w:szCs w:val="18"/>
              </w:rPr>
            </w:pPr>
            <w:r w:rsidRPr="0019780B">
              <w:t>FY35/36</w:t>
            </w:r>
          </w:p>
        </w:tc>
      </w:tr>
      <w:tr w:rsidR="00677ED1" w:rsidRPr="004A4B51" w14:paraId="2E1957BA" w14:textId="77777777" w:rsidTr="0009466A">
        <w:trPr>
          <w:trHeight w:val="359"/>
        </w:trPr>
        <w:tc>
          <w:tcPr>
            <w:cnfStyle w:val="001000000000" w:firstRow="0" w:lastRow="0" w:firstColumn="1" w:lastColumn="0" w:oddVBand="0" w:evenVBand="0" w:oddHBand="0" w:evenHBand="0" w:firstRowFirstColumn="0" w:firstRowLastColumn="0" w:lastRowFirstColumn="0" w:lastRowLastColumn="0"/>
            <w:tcW w:w="1609" w:type="dxa"/>
          </w:tcPr>
          <w:p w14:paraId="54C70305" w14:textId="77777777" w:rsidR="005C746B" w:rsidRPr="005F53C1" w:rsidRDefault="005C746B" w:rsidP="0009466A">
            <w:pPr>
              <w:pStyle w:val="Tabletextbold"/>
            </w:pPr>
            <w:r w:rsidRPr="005F53C1">
              <w:t>Sarcoma</w:t>
            </w:r>
          </w:p>
        </w:tc>
        <w:tc>
          <w:tcPr>
            <w:tcW w:w="905" w:type="dxa"/>
          </w:tcPr>
          <w:p w14:paraId="71CBAFC1" w14:textId="77777777" w:rsidR="005C746B" w:rsidRPr="005F53C1"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5F53C1">
              <w:t>43</w:t>
            </w:r>
          </w:p>
        </w:tc>
        <w:tc>
          <w:tcPr>
            <w:tcW w:w="906" w:type="dxa"/>
          </w:tcPr>
          <w:p w14:paraId="2E227042" w14:textId="77777777" w:rsidR="005C746B" w:rsidRPr="00FD5E24"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FD5E24">
              <w:t>44</w:t>
            </w:r>
          </w:p>
        </w:tc>
        <w:tc>
          <w:tcPr>
            <w:tcW w:w="903" w:type="dxa"/>
          </w:tcPr>
          <w:p w14:paraId="7A39523D" w14:textId="77777777" w:rsidR="005C746B" w:rsidRPr="00FD5E24"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FD5E24">
              <w:t>45</w:t>
            </w:r>
          </w:p>
        </w:tc>
        <w:tc>
          <w:tcPr>
            <w:tcW w:w="903" w:type="dxa"/>
          </w:tcPr>
          <w:p w14:paraId="0414EC32" w14:textId="77777777" w:rsidR="005C746B" w:rsidRPr="00FD5E24"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FD5E24">
              <w:t>46</w:t>
            </w:r>
          </w:p>
        </w:tc>
        <w:tc>
          <w:tcPr>
            <w:tcW w:w="903" w:type="dxa"/>
          </w:tcPr>
          <w:p w14:paraId="31B5DB5C" w14:textId="77777777" w:rsidR="005C746B" w:rsidRPr="00FD5E24"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FD5E24">
              <w:t>47</w:t>
            </w:r>
          </w:p>
        </w:tc>
        <w:tc>
          <w:tcPr>
            <w:tcW w:w="903" w:type="dxa"/>
          </w:tcPr>
          <w:p w14:paraId="28AD1DCF" w14:textId="77777777" w:rsidR="005C746B" w:rsidRPr="00FD5E24"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FD5E24">
              <w:t>48</w:t>
            </w:r>
          </w:p>
        </w:tc>
        <w:tc>
          <w:tcPr>
            <w:tcW w:w="901" w:type="dxa"/>
          </w:tcPr>
          <w:p w14:paraId="145D4952" w14:textId="77777777" w:rsidR="005C746B" w:rsidRPr="005F53C1"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5F53C1">
              <w:t>49</w:t>
            </w:r>
          </w:p>
        </w:tc>
        <w:tc>
          <w:tcPr>
            <w:tcW w:w="902" w:type="dxa"/>
          </w:tcPr>
          <w:p w14:paraId="59D28E54" w14:textId="77777777" w:rsidR="005C746B" w:rsidRPr="005F53C1"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5F53C1">
              <w:t>50</w:t>
            </w:r>
          </w:p>
        </w:tc>
        <w:tc>
          <w:tcPr>
            <w:tcW w:w="902" w:type="dxa"/>
          </w:tcPr>
          <w:p w14:paraId="7DAB078D" w14:textId="77777777" w:rsidR="005C746B" w:rsidRPr="005F53C1"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5F53C1">
              <w:t>51</w:t>
            </w:r>
          </w:p>
        </w:tc>
        <w:tc>
          <w:tcPr>
            <w:tcW w:w="906" w:type="dxa"/>
          </w:tcPr>
          <w:p w14:paraId="254DA0AA" w14:textId="77777777" w:rsidR="005C746B" w:rsidRPr="005F53C1"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5F53C1">
              <w:t>52</w:t>
            </w:r>
          </w:p>
        </w:tc>
      </w:tr>
      <w:tr w:rsidR="00677ED1" w:rsidRPr="004A4B51" w14:paraId="65E93BE2" w14:textId="77777777" w:rsidTr="0009466A">
        <w:trPr>
          <w:trHeight w:val="359"/>
        </w:trPr>
        <w:tc>
          <w:tcPr>
            <w:cnfStyle w:val="001000000000" w:firstRow="0" w:lastRow="0" w:firstColumn="1" w:lastColumn="0" w:oddVBand="0" w:evenVBand="0" w:oddHBand="0" w:evenHBand="0" w:firstRowFirstColumn="0" w:firstRowLastColumn="0" w:lastRowFirstColumn="0" w:lastRowLastColumn="0"/>
            <w:tcW w:w="1609" w:type="dxa"/>
          </w:tcPr>
          <w:p w14:paraId="1D47365E" w14:textId="77777777" w:rsidR="005C746B" w:rsidRPr="005F53C1" w:rsidRDefault="005C746B" w:rsidP="0009466A">
            <w:pPr>
              <w:pStyle w:val="Tabletextbold"/>
            </w:pPr>
            <w:r w:rsidRPr="005F53C1">
              <w:t>Bone cancer</w:t>
            </w:r>
          </w:p>
        </w:tc>
        <w:tc>
          <w:tcPr>
            <w:tcW w:w="905" w:type="dxa"/>
          </w:tcPr>
          <w:p w14:paraId="4FFD65AD" w14:textId="77777777" w:rsidR="005C746B" w:rsidRPr="005F53C1"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5F53C1">
              <w:t>4</w:t>
            </w:r>
          </w:p>
        </w:tc>
        <w:tc>
          <w:tcPr>
            <w:tcW w:w="906" w:type="dxa"/>
          </w:tcPr>
          <w:p w14:paraId="47327A29" w14:textId="77777777" w:rsidR="005C746B" w:rsidRPr="00FD5E24"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FD5E24">
              <w:t>4</w:t>
            </w:r>
          </w:p>
        </w:tc>
        <w:tc>
          <w:tcPr>
            <w:tcW w:w="903" w:type="dxa"/>
          </w:tcPr>
          <w:p w14:paraId="76854857" w14:textId="77777777" w:rsidR="005C746B" w:rsidRPr="00FD5E24"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FD5E24">
              <w:t>4</w:t>
            </w:r>
          </w:p>
        </w:tc>
        <w:tc>
          <w:tcPr>
            <w:tcW w:w="903" w:type="dxa"/>
          </w:tcPr>
          <w:p w14:paraId="72351C73" w14:textId="77777777" w:rsidR="005C746B" w:rsidRPr="00FD5E24"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FD5E24">
              <w:t>4</w:t>
            </w:r>
          </w:p>
        </w:tc>
        <w:tc>
          <w:tcPr>
            <w:tcW w:w="903" w:type="dxa"/>
          </w:tcPr>
          <w:p w14:paraId="7A9168E0" w14:textId="77777777" w:rsidR="005C746B" w:rsidRPr="00FD5E24"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FD5E24">
              <w:t>4</w:t>
            </w:r>
          </w:p>
        </w:tc>
        <w:tc>
          <w:tcPr>
            <w:tcW w:w="903" w:type="dxa"/>
          </w:tcPr>
          <w:p w14:paraId="37715861" w14:textId="77777777" w:rsidR="005C746B" w:rsidRPr="00FD5E24"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FD5E24">
              <w:t>5</w:t>
            </w:r>
          </w:p>
        </w:tc>
        <w:tc>
          <w:tcPr>
            <w:tcW w:w="901" w:type="dxa"/>
          </w:tcPr>
          <w:p w14:paraId="12585696" w14:textId="77777777" w:rsidR="005C746B" w:rsidRPr="005F53C1"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5F53C1">
              <w:t>5</w:t>
            </w:r>
          </w:p>
        </w:tc>
        <w:tc>
          <w:tcPr>
            <w:tcW w:w="902" w:type="dxa"/>
          </w:tcPr>
          <w:p w14:paraId="61FE67B2" w14:textId="77777777" w:rsidR="005C746B" w:rsidRPr="005F53C1"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5F53C1">
              <w:t>5</w:t>
            </w:r>
          </w:p>
        </w:tc>
        <w:tc>
          <w:tcPr>
            <w:tcW w:w="902" w:type="dxa"/>
          </w:tcPr>
          <w:p w14:paraId="77DD0222" w14:textId="77777777" w:rsidR="005C746B" w:rsidRPr="005F53C1"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5F53C1">
              <w:t>5</w:t>
            </w:r>
          </w:p>
        </w:tc>
        <w:tc>
          <w:tcPr>
            <w:tcW w:w="906" w:type="dxa"/>
          </w:tcPr>
          <w:p w14:paraId="74A7D6D2" w14:textId="77777777" w:rsidR="005C746B" w:rsidRPr="005F53C1"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5F53C1">
              <w:t>5</w:t>
            </w:r>
          </w:p>
        </w:tc>
      </w:tr>
      <w:tr w:rsidR="00677ED1" w:rsidRPr="004A4B51" w14:paraId="5E86500C" w14:textId="77777777" w:rsidTr="0009466A">
        <w:trPr>
          <w:trHeight w:val="379"/>
        </w:trPr>
        <w:tc>
          <w:tcPr>
            <w:cnfStyle w:val="001000000000" w:firstRow="0" w:lastRow="0" w:firstColumn="1" w:lastColumn="0" w:oddVBand="0" w:evenVBand="0" w:oddHBand="0" w:evenHBand="0" w:firstRowFirstColumn="0" w:firstRowLastColumn="0" w:lastRowFirstColumn="0" w:lastRowLastColumn="0"/>
            <w:tcW w:w="1609" w:type="dxa"/>
          </w:tcPr>
          <w:p w14:paraId="3FAB4836" w14:textId="77777777" w:rsidR="005C746B" w:rsidRPr="005F53C1" w:rsidRDefault="005C746B" w:rsidP="0009466A">
            <w:pPr>
              <w:pStyle w:val="Tabletextbold"/>
              <w:rPr>
                <w:b/>
              </w:rPr>
            </w:pPr>
            <w:r w:rsidRPr="005F53C1">
              <w:rPr>
                <w:b/>
              </w:rPr>
              <w:t xml:space="preserve">Total </w:t>
            </w:r>
          </w:p>
        </w:tc>
        <w:tc>
          <w:tcPr>
            <w:tcW w:w="905" w:type="dxa"/>
          </w:tcPr>
          <w:p w14:paraId="28FE03CE" w14:textId="77777777" w:rsidR="005C746B" w:rsidRPr="005F53C1" w:rsidRDefault="005C746B" w:rsidP="0009466A">
            <w:pPr>
              <w:pStyle w:val="Tabletextbold"/>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5F53C1">
              <w:rPr>
                <w:rFonts w:cstheme="minorHAnsi"/>
                <w:color w:val="000000"/>
                <w:szCs w:val="18"/>
              </w:rPr>
              <w:t>47</w:t>
            </w:r>
          </w:p>
        </w:tc>
        <w:tc>
          <w:tcPr>
            <w:tcW w:w="906" w:type="dxa"/>
          </w:tcPr>
          <w:p w14:paraId="33E4B48D" w14:textId="77777777" w:rsidR="005C746B" w:rsidRPr="00FD5E24" w:rsidRDefault="005C746B" w:rsidP="0009466A">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FD5E24">
              <w:rPr>
                <w:rFonts w:cstheme="minorHAnsi"/>
                <w:szCs w:val="18"/>
              </w:rPr>
              <w:t>48</w:t>
            </w:r>
          </w:p>
        </w:tc>
        <w:tc>
          <w:tcPr>
            <w:tcW w:w="903" w:type="dxa"/>
          </w:tcPr>
          <w:p w14:paraId="67EF6055" w14:textId="77777777" w:rsidR="005C746B" w:rsidRPr="00FD5E24" w:rsidRDefault="005C746B" w:rsidP="0009466A">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FD5E24">
              <w:rPr>
                <w:rFonts w:cstheme="minorHAnsi"/>
                <w:szCs w:val="18"/>
              </w:rPr>
              <w:t>49</w:t>
            </w:r>
          </w:p>
        </w:tc>
        <w:tc>
          <w:tcPr>
            <w:tcW w:w="903" w:type="dxa"/>
          </w:tcPr>
          <w:p w14:paraId="654F9849" w14:textId="77777777" w:rsidR="005C746B" w:rsidRPr="00FD5E24" w:rsidRDefault="005C746B" w:rsidP="0009466A">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FD5E24">
              <w:rPr>
                <w:rFonts w:cstheme="minorHAnsi"/>
                <w:szCs w:val="18"/>
              </w:rPr>
              <w:t>51</w:t>
            </w:r>
          </w:p>
        </w:tc>
        <w:tc>
          <w:tcPr>
            <w:tcW w:w="903" w:type="dxa"/>
          </w:tcPr>
          <w:p w14:paraId="39920894" w14:textId="77777777" w:rsidR="005C746B" w:rsidRPr="00FD5E24" w:rsidRDefault="005C746B" w:rsidP="0009466A">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FD5E24">
              <w:rPr>
                <w:rFonts w:cstheme="minorHAnsi"/>
                <w:szCs w:val="18"/>
              </w:rPr>
              <w:t>52</w:t>
            </w:r>
          </w:p>
        </w:tc>
        <w:tc>
          <w:tcPr>
            <w:tcW w:w="903" w:type="dxa"/>
          </w:tcPr>
          <w:p w14:paraId="325FEA5C" w14:textId="77777777" w:rsidR="005C746B" w:rsidRPr="00FD5E24" w:rsidRDefault="005C746B" w:rsidP="0009466A">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rPr>
            </w:pPr>
            <w:r w:rsidRPr="00FD5E24">
              <w:rPr>
                <w:rFonts w:cstheme="minorHAnsi"/>
                <w:szCs w:val="18"/>
              </w:rPr>
              <w:t>53</w:t>
            </w:r>
          </w:p>
        </w:tc>
        <w:tc>
          <w:tcPr>
            <w:tcW w:w="901" w:type="dxa"/>
          </w:tcPr>
          <w:p w14:paraId="24AEA809" w14:textId="77777777" w:rsidR="005C746B" w:rsidRPr="005F53C1" w:rsidRDefault="005C746B" w:rsidP="0009466A">
            <w:pPr>
              <w:pStyle w:val="Tabletextbold"/>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5F53C1">
              <w:rPr>
                <w:rFonts w:cstheme="minorHAnsi"/>
                <w:color w:val="000000"/>
                <w:szCs w:val="18"/>
              </w:rPr>
              <w:t>54</w:t>
            </w:r>
          </w:p>
        </w:tc>
        <w:tc>
          <w:tcPr>
            <w:tcW w:w="902" w:type="dxa"/>
          </w:tcPr>
          <w:p w14:paraId="5B71283A" w14:textId="77777777" w:rsidR="005C746B" w:rsidRPr="005F53C1" w:rsidRDefault="005C746B" w:rsidP="0009466A">
            <w:pPr>
              <w:pStyle w:val="Tabletextbold"/>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5F53C1">
              <w:rPr>
                <w:rFonts w:cstheme="minorHAnsi"/>
                <w:color w:val="000000"/>
                <w:szCs w:val="18"/>
              </w:rPr>
              <w:t>55</w:t>
            </w:r>
          </w:p>
        </w:tc>
        <w:tc>
          <w:tcPr>
            <w:tcW w:w="902" w:type="dxa"/>
          </w:tcPr>
          <w:p w14:paraId="1F211370" w14:textId="77777777" w:rsidR="005C746B" w:rsidRPr="005F53C1" w:rsidRDefault="005C746B" w:rsidP="0009466A">
            <w:pPr>
              <w:pStyle w:val="Tabletextbold"/>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5F53C1">
              <w:rPr>
                <w:rFonts w:cstheme="minorHAnsi"/>
                <w:color w:val="000000"/>
                <w:szCs w:val="18"/>
              </w:rPr>
              <w:t>56</w:t>
            </w:r>
          </w:p>
        </w:tc>
        <w:tc>
          <w:tcPr>
            <w:tcW w:w="906" w:type="dxa"/>
          </w:tcPr>
          <w:p w14:paraId="52F36569" w14:textId="77777777" w:rsidR="005C746B" w:rsidRPr="005F53C1" w:rsidRDefault="005C746B" w:rsidP="0009466A">
            <w:pPr>
              <w:pStyle w:val="Tabletextbold"/>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5F53C1">
              <w:rPr>
                <w:rFonts w:cstheme="minorHAnsi"/>
                <w:color w:val="000000"/>
                <w:szCs w:val="18"/>
              </w:rPr>
              <w:t>57</w:t>
            </w:r>
          </w:p>
        </w:tc>
      </w:tr>
    </w:tbl>
    <w:p w14:paraId="680423BA" w14:textId="6E2A8CA3" w:rsidR="0009466A" w:rsidRPr="0009466A" w:rsidRDefault="0009466A" w:rsidP="0009466A">
      <w:pPr>
        <w:pStyle w:val="Caption-Source"/>
      </w:pPr>
      <w:r w:rsidRPr="0009466A">
        <w:t xml:space="preserve">Source: </w:t>
      </w:r>
      <w:r w:rsidR="0044544E" w:rsidRPr="0044544E">
        <w:t>Independent reviewer</w:t>
      </w:r>
      <w:r w:rsidRPr="0009466A">
        <w:t xml:space="preserve"> (2025)</w:t>
      </w:r>
    </w:p>
    <w:p w14:paraId="232DDE07" w14:textId="6717D0FB" w:rsidR="0009466A" w:rsidRDefault="0009466A" w:rsidP="0009466A">
      <w:pPr>
        <w:pStyle w:val="Caption"/>
      </w:pPr>
      <w:bookmarkStart w:id="185" w:name="_Toc207348605"/>
      <w:r>
        <w:t xml:space="preserve">Table </w:t>
      </w:r>
      <w:r w:rsidR="004F27F5">
        <w:fldChar w:fldCharType="begin"/>
      </w:r>
      <w:r w:rsidR="004F27F5">
        <w:instrText xml:space="preserve"> SEQ Table \* ARABIC </w:instrText>
      </w:r>
      <w:r w:rsidR="004F27F5">
        <w:fldChar w:fldCharType="separate"/>
      </w:r>
      <w:r w:rsidR="004F27F5">
        <w:rPr>
          <w:noProof/>
        </w:rPr>
        <w:t>40</w:t>
      </w:r>
      <w:r w:rsidR="004F27F5">
        <w:rPr>
          <w:noProof/>
        </w:rPr>
        <w:fldChar w:fldCharType="end"/>
      </w:r>
      <w:r>
        <w:t>: Option 3 total number of replacement prostheses required per year by cancer type (over 65 years)</w:t>
      </w:r>
      <w:bookmarkEnd w:id="185"/>
    </w:p>
    <w:tbl>
      <w:tblPr>
        <w:tblStyle w:val="KPMGTable"/>
        <w:tblW w:w="10643" w:type="dxa"/>
        <w:tblLayout w:type="fixed"/>
        <w:tblLook w:val="04A0" w:firstRow="1" w:lastRow="0" w:firstColumn="1" w:lastColumn="0" w:noHBand="0" w:noVBand="1"/>
      </w:tblPr>
      <w:tblGrid>
        <w:gridCol w:w="1609"/>
        <w:gridCol w:w="905"/>
        <w:gridCol w:w="906"/>
        <w:gridCol w:w="903"/>
        <w:gridCol w:w="903"/>
        <w:gridCol w:w="903"/>
        <w:gridCol w:w="903"/>
        <w:gridCol w:w="901"/>
        <w:gridCol w:w="902"/>
        <w:gridCol w:w="902"/>
        <w:gridCol w:w="906"/>
      </w:tblGrid>
      <w:tr w:rsidR="00AD6F37" w:rsidRPr="004A4B51" w14:paraId="2EF63A69" w14:textId="77777777" w:rsidTr="0009466A">
        <w:trPr>
          <w:cnfStyle w:val="100000000000" w:firstRow="1" w:lastRow="0" w:firstColumn="0" w:lastColumn="0" w:oddVBand="0" w:evenVBand="0" w:oddHBand="0"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1609" w:type="dxa"/>
          </w:tcPr>
          <w:p w14:paraId="3FC99CB0" w14:textId="2B9A865E" w:rsidR="0009466A" w:rsidRPr="005F53C1" w:rsidRDefault="0009466A" w:rsidP="0009466A">
            <w:pPr>
              <w:pStyle w:val="TableHeading"/>
              <w:rPr>
                <w:szCs w:val="18"/>
              </w:rPr>
            </w:pPr>
            <w:r>
              <w:t>Type of cancer</w:t>
            </w:r>
          </w:p>
        </w:tc>
        <w:tc>
          <w:tcPr>
            <w:tcW w:w="905" w:type="dxa"/>
          </w:tcPr>
          <w:p w14:paraId="348CEE78" w14:textId="6221852F" w:rsidR="0009466A" w:rsidRDefault="0009466A" w:rsidP="0009466A">
            <w:pPr>
              <w:pStyle w:val="TableHeading"/>
              <w:cnfStyle w:val="100000000000" w:firstRow="1" w:lastRow="0" w:firstColumn="0" w:lastColumn="0" w:oddVBand="0" w:evenVBand="0" w:oddHBand="0" w:evenHBand="0" w:firstRowFirstColumn="0" w:firstRowLastColumn="0" w:lastRowFirstColumn="0" w:lastRowLastColumn="0"/>
              <w:rPr>
                <w:color w:val="000000"/>
                <w:szCs w:val="18"/>
              </w:rPr>
            </w:pPr>
            <w:r w:rsidRPr="0019780B">
              <w:t>FY26/27</w:t>
            </w:r>
          </w:p>
        </w:tc>
        <w:tc>
          <w:tcPr>
            <w:tcW w:w="906" w:type="dxa"/>
          </w:tcPr>
          <w:p w14:paraId="1DA545F7" w14:textId="3AFF4F64" w:rsidR="0009466A" w:rsidRPr="00FD5E24" w:rsidRDefault="0009466A" w:rsidP="0009466A">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FY27/28</w:t>
            </w:r>
          </w:p>
        </w:tc>
        <w:tc>
          <w:tcPr>
            <w:tcW w:w="903" w:type="dxa"/>
          </w:tcPr>
          <w:p w14:paraId="6879DC6F" w14:textId="6F9577B5" w:rsidR="0009466A" w:rsidRPr="00FD5E24" w:rsidRDefault="0009466A" w:rsidP="0009466A">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FY28/29</w:t>
            </w:r>
          </w:p>
        </w:tc>
        <w:tc>
          <w:tcPr>
            <w:tcW w:w="903" w:type="dxa"/>
          </w:tcPr>
          <w:p w14:paraId="260A8802" w14:textId="541E466D" w:rsidR="0009466A" w:rsidRPr="00FD5E24" w:rsidRDefault="0009466A" w:rsidP="0009466A">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FY29/30</w:t>
            </w:r>
          </w:p>
        </w:tc>
        <w:tc>
          <w:tcPr>
            <w:tcW w:w="903" w:type="dxa"/>
          </w:tcPr>
          <w:p w14:paraId="7D108DF6" w14:textId="28809E30" w:rsidR="0009466A" w:rsidRPr="00FD5E24" w:rsidRDefault="0009466A" w:rsidP="0009466A">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FY30/31</w:t>
            </w:r>
          </w:p>
        </w:tc>
        <w:tc>
          <w:tcPr>
            <w:tcW w:w="903" w:type="dxa"/>
          </w:tcPr>
          <w:p w14:paraId="7F232361" w14:textId="69416210" w:rsidR="0009466A" w:rsidRPr="00FD5E24" w:rsidRDefault="0009466A" w:rsidP="0009466A">
            <w:pPr>
              <w:pStyle w:val="TableHeading"/>
              <w:cnfStyle w:val="100000000000" w:firstRow="1" w:lastRow="0" w:firstColumn="0" w:lastColumn="0" w:oddVBand="0" w:evenVBand="0" w:oddHBand="0" w:evenHBand="0" w:firstRowFirstColumn="0" w:firstRowLastColumn="0" w:lastRowFirstColumn="0" w:lastRowLastColumn="0"/>
              <w:rPr>
                <w:szCs w:val="18"/>
              </w:rPr>
            </w:pPr>
            <w:r w:rsidRPr="0019780B">
              <w:t>FY31/32</w:t>
            </w:r>
          </w:p>
        </w:tc>
        <w:tc>
          <w:tcPr>
            <w:tcW w:w="901" w:type="dxa"/>
          </w:tcPr>
          <w:p w14:paraId="02113AC0" w14:textId="0C5BFCB9" w:rsidR="0009466A" w:rsidRPr="005F53C1" w:rsidRDefault="0009466A" w:rsidP="0009466A">
            <w:pPr>
              <w:pStyle w:val="TableHeading"/>
              <w:cnfStyle w:val="100000000000" w:firstRow="1" w:lastRow="0" w:firstColumn="0" w:lastColumn="0" w:oddVBand="0" w:evenVBand="0" w:oddHBand="0" w:evenHBand="0" w:firstRowFirstColumn="0" w:firstRowLastColumn="0" w:lastRowFirstColumn="0" w:lastRowLastColumn="0"/>
              <w:rPr>
                <w:color w:val="000000"/>
                <w:szCs w:val="18"/>
              </w:rPr>
            </w:pPr>
            <w:r w:rsidRPr="0019780B">
              <w:t>FY32/33</w:t>
            </w:r>
          </w:p>
        </w:tc>
        <w:tc>
          <w:tcPr>
            <w:tcW w:w="902" w:type="dxa"/>
          </w:tcPr>
          <w:p w14:paraId="6A078AA0" w14:textId="3FFAF0D1" w:rsidR="0009466A" w:rsidRPr="005F53C1" w:rsidRDefault="0009466A" w:rsidP="0009466A">
            <w:pPr>
              <w:pStyle w:val="TableHeading"/>
              <w:cnfStyle w:val="100000000000" w:firstRow="1" w:lastRow="0" w:firstColumn="0" w:lastColumn="0" w:oddVBand="0" w:evenVBand="0" w:oddHBand="0" w:evenHBand="0" w:firstRowFirstColumn="0" w:firstRowLastColumn="0" w:lastRowFirstColumn="0" w:lastRowLastColumn="0"/>
              <w:rPr>
                <w:color w:val="000000"/>
                <w:szCs w:val="18"/>
              </w:rPr>
            </w:pPr>
            <w:r w:rsidRPr="0019780B">
              <w:t>FY33/34</w:t>
            </w:r>
          </w:p>
        </w:tc>
        <w:tc>
          <w:tcPr>
            <w:tcW w:w="902" w:type="dxa"/>
          </w:tcPr>
          <w:p w14:paraId="3E5E02C8" w14:textId="18F550D4" w:rsidR="0009466A" w:rsidRPr="005F53C1" w:rsidRDefault="0009466A" w:rsidP="0009466A">
            <w:pPr>
              <w:pStyle w:val="TableHeading"/>
              <w:cnfStyle w:val="100000000000" w:firstRow="1" w:lastRow="0" w:firstColumn="0" w:lastColumn="0" w:oddVBand="0" w:evenVBand="0" w:oddHBand="0" w:evenHBand="0" w:firstRowFirstColumn="0" w:firstRowLastColumn="0" w:lastRowFirstColumn="0" w:lastRowLastColumn="0"/>
              <w:rPr>
                <w:color w:val="000000"/>
                <w:szCs w:val="18"/>
              </w:rPr>
            </w:pPr>
            <w:r w:rsidRPr="0019780B">
              <w:t>FY34/35</w:t>
            </w:r>
          </w:p>
        </w:tc>
        <w:tc>
          <w:tcPr>
            <w:tcW w:w="906" w:type="dxa"/>
          </w:tcPr>
          <w:p w14:paraId="379D774B" w14:textId="162A92C2" w:rsidR="0009466A" w:rsidRPr="005F53C1" w:rsidRDefault="0009466A" w:rsidP="0009466A">
            <w:pPr>
              <w:pStyle w:val="TableHeading"/>
              <w:cnfStyle w:val="100000000000" w:firstRow="1" w:lastRow="0" w:firstColumn="0" w:lastColumn="0" w:oddVBand="0" w:evenVBand="0" w:oddHBand="0" w:evenHBand="0" w:firstRowFirstColumn="0" w:firstRowLastColumn="0" w:lastRowFirstColumn="0" w:lastRowLastColumn="0"/>
              <w:rPr>
                <w:color w:val="000000"/>
                <w:szCs w:val="18"/>
              </w:rPr>
            </w:pPr>
            <w:r w:rsidRPr="0019780B">
              <w:t>FY35/36</w:t>
            </w:r>
          </w:p>
        </w:tc>
      </w:tr>
      <w:tr w:rsidR="00677ED1" w:rsidRPr="004A4B51" w14:paraId="39024B4F" w14:textId="77777777" w:rsidTr="0009466A">
        <w:trPr>
          <w:trHeight w:val="359"/>
        </w:trPr>
        <w:tc>
          <w:tcPr>
            <w:cnfStyle w:val="001000000000" w:firstRow="0" w:lastRow="0" w:firstColumn="1" w:lastColumn="0" w:oddVBand="0" w:evenVBand="0" w:oddHBand="0" w:evenHBand="0" w:firstRowFirstColumn="0" w:firstRowLastColumn="0" w:lastRowFirstColumn="0" w:lastRowLastColumn="0"/>
            <w:tcW w:w="1609" w:type="dxa"/>
          </w:tcPr>
          <w:p w14:paraId="7707670E" w14:textId="77777777" w:rsidR="005C746B" w:rsidRPr="005F53C1" w:rsidRDefault="005C746B" w:rsidP="0009466A">
            <w:pPr>
              <w:pStyle w:val="Tabletextbold"/>
            </w:pPr>
            <w:r w:rsidRPr="005F53C1">
              <w:t>Sarcoma</w:t>
            </w:r>
          </w:p>
        </w:tc>
        <w:tc>
          <w:tcPr>
            <w:tcW w:w="905" w:type="dxa"/>
          </w:tcPr>
          <w:p w14:paraId="72097214" w14:textId="77777777" w:rsidR="005C746B" w:rsidRPr="005F53C1" w:rsidRDefault="005C746B" w:rsidP="0009466A">
            <w:pPr>
              <w:pStyle w:val="TableText"/>
              <w:cnfStyle w:val="000000000000" w:firstRow="0" w:lastRow="0" w:firstColumn="0" w:lastColumn="0" w:oddVBand="0" w:evenVBand="0" w:oddHBand="0" w:evenHBand="0" w:firstRowFirstColumn="0" w:firstRowLastColumn="0" w:lastRowFirstColumn="0" w:lastRowLastColumn="0"/>
            </w:pPr>
            <w:r>
              <w:t>0</w:t>
            </w:r>
          </w:p>
        </w:tc>
        <w:tc>
          <w:tcPr>
            <w:tcW w:w="906" w:type="dxa"/>
          </w:tcPr>
          <w:p w14:paraId="6F6A5BFA" w14:textId="77777777" w:rsidR="005C746B" w:rsidRPr="00FD5E24"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FD5E24">
              <w:t>0</w:t>
            </w:r>
          </w:p>
        </w:tc>
        <w:tc>
          <w:tcPr>
            <w:tcW w:w="903" w:type="dxa"/>
          </w:tcPr>
          <w:p w14:paraId="5E57899E" w14:textId="77777777" w:rsidR="005C746B" w:rsidRPr="00FD5E24"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FD5E24">
              <w:t>0</w:t>
            </w:r>
          </w:p>
        </w:tc>
        <w:tc>
          <w:tcPr>
            <w:tcW w:w="903" w:type="dxa"/>
          </w:tcPr>
          <w:p w14:paraId="5F475FB8" w14:textId="77777777" w:rsidR="005C746B" w:rsidRPr="00FD5E24"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FD5E24">
              <w:t>32</w:t>
            </w:r>
          </w:p>
        </w:tc>
        <w:tc>
          <w:tcPr>
            <w:tcW w:w="903" w:type="dxa"/>
          </w:tcPr>
          <w:p w14:paraId="502FF035" w14:textId="77777777" w:rsidR="005C746B" w:rsidRPr="00FD5E24"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FD5E24">
              <w:t>33</w:t>
            </w:r>
          </w:p>
        </w:tc>
        <w:tc>
          <w:tcPr>
            <w:tcW w:w="903" w:type="dxa"/>
          </w:tcPr>
          <w:p w14:paraId="5A1EFD57" w14:textId="77777777" w:rsidR="005C746B" w:rsidRPr="00FD5E24"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FD5E24">
              <w:t>34</w:t>
            </w:r>
          </w:p>
        </w:tc>
        <w:tc>
          <w:tcPr>
            <w:tcW w:w="901" w:type="dxa"/>
          </w:tcPr>
          <w:p w14:paraId="71E9D582" w14:textId="77777777" w:rsidR="005C746B" w:rsidRPr="005F53C1"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5F53C1">
              <w:t>23</w:t>
            </w:r>
          </w:p>
        </w:tc>
        <w:tc>
          <w:tcPr>
            <w:tcW w:w="902" w:type="dxa"/>
          </w:tcPr>
          <w:p w14:paraId="32B0D370" w14:textId="77777777" w:rsidR="005C746B" w:rsidRPr="005F53C1"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5F53C1">
              <w:t>23</w:t>
            </w:r>
          </w:p>
        </w:tc>
        <w:tc>
          <w:tcPr>
            <w:tcW w:w="902" w:type="dxa"/>
          </w:tcPr>
          <w:p w14:paraId="44AC493A" w14:textId="77777777" w:rsidR="005C746B" w:rsidRPr="005F53C1"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5F53C1">
              <w:t>24</w:t>
            </w:r>
          </w:p>
        </w:tc>
        <w:tc>
          <w:tcPr>
            <w:tcW w:w="906" w:type="dxa"/>
          </w:tcPr>
          <w:p w14:paraId="2082123C" w14:textId="77777777" w:rsidR="005C746B" w:rsidRPr="005F53C1"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5F53C1">
              <w:t>16</w:t>
            </w:r>
          </w:p>
        </w:tc>
      </w:tr>
      <w:tr w:rsidR="00677ED1" w:rsidRPr="004A4B51" w14:paraId="0814B9C7" w14:textId="77777777" w:rsidTr="0009466A">
        <w:trPr>
          <w:trHeight w:val="359"/>
        </w:trPr>
        <w:tc>
          <w:tcPr>
            <w:cnfStyle w:val="001000000000" w:firstRow="0" w:lastRow="0" w:firstColumn="1" w:lastColumn="0" w:oddVBand="0" w:evenVBand="0" w:oddHBand="0" w:evenHBand="0" w:firstRowFirstColumn="0" w:firstRowLastColumn="0" w:lastRowFirstColumn="0" w:lastRowLastColumn="0"/>
            <w:tcW w:w="1609" w:type="dxa"/>
          </w:tcPr>
          <w:p w14:paraId="280FE26D" w14:textId="77777777" w:rsidR="005C746B" w:rsidRPr="005F53C1" w:rsidRDefault="005C746B" w:rsidP="0009466A">
            <w:pPr>
              <w:pStyle w:val="Tabletextbold"/>
            </w:pPr>
            <w:r w:rsidRPr="005F53C1">
              <w:t>Bone cancer</w:t>
            </w:r>
          </w:p>
        </w:tc>
        <w:tc>
          <w:tcPr>
            <w:tcW w:w="905" w:type="dxa"/>
          </w:tcPr>
          <w:p w14:paraId="046E4971" w14:textId="77777777" w:rsidR="005C746B" w:rsidRPr="005F53C1" w:rsidRDefault="005C746B" w:rsidP="0009466A">
            <w:pPr>
              <w:pStyle w:val="TableText"/>
              <w:cnfStyle w:val="000000000000" w:firstRow="0" w:lastRow="0" w:firstColumn="0" w:lastColumn="0" w:oddVBand="0" w:evenVBand="0" w:oddHBand="0" w:evenHBand="0" w:firstRowFirstColumn="0" w:firstRowLastColumn="0" w:lastRowFirstColumn="0" w:lastRowLastColumn="0"/>
            </w:pPr>
            <w:r>
              <w:t>0</w:t>
            </w:r>
          </w:p>
        </w:tc>
        <w:tc>
          <w:tcPr>
            <w:tcW w:w="906" w:type="dxa"/>
          </w:tcPr>
          <w:p w14:paraId="16041F5D" w14:textId="77777777" w:rsidR="005C746B" w:rsidRPr="00FD5E24"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FD5E24">
              <w:t>0</w:t>
            </w:r>
          </w:p>
        </w:tc>
        <w:tc>
          <w:tcPr>
            <w:tcW w:w="903" w:type="dxa"/>
          </w:tcPr>
          <w:p w14:paraId="3733E5D0" w14:textId="77777777" w:rsidR="005C746B" w:rsidRPr="00FD5E24"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FD5E24">
              <w:t>0</w:t>
            </w:r>
          </w:p>
        </w:tc>
        <w:tc>
          <w:tcPr>
            <w:tcW w:w="903" w:type="dxa"/>
          </w:tcPr>
          <w:p w14:paraId="5D042AC9" w14:textId="77777777" w:rsidR="005C746B" w:rsidRPr="00FD5E24"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FD5E24">
              <w:t>3</w:t>
            </w:r>
          </w:p>
        </w:tc>
        <w:tc>
          <w:tcPr>
            <w:tcW w:w="903" w:type="dxa"/>
          </w:tcPr>
          <w:p w14:paraId="03EA5324" w14:textId="77777777" w:rsidR="005C746B" w:rsidRPr="00FD5E24"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FD5E24">
              <w:t>3</w:t>
            </w:r>
          </w:p>
        </w:tc>
        <w:tc>
          <w:tcPr>
            <w:tcW w:w="903" w:type="dxa"/>
          </w:tcPr>
          <w:p w14:paraId="4F8431B1" w14:textId="77777777" w:rsidR="005C746B" w:rsidRPr="00FD5E24"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FD5E24">
              <w:t>3</w:t>
            </w:r>
          </w:p>
        </w:tc>
        <w:tc>
          <w:tcPr>
            <w:tcW w:w="901" w:type="dxa"/>
          </w:tcPr>
          <w:p w14:paraId="1D73342F" w14:textId="77777777" w:rsidR="005C746B" w:rsidRPr="005F53C1"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5F53C1">
              <w:t>2</w:t>
            </w:r>
          </w:p>
        </w:tc>
        <w:tc>
          <w:tcPr>
            <w:tcW w:w="902" w:type="dxa"/>
          </w:tcPr>
          <w:p w14:paraId="67A5C397" w14:textId="77777777" w:rsidR="005C746B" w:rsidRPr="005F53C1"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5F53C1">
              <w:t>2</w:t>
            </w:r>
          </w:p>
        </w:tc>
        <w:tc>
          <w:tcPr>
            <w:tcW w:w="902" w:type="dxa"/>
          </w:tcPr>
          <w:p w14:paraId="5D4D73DC" w14:textId="77777777" w:rsidR="005C746B" w:rsidRPr="005F53C1"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5F53C1">
              <w:t>2</w:t>
            </w:r>
          </w:p>
        </w:tc>
        <w:tc>
          <w:tcPr>
            <w:tcW w:w="906" w:type="dxa"/>
          </w:tcPr>
          <w:p w14:paraId="7F62B05C" w14:textId="77777777" w:rsidR="005C746B" w:rsidRPr="005F53C1"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5F53C1">
              <w:t>1</w:t>
            </w:r>
          </w:p>
        </w:tc>
      </w:tr>
      <w:tr w:rsidR="00677ED1" w:rsidRPr="004A4B51" w14:paraId="59A89046" w14:textId="77777777" w:rsidTr="0009466A">
        <w:trPr>
          <w:trHeight w:val="379"/>
        </w:trPr>
        <w:tc>
          <w:tcPr>
            <w:cnfStyle w:val="001000000000" w:firstRow="0" w:lastRow="0" w:firstColumn="1" w:lastColumn="0" w:oddVBand="0" w:evenVBand="0" w:oddHBand="0" w:evenHBand="0" w:firstRowFirstColumn="0" w:firstRowLastColumn="0" w:lastRowFirstColumn="0" w:lastRowLastColumn="0"/>
            <w:tcW w:w="1609" w:type="dxa"/>
          </w:tcPr>
          <w:p w14:paraId="1E27C09E" w14:textId="77777777" w:rsidR="005C746B" w:rsidRPr="005F53C1" w:rsidRDefault="005C746B" w:rsidP="0009466A">
            <w:pPr>
              <w:pStyle w:val="Tabletextbold"/>
              <w:rPr>
                <w:b/>
              </w:rPr>
            </w:pPr>
            <w:r w:rsidRPr="005F53C1">
              <w:rPr>
                <w:b/>
              </w:rPr>
              <w:t>Total</w:t>
            </w:r>
          </w:p>
        </w:tc>
        <w:tc>
          <w:tcPr>
            <w:tcW w:w="905" w:type="dxa"/>
          </w:tcPr>
          <w:p w14:paraId="76151F26" w14:textId="77777777" w:rsidR="005C746B" w:rsidRPr="0098481A" w:rsidRDefault="005C746B" w:rsidP="0009466A">
            <w:pPr>
              <w:pStyle w:val="Tabletextbold"/>
              <w:cnfStyle w:val="000000000000" w:firstRow="0" w:lastRow="0" w:firstColumn="0" w:lastColumn="0" w:oddVBand="0" w:evenVBand="0" w:oddHBand="0" w:evenHBand="0" w:firstRowFirstColumn="0" w:firstRowLastColumn="0" w:lastRowFirstColumn="0" w:lastRowLastColumn="0"/>
              <w:rPr>
                <w:rFonts w:cstheme="minorHAnsi"/>
                <w:color w:val="000000"/>
                <w:szCs w:val="18"/>
                <w:highlight w:val="yellow"/>
              </w:rPr>
            </w:pPr>
            <w:r w:rsidRPr="00C56A15">
              <w:rPr>
                <w:rFonts w:cstheme="minorHAnsi"/>
                <w:color w:val="000000"/>
                <w:szCs w:val="18"/>
              </w:rPr>
              <w:t>0</w:t>
            </w:r>
          </w:p>
        </w:tc>
        <w:tc>
          <w:tcPr>
            <w:tcW w:w="906" w:type="dxa"/>
          </w:tcPr>
          <w:p w14:paraId="2358E606" w14:textId="77777777" w:rsidR="005C746B" w:rsidRPr="00FD5E24" w:rsidRDefault="005C746B" w:rsidP="0009466A">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highlight w:val="yellow"/>
              </w:rPr>
            </w:pPr>
            <w:r w:rsidRPr="00FD5E24">
              <w:rPr>
                <w:rFonts w:cstheme="minorHAnsi"/>
                <w:szCs w:val="18"/>
              </w:rPr>
              <w:t>0</w:t>
            </w:r>
          </w:p>
        </w:tc>
        <w:tc>
          <w:tcPr>
            <w:tcW w:w="903" w:type="dxa"/>
          </w:tcPr>
          <w:p w14:paraId="247D3957" w14:textId="77777777" w:rsidR="005C746B" w:rsidRPr="00FD5E24" w:rsidRDefault="005C746B" w:rsidP="0009466A">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highlight w:val="yellow"/>
              </w:rPr>
            </w:pPr>
            <w:r w:rsidRPr="00FD5E24">
              <w:rPr>
                <w:rFonts w:cstheme="minorHAnsi"/>
                <w:szCs w:val="18"/>
              </w:rPr>
              <w:t>0</w:t>
            </w:r>
          </w:p>
        </w:tc>
        <w:tc>
          <w:tcPr>
            <w:tcW w:w="903" w:type="dxa"/>
          </w:tcPr>
          <w:p w14:paraId="730D8B2E" w14:textId="77777777" w:rsidR="005C746B" w:rsidRPr="00FD5E24" w:rsidRDefault="005C746B" w:rsidP="0009466A">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highlight w:val="yellow"/>
              </w:rPr>
            </w:pPr>
            <w:r w:rsidRPr="00FD5E24">
              <w:rPr>
                <w:rFonts w:cstheme="minorHAnsi"/>
                <w:szCs w:val="18"/>
              </w:rPr>
              <w:t>35</w:t>
            </w:r>
          </w:p>
        </w:tc>
        <w:tc>
          <w:tcPr>
            <w:tcW w:w="903" w:type="dxa"/>
          </w:tcPr>
          <w:p w14:paraId="69A155F9" w14:textId="77777777" w:rsidR="005C746B" w:rsidRPr="00FD5E24" w:rsidRDefault="005C746B" w:rsidP="0009466A">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highlight w:val="yellow"/>
              </w:rPr>
            </w:pPr>
            <w:r w:rsidRPr="00FD5E24">
              <w:rPr>
                <w:rFonts w:cstheme="minorHAnsi"/>
                <w:szCs w:val="18"/>
              </w:rPr>
              <w:t>36</w:t>
            </w:r>
          </w:p>
        </w:tc>
        <w:tc>
          <w:tcPr>
            <w:tcW w:w="903" w:type="dxa"/>
          </w:tcPr>
          <w:p w14:paraId="6D6C31CF" w14:textId="77777777" w:rsidR="005C746B" w:rsidRPr="00FD5E24" w:rsidRDefault="005C746B" w:rsidP="0009466A">
            <w:pPr>
              <w:pStyle w:val="Tabletextbold"/>
              <w:cnfStyle w:val="000000000000" w:firstRow="0" w:lastRow="0" w:firstColumn="0" w:lastColumn="0" w:oddVBand="0" w:evenVBand="0" w:oddHBand="0" w:evenHBand="0" w:firstRowFirstColumn="0" w:firstRowLastColumn="0" w:lastRowFirstColumn="0" w:lastRowLastColumn="0"/>
              <w:rPr>
                <w:rFonts w:cstheme="minorHAnsi"/>
                <w:szCs w:val="18"/>
                <w:highlight w:val="yellow"/>
              </w:rPr>
            </w:pPr>
            <w:r w:rsidRPr="00FD5E24">
              <w:rPr>
                <w:rFonts w:cstheme="minorHAnsi"/>
                <w:szCs w:val="18"/>
              </w:rPr>
              <w:t>37</w:t>
            </w:r>
          </w:p>
        </w:tc>
        <w:tc>
          <w:tcPr>
            <w:tcW w:w="901" w:type="dxa"/>
          </w:tcPr>
          <w:p w14:paraId="6ABFB1CE" w14:textId="77777777" w:rsidR="005C746B" w:rsidRPr="0098481A" w:rsidRDefault="005C746B" w:rsidP="0009466A">
            <w:pPr>
              <w:pStyle w:val="Tabletextbold"/>
              <w:cnfStyle w:val="000000000000" w:firstRow="0" w:lastRow="0" w:firstColumn="0" w:lastColumn="0" w:oddVBand="0" w:evenVBand="0" w:oddHBand="0" w:evenHBand="0" w:firstRowFirstColumn="0" w:firstRowLastColumn="0" w:lastRowFirstColumn="0" w:lastRowLastColumn="0"/>
              <w:rPr>
                <w:rFonts w:cstheme="minorHAnsi"/>
                <w:color w:val="000000"/>
                <w:szCs w:val="18"/>
                <w:highlight w:val="yellow"/>
              </w:rPr>
            </w:pPr>
            <w:r w:rsidRPr="00C56A15">
              <w:rPr>
                <w:rFonts w:cstheme="minorHAnsi"/>
                <w:color w:val="000000"/>
                <w:szCs w:val="18"/>
              </w:rPr>
              <w:t>25</w:t>
            </w:r>
          </w:p>
        </w:tc>
        <w:tc>
          <w:tcPr>
            <w:tcW w:w="902" w:type="dxa"/>
          </w:tcPr>
          <w:p w14:paraId="57152358" w14:textId="77777777" w:rsidR="005C746B" w:rsidRPr="0098481A" w:rsidRDefault="005C746B" w:rsidP="0009466A">
            <w:pPr>
              <w:pStyle w:val="Tabletextbold"/>
              <w:cnfStyle w:val="000000000000" w:firstRow="0" w:lastRow="0" w:firstColumn="0" w:lastColumn="0" w:oddVBand="0" w:evenVBand="0" w:oddHBand="0" w:evenHBand="0" w:firstRowFirstColumn="0" w:firstRowLastColumn="0" w:lastRowFirstColumn="0" w:lastRowLastColumn="0"/>
              <w:rPr>
                <w:rFonts w:cstheme="minorHAnsi"/>
                <w:color w:val="000000"/>
                <w:szCs w:val="18"/>
                <w:highlight w:val="yellow"/>
              </w:rPr>
            </w:pPr>
            <w:r w:rsidRPr="00C56A15">
              <w:rPr>
                <w:rFonts w:cstheme="minorHAnsi"/>
                <w:color w:val="000000"/>
                <w:szCs w:val="18"/>
              </w:rPr>
              <w:t>25</w:t>
            </w:r>
          </w:p>
        </w:tc>
        <w:tc>
          <w:tcPr>
            <w:tcW w:w="902" w:type="dxa"/>
          </w:tcPr>
          <w:p w14:paraId="60F9DC4E" w14:textId="77777777" w:rsidR="005C746B" w:rsidRPr="0098481A" w:rsidRDefault="005C746B" w:rsidP="0009466A">
            <w:pPr>
              <w:pStyle w:val="Tabletextbold"/>
              <w:cnfStyle w:val="000000000000" w:firstRow="0" w:lastRow="0" w:firstColumn="0" w:lastColumn="0" w:oddVBand="0" w:evenVBand="0" w:oddHBand="0" w:evenHBand="0" w:firstRowFirstColumn="0" w:firstRowLastColumn="0" w:lastRowFirstColumn="0" w:lastRowLastColumn="0"/>
              <w:rPr>
                <w:rFonts w:cstheme="minorHAnsi"/>
                <w:color w:val="000000"/>
                <w:szCs w:val="18"/>
                <w:highlight w:val="yellow"/>
              </w:rPr>
            </w:pPr>
            <w:r w:rsidRPr="00C56A15">
              <w:rPr>
                <w:rFonts w:cstheme="minorHAnsi"/>
                <w:color w:val="000000"/>
                <w:szCs w:val="18"/>
              </w:rPr>
              <w:t>26</w:t>
            </w:r>
          </w:p>
        </w:tc>
        <w:tc>
          <w:tcPr>
            <w:tcW w:w="906" w:type="dxa"/>
          </w:tcPr>
          <w:p w14:paraId="6C858768" w14:textId="77777777" w:rsidR="005C746B" w:rsidRPr="0098481A" w:rsidRDefault="005C746B" w:rsidP="0009466A">
            <w:pPr>
              <w:pStyle w:val="Tabletextbold"/>
              <w:cnfStyle w:val="000000000000" w:firstRow="0" w:lastRow="0" w:firstColumn="0" w:lastColumn="0" w:oddVBand="0" w:evenVBand="0" w:oddHBand="0" w:evenHBand="0" w:firstRowFirstColumn="0" w:firstRowLastColumn="0" w:lastRowFirstColumn="0" w:lastRowLastColumn="0"/>
              <w:rPr>
                <w:rFonts w:cstheme="minorHAnsi"/>
                <w:color w:val="000000"/>
                <w:szCs w:val="18"/>
                <w:highlight w:val="yellow"/>
              </w:rPr>
            </w:pPr>
            <w:r w:rsidRPr="00C56A15">
              <w:rPr>
                <w:rFonts w:cstheme="minorHAnsi"/>
                <w:color w:val="000000"/>
                <w:szCs w:val="18"/>
              </w:rPr>
              <w:t>17</w:t>
            </w:r>
          </w:p>
        </w:tc>
      </w:tr>
    </w:tbl>
    <w:p w14:paraId="3E993A3C" w14:textId="6C91A546" w:rsidR="0009466A" w:rsidRPr="0009466A" w:rsidRDefault="0009466A" w:rsidP="0009466A">
      <w:pPr>
        <w:pStyle w:val="Caption-Source"/>
      </w:pPr>
      <w:r w:rsidRPr="0009466A">
        <w:t xml:space="preserve">Source: </w:t>
      </w:r>
      <w:r w:rsidR="0044544E" w:rsidRPr="0044544E">
        <w:t>Independent reviewer</w:t>
      </w:r>
      <w:r w:rsidRPr="0009466A">
        <w:t xml:space="preserve"> (2025)</w:t>
      </w:r>
    </w:p>
    <w:p w14:paraId="1CAFF13B" w14:textId="556CA3E1" w:rsidR="0009466A" w:rsidRDefault="0009466A" w:rsidP="0009466A">
      <w:pPr>
        <w:pStyle w:val="Caption"/>
      </w:pPr>
      <w:bookmarkStart w:id="186" w:name="_Toc207348606"/>
      <w:r>
        <w:t xml:space="preserve">Table </w:t>
      </w:r>
      <w:r w:rsidR="00507790">
        <w:fldChar w:fldCharType="begin"/>
      </w:r>
      <w:r w:rsidR="00507790">
        <w:instrText xml:space="preserve"> SEQ Table \* ARABIC </w:instrText>
      </w:r>
      <w:r w:rsidR="00507790">
        <w:fldChar w:fldCharType="separate"/>
      </w:r>
      <w:r w:rsidR="00507790">
        <w:rPr>
          <w:noProof/>
        </w:rPr>
        <w:t>41</w:t>
      </w:r>
      <w:r w:rsidR="00507790">
        <w:rPr>
          <w:noProof/>
        </w:rPr>
        <w:fldChar w:fldCharType="end"/>
      </w:r>
      <w:r>
        <w:t>: Option 3 total cost per year</w:t>
      </w:r>
      <w:bookmarkEnd w:id="186"/>
    </w:p>
    <w:tbl>
      <w:tblPr>
        <w:tblStyle w:val="KPMGTable"/>
        <w:tblW w:w="10643" w:type="dxa"/>
        <w:tblLayout w:type="fixed"/>
        <w:tblLook w:val="04A0" w:firstRow="1" w:lastRow="0" w:firstColumn="1" w:lastColumn="0" w:noHBand="0" w:noVBand="1"/>
      </w:tblPr>
      <w:tblGrid>
        <w:gridCol w:w="1609"/>
        <w:gridCol w:w="905"/>
        <w:gridCol w:w="906"/>
        <w:gridCol w:w="903"/>
        <w:gridCol w:w="903"/>
        <w:gridCol w:w="903"/>
        <w:gridCol w:w="903"/>
        <w:gridCol w:w="901"/>
        <w:gridCol w:w="902"/>
        <w:gridCol w:w="902"/>
        <w:gridCol w:w="906"/>
      </w:tblGrid>
      <w:tr w:rsidR="00AD6F37" w:rsidRPr="004A4B51" w14:paraId="135D2C0B" w14:textId="77777777" w:rsidTr="00A152B9">
        <w:trPr>
          <w:cnfStyle w:val="100000000000" w:firstRow="1" w:lastRow="0" w:firstColumn="0" w:lastColumn="0" w:oddVBand="0" w:evenVBand="0" w:oddHBand="0" w:evenHBand="0" w:firstRowFirstColumn="0" w:firstRowLastColumn="0" w:lastRowFirstColumn="0" w:lastRowLastColumn="0"/>
          <w:trHeight w:val="687"/>
          <w:tblHeader/>
        </w:trPr>
        <w:tc>
          <w:tcPr>
            <w:cnfStyle w:val="001000000000" w:firstRow="0" w:lastRow="0" w:firstColumn="1" w:lastColumn="0" w:oddVBand="0" w:evenVBand="0" w:oddHBand="0" w:evenHBand="0" w:firstRowFirstColumn="0" w:firstRowLastColumn="0" w:lastRowFirstColumn="0" w:lastRowLastColumn="0"/>
            <w:tcW w:w="1609" w:type="dxa"/>
          </w:tcPr>
          <w:p w14:paraId="44720FE3" w14:textId="528556C9" w:rsidR="0009466A" w:rsidRPr="004E57F5" w:rsidRDefault="0009466A" w:rsidP="0009466A">
            <w:pPr>
              <w:pStyle w:val="TableHeading"/>
              <w:rPr>
                <w:szCs w:val="18"/>
              </w:rPr>
            </w:pPr>
            <w:r>
              <w:t>Type of cancer</w:t>
            </w:r>
          </w:p>
        </w:tc>
        <w:tc>
          <w:tcPr>
            <w:tcW w:w="905" w:type="dxa"/>
          </w:tcPr>
          <w:p w14:paraId="66D86010" w14:textId="605F4CE3" w:rsidR="0009466A" w:rsidRPr="00E62B3D" w:rsidRDefault="0009466A" w:rsidP="0009466A">
            <w:pPr>
              <w:pStyle w:val="TableHeading"/>
              <w:cnfStyle w:val="100000000000" w:firstRow="1" w:lastRow="0" w:firstColumn="0" w:lastColumn="0" w:oddVBand="0" w:evenVBand="0" w:oddHBand="0" w:evenHBand="0" w:firstRowFirstColumn="0" w:firstRowLastColumn="0" w:lastRowFirstColumn="0" w:lastRowLastColumn="0"/>
              <w:rPr>
                <w:rFonts w:cs="Arial"/>
                <w:color w:val="000000"/>
                <w:szCs w:val="18"/>
              </w:rPr>
            </w:pPr>
            <w:r w:rsidRPr="0019780B">
              <w:t>FY26/27</w:t>
            </w:r>
          </w:p>
        </w:tc>
        <w:tc>
          <w:tcPr>
            <w:tcW w:w="906" w:type="dxa"/>
          </w:tcPr>
          <w:p w14:paraId="15EA3589" w14:textId="43158192" w:rsidR="0009466A" w:rsidRPr="00E62B3D" w:rsidRDefault="0009466A" w:rsidP="0009466A">
            <w:pPr>
              <w:pStyle w:val="TableHeading"/>
              <w:cnfStyle w:val="100000000000" w:firstRow="1" w:lastRow="0" w:firstColumn="0" w:lastColumn="0" w:oddVBand="0" w:evenVBand="0" w:oddHBand="0" w:evenHBand="0" w:firstRowFirstColumn="0" w:firstRowLastColumn="0" w:lastRowFirstColumn="0" w:lastRowLastColumn="0"/>
              <w:rPr>
                <w:rFonts w:cs="Arial"/>
                <w:color w:val="000000"/>
                <w:szCs w:val="18"/>
              </w:rPr>
            </w:pPr>
            <w:r w:rsidRPr="0019780B">
              <w:t>FY27/28</w:t>
            </w:r>
          </w:p>
        </w:tc>
        <w:tc>
          <w:tcPr>
            <w:tcW w:w="903" w:type="dxa"/>
          </w:tcPr>
          <w:p w14:paraId="55147593" w14:textId="2B18A777" w:rsidR="0009466A" w:rsidRPr="00E62B3D" w:rsidRDefault="0009466A" w:rsidP="0009466A">
            <w:pPr>
              <w:pStyle w:val="TableHeading"/>
              <w:cnfStyle w:val="100000000000" w:firstRow="1" w:lastRow="0" w:firstColumn="0" w:lastColumn="0" w:oddVBand="0" w:evenVBand="0" w:oddHBand="0" w:evenHBand="0" w:firstRowFirstColumn="0" w:firstRowLastColumn="0" w:lastRowFirstColumn="0" w:lastRowLastColumn="0"/>
              <w:rPr>
                <w:rFonts w:cs="Arial"/>
                <w:color w:val="000000"/>
                <w:szCs w:val="18"/>
              </w:rPr>
            </w:pPr>
            <w:r w:rsidRPr="0019780B">
              <w:t>FY28/29</w:t>
            </w:r>
          </w:p>
        </w:tc>
        <w:tc>
          <w:tcPr>
            <w:tcW w:w="903" w:type="dxa"/>
          </w:tcPr>
          <w:p w14:paraId="0CEF7A12" w14:textId="6BDD4982" w:rsidR="0009466A" w:rsidRPr="00E62B3D" w:rsidRDefault="0009466A" w:rsidP="0009466A">
            <w:pPr>
              <w:pStyle w:val="TableHeading"/>
              <w:cnfStyle w:val="100000000000" w:firstRow="1" w:lastRow="0" w:firstColumn="0" w:lastColumn="0" w:oddVBand="0" w:evenVBand="0" w:oddHBand="0" w:evenHBand="0" w:firstRowFirstColumn="0" w:firstRowLastColumn="0" w:lastRowFirstColumn="0" w:lastRowLastColumn="0"/>
              <w:rPr>
                <w:rFonts w:cs="Arial"/>
                <w:color w:val="000000"/>
                <w:szCs w:val="18"/>
              </w:rPr>
            </w:pPr>
            <w:r w:rsidRPr="0019780B">
              <w:t>FY29/30</w:t>
            </w:r>
          </w:p>
        </w:tc>
        <w:tc>
          <w:tcPr>
            <w:tcW w:w="903" w:type="dxa"/>
          </w:tcPr>
          <w:p w14:paraId="5A2ACD12" w14:textId="2359F2CB" w:rsidR="0009466A" w:rsidRPr="00E62B3D" w:rsidRDefault="0009466A" w:rsidP="0009466A">
            <w:pPr>
              <w:pStyle w:val="TableHeading"/>
              <w:cnfStyle w:val="100000000000" w:firstRow="1" w:lastRow="0" w:firstColumn="0" w:lastColumn="0" w:oddVBand="0" w:evenVBand="0" w:oddHBand="0" w:evenHBand="0" w:firstRowFirstColumn="0" w:firstRowLastColumn="0" w:lastRowFirstColumn="0" w:lastRowLastColumn="0"/>
              <w:rPr>
                <w:rFonts w:cs="Arial"/>
                <w:color w:val="000000"/>
                <w:szCs w:val="18"/>
              </w:rPr>
            </w:pPr>
            <w:r w:rsidRPr="0019780B">
              <w:t>FY30/31</w:t>
            </w:r>
          </w:p>
        </w:tc>
        <w:tc>
          <w:tcPr>
            <w:tcW w:w="903" w:type="dxa"/>
          </w:tcPr>
          <w:p w14:paraId="3709FEC9" w14:textId="4CC4253F" w:rsidR="0009466A" w:rsidRPr="00E62B3D" w:rsidRDefault="0009466A" w:rsidP="0009466A">
            <w:pPr>
              <w:pStyle w:val="TableHeading"/>
              <w:cnfStyle w:val="100000000000" w:firstRow="1" w:lastRow="0" w:firstColumn="0" w:lastColumn="0" w:oddVBand="0" w:evenVBand="0" w:oddHBand="0" w:evenHBand="0" w:firstRowFirstColumn="0" w:firstRowLastColumn="0" w:lastRowFirstColumn="0" w:lastRowLastColumn="0"/>
              <w:rPr>
                <w:rFonts w:cs="Arial"/>
                <w:color w:val="000000"/>
                <w:szCs w:val="18"/>
              </w:rPr>
            </w:pPr>
            <w:r w:rsidRPr="0019780B">
              <w:t>FY31/32</w:t>
            </w:r>
          </w:p>
        </w:tc>
        <w:tc>
          <w:tcPr>
            <w:tcW w:w="901" w:type="dxa"/>
          </w:tcPr>
          <w:p w14:paraId="1580374B" w14:textId="1BD5B103" w:rsidR="0009466A" w:rsidRPr="00E62B3D" w:rsidRDefault="0009466A" w:rsidP="0009466A">
            <w:pPr>
              <w:pStyle w:val="TableHeading"/>
              <w:cnfStyle w:val="100000000000" w:firstRow="1" w:lastRow="0" w:firstColumn="0" w:lastColumn="0" w:oddVBand="0" w:evenVBand="0" w:oddHBand="0" w:evenHBand="0" w:firstRowFirstColumn="0" w:firstRowLastColumn="0" w:lastRowFirstColumn="0" w:lastRowLastColumn="0"/>
              <w:rPr>
                <w:rFonts w:cs="Arial"/>
                <w:color w:val="000000"/>
                <w:szCs w:val="18"/>
              </w:rPr>
            </w:pPr>
            <w:r w:rsidRPr="0019780B">
              <w:t>FY32/33</w:t>
            </w:r>
          </w:p>
        </w:tc>
        <w:tc>
          <w:tcPr>
            <w:tcW w:w="902" w:type="dxa"/>
          </w:tcPr>
          <w:p w14:paraId="72D5FCA7" w14:textId="6FF492BC" w:rsidR="0009466A" w:rsidRPr="00E62B3D" w:rsidRDefault="0009466A" w:rsidP="0009466A">
            <w:pPr>
              <w:pStyle w:val="TableHeading"/>
              <w:cnfStyle w:val="100000000000" w:firstRow="1" w:lastRow="0" w:firstColumn="0" w:lastColumn="0" w:oddVBand="0" w:evenVBand="0" w:oddHBand="0" w:evenHBand="0" w:firstRowFirstColumn="0" w:firstRowLastColumn="0" w:lastRowFirstColumn="0" w:lastRowLastColumn="0"/>
              <w:rPr>
                <w:rFonts w:cs="Arial"/>
                <w:color w:val="000000"/>
                <w:szCs w:val="18"/>
              </w:rPr>
            </w:pPr>
            <w:r w:rsidRPr="0019780B">
              <w:t>FY33/34</w:t>
            </w:r>
          </w:p>
        </w:tc>
        <w:tc>
          <w:tcPr>
            <w:tcW w:w="902" w:type="dxa"/>
          </w:tcPr>
          <w:p w14:paraId="164A8CA7" w14:textId="14AE1D8D" w:rsidR="0009466A" w:rsidRPr="00E62B3D" w:rsidRDefault="0009466A" w:rsidP="0009466A">
            <w:pPr>
              <w:pStyle w:val="TableHeading"/>
              <w:cnfStyle w:val="100000000000" w:firstRow="1" w:lastRow="0" w:firstColumn="0" w:lastColumn="0" w:oddVBand="0" w:evenVBand="0" w:oddHBand="0" w:evenHBand="0" w:firstRowFirstColumn="0" w:firstRowLastColumn="0" w:lastRowFirstColumn="0" w:lastRowLastColumn="0"/>
              <w:rPr>
                <w:rFonts w:cs="Arial"/>
                <w:color w:val="000000"/>
                <w:szCs w:val="18"/>
              </w:rPr>
            </w:pPr>
            <w:r w:rsidRPr="0019780B">
              <w:t>FY34/35</w:t>
            </w:r>
          </w:p>
        </w:tc>
        <w:tc>
          <w:tcPr>
            <w:tcW w:w="906" w:type="dxa"/>
          </w:tcPr>
          <w:p w14:paraId="4502B16B" w14:textId="76B06962" w:rsidR="0009466A" w:rsidRPr="00E62B3D" w:rsidRDefault="0009466A" w:rsidP="0009466A">
            <w:pPr>
              <w:pStyle w:val="TableHeading"/>
              <w:cnfStyle w:val="100000000000" w:firstRow="1" w:lastRow="0" w:firstColumn="0" w:lastColumn="0" w:oddVBand="0" w:evenVBand="0" w:oddHBand="0" w:evenHBand="0" w:firstRowFirstColumn="0" w:firstRowLastColumn="0" w:lastRowFirstColumn="0" w:lastRowLastColumn="0"/>
              <w:rPr>
                <w:rFonts w:cs="Arial"/>
                <w:color w:val="000000"/>
                <w:szCs w:val="18"/>
              </w:rPr>
            </w:pPr>
            <w:r w:rsidRPr="0019780B">
              <w:t>FY35/36</w:t>
            </w:r>
          </w:p>
        </w:tc>
      </w:tr>
      <w:tr w:rsidR="00677ED1" w:rsidRPr="004A4B51" w14:paraId="29A06AB2" w14:textId="77777777" w:rsidTr="0009466A">
        <w:trPr>
          <w:trHeight w:val="687"/>
        </w:trPr>
        <w:tc>
          <w:tcPr>
            <w:cnfStyle w:val="001000000000" w:firstRow="0" w:lastRow="0" w:firstColumn="1" w:lastColumn="0" w:oddVBand="0" w:evenVBand="0" w:oddHBand="0" w:evenHBand="0" w:firstRowFirstColumn="0" w:firstRowLastColumn="0" w:lastRowFirstColumn="0" w:lastRowLastColumn="0"/>
            <w:tcW w:w="1609" w:type="dxa"/>
          </w:tcPr>
          <w:p w14:paraId="7477634D" w14:textId="77777777" w:rsidR="005C746B" w:rsidRPr="004E57F5" w:rsidRDefault="005C746B" w:rsidP="0009466A">
            <w:pPr>
              <w:pStyle w:val="Tabletextbold"/>
            </w:pPr>
            <w:r w:rsidRPr="004E57F5">
              <w:t xml:space="preserve">Total new prostheses </w:t>
            </w:r>
            <w:r>
              <w:br/>
            </w:r>
            <w:r w:rsidRPr="004E57F5">
              <w:t>($, millions)</w:t>
            </w:r>
          </w:p>
        </w:tc>
        <w:tc>
          <w:tcPr>
            <w:tcW w:w="905" w:type="dxa"/>
          </w:tcPr>
          <w:p w14:paraId="23298526" w14:textId="77777777" w:rsidR="005C746B" w:rsidRPr="00E62B3D" w:rsidRDefault="005C746B" w:rsidP="0009466A">
            <w:pPr>
              <w:pStyle w:val="TableText"/>
              <w:cnfStyle w:val="000000000000" w:firstRow="0" w:lastRow="0" w:firstColumn="0" w:lastColumn="0" w:oddVBand="0" w:evenVBand="0" w:oddHBand="0" w:evenHBand="0" w:firstRowFirstColumn="0" w:firstRowLastColumn="0" w:lastRowFirstColumn="0" w:lastRowLastColumn="0"/>
              <w:rPr>
                <w:b/>
              </w:rPr>
            </w:pPr>
            <w:r w:rsidRPr="00E62B3D">
              <w:t>$5.01</w:t>
            </w:r>
          </w:p>
        </w:tc>
        <w:tc>
          <w:tcPr>
            <w:tcW w:w="906" w:type="dxa"/>
          </w:tcPr>
          <w:p w14:paraId="0AE5C62B" w14:textId="77777777" w:rsidR="005C746B" w:rsidRPr="00E62B3D" w:rsidRDefault="005C746B" w:rsidP="0009466A">
            <w:pPr>
              <w:pStyle w:val="TableText"/>
              <w:cnfStyle w:val="000000000000" w:firstRow="0" w:lastRow="0" w:firstColumn="0" w:lastColumn="0" w:oddVBand="0" w:evenVBand="0" w:oddHBand="0" w:evenHBand="0" w:firstRowFirstColumn="0" w:firstRowLastColumn="0" w:lastRowFirstColumn="0" w:lastRowLastColumn="0"/>
              <w:rPr>
                <w:b/>
              </w:rPr>
            </w:pPr>
            <w:r w:rsidRPr="00E62B3D">
              <w:t>$5.47</w:t>
            </w:r>
          </w:p>
        </w:tc>
        <w:tc>
          <w:tcPr>
            <w:tcW w:w="903" w:type="dxa"/>
          </w:tcPr>
          <w:p w14:paraId="2BF01E6A" w14:textId="77777777" w:rsidR="005C746B" w:rsidRPr="00E62B3D" w:rsidRDefault="005C746B" w:rsidP="0009466A">
            <w:pPr>
              <w:pStyle w:val="TableText"/>
              <w:cnfStyle w:val="000000000000" w:firstRow="0" w:lastRow="0" w:firstColumn="0" w:lastColumn="0" w:oddVBand="0" w:evenVBand="0" w:oddHBand="0" w:evenHBand="0" w:firstRowFirstColumn="0" w:firstRowLastColumn="0" w:lastRowFirstColumn="0" w:lastRowLastColumn="0"/>
              <w:rPr>
                <w:b/>
              </w:rPr>
            </w:pPr>
            <w:r w:rsidRPr="00E62B3D">
              <w:t>$5.79</w:t>
            </w:r>
          </w:p>
        </w:tc>
        <w:tc>
          <w:tcPr>
            <w:tcW w:w="903" w:type="dxa"/>
          </w:tcPr>
          <w:p w14:paraId="35CB843A" w14:textId="77777777" w:rsidR="005C746B" w:rsidRPr="00E62B3D" w:rsidRDefault="005C746B" w:rsidP="0009466A">
            <w:pPr>
              <w:pStyle w:val="TableText"/>
              <w:cnfStyle w:val="000000000000" w:firstRow="0" w:lastRow="0" w:firstColumn="0" w:lastColumn="0" w:oddVBand="0" w:evenVBand="0" w:oddHBand="0" w:evenHBand="0" w:firstRowFirstColumn="0" w:firstRowLastColumn="0" w:lastRowFirstColumn="0" w:lastRowLastColumn="0"/>
              <w:rPr>
                <w:b/>
              </w:rPr>
            </w:pPr>
            <w:r w:rsidRPr="00E62B3D">
              <w:t>$6.11</w:t>
            </w:r>
          </w:p>
        </w:tc>
        <w:tc>
          <w:tcPr>
            <w:tcW w:w="903" w:type="dxa"/>
          </w:tcPr>
          <w:p w14:paraId="5B9C75FE" w14:textId="77777777" w:rsidR="005C746B" w:rsidRPr="00E62B3D" w:rsidRDefault="005C746B" w:rsidP="0009466A">
            <w:pPr>
              <w:pStyle w:val="TableText"/>
              <w:cnfStyle w:val="000000000000" w:firstRow="0" w:lastRow="0" w:firstColumn="0" w:lastColumn="0" w:oddVBand="0" w:evenVBand="0" w:oddHBand="0" w:evenHBand="0" w:firstRowFirstColumn="0" w:firstRowLastColumn="0" w:lastRowFirstColumn="0" w:lastRowLastColumn="0"/>
              <w:rPr>
                <w:b/>
              </w:rPr>
            </w:pPr>
            <w:r w:rsidRPr="00E62B3D">
              <w:t>$6.43</w:t>
            </w:r>
          </w:p>
        </w:tc>
        <w:tc>
          <w:tcPr>
            <w:tcW w:w="903" w:type="dxa"/>
          </w:tcPr>
          <w:p w14:paraId="1C6771B5" w14:textId="77777777" w:rsidR="005C746B" w:rsidRPr="00E62B3D" w:rsidRDefault="005C746B" w:rsidP="0009466A">
            <w:pPr>
              <w:pStyle w:val="TableText"/>
              <w:cnfStyle w:val="000000000000" w:firstRow="0" w:lastRow="0" w:firstColumn="0" w:lastColumn="0" w:oddVBand="0" w:evenVBand="0" w:oddHBand="0" w:evenHBand="0" w:firstRowFirstColumn="0" w:firstRowLastColumn="0" w:lastRowFirstColumn="0" w:lastRowLastColumn="0"/>
              <w:rPr>
                <w:b/>
              </w:rPr>
            </w:pPr>
            <w:r w:rsidRPr="00E62B3D">
              <w:t>$6.77</w:t>
            </w:r>
          </w:p>
        </w:tc>
        <w:tc>
          <w:tcPr>
            <w:tcW w:w="901" w:type="dxa"/>
          </w:tcPr>
          <w:p w14:paraId="4781FDD4" w14:textId="77777777" w:rsidR="005C746B" w:rsidRPr="00E62B3D" w:rsidRDefault="005C746B" w:rsidP="0009466A">
            <w:pPr>
              <w:pStyle w:val="TableText"/>
              <w:cnfStyle w:val="000000000000" w:firstRow="0" w:lastRow="0" w:firstColumn="0" w:lastColumn="0" w:oddVBand="0" w:evenVBand="0" w:oddHBand="0" w:evenHBand="0" w:firstRowFirstColumn="0" w:firstRowLastColumn="0" w:lastRowFirstColumn="0" w:lastRowLastColumn="0"/>
              <w:rPr>
                <w:b/>
              </w:rPr>
            </w:pPr>
            <w:r w:rsidRPr="00E62B3D">
              <w:t>$7.11</w:t>
            </w:r>
          </w:p>
        </w:tc>
        <w:tc>
          <w:tcPr>
            <w:tcW w:w="902" w:type="dxa"/>
          </w:tcPr>
          <w:p w14:paraId="60F37605" w14:textId="77777777" w:rsidR="005C746B" w:rsidRPr="00E62B3D" w:rsidRDefault="005C746B" w:rsidP="0009466A">
            <w:pPr>
              <w:pStyle w:val="TableText"/>
              <w:cnfStyle w:val="000000000000" w:firstRow="0" w:lastRow="0" w:firstColumn="0" w:lastColumn="0" w:oddVBand="0" w:evenVBand="0" w:oddHBand="0" w:evenHBand="0" w:firstRowFirstColumn="0" w:firstRowLastColumn="0" w:lastRowFirstColumn="0" w:lastRowLastColumn="0"/>
              <w:rPr>
                <w:b/>
              </w:rPr>
            </w:pPr>
            <w:r w:rsidRPr="00E62B3D">
              <w:t>$7.48</w:t>
            </w:r>
          </w:p>
        </w:tc>
        <w:tc>
          <w:tcPr>
            <w:tcW w:w="902" w:type="dxa"/>
          </w:tcPr>
          <w:p w14:paraId="77038D02" w14:textId="77777777" w:rsidR="005C746B" w:rsidRPr="00E62B3D" w:rsidRDefault="005C746B" w:rsidP="0009466A">
            <w:pPr>
              <w:pStyle w:val="TableText"/>
              <w:cnfStyle w:val="000000000000" w:firstRow="0" w:lastRow="0" w:firstColumn="0" w:lastColumn="0" w:oddVBand="0" w:evenVBand="0" w:oddHBand="0" w:evenHBand="0" w:firstRowFirstColumn="0" w:firstRowLastColumn="0" w:lastRowFirstColumn="0" w:lastRowLastColumn="0"/>
              <w:rPr>
                <w:b/>
              </w:rPr>
            </w:pPr>
            <w:r w:rsidRPr="00E62B3D">
              <w:t>$7.87</w:t>
            </w:r>
          </w:p>
        </w:tc>
        <w:tc>
          <w:tcPr>
            <w:tcW w:w="906" w:type="dxa"/>
          </w:tcPr>
          <w:p w14:paraId="5E4574D8" w14:textId="77777777" w:rsidR="005C746B" w:rsidRPr="00E62B3D" w:rsidRDefault="005C746B" w:rsidP="0009466A">
            <w:pPr>
              <w:pStyle w:val="TableText"/>
              <w:cnfStyle w:val="000000000000" w:firstRow="0" w:lastRow="0" w:firstColumn="0" w:lastColumn="0" w:oddVBand="0" w:evenVBand="0" w:oddHBand="0" w:evenHBand="0" w:firstRowFirstColumn="0" w:firstRowLastColumn="0" w:lastRowFirstColumn="0" w:lastRowLastColumn="0"/>
              <w:rPr>
                <w:b/>
              </w:rPr>
            </w:pPr>
            <w:r w:rsidRPr="00E62B3D">
              <w:t>$8.28</w:t>
            </w:r>
          </w:p>
        </w:tc>
      </w:tr>
      <w:tr w:rsidR="00677ED1" w:rsidRPr="004A4B51" w14:paraId="039E5D1D" w14:textId="77777777" w:rsidTr="0009466A">
        <w:trPr>
          <w:trHeight w:val="746"/>
        </w:trPr>
        <w:tc>
          <w:tcPr>
            <w:cnfStyle w:val="001000000000" w:firstRow="0" w:lastRow="0" w:firstColumn="1" w:lastColumn="0" w:oddVBand="0" w:evenVBand="0" w:oddHBand="0" w:evenHBand="0" w:firstRowFirstColumn="0" w:firstRowLastColumn="0" w:lastRowFirstColumn="0" w:lastRowLastColumn="0"/>
            <w:tcW w:w="1609" w:type="dxa"/>
          </w:tcPr>
          <w:p w14:paraId="0A29FB8B" w14:textId="77777777" w:rsidR="005C746B" w:rsidRPr="004E57F5" w:rsidRDefault="005C746B" w:rsidP="0009466A">
            <w:pPr>
              <w:pStyle w:val="Tabletextbold"/>
            </w:pPr>
            <w:r w:rsidRPr="004E57F5">
              <w:t>Replacement</w:t>
            </w:r>
            <w:r>
              <w:t>s/</w:t>
            </w:r>
            <w:r>
              <w:br/>
            </w:r>
            <w:r w:rsidRPr="004E57F5">
              <w:t>maintenance ($, millions)</w:t>
            </w:r>
          </w:p>
        </w:tc>
        <w:tc>
          <w:tcPr>
            <w:tcW w:w="905" w:type="dxa"/>
          </w:tcPr>
          <w:p w14:paraId="07A3C4EA" w14:textId="77777777" w:rsidR="005C746B" w:rsidRPr="002D4A5C"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2D4A5C">
              <w:t>$0.00</w:t>
            </w:r>
          </w:p>
        </w:tc>
        <w:tc>
          <w:tcPr>
            <w:tcW w:w="906" w:type="dxa"/>
          </w:tcPr>
          <w:p w14:paraId="30C5E813" w14:textId="77777777" w:rsidR="005C746B" w:rsidRPr="002D4A5C"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2D4A5C">
              <w:t>$0.00</w:t>
            </w:r>
          </w:p>
        </w:tc>
        <w:tc>
          <w:tcPr>
            <w:tcW w:w="903" w:type="dxa"/>
          </w:tcPr>
          <w:p w14:paraId="3364FB0B" w14:textId="77777777" w:rsidR="005C746B" w:rsidRPr="002D4A5C"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2D4A5C">
              <w:t>$0.00</w:t>
            </w:r>
          </w:p>
        </w:tc>
        <w:tc>
          <w:tcPr>
            <w:tcW w:w="903" w:type="dxa"/>
          </w:tcPr>
          <w:p w14:paraId="43FF9C2E" w14:textId="77777777" w:rsidR="005C746B" w:rsidRPr="002D4A5C"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2D4A5C">
              <w:t>$3.24</w:t>
            </w:r>
          </w:p>
        </w:tc>
        <w:tc>
          <w:tcPr>
            <w:tcW w:w="903" w:type="dxa"/>
          </w:tcPr>
          <w:p w14:paraId="4017599E" w14:textId="77777777" w:rsidR="005C746B" w:rsidRPr="002D4A5C"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2D4A5C">
              <w:t>$3.43</w:t>
            </w:r>
          </w:p>
        </w:tc>
        <w:tc>
          <w:tcPr>
            <w:tcW w:w="903" w:type="dxa"/>
          </w:tcPr>
          <w:p w14:paraId="5AD5D21F" w14:textId="77777777" w:rsidR="005C746B" w:rsidRPr="002D4A5C"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2D4A5C">
              <w:t>$3.63</w:t>
            </w:r>
          </w:p>
        </w:tc>
        <w:tc>
          <w:tcPr>
            <w:tcW w:w="901" w:type="dxa"/>
          </w:tcPr>
          <w:p w14:paraId="57EAD34A" w14:textId="77777777" w:rsidR="005C746B" w:rsidRPr="002D4A5C"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2D4A5C">
              <w:t>$2.47</w:t>
            </w:r>
          </w:p>
        </w:tc>
        <w:tc>
          <w:tcPr>
            <w:tcW w:w="902" w:type="dxa"/>
          </w:tcPr>
          <w:p w14:paraId="66B8AA87" w14:textId="77777777" w:rsidR="005C746B" w:rsidRPr="002D4A5C"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2D4A5C">
              <w:t>$2.62</w:t>
            </w:r>
          </w:p>
        </w:tc>
        <w:tc>
          <w:tcPr>
            <w:tcW w:w="902" w:type="dxa"/>
          </w:tcPr>
          <w:p w14:paraId="5572E56B" w14:textId="77777777" w:rsidR="005C746B" w:rsidRPr="002D4A5C"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2D4A5C">
              <w:t>$2.77</w:t>
            </w:r>
          </w:p>
        </w:tc>
        <w:tc>
          <w:tcPr>
            <w:tcW w:w="906" w:type="dxa"/>
          </w:tcPr>
          <w:p w14:paraId="33D814AF" w14:textId="77777777" w:rsidR="005C746B" w:rsidRPr="002D4A5C"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2D4A5C">
              <w:t>$1.89</w:t>
            </w:r>
          </w:p>
        </w:tc>
      </w:tr>
      <w:tr w:rsidR="00677ED1" w:rsidRPr="004A4B51" w14:paraId="441D6422" w14:textId="77777777" w:rsidTr="0009466A">
        <w:trPr>
          <w:trHeight w:val="746"/>
        </w:trPr>
        <w:tc>
          <w:tcPr>
            <w:cnfStyle w:val="001000000000" w:firstRow="0" w:lastRow="0" w:firstColumn="1" w:lastColumn="0" w:oddVBand="0" w:evenVBand="0" w:oddHBand="0" w:evenHBand="0" w:firstRowFirstColumn="0" w:firstRowLastColumn="0" w:lastRowFirstColumn="0" w:lastRowLastColumn="0"/>
            <w:tcW w:w="1609" w:type="dxa"/>
          </w:tcPr>
          <w:p w14:paraId="6D66C559" w14:textId="77777777" w:rsidR="005C746B" w:rsidRPr="004E57F5" w:rsidRDefault="005C746B" w:rsidP="0009466A">
            <w:pPr>
              <w:pStyle w:val="Tabletextbold"/>
            </w:pPr>
            <w:r w:rsidRPr="004E57F5">
              <w:t xml:space="preserve">Total limb costs </w:t>
            </w:r>
            <w:r>
              <w:br/>
            </w:r>
            <w:r w:rsidRPr="004E57F5">
              <w:t>($, millions)</w:t>
            </w:r>
          </w:p>
        </w:tc>
        <w:tc>
          <w:tcPr>
            <w:tcW w:w="905" w:type="dxa"/>
          </w:tcPr>
          <w:p w14:paraId="1AADE0CB" w14:textId="77777777" w:rsidR="005C746B" w:rsidRPr="002D4A5C"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2D4A5C">
              <w:t>$5.01</w:t>
            </w:r>
          </w:p>
        </w:tc>
        <w:tc>
          <w:tcPr>
            <w:tcW w:w="906" w:type="dxa"/>
          </w:tcPr>
          <w:p w14:paraId="1B959028" w14:textId="77777777" w:rsidR="005C746B" w:rsidRPr="002D4A5C"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2D4A5C">
              <w:t>$5.47</w:t>
            </w:r>
          </w:p>
        </w:tc>
        <w:tc>
          <w:tcPr>
            <w:tcW w:w="903" w:type="dxa"/>
          </w:tcPr>
          <w:p w14:paraId="53C82226" w14:textId="77777777" w:rsidR="005C746B" w:rsidRPr="002D4A5C"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2D4A5C">
              <w:t>$5.79</w:t>
            </w:r>
          </w:p>
        </w:tc>
        <w:tc>
          <w:tcPr>
            <w:tcW w:w="903" w:type="dxa"/>
          </w:tcPr>
          <w:p w14:paraId="3FD300EB" w14:textId="77777777" w:rsidR="005C746B" w:rsidRPr="002D4A5C"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2D4A5C">
              <w:t>$9.35</w:t>
            </w:r>
          </w:p>
        </w:tc>
        <w:tc>
          <w:tcPr>
            <w:tcW w:w="903" w:type="dxa"/>
          </w:tcPr>
          <w:p w14:paraId="1CD70D8B" w14:textId="77777777" w:rsidR="005C746B" w:rsidRPr="002D4A5C"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2D4A5C">
              <w:t>$9.87</w:t>
            </w:r>
          </w:p>
        </w:tc>
        <w:tc>
          <w:tcPr>
            <w:tcW w:w="903" w:type="dxa"/>
          </w:tcPr>
          <w:p w14:paraId="012F3CA1" w14:textId="77777777" w:rsidR="005C746B" w:rsidRPr="002D4A5C"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2D4A5C">
              <w:t>$10.40</w:t>
            </w:r>
          </w:p>
        </w:tc>
        <w:tc>
          <w:tcPr>
            <w:tcW w:w="901" w:type="dxa"/>
          </w:tcPr>
          <w:p w14:paraId="0C35A9A2" w14:textId="77777777" w:rsidR="005C746B" w:rsidRPr="002D4A5C"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2D4A5C">
              <w:t>$9.58</w:t>
            </w:r>
          </w:p>
        </w:tc>
        <w:tc>
          <w:tcPr>
            <w:tcW w:w="902" w:type="dxa"/>
          </w:tcPr>
          <w:p w14:paraId="01B967B9" w14:textId="77777777" w:rsidR="005C746B" w:rsidRPr="002D4A5C"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2D4A5C">
              <w:t>$10.10</w:t>
            </w:r>
          </w:p>
        </w:tc>
        <w:tc>
          <w:tcPr>
            <w:tcW w:w="902" w:type="dxa"/>
          </w:tcPr>
          <w:p w14:paraId="40CCE834" w14:textId="77777777" w:rsidR="005C746B" w:rsidRPr="002D4A5C"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2D4A5C">
              <w:t>$10.64</w:t>
            </w:r>
          </w:p>
        </w:tc>
        <w:tc>
          <w:tcPr>
            <w:tcW w:w="906" w:type="dxa"/>
          </w:tcPr>
          <w:p w14:paraId="0FF4F9BC" w14:textId="0599FB36" w:rsidR="005C746B" w:rsidRPr="002D4A5C" w:rsidRDefault="005C746B" w:rsidP="0009466A">
            <w:pPr>
              <w:pStyle w:val="TableText"/>
              <w:cnfStyle w:val="000000000000" w:firstRow="0" w:lastRow="0" w:firstColumn="0" w:lastColumn="0" w:oddVBand="0" w:evenVBand="0" w:oddHBand="0" w:evenHBand="0" w:firstRowFirstColumn="0" w:firstRowLastColumn="0" w:lastRowFirstColumn="0" w:lastRowLastColumn="0"/>
            </w:pPr>
            <w:r w:rsidRPr="002D4A5C">
              <w:t>$10.1</w:t>
            </w:r>
            <w:r w:rsidR="00EB6F5D">
              <w:t>6</w:t>
            </w:r>
          </w:p>
        </w:tc>
      </w:tr>
      <w:tr w:rsidR="00677ED1" w:rsidRPr="004A4B51" w14:paraId="45E5C521" w14:textId="77777777" w:rsidTr="0009466A">
        <w:trPr>
          <w:trHeight w:val="687"/>
        </w:trPr>
        <w:tc>
          <w:tcPr>
            <w:cnfStyle w:val="001000000000" w:firstRow="0" w:lastRow="0" w:firstColumn="1" w:lastColumn="0" w:oddVBand="0" w:evenVBand="0" w:oddHBand="0" w:evenHBand="0" w:firstRowFirstColumn="0" w:firstRowLastColumn="0" w:lastRowFirstColumn="0" w:lastRowLastColumn="0"/>
            <w:tcW w:w="1609" w:type="dxa"/>
          </w:tcPr>
          <w:p w14:paraId="36974717" w14:textId="77777777" w:rsidR="005C746B" w:rsidRPr="005F53C1" w:rsidRDefault="005C746B" w:rsidP="0009466A">
            <w:pPr>
              <w:pStyle w:val="Tabletextbold"/>
              <w:rPr>
                <w:b/>
              </w:rPr>
            </w:pPr>
            <w:r w:rsidRPr="005F53C1">
              <w:rPr>
                <w:b/>
              </w:rPr>
              <w:t>Total option cost ($, millions)</w:t>
            </w:r>
          </w:p>
        </w:tc>
        <w:tc>
          <w:tcPr>
            <w:tcW w:w="905" w:type="dxa"/>
          </w:tcPr>
          <w:p w14:paraId="648F15EB" w14:textId="06797924" w:rsidR="005C746B" w:rsidRPr="00EF4876" w:rsidRDefault="007E538E" w:rsidP="0009466A">
            <w:pPr>
              <w:pStyle w:val="Tabletextbol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EF4876">
              <w:rPr>
                <w:rFonts w:cs="Arial"/>
                <w:color w:val="000000"/>
                <w:szCs w:val="18"/>
              </w:rPr>
              <w:t>$12.08</w:t>
            </w:r>
          </w:p>
        </w:tc>
        <w:tc>
          <w:tcPr>
            <w:tcW w:w="906" w:type="dxa"/>
          </w:tcPr>
          <w:p w14:paraId="6048CD08" w14:textId="2D77F58D" w:rsidR="005C746B" w:rsidRPr="00EF4876" w:rsidRDefault="007E538E" w:rsidP="0009466A">
            <w:pPr>
              <w:pStyle w:val="Tabletextbol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EF4876">
              <w:rPr>
                <w:rFonts w:cs="Arial"/>
                <w:color w:val="000000"/>
                <w:szCs w:val="18"/>
              </w:rPr>
              <w:t>$13.04</w:t>
            </w:r>
          </w:p>
        </w:tc>
        <w:tc>
          <w:tcPr>
            <w:tcW w:w="903" w:type="dxa"/>
          </w:tcPr>
          <w:p w14:paraId="63EEA4FD" w14:textId="0AC8FC64" w:rsidR="005C746B" w:rsidRPr="00EF4876" w:rsidRDefault="007E538E" w:rsidP="0009466A">
            <w:pPr>
              <w:pStyle w:val="Tabletextbol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EF4876">
              <w:rPr>
                <w:rFonts w:cs="Arial"/>
                <w:color w:val="000000"/>
                <w:szCs w:val="18"/>
              </w:rPr>
              <w:t>$15.89</w:t>
            </w:r>
          </w:p>
        </w:tc>
        <w:tc>
          <w:tcPr>
            <w:tcW w:w="903" w:type="dxa"/>
          </w:tcPr>
          <w:p w14:paraId="553C6C21" w14:textId="6F898E6F" w:rsidR="005C746B" w:rsidRPr="00EF4876" w:rsidRDefault="007E538E" w:rsidP="0009466A">
            <w:pPr>
              <w:pStyle w:val="Tabletextbol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EF4876">
              <w:rPr>
                <w:rFonts w:cs="Arial"/>
                <w:color w:val="000000"/>
                <w:szCs w:val="18"/>
              </w:rPr>
              <w:t>$22.09</w:t>
            </w:r>
          </w:p>
        </w:tc>
        <w:tc>
          <w:tcPr>
            <w:tcW w:w="903" w:type="dxa"/>
          </w:tcPr>
          <w:p w14:paraId="0A0D0F40" w14:textId="6CADB176" w:rsidR="005C746B" w:rsidRPr="00EF4876" w:rsidRDefault="007E538E" w:rsidP="0009466A">
            <w:pPr>
              <w:pStyle w:val="Tabletextbol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EF4876">
              <w:rPr>
                <w:rFonts w:cs="Arial"/>
                <w:color w:val="000000"/>
                <w:szCs w:val="18"/>
              </w:rPr>
              <w:t>$23.25</w:t>
            </w:r>
          </w:p>
        </w:tc>
        <w:tc>
          <w:tcPr>
            <w:tcW w:w="903" w:type="dxa"/>
          </w:tcPr>
          <w:p w14:paraId="320EB4E3" w14:textId="207E8442" w:rsidR="005C746B" w:rsidRPr="00EF4876" w:rsidRDefault="007E538E" w:rsidP="0009466A">
            <w:pPr>
              <w:pStyle w:val="Tabletextbol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EF4876">
              <w:rPr>
                <w:rFonts w:cs="Arial"/>
                <w:color w:val="000000"/>
                <w:szCs w:val="18"/>
              </w:rPr>
              <w:t>$24.23</w:t>
            </w:r>
          </w:p>
        </w:tc>
        <w:tc>
          <w:tcPr>
            <w:tcW w:w="901" w:type="dxa"/>
          </w:tcPr>
          <w:p w14:paraId="793E2980" w14:textId="3732A886" w:rsidR="005C746B" w:rsidRPr="00EF4876" w:rsidRDefault="007E538E" w:rsidP="0009466A">
            <w:pPr>
              <w:pStyle w:val="Tabletextbol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EF4876">
              <w:rPr>
                <w:rFonts w:cs="Arial"/>
                <w:color w:val="000000"/>
                <w:szCs w:val="18"/>
              </w:rPr>
              <w:t>$23.46</w:t>
            </w:r>
          </w:p>
        </w:tc>
        <w:tc>
          <w:tcPr>
            <w:tcW w:w="902" w:type="dxa"/>
          </w:tcPr>
          <w:p w14:paraId="60CB06D0" w14:textId="6D6D072B" w:rsidR="005C746B" w:rsidRPr="00EF4876" w:rsidRDefault="007E538E" w:rsidP="0009466A">
            <w:pPr>
              <w:pStyle w:val="Tabletextbol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EF4876">
              <w:rPr>
                <w:rFonts w:cs="Arial"/>
                <w:color w:val="000000"/>
                <w:szCs w:val="18"/>
              </w:rPr>
              <w:t>$24.65</w:t>
            </w:r>
          </w:p>
        </w:tc>
        <w:tc>
          <w:tcPr>
            <w:tcW w:w="902" w:type="dxa"/>
          </w:tcPr>
          <w:p w14:paraId="67D14861" w14:textId="7391B5F3" w:rsidR="005C746B" w:rsidRPr="00EF4876" w:rsidRDefault="007E538E" w:rsidP="0009466A">
            <w:pPr>
              <w:pStyle w:val="Tabletextbol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EF4876">
              <w:rPr>
                <w:rFonts w:cs="Arial"/>
                <w:color w:val="000000"/>
                <w:szCs w:val="18"/>
              </w:rPr>
              <w:t>$25.67</w:t>
            </w:r>
          </w:p>
        </w:tc>
        <w:tc>
          <w:tcPr>
            <w:tcW w:w="906" w:type="dxa"/>
          </w:tcPr>
          <w:p w14:paraId="62D2A3E0" w14:textId="2A0B1FB6" w:rsidR="005C746B" w:rsidRPr="00EF4876" w:rsidRDefault="007E538E" w:rsidP="0009466A">
            <w:pPr>
              <w:pStyle w:val="Tabletextbol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EF4876">
              <w:rPr>
                <w:rFonts w:cs="Arial"/>
                <w:color w:val="000000"/>
                <w:szCs w:val="18"/>
              </w:rPr>
              <w:t>$25.40</w:t>
            </w:r>
          </w:p>
        </w:tc>
      </w:tr>
      <w:tr w:rsidR="00677ED1" w:rsidRPr="004A4B51" w14:paraId="69817D62" w14:textId="77777777" w:rsidTr="0009466A">
        <w:trPr>
          <w:trHeight w:val="746"/>
        </w:trPr>
        <w:tc>
          <w:tcPr>
            <w:cnfStyle w:val="001000000000" w:firstRow="0" w:lastRow="0" w:firstColumn="1" w:lastColumn="0" w:oddVBand="0" w:evenVBand="0" w:oddHBand="0" w:evenHBand="0" w:firstRowFirstColumn="0" w:firstRowLastColumn="0" w:lastRowFirstColumn="0" w:lastRowLastColumn="0"/>
            <w:tcW w:w="1609" w:type="dxa"/>
          </w:tcPr>
          <w:p w14:paraId="1AC86D64" w14:textId="77777777" w:rsidR="005C746B" w:rsidRPr="005F53C1" w:rsidRDefault="005C746B" w:rsidP="0009466A">
            <w:pPr>
              <w:pStyle w:val="Tabletextbold"/>
              <w:rPr>
                <w:b/>
              </w:rPr>
            </w:pPr>
            <w:r w:rsidRPr="003437E5">
              <w:rPr>
                <w:b/>
              </w:rPr>
              <w:t>Present value (FY24/25 $, millions)</w:t>
            </w:r>
          </w:p>
        </w:tc>
        <w:tc>
          <w:tcPr>
            <w:tcW w:w="905" w:type="dxa"/>
          </w:tcPr>
          <w:p w14:paraId="1619461C" w14:textId="4E7A9B5F" w:rsidR="005C746B" w:rsidRPr="00EF4876" w:rsidRDefault="007E538E" w:rsidP="0009466A">
            <w:pPr>
              <w:pStyle w:val="Tabletextbol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EF4876">
              <w:rPr>
                <w:rFonts w:cs="Arial"/>
                <w:color w:val="000000"/>
                <w:szCs w:val="18"/>
              </w:rPr>
              <w:t>$11.51</w:t>
            </w:r>
          </w:p>
        </w:tc>
        <w:tc>
          <w:tcPr>
            <w:tcW w:w="906" w:type="dxa"/>
          </w:tcPr>
          <w:p w14:paraId="62A35D29" w14:textId="7D33D5F4" w:rsidR="005C746B" w:rsidRPr="00EF4876" w:rsidRDefault="007E538E" w:rsidP="0009466A">
            <w:pPr>
              <w:pStyle w:val="Tabletextbol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EF4876">
              <w:rPr>
                <w:rFonts w:cs="Arial"/>
                <w:color w:val="000000"/>
                <w:szCs w:val="18"/>
              </w:rPr>
              <w:t>$11.82</w:t>
            </w:r>
          </w:p>
        </w:tc>
        <w:tc>
          <w:tcPr>
            <w:tcW w:w="903" w:type="dxa"/>
          </w:tcPr>
          <w:p w14:paraId="3039E88E" w14:textId="7AFE832F" w:rsidR="005C746B" w:rsidRPr="00EF4876" w:rsidRDefault="007E538E" w:rsidP="0009466A">
            <w:pPr>
              <w:pStyle w:val="Tabletextbol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EF4876">
              <w:rPr>
                <w:rFonts w:cs="Arial"/>
                <w:color w:val="000000"/>
                <w:szCs w:val="18"/>
              </w:rPr>
              <w:t>$13.72</w:t>
            </w:r>
          </w:p>
        </w:tc>
        <w:tc>
          <w:tcPr>
            <w:tcW w:w="903" w:type="dxa"/>
          </w:tcPr>
          <w:p w14:paraId="389B5053" w14:textId="1DCA2F5B" w:rsidR="005C746B" w:rsidRPr="00EF4876" w:rsidRDefault="007E538E" w:rsidP="0009466A">
            <w:pPr>
              <w:pStyle w:val="Tabletextbol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EF4876">
              <w:rPr>
                <w:rFonts w:cs="Arial"/>
                <w:color w:val="000000"/>
                <w:szCs w:val="18"/>
              </w:rPr>
              <w:t>$18.18</w:t>
            </w:r>
          </w:p>
        </w:tc>
        <w:tc>
          <w:tcPr>
            <w:tcW w:w="903" w:type="dxa"/>
          </w:tcPr>
          <w:p w14:paraId="39655798" w14:textId="752BB72A" w:rsidR="005C746B" w:rsidRPr="00EF4876" w:rsidRDefault="007E538E" w:rsidP="0009466A">
            <w:pPr>
              <w:pStyle w:val="Tabletextbol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EF4876">
              <w:rPr>
                <w:rFonts w:cs="Arial"/>
                <w:color w:val="000000"/>
                <w:szCs w:val="18"/>
              </w:rPr>
              <w:t>$18.21</w:t>
            </w:r>
          </w:p>
        </w:tc>
        <w:tc>
          <w:tcPr>
            <w:tcW w:w="903" w:type="dxa"/>
          </w:tcPr>
          <w:p w14:paraId="7FDE3B15" w14:textId="457F0B3F" w:rsidR="005C746B" w:rsidRPr="00EF4876" w:rsidRDefault="007E538E" w:rsidP="0009466A">
            <w:pPr>
              <w:pStyle w:val="Tabletextbol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EF4876">
              <w:rPr>
                <w:rFonts w:cs="Arial"/>
                <w:color w:val="000000"/>
                <w:szCs w:val="18"/>
              </w:rPr>
              <w:t>$18.08</w:t>
            </w:r>
          </w:p>
        </w:tc>
        <w:tc>
          <w:tcPr>
            <w:tcW w:w="901" w:type="dxa"/>
          </w:tcPr>
          <w:p w14:paraId="0B8D7ECE" w14:textId="50C90580" w:rsidR="005C746B" w:rsidRPr="00EF4876" w:rsidRDefault="007E538E" w:rsidP="0009466A">
            <w:pPr>
              <w:pStyle w:val="Tabletextbol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EF4876">
              <w:rPr>
                <w:rFonts w:cs="Arial"/>
                <w:color w:val="000000"/>
                <w:szCs w:val="18"/>
              </w:rPr>
              <w:t>$16.67</w:t>
            </w:r>
          </w:p>
        </w:tc>
        <w:tc>
          <w:tcPr>
            <w:tcW w:w="902" w:type="dxa"/>
          </w:tcPr>
          <w:p w14:paraId="4E466726" w14:textId="4C44044E" w:rsidR="005C746B" w:rsidRPr="00EF4876" w:rsidRDefault="007E538E" w:rsidP="0009466A">
            <w:pPr>
              <w:pStyle w:val="Tabletextbol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EF4876">
              <w:rPr>
                <w:rFonts w:cs="Arial"/>
                <w:color w:val="000000"/>
                <w:szCs w:val="18"/>
              </w:rPr>
              <w:t>$16.69</w:t>
            </w:r>
          </w:p>
        </w:tc>
        <w:tc>
          <w:tcPr>
            <w:tcW w:w="902" w:type="dxa"/>
          </w:tcPr>
          <w:p w14:paraId="7DEFED20" w14:textId="2E80F73E" w:rsidR="005C746B" w:rsidRPr="00EF4876" w:rsidRDefault="007E538E" w:rsidP="0009466A">
            <w:pPr>
              <w:pStyle w:val="Tabletextbol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EF4876">
              <w:rPr>
                <w:rFonts w:cs="Arial"/>
                <w:color w:val="000000"/>
                <w:szCs w:val="18"/>
              </w:rPr>
              <w:t>$16.55</w:t>
            </w:r>
          </w:p>
        </w:tc>
        <w:tc>
          <w:tcPr>
            <w:tcW w:w="906" w:type="dxa"/>
          </w:tcPr>
          <w:p w14:paraId="7868DA09" w14:textId="22852642" w:rsidR="005C746B" w:rsidRPr="00EF4876" w:rsidRDefault="007E538E" w:rsidP="0009466A">
            <w:pPr>
              <w:pStyle w:val="Tabletextbol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EF4876">
              <w:rPr>
                <w:rFonts w:cs="Arial"/>
                <w:color w:val="000000"/>
                <w:szCs w:val="18"/>
              </w:rPr>
              <w:t>$15.59</w:t>
            </w:r>
          </w:p>
        </w:tc>
      </w:tr>
    </w:tbl>
    <w:p w14:paraId="714272A5" w14:textId="2C0D6DF4" w:rsidR="00826807" w:rsidRPr="001240F8" w:rsidRDefault="00143B3B" w:rsidP="00E90C85">
      <w:pPr>
        <w:pStyle w:val="Caption-Source"/>
        <w:rPr>
          <w:i/>
          <w:color w:val="auto"/>
          <w:szCs w:val="20"/>
        </w:rPr>
      </w:pPr>
      <w:r w:rsidRPr="001240F8">
        <w:t>Sour</w:t>
      </w:r>
      <w:r w:rsidRPr="00CD3106">
        <w:t xml:space="preserve">ce: </w:t>
      </w:r>
      <w:r w:rsidR="0044544E" w:rsidRPr="0044544E">
        <w:t>Independent reviewer</w:t>
      </w:r>
      <w:r w:rsidR="00584D02" w:rsidRPr="00CD3106">
        <w:t xml:space="preserve"> (</w:t>
      </w:r>
      <w:r w:rsidR="001240F8" w:rsidRPr="00CD3106">
        <w:t>2025</w:t>
      </w:r>
      <w:r w:rsidR="00584D02" w:rsidRPr="00CD3106">
        <w:t>)</w:t>
      </w:r>
    </w:p>
    <w:p w14:paraId="05306E50" w14:textId="77777777" w:rsidR="00507790" w:rsidRPr="00DD71E7" w:rsidRDefault="00507790" w:rsidP="00DD71E7">
      <w:r w:rsidRPr="00DD71E7">
        <w:br w:type="page"/>
      </w:r>
    </w:p>
    <w:p w14:paraId="495D044A" w14:textId="5D737912" w:rsidR="006C1140" w:rsidRPr="00C97CC3" w:rsidRDefault="007F6B47" w:rsidP="00DD71E7">
      <w:r>
        <w:fldChar w:fldCharType="begin"/>
      </w:r>
      <w:r>
        <w:instrText xml:space="preserve"> REF _Ref200494015 \h </w:instrText>
      </w:r>
      <w:r>
        <w:fldChar w:fldCharType="separate"/>
      </w:r>
      <w:r w:rsidR="00AF0772">
        <w:t xml:space="preserve">Figure </w:t>
      </w:r>
      <w:r w:rsidR="00AF0772">
        <w:rPr>
          <w:noProof/>
        </w:rPr>
        <w:t>17</w:t>
      </w:r>
      <w:r>
        <w:fldChar w:fldCharType="end"/>
      </w:r>
      <w:r>
        <w:t xml:space="preserve"> below illustrates that annual cost of Option 3 and the contribution to costs of </w:t>
      </w:r>
      <w:r w:rsidR="00C85C62">
        <w:t xml:space="preserve">facial prostheses, </w:t>
      </w:r>
      <w:r w:rsidR="000713FE">
        <w:t>prosthetic</w:t>
      </w:r>
      <w:r w:rsidR="00C85C62">
        <w:t xml:space="preserve"> limbs and external breast prostheses. </w:t>
      </w:r>
      <w:r w:rsidR="00CA1EE2">
        <w:t>A</w:t>
      </w:r>
      <w:r w:rsidR="00C97CC3">
        <w:t>s described above the costs may be underestimated in the early years through the paucity of data to describe the waitlist or number of people who may be eligible for a prosthesis under a national scheme, but do not currently have one.</w:t>
      </w:r>
    </w:p>
    <w:p w14:paraId="1EBED107" w14:textId="0230302B" w:rsidR="006C1140" w:rsidRPr="006C1140" w:rsidRDefault="006C1140" w:rsidP="006C1140">
      <w:pPr>
        <w:pStyle w:val="Caption"/>
      </w:pPr>
      <w:bookmarkStart w:id="187" w:name="_Ref200494015"/>
      <w:bookmarkStart w:id="188" w:name="_Toc207348724"/>
      <w:r>
        <w:t xml:space="preserve">Figure </w:t>
      </w:r>
      <w:r w:rsidR="00AF0772">
        <w:fldChar w:fldCharType="begin"/>
      </w:r>
      <w:r w:rsidR="00AF0772">
        <w:instrText xml:space="preserve"> SEQ Figure \* ARABIC </w:instrText>
      </w:r>
      <w:r w:rsidR="00AF0772">
        <w:fldChar w:fldCharType="separate"/>
      </w:r>
      <w:r w:rsidR="00AF0772">
        <w:rPr>
          <w:noProof/>
        </w:rPr>
        <w:t>17</w:t>
      </w:r>
      <w:r w:rsidR="00AF0772">
        <w:rPr>
          <w:noProof/>
        </w:rPr>
        <w:fldChar w:fldCharType="end"/>
      </w:r>
      <w:bookmarkEnd w:id="187"/>
      <w:r>
        <w:t>: Option 3 annual costs</w:t>
      </w:r>
      <w:bookmarkEnd w:id="188"/>
    </w:p>
    <w:p w14:paraId="61E3C40E" w14:textId="0E69B632" w:rsidR="003C4542" w:rsidRPr="00DD71E7" w:rsidRDefault="0044193A" w:rsidP="00DD71E7">
      <w:r w:rsidRPr="00DD71E7">
        <w:drawing>
          <wp:inline distT="0" distB="0" distL="0" distR="0" wp14:anchorId="52561C71" wp14:editId="19D56F03">
            <wp:extent cx="6392545" cy="2751455"/>
            <wp:effectExtent l="0" t="0" r="8255" b="0"/>
            <wp:docPr id="1531768500" name="Picture 6" descr="The graph illustrates in FY26/27 the total cost is 12.08 million which steadily rises to 25.40 million in FY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768500" name="Picture 6" descr="The graph illustrates in FY26/27 the total cost is 12.08 million which steadily rises to 25.40 million in FY35/3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392545" cy="2751455"/>
                    </a:xfrm>
                    <a:prstGeom prst="rect">
                      <a:avLst/>
                    </a:prstGeom>
                    <a:noFill/>
                    <a:ln>
                      <a:noFill/>
                    </a:ln>
                  </pic:spPr>
                </pic:pic>
              </a:graphicData>
            </a:graphic>
          </wp:inline>
        </w:drawing>
      </w:r>
    </w:p>
    <w:p w14:paraId="4F2C592B" w14:textId="0477E84C" w:rsidR="00826807" w:rsidRPr="00CD3106" w:rsidRDefault="006C1140" w:rsidP="0044193A">
      <w:pPr>
        <w:pStyle w:val="Caption-Source"/>
      </w:pPr>
      <w:r w:rsidRPr="00E34C31">
        <w:t xml:space="preserve">Source: </w:t>
      </w:r>
      <w:r w:rsidR="0044544E" w:rsidRPr="0044544E">
        <w:t>Independent reviewer</w:t>
      </w:r>
      <w:r w:rsidR="00584D02" w:rsidRPr="00CD3106">
        <w:t xml:space="preserve"> (</w:t>
      </w:r>
      <w:r w:rsidR="00E34C31" w:rsidRPr="00CD3106">
        <w:t>2025</w:t>
      </w:r>
      <w:r w:rsidR="00584D02" w:rsidRPr="00CD3106">
        <w:t>)</w:t>
      </w:r>
    </w:p>
    <w:p w14:paraId="615158B1" w14:textId="2B3CC35C" w:rsidR="001A7156" w:rsidRPr="00DD71E7" w:rsidRDefault="001A7156" w:rsidP="00DD71E7">
      <w:r w:rsidRPr="00DD71E7">
        <w:t xml:space="preserve">To account for the wide disparity in costs for prosthetic limbs, sensitivity analysis was conducted to understand how changes in limbs prices effect the overall cost of Option 2. Results of this analysis are described in Section </w:t>
      </w:r>
      <w:r w:rsidRPr="00DD71E7">
        <w:fldChar w:fldCharType="begin"/>
      </w:r>
      <w:r w:rsidRPr="00DD71E7">
        <w:instrText xml:space="preserve"> REF _Ref201218848 \r \h  \* MERGEFORMAT </w:instrText>
      </w:r>
      <w:r w:rsidRPr="00DD71E7">
        <w:fldChar w:fldCharType="separate"/>
      </w:r>
      <w:r w:rsidR="00D955D8" w:rsidRPr="00DD71E7">
        <w:t>6.3.5</w:t>
      </w:r>
      <w:r w:rsidRPr="00DD71E7">
        <w:fldChar w:fldCharType="end"/>
      </w:r>
      <w:r w:rsidRPr="00DD71E7">
        <w:t>.</w:t>
      </w:r>
    </w:p>
    <w:p w14:paraId="2E07379F" w14:textId="516264C1" w:rsidR="00131CDF" w:rsidRDefault="00131CDF" w:rsidP="00030526">
      <w:pPr>
        <w:pStyle w:val="Heading3"/>
        <w:spacing w:after="0"/>
      </w:pPr>
      <w:bookmarkStart w:id="189" w:name="_Ref201218848"/>
      <w:r>
        <w:t>Sensitivity analysis</w:t>
      </w:r>
      <w:bookmarkEnd w:id="189"/>
    </w:p>
    <w:p w14:paraId="229B93DF" w14:textId="55A73E92" w:rsidR="00131CDF" w:rsidRPr="00DD71E7" w:rsidRDefault="00131CDF" w:rsidP="00DD71E7">
      <w:r w:rsidRPr="00DD71E7">
        <w:t xml:space="preserve">As described above, there is significant uncertainty around the average cost of facial prostheses and </w:t>
      </w:r>
      <w:r w:rsidR="000713FE" w:rsidRPr="00DD71E7">
        <w:t>prosthetic</w:t>
      </w:r>
      <w:r w:rsidRPr="00DD71E7">
        <w:t xml:space="preserve"> limbs.</w:t>
      </w:r>
      <w:r w:rsidR="0084061D" w:rsidRPr="00DD71E7">
        <w:t xml:space="preserve"> </w:t>
      </w:r>
      <w:r w:rsidR="00F64CD6" w:rsidRPr="00DD71E7">
        <w:t xml:space="preserve">To address this </w:t>
      </w:r>
      <w:r w:rsidR="00AF4BAD" w:rsidRPr="00DD71E7">
        <w:t>uncertainty</w:t>
      </w:r>
      <w:r w:rsidR="00F64CD6" w:rsidRPr="00DD71E7">
        <w:t xml:space="preserve"> sensitivity analysis has been undertaken to understand how changes in the price of </w:t>
      </w:r>
      <w:r w:rsidR="00AF4BAD" w:rsidRPr="00DD71E7">
        <w:t xml:space="preserve">facial prostheses and </w:t>
      </w:r>
      <w:r w:rsidR="000713FE" w:rsidRPr="00DD71E7">
        <w:t>prosthetic</w:t>
      </w:r>
      <w:r w:rsidR="00AF4BAD" w:rsidRPr="00DD71E7">
        <w:t xml:space="preserve"> limbs impacts the total cost of these items. Cost inputs for new and replacement </w:t>
      </w:r>
      <w:r w:rsidR="0058246D" w:rsidRPr="00DD71E7">
        <w:t xml:space="preserve">facial prostheses </w:t>
      </w:r>
      <w:r w:rsidR="00500F5F" w:rsidRPr="00DD71E7">
        <w:t xml:space="preserve">were varied by </w:t>
      </w:r>
      <w:r w:rsidR="0053742E" w:rsidRPr="00DD71E7">
        <w:t xml:space="preserve">±15%, </w:t>
      </w:r>
      <w:r w:rsidR="00A800F4" w:rsidRPr="00DD71E7">
        <w:t xml:space="preserve">and due to the potential large variation </w:t>
      </w:r>
      <w:r w:rsidR="004C0117" w:rsidRPr="00DD71E7">
        <w:t xml:space="preserve">and </w:t>
      </w:r>
      <w:r w:rsidR="00FE1AF3" w:rsidRPr="00DD71E7">
        <w:t>significant</w:t>
      </w:r>
      <w:r w:rsidR="004C0117" w:rsidRPr="00DD71E7">
        <w:t xml:space="preserve"> uncertainty surrounding the estimated </w:t>
      </w:r>
      <w:r w:rsidR="00130CD3" w:rsidRPr="00DD71E7">
        <w:t>cost</w:t>
      </w:r>
      <w:r w:rsidR="00A800F4" w:rsidRPr="00DD71E7">
        <w:t xml:space="preserve"> for </w:t>
      </w:r>
      <w:r w:rsidR="000713FE" w:rsidRPr="00DD71E7">
        <w:t>prosthetic</w:t>
      </w:r>
      <w:r w:rsidR="00A800F4" w:rsidRPr="00DD71E7">
        <w:t xml:space="preserve"> limbs, costs were </w:t>
      </w:r>
      <w:r w:rsidR="00B91A68" w:rsidRPr="00DD71E7">
        <w:t>varied by ±30%</w:t>
      </w:r>
      <w:r w:rsidR="00FD26EB" w:rsidRPr="00DD71E7">
        <w:t>.</w:t>
      </w:r>
    </w:p>
    <w:p w14:paraId="698DDE5A" w14:textId="04004E9B" w:rsidR="00135C3C" w:rsidRDefault="00135C3C" w:rsidP="00135C3C">
      <w:pPr>
        <w:pStyle w:val="Caption"/>
      </w:pPr>
      <w:bookmarkStart w:id="190" w:name="_Ref200490184"/>
      <w:bookmarkStart w:id="191" w:name="_Toc207348607"/>
      <w:r>
        <w:t xml:space="preserve">Table </w:t>
      </w:r>
      <w:r w:rsidR="004F27F5">
        <w:fldChar w:fldCharType="begin"/>
      </w:r>
      <w:r w:rsidR="004F27F5">
        <w:instrText xml:space="preserve"> SEQ Table \* ARABIC </w:instrText>
      </w:r>
      <w:r w:rsidR="004F27F5">
        <w:fldChar w:fldCharType="separate"/>
      </w:r>
      <w:r w:rsidR="004F27F5">
        <w:rPr>
          <w:noProof/>
        </w:rPr>
        <w:t>42</w:t>
      </w:r>
      <w:r w:rsidR="004F27F5">
        <w:rPr>
          <w:noProof/>
        </w:rPr>
        <w:fldChar w:fldCharType="end"/>
      </w:r>
      <w:bookmarkEnd w:id="190"/>
      <w:r>
        <w:t xml:space="preserve">: </w:t>
      </w:r>
      <w:r w:rsidR="001557BE">
        <w:t>S</w:t>
      </w:r>
      <w:r>
        <w:t>ensitivity analysis cost inputs</w:t>
      </w:r>
      <w:bookmarkEnd w:id="191"/>
    </w:p>
    <w:tbl>
      <w:tblPr>
        <w:tblStyle w:val="KPMGTable"/>
        <w:tblW w:w="10177" w:type="dxa"/>
        <w:tblLook w:val="04A0" w:firstRow="1" w:lastRow="0" w:firstColumn="1" w:lastColumn="0" w:noHBand="0" w:noVBand="1"/>
      </w:tblPr>
      <w:tblGrid>
        <w:gridCol w:w="3261"/>
        <w:gridCol w:w="1383"/>
        <w:gridCol w:w="1383"/>
        <w:gridCol w:w="1383"/>
        <w:gridCol w:w="1383"/>
        <w:gridCol w:w="1384"/>
      </w:tblGrid>
      <w:tr w:rsidR="00AD6F37" w14:paraId="616282DE" w14:textId="77777777" w:rsidTr="00D02B3A">
        <w:trPr>
          <w:cnfStyle w:val="100000000000" w:firstRow="1" w:lastRow="0" w:firstColumn="0" w:lastColumn="0" w:oddVBand="0" w:evenVBand="0" w:oddHBand="0"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3261" w:type="dxa"/>
          </w:tcPr>
          <w:p w14:paraId="02981557" w14:textId="2155E161" w:rsidR="00135C3C" w:rsidRPr="00E45B92" w:rsidRDefault="007C2630" w:rsidP="00D02B3A">
            <w:pPr>
              <w:pStyle w:val="TableHeading"/>
            </w:pPr>
            <w:r w:rsidRPr="00E45B92">
              <w:t>Cost inputs</w:t>
            </w:r>
          </w:p>
        </w:tc>
        <w:tc>
          <w:tcPr>
            <w:tcW w:w="1383" w:type="dxa"/>
          </w:tcPr>
          <w:p w14:paraId="1F775AA3" w14:textId="7CB573FA" w:rsidR="00135C3C" w:rsidRPr="00E45B92" w:rsidRDefault="00135C3C" w:rsidP="00D02B3A">
            <w:pPr>
              <w:pStyle w:val="TableHeading"/>
              <w:cnfStyle w:val="100000000000" w:firstRow="1" w:lastRow="0" w:firstColumn="0" w:lastColumn="0" w:oddVBand="0" w:evenVBand="0" w:oddHBand="0" w:evenHBand="0" w:firstRowFirstColumn="0" w:firstRowLastColumn="0" w:lastRowFirstColumn="0" w:lastRowLastColumn="0"/>
              <w:rPr>
                <w:color w:val="002669" w:themeColor="text2" w:themeShade="BF"/>
                <w:szCs w:val="18"/>
              </w:rPr>
            </w:pPr>
            <w:r w:rsidRPr="00E45B92">
              <w:rPr>
                <w:color w:val="002669" w:themeColor="text2" w:themeShade="BF"/>
              </w:rPr>
              <w:t xml:space="preserve">Base case </w:t>
            </w:r>
            <w:r w:rsidR="003C27F2" w:rsidRPr="00E45B92">
              <w:rPr>
                <w:color w:val="002669" w:themeColor="text2" w:themeShade="BF"/>
                <w:szCs w:val="18"/>
              </w:rPr>
              <w:br/>
            </w:r>
            <w:r w:rsidRPr="00E45B92">
              <w:rPr>
                <w:color w:val="002669" w:themeColor="text2" w:themeShade="BF"/>
                <w:szCs w:val="18"/>
              </w:rPr>
              <w:t>cost</w:t>
            </w:r>
            <w:r w:rsidR="003C27F2" w:rsidRPr="00E45B92">
              <w:rPr>
                <w:color w:val="002669" w:themeColor="text2" w:themeShade="BF"/>
                <w:szCs w:val="18"/>
              </w:rPr>
              <w:t xml:space="preserve"> input</w:t>
            </w:r>
          </w:p>
        </w:tc>
        <w:tc>
          <w:tcPr>
            <w:tcW w:w="1383" w:type="dxa"/>
          </w:tcPr>
          <w:p w14:paraId="40DCE341" w14:textId="6A893194" w:rsidR="00135C3C" w:rsidRPr="00E45B92" w:rsidRDefault="00135C3C" w:rsidP="00D02B3A">
            <w:pPr>
              <w:pStyle w:val="TableHeading"/>
              <w:cnfStyle w:val="100000000000" w:firstRow="1" w:lastRow="0" w:firstColumn="0" w:lastColumn="0" w:oddVBand="0" w:evenVBand="0" w:oddHBand="0" w:evenHBand="0" w:firstRowFirstColumn="0" w:firstRowLastColumn="0" w:lastRowFirstColumn="0" w:lastRowLastColumn="0"/>
              <w:rPr>
                <w:color w:val="002669" w:themeColor="text2" w:themeShade="BF"/>
                <w:szCs w:val="18"/>
              </w:rPr>
            </w:pPr>
            <w:r w:rsidRPr="00E45B92">
              <w:rPr>
                <w:color w:val="002669" w:themeColor="text2" w:themeShade="BF"/>
              </w:rPr>
              <w:t xml:space="preserve">Scenario </w:t>
            </w:r>
            <w:r w:rsidR="007E52ED" w:rsidRPr="00E45B92">
              <w:rPr>
                <w:color w:val="002669" w:themeColor="text2" w:themeShade="BF"/>
                <w:szCs w:val="18"/>
              </w:rPr>
              <w:br/>
            </w:r>
            <w:r w:rsidRPr="00E45B92">
              <w:rPr>
                <w:color w:val="002669" w:themeColor="text2" w:themeShade="BF"/>
                <w:szCs w:val="18"/>
              </w:rPr>
              <w:t>1 (+15%)</w:t>
            </w:r>
          </w:p>
        </w:tc>
        <w:tc>
          <w:tcPr>
            <w:tcW w:w="1383" w:type="dxa"/>
          </w:tcPr>
          <w:p w14:paraId="7506FC64" w14:textId="64173CED" w:rsidR="00135C3C" w:rsidRPr="00E45B92" w:rsidRDefault="00135C3C" w:rsidP="00D02B3A">
            <w:pPr>
              <w:pStyle w:val="TableHeading"/>
              <w:cnfStyle w:val="100000000000" w:firstRow="1" w:lastRow="0" w:firstColumn="0" w:lastColumn="0" w:oddVBand="0" w:evenVBand="0" w:oddHBand="0" w:evenHBand="0" w:firstRowFirstColumn="0" w:firstRowLastColumn="0" w:lastRowFirstColumn="0" w:lastRowLastColumn="0"/>
              <w:rPr>
                <w:color w:val="002669" w:themeColor="text2" w:themeShade="BF"/>
                <w:szCs w:val="18"/>
              </w:rPr>
            </w:pPr>
            <w:r w:rsidRPr="00E45B92">
              <w:rPr>
                <w:color w:val="002669" w:themeColor="text2" w:themeShade="BF"/>
              </w:rPr>
              <w:t xml:space="preserve">Scenario </w:t>
            </w:r>
            <w:r w:rsidR="007E52ED" w:rsidRPr="00E45B92">
              <w:rPr>
                <w:color w:val="002669" w:themeColor="text2" w:themeShade="BF"/>
                <w:szCs w:val="18"/>
              </w:rPr>
              <w:br/>
            </w:r>
            <w:r w:rsidRPr="00E45B92">
              <w:rPr>
                <w:color w:val="002669" w:themeColor="text2" w:themeShade="BF"/>
                <w:szCs w:val="18"/>
              </w:rPr>
              <w:t>2 (-15%)</w:t>
            </w:r>
          </w:p>
        </w:tc>
        <w:tc>
          <w:tcPr>
            <w:tcW w:w="1383" w:type="dxa"/>
          </w:tcPr>
          <w:p w14:paraId="280D88FB" w14:textId="4ED5BA1B" w:rsidR="00135C3C" w:rsidRPr="00E45B92" w:rsidRDefault="00135C3C" w:rsidP="00D02B3A">
            <w:pPr>
              <w:pStyle w:val="TableHeading"/>
              <w:cnfStyle w:val="100000000000" w:firstRow="1" w:lastRow="0" w:firstColumn="0" w:lastColumn="0" w:oddVBand="0" w:evenVBand="0" w:oddHBand="0" w:evenHBand="0" w:firstRowFirstColumn="0" w:firstRowLastColumn="0" w:lastRowFirstColumn="0" w:lastRowLastColumn="0"/>
              <w:rPr>
                <w:color w:val="002669" w:themeColor="text2" w:themeShade="BF"/>
                <w:szCs w:val="18"/>
              </w:rPr>
            </w:pPr>
            <w:r w:rsidRPr="00E45B92">
              <w:rPr>
                <w:color w:val="002669" w:themeColor="text2" w:themeShade="BF"/>
              </w:rPr>
              <w:t xml:space="preserve">Scenario </w:t>
            </w:r>
            <w:r w:rsidR="007E52ED" w:rsidRPr="00E45B92">
              <w:rPr>
                <w:color w:val="002669" w:themeColor="text2" w:themeShade="BF"/>
                <w:szCs w:val="18"/>
              </w:rPr>
              <w:br/>
            </w:r>
            <w:r w:rsidR="00A51773" w:rsidRPr="00E45B92">
              <w:rPr>
                <w:color w:val="002669" w:themeColor="text2" w:themeShade="BF"/>
                <w:szCs w:val="18"/>
              </w:rPr>
              <w:t>1A</w:t>
            </w:r>
            <w:r w:rsidRPr="00E45B92">
              <w:rPr>
                <w:color w:val="002669" w:themeColor="text2" w:themeShade="BF"/>
                <w:szCs w:val="18"/>
              </w:rPr>
              <w:t xml:space="preserve"> (</w:t>
            </w:r>
            <w:r w:rsidR="00BA55D2" w:rsidRPr="00E45B92">
              <w:rPr>
                <w:color w:val="002669" w:themeColor="text2" w:themeShade="BF"/>
                <w:szCs w:val="18"/>
              </w:rPr>
              <w:t>+</w:t>
            </w:r>
            <w:r w:rsidRPr="00E45B92">
              <w:rPr>
                <w:color w:val="002669" w:themeColor="text2" w:themeShade="BF"/>
                <w:szCs w:val="18"/>
              </w:rPr>
              <w:t>30%)</w:t>
            </w:r>
          </w:p>
        </w:tc>
        <w:tc>
          <w:tcPr>
            <w:tcW w:w="1384" w:type="dxa"/>
          </w:tcPr>
          <w:p w14:paraId="2A4CDA61" w14:textId="785188A7" w:rsidR="00135C3C" w:rsidRPr="00E45B92" w:rsidRDefault="00135C3C" w:rsidP="00D02B3A">
            <w:pPr>
              <w:pStyle w:val="TableHeading"/>
              <w:cnfStyle w:val="100000000000" w:firstRow="1" w:lastRow="0" w:firstColumn="0" w:lastColumn="0" w:oddVBand="0" w:evenVBand="0" w:oddHBand="0" w:evenHBand="0" w:firstRowFirstColumn="0" w:firstRowLastColumn="0" w:lastRowFirstColumn="0" w:lastRowLastColumn="0"/>
              <w:rPr>
                <w:color w:val="002669" w:themeColor="text2" w:themeShade="BF"/>
                <w:szCs w:val="18"/>
              </w:rPr>
            </w:pPr>
            <w:r w:rsidRPr="00E45B92">
              <w:rPr>
                <w:color w:val="002669" w:themeColor="text2" w:themeShade="BF"/>
              </w:rPr>
              <w:t xml:space="preserve">Scenario </w:t>
            </w:r>
            <w:r w:rsidR="007E52ED" w:rsidRPr="00E45B92">
              <w:rPr>
                <w:color w:val="002669" w:themeColor="text2" w:themeShade="BF"/>
                <w:szCs w:val="18"/>
              </w:rPr>
              <w:br/>
            </w:r>
            <w:r w:rsidR="00926A36" w:rsidRPr="00E45B92">
              <w:rPr>
                <w:color w:val="002669" w:themeColor="text2" w:themeShade="BF"/>
                <w:szCs w:val="18"/>
              </w:rPr>
              <w:t>2A</w:t>
            </w:r>
            <w:r w:rsidRPr="00E45B92">
              <w:rPr>
                <w:color w:val="002669" w:themeColor="text2" w:themeShade="BF"/>
                <w:szCs w:val="18"/>
              </w:rPr>
              <w:t xml:space="preserve"> (-</w:t>
            </w:r>
            <w:r w:rsidR="00BA55D2" w:rsidRPr="00E45B92">
              <w:rPr>
                <w:color w:val="002669" w:themeColor="text2" w:themeShade="BF"/>
                <w:szCs w:val="18"/>
              </w:rPr>
              <w:t>30</w:t>
            </w:r>
            <w:r w:rsidRPr="00E45B92">
              <w:rPr>
                <w:color w:val="002669" w:themeColor="text2" w:themeShade="BF"/>
                <w:szCs w:val="18"/>
              </w:rPr>
              <w:t>%)</w:t>
            </w:r>
          </w:p>
        </w:tc>
      </w:tr>
      <w:tr w:rsidR="00677ED1" w14:paraId="41266FBC" w14:textId="77777777" w:rsidTr="00D02B3A">
        <w:trPr>
          <w:trHeight w:val="397"/>
        </w:trPr>
        <w:tc>
          <w:tcPr>
            <w:cnfStyle w:val="001000000000" w:firstRow="0" w:lastRow="0" w:firstColumn="1" w:lastColumn="0" w:oddVBand="0" w:evenVBand="0" w:oddHBand="0" w:evenHBand="0" w:firstRowFirstColumn="0" w:firstRowLastColumn="0" w:lastRowFirstColumn="0" w:lastRowLastColumn="0"/>
            <w:tcW w:w="3261" w:type="dxa"/>
          </w:tcPr>
          <w:p w14:paraId="1B43715E" w14:textId="3F3169BF" w:rsidR="00135C3C" w:rsidRPr="007C2630" w:rsidRDefault="007E52ED" w:rsidP="00D02B3A">
            <w:pPr>
              <w:pStyle w:val="Tabletextbold"/>
            </w:pPr>
            <w:r>
              <w:t>N</w:t>
            </w:r>
            <w:r w:rsidR="00CD2AA8" w:rsidRPr="007C2630">
              <w:t>ew facial</w:t>
            </w:r>
            <w:r w:rsidR="00AA15EF" w:rsidRPr="007C2630">
              <w:t xml:space="preserve"> prostheses</w:t>
            </w:r>
          </w:p>
        </w:tc>
        <w:tc>
          <w:tcPr>
            <w:tcW w:w="1383" w:type="dxa"/>
          </w:tcPr>
          <w:p w14:paraId="0560DA26" w14:textId="1A2D5399" w:rsidR="00135C3C" w:rsidRPr="001872B7" w:rsidRDefault="00422ACB" w:rsidP="00D02B3A">
            <w:pPr>
              <w:pStyle w:val="TableText"/>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t>$</w:t>
            </w:r>
            <w:r w:rsidR="00764477">
              <w:rPr>
                <w:rFonts w:cstheme="minorHAnsi"/>
                <w:color w:val="000000"/>
                <w:szCs w:val="18"/>
              </w:rPr>
              <w:t>6,000</w:t>
            </w:r>
          </w:p>
        </w:tc>
        <w:tc>
          <w:tcPr>
            <w:tcW w:w="1383" w:type="dxa"/>
          </w:tcPr>
          <w:p w14:paraId="6F9DA3B7" w14:textId="377F0C29" w:rsidR="00135C3C" w:rsidRPr="001872B7" w:rsidRDefault="003A0E7E" w:rsidP="00D02B3A">
            <w:pPr>
              <w:pStyle w:val="TableText"/>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t>$6,900</w:t>
            </w:r>
          </w:p>
        </w:tc>
        <w:tc>
          <w:tcPr>
            <w:tcW w:w="1383" w:type="dxa"/>
          </w:tcPr>
          <w:p w14:paraId="0D9EA15D" w14:textId="21A5A56D" w:rsidR="00135C3C" w:rsidRPr="001872B7" w:rsidRDefault="00C22C3B" w:rsidP="00D02B3A">
            <w:pPr>
              <w:pStyle w:val="TableText"/>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t>$5,100</w:t>
            </w:r>
          </w:p>
        </w:tc>
        <w:tc>
          <w:tcPr>
            <w:tcW w:w="1383" w:type="dxa"/>
          </w:tcPr>
          <w:p w14:paraId="19A12642" w14:textId="4A950934" w:rsidR="00135C3C" w:rsidRPr="001872B7" w:rsidRDefault="00B9237B" w:rsidP="00D02B3A">
            <w:pPr>
              <w:pStyle w:val="TableText"/>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t>N/A</w:t>
            </w:r>
          </w:p>
        </w:tc>
        <w:tc>
          <w:tcPr>
            <w:tcW w:w="1384" w:type="dxa"/>
          </w:tcPr>
          <w:p w14:paraId="564571AA" w14:textId="2382CD9E" w:rsidR="00135C3C" w:rsidRPr="001872B7" w:rsidRDefault="00B9237B" w:rsidP="00D02B3A">
            <w:pPr>
              <w:pStyle w:val="TableText"/>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t>N/A</w:t>
            </w:r>
          </w:p>
        </w:tc>
      </w:tr>
      <w:tr w:rsidR="00677ED1" w14:paraId="74F16EB9" w14:textId="77777777" w:rsidTr="00D02B3A">
        <w:trPr>
          <w:trHeight w:val="397"/>
        </w:trPr>
        <w:tc>
          <w:tcPr>
            <w:cnfStyle w:val="001000000000" w:firstRow="0" w:lastRow="0" w:firstColumn="1" w:lastColumn="0" w:oddVBand="0" w:evenVBand="0" w:oddHBand="0" w:evenHBand="0" w:firstRowFirstColumn="0" w:firstRowLastColumn="0" w:lastRowFirstColumn="0" w:lastRowLastColumn="0"/>
            <w:tcW w:w="3261" w:type="dxa"/>
          </w:tcPr>
          <w:p w14:paraId="7A994520" w14:textId="19975117" w:rsidR="00135C3C" w:rsidRPr="007C2630" w:rsidRDefault="007E52ED" w:rsidP="00D02B3A">
            <w:pPr>
              <w:pStyle w:val="Tabletextbold"/>
            </w:pPr>
            <w:r>
              <w:t>R</w:t>
            </w:r>
            <w:r w:rsidR="00764477" w:rsidRPr="007C2630">
              <w:t>eplacement facial prostheses</w:t>
            </w:r>
          </w:p>
        </w:tc>
        <w:tc>
          <w:tcPr>
            <w:tcW w:w="1383" w:type="dxa"/>
          </w:tcPr>
          <w:p w14:paraId="64FDE7EA" w14:textId="32B65BAB" w:rsidR="00135C3C" w:rsidRPr="001872B7" w:rsidRDefault="00764477" w:rsidP="00D02B3A">
            <w:pPr>
              <w:pStyle w:val="TableText"/>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t>$4,500</w:t>
            </w:r>
          </w:p>
        </w:tc>
        <w:tc>
          <w:tcPr>
            <w:tcW w:w="1383" w:type="dxa"/>
          </w:tcPr>
          <w:p w14:paraId="7BB6EF9E" w14:textId="19A408FB" w:rsidR="00135C3C" w:rsidRPr="001872B7" w:rsidRDefault="003A0E7E" w:rsidP="00D02B3A">
            <w:pPr>
              <w:pStyle w:val="TableText"/>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t>$5,175</w:t>
            </w:r>
          </w:p>
        </w:tc>
        <w:tc>
          <w:tcPr>
            <w:tcW w:w="1383" w:type="dxa"/>
          </w:tcPr>
          <w:p w14:paraId="34138B04" w14:textId="0EA44735" w:rsidR="00135C3C" w:rsidRPr="001872B7" w:rsidRDefault="00C22C3B" w:rsidP="00D02B3A">
            <w:pPr>
              <w:pStyle w:val="TableText"/>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t>$3,825</w:t>
            </w:r>
          </w:p>
        </w:tc>
        <w:tc>
          <w:tcPr>
            <w:tcW w:w="1383" w:type="dxa"/>
          </w:tcPr>
          <w:p w14:paraId="6CC8F3CA" w14:textId="5ACD9ACC" w:rsidR="00135C3C" w:rsidRPr="001872B7" w:rsidRDefault="00B9237B" w:rsidP="00D02B3A">
            <w:pPr>
              <w:pStyle w:val="TableText"/>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t>N/A</w:t>
            </w:r>
          </w:p>
        </w:tc>
        <w:tc>
          <w:tcPr>
            <w:tcW w:w="1384" w:type="dxa"/>
          </w:tcPr>
          <w:p w14:paraId="743D7654" w14:textId="32421EFD" w:rsidR="00135C3C" w:rsidRPr="001872B7" w:rsidRDefault="00B9237B" w:rsidP="00D02B3A">
            <w:pPr>
              <w:pStyle w:val="TableText"/>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t>N/A</w:t>
            </w:r>
          </w:p>
        </w:tc>
      </w:tr>
      <w:tr w:rsidR="00677ED1" w14:paraId="623B7CBA" w14:textId="77777777" w:rsidTr="00D02B3A">
        <w:trPr>
          <w:trHeight w:val="397"/>
        </w:trPr>
        <w:tc>
          <w:tcPr>
            <w:cnfStyle w:val="001000000000" w:firstRow="0" w:lastRow="0" w:firstColumn="1" w:lastColumn="0" w:oddVBand="0" w:evenVBand="0" w:oddHBand="0" w:evenHBand="0" w:firstRowFirstColumn="0" w:firstRowLastColumn="0" w:lastRowFirstColumn="0" w:lastRowLastColumn="0"/>
            <w:tcW w:w="3261" w:type="dxa"/>
          </w:tcPr>
          <w:p w14:paraId="202ACBE5" w14:textId="450E79C0" w:rsidR="00CD2AA8" w:rsidRPr="007C2630" w:rsidRDefault="007E52ED" w:rsidP="00D02B3A">
            <w:pPr>
              <w:pStyle w:val="Tabletextbold"/>
            </w:pPr>
            <w:r>
              <w:t>N</w:t>
            </w:r>
            <w:r w:rsidR="00CD2AA8" w:rsidRPr="007C2630">
              <w:t>ew limb</w:t>
            </w:r>
            <w:r w:rsidRPr="007C2630">
              <w:t xml:space="preserve"> prostheses</w:t>
            </w:r>
          </w:p>
        </w:tc>
        <w:tc>
          <w:tcPr>
            <w:tcW w:w="1383" w:type="dxa"/>
          </w:tcPr>
          <w:p w14:paraId="24DCC757" w14:textId="60A5681F" w:rsidR="00CD2AA8" w:rsidRPr="001872B7" w:rsidRDefault="00CD2AA8" w:rsidP="00D02B3A">
            <w:pPr>
              <w:pStyle w:val="TableText"/>
              <w:cnfStyle w:val="000000000000" w:firstRow="0" w:lastRow="0" w:firstColumn="0" w:lastColumn="0" w:oddVBand="0" w:evenVBand="0" w:oddHBand="0" w:evenHBand="0" w:firstRowFirstColumn="0" w:firstRowLastColumn="0" w:lastRowFirstColumn="0" w:lastRowLastColumn="0"/>
            </w:pPr>
            <w:r w:rsidRPr="001872B7">
              <w:t>$100,000</w:t>
            </w:r>
          </w:p>
        </w:tc>
        <w:tc>
          <w:tcPr>
            <w:tcW w:w="1383" w:type="dxa"/>
          </w:tcPr>
          <w:p w14:paraId="44D82275" w14:textId="4105C442" w:rsidR="00CD2AA8" w:rsidRPr="001872B7" w:rsidRDefault="00B9237B" w:rsidP="00D02B3A">
            <w:pPr>
              <w:pStyle w:val="TableText"/>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t>N/A</w:t>
            </w:r>
          </w:p>
        </w:tc>
        <w:tc>
          <w:tcPr>
            <w:tcW w:w="1383" w:type="dxa"/>
          </w:tcPr>
          <w:p w14:paraId="32AEB1C7" w14:textId="21CAB229" w:rsidR="00CD2AA8" w:rsidRPr="001872B7" w:rsidRDefault="00B9237B" w:rsidP="00D02B3A">
            <w:pPr>
              <w:pStyle w:val="TableText"/>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t>N/A</w:t>
            </w:r>
          </w:p>
        </w:tc>
        <w:tc>
          <w:tcPr>
            <w:tcW w:w="1383" w:type="dxa"/>
          </w:tcPr>
          <w:p w14:paraId="72E6FFDF" w14:textId="7D7E2D79" w:rsidR="00CD2AA8" w:rsidRPr="001872B7" w:rsidRDefault="004246CA" w:rsidP="00D02B3A">
            <w:pPr>
              <w:pStyle w:val="TableText"/>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t>$130,000</w:t>
            </w:r>
          </w:p>
        </w:tc>
        <w:tc>
          <w:tcPr>
            <w:tcW w:w="1384" w:type="dxa"/>
          </w:tcPr>
          <w:p w14:paraId="22F31363" w14:textId="260FA826" w:rsidR="00CD2AA8" w:rsidRPr="001872B7" w:rsidRDefault="00CD2AA8" w:rsidP="00D02B3A">
            <w:pPr>
              <w:pStyle w:val="TableText"/>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1872B7">
              <w:t>$</w:t>
            </w:r>
            <w:r w:rsidR="00BA55D2" w:rsidRPr="001872B7">
              <w:rPr>
                <w:rFonts w:cstheme="minorHAnsi"/>
                <w:color w:val="000000"/>
                <w:szCs w:val="18"/>
              </w:rPr>
              <w:t>70</w:t>
            </w:r>
            <w:r w:rsidRPr="001872B7">
              <w:rPr>
                <w:rFonts w:cstheme="minorHAnsi"/>
                <w:color w:val="000000"/>
                <w:szCs w:val="18"/>
              </w:rPr>
              <w:t>,000</w:t>
            </w:r>
          </w:p>
        </w:tc>
      </w:tr>
      <w:tr w:rsidR="00677ED1" w14:paraId="160439B0" w14:textId="77777777" w:rsidTr="00D02B3A">
        <w:trPr>
          <w:trHeight w:val="397"/>
        </w:trPr>
        <w:tc>
          <w:tcPr>
            <w:cnfStyle w:val="001000000000" w:firstRow="0" w:lastRow="0" w:firstColumn="1" w:lastColumn="0" w:oddVBand="0" w:evenVBand="0" w:oddHBand="0" w:evenHBand="0" w:firstRowFirstColumn="0" w:firstRowLastColumn="0" w:lastRowFirstColumn="0" w:lastRowLastColumn="0"/>
            <w:tcW w:w="3261" w:type="dxa"/>
          </w:tcPr>
          <w:p w14:paraId="280E0D24" w14:textId="25C69014" w:rsidR="00CD2AA8" w:rsidRPr="007C2630" w:rsidRDefault="007E52ED" w:rsidP="00D02B3A">
            <w:pPr>
              <w:pStyle w:val="Tabletextbold"/>
            </w:pPr>
            <w:r>
              <w:t>R</w:t>
            </w:r>
            <w:r w:rsidR="00CD2AA8" w:rsidRPr="007C2630">
              <w:t>eplacement limbs</w:t>
            </w:r>
            <w:r w:rsidRPr="007C2630">
              <w:t xml:space="preserve"> prostheses</w:t>
            </w:r>
          </w:p>
        </w:tc>
        <w:tc>
          <w:tcPr>
            <w:tcW w:w="1383" w:type="dxa"/>
          </w:tcPr>
          <w:p w14:paraId="3E1AEA35" w14:textId="035FDFD9" w:rsidR="00CD2AA8" w:rsidRPr="001872B7" w:rsidRDefault="00CD2AA8" w:rsidP="00D02B3A">
            <w:pPr>
              <w:pStyle w:val="TableText"/>
              <w:cnfStyle w:val="000000000000" w:firstRow="0" w:lastRow="0" w:firstColumn="0" w:lastColumn="0" w:oddVBand="0" w:evenVBand="0" w:oddHBand="0" w:evenHBand="0" w:firstRowFirstColumn="0" w:firstRowLastColumn="0" w:lastRowFirstColumn="0" w:lastRowLastColumn="0"/>
            </w:pPr>
            <w:r w:rsidRPr="001872B7">
              <w:t>$75,000</w:t>
            </w:r>
          </w:p>
        </w:tc>
        <w:tc>
          <w:tcPr>
            <w:tcW w:w="1383" w:type="dxa"/>
          </w:tcPr>
          <w:p w14:paraId="2997BBB6" w14:textId="498B9F58" w:rsidR="00CD2AA8" w:rsidRPr="001872B7" w:rsidRDefault="00B9237B" w:rsidP="00D02B3A">
            <w:pPr>
              <w:pStyle w:val="TableText"/>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t>N/A</w:t>
            </w:r>
          </w:p>
        </w:tc>
        <w:tc>
          <w:tcPr>
            <w:tcW w:w="1383" w:type="dxa"/>
          </w:tcPr>
          <w:p w14:paraId="3D090165" w14:textId="64A7D007" w:rsidR="00CD2AA8" w:rsidRPr="001872B7" w:rsidRDefault="00B9237B" w:rsidP="00D02B3A">
            <w:pPr>
              <w:pStyle w:val="TableText"/>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t>N/A</w:t>
            </w:r>
          </w:p>
        </w:tc>
        <w:tc>
          <w:tcPr>
            <w:tcW w:w="1383" w:type="dxa"/>
          </w:tcPr>
          <w:p w14:paraId="1D875616" w14:textId="3F957365" w:rsidR="00CD2AA8" w:rsidRPr="001872B7" w:rsidRDefault="004246CA" w:rsidP="00D02B3A">
            <w:pPr>
              <w:pStyle w:val="TableText"/>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t>$97,500</w:t>
            </w:r>
          </w:p>
        </w:tc>
        <w:tc>
          <w:tcPr>
            <w:tcW w:w="1384" w:type="dxa"/>
          </w:tcPr>
          <w:p w14:paraId="6BFE4E06" w14:textId="7539B346" w:rsidR="00CD2AA8" w:rsidRPr="001872B7" w:rsidRDefault="00BA55D2" w:rsidP="00D02B3A">
            <w:pPr>
              <w:pStyle w:val="TableText"/>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1872B7">
              <w:t>$52,500</w:t>
            </w:r>
          </w:p>
        </w:tc>
      </w:tr>
    </w:tbl>
    <w:p w14:paraId="0225E6BA" w14:textId="6925033E" w:rsidR="00993698" w:rsidRDefault="00135C3C" w:rsidP="005043EA">
      <w:pPr>
        <w:pStyle w:val="Caption-Source"/>
      </w:pPr>
      <w:r w:rsidRPr="00E34C31">
        <w:t xml:space="preserve">Source: </w:t>
      </w:r>
      <w:r w:rsidR="0044544E" w:rsidRPr="0044544E">
        <w:t>Independent reviewer</w:t>
      </w:r>
      <w:r w:rsidR="00584D02" w:rsidRPr="007C2630">
        <w:t xml:space="preserve"> (</w:t>
      </w:r>
      <w:r w:rsidR="00E34C31" w:rsidRPr="007C2630">
        <w:t>2025</w:t>
      </w:r>
      <w:r w:rsidR="00584D02" w:rsidRPr="007C2630">
        <w:t>)</w:t>
      </w:r>
    </w:p>
    <w:p w14:paraId="5C0E7B51" w14:textId="77777777" w:rsidR="00512823" w:rsidRPr="00DD71E7" w:rsidRDefault="00512823" w:rsidP="00DD71E7">
      <w:r w:rsidRPr="00DD71E7">
        <w:br w:type="page"/>
      </w:r>
    </w:p>
    <w:p w14:paraId="21DED20A" w14:textId="5B37B2EA" w:rsidR="00135C3C" w:rsidRPr="00CB44E0" w:rsidRDefault="00135C3C" w:rsidP="00DD71E7">
      <w:r>
        <w:t xml:space="preserve">Results of the sensitivity analysis, illustrated in </w:t>
      </w:r>
      <w:r>
        <w:fldChar w:fldCharType="begin"/>
      </w:r>
      <w:r>
        <w:instrText xml:space="preserve"> REF _Ref200491256 \h </w:instrText>
      </w:r>
      <w:r>
        <w:fldChar w:fldCharType="separate"/>
      </w:r>
      <w:r w:rsidR="008004C7">
        <w:t xml:space="preserve">Table </w:t>
      </w:r>
      <w:r w:rsidR="008004C7">
        <w:rPr>
          <w:noProof/>
        </w:rPr>
        <w:t>43</w:t>
      </w:r>
      <w:r>
        <w:fldChar w:fldCharType="end"/>
      </w:r>
      <w:r w:rsidR="00573F68">
        <w:t xml:space="preserve"> and </w:t>
      </w:r>
      <w:r w:rsidR="00573F68">
        <w:fldChar w:fldCharType="begin"/>
      </w:r>
      <w:r w:rsidR="00573F68">
        <w:instrText xml:space="preserve"> REF _Ref207203376 \h </w:instrText>
      </w:r>
      <w:r w:rsidR="00573F68">
        <w:fldChar w:fldCharType="separate"/>
      </w:r>
      <w:r w:rsidR="00573F68">
        <w:t xml:space="preserve">Table </w:t>
      </w:r>
      <w:r w:rsidR="00573F68">
        <w:rPr>
          <w:noProof/>
        </w:rPr>
        <w:t>44</w:t>
      </w:r>
      <w:r w:rsidR="00573F68">
        <w:fldChar w:fldCharType="end"/>
      </w:r>
      <w:r>
        <w:t xml:space="preserve"> below, indicate that changes in the average price </w:t>
      </w:r>
      <w:r w:rsidR="00765B32">
        <w:t>have</w:t>
      </w:r>
      <w:r>
        <w:t xml:space="preserve">, as expected, a large impact on the overall cost of </w:t>
      </w:r>
      <w:r w:rsidR="00326191">
        <w:t xml:space="preserve">facial prostheses and </w:t>
      </w:r>
      <w:r w:rsidR="000713FE">
        <w:t>prosthetic</w:t>
      </w:r>
      <w:r w:rsidR="00326191">
        <w:t xml:space="preserve"> limbs</w:t>
      </w:r>
      <w:r>
        <w:t xml:space="preserve">. </w:t>
      </w:r>
      <w:r w:rsidR="00020D09">
        <w:t xml:space="preserve">For facial prostheses, </w:t>
      </w:r>
      <w:r w:rsidR="00D327EF">
        <w:t xml:space="preserve">a </w:t>
      </w:r>
      <w:r w:rsidR="00145826">
        <w:t>variation</w:t>
      </w:r>
      <w:r w:rsidR="00D327EF">
        <w:t xml:space="preserve"> in average cost of </w:t>
      </w:r>
      <w:r w:rsidR="00145826">
        <w:rPr>
          <w:rFonts w:cstheme="minorHAnsi"/>
        </w:rPr>
        <w:t>±</w:t>
      </w:r>
      <w:r w:rsidR="00D327EF">
        <w:t xml:space="preserve">15% would result in a </w:t>
      </w:r>
      <w:r w:rsidR="00AE0A37">
        <w:t xml:space="preserve">$6.69 million dollar </w:t>
      </w:r>
      <w:r w:rsidR="00145826">
        <w:t>difference</w:t>
      </w:r>
      <w:r w:rsidR="00AE0A37">
        <w:t xml:space="preserve"> in the total cost of facial prostheses over the 10</w:t>
      </w:r>
      <w:r w:rsidR="00DE4AD5">
        <w:t>-</w:t>
      </w:r>
      <w:r w:rsidR="00AE0A37">
        <w:t>year modelling period</w:t>
      </w:r>
      <w:r w:rsidR="000934A6">
        <w:t xml:space="preserve">, with total costs equal to $44.94 million over 10 years at the lower estimate and $58.32 million </w:t>
      </w:r>
      <w:r w:rsidR="00974F31">
        <w:t>over 10 years at the higher cost estimate. This compares to the $51.63 million costs for facial prostheses described as part of Option 1.</w:t>
      </w:r>
    </w:p>
    <w:p w14:paraId="7C2C7CCE" w14:textId="39FC5279" w:rsidR="00135C3C" w:rsidRDefault="00135C3C" w:rsidP="00135C3C">
      <w:pPr>
        <w:pStyle w:val="Caption"/>
      </w:pPr>
      <w:bookmarkStart w:id="192" w:name="_Ref200491256"/>
      <w:bookmarkStart w:id="193" w:name="_Toc207348608"/>
      <w:r>
        <w:t xml:space="preserve">Table </w:t>
      </w:r>
      <w:r w:rsidR="004F27F5">
        <w:fldChar w:fldCharType="begin"/>
      </w:r>
      <w:r w:rsidR="004F27F5">
        <w:instrText xml:space="preserve"> SEQ Table \* ARABIC </w:instrText>
      </w:r>
      <w:r w:rsidR="004F27F5">
        <w:fldChar w:fldCharType="separate"/>
      </w:r>
      <w:r w:rsidR="004F27F5">
        <w:rPr>
          <w:noProof/>
        </w:rPr>
        <w:t>43</w:t>
      </w:r>
      <w:r w:rsidR="004F27F5">
        <w:rPr>
          <w:noProof/>
        </w:rPr>
        <w:fldChar w:fldCharType="end"/>
      </w:r>
      <w:bookmarkEnd w:id="192"/>
      <w:r>
        <w:t>: Sensitivity analysis results</w:t>
      </w:r>
      <w:r w:rsidR="00573F68">
        <w:t xml:space="preserve"> for facial prostheses</w:t>
      </w:r>
      <w:r w:rsidR="00F57A6A">
        <w:t xml:space="preserve">, </w:t>
      </w:r>
      <w:r>
        <w:t>($, millions)</w:t>
      </w:r>
      <w:bookmarkEnd w:id="193"/>
    </w:p>
    <w:tbl>
      <w:tblPr>
        <w:tblStyle w:val="KPMGTable"/>
        <w:tblW w:w="0" w:type="auto"/>
        <w:tblLayout w:type="fixed"/>
        <w:tblLook w:val="04A0" w:firstRow="1" w:lastRow="0" w:firstColumn="1" w:lastColumn="0" w:noHBand="0" w:noVBand="1"/>
      </w:tblPr>
      <w:tblGrid>
        <w:gridCol w:w="1134"/>
        <w:gridCol w:w="906"/>
        <w:gridCol w:w="906"/>
        <w:gridCol w:w="906"/>
        <w:gridCol w:w="906"/>
        <w:gridCol w:w="906"/>
        <w:gridCol w:w="906"/>
        <w:gridCol w:w="906"/>
        <w:gridCol w:w="906"/>
        <w:gridCol w:w="906"/>
        <w:gridCol w:w="906"/>
      </w:tblGrid>
      <w:tr w:rsidR="00AD6F37" w:rsidRPr="005F53C1" w14:paraId="1524480A" w14:textId="77777777" w:rsidTr="00573F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51BCED5C" w14:textId="44A74499" w:rsidR="00135C3C" w:rsidRPr="005F53C1" w:rsidRDefault="00573F68" w:rsidP="00573F68">
            <w:pPr>
              <w:pStyle w:val="TableHeading"/>
            </w:pPr>
            <w:r>
              <w:t>Scenario</w:t>
            </w:r>
          </w:p>
        </w:tc>
        <w:tc>
          <w:tcPr>
            <w:tcW w:w="906" w:type="dxa"/>
          </w:tcPr>
          <w:p w14:paraId="65B20C13" w14:textId="748BDE4F" w:rsidR="00135C3C" w:rsidRPr="005F53C1" w:rsidRDefault="00135C3C" w:rsidP="00573F68">
            <w:pPr>
              <w:pStyle w:val="TableHeading"/>
              <w:cnfStyle w:val="100000000000" w:firstRow="1" w:lastRow="0" w:firstColumn="0" w:lastColumn="0" w:oddVBand="0" w:evenVBand="0" w:oddHBand="0" w:evenHBand="0" w:firstRowFirstColumn="0" w:firstRowLastColumn="0" w:lastRowFirstColumn="0" w:lastRowLastColumn="0"/>
            </w:pPr>
            <w:r w:rsidRPr="005F53C1">
              <w:t>FY26/27</w:t>
            </w:r>
          </w:p>
        </w:tc>
        <w:tc>
          <w:tcPr>
            <w:tcW w:w="906" w:type="dxa"/>
          </w:tcPr>
          <w:p w14:paraId="0873ECB6" w14:textId="3D1CC7FC" w:rsidR="00135C3C" w:rsidRPr="005F53C1" w:rsidRDefault="00135C3C" w:rsidP="00573F68">
            <w:pPr>
              <w:pStyle w:val="TableHeading"/>
              <w:cnfStyle w:val="100000000000" w:firstRow="1" w:lastRow="0" w:firstColumn="0" w:lastColumn="0" w:oddVBand="0" w:evenVBand="0" w:oddHBand="0" w:evenHBand="0" w:firstRowFirstColumn="0" w:firstRowLastColumn="0" w:lastRowFirstColumn="0" w:lastRowLastColumn="0"/>
            </w:pPr>
            <w:r w:rsidRPr="005F53C1">
              <w:t>FY27/28</w:t>
            </w:r>
          </w:p>
        </w:tc>
        <w:tc>
          <w:tcPr>
            <w:tcW w:w="906" w:type="dxa"/>
          </w:tcPr>
          <w:p w14:paraId="32BFE6D3" w14:textId="558486F4" w:rsidR="00135C3C" w:rsidRPr="005F53C1" w:rsidRDefault="00135C3C" w:rsidP="00573F68">
            <w:pPr>
              <w:pStyle w:val="TableHeading"/>
              <w:cnfStyle w:val="100000000000" w:firstRow="1" w:lastRow="0" w:firstColumn="0" w:lastColumn="0" w:oddVBand="0" w:evenVBand="0" w:oddHBand="0" w:evenHBand="0" w:firstRowFirstColumn="0" w:firstRowLastColumn="0" w:lastRowFirstColumn="0" w:lastRowLastColumn="0"/>
            </w:pPr>
            <w:r w:rsidRPr="005F53C1">
              <w:t>FY28/29</w:t>
            </w:r>
          </w:p>
        </w:tc>
        <w:tc>
          <w:tcPr>
            <w:tcW w:w="906" w:type="dxa"/>
          </w:tcPr>
          <w:p w14:paraId="3204334B" w14:textId="751CD21E" w:rsidR="00135C3C" w:rsidRPr="005F53C1" w:rsidRDefault="00135C3C" w:rsidP="00573F68">
            <w:pPr>
              <w:pStyle w:val="TableHeading"/>
              <w:cnfStyle w:val="100000000000" w:firstRow="1" w:lastRow="0" w:firstColumn="0" w:lastColumn="0" w:oddVBand="0" w:evenVBand="0" w:oddHBand="0" w:evenHBand="0" w:firstRowFirstColumn="0" w:firstRowLastColumn="0" w:lastRowFirstColumn="0" w:lastRowLastColumn="0"/>
            </w:pPr>
            <w:r w:rsidRPr="005F53C1">
              <w:t>FY29/30</w:t>
            </w:r>
          </w:p>
        </w:tc>
        <w:tc>
          <w:tcPr>
            <w:tcW w:w="906" w:type="dxa"/>
          </w:tcPr>
          <w:p w14:paraId="71199014" w14:textId="6CEE9B8A" w:rsidR="00135C3C" w:rsidRPr="005F53C1" w:rsidRDefault="00135C3C" w:rsidP="00573F68">
            <w:pPr>
              <w:pStyle w:val="TableHeading"/>
              <w:cnfStyle w:val="100000000000" w:firstRow="1" w:lastRow="0" w:firstColumn="0" w:lastColumn="0" w:oddVBand="0" w:evenVBand="0" w:oddHBand="0" w:evenHBand="0" w:firstRowFirstColumn="0" w:firstRowLastColumn="0" w:lastRowFirstColumn="0" w:lastRowLastColumn="0"/>
            </w:pPr>
            <w:r w:rsidRPr="005F53C1">
              <w:t>FY30/31</w:t>
            </w:r>
          </w:p>
        </w:tc>
        <w:tc>
          <w:tcPr>
            <w:tcW w:w="906" w:type="dxa"/>
          </w:tcPr>
          <w:p w14:paraId="68256EA3" w14:textId="184C1482" w:rsidR="00135C3C" w:rsidRPr="005F53C1" w:rsidRDefault="00135C3C" w:rsidP="00573F68">
            <w:pPr>
              <w:pStyle w:val="TableHeading"/>
              <w:cnfStyle w:val="100000000000" w:firstRow="1" w:lastRow="0" w:firstColumn="0" w:lastColumn="0" w:oddVBand="0" w:evenVBand="0" w:oddHBand="0" w:evenHBand="0" w:firstRowFirstColumn="0" w:firstRowLastColumn="0" w:lastRowFirstColumn="0" w:lastRowLastColumn="0"/>
            </w:pPr>
            <w:r w:rsidRPr="005F53C1">
              <w:t>FY31/32</w:t>
            </w:r>
          </w:p>
        </w:tc>
        <w:tc>
          <w:tcPr>
            <w:tcW w:w="906" w:type="dxa"/>
          </w:tcPr>
          <w:p w14:paraId="7D5AAA1D" w14:textId="2174096F" w:rsidR="00135C3C" w:rsidRPr="005F53C1" w:rsidRDefault="00135C3C" w:rsidP="00573F68">
            <w:pPr>
              <w:pStyle w:val="TableHeading"/>
              <w:cnfStyle w:val="100000000000" w:firstRow="1" w:lastRow="0" w:firstColumn="0" w:lastColumn="0" w:oddVBand="0" w:evenVBand="0" w:oddHBand="0" w:evenHBand="0" w:firstRowFirstColumn="0" w:firstRowLastColumn="0" w:lastRowFirstColumn="0" w:lastRowLastColumn="0"/>
            </w:pPr>
            <w:r w:rsidRPr="005F53C1">
              <w:t>FY32/33</w:t>
            </w:r>
          </w:p>
        </w:tc>
        <w:tc>
          <w:tcPr>
            <w:tcW w:w="906" w:type="dxa"/>
          </w:tcPr>
          <w:p w14:paraId="31C23E3E" w14:textId="118071F9" w:rsidR="00135C3C" w:rsidRPr="005F53C1" w:rsidRDefault="00135C3C" w:rsidP="00573F68">
            <w:pPr>
              <w:pStyle w:val="TableHeading"/>
              <w:cnfStyle w:val="100000000000" w:firstRow="1" w:lastRow="0" w:firstColumn="0" w:lastColumn="0" w:oddVBand="0" w:evenVBand="0" w:oddHBand="0" w:evenHBand="0" w:firstRowFirstColumn="0" w:firstRowLastColumn="0" w:lastRowFirstColumn="0" w:lastRowLastColumn="0"/>
            </w:pPr>
            <w:r w:rsidRPr="005F53C1">
              <w:t>FY33/34</w:t>
            </w:r>
          </w:p>
        </w:tc>
        <w:tc>
          <w:tcPr>
            <w:tcW w:w="906" w:type="dxa"/>
          </w:tcPr>
          <w:p w14:paraId="727F54BA" w14:textId="0B5239C9" w:rsidR="00135C3C" w:rsidRPr="005F53C1" w:rsidRDefault="00135C3C" w:rsidP="00573F68">
            <w:pPr>
              <w:pStyle w:val="TableHeading"/>
              <w:cnfStyle w:val="100000000000" w:firstRow="1" w:lastRow="0" w:firstColumn="0" w:lastColumn="0" w:oddVBand="0" w:evenVBand="0" w:oddHBand="0" w:evenHBand="0" w:firstRowFirstColumn="0" w:firstRowLastColumn="0" w:lastRowFirstColumn="0" w:lastRowLastColumn="0"/>
            </w:pPr>
            <w:r w:rsidRPr="005F53C1">
              <w:t>FY34/35</w:t>
            </w:r>
          </w:p>
        </w:tc>
        <w:tc>
          <w:tcPr>
            <w:tcW w:w="906" w:type="dxa"/>
          </w:tcPr>
          <w:p w14:paraId="1C9EDA2A" w14:textId="4980611F" w:rsidR="00135C3C" w:rsidRPr="005F53C1" w:rsidRDefault="00135C3C" w:rsidP="00573F68">
            <w:pPr>
              <w:pStyle w:val="TableHeading"/>
              <w:cnfStyle w:val="100000000000" w:firstRow="1" w:lastRow="0" w:firstColumn="0" w:lastColumn="0" w:oddVBand="0" w:evenVBand="0" w:oddHBand="0" w:evenHBand="0" w:firstRowFirstColumn="0" w:firstRowLastColumn="0" w:lastRowFirstColumn="0" w:lastRowLastColumn="0"/>
            </w:pPr>
            <w:r w:rsidRPr="005F53C1">
              <w:t>FY35/36</w:t>
            </w:r>
          </w:p>
        </w:tc>
      </w:tr>
      <w:tr w:rsidR="00677ED1" w:rsidRPr="005F53C1" w14:paraId="3F42AD12" w14:textId="77777777" w:rsidTr="00573F68">
        <w:tc>
          <w:tcPr>
            <w:cnfStyle w:val="001000000000" w:firstRow="0" w:lastRow="0" w:firstColumn="1" w:lastColumn="0" w:oddVBand="0" w:evenVBand="0" w:oddHBand="0" w:evenHBand="0" w:firstRowFirstColumn="0" w:firstRowLastColumn="0" w:lastRowFirstColumn="0" w:lastRowLastColumn="0"/>
            <w:tcW w:w="1134" w:type="dxa"/>
          </w:tcPr>
          <w:p w14:paraId="2BEC65C0" w14:textId="2A7E3F13" w:rsidR="00135C3C" w:rsidRPr="005F53C1" w:rsidRDefault="00C43201" w:rsidP="00573F68">
            <w:pPr>
              <w:pStyle w:val="Tabletextbold"/>
            </w:pPr>
            <w:r w:rsidRPr="00BE5F1E">
              <w:rPr>
                <w:b/>
              </w:rPr>
              <w:t>Baseline</w:t>
            </w:r>
            <w:r w:rsidR="00241B0B">
              <w:rPr>
                <w:b/>
              </w:rPr>
              <w:t xml:space="preserve"> </w:t>
            </w:r>
          </w:p>
        </w:tc>
        <w:tc>
          <w:tcPr>
            <w:tcW w:w="906" w:type="dxa"/>
          </w:tcPr>
          <w:p w14:paraId="2708407B" w14:textId="5CF20DCF" w:rsidR="00135C3C" w:rsidRPr="001872B7" w:rsidRDefault="00C43201" w:rsidP="00573F68">
            <w:pPr>
              <w:pStyle w:val="Tabletextbold"/>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B33A08">
              <w:rPr>
                <w:rFonts w:cs="Arial"/>
                <w:color w:val="000000"/>
                <w:szCs w:val="18"/>
              </w:rPr>
              <w:t>$2.91</w:t>
            </w:r>
          </w:p>
        </w:tc>
        <w:tc>
          <w:tcPr>
            <w:tcW w:w="906" w:type="dxa"/>
          </w:tcPr>
          <w:p w14:paraId="029E7E56" w14:textId="5DE5C77E" w:rsidR="00135C3C" w:rsidRPr="001872B7" w:rsidRDefault="00C43201" w:rsidP="00573F68">
            <w:pPr>
              <w:pStyle w:val="Tabletextbold"/>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B33A08">
              <w:rPr>
                <w:rFonts w:cs="Arial"/>
                <w:color w:val="000000"/>
                <w:szCs w:val="18"/>
              </w:rPr>
              <w:t>$3.18</w:t>
            </w:r>
          </w:p>
        </w:tc>
        <w:tc>
          <w:tcPr>
            <w:tcW w:w="906" w:type="dxa"/>
          </w:tcPr>
          <w:p w14:paraId="15615FF1" w14:textId="048A66A3" w:rsidR="00135C3C" w:rsidRPr="001872B7" w:rsidRDefault="00C43201" w:rsidP="00573F68">
            <w:pPr>
              <w:pStyle w:val="Tabletextbold"/>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B33A08">
              <w:rPr>
                <w:rFonts w:cs="Arial"/>
                <w:color w:val="000000"/>
                <w:szCs w:val="18"/>
              </w:rPr>
              <w:t>$3.32</w:t>
            </w:r>
          </w:p>
        </w:tc>
        <w:tc>
          <w:tcPr>
            <w:tcW w:w="906" w:type="dxa"/>
          </w:tcPr>
          <w:p w14:paraId="53AA6AF5" w14:textId="545BB6F4" w:rsidR="00135C3C" w:rsidRPr="001872B7" w:rsidRDefault="00C43201" w:rsidP="00573F68">
            <w:pPr>
              <w:pStyle w:val="Tabletextbold"/>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B33A08">
              <w:rPr>
                <w:rFonts w:cs="Arial"/>
                <w:color w:val="000000"/>
                <w:szCs w:val="18"/>
              </w:rPr>
              <w:t>$5.63</w:t>
            </w:r>
          </w:p>
        </w:tc>
        <w:tc>
          <w:tcPr>
            <w:tcW w:w="906" w:type="dxa"/>
          </w:tcPr>
          <w:p w14:paraId="4BD611A5" w14:textId="0C6B3127" w:rsidR="00135C3C" w:rsidRPr="001872B7" w:rsidRDefault="00C43201" w:rsidP="00573F68">
            <w:pPr>
              <w:pStyle w:val="Tabletextbold"/>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B33A08">
              <w:rPr>
                <w:rFonts w:cs="Arial"/>
                <w:color w:val="000000"/>
                <w:szCs w:val="18"/>
              </w:rPr>
              <w:t>$5.88</w:t>
            </w:r>
          </w:p>
        </w:tc>
        <w:tc>
          <w:tcPr>
            <w:tcW w:w="906" w:type="dxa"/>
          </w:tcPr>
          <w:p w14:paraId="6E6FBC35" w14:textId="2589B037" w:rsidR="00135C3C" w:rsidRPr="001872B7" w:rsidRDefault="00C43201" w:rsidP="00573F68">
            <w:pPr>
              <w:pStyle w:val="Tabletextbold"/>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B33A08">
              <w:rPr>
                <w:rFonts w:cs="Arial"/>
                <w:color w:val="000000"/>
                <w:szCs w:val="18"/>
              </w:rPr>
              <w:t>$6.14</w:t>
            </w:r>
          </w:p>
        </w:tc>
        <w:tc>
          <w:tcPr>
            <w:tcW w:w="906" w:type="dxa"/>
          </w:tcPr>
          <w:p w14:paraId="4F943237" w14:textId="0292DD3E" w:rsidR="00135C3C" w:rsidRPr="001872B7" w:rsidRDefault="00C43201" w:rsidP="00573F68">
            <w:pPr>
              <w:pStyle w:val="Tabletextbold"/>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B33A08">
              <w:rPr>
                <w:rFonts w:cs="Arial"/>
                <w:color w:val="000000"/>
                <w:szCs w:val="18"/>
              </w:rPr>
              <w:t>$5.86</w:t>
            </w:r>
          </w:p>
        </w:tc>
        <w:tc>
          <w:tcPr>
            <w:tcW w:w="906" w:type="dxa"/>
          </w:tcPr>
          <w:p w14:paraId="035756A7" w14:textId="0A6D65BB" w:rsidR="00135C3C" w:rsidRPr="001872B7" w:rsidRDefault="00C43201" w:rsidP="00573F68">
            <w:pPr>
              <w:pStyle w:val="Tabletextbold"/>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B33A08">
              <w:rPr>
                <w:rFonts w:cs="Arial"/>
                <w:color w:val="000000"/>
                <w:szCs w:val="18"/>
              </w:rPr>
              <w:t>$6.11</w:t>
            </w:r>
          </w:p>
        </w:tc>
        <w:tc>
          <w:tcPr>
            <w:tcW w:w="906" w:type="dxa"/>
          </w:tcPr>
          <w:p w14:paraId="48A40302" w14:textId="537128B4" w:rsidR="00135C3C" w:rsidRPr="001872B7" w:rsidRDefault="00C43201" w:rsidP="00573F68">
            <w:pPr>
              <w:pStyle w:val="Tabletextbold"/>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B33A08">
              <w:rPr>
                <w:rFonts w:cs="Arial"/>
                <w:color w:val="000000"/>
                <w:szCs w:val="18"/>
              </w:rPr>
              <w:t>$6.38</w:t>
            </w:r>
          </w:p>
        </w:tc>
        <w:tc>
          <w:tcPr>
            <w:tcW w:w="906" w:type="dxa"/>
          </w:tcPr>
          <w:p w14:paraId="5714425C" w14:textId="48B592CE" w:rsidR="00135C3C" w:rsidRPr="001872B7" w:rsidRDefault="00C43201" w:rsidP="00573F68">
            <w:pPr>
              <w:pStyle w:val="Tabletextbold"/>
              <w:cnfStyle w:val="000000000000" w:firstRow="0" w:lastRow="0" w:firstColumn="0" w:lastColumn="0" w:oddVBand="0" w:evenVBand="0" w:oddHBand="0" w:evenHBand="0" w:firstRowFirstColumn="0" w:firstRowLastColumn="0" w:lastRowFirstColumn="0" w:lastRowLastColumn="0"/>
              <w:rPr>
                <w:rFonts w:cstheme="minorHAnsi"/>
                <w:color w:val="000000"/>
                <w:szCs w:val="18"/>
              </w:rPr>
            </w:pPr>
            <w:r w:rsidRPr="00B33A08">
              <w:rPr>
                <w:rFonts w:cs="Arial"/>
                <w:color w:val="000000"/>
                <w:szCs w:val="18"/>
              </w:rPr>
              <w:t>$6.21</w:t>
            </w:r>
          </w:p>
        </w:tc>
      </w:tr>
      <w:tr w:rsidR="00677ED1" w:rsidRPr="005F53C1" w14:paraId="6F70B805" w14:textId="77777777" w:rsidTr="00573F68">
        <w:tc>
          <w:tcPr>
            <w:cnfStyle w:val="001000000000" w:firstRow="0" w:lastRow="0" w:firstColumn="1" w:lastColumn="0" w:oddVBand="0" w:evenVBand="0" w:oddHBand="0" w:evenHBand="0" w:firstRowFirstColumn="0" w:firstRowLastColumn="0" w:lastRowFirstColumn="0" w:lastRowLastColumn="0"/>
            <w:tcW w:w="1134" w:type="dxa"/>
          </w:tcPr>
          <w:p w14:paraId="7BF669B8" w14:textId="61397107" w:rsidR="00135C3C" w:rsidRPr="005F53C1" w:rsidRDefault="00135C3C" w:rsidP="00573F68">
            <w:pPr>
              <w:pStyle w:val="Tabletextbold"/>
            </w:pPr>
            <w:r>
              <w:t xml:space="preserve">Scenario 1 </w:t>
            </w:r>
            <w:r w:rsidR="002C394D">
              <w:t>(</w:t>
            </w:r>
            <w:r>
              <w:t>15%)</w:t>
            </w:r>
          </w:p>
        </w:tc>
        <w:tc>
          <w:tcPr>
            <w:tcW w:w="906" w:type="dxa"/>
          </w:tcPr>
          <w:p w14:paraId="3742C469" w14:textId="5817F0A3" w:rsidR="00135C3C" w:rsidRPr="00BE1A65" w:rsidRDefault="002C394D" w:rsidP="00573F68">
            <w:pPr>
              <w:pStyle w:val="TableText"/>
              <w:cnfStyle w:val="000000000000" w:firstRow="0" w:lastRow="0" w:firstColumn="0" w:lastColumn="0" w:oddVBand="0" w:evenVBand="0" w:oddHBand="0" w:evenHBand="0" w:firstRowFirstColumn="0" w:firstRowLastColumn="0" w:lastRowFirstColumn="0" w:lastRowLastColumn="0"/>
            </w:pPr>
            <w:r w:rsidRPr="00BE1A65">
              <w:t>$2.53</w:t>
            </w:r>
          </w:p>
        </w:tc>
        <w:tc>
          <w:tcPr>
            <w:tcW w:w="906" w:type="dxa"/>
          </w:tcPr>
          <w:p w14:paraId="1775C0B2" w14:textId="2C4ECD60" w:rsidR="00135C3C" w:rsidRPr="00BE1A65" w:rsidRDefault="002C394D" w:rsidP="00573F68">
            <w:pPr>
              <w:pStyle w:val="TableText"/>
              <w:cnfStyle w:val="000000000000" w:firstRow="0" w:lastRow="0" w:firstColumn="0" w:lastColumn="0" w:oddVBand="0" w:evenVBand="0" w:oddHBand="0" w:evenHBand="0" w:firstRowFirstColumn="0" w:firstRowLastColumn="0" w:lastRowFirstColumn="0" w:lastRowLastColumn="0"/>
            </w:pPr>
            <w:r w:rsidRPr="00BE1A65">
              <w:t>$2.</w:t>
            </w:r>
            <w:r w:rsidR="00BE1A65" w:rsidRPr="00BE1A65">
              <w:t>76</w:t>
            </w:r>
          </w:p>
        </w:tc>
        <w:tc>
          <w:tcPr>
            <w:tcW w:w="906" w:type="dxa"/>
          </w:tcPr>
          <w:p w14:paraId="1B6E2A42" w14:textId="69919AA0" w:rsidR="00135C3C" w:rsidRPr="00BE1A65" w:rsidRDefault="002C394D" w:rsidP="00573F68">
            <w:pPr>
              <w:pStyle w:val="TableText"/>
              <w:cnfStyle w:val="000000000000" w:firstRow="0" w:lastRow="0" w:firstColumn="0" w:lastColumn="0" w:oddVBand="0" w:evenVBand="0" w:oddHBand="0" w:evenHBand="0" w:firstRowFirstColumn="0" w:firstRowLastColumn="0" w:lastRowFirstColumn="0" w:lastRowLastColumn="0"/>
            </w:pPr>
            <w:r w:rsidRPr="00BE1A65">
              <w:t>$2.</w:t>
            </w:r>
            <w:r w:rsidR="00BE1A65" w:rsidRPr="00BE1A65">
              <w:t>89</w:t>
            </w:r>
          </w:p>
        </w:tc>
        <w:tc>
          <w:tcPr>
            <w:tcW w:w="906" w:type="dxa"/>
          </w:tcPr>
          <w:p w14:paraId="6C57E54A" w14:textId="3838B746" w:rsidR="00135C3C" w:rsidRPr="00BE1A65" w:rsidRDefault="00BE1A65" w:rsidP="00573F68">
            <w:pPr>
              <w:pStyle w:val="TableText"/>
              <w:cnfStyle w:val="000000000000" w:firstRow="0" w:lastRow="0" w:firstColumn="0" w:lastColumn="0" w:oddVBand="0" w:evenVBand="0" w:oddHBand="0" w:evenHBand="0" w:firstRowFirstColumn="0" w:firstRowLastColumn="0" w:lastRowFirstColumn="0" w:lastRowLastColumn="0"/>
            </w:pPr>
            <w:r w:rsidRPr="00BE1A65">
              <w:t>$4.91</w:t>
            </w:r>
          </w:p>
        </w:tc>
        <w:tc>
          <w:tcPr>
            <w:tcW w:w="906" w:type="dxa"/>
          </w:tcPr>
          <w:p w14:paraId="03043462" w14:textId="72C8B925" w:rsidR="00135C3C" w:rsidRPr="00BE1A65" w:rsidRDefault="00BE1A65" w:rsidP="00573F68">
            <w:pPr>
              <w:pStyle w:val="TableText"/>
              <w:cnfStyle w:val="000000000000" w:firstRow="0" w:lastRow="0" w:firstColumn="0" w:lastColumn="0" w:oddVBand="0" w:evenVBand="0" w:oddHBand="0" w:evenHBand="0" w:firstRowFirstColumn="0" w:firstRowLastColumn="0" w:lastRowFirstColumn="0" w:lastRowLastColumn="0"/>
            </w:pPr>
            <w:r w:rsidRPr="00BE1A65">
              <w:t>$5.13</w:t>
            </w:r>
          </w:p>
        </w:tc>
        <w:tc>
          <w:tcPr>
            <w:tcW w:w="906" w:type="dxa"/>
          </w:tcPr>
          <w:p w14:paraId="535A47AD" w14:textId="081712AD" w:rsidR="00135C3C" w:rsidRPr="00BE1A65" w:rsidRDefault="00BE1A65" w:rsidP="00573F68">
            <w:pPr>
              <w:pStyle w:val="TableText"/>
              <w:cnfStyle w:val="000000000000" w:firstRow="0" w:lastRow="0" w:firstColumn="0" w:lastColumn="0" w:oddVBand="0" w:evenVBand="0" w:oddHBand="0" w:evenHBand="0" w:firstRowFirstColumn="0" w:firstRowLastColumn="0" w:lastRowFirstColumn="0" w:lastRowLastColumn="0"/>
            </w:pPr>
            <w:r w:rsidRPr="00BE1A65">
              <w:t>$5.35</w:t>
            </w:r>
          </w:p>
        </w:tc>
        <w:tc>
          <w:tcPr>
            <w:tcW w:w="906" w:type="dxa"/>
          </w:tcPr>
          <w:p w14:paraId="497C9AE8" w14:textId="041D65C5" w:rsidR="00135C3C" w:rsidRPr="00BE1A65" w:rsidRDefault="00BE1A65" w:rsidP="00573F68">
            <w:pPr>
              <w:pStyle w:val="TableText"/>
              <w:cnfStyle w:val="000000000000" w:firstRow="0" w:lastRow="0" w:firstColumn="0" w:lastColumn="0" w:oddVBand="0" w:evenVBand="0" w:oddHBand="0" w:evenHBand="0" w:firstRowFirstColumn="0" w:firstRowLastColumn="0" w:lastRowFirstColumn="0" w:lastRowLastColumn="0"/>
            </w:pPr>
            <w:r w:rsidRPr="00BE1A65">
              <w:t>$5.10</w:t>
            </w:r>
          </w:p>
        </w:tc>
        <w:tc>
          <w:tcPr>
            <w:tcW w:w="906" w:type="dxa"/>
          </w:tcPr>
          <w:p w14:paraId="4C4F85B4" w14:textId="0536140E" w:rsidR="00135C3C" w:rsidRPr="00BE1A65" w:rsidRDefault="00BE1A65" w:rsidP="00573F68">
            <w:pPr>
              <w:pStyle w:val="TableText"/>
              <w:cnfStyle w:val="000000000000" w:firstRow="0" w:lastRow="0" w:firstColumn="0" w:lastColumn="0" w:oddVBand="0" w:evenVBand="0" w:oddHBand="0" w:evenHBand="0" w:firstRowFirstColumn="0" w:firstRowLastColumn="0" w:lastRowFirstColumn="0" w:lastRowLastColumn="0"/>
            </w:pPr>
            <w:r w:rsidRPr="00BE1A65">
              <w:t>$5.32</w:t>
            </w:r>
          </w:p>
        </w:tc>
        <w:tc>
          <w:tcPr>
            <w:tcW w:w="906" w:type="dxa"/>
          </w:tcPr>
          <w:p w14:paraId="21C938E9" w14:textId="117A3C32" w:rsidR="00135C3C" w:rsidRPr="00BE1A65" w:rsidRDefault="00BE1A65" w:rsidP="00573F68">
            <w:pPr>
              <w:pStyle w:val="TableText"/>
              <w:cnfStyle w:val="000000000000" w:firstRow="0" w:lastRow="0" w:firstColumn="0" w:lastColumn="0" w:oddVBand="0" w:evenVBand="0" w:oddHBand="0" w:evenHBand="0" w:firstRowFirstColumn="0" w:firstRowLastColumn="0" w:lastRowFirstColumn="0" w:lastRowLastColumn="0"/>
            </w:pPr>
            <w:r w:rsidRPr="00BE1A65">
              <w:t>$5.55</w:t>
            </w:r>
          </w:p>
        </w:tc>
        <w:tc>
          <w:tcPr>
            <w:tcW w:w="906" w:type="dxa"/>
          </w:tcPr>
          <w:p w14:paraId="3F991969" w14:textId="2CDB04AE" w:rsidR="00135C3C" w:rsidRPr="00BE1A65" w:rsidRDefault="00BE1A65" w:rsidP="00573F68">
            <w:pPr>
              <w:pStyle w:val="TableText"/>
              <w:cnfStyle w:val="000000000000" w:firstRow="0" w:lastRow="0" w:firstColumn="0" w:lastColumn="0" w:oddVBand="0" w:evenVBand="0" w:oddHBand="0" w:evenHBand="0" w:firstRowFirstColumn="0" w:firstRowLastColumn="0" w:lastRowFirstColumn="0" w:lastRowLastColumn="0"/>
            </w:pPr>
            <w:r w:rsidRPr="00BE1A65">
              <w:t>$5.40</w:t>
            </w:r>
          </w:p>
        </w:tc>
      </w:tr>
      <w:tr w:rsidR="00677ED1" w:rsidRPr="005F53C1" w14:paraId="1D769461" w14:textId="77777777" w:rsidTr="00573F68">
        <w:tc>
          <w:tcPr>
            <w:cnfStyle w:val="001000000000" w:firstRow="0" w:lastRow="0" w:firstColumn="1" w:lastColumn="0" w:oddVBand="0" w:evenVBand="0" w:oddHBand="0" w:evenHBand="0" w:firstRowFirstColumn="0" w:firstRowLastColumn="0" w:lastRowFirstColumn="0" w:lastRowLastColumn="0"/>
            <w:tcW w:w="1134" w:type="dxa"/>
          </w:tcPr>
          <w:p w14:paraId="7C82AAA7" w14:textId="0CA09989" w:rsidR="00135C3C" w:rsidRPr="003A2FEB" w:rsidRDefault="00135C3C" w:rsidP="00573F68">
            <w:pPr>
              <w:pStyle w:val="Tabletextbold"/>
            </w:pPr>
            <w:r w:rsidRPr="003A2FEB">
              <w:t xml:space="preserve">Scenario </w:t>
            </w:r>
            <w:r w:rsidR="00F57A6A">
              <w:t xml:space="preserve">2 </w:t>
            </w:r>
            <w:r w:rsidR="00D30D61">
              <w:t>(+</w:t>
            </w:r>
            <w:r w:rsidR="00F57A6A">
              <w:t>15</w:t>
            </w:r>
            <w:r w:rsidRPr="003A2FEB">
              <w:t>%)</w:t>
            </w:r>
          </w:p>
        </w:tc>
        <w:tc>
          <w:tcPr>
            <w:tcW w:w="906" w:type="dxa"/>
          </w:tcPr>
          <w:p w14:paraId="3BD9D695" w14:textId="698F9BED" w:rsidR="00135C3C" w:rsidRPr="00BE1A65" w:rsidRDefault="00D30D61" w:rsidP="00573F68">
            <w:pPr>
              <w:pStyle w:val="TableText"/>
              <w:cnfStyle w:val="000000000000" w:firstRow="0" w:lastRow="0" w:firstColumn="0" w:lastColumn="0" w:oddVBand="0" w:evenVBand="0" w:oddHBand="0" w:evenHBand="0" w:firstRowFirstColumn="0" w:firstRowLastColumn="0" w:lastRowFirstColumn="0" w:lastRowLastColumn="0"/>
            </w:pPr>
            <w:r w:rsidRPr="00BE1A65">
              <w:t>$3.30</w:t>
            </w:r>
          </w:p>
        </w:tc>
        <w:tc>
          <w:tcPr>
            <w:tcW w:w="906" w:type="dxa"/>
          </w:tcPr>
          <w:p w14:paraId="2F09ED2B" w14:textId="3B4C44F9" w:rsidR="00135C3C" w:rsidRPr="00BE1A65" w:rsidRDefault="00F57A6A" w:rsidP="00573F68">
            <w:pPr>
              <w:pStyle w:val="TableText"/>
              <w:cnfStyle w:val="000000000000" w:firstRow="0" w:lastRow="0" w:firstColumn="0" w:lastColumn="0" w:oddVBand="0" w:evenVBand="0" w:oddHBand="0" w:evenHBand="0" w:firstRowFirstColumn="0" w:firstRowLastColumn="0" w:lastRowFirstColumn="0" w:lastRowLastColumn="0"/>
            </w:pPr>
            <w:r w:rsidRPr="00BE1A65">
              <w:t>$</w:t>
            </w:r>
            <w:r w:rsidR="00D30D61" w:rsidRPr="00BE1A65">
              <w:t>3</w:t>
            </w:r>
            <w:r w:rsidRPr="00BE1A65">
              <w:t>.59</w:t>
            </w:r>
          </w:p>
        </w:tc>
        <w:tc>
          <w:tcPr>
            <w:tcW w:w="906" w:type="dxa"/>
          </w:tcPr>
          <w:p w14:paraId="2ADC58B3" w14:textId="072FE075" w:rsidR="00135C3C" w:rsidRPr="00BE1A65" w:rsidRDefault="00D30D61" w:rsidP="00573F68">
            <w:pPr>
              <w:pStyle w:val="TableText"/>
              <w:cnfStyle w:val="000000000000" w:firstRow="0" w:lastRow="0" w:firstColumn="0" w:lastColumn="0" w:oddVBand="0" w:evenVBand="0" w:oddHBand="0" w:evenHBand="0" w:firstRowFirstColumn="0" w:firstRowLastColumn="0" w:lastRowFirstColumn="0" w:lastRowLastColumn="0"/>
            </w:pPr>
            <w:r w:rsidRPr="00BE1A65">
              <w:t>$3.75</w:t>
            </w:r>
          </w:p>
        </w:tc>
        <w:tc>
          <w:tcPr>
            <w:tcW w:w="906" w:type="dxa"/>
          </w:tcPr>
          <w:p w14:paraId="624388D7" w14:textId="10902AB8" w:rsidR="00135C3C" w:rsidRPr="00BE1A65" w:rsidRDefault="00D30D61" w:rsidP="00573F68">
            <w:pPr>
              <w:pStyle w:val="TableText"/>
              <w:cnfStyle w:val="000000000000" w:firstRow="0" w:lastRow="0" w:firstColumn="0" w:lastColumn="0" w:oddVBand="0" w:evenVBand="0" w:oddHBand="0" w:evenHBand="0" w:firstRowFirstColumn="0" w:firstRowLastColumn="0" w:lastRowFirstColumn="0" w:lastRowLastColumn="0"/>
            </w:pPr>
            <w:r w:rsidRPr="00BE1A65">
              <w:t>$6.36</w:t>
            </w:r>
          </w:p>
        </w:tc>
        <w:tc>
          <w:tcPr>
            <w:tcW w:w="906" w:type="dxa"/>
          </w:tcPr>
          <w:p w14:paraId="53E59AB0" w14:textId="39D5BD83" w:rsidR="00135C3C" w:rsidRPr="00BE1A65" w:rsidRDefault="00D30D61" w:rsidP="00573F68">
            <w:pPr>
              <w:pStyle w:val="TableText"/>
              <w:cnfStyle w:val="000000000000" w:firstRow="0" w:lastRow="0" w:firstColumn="0" w:lastColumn="0" w:oddVBand="0" w:evenVBand="0" w:oddHBand="0" w:evenHBand="0" w:firstRowFirstColumn="0" w:firstRowLastColumn="0" w:lastRowFirstColumn="0" w:lastRowLastColumn="0"/>
            </w:pPr>
            <w:r w:rsidRPr="00BE1A65">
              <w:t>$6.64</w:t>
            </w:r>
          </w:p>
        </w:tc>
        <w:tc>
          <w:tcPr>
            <w:tcW w:w="906" w:type="dxa"/>
          </w:tcPr>
          <w:p w14:paraId="2A6C3212" w14:textId="00CB5E88" w:rsidR="00135C3C" w:rsidRPr="00BE1A65" w:rsidRDefault="00D30D61" w:rsidP="00573F68">
            <w:pPr>
              <w:pStyle w:val="TableText"/>
              <w:cnfStyle w:val="000000000000" w:firstRow="0" w:lastRow="0" w:firstColumn="0" w:lastColumn="0" w:oddVBand="0" w:evenVBand="0" w:oddHBand="0" w:evenHBand="0" w:firstRowFirstColumn="0" w:firstRowLastColumn="0" w:lastRowFirstColumn="0" w:lastRowLastColumn="0"/>
            </w:pPr>
            <w:r w:rsidRPr="00BE1A65">
              <w:t>$6.93</w:t>
            </w:r>
          </w:p>
        </w:tc>
        <w:tc>
          <w:tcPr>
            <w:tcW w:w="906" w:type="dxa"/>
          </w:tcPr>
          <w:p w14:paraId="13C9B81B" w14:textId="4799669E" w:rsidR="00135C3C" w:rsidRPr="00BE1A65" w:rsidRDefault="00D30D61" w:rsidP="00573F68">
            <w:pPr>
              <w:pStyle w:val="TableText"/>
              <w:cnfStyle w:val="000000000000" w:firstRow="0" w:lastRow="0" w:firstColumn="0" w:lastColumn="0" w:oddVBand="0" w:evenVBand="0" w:oddHBand="0" w:evenHBand="0" w:firstRowFirstColumn="0" w:firstRowLastColumn="0" w:lastRowFirstColumn="0" w:lastRowLastColumn="0"/>
            </w:pPr>
            <w:r w:rsidRPr="00BE1A65">
              <w:t>$6.62</w:t>
            </w:r>
          </w:p>
        </w:tc>
        <w:tc>
          <w:tcPr>
            <w:tcW w:w="906" w:type="dxa"/>
          </w:tcPr>
          <w:p w14:paraId="3CA895F0" w14:textId="7395F8C7" w:rsidR="00135C3C" w:rsidRPr="00BE1A65" w:rsidRDefault="00D30D61" w:rsidP="00573F68">
            <w:pPr>
              <w:pStyle w:val="TableText"/>
              <w:cnfStyle w:val="000000000000" w:firstRow="0" w:lastRow="0" w:firstColumn="0" w:lastColumn="0" w:oddVBand="0" w:evenVBand="0" w:oddHBand="0" w:evenHBand="0" w:firstRowFirstColumn="0" w:firstRowLastColumn="0" w:lastRowFirstColumn="0" w:lastRowLastColumn="0"/>
            </w:pPr>
            <w:r w:rsidRPr="00BE1A65">
              <w:t>$6.91</w:t>
            </w:r>
          </w:p>
        </w:tc>
        <w:tc>
          <w:tcPr>
            <w:tcW w:w="906" w:type="dxa"/>
          </w:tcPr>
          <w:p w14:paraId="2A8CDF85" w14:textId="55729EBA" w:rsidR="00135C3C" w:rsidRPr="00BE1A65" w:rsidRDefault="00D30D61" w:rsidP="00573F68">
            <w:pPr>
              <w:pStyle w:val="TableText"/>
              <w:cnfStyle w:val="000000000000" w:firstRow="0" w:lastRow="0" w:firstColumn="0" w:lastColumn="0" w:oddVBand="0" w:evenVBand="0" w:oddHBand="0" w:evenHBand="0" w:firstRowFirstColumn="0" w:firstRowLastColumn="0" w:lastRowFirstColumn="0" w:lastRowLastColumn="0"/>
            </w:pPr>
            <w:r w:rsidRPr="00BE1A65">
              <w:t>$7.20</w:t>
            </w:r>
          </w:p>
        </w:tc>
        <w:tc>
          <w:tcPr>
            <w:tcW w:w="906" w:type="dxa"/>
          </w:tcPr>
          <w:p w14:paraId="7967C828" w14:textId="1F128D83" w:rsidR="00135C3C" w:rsidRPr="00BE1A65" w:rsidRDefault="00D30D61" w:rsidP="00573F68">
            <w:pPr>
              <w:pStyle w:val="TableText"/>
              <w:cnfStyle w:val="000000000000" w:firstRow="0" w:lastRow="0" w:firstColumn="0" w:lastColumn="0" w:oddVBand="0" w:evenVBand="0" w:oddHBand="0" w:evenHBand="0" w:firstRowFirstColumn="0" w:firstRowLastColumn="0" w:lastRowFirstColumn="0" w:lastRowLastColumn="0"/>
            </w:pPr>
            <w:r w:rsidRPr="00BE1A65">
              <w:t>$7.01</w:t>
            </w:r>
          </w:p>
        </w:tc>
      </w:tr>
    </w:tbl>
    <w:p w14:paraId="75B83AE9" w14:textId="3FC98CB0" w:rsidR="00573F68" w:rsidRPr="00573F68" w:rsidRDefault="00573F68" w:rsidP="00573F68">
      <w:pPr>
        <w:pStyle w:val="Caption-Source"/>
      </w:pPr>
      <w:r w:rsidRPr="00573F68">
        <w:t xml:space="preserve">Source: </w:t>
      </w:r>
      <w:r w:rsidR="0044544E" w:rsidRPr="0044544E">
        <w:t>Independent reviewer</w:t>
      </w:r>
      <w:r w:rsidRPr="00573F68">
        <w:t xml:space="preserve"> (2025)</w:t>
      </w:r>
    </w:p>
    <w:p w14:paraId="238201CA" w14:textId="468B416F" w:rsidR="00573F68" w:rsidRDefault="00573F68" w:rsidP="00573F68">
      <w:pPr>
        <w:pStyle w:val="Caption"/>
      </w:pPr>
      <w:bookmarkStart w:id="194" w:name="_Ref207203376"/>
      <w:bookmarkStart w:id="195" w:name="_Toc207348609"/>
      <w:r>
        <w:t xml:space="preserve">Table </w:t>
      </w:r>
      <w:r w:rsidR="004F27F5">
        <w:fldChar w:fldCharType="begin"/>
      </w:r>
      <w:r w:rsidR="004F27F5">
        <w:instrText xml:space="preserve"> SEQ Table \* ARABIC </w:instrText>
      </w:r>
      <w:r w:rsidR="004F27F5">
        <w:fldChar w:fldCharType="separate"/>
      </w:r>
      <w:r w:rsidR="004F27F5">
        <w:rPr>
          <w:noProof/>
        </w:rPr>
        <w:t>44</w:t>
      </w:r>
      <w:r w:rsidR="004F27F5">
        <w:rPr>
          <w:noProof/>
        </w:rPr>
        <w:fldChar w:fldCharType="end"/>
      </w:r>
      <w:bookmarkEnd w:id="194"/>
      <w:r>
        <w:t xml:space="preserve">: </w:t>
      </w:r>
      <w:r w:rsidRPr="0012496C">
        <w:t xml:space="preserve">Sensitivity analysis results for </w:t>
      </w:r>
      <w:r>
        <w:t>limb</w:t>
      </w:r>
      <w:r w:rsidRPr="0012496C">
        <w:t xml:space="preserve"> prostheses, ($, millions)</w:t>
      </w:r>
      <w:bookmarkEnd w:id="195"/>
    </w:p>
    <w:tbl>
      <w:tblPr>
        <w:tblStyle w:val="KPMGTable"/>
        <w:tblW w:w="0" w:type="auto"/>
        <w:tblLayout w:type="fixed"/>
        <w:tblLook w:val="04A0" w:firstRow="1" w:lastRow="0" w:firstColumn="1" w:lastColumn="0" w:noHBand="0" w:noVBand="1"/>
      </w:tblPr>
      <w:tblGrid>
        <w:gridCol w:w="1134"/>
        <w:gridCol w:w="906"/>
        <w:gridCol w:w="906"/>
        <w:gridCol w:w="906"/>
        <w:gridCol w:w="906"/>
        <w:gridCol w:w="906"/>
        <w:gridCol w:w="906"/>
        <w:gridCol w:w="906"/>
        <w:gridCol w:w="906"/>
        <w:gridCol w:w="906"/>
        <w:gridCol w:w="906"/>
      </w:tblGrid>
      <w:tr w:rsidR="00AD6F37" w:rsidRPr="005F53C1" w14:paraId="5D3BDA44" w14:textId="77777777" w:rsidTr="00573F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2229DCFA" w14:textId="0C02AC58" w:rsidR="00573F68" w:rsidRPr="00BE5F1E" w:rsidRDefault="00573F68" w:rsidP="00573F68">
            <w:pPr>
              <w:pStyle w:val="TableHeading"/>
              <w:rPr>
                <w:bCs/>
                <w:szCs w:val="18"/>
              </w:rPr>
            </w:pPr>
            <w:r>
              <w:t>Scenario</w:t>
            </w:r>
          </w:p>
        </w:tc>
        <w:tc>
          <w:tcPr>
            <w:tcW w:w="906" w:type="dxa"/>
          </w:tcPr>
          <w:p w14:paraId="3B0F25A8" w14:textId="5D9A6F8D" w:rsidR="00573F68" w:rsidRPr="009954E3" w:rsidRDefault="00573F68" w:rsidP="00573F68">
            <w:pPr>
              <w:pStyle w:val="TableHeading"/>
              <w:cnfStyle w:val="100000000000" w:firstRow="1" w:lastRow="0" w:firstColumn="0" w:lastColumn="0" w:oddVBand="0" w:evenVBand="0" w:oddHBand="0" w:evenHBand="0" w:firstRowFirstColumn="0" w:firstRowLastColumn="0" w:lastRowFirstColumn="0" w:lastRowLastColumn="0"/>
              <w:rPr>
                <w:rFonts w:cs="Arial"/>
                <w:bCs/>
                <w:color w:val="000000"/>
                <w:szCs w:val="18"/>
              </w:rPr>
            </w:pPr>
            <w:r w:rsidRPr="005F53C1">
              <w:t>FY26/27</w:t>
            </w:r>
          </w:p>
        </w:tc>
        <w:tc>
          <w:tcPr>
            <w:tcW w:w="906" w:type="dxa"/>
          </w:tcPr>
          <w:p w14:paraId="4F2478C5" w14:textId="08B66E49" w:rsidR="00573F68" w:rsidRPr="009954E3" w:rsidRDefault="00573F68" w:rsidP="00573F68">
            <w:pPr>
              <w:pStyle w:val="TableHeading"/>
              <w:cnfStyle w:val="100000000000" w:firstRow="1" w:lastRow="0" w:firstColumn="0" w:lastColumn="0" w:oddVBand="0" w:evenVBand="0" w:oddHBand="0" w:evenHBand="0" w:firstRowFirstColumn="0" w:firstRowLastColumn="0" w:lastRowFirstColumn="0" w:lastRowLastColumn="0"/>
              <w:rPr>
                <w:rFonts w:cs="Arial"/>
                <w:bCs/>
                <w:color w:val="000000"/>
                <w:szCs w:val="18"/>
              </w:rPr>
            </w:pPr>
            <w:r w:rsidRPr="005F53C1">
              <w:t>FY27/28</w:t>
            </w:r>
          </w:p>
        </w:tc>
        <w:tc>
          <w:tcPr>
            <w:tcW w:w="906" w:type="dxa"/>
          </w:tcPr>
          <w:p w14:paraId="4539F622" w14:textId="59B195DF" w:rsidR="00573F68" w:rsidRPr="009954E3" w:rsidRDefault="00573F68" w:rsidP="00573F68">
            <w:pPr>
              <w:pStyle w:val="TableHeading"/>
              <w:cnfStyle w:val="100000000000" w:firstRow="1" w:lastRow="0" w:firstColumn="0" w:lastColumn="0" w:oddVBand="0" w:evenVBand="0" w:oddHBand="0" w:evenHBand="0" w:firstRowFirstColumn="0" w:firstRowLastColumn="0" w:lastRowFirstColumn="0" w:lastRowLastColumn="0"/>
              <w:rPr>
                <w:rFonts w:cs="Arial"/>
                <w:bCs/>
                <w:color w:val="000000"/>
                <w:szCs w:val="18"/>
              </w:rPr>
            </w:pPr>
            <w:r w:rsidRPr="005F53C1">
              <w:t>FY28/29</w:t>
            </w:r>
          </w:p>
        </w:tc>
        <w:tc>
          <w:tcPr>
            <w:tcW w:w="906" w:type="dxa"/>
          </w:tcPr>
          <w:p w14:paraId="5BA444A6" w14:textId="0CCF846D" w:rsidR="00573F68" w:rsidRPr="009954E3" w:rsidRDefault="00573F68" w:rsidP="00573F68">
            <w:pPr>
              <w:pStyle w:val="TableHeading"/>
              <w:cnfStyle w:val="100000000000" w:firstRow="1" w:lastRow="0" w:firstColumn="0" w:lastColumn="0" w:oddVBand="0" w:evenVBand="0" w:oddHBand="0" w:evenHBand="0" w:firstRowFirstColumn="0" w:firstRowLastColumn="0" w:lastRowFirstColumn="0" w:lastRowLastColumn="0"/>
              <w:rPr>
                <w:rFonts w:cs="Arial"/>
                <w:bCs/>
                <w:color w:val="000000"/>
                <w:szCs w:val="18"/>
              </w:rPr>
            </w:pPr>
            <w:r w:rsidRPr="005F53C1">
              <w:t>FY29/30</w:t>
            </w:r>
          </w:p>
        </w:tc>
        <w:tc>
          <w:tcPr>
            <w:tcW w:w="906" w:type="dxa"/>
          </w:tcPr>
          <w:p w14:paraId="47EA8D63" w14:textId="1017F91B" w:rsidR="00573F68" w:rsidRPr="009954E3" w:rsidRDefault="00573F68" w:rsidP="00573F68">
            <w:pPr>
              <w:pStyle w:val="TableHeading"/>
              <w:cnfStyle w:val="100000000000" w:firstRow="1" w:lastRow="0" w:firstColumn="0" w:lastColumn="0" w:oddVBand="0" w:evenVBand="0" w:oddHBand="0" w:evenHBand="0" w:firstRowFirstColumn="0" w:firstRowLastColumn="0" w:lastRowFirstColumn="0" w:lastRowLastColumn="0"/>
              <w:rPr>
                <w:rFonts w:cs="Arial"/>
                <w:bCs/>
                <w:color w:val="000000"/>
                <w:szCs w:val="18"/>
              </w:rPr>
            </w:pPr>
            <w:r w:rsidRPr="005F53C1">
              <w:t>FY30/31</w:t>
            </w:r>
          </w:p>
        </w:tc>
        <w:tc>
          <w:tcPr>
            <w:tcW w:w="906" w:type="dxa"/>
          </w:tcPr>
          <w:p w14:paraId="0C3EFD30" w14:textId="02BC3A6F" w:rsidR="00573F68" w:rsidRPr="009954E3" w:rsidRDefault="00573F68" w:rsidP="00573F68">
            <w:pPr>
              <w:pStyle w:val="TableHeading"/>
              <w:cnfStyle w:val="100000000000" w:firstRow="1" w:lastRow="0" w:firstColumn="0" w:lastColumn="0" w:oddVBand="0" w:evenVBand="0" w:oddHBand="0" w:evenHBand="0" w:firstRowFirstColumn="0" w:firstRowLastColumn="0" w:lastRowFirstColumn="0" w:lastRowLastColumn="0"/>
              <w:rPr>
                <w:rFonts w:cs="Arial"/>
                <w:bCs/>
                <w:color w:val="000000"/>
                <w:szCs w:val="18"/>
              </w:rPr>
            </w:pPr>
            <w:r w:rsidRPr="005F53C1">
              <w:t>FY31/32</w:t>
            </w:r>
          </w:p>
        </w:tc>
        <w:tc>
          <w:tcPr>
            <w:tcW w:w="906" w:type="dxa"/>
          </w:tcPr>
          <w:p w14:paraId="6783D554" w14:textId="0A1A5B97" w:rsidR="00573F68" w:rsidRPr="009954E3" w:rsidRDefault="00573F68" w:rsidP="00573F68">
            <w:pPr>
              <w:pStyle w:val="TableHeading"/>
              <w:cnfStyle w:val="100000000000" w:firstRow="1" w:lastRow="0" w:firstColumn="0" w:lastColumn="0" w:oddVBand="0" w:evenVBand="0" w:oddHBand="0" w:evenHBand="0" w:firstRowFirstColumn="0" w:firstRowLastColumn="0" w:lastRowFirstColumn="0" w:lastRowLastColumn="0"/>
              <w:rPr>
                <w:rFonts w:cs="Arial"/>
                <w:bCs/>
                <w:color w:val="000000"/>
                <w:szCs w:val="18"/>
              </w:rPr>
            </w:pPr>
            <w:r w:rsidRPr="005F53C1">
              <w:t>FY32/33</w:t>
            </w:r>
          </w:p>
        </w:tc>
        <w:tc>
          <w:tcPr>
            <w:tcW w:w="906" w:type="dxa"/>
          </w:tcPr>
          <w:p w14:paraId="479BEEE0" w14:textId="30386A3A" w:rsidR="00573F68" w:rsidRPr="009954E3" w:rsidRDefault="00573F68" w:rsidP="00573F68">
            <w:pPr>
              <w:pStyle w:val="TableHeading"/>
              <w:cnfStyle w:val="100000000000" w:firstRow="1" w:lastRow="0" w:firstColumn="0" w:lastColumn="0" w:oddVBand="0" w:evenVBand="0" w:oddHBand="0" w:evenHBand="0" w:firstRowFirstColumn="0" w:firstRowLastColumn="0" w:lastRowFirstColumn="0" w:lastRowLastColumn="0"/>
              <w:rPr>
                <w:rFonts w:cs="Arial"/>
                <w:bCs/>
                <w:color w:val="000000"/>
                <w:szCs w:val="18"/>
              </w:rPr>
            </w:pPr>
            <w:r w:rsidRPr="005F53C1">
              <w:t>FY33/34</w:t>
            </w:r>
          </w:p>
        </w:tc>
        <w:tc>
          <w:tcPr>
            <w:tcW w:w="906" w:type="dxa"/>
          </w:tcPr>
          <w:p w14:paraId="4427EEC7" w14:textId="7F5010A5" w:rsidR="00573F68" w:rsidRPr="009954E3" w:rsidRDefault="00573F68" w:rsidP="00573F68">
            <w:pPr>
              <w:pStyle w:val="TableHeading"/>
              <w:cnfStyle w:val="100000000000" w:firstRow="1" w:lastRow="0" w:firstColumn="0" w:lastColumn="0" w:oddVBand="0" w:evenVBand="0" w:oddHBand="0" w:evenHBand="0" w:firstRowFirstColumn="0" w:firstRowLastColumn="0" w:lastRowFirstColumn="0" w:lastRowLastColumn="0"/>
              <w:rPr>
                <w:rFonts w:cs="Arial"/>
                <w:bCs/>
                <w:color w:val="000000"/>
                <w:szCs w:val="18"/>
              </w:rPr>
            </w:pPr>
            <w:r w:rsidRPr="005F53C1">
              <w:t>FY34/35</w:t>
            </w:r>
          </w:p>
        </w:tc>
        <w:tc>
          <w:tcPr>
            <w:tcW w:w="906" w:type="dxa"/>
          </w:tcPr>
          <w:p w14:paraId="4B00153E" w14:textId="3D9B75E0" w:rsidR="00573F68" w:rsidRPr="009954E3" w:rsidRDefault="00573F68" w:rsidP="00573F68">
            <w:pPr>
              <w:pStyle w:val="TableHeading"/>
              <w:cnfStyle w:val="100000000000" w:firstRow="1" w:lastRow="0" w:firstColumn="0" w:lastColumn="0" w:oddVBand="0" w:evenVBand="0" w:oddHBand="0" w:evenHBand="0" w:firstRowFirstColumn="0" w:firstRowLastColumn="0" w:lastRowFirstColumn="0" w:lastRowLastColumn="0"/>
              <w:rPr>
                <w:rFonts w:cs="Arial"/>
                <w:bCs/>
                <w:color w:val="000000"/>
                <w:szCs w:val="18"/>
              </w:rPr>
            </w:pPr>
            <w:r w:rsidRPr="005F53C1">
              <w:t>FY35/36</w:t>
            </w:r>
          </w:p>
        </w:tc>
      </w:tr>
      <w:tr w:rsidR="00677ED1" w:rsidRPr="005F53C1" w14:paraId="48682101" w14:textId="77777777" w:rsidTr="00573F68">
        <w:tc>
          <w:tcPr>
            <w:cnfStyle w:val="001000000000" w:firstRow="0" w:lastRow="0" w:firstColumn="1" w:lastColumn="0" w:oddVBand="0" w:evenVBand="0" w:oddHBand="0" w:evenHBand="0" w:firstRowFirstColumn="0" w:firstRowLastColumn="0" w:lastRowFirstColumn="0" w:lastRowLastColumn="0"/>
            <w:tcW w:w="1134" w:type="dxa"/>
          </w:tcPr>
          <w:p w14:paraId="25A69EC1" w14:textId="15F39294" w:rsidR="009E47F2" w:rsidRDefault="009E47F2" w:rsidP="00573F68">
            <w:pPr>
              <w:pStyle w:val="Tabletextbold"/>
            </w:pPr>
            <w:r w:rsidRPr="00BE5F1E">
              <w:rPr>
                <w:b/>
              </w:rPr>
              <w:t>Baseline</w:t>
            </w:r>
            <w:r>
              <w:rPr>
                <w:b/>
              </w:rPr>
              <w:t xml:space="preserve"> </w:t>
            </w:r>
          </w:p>
        </w:tc>
        <w:tc>
          <w:tcPr>
            <w:tcW w:w="906" w:type="dxa"/>
          </w:tcPr>
          <w:p w14:paraId="04250871" w14:textId="5613A8D3" w:rsidR="009E47F2" w:rsidRPr="009954E3" w:rsidRDefault="00601711" w:rsidP="00573F68">
            <w:pPr>
              <w:pStyle w:val="Tabletextbol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9954E3">
              <w:rPr>
                <w:rFonts w:cs="Arial"/>
                <w:color w:val="000000"/>
                <w:szCs w:val="18"/>
              </w:rPr>
              <w:t>$5.01</w:t>
            </w:r>
          </w:p>
        </w:tc>
        <w:tc>
          <w:tcPr>
            <w:tcW w:w="906" w:type="dxa"/>
          </w:tcPr>
          <w:p w14:paraId="1BC17E9E" w14:textId="080F0B19" w:rsidR="009E47F2" w:rsidRPr="009954E3" w:rsidRDefault="00601711" w:rsidP="00573F68">
            <w:pPr>
              <w:pStyle w:val="Tabletextbol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9954E3">
              <w:rPr>
                <w:rFonts w:cs="Arial"/>
                <w:color w:val="000000"/>
                <w:szCs w:val="18"/>
              </w:rPr>
              <w:t>$5.47</w:t>
            </w:r>
          </w:p>
        </w:tc>
        <w:tc>
          <w:tcPr>
            <w:tcW w:w="906" w:type="dxa"/>
          </w:tcPr>
          <w:p w14:paraId="69232347" w14:textId="07ADED54" w:rsidR="009E47F2" w:rsidRPr="009954E3" w:rsidRDefault="00601711" w:rsidP="00573F68">
            <w:pPr>
              <w:pStyle w:val="Tabletextbol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9954E3">
              <w:rPr>
                <w:rFonts w:cs="Arial"/>
                <w:color w:val="000000"/>
                <w:szCs w:val="18"/>
              </w:rPr>
              <w:t>$5.79</w:t>
            </w:r>
          </w:p>
        </w:tc>
        <w:tc>
          <w:tcPr>
            <w:tcW w:w="906" w:type="dxa"/>
          </w:tcPr>
          <w:p w14:paraId="040D3742" w14:textId="76B4FC76" w:rsidR="009E47F2" w:rsidRPr="009954E3" w:rsidRDefault="00601711" w:rsidP="00573F68">
            <w:pPr>
              <w:pStyle w:val="Tabletextbol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9954E3">
              <w:rPr>
                <w:rFonts w:cs="Arial"/>
                <w:color w:val="000000"/>
                <w:szCs w:val="18"/>
              </w:rPr>
              <w:t>$9.35</w:t>
            </w:r>
          </w:p>
        </w:tc>
        <w:tc>
          <w:tcPr>
            <w:tcW w:w="906" w:type="dxa"/>
          </w:tcPr>
          <w:p w14:paraId="0A0D9800" w14:textId="55FC59D3" w:rsidR="009E47F2" w:rsidRPr="009954E3" w:rsidRDefault="00601711" w:rsidP="00573F68">
            <w:pPr>
              <w:pStyle w:val="Tabletextbol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9954E3">
              <w:rPr>
                <w:rFonts w:cs="Arial"/>
                <w:color w:val="000000"/>
                <w:szCs w:val="18"/>
              </w:rPr>
              <w:t>$9.87</w:t>
            </w:r>
          </w:p>
        </w:tc>
        <w:tc>
          <w:tcPr>
            <w:tcW w:w="906" w:type="dxa"/>
          </w:tcPr>
          <w:p w14:paraId="468CF43E" w14:textId="4CF9806B" w:rsidR="009E47F2" w:rsidRPr="009954E3" w:rsidRDefault="00601711" w:rsidP="00573F68">
            <w:pPr>
              <w:pStyle w:val="Tabletextbol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9954E3">
              <w:rPr>
                <w:rFonts w:cs="Arial"/>
                <w:color w:val="000000"/>
                <w:szCs w:val="18"/>
              </w:rPr>
              <w:t>$10.40</w:t>
            </w:r>
          </w:p>
        </w:tc>
        <w:tc>
          <w:tcPr>
            <w:tcW w:w="906" w:type="dxa"/>
          </w:tcPr>
          <w:p w14:paraId="2882C9DD" w14:textId="6194D1EB" w:rsidR="009E47F2" w:rsidRPr="009954E3" w:rsidRDefault="00601711" w:rsidP="00573F68">
            <w:pPr>
              <w:pStyle w:val="Tabletextbol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9954E3">
              <w:rPr>
                <w:rFonts w:cs="Arial"/>
                <w:color w:val="000000"/>
                <w:szCs w:val="18"/>
              </w:rPr>
              <w:t>$9.58</w:t>
            </w:r>
          </w:p>
        </w:tc>
        <w:tc>
          <w:tcPr>
            <w:tcW w:w="906" w:type="dxa"/>
          </w:tcPr>
          <w:p w14:paraId="3C86E6DF" w14:textId="09C308F5" w:rsidR="009E47F2" w:rsidRPr="009954E3" w:rsidRDefault="00601711" w:rsidP="00573F68">
            <w:pPr>
              <w:pStyle w:val="Tabletextbol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9954E3">
              <w:rPr>
                <w:rFonts w:cs="Arial"/>
                <w:color w:val="000000"/>
                <w:szCs w:val="18"/>
              </w:rPr>
              <w:t>$10.10</w:t>
            </w:r>
          </w:p>
        </w:tc>
        <w:tc>
          <w:tcPr>
            <w:tcW w:w="906" w:type="dxa"/>
          </w:tcPr>
          <w:p w14:paraId="1E53CCB6" w14:textId="6F42BC96" w:rsidR="009E47F2" w:rsidRPr="009954E3" w:rsidRDefault="00601711" w:rsidP="00573F68">
            <w:pPr>
              <w:pStyle w:val="Tabletextbol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9954E3">
              <w:rPr>
                <w:rFonts w:cs="Arial"/>
                <w:color w:val="000000"/>
                <w:szCs w:val="18"/>
              </w:rPr>
              <w:t>$10.64</w:t>
            </w:r>
          </w:p>
        </w:tc>
        <w:tc>
          <w:tcPr>
            <w:tcW w:w="906" w:type="dxa"/>
          </w:tcPr>
          <w:p w14:paraId="0FE1117A" w14:textId="201EC36A" w:rsidR="009E47F2" w:rsidRPr="009954E3" w:rsidRDefault="00601711" w:rsidP="00573F68">
            <w:pPr>
              <w:pStyle w:val="Tabletextbol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9954E3">
              <w:rPr>
                <w:rFonts w:cs="Arial"/>
                <w:color w:val="000000"/>
                <w:szCs w:val="18"/>
              </w:rPr>
              <w:t>$10.16</w:t>
            </w:r>
          </w:p>
        </w:tc>
      </w:tr>
      <w:tr w:rsidR="00677ED1" w:rsidRPr="005F53C1" w14:paraId="716D1E79" w14:textId="77777777" w:rsidTr="00573F68">
        <w:tc>
          <w:tcPr>
            <w:cnfStyle w:val="001000000000" w:firstRow="0" w:lastRow="0" w:firstColumn="1" w:lastColumn="0" w:oddVBand="0" w:evenVBand="0" w:oddHBand="0" w:evenHBand="0" w:firstRowFirstColumn="0" w:firstRowLastColumn="0" w:lastRowFirstColumn="0" w:lastRowLastColumn="0"/>
            <w:tcW w:w="1134" w:type="dxa"/>
          </w:tcPr>
          <w:p w14:paraId="74A4EA4A" w14:textId="598B393B" w:rsidR="00241B0B" w:rsidRDefault="00241B0B" w:rsidP="00573F68">
            <w:pPr>
              <w:pStyle w:val="Tabletextbold"/>
            </w:pPr>
            <w:r>
              <w:t>Scenario 1A (-30%)</w:t>
            </w:r>
          </w:p>
        </w:tc>
        <w:tc>
          <w:tcPr>
            <w:tcW w:w="906" w:type="dxa"/>
          </w:tcPr>
          <w:p w14:paraId="75BD08F9" w14:textId="07D1DD5A" w:rsidR="00241B0B" w:rsidRPr="00BE1A65" w:rsidRDefault="009954E3" w:rsidP="00573F68">
            <w:pPr>
              <w:pStyle w:val="TableText"/>
              <w:cnfStyle w:val="000000000000" w:firstRow="0" w:lastRow="0" w:firstColumn="0" w:lastColumn="0" w:oddVBand="0" w:evenVBand="0" w:oddHBand="0" w:evenHBand="0" w:firstRowFirstColumn="0" w:firstRowLastColumn="0" w:lastRowFirstColumn="0" w:lastRowLastColumn="0"/>
            </w:pPr>
            <w:r w:rsidRPr="009954E3">
              <w:t>$3.55</w:t>
            </w:r>
          </w:p>
        </w:tc>
        <w:tc>
          <w:tcPr>
            <w:tcW w:w="906" w:type="dxa"/>
          </w:tcPr>
          <w:p w14:paraId="700E2E77" w14:textId="19258CA8" w:rsidR="00241B0B" w:rsidRPr="00BE1A65" w:rsidRDefault="009954E3" w:rsidP="00573F68">
            <w:pPr>
              <w:pStyle w:val="TableText"/>
              <w:cnfStyle w:val="000000000000" w:firstRow="0" w:lastRow="0" w:firstColumn="0" w:lastColumn="0" w:oddVBand="0" w:evenVBand="0" w:oddHBand="0" w:evenHBand="0" w:firstRowFirstColumn="0" w:firstRowLastColumn="0" w:lastRowFirstColumn="0" w:lastRowLastColumn="0"/>
            </w:pPr>
            <w:r w:rsidRPr="009954E3">
              <w:t>$3.88</w:t>
            </w:r>
          </w:p>
        </w:tc>
        <w:tc>
          <w:tcPr>
            <w:tcW w:w="906" w:type="dxa"/>
          </w:tcPr>
          <w:p w14:paraId="6B198EBA" w14:textId="5091BD08" w:rsidR="00241B0B" w:rsidRPr="00BE1A65" w:rsidRDefault="009954E3" w:rsidP="00573F68">
            <w:pPr>
              <w:pStyle w:val="TableText"/>
              <w:cnfStyle w:val="000000000000" w:firstRow="0" w:lastRow="0" w:firstColumn="0" w:lastColumn="0" w:oddVBand="0" w:evenVBand="0" w:oddHBand="0" w:evenHBand="0" w:firstRowFirstColumn="0" w:firstRowLastColumn="0" w:lastRowFirstColumn="0" w:lastRowLastColumn="0"/>
            </w:pPr>
            <w:r w:rsidRPr="009954E3">
              <w:t>$4.10</w:t>
            </w:r>
          </w:p>
        </w:tc>
        <w:tc>
          <w:tcPr>
            <w:tcW w:w="906" w:type="dxa"/>
          </w:tcPr>
          <w:p w14:paraId="4E856D61" w14:textId="020DB7FF" w:rsidR="00241B0B" w:rsidRPr="00BE1A65" w:rsidRDefault="009954E3" w:rsidP="00573F68">
            <w:pPr>
              <w:pStyle w:val="TableText"/>
              <w:cnfStyle w:val="000000000000" w:firstRow="0" w:lastRow="0" w:firstColumn="0" w:lastColumn="0" w:oddVBand="0" w:evenVBand="0" w:oddHBand="0" w:evenHBand="0" w:firstRowFirstColumn="0" w:firstRowLastColumn="0" w:lastRowFirstColumn="0" w:lastRowLastColumn="0"/>
            </w:pPr>
            <w:r w:rsidRPr="009954E3">
              <w:t>$6.63</w:t>
            </w:r>
          </w:p>
        </w:tc>
        <w:tc>
          <w:tcPr>
            <w:tcW w:w="906" w:type="dxa"/>
          </w:tcPr>
          <w:p w14:paraId="6FC20D29" w14:textId="63586E2D" w:rsidR="00241B0B" w:rsidRPr="00BE1A65" w:rsidRDefault="009954E3" w:rsidP="00573F68">
            <w:pPr>
              <w:pStyle w:val="TableText"/>
              <w:cnfStyle w:val="000000000000" w:firstRow="0" w:lastRow="0" w:firstColumn="0" w:lastColumn="0" w:oddVBand="0" w:evenVBand="0" w:oddHBand="0" w:evenHBand="0" w:firstRowFirstColumn="0" w:firstRowLastColumn="0" w:lastRowFirstColumn="0" w:lastRowLastColumn="0"/>
            </w:pPr>
            <w:r w:rsidRPr="009954E3">
              <w:t>$7.00</w:t>
            </w:r>
          </w:p>
        </w:tc>
        <w:tc>
          <w:tcPr>
            <w:tcW w:w="906" w:type="dxa"/>
          </w:tcPr>
          <w:p w14:paraId="027FBF75" w14:textId="5287AB8F" w:rsidR="00241B0B" w:rsidRPr="00BE1A65" w:rsidRDefault="009954E3" w:rsidP="00573F68">
            <w:pPr>
              <w:pStyle w:val="TableText"/>
              <w:cnfStyle w:val="000000000000" w:firstRow="0" w:lastRow="0" w:firstColumn="0" w:lastColumn="0" w:oddVBand="0" w:evenVBand="0" w:oddHBand="0" w:evenHBand="0" w:firstRowFirstColumn="0" w:firstRowLastColumn="0" w:lastRowFirstColumn="0" w:lastRowLastColumn="0"/>
            </w:pPr>
            <w:r w:rsidRPr="009954E3">
              <w:t>$7.38</w:t>
            </w:r>
          </w:p>
        </w:tc>
        <w:tc>
          <w:tcPr>
            <w:tcW w:w="906" w:type="dxa"/>
          </w:tcPr>
          <w:p w14:paraId="79E08BCB" w14:textId="39CD7D6B" w:rsidR="00241B0B" w:rsidRPr="00BE1A65" w:rsidRDefault="009954E3" w:rsidP="00573F68">
            <w:pPr>
              <w:pStyle w:val="TableText"/>
              <w:cnfStyle w:val="000000000000" w:firstRow="0" w:lastRow="0" w:firstColumn="0" w:lastColumn="0" w:oddVBand="0" w:evenVBand="0" w:oddHBand="0" w:evenHBand="0" w:firstRowFirstColumn="0" w:firstRowLastColumn="0" w:lastRowFirstColumn="0" w:lastRowLastColumn="0"/>
            </w:pPr>
            <w:r w:rsidRPr="009954E3">
              <w:t>$6.80</w:t>
            </w:r>
          </w:p>
        </w:tc>
        <w:tc>
          <w:tcPr>
            <w:tcW w:w="906" w:type="dxa"/>
          </w:tcPr>
          <w:p w14:paraId="365FF5F7" w14:textId="1B513E00" w:rsidR="00241B0B" w:rsidRPr="00BE1A65" w:rsidRDefault="009954E3" w:rsidP="00573F68">
            <w:pPr>
              <w:pStyle w:val="TableText"/>
              <w:cnfStyle w:val="000000000000" w:firstRow="0" w:lastRow="0" w:firstColumn="0" w:lastColumn="0" w:oddVBand="0" w:evenVBand="0" w:oddHBand="0" w:evenHBand="0" w:firstRowFirstColumn="0" w:firstRowLastColumn="0" w:lastRowFirstColumn="0" w:lastRowLastColumn="0"/>
            </w:pPr>
            <w:r w:rsidRPr="009954E3">
              <w:t>$7.17</w:t>
            </w:r>
          </w:p>
        </w:tc>
        <w:tc>
          <w:tcPr>
            <w:tcW w:w="906" w:type="dxa"/>
          </w:tcPr>
          <w:p w14:paraId="1A6BE205" w14:textId="16C44E75" w:rsidR="00241B0B" w:rsidRPr="00BE1A65" w:rsidRDefault="009954E3" w:rsidP="00573F68">
            <w:pPr>
              <w:pStyle w:val="TableText"/>
              <w:cnfStyle w:val="000000000000" w:firstRow="0" w:lastRow="0" w:firstColumn="0" w:lastColumn="0" w:oddVBand="0" w:evenVBand="0" w:oddHBand="0" w:evenHBand="0" w:firstRowFirstColumn="0" w:firstRowLastColumn="0" w:lastRowFirstColumn="0" w:lastRowLastColumn="0"/>
            </w:pPr>
            <w:r w:rsidRPr="009954E3">
              <w:t>$7.55</w:t>
            </w:r>
          </w:p>
        </w:tc>
        <w:tc>
          <w:tcPr>
            <w:tcW w:w="906" w:type="dxa"/>
          </w:tcPr>
          <w:p w14:paraId="37CA92C3" w14:textId="0402AAC9" w:rsidR="00241B0B" w:rsidRPr="00BE1A65" w:rsidRDefault="009954E3" w:rsidP="00573F68">
            <w:pPr>
              <w:pStyle w:val="TableText"/>
              <w:cnfStyle w:val="000000000000" w:firstRow="0" w:lastRow="0" w:firstColumn="0" w:lastColumn="0" w:oddVBand="0" w:evenVBand="0" w:oddHBand="0" w:evenHBand="0" w:firstRowFirstColumn="0" w:firstRowLastColumn="0" w:lastRowFirstColumn="0" w:lastRowLastColumn="0"/>
            </w:pPr>
            <w:r w:rsidRPr="009954E3">
              <w:t>$7.21</w:t>
            </w:r>
          </w:p>
        </w:tc>
      </w:tr>
      <w:tr w:rsidR="00677ED1" w:rsidRPr="005F53C1" w14:paraId="7AA8402B" w14:textId="77777777" w:rsidTr="00573F68">
        <w:tc>
          <w:tcPr>
            <w:cnfStyle w:val="001000000000" w:firstRow="0" w:lastRow="0" w:firstColumn="1" w:lastColumn="0" w:oddVBand="0" w:evenVBand="0" w:oddHBand="0" w:evenHBand="0" w:firstRowFirstColumn="0" w:firstRowLastColumn="0" w:lastRowFirstColumn="0" w:lastRowLastColumn="0"/>
            <w:tcW w:w="1134" w:type="dxa"/>
          </w:tcPr>
          <w:p w14:paraId="2C62DBDE" w14:textId="1A2B3CD5" w:rsidR="00241B0B" w:rsidRDefault="00241B0B" w:rsidP="00573F68">
            <w:pPr>
              <w:pStyle w:val="Tabletextbold"/>
            </w:pPr>
            <w:r>
              <w:t>Scenario 2A (+30%)</w:t>
            </w:r>
          </w:p>
        </w:tc>
        <w:tc>
          <w:tcPr>
            <w:tcW w:w="906" w:type="dxa"/>
          </w:tcPr>
          <w:p w14:paraId="67999283" w14:textId="321815DA" w:rsidR="00241B0B" w:rsidRPr="00BE1A65" w:rsidRDefault="00335721" w:rsidP="00573F68">
            <w:pPr>
              <w:pStyle w:val="TableText"/>
              <w:cnfStyle w:val="000000000000" w:firstRow="0" w:lastRow="0" w:firstColumn="0" w:lastColumn="0" w:oddVBand="0" w:evenVBand="0" w:oddHBand="0" w:evenHBand="0" w:firstRowFirstColumn="0" w:firstRowLastColumn="0" w:lastRowFirstColumn="0" w:lastRowLastColumn="0"/>
            </w:pPr>
            <w:r w:rsidRPr="009954E3">
              <w:t>$6.47</w:t>
            </w:r>
          </w:p>
        </w:tc>
        <w:tc>
          <w:tcPr>
            <w:tcW w:w="906" w:type="dxa"/>
          </w:tcPr>
          <w:p w14:paraId="099694A5" w14:textId="610B13D3" w:rsidR="00241B0B" w:rsidRPr="00BE1A65" w:rsidRDefault="00335721" w:rsidP="00573F68">
            <w:pPr>
              <w:pStyle w:val="TableText"/>
              <w:cnfStyle w:val="000000000000" w:firstRow="0" w:lastRow="0" w:firstColumn="0" w:lastColumn="0" w:oddVBand="0" w:evenVBand="0" w:oddHBand="0" w:evenHBand="0" w:firstRowFirstColumn="0" w:firstRowLastColumn="0" w:lastRowFirstColumn="0" w:lastRowLastColumn="0"/>
            </w:pPr>
            <w:r w:rsidRPr="009954E3">
              <w:t>$7.06</w:t>
            </w:r>
          </w:p>
        </w:tc>
        <w:tc>
          <w:tcPr>
            <w:tcW w:w="906" w:type="dxa"/>
          </w:tcPr>
          <w:p w14:paraId="70D12461" w14:textId="0104785F" w:rsidR="00241B0B" w:rsidRPr="00BE1A65" w:rsidRDefault="00335721" w:rsidP="00573F68">
            <w:pPr>
              <w:pStyle w:val="TableText"/>
              <w:cnfStyle w:val="000000000000" w:firstRow="0" w:lastRow="0" w:firstColumn="0" w:lastColumn="0" w:oddVBand="0" w:evenVBand="0" w:oddHBand="0" w:evenHBand="0" w:firstRowFirstColumn="0" w:firstRowLastColumn="0" w:lastRowFirstColumn="0" w:lastRowLastColumn="0"/>
            </w:pPr>
            <w:r w:rsidRPr="009954E3">
              <w:t>$7.47</w:t>
            </w:r>
          </w:p>
        </w:tc>
        <w:tc>
          <w:tcPr>
            <w:tcW w:w="906" w:type="dxa"/>
          </w:tcPr>
          <w:p w14:paraId="226D7E0C" w14:textId="238A8B83" w:rsidR="00241B0B" w:rsidRPr="00BE1A65" w:rsidRDefault="00335721" w:rsidP="00573F68">
            <w:pPr>
              <w:pStyle w:val="TableText"/>
              <w:cnfStyle w:val="000000000000" w:firstRow="0" w:lastRow="0" w:firstColumn="0" w:lastColumn="0" w:oddVBand="0" w:evenVBand="0" w:oddHBand="0" w:evenHBand="0" w:firstRowFirstColumn="0" w:firstRowLastColumn="0" w:lastRowFirstColumn="0" w:lastRowLastColumn="0"/>
            </w:pPr>
            <w:r w:rsidRPr="009954E3">
              <w:t>$12.06</w:t>
            </w:r>
          </w:p>
        </w:tc>
        <w:tc>
          <w:tcPr>
            <w:tcW w:w="906" w:type="dxa"/>
          </w:tcPr>
          <w:p w14:paraId="5D895FE9" w14:textId="1516E082" w:rsidR="00241B0B" w:rsidRPr="00BE1A65" w:rsidRDefault="00335721" w:rsidP="00573F68">
            <w:pPr>
              <w:pStyle w:val="TableText"/>
              <w:cnfStyle w:val="000000000000" w:firstRow="0" w:lastRow="0" w:firstColumn="0" w:lastColumn="0" w:oddVBand="0" w:evenVBand="0" w:oddHBand="0" w:evenHBand="0" w:firstRowFirstColumn="0" w:firstRowLastColumn="0" w:lastRowFirstColumn="0" w:lastRowLastColumn="0"/>
            </w:pPr>
            <w:r w:rsidRPr="009954E3">
              <w:t>$12.73</w:t>
            </w:r>
          </w:p>
        </w:tc>
        <w:tc>
          <w:tcPr>
            <w:tcW w:w="906" w:type="dxa"/>
          </w:tcPr>
          <w:p w14:paraId="7A314768" w14:textId="29AF97E2" w:rsidR="00241B0B" w:rsidRPr="00BE1A65" w:rsidRDefault="00335721" w:rsidP="00573F68">
            <w:pPr>
              <w:pStyle w:val="TableText"/>
              <w:cnfStyle w:val="000000000000" w:firstRow="0" w:lastRow="0" w:firstColumn="0" w:lastColumn="0" w:oddVBand="0" w:evenVBand="0" w:oddHBand="0" w:evenHBand="0" w:firstRowFirstColumn="0" w:firstRowLastColumn="0" w:lastRowFirstColumn="0" w:lastRowLastColumn="0"/>
            </w:pPr>
            <w:r w:rsidRPr="009954E3">
              <w:t>$13.42</w:t>
            </w:r>
          </w:p>
        </w:tc>
        <w:tc>
          <w:tcPr>
            <w:tcW w:w="906" w:type="dxa"/>
          </w:tcPr>
          <w:p w14:paraId="4F8D51D9" w14:textId="50628138" w:rsidR="00241B0B" w:rsidRPr="00BE1A65" w:rsidRDefault="00335721" w:rsidP="00573F68">
            <w:pPr>
              <w:pStyle w:val="TableText"/>
              <w:cnfStyle w:val="000000000000" w:firstRow="0" w:lastRow="0" w:firstColumn="0" w:lastColumn="0" w:oddVBand="0" w:evenVBand="0" w:oddHBand="0" w:evenHBand="0" w:firstRowFirstColumn="0" w:firstRowLastColumn="0" w:lastRowFirstColumn="0" w:lastRowLastColumn="0"/>
            </w:pPr>
            <w:r w:rsidRPr="009954E3">
              <w:t>$12.37</w:t>
            </w:r>
          </w:p>
        </w:tc>
        <w:tc>
          <w:tcPr>
            <w:tcW w:w="906" w:type="dxa"/>
          </w:tcPr>
          <w:p w14:paraId="7B89CF6A" w14:textId="6E0427CE" w:rsidR="00241B0B" w:rsidRPr="00BE1A65" w:rsidRDefault="00335721" w:rsidP="00573F68">
            <w:pPr>
              <w:pStyle w:val="TableText"/>
              <w:cnfStyle w:val="000000000000" w:firstRow="0" w:lastRow="0" w:firstColumn="0" w:lastColumn="0" w:oddVBand="0" w:evenVBand="0" w:oddHBand="0" w:evenHBand="0" w:firstRowFirstColumn="0" w:firstRowLastColumn="0" w:lastRowFirstColumn="0" w:lastRowLastColumn="0"/>
            </w:pPr>
            <w:r w:rsidRPr="009954E3">
              <w:t>$13.04</w:t>
            </w:r>
          </w:p>
        </w:tc>
        <w:tc>
          <w:tcPr>
            <w:tcW w:w="906" w:type="dxa"/>
          </w:tcPr>
          <w:p w14:paraId="70E710B0" w14:textId="307805EB" w:rsidR="00241B0B" w:rsidRPr="00BE1A65" w:rsidRDefault="00335721" w:rsidP="00573F68">
            <w:pPr>
              <w:pStyle w:val="TableText"/>
              <w:cnfStyle w:val="000000000000" w:firstRow="0" w:lastRow="0" w:firstColumn="0" w:lastColumn="0" w:oddVBand="0" w:evenVBand="0" w:oddHBand="0" w:evenHBand="0" w:firstRowFirstColumn="0" w:firstRowLastColumn="0" w:lastRowFirstColumn="0" w:lastRowLastColumn="0"/>
            </w:pPr>
            <w:r w:rsidRPr="009954E3">
              <w:t>$13.73</w:t>
            </w:r>
          </w:p>
        </w:tc>
        <w:tc>
          <w:tcPr>
            <w:tcW w:w="906" w:type="dxa"/>
          </w:tcPr>
          <w:p w14:paraId="6B782174" w14:textId="0787DA6C" w:rsidR="00241B0B" w:rsidRPr="00BE1A65" w:rsidRDefault="00335721" w:rsidP="00573F68">
            <w:pPr>
              <w:pStyle w:val="TableText"/>
              <w:cnfStyle w:val="000000000000" w:firstRow="0" w:lastRow="0" w:firstColumn="0" w:lastColumn="0" w:oddVBand="0" w:evenVBand="0" w:oddHBand="0" w:evenHBand="0" w:firstRowFirstColumn="0" w:firstRowLastColumn="0" w:lastRowFirstColumn="0" w:lastRowLastColumn="0"/>
            </w:pPr>
            <w:r w:rsidRPr="009954E3">
              <w:t>$13.12</w:t>
            </w:r>
          </w:p>
        </w:tc>
      </w:tr>
    </w:tbl>
    <w:p w14:paraId="3539AF31" w14:textId="1FF4D76C" w:rsidR="00135C3C" w:rsidRPr="00E34C31" w:rsidRDefault="00135C3C" w:rsidP="00717A40">
      <w:pPr>
        <w:pStyle w:val="Caption-Source"/>
        <w:rPr>
          <w:i/>
          <w:color w:val="auto"/>
          <w:szCs w:val="20"/>
        </w:rPr>
      </w:pPr>
      <w:r w:rsidRPr="00E34C31">
        <w:t xml:space="preserve">Source: </w:t>
      </w:r>
      <w:r w:rsidR="0044544E" w:rsidRPr="0044544E">
        <w:t>Independent reviewer</w:t>
      </w:r>
      <w:r w:rsidR="00584D02" w:rsidRPr="00CD3106">
        <w:t xml:space="preserve"> (</w:t>
      </w:r>
      <w:r w:rsidR="00941174" w:rsidRPr="00CD3106">
        <w:t>2025</w:t>
      </w:r>
      <w:r w:rsidR="00584D02" w:rsidRPr="00CD3106">
        <w:t>)</w:t>
      </w:r>
    </w:p>
    <w:p w14:paraId="440514D7" w14:textId="0F5F08C2" w:rsidR="00826807" w:rsidRPr="00131CDF" w:rsidRDefault="00A37E64" w:rsidP="00DD71E7">
      <w:pPr>
        <w:sectPr w:rsidR="00826807" w:rsidRPr="00131CDF" w:rsidSect="00E42C94">
          <w:headerReference w:type="even" r:id="rId86"/>
          <w:headerReference w:type="default" r:id="rId87"/>
          <w:headerReference w:type="first" r:id="rId88"/>
          <w:pgSz w:w="11906" w:h="16838"/>
          <w:pgMar w:top="1418" w:right="851" w:bottom="1418" w:left="851" w:header="567" w:footer="284" w:gutter="0"/>
          <w:cols w:space="708"/>
          <w:docGrid w:linePitch="360"/>
        </w:sectPr>
      </w:pPr>
      <w:r>
        <w:t xml:space="preserve">For </w:t>
      </w:r>
      <w:r w:rsidR="006B585B">
        <w:t>prosthetic</w:t>
      </w:r>
      <w:r>
        <w:t xml:space="preserve"> limbs, a variation in average cost of </w:t>
      </w:r>
      <w:r>
        <w:rPr>
          <w:rFonts w:cstheme="minorHAnsi"/>
        </w:rPr>
        <w:t>±</w:t>
      </w:r>
      <w:r>
        <w:t>30% would result in a $</w:t>
      </w:r>
      <w:r w:rsidR="00F72738">
        <w:t>25.10</w:t>
      </w:r>
      <w:r>
        <w:t xml:space="preserve"> million dollar difference in the total cost of </w:t>
      </w:r>
      <w:r w:rsidR="00993698">
        <w:t>prosthetic</w:t>
      </w:r>
      <w:r w:rsidR="00F72738">
        <w:t xml:space="preserve"> limbs</w:t>
      </w:r>
      <w:r>
        <w:t xml:space="preserve"> over the 10-year modelling period, with total costs equal to $</w:t>
      </w:r>
      <w:r w:rsidR="00F32C90">
        <w:t>61.27</w:t>
      </w:r>
      <w:r>
        <w:t xml:space="preserve"> million over 10 years at the lower estimate and $</w:t>
      </w:r>
      <w:r w:rsidR="00F32C90">
        <w:t>111.47</w:t>
      </w:r>
      <w:r>
        <w:t xml:space="preserve"> million over 10 years at the higher cost estimate. This compares to the $</w:t>
      </w:r>
      <w:r w:rsidR="00F32C90">
        <w:t>86.</w:t>
      </w:r>
      <w:r w:rsidR="002C407D">
        <w:t>37</w:t>
      </w:r>
      <w:r>
        <w:t xml:space="preserve"> million costs for facial prostheses described as part of Option </w:t>
      </w:r>
      <w:r w:rsidR="002C407D">
        <w:t>2</w:t>
      </w:r>
    </w:p>
    <w:p w14:paraId="74769485" w14:textId="7701A936" w:rsidR="009675CE" w:rsidRDefault="00D412DA" w:rsidP="00DD71E7">
      <w:pPr>
        <w:sectPr w:rsidR="009675CE" w:rsidSect="00956611">
          <w:headerReference w:type="even" r:id="rId89"/>
          <w:headerReference w:type="default" r:id="rId90"/>
          <w:headerReference w:type="first" r:id="rId91"/>
          <w:pgSz w:w="11906" w:h="16838"/>
          <w:pgMar w:top="851" w:right="851" w:bottom="851" w:left="851" w:header="567" w:footer="283" w:gutter="0"/>
          <w:cols w:space="708"/>
          <w:docGrid w:linePitch="360"/>
        </w:sectPr>
      </w:pPr>
      <w:r w:rsidRPr="00DD71E7">
        <w:drawing>
          <wp:anchor distT="0" distB="0" distL="114300" distR="114300" simplePos="0" relativeHeight="251658245" behindDoc="1" locked="1" layoutInCell="1" allowOverlap="1" wp14:anchorId="15C578B4" wp14:editId="17EABA34">
            <wp:simplePos x="0" y="0"/>
            <wp:positionH relativeFrom="page">
              <wp:align>left</wp:align>
            </wp:positionH>
            <wp:positionV relativeFrom="page">
              <wp:align>top</wp:align>
            </wp:positionV>
            <wp:extent cx="7559675" cy="10691495"/>
            <wp:effectExtent l="0" t="0" r="3175" b="0"/>
            <wp:wrapNone/>
            <wp:docPr id="41162471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24718" name="Graphic 1">
                      <a:extLst>
                        <a:ext uri="{C183D7F6-B498-43B3-948B-1728B52AA6E4}">
                          <adec:decorative xmlns:adec="http://schemas.microsoft.com/office/drawing/2017/decorative" val="1"/>
                        </a:ext>
                      </a:extLst>
                    </pic:cNvPr>
                    <pic:cNvPicPr/>
                  </pic:nvPicPr>
                  <pic:blipFill>
                    <a:blip r:embed="rId92">
                      <a:extLst>
                        <a:ext uri="{28A0092B-C50C-407E-A947-70E740481C1C}">
                          <a14:useLocalDpi xmlns:a14="http://schemas.microsoft.com/office/drawing/2010/main" val="0"/>
                        </a:ext>
                      </a:extLst>
                    </a:blip>
                    <a:stretch>
                      <a:fillRect/>
                    </a:stretch>
                  </pic:blipFill>
                  <pic:spPr>
                    <a:xfrm>
                      <a:off x="0" y="0"/>
                      <a:ext cx="7559847" cy="10692000"/>
                    </a:xfrm>
                    <a:prstGeom prst="rect">
                      <a:avLst/>
                    </a:prstGeom>
                  </pic:spPr>
                </pic:pic>
              </a:graphicData>
            </a:graphic>
            <wp14:sizeRelH relativeFrom="margin">
              <wp14:pctWidth>0</wp14:pctWidth>
            </wp14:sizeRelH>
            <wp14:sizeRelV relativeFrom="margin">
              <wp14:pctHeight>0</wp14:pctHeight>
            </wp14:sizeRelV>
          </wp:anchor>
        </w:drawing>
      </w:r>
    </w:p>
    <w:p w14:paraId="637A30CD" w14:textId="57E48D47" w:rsidR="00E9773C" w:rsidRDefault="00CC7D5E" w:rsidP="00E94C9D">
      <w:pPr>
        <w:pStyle w:val="Appendixheading"/>
        <w:spacing w:after="360"/>
      </w:pPr>
      <w:bookmarkStart w:id="196" w:name="_Ref184074348"/>
      <w:bookmarkStart w:id="197" w:name="_Ref184074353"/>
      <w:bookmarkStart w:id="198" w:name="_Ref184074356"/>
      <w:bookmarkStart w:id="199" w:name="_Ref184074359"/>
      <w:bookmarkStart w:id="200" w:name="_Ref193185819"/>
      <w:bookmarkStart w:id="201" w:name="_Ref196307624"/>
      <w:bookmarkStart w:id="202" w:name="_Toc207348758"/>
      <w:r>
        <w:t xml:space="preserve">: </w:t>
      </w:r>
      <w:bookmarkEnd w:id="196"/>
      <w:bookmarkEnd w:id="197"/>
      <w:bookmarkEnd w:id="198"/>
      <w:bookmarkEnd w:id="199"/>
      <w:bookmarkEnd w:id="200"/>
      <w:r w:rsidR="00826807">
        <w:t>Key review questions</w:t>
      </w:r>
      <w:bookmarkEnd w:id="201"/>
      <w:bookmarkEnd w:id="202"/>
    </w:p>
    <w:p w14:paraId="222F2D0E" w14:textId="3DD0F2A3" w:rsidR="00B275A0" w:rsidRPr="00DD71E7" w:rsidRDefault="00B275A0" w:rsidP="00DD71E7">
      <w:r w:rsidRPr="00DD71E7">
        <w:t>The Key Review Questions (KRQs) are the high-level questions that the review activities were aimed at answering.</w:t>
      </w:r>
      <w:r w:rsidRPr="00DD71E7" w:rsidDel="004E56E7">
        <w:t xml:space="preserve"> </w:t>
      </w:r>
      <w:r w:rsidRPr="00DD71E7">
        <w:fldChar w:fldCharType="begin"/>
      </w:r>
      <w:r w:rsidRPr="00DD71E7">
        <w:rPr>
          <w:highlight w:val="yellow"/>
        </w:rPr>
        <w:instrText xml:space="preserve"> REF _Ref193720460 \h </w:instrText>
      </w:r>
      <w:r w:rsidR="00D406E2" w:rsidRPr="00DD71E7">
        <w:rPr>
          <w:highlight w:val="yellow"/>
        </w:rPr>
        <w:instrText xml:space="preserve"> \* MERGEFORMAT </w:instrText>
      </w:r>
      <w:r w:rsidRPr="00DD71E7">
        <w:fldChar w:fldCharType="separate"/>
      </w:r>
      <w:r w:rsidRPr="00DD71E7">
        <w:fldChar w:fldCharType="end"/>
      </w:r>
      <w:r w:rsidR="00573F68" w:rsidRPr="00DD71E7">
        <w:t xml:space="preserve"> </w:t>
      </w:r>
      <w:r w:rsidR="00B87B21" w:rsidRPr="00DD71E7">
        <w:t>T</w:t>
      </w:r>
      <w:r w:rsidR="00573F68" w:rsidRPr="00DD71E7">
        <w:t>ables</w:t>
      </w:r>
      <w:r w:rsidRPr="00DD71E7">
        <w:t xml:space="preserve"> below </w:t>
      </w:r>
      <w:r w:rsidR="00B87B21" w:rsidRPr="00DD71E7">
        <w:t>outline</w:t>
      </w:r>
      <w:r w:rsidRPr="00DD71E7">
        <w:t xml:space="preserve"> a set of seven KRQs, each with several sub-questions. </w:t>
      </w:r>
      <w:r w:rsidR="00E14822" w:rsidRPr="00DD71E7">
        <w:t>The sections of this report that address each question are also outlined, along with t</w:t>
      </w:r>
      <w:r w:rsidRPr="00DD71E7">
        <w:t xml:space="preserve">he data sources that were considered to answer each question. Further detail regarding data collection </w:t>
      </w:r>
      <w:r w:rsidR="00262D8F" w:rsidRPr="00DD71E7">
        <w:t>is</w:t>
      </w:r>
      <w:r w:rsidRPr="00DD71E7">
        <w:t xml:space="preserve"> provided in</w:t>
      </w:r>
      <w:r w:rsidR="00262D8F" w:rsidRPr="00DD71E7">
        <w:t xml:space="preserve"> </w:t>
      </w:r>
      <w:r w:rsidR="002F2D4A" w:rsidRPr="00DD71E7">
        <w:fldChar w:fldCharType="begin" w:fldLock="1"/>
      </w:r>
      <w:r w:rsidR="002F2D4A" w:rsidRPr="00DD71E7">
        <w:instrText xml:space="preserve"> REF _Ref201824949 \n \h </w:instrText>
      </w:r>
      <w:r w:rsidR="00DD71E7">
        <w:instrText xml:space="preserve"> \* MERGEFORMAT </w:instrText>
      </w:r>
      <w:r w:rsidR="002F2D4A" w:rsidRPr="00DD71E7">
        <w:fldChar w:fldCharType="separate"/>
      </w:r>
      <w:r w:rsidR="002F2D4A" w:rsidRPr="00DD71E7">
        <w:t>Appendix B</w:t>
      </w:r>
      <w:r w:rsidR="002F2D4A" w:rsidRPr="00DD71E7">
        <w:fldChar w:fldCharType="end"/>
      </w:r>
      <w:r w:rsidRPr="00DD71E7">
        <w:t xml:space="preserve">. </w:t>
      </w:r>
    </w:p>
    <w:p w14:paraId="7A1942D4" w14:textId="6301ED33" w:rsidR="00B87B21" w:rsidRDefault="00FA39C2" w:rsidP="00DD71E7">
      <w:r>
        <w:t>K</w:t>
      </w:r>
      <w:r w:rsidR="00B87B21">
        <w:t>ey review question</w:t>
      </w:r>
      <w:r w:rsidRPr="00FA39C2">
        <w:t xml:space="preserve"> 1</w:t>
      </w:r>
      <w:r>
        <w:t xml:space="preserve"> is </w:t>
      </w:r>
      <w:r w:rsidRPr="0042443F">
        <w:rPr>
          <w:rStyle w:val="Strong"/>
        </w:rPr>
        <w:t>What prostheses services / schemes are currently available to people living with or who have lived experience of cancer?</w:t>
      </w:r>
      <w:r w:rsidR="00C759E6">
        <w:t xml:space="preserve"> </w:t>
      </w:r>
      <w:r w:rsidR="00C759E6">
        <w:fldChar w:fldCharType="begin"/>
      </w:r>
      <w:r w:rsidR="00C759E6">
        <w:instrText xml:space="preserve"> REF _Ref193720460 \h </w:instrText>
      </w:r>
      <w:r w:rsidR="00C759E6">
        <w:fldChar w:fldCharType="separate"/>
      </w:r>
      <w:r w:rsidR="00C759E6" w:rsidRPr="00A508D9">
        <w:t xml:space="preserve">Table </w:t>
      </w:r>
      <w:r w:rsidR="00C759E6">
        <w:rPr>
          <w:noProof/>
        </w:rPr>
        <w:t>45</w:t>
      </w:r>
      <w:r w:rsidR="00C759E6">
        <w:fldChar w:fldCharType="end"/>
      </w:r>
      <w:r w:rsidR="00C759E6">
        <w:t xml:space="preserve"> below outlines the sub-questions and sections of the report where the key review question is addressed. The data sources used to answer key review qu</w:t>
      </w:r>
      <w:r w:rsidR="00C759E6" w:rsidRPr="00A10684">
        <w:t>estion 1</w:t>
      </w:r>
      <w:r w:rsidR="00956CC4" w:rsidRPr="00A10684">
        <w:t xml:space="preserve"> include:</w:t>
      </w:r>
    </w:p>
    <w:p w14:paraId="39B039D2" w14:textId="19CFE686" w:rsidR="00B90E60" w:rsidRDefault="00B90E60" w:rsidP="00BD26B4">
      <w:pPr>
        <w:pStyle w:val="Bullet1stlevel"/>
      </w:pPr>
      <w:r>
        <w:t>Desktop review and literature scan</w:t>
      </w:r>
    </w:p>
    <w:p w14:paraId="38A6EE2E" w14:textId="32829D6A" w:rsidR="00B90E60" w:rsidRDefault="00B90E60" w:rsidP="00BD26B4">
      <w:pPr>
        <w:pStyle w:val="Bullet1stlevel"/>
      </w:pPr>
      <w:r>
        <w:t>Consultation with states and territories</w:t>
      </w:r>
    </w:p>
    <w:p w14:paraId="770C19B9" w14:textId="7210F731" w:rsidR="00B90E60" w:rsidRDefault="00B90E60" w:rsidP="00BD26B4">
      <w:pPr>
        <w:pStyle w:val="Bullet1stlevel"/>
      </w:pPr>
      <w:r>
        <w:t>Consultation with Department of Health, Disability and Ageing</w:t>
      </w:r>
    </w:p>
    <w:p w14:paraId="2643C532" w14:textId="52370140" w:rsidR="00B90E60" w:rsidRDefault="00B90E60" w:rsidP="00BD26B4">
      <w:pPr>
        <w:pStyle w:val="Bullet1stlevel"/>
      </w:pPr>
      <w:r>
        <w:t>Consultation with NDIA / DVA / DSS</w:t>
      </w:r>
    </w:p>
    <w:p w14:paraId="10F0D3BA" w14:textId="31F516FB" w:rsidR="00B90E60" w:rsidRDefault="00B90E60" w:rsidP="00BD26B4">
      <w:pPr>
        <w:pStyle w:val="Bullet1stlevel"/>
      </w:pPr>
      <w:r>
        <w:t xml:space="preserve">Consultation and survey with clinicians </w:t>
      </w:r>
    </w:p>
    <w:p w14:paraId="01F741C5" w14:textId="0E042101" w:rsidR="00B90E60" w:rsidRDefault="00B90E60" w:rsidP="00BD26B4">
      <w:pPr>
        <w:pStyle w:val="Bullet1stlevel"/>
      </w:pPr>
      <w:r>
        <w:t>Consultation with retailers of prostheses</w:t>
      </w:r>
    </w:p>
    <w:p w14:paraId="05A2C2B7" w14:textId="024177F2" w:rsidR="00B90E60" w:rsidRDefault="00B90E60" w:rsidP="00BD26B4">
      <w:pPr>
        <w:pStyle w:val="Bullet1stlevel"/>
      </w:pPr>
      <w:r>
        <w:t>Consultation with peak bodies / advocacy groups</w:t>
      </w:r>
    </w:p>
    <w:p w14:paraId="7A57A4D0" w14:textId="26353C75" w:rsidR="00956CC4" w:rsidRDefault="00B90E60" w:rsidP="00BD26B4">
      <w:pPr>
        <w:pStyle w:val="Bullet1stlevel"/>
      </w:pPr>
      <w:r>
        <w:t>Consultation and survey with people who are living with or who have lived experience of cancer and their carers</w:t>
      </w:r>
    </w:p>
    <w:p w14:paraId="06E03ED1" w14:textId="5366A00E" w:rsidR="00B275A0" w:rsidRPr="00A508D9" w:rsidRDefault="00B275A0" w:rsidP="00B275A0">
      <w:pPr>
        <w:pStyle w:val="Caption"/>
      </w:pPr>
      <w:bookmarkStart w:id="203" w:name="_Ref193720460"/>
      <w:bookmarkStart w:id="204" w:name="_Toc207348610"/>
      <w:r w:rsidRPr="00A508D9">
        <w:t xml:space="preserve">Table </w:t>
      </w:r>
      <w:r w:rsidR="004F27F5">
        <w:fldChar w:fldCharType="begin"/>
      </w:r>
      <w:r w:rsidR="004F27F5">
        <w:instrText xml:space="preserve"> SEQ Table \* ARABIC </w:instrText>
      </w:r>
      <w:r w:rsidR="004F27F5">
        <w:fldChar w:fldCharType="separate"/>
      </w:r>
      <w:r w:rsidR="004F27F5">
        <w:rPr>
          <w:noProof/>
        </w:rPr>
        <w:t>45</w:t>
      </w:r>
      <w:r w:rsidR="004F27F5">
        <w:rPr>
          <w:noProof/>
        </w:rPr>
        <w:fldChar w:fldCharType="end"/>
      </w:r>
      <w:bookmarkEnd w:id="203"/>
      <w:r w:rsidRPr="00A508D9">
        <w:t xml:space="preserve">: </w:t>
      </w:r>
      <w:r w:rsidR="00BD26B4">
        <w:t>S</w:t>
      </w:r>
      <w:r>
        <w:t>ub-questions</w:t>
      </w:r>
      <w:r w:rsidR="00BD26B4">
        <w:t xml:space="preserve"> and sections of the report where KRQ</w:t>
      </w:r>
      <w:r>
        <w:t xml:space="preserve"> </w:t>
      </w:r>
      <w:r w:rsidR="00BD26B4" w:rsidRPr="00BD26B4">
        <w:t>1</w:t>
      </w:r>
      <w:r w:rsidR="00BD26B4">
        <w:t xml:space="preserve"> is addressed</w:t>
      </w:r>
      <w:bookmarkEnd w:id="204"/>
    </w:p>
    <w:tbl>
      <w:tblPr>
        <w:tblStyle w:val="KPMGTable"/>
        <w:tblW w:w="9538" w:type="dxa"/>
        <w:tblLook w:val="04A0" w:firstRow="1" w:lastRow="0" w:firstColumn="1" w:lastColumn="0" w:noHBand="0" w:noVBand="1"/>
      </w:tblPr>
      <w:tblGrid>
        <w:gridCol w:w="4769"/>
        <w:gridCol w:w="4769"/>
      </w:tblGrid>
      <w:tr w:rsidR="00BC4FBB" w:rsidRPr="009F01A9" w14:paraId="202B6C9D" w14:textId="77777777" w:rsidTr="00A10684">
        <w:trPr>
          <w:cnfStyle w:val="100000000000" w:firstRow="1" w:lastRow="0" w:firstColumn="0" w:lastColumn="0" w:oddVBand="0" w:evenVBand="0" w:oddHBand="0" w:evenHBand="0" w:firstRowFirstColumn="0" w:firstRowLastColumn="0" w:lastRowFirstColumn="0" w:lastRowLastColumn="0"/>
          <w:trHeight w:val="282"/>
          <w:tblHeader/>
        </w:trPr>
        <w:tc>
          <w:tcPr>
            <w:cnfStyle w:val="001000000000" w:firstRow="0" w:lastRow="0" w:firstColumn="1" w:lastColumn="0" w:oddVBand="0" w:evenVBand="0" w:oddHBand="0" w:evenHBand="0" w:firstRowFirstColumn="0" w:firstRowLastColumn="0" w:lastRowFirstColumn="0" w:lastRowLastColumn="0"/>
            <w:tcW w:w="4769" w:type="dxa"/>
          </w:tcPr>
          <w:p w14:paraId="38AEC017" w14:textId="77777777" w:rsidR="00B275A0" w:rsidRPr="00BC7528" w:rsidRDefault="00B275A0" w:rsidP="00C759E6">
            <w:pPr>
              <w:pStyle w:val="TableHeading"/>
            </w:pPr>
            <w:r w:rsidRPr="00BC7528">
              <w:t>Sub-questions</w:t>
            </w:r>
          </w:p>
        </w:tc>
        <w:tc>
          <w:tcPr>
            <w:tcW w:w="4769" w:type="dxa"/>
          </w:tcPr>
          <w:p w14:paraId="79F959DF" w14:textId="32C5B3C9" w:rsidR="00C04FFC" w:rsidRPr="00BC7528" w:rsidRDefault="006B6E37" w:rsidP="00C759E6">
            <w:pPr>
              <w:pStyle w:val="TableHeading"/>
              <w:cnfStyle w:val="100000000000" w:firstRow="1" w:lastRow="0" w:firstColumn="0" w:lastColumn="0" w:oddVBand="0" w:evenVBand="0" w:oddHBand="0" w:evenHBand="0" w:firstRowFirstColumn="0" w:firstRowLastColumn="0" w:lastRowFirstColumn="0" w:lastRowLastColumn="0"/>
            </w:pPr>
            <w:r>
              <w:t xml:space="preserve">Section of this report </w:t>
            </w:r>
            <w:r w:rsidR="001911C0">
              <w:t>where question is addressed</w:t>
            </w:r>
          </w:p>
        </w:tc>
      </w:tr>
      <w:tr w:rsidR="00677ED1" w:rsidRPr="009F01A9" w14:paraId="42802862" w14:textId="77777777" w:rsidTr="0027093A">
        <w:trPr>
          <w:trHeight w:val="288"/>
        </w:trPr>
        <w:tc>
          <w:tcPr>
            <w:cnfStyle w:val="001000000000" w:firstRow="0" w:lastRow="0" w:firstColumn="1" w:lastColumn="0" w:oddVBand="0" w:evenVBand="0" w:oddHBand="0" w:evenHBand="0" w:firstRowFirstColumn="0" w:firstRowLastColumn="0" w:lastRowFirstColumn="0" w:lastRowLastColumn="0"/>
            <w:tcW w:w="4769" w:type="dxa"/>
          </w:tcPr>
          <w:p w14:paraId="405CA75C" w14:textId="77777777" w:rsidR="00B275A0" w:rsidRPr="00227E75" w:rsidRDefault="00B275A0" w:rsidP="00BD26B4">
            <w:pPr>
              <w:pStyle w:val="TableText"/>
            </w:pPr>
            <w:r w:rsidRPr="00227E75">
              <w:t>How do prosthe</w:t>
            </w:r>
            <w:r>
              <w:t>ses</w:t>
            </w:r>
            <w:r w:rsidRPr="00227E75">
              <w:t xml:space="preserve"> services / schemes differ by jurisdiction? </w:t>
            </w:r>
          </w:p>
        </w:tc>
        <w:tc>
          <w:tcPr>
            <w:tcW w:w="4769" w:type="dxa"/>
          </w:tcPr>
          <w:p w14:paraId="6132AF92" w14:textId="79BB4F72" w:rsidR="00C04FFC" w:rsidRPr="00BD26B4" w:rsidRDefault="00EC09DB" w:rsidP="00BD26B4">
            <w:pPr>
              <w:pStyle w:val="TableText"/>
              <w:cnfStyle w:val="000000000000" w:firstRow="0" w:lastRow="0" w:firstColumn="0" w:lastColumn="0" w:oddVBand="0" w:evenVBand="0" w:oddHBand="0" w:evenHBand="0" w:firstRowFirstColumn="0" w:firstRowLastColumn="0" w:lastRowFirstColumn="0" w:lastRowLastColumn="0"/>
            </w:pPr>
            <w:r w:rsidRPr="00BD26B4">
              <w:t>Section 2: Current prostheses services, programs and schemes in Australia</w:t>
            </w:r>
          </w:p>
        </w:tc>
      </w:tr>
      <w:tr w:rsidR="00677ED1" w:rsidRPr="009F01A9" w14:paraId="09449E13" w14:textId="77777777" w:rsidTr="0027093A">
        <w:trPr>
          <w:trHeight w:val="287"/>
        </w:trPr>
        <w:tc>
          <w:tcPr>
            <w:cnfStyle w:val="001000000000" w:firstRow="0" w:lastRow="0" w:firstColumn="1" w:lastColumn="0" w:oddVBand="0" w:evenVBand="0" w:oddHBand="0" w:evenHBand="0" w:firstRowFirstColumn="0" w:firstRowLastColumn="0" w:lastRowFirstColumn="0" w:lastRowLastColumn="0"/>
            <w:tcW w:w="4769" w:type="dxa"/>
          </w:tcPr>
          <w:p w14:paraId="37AD0170" w14:textId="77777777" w:rsidR="00B275A0" w:rsidRPr="00227E75" w:rsidRDefault="00B275A0" w:rsidP="00BD26B4">
            <w:pPr>
              <w:pStyle w:val="TableText"/>
            </w:pPr>
            <w:r w:rsidRPr="00227E75">
              <w:t>How do prosthe</w:t>
            </w:r>
            <w:r>
              <w:t>ses</w:t>
            </w:r>
            <w:r w:rsidRPr="00227E75">
              <w:t xml:space="preserve"> services / schemes differ by prostheses and / or cancer type? </w:t>
            </w:r>
          </w:p>
        </w:tc>
        <w:tc>
          <w:tcPr>
            <w:tcW w:w="4769" w:type="dxa"/>
          </w:tcPr>
          <w:p w14:paraId="321D48D0" w14:textId="21E3CCD1" w:rsidR="00C04FFC" w:rsidRPr="00BD26B4" w:rsidRDefault="00EC09DB" w:rsidP="00BD26B4">
            <w:pPr>
              <w:pStyle w:val="TableText"/>
              <w:cnfStyle w:val="000000000000" w:firstRow="0" w:lastRow="0" w:firstColumn="0" w:lastColumn="0" w:oddVBand="0" w:evenVBand="0" w:oddHBand="0" w:evenHBand="0" w:firstRowFirstColumn="0" w:firstRowLastColumn="0" w:lastRowFirstColumn="0" w:lastRowLastColumn="0"/>
            </w:pPr>
            <w:r w:rsidRPr="00BD26B4">
              <w:t>Section 2: Current prostheses services, programs and schemes in Australia</w:t>
            </w:r>
          </w:p>
        </w:tc>
      </w:tr>
      <w:tr w:rsidR="00677ED1" w:rsidRPr="009F01A9" w14:paraId="4BEF318D" w14:textId="77777777" w:rsidTr="0027093A">
        <w:trPr>
          <w:trHeight w:val="287"/>
        </w:trPr>
        <w:tc>
          <w:tcPr>
            <w:cnfStyle w:val="001000000000" w:firstRow="0" w:lastRow="0" w:firstColumn="1" w:lastColumn="0" w:oddVBand="0" w:evenVBand="0" w:oddHBand="0" w:evenHBand="0" w:firstRowFirstColumn="0" w:firstRowLastColumn="0" w:lastRowFirstColumn="0" w:lastRowLastColumn="0"/>
            <w:tcW w:w="4769" w:type="dxa"/>
          </w:tcPr>
          <w:p w14:paraId="0F8E01BA" w14:textId="77777777" w:rsidR="00B275A0" w:rsidRPr="00227E75" w:rsidRDefault="00B275A0" w:rsidP="00BD26B4">
            <w:pPr>
              <w:pStyle w:val="TableText"/>
            </w:pPr>
            <w:r>
              <w:t>How does this differ in rural and remote areas vs. metropolitan areas?</w:t>
            </w:r>
          </w:p>
        </w:tc>
        <w:tc>
          <w:tcPr>
            <w:tcW w:w="4769" w:type="dxa"/>
          </w:tcPr>
          <w:p w14:paraId="17EA5D0C" w14:textId="3B351FE7" w:rsidR="00C04FFC" w:rsidRPr="00BD26B4" w:rsidRDefault="00EC09DB" w:rsidP="00BD26B4">
            <w:pPr>
              <w:pStyle w:val="TableText"/>
              <w:cnfStyle w:val="000000000000" w:firstRow="0" w:lastRow="0" w:firstColumn="0" w:lastColumn="0" w:oddVBand="0" w:evenVBand="0" w:oddHBand="0" w:evenHBand="0" w:firstRowFirstColumn="0" w:firstRowLastColumn="0" w:lastRowFirstColumn="0" w:lastRowLastColumn="0"/>
            </w:pPr>
            <w:r w:rsidRPr="00BD26B4">
              <w:t>Section 2: Current prostheses services, programs and schemes in Australia</w:t>
            </w:r>
          </w:p>
        </w:tc>
      </w:tr>
      <w:tr w:rsidR="00677ED1" w:rsidRPr="009F01A9" w14:paraId="42F160B0" w14:textId="77777777" w:rsidTr="0027093A">
        <w:trPr>
          <w:trHeight w:val="287"/>
        </w:trPr>
        <w:tc>
          <w:tcPr>
            <w:cnfStyle w:val="001000000000" w:firstRow="0" w:lastRow="0" w:firstColumn="1" w:lastColumn="0" w:oddVBand="0" w:evenVBand="0" w:oddHBand="0" w:evenHBand="0" w:firstRowFirstColumn="0" w:firstRowLastColumn="0" w:lastRowFirstColumn="0" w:lastRowLastColumn="0"/>
            <w:tcW w:w="4769" w:type="dxa"/>
          </w:tcPr>
          <w:p w14:paraId="4758F756" w14:textId="47FD7D38" w:rsidR="00B275A0" w:rsidRPr="00E84876" w:rsidRDefault="00B275A0" w:rsidP="00BD26B4">
            <w:pPr>
              <w:pStyle w:val="TableText"/>
            </w:pPr>
            <w:r>
              <w:t>How does this differ</w:t>
            </w:r>
            <w:r w:rsidRPr="004B713F">
              <w:t xml:space="preserve"> </w:t>
            </w:r>
            <w:r>
              <w:t>for</w:t>
            </w:r>
            <w:r w:rsidRPr="004B713F">
              <w:t xml:space="preserve"> priority population group</w:t>
            </w:r>
            <w:r>
              <w:t>s</w:t>
            </w:r>
            <w:r w:rsidR="007B7939">
              <w:rPr>
                <w:rFonts w:ascii="ZWAdobeF" w:hAnsi="ZWAdobeF" w:cs="ZWAdobeF"/>
                <w:color w:val="auto"/>
                <w:sz w:val="2"/>
                <w:szCs w:val="2"/>
              </w:rPr>
              <w:t>174F</w:t>
            </w:r>
            <w:r>
              <w:rPr>
                <w:rStyle w:val="FootnoteReference"/>
                <w:rFonts w:cs="Arial"/>
                <w:kern w:val="24"/>
                <w:szCs w:val="20"/>
              </w:rPr>
              <w:footnoteReference w:id="167"/>
            </w:r>
            <w:r w:rsidRPr="004B713F">
              <w:t>?</w:t>
            </w:r>
          </w:p>
        </w:tc>
        <w:tc>
          <w:tcPr>
            <w:tcW w:w="4769" w:type="dxa"/>
          </w:tcPr>
          <w:p w14:paraId="0254369F" w14:textId="0015C0AE" w:rsidR="00C04FFC" w:rsidRPr="00BD26B4" w:rsidRDefault="00EC09DB" w:rsidP="00BD26B4">
            <w:pPr>
              <w:pStyle w:val="TableText"/>
              <w:cnfStyle w:val="000000000000" w:firstRow="0" w:lastRow="0" w:firstColumn="0" w:lastColumn="0" w:oddVBand="0" w:evenVBand="0" w:oddHBand="0" w:evenHBand="0" w:firstRowFirstColumn="0" w:firstRowLastColumn="0" w:lastRowFirstColumn="0" w:lastRowLastColumn="0"/>
            </w:pPr>
            <w:r w:rsidRPr="00BD26B4">
              <w:t>Section 2: Current prostheses services, programs and schemes in Australia</w:t>
            </w:r>
          </w:p>
        </w:tc>
      </w:tr>
      <w:tr w:rsidR="00677ED1" w:rsidRPr="009F01A9" w14:paraId="3CD514E0" w14:textId="77777777" w:rsidTr="0027093A">
        <w:trPr>
          <w:trHeight w:val="287"/>
        </w:trPr>
        <w:tc>
          <w:tcPr>
            <w:cnfStyle w:val="001000000000" w:firstRow="0" w:lastRow="0" w:firstColumn="1" w:lastColumn="0" w:oddVBand="0" w:evenVBand="0" w:oddHBand="0" w:evenHBand="0" w:firstRowFirstColumn="0" w:firstRowLastColumn="0" w:lastRowFirstColumn="0" w:lastRowLastColumn="0"/>
            <w:tcW w:w="4769" w:type="dxa"/>
          </w:tcPr>
          <w:p w14:paraId="2D6762ED" w14:textId="77777777" w:rsidR="00B275A0" w:rsidRPr="00227E75" w:rsidRDefault="00B275A0" w:rsidP="00BD26B4">
            <w:pPr>
              <w:pStyle w:val="TableText"/>
            </w:pPr>
            <w:r w:rsidRPr="00E84876">
              <w:t>How are these services / schemes funded?</w:t>
            </w:r>
          </w:p>
        </w:tc>
        <w:tc>
          <w:tcPr>
            <w:tcW w:w="4769" w:type="dxa"/>
          </w:tcPr>
          <w:p w14:paraId="1907B27F" w14:textId="5D8D8BEE" w:rsidR="00C04FFC" w:rsidRPr="00BD26B4" w:rsidRDefault="00EC09DB" w:rsidP="00BD26B4">
            <w:pPr>
              <w:pStyle w:val="TableText"/>
              <w:cnfStyle w:val="000000000000" w:firstRow="0" w:lastRow="0" w:firstColumn="0" w:lastColumn="0" w:oddVBand="0" w:evenVBand="0" w:oddHBand="0" w:evenHBand="0" w:firstRowFirstColumn="0" w:firstRowLastColumn="0" w:lastRowFirstColumn="0" w:lastRowLastColumn="0"/>
            </w:pPr>
            <w:r w:rsidRPr="00BD26B4">
              <w:t>Section 2: Current prostheses services, programs and schemes in Australia</w:t>
            </w:r>
          </w:p>
        </w:tc>
      </w:tr>
      <w:tr w:rsidR="00677ED1" w:rsidRPr="009F01A9" w14:paraId="03DF00DC" w14:textId="77777777" w:rsidTr="0027093A">
        <w:trPr>
          <w:trHeight w:val="287"/>
        </w:trPr>
        <w:tc>
          <w:tcPr>
            <w:cnfStyle w:val="001000000000" w:firstRow="0" w:lastRow="0" w:firstColumn="1" w:lastColumn="0" w:oddVBand="0" w:evenVBand="0" w:oddHBand="0" w:evenHBand="0" w:firstRowFirstColumn="0" w:firstRowLastColumn="0" w:lastRowFirstColumn="0" w:lastRowLastColumn="0"/>
            <w:tcW w:w="4769" w:type="dxa"/>
          </w:tcPr>
          <w:p w14:paraId="5C2FB64F" w14:textId="77777777" w:rsidR="00B275A0" w:rsidRPr="00227E75" w:rsidRDefault="00B275A0" w:rsidP="00BD26B4">
            <w:pPr>
              <w:pStyle w:val="TableText"/>
            </w:pPr>
            <w:r w:rsidRPr="00227E75">
              <w:t>How do existing prosth</w:t>
            </w:r>
            <w:r>
              <w:t>eses</w:t>
            </w:r>
            <w:r w:rsidRPr="00227E75">
              <w:t xml:space="preserve"> services / schemes address equity in terms of eligibility and out-of-pocket costs?</w:t>
            </w:r>
          </w:p>
        </w:tc>
        <w:tc>
          <w:tcPr>
            <w:tcW w:w="4769" w:type="dxa"/>
          </w:tcPr>
          <w:p w14:paraId="10BC38DA" w14:textId="1A3E1690" w:rsidR="00C04FFC" w:rsidRPr="00BD26B4" w:rsidRDefault="00EC09DB" w:rsidP="00BD26B4">
            <w:pPr>
              <w:pStyle w:val="TableText"/>
              <w:cnfStyle w:val="000000000000" w:firstRow="0" w:lastRow="0" w:firstColumn="0" w:lastColumn="0" w:oddVBand="0" w:evenVBand="0" w:oddHBand="0" w:evenHBand="0" w:firstRowFirstColumn="0" w:firstRowLastColumn="0" w:lastRowFirstColumn="0" w:lastRowLastColumn="0"/>
            </w:pPr>
            <w:r w:rsidRPr="00BD26B4">
              <w:t>Section 4: Equity of access to prostheses for people living with or post a cancer diagnosis in Australia</w:t>
            </w:r>
          </w:p>
        </w:tc>
      </w:tr>
      <w:tr w:rsidR="00677ED1" w:rsidRPr="009F01A9" w14:paraId="3FE7D9AE" w14:textId="77777777" w:rsidTr="0027093A">
        <w:trPr>
          <w:trHeight w:val="287"/>
        </w:trPr>
        <w:tc>
          <w:tcPr>
            <w:cnfStyle w:val="001000000000" w:firstRow="0" w:lastRow="0" w:firstColumn="1" w:lastColumn="0" w:oddVBand="0" w:evenVBand="0" w:oddHBand="0" w:evenHBand="0" w:firstRowFirstColumn="0" w:firstRowLastColumn="0" w:lastRowFirstColumn="0" w:lastRowLastColumn="0"/>
            <w:tcW w:w="4769" w:type="dxa"/>
          </w:tcPr>
          <w:p w14:paraId="6CCAD524" w14:textId="77777777" w:rsidR="00B275A0" w:rsidRPr="003F1697" w:rsidRDefault="00B275A0" w:rsidP="00BD26B4">
            <w:pPr>
              <w:pStyle w:val="TableText"/>
            </w:pPr>
            <w:r w:rsidRPr="00BD41E1">
              <w:t xml:space="preserve">How do prostheses services / schemes available </w:t>
            </w:r>
            <w:r w:rsidRPr="00E22D46">
              <w:t xml:space="preserve">to people living with or have lived experience of cancer </w:t>
            </w:r>
            <w:r w:rsidRPr="00BD41E1">
              <w:t xml:space="preserve">in Australia </w:t>
            </w:r>
            <w:proofErr w:type="gramStart"/>
            <w:r w:rsidRPr="00BD41E1">
              <w:t>compare</w:t>
            </w:r>
            <w:proofErr w:type="gramEnd"/>
            <w:r w:rsidRPr="00BD41E1">
              <w:t xml:space="preserve"> to those available in other, comparable countries?</w:t>
            </w:r>
          </w:p>
        </w:tc>
        <w:tc>
          <w:tcPr>
            <w:tcW w:w="4769" w:type="dxa"/>
          </w:tcPr>
          <w:p w14:paraId="1F3B729A" w14:textId="5AF43F0B" w:rsidR="00C04FFC" w:rsidRPr="003A7AA8" w:rsidRDefault="00EC09DB" w:rsidP="00C759E6">
            <w:pPr>
              <w:pStyle w:val="TableText"/>
              <w:cnfStyle w:val="000000000000" w:firstRow="0" w:lastRow="0" w:firstColumn="0" w:lastColumn="0" w:oddVBand="0" w:evenVBand="0" w:oddHBand="0" w:evenHBand="0" w:firstRowFirstColumn="0" w:firstRowLastColumn="0" w:lastRowFirstColumn="0" w:lastRowLastColumn="0"/>
              <w:rPr>
                <w:b/>
              </w:rPr>
            </w:pPr>
            <w:r w:rsidRPr="0027093A">
              <w:t>Section 3: Prostheses</w:t>
            </w:r>
            <w:r w:rsidRPr="00484E9D">
              <w:t xml:space="preserve"> services, programs and schemes in other countries</w:t>
            </w:r>
          </w:p>
        </w:tc>
      </w:tr>
    </w:tbl>
    <w:p w14:paraId="72C9F2CB" w14:textId="036CAC35" w:rsidR="00573F68" w:rsidRDefault="00956CC4" w:rsidP="00956CC4">
      <w:pPr>
        <w:pStyle w:val="Caption-Source"/>
      </w:pPr>
      <w:r w:rsidRPr="00956CC4">
        <w:t xml:space="preserve">Source: </w:t>
      </w:r>
      <w:r w:rsidR="0044544E" w:rsidRPr="0044544E">
        <w:t>Independent reviewer</w:t>
      </w:r>
      <w:r w:rsidRPr="00956CC4">
        <w:t xml:space="preserve"> (2025)</w:t>
      </w:r>
    </w:p>
    <w:p w14:paraId="656A99E6" w14:textId="77777777" w:rsidR="00E65795" w:rsidRPr="00DD71E7" w:rsidRDefault="00E65795" w:rsidP="00DD71E7">
      <w:r w:rsidRPr="00DD71E7">
        <w:br w:type="page"/>
      </w:r>
    </w:p>
    <w:p w14:paraId="7E373DC0" w14:textId="6B9FD034" w:rsidR="00BD26B4" w:rsidRDefault="00BD26B4" w:rsidP="00DD71E7">
      <w:r>
        <w:t>Key review question</w:t>
      </w:r>
      <w:r w:rsidRPr="00FA39C2">
        <w:t xml:space="preserve"> </w:t>
      </w:r>
      <w:r>
        <w:t xml:space="preserve">2 is </w:t>
      </w:r>
      <w:r w:rsidRPr="0042443F">
        <w:rPr>
          <w:rStyle w:val="Strong"/>
        </w:rPr>
        <w:t xml:space="preserve">What role do state, territory and commonwealth governments currently play in providing access to cancer prostheses? </w:t>
      </w:r>
      <w:r>
        <w:fldChar w:fldCharType="begin"/>
      </w:r>
      <w:r w:rsidRPr="0042443F">
        <w:rPr>
          <w:rStyle w:val="Strong"/>
        </w:rPr>
        <w:instrText xml:space="preserve"> REF _Ref207204082 \h </w:instrText>
      </w:r>
      <w:r>
        <w:fldChar w:fldCharType="separate"/>
      </w:r>
      <w:r>
        <w:t xml:space="preserve">Table </w:t>
      </w:r>
      <w:r>
        <w:rPr>
          <w:noProof/>
        </w:rPr>
        <w:t>46</w:t>
      </w:r>
      <w:r>
        <w:fldChar w:fldCharType="end"/>
      </w:r>
      <w:r>
        <w:t xml:space="preserve"> below outlines the sub-questions and sections of the report where the key review question is addressed. The data sources used to answer key review question 2 include:</w:t>
      </w:r>
    </w:p>
    <w:p w14:paraId="32034906" w14:textId="77777777" w:rsidR="00BD26B4" w:rsidRPr="008C11BD" w:rsidRDefault="00BD26B4" w:rsidP="00BD26B4">
      <w:pPr>
        <w:pStyle w:val="Bullet1stlevel"/>
      </w:pPr>
      <w:r w:rsidRPr="008C11BD">
        <w:t xml:space="preserve">Desktop review and literature scan </w:t>
      </w:r>
    </w:p>
    <w:p w14:paraId="431536DB" w14:textId="77777777" w:rsidR="00BD26B4" w:rsidRPr="008C11BD" w:rsidRDefault="00BD26B4" w:rsidP="00BD26B4">
      <w:pPr>
        <w:pStyle w:val="Bullet1stlevel"/>
      </w:pPr>
      <w:r w:rsidRPr="008C11BD">
        <w:t>Consultation with states and territories</w:t>
      </w:r>
    </w:p>
    <w:p w14:paraId="1FE65AEF" w14:textId="77777777" w:rsidR="00BD26B4" w:rsidRPr="008C11BD" w:rsidRDefault="00BD26B4" w:rsidP="00BD26B4">
      <w:pPr>
        <w:pStyle w:val="Bullet1stlevel"/>
      </w:pPr>
      <w:r w:rsidRPr="008C11BD">
        <w:t>Consultation with Department of Health, Disability and Ageing</w:t>
      </w:r>
    </w:p>
    <w:p w14:paraId="3007B04D" w14:textId="5166711B" w:rsidR="00BD26B4" w:rsidRDefault="00BD26B4" w:rsidP="00BD26B4">
      <w:pPr>
        <w:pStyle w:val="Bullet1stlevel"/>
      </w:pPr>
      <w:r w:rsidRPr="008C11BD">
        <w:t>Consultation and survey with people who are living with or who have lived experience of cancer and their carers</w:t>
      </w:r>
    </w:p>
    <w:p w14:paraId="0322EDE7" w14:textId="209A678A" w:rsidR="00BD26B4" w:rsidRDefault="00BD26B4" w:rsidP="00BD26B4">
      <w:pPr>
        <w:pStyle w:val="Caption"/>
      </w:pPr>
      <w:bookmarkStart w:id="205" w:name="_Ref207204082"/>
      <w:bookmarkStart w:id="206" w:name="_Toc207348611"/>
      <w:r>
        <w:t xml:space="preserve">Table </w:t>
      </w:r>
      <w:r w:rsidR="004F27F5">
        <w:fldChar w:fldCharType="begin"/>
      </w:r>
      <w:r w:rsidR="004F27F5">
        <w:instrText xml:space="preserve"> SEQ Table \* ARABIC </w:instrText>
      </w:r>
      <w:r w:rsidR="004F27F5">
        <w:fldChar w:fldCharType="separate"/>
      </w:r>
      <w:r w:rsidR="004F27F5">
        <w:rPr>
          <w:noProof/>
        </w:rPr>
        <w:t>46</w:t>
      </w:r>
      <w:r w:rsidR="004F27F5">
        <w:rPr>
          <w:noProof/>
        </w:rPr>
        <w:fldChar w:fldCharType="end"/>
      </w:r>
      <w:bookmarkEnd w:id="205"/>
      <w:r>
        <w:t xml:space="preserve">: </w:t>
      </w:r>
      <w:r w:rsidRPr="000C0438">
        <w:t xml:space="preserve">Sub-questions and sections of the report where KRQ </w:t>
      </w:r>
      <w:r>
        <w:t xml:space="preserve">2 </w:t>
      </w:r>
      <w:r w:rsidRPr="000C0438">
        <w:t>is addressed</w:t>
      </w:r>
      <w:bookmarkEnd w:id="206"/>
    </w:p>
    <w:tbl>
      <w:tblPr>
        <w:tblStyle w:val="KPMGTable"/>
        <w:tblW w:w="9776" w:type="dxa"/>
        <w:tblLook w:val="04A0" w:firstRow="1" w:lastRow="0" w:firstColumn="1" w:lastColumn="0" w:noHBand="0" w:noVBand="1"/>
      </w:tblPr>
      <w:tblGrid>
        <w:gridCol w:w="4888"/>
        <w:gridCol w:w="4888"/>
      </w:tblGrid>
      <w:tr w:rsidR="00467133" w:rsidRPr="009F01A9" w14:paraId="6EF1CB76" w14:textId="77777777" w:rsidTr="00A10684">
        <w:trPr>
          <w:cnfStyle w:val="100000000000" w:firstRow="1" w:lastRow="0" w:firstColumn="0" w:lastColumn="0" w:oddVBand="0" w:evenVBand="0" w:oddHBand="0" w:evenHBand="0" w:firstRowFirstColumn="0" w:firstRowLastColumn="0" w:lastRowFirstColumn="0" w:lastRowLastColumn="0"/>
          <w:trHeight w:val="455"/>
          <w:tblHeader/>
        </w:trPr>
        <w:tc>
          <w:tcPr>
            <w:cnfStyle w:val="001000000000" w:firstRow="0" w:lastRow="0" w:firstColumn="1" w:lastColumn="0" w:oddVBand="0" w:evenVBand="0" w:oddHBand="0" w:evenHBand="0" w:firstRowFirstColumn="0" w:firstRowLastColumn="0" w:lastRowFirstColumn="0" w:lastRowLastColumn="0"/>
            <w:tcW w:w="4888" w:type="dxa"/>
          </w:tcPr>
          <w:p w14:paraId="03769F6C" w14:textId="2EEE9662" w:rsidR="00BD26B4" w:rsidRPr="005535DE" w:rsidRDefault="00BD26B4" w:rsidP="00BD26B4">
            <w:pPr>
              <w:pStyle w:val="TableHeading"/>
              <w:rPr>
                <w:rFonts w:cs="Arial"/>
                <w:kern w:val="24"/>
                <w:szCs w:val="20"/>
              </w:rPr>
            </w:pPr>
            <w:r w:rsidRPr="00BC7528">
              <w:t>Sub-questions</w:t>
            </w:r>
          </w:p>
        </w:tc>
        <w:tc>
          <w:tcPr>
            <w:tcW w:w="4888" w:type="dxa"/>
          </w:tcPr>
          <w:p w14:paraId="78CEB19F" w14:textId="120BF72F" w:rsidR="00BD26B4" w:rsidRPr="00484E9D" w:rsidRDefault="00BD26B4" w:rsidP="00BD26B4">
            <w:pPr>
              <w:pStyle w:val="TableHeading"/>
              <w:cnfStyle w:val="100000000000" w:firstRow="1" w:lastRow="0" w:firstColumn="0" w:lastColumn="0" w:oddVBand="0" w:evenVBand="0" w:oddHBand="0" w:evenHBand="0" w:firstRowFirstColumn="0" w:firstRowLastColumn="0" w:lastRowFirstColumn="0" w:lastRowLastColumn="0"/>
              <w:rPr>
                <w:rFonts w:cs="Arial"/>
                <w:bCs/>
                <w:kern w:val="24"/>
                <w:szCs w:val="20"/>
              </w:rPr>
            </w:pPr>
            <w:r>
              <w:t>Section of this report where question is addressed</w:t>
            </w:r>
          </w:p>
        </w:tc>
      </w:tr>
      <w:tr w:rsidR="00677ED1" w:rsidRPr="009F01A9" w14:paraId="3087B650" w14:textId="77777777" w:rsidTr="0027093A">
        <w:trPr>
          <w:trHeight w:val="455"/>
        </w:trPr>
        <w:tc>
          <w:tcPr>
            <w:cnfStyle w:val="001000000000" w:firstRow="0" w:lastRow="0" w:firstColumn="1" w:lastColumn="0" w:oddVBand="0" w:evenVBand="0" w:oddHBand="0" w:evenHBand="0" w:firstRowFirstColumn="0" w:firstRowLastColumn="0" w:lastRowFirstColumn="0" w:lastRowLastColumn="0"/>
            <w:tcW w:w="4888" w:type="dxa"/>
          </w:tcPr>
          <w:p w14:paraId="00348C2A" w14:textId="77777777" w:rsidR="00B275A0" w:rsidRPr="005535DE" w:rsidRDefault="00B275A0" w:rsidP="00BD26B4">
            <w:pPr>
              <w:pStyle w:val="TableText"/>
            </w:pPr>
            <w:r w:rsidRPr="005535DE">
              <w:t xml:space="preserve">How does this differ by jurisdiction? </w:t>
            </w:r>
          </w:p>
        </w:tc>
        <w:tc>
          <w:tcPr>
            <w:tcW w:w="4888" w:type="dxa"/>
          </w:tcPr>
          <w:p w14:paraId="26896D83" w14:textId="672373B1" w:rsidR="00C04FFC" w:rsidRPr="0027093A" w:rsidRDefault="00EC09DB" w:rsidP="0027093A">
            <w:pPr>
              <w:pStyle w:val="TableText"/>
              <w:cnfStyle w:val="000000000000" w:firstRow="0" w:lastRow="0" w:firstColumn="0" w:lastColumn="0" w:oddVBand="0" w:evenVBand="0" w:oddHBand="0" w:evenHBand="0" w:firstRowFirstColumn="0" w:firstRowLastColumn="0" w:lastRowFirstColumn="0" w:lastRowLastColumn="0"/>
            </w:pPr>
            <w:r w:rsidRPr="0027093A">
              <w:t>Section 2: Current prostheses services, programs and schemes in Australia</w:t>
            </w:r>
          </w:p>
        </w:tc>
      </w:tr>
      <w:tr w:rsidR="00677ED1" w:rsidRPr="009F01A9" w14:paraId="16E08B6F" w14:textId="77777777" w:rsidTr="0027093A">
        <w:trPr>
          <w:trHeight w:val="403"/>
        </w:trPr>
        <w:tc>
          <w:tcPr>
            <w:cnfStyle w:val="001000000000" w:firstRow="0" w:lastRow="0" w:firstColumn="1" w:lastColumn="0" w:oddVBand="0" w:evenVBand="0" w:oddHBand="0" w:evenHBand="0" w:firstRowFirstColumn="0" w:firstRowLastColumn="0" w:lastRowFirstColumn="0" w:lastRowLastColumn="0"/>
            <w:tcW w:w="4888" w:type="dxa"/>
          </w:tcPr>
          <w:p w14:paraId="35501CD9" w14:textId="77777777" w:rsidR="00B275A0" w:rsidRPr="005535DE" w:rsidRDefault="00B275A0" w:rsidP="00BD26B4">
            <w:pPr>
              <w:pStyle w:val="TableText"/>
            </w:pPr>
            <w:r w:rsidRPr="005535DE">
              <w:t>How does this differ by prostheses and / or cancer type?</w:t>
            </w:r>
          </w:p>
        </w:tc>
        <w:tc>
          <w:tcPr>
            <w:tcW w:w="4888" w:type="dxa"/>
          </w:tcPr>
          <w:p w14:paraId="16BE7E6F" w14:textId="561A4051" w:rsidR="00C04FFC" w:rsidRPr="0027093A" w:rsidRDefault="00EC09DB" w:rsidP="0027093A">
            <w:pPr>
              <w:pStyle w:val="TableText"/>
              <w:cnfStyle w:val="000000000000" w:firstRow="0" w:lastRow="0" w:firstColumn="0" w:lastColumn="0" w:oddVBand="0" w:evenVBand="0" w:oddHBand="0" w:evenHBand="0" w:firstRowFirstColumn="0" w:firstRowLastColumn="0" w:lastRowFirstColumn="0" w:lastRowLastColumn="0"/>
            </w:pPr>
            <w:r w:rsidRPr="0027093A">
              <w:t>Section 2: Current prostheses services, programs and schemes in Australia</w:t>
            </w:r>
          </w:p>
        </w:tc>
      </w:tr>
      <w:tr w:rsidR="00677ED1" w:rsidRPr="009F01A9" w14:paraId="742C12E2" w14:textId="77777777" w:rsidTr="0027093A">
        <w:trPr>
          <w:trHeight w:val="880"/>
        </w:trPr>
        <w:tc>
          <w:tcPr>
            <w:cnfStyle w:val="001000000000" w:firstRow="0" w:lastRow="0" w:firstColumn="1" w:lastColumn="0" w:oddVBand="0" w:evenVBand="0" w:oddHBand="0" w:evenHBand="0" w:firstRowFirstColumn="0" w:firstRowLastColumn="0" w:lastRowFirstColumn="0" w:lastRowLastColumn="0"/>
            <w:tcW w:w="4888" w:type="dxa"/>
          </w:tcPr>
          <w:p w14:paraId="40E1F3B5" w14:textId="77777777" w:rsidR="00B275A0" w:rsidRPr="005535DE" w:rsidRDefault="00B275A0" w:rsidP="00BD26B4">
            <w:pPr>
              <w:pStyle w:val="TableText"/>
            </w:pPr>
            <w:r>
              <w:t>What role do other organisations including private health insurers and not-for-profit organisations play in providing access to cancer prostheses?</w:t>
            </w:r>
          </w:p>
        </w:tc>
        <w:tc>
          <w:tcPr>
            <w:tcW w:w="4888" w:type="dxa"/>
          </w:tcPr>
          <w:p w14:paraId="3C95916D" w14:textId="4822364C" w:rsidR="00C04FFC" w:rsidRPr="0027093A" w:rsidRDefault="00EC09DB" w:rsidP="0027093A">
            <w:pPr>
              <w:pStyle w:val="TableText"/>
              <w:cnfStyle w:val="000000000000" w:firstRow="0" w:lastRow="0" w:firstColumn="0" w:lastColumn="0" w:oddVBand="0" w:evenVBand="0" w:oddHBand="0" w:evenHBand="0" w:firstRowFirstColumn="0" w:firstRowLastColumn="0" w:lastRowFirstColumn="0" w:lastRowLastColumn="0"/>
            </w:pPr>
            <w:r w:rsidRPr="0027093A">
              <w:t>Section 2: Current prostheses services, programs and schemes in Australia</w:t>
            </w:r>
          </w:p>
        </w:tc>
      </w:tr>
      <w:tr w:rsidR="00677ED1" w:rsidRPr="009F01A9" w14:paraId="6C2FD987" w14:textId="77777777" w:rsidTr="0027093A">
        <w:trPr>
          <w:trHeight w:val="880"/>
        </w:trPr>
        <w:tc>
          <w:tcPr>
            <w:cnfStyle w:val="001000000000" w:firstRow="0" w:lastRow="0" w:firstColumn="1" w:lastColumn="0" w:oddVBand="0" w:evenVBand="0" w:oddHBand="0" w:evenHBand="0" w:firstRowFirstColumn="0" w:firstRowLastColumn="0" w:lastRowFirstColumn="0" w:lastRowLastColumn="0"/>
            <w:tcW w:w="4888" w:type="dxa"/>
          </w:tcPr>
          <w:p w14:paraId="1B8D45D1" w14:textId="77777777" w:rsidR="00B275A0" w:rsidRPr="00854FBE" w:rsidRDefault="00B275A0" w:rsidP="00BD26B4">
            <w:pPr>
              <w:pStyle w:val="TableText"/>
            </w:pPr>
            <w:r w:rsidRPr="00854FBE">
              <w:t xml:space="preserve">What role should the state, territory and commonwealth governments play to </w:t>
            </w:r>
            <w:r>
              <w:t>support</w:t>
            </w:r>
            <w:r w:rsidRPr="00854FBE">
              <w:t xml:space="preserve"> equal access to cancer prostheses?</w:t>
            </w:r>
          </w:p>
        </w:tc>
        <w:tc>
          <w:tcPr>
            <w:tcW w:w="4888" w:type="dxa"/>
          </w:tcPr>
          <w:p w14:paraId="26C12080" w14:textId="6389D767" w:rsidR="00C04FFC" w:rsidRPr="0027093A" w:rsidRDefault="00EC09DB" w:rsidP="0027093A">
            <w:pPr>
              <w:pStyle w:val="TableText"/>
              <w:cnfStyle w:val="000000000000" w:firstRow="0" w:lastRow="0" w:firstColumn="0" w:lastColumn="0" w:oddVBand="0" w:evenVBand="0" w:oddHBand="0" w:evenHBand="0" w:firstRowFirstColumn="0" w:firstRowLastColumn="0" w:lastRowFirstColumn="0" w:lastRowLastColumn="0"/>
            </w:pPr>
            <w:r w:rsidRPr="0027093A">
              <w:t xml:space="preserve">Section 5: Considerations and options for a national cancer prosthesis program </w:t>
            </w:r>
          </w:p>
        </w:tc>
      </w:tr>
    </w:tbl>
    <w:p w14:paraId="08C1E92B" w14:textId="60C4623C" w:rsidR="00BD26B4" w:rsidRDefault="00BD26B4" w:rsidP="00BD26B4">
      <w:pPr>
        <w:pStyle w:val="Caption-Source"/>
      </w:pPr>
      <w:r w:rsidRPr="00956CC4">
        <w:t xml:space="preserve">Source: </w:t>
      </w:r>
      <w:r w:rsidR="0044544E" w:rsidRPr="0044544E">
        <w:t>Independent reviewer</w:t>
      </w:r>
      <w:r w:rsidRPr="00956CC4">
        <w:t xml:space="preserve"> (2025)</w:t>
      </w:r>
    </w:p>
    <w:p w14:paraId="4AD3D5BE" w14:textId="7E5BDACC" w:rsidR="00BD26B4" w:rsidRPr="00A10684" w:rsidRDefault="00BD26B4" w:rsidP="00DD71E7">
      <w:r>
        <w:t>Key review question</w:t>
      </w:r>
      <w:r w:rsidRPr="00FA39C2">
        <w:t xml:space="preserve"> </w:t>
      </w:r>
      <w:r w:rsidR="00AE47BF">
        <w:t>3</w:t>
      </w:r>
      <w:r>
        <w:t xml:space="preserve"> is </w:t>
      </w:r>
      <w:proofErr w:type="gramStart"/>
      <w:r w:rsidR="00AE47BF" w:rsidRPr="0042443F">
        <w:rPr>
          <w:rStyle w:val="Strong"/>
        </w:rPr>
        <w:t>In</w:t>
      </w:r>
      <w:proofErr w:type="gramEnd"/>
      <w:r w:rsidR="00AE47BF" w:rsidRPr="0042443F">
        <w:rPr>
          <w:rStyle w:val="Strong"/>
        </w:rPr>
        <w:t xml:space="preserve"> what health setting/s are people living with or have lived experience of cancer accessing cancer prostheses?</w:t>
      </w:r>
      <w:r w:rsidRPr="0042443F">
        <w:rPr>
          <w:rStyle w:val="Strong"/>
        </w:rPr>
        <w:t xml:space="preserve"> </w:t>
      </w:r>
      <w:r w:rsidR="00AE47BF">
        <w:fldChar w:fldCharType="begin"/>
      </w:r>
      <w:r w:rsidR="00AE47BF" w:rsidRPr="0042443F">
        <w:rPr>
          <w:rStyle w:val="Strong"/>
        </w:rPr>
        <w:instrText xml:space="preserve"> REF _Ref207204250 \h </w:instrText>
      </w:r>
      <w:r w:rsidR="00AE47BF">
        <w:fldChar w:fldCharType="separate"/>
      </w:r>
      <w:r w:rsidR="00AE47BF">
        <w:t xml:space="preserve">Table </w:t>
      </w:r>
      <w:r w:rsidR="00AE47BF">
        <w:rPr>
          <w:noProof/>
        </w:rPr>
        <w:t>47</w:t>
      </w:r>
      <w:r w:rsidR="00AE47BF">
        <w:fldChar w:fldCharType="end"/>
      </w:r>
      <w:r w:rsidR="00AE47BF">
        <w:t xml:space="preserve"> </w:t>
      </w:r>
      <w:r>
        <w:t xml:space="preserve">below outlines the sub-questions and sections of the report where the key review question is addressed. The data sources used to answer </w:t>
      </w:r>
      <w:r w:rsidR="004D438C" w:rsidRPr="00A10684">
        <w:t>KRQ</w:t>
      </w:r>
      <w:r w:rsidRPr="00A10684">
        <w:t xml:space="preserve"> </w:t>
      </w:r>
      <w:r w:rsidR="00AE47BF" w:rsidRPr="00A10684">
        <w:t>3</w:t>
      </w:r>
      <w:r w:rsidRPr="00A10684">
        <w:t xml:space="preserve"> include:</w:t>
      </w:r>
    </w:p>
    <w:p w14:paraId="47377CBF" w14:textId="4013CDF5" w:rsidR="00AE47BF" w:rsidRPr="008C11BD" w:rsidRDefault="004D438C" w:rsidP="004D438C">
      <w:pPr>
        <w:pStyle w:val="Bullet1stlevel"/>
      </w:pPr>
      <w:r>
        <w:t xml:space="preserve">Desktop </w:t>
      </w:r>
      <w:r w:rsidR="00AE47BF" w:rsidRPr="008C11BD">
        <w:t xml:space="preserve">review and literature scan </w:t>
      </w:r>
    </w:p>
    <w:p w14:paraId="36B989A6" w14:textId="77777777" w:rsidR="00AE47BF" w:rsidRPr="008C11BD" w:rsidRDefault="00AE47BF" w:rsidP="004D438C">
      <w:pPr>
        <w:pStyle w:val="Bullet1stlevel"/>
      </w:pPr>
      <w:r w:rsidRPr="008C11BD">
        <w:t>Consultation with states and territories</w:t>
      </w:r>
    </w:p>
    <w:p w14:paraId="06E26C1E" w14:textId="77777777" w:rsidR="00AE47BF" w:rsidRPr="008C11BD" w:rsidRDefault="00AE47BF" w:rsidP="004D438C">
      <w:pPr>
        <w:pStyle w:val="Bullet1stlevel"/>
      </w:pPr>
      <w:r w:rsidRPr="008C11BD">
        <w:t xml:space="preserve">Consultation and survey with clinicians </w:t>
      </w:r>
    </w:p>
    <w:p w14:paraId="375A60F6" w14:textId="77777777" w:rsidR="00AE47BF" w:rsidRPr="008C11BD" w:rsidRDefault="00AE47BF" w:rsidP="004D438C">
      <w:pPr>
        <w:pStyle w:val="Bullet1stlevel"/>
      </w:pPr>
      <w:r w:rsidRPr="008C11BD">
        <w:t xml:space="preserve">Consultation with retailers of </w:t>
      </w:r>
      <w:r>
        <w:t>prostheses</w:t>
      </w:r>
    </w:p>
    <w:p w14:paraId="2146A1B3" w14:textId="77777777" w:rsidR="00AE47BF" w:rsidRPr="008C11BD" w:rsidRDefault="00AE47BF" w:rsidP="004D438C">
      <w:pPr>
        <w:pStyle w:val="Bullet1stlevel"/>
      </w:pPr>
      <w:r w:rsidRPr="008C11BD">
        <w:t>Consultation and survey with people who are living with or who have lived experience of cancer and their carers</w:t>
      </w:r>
    </w:p>
    <w:p w14:paraId="2848EBF5" w14:textId="2DB60BD2" w:rsidR="00BD26B4" w:rsidRDefault="00AE47BF" w:rsidP="004D438C">
      <w:pPr>
        <w:pStyle w:val="Bullet1stlevel"/>
      </w:pPr>
      <w:r w:rsidRPr="008C11BD">
        <w:t>Consultation with peak bodies / advocacy groups</w:t>
      </w:r>
    </w:p>
    <w:p w14:paraId="3E38B773" w14:textId="387027B3" w:rsidR="00AE47BF" w:rsidRDefault="00AE47BF" w:rsidP="00AE47BF">
      <w:pPr>
        <w:pStyle w:val="Caption"/>
      </w:pPr>
      <w:bookmarkStart w:id="207" w:name="_Ref207204250"/>
      <w:bookmarkStart w:id="208" w:name="_Toc207348612"/>
      <w:r>
        <w:t xml:space="preserve">Table </w:t>
      </w:r>
      <w:r w:rsidR="004F27F5">
        <w:fldChar w:fldCharType="begin"/>
      </w:r>
      <w:r w:rsidR="004F27F5">
        <w:instrText xml:space="preserve"> SEQ Table \* ARABIC </w:instrText>
      </w:r>
      <w:r w:rsidR="004F27F5">
        <w:fldChar w:fldCharType="separate"/>
      </w:r>
      <w:r w:rsidR="004F27F5">
        <w:rPr>
          <w:noProof/>
        </w:rPr>
        <w:t>47</w:t>
      </w:r>
      <w:r w:rsidR="004F27F5">
        <w:rPr>
          <w:noProof/>
        </w:rPr>
        <w:fldChar w:fldCharType="end"/>
      </w:r>
      <w:bookmarkEnd w:id="207"/>
      <w:r>
        <w:t xml:space="preserve">: </w:t>
      </w:r>
      <w:r w:rsidRPr="00422C77">
        <w:t xml:space="preserve">Sub-questions and sections of the report where KRQ </w:t>
      </w:r>
      <w:r>
        <w:t>3</w:t>
      </w:r>
      <w:r w:rsidRPr="00422C77">
        <w:t xml:space="preserve"> is addressed</w:t>
      </w:r>
      <w:bookmarkEnd w:id="208"/>
    </w:p>
    <w:tbl>
      <w:tblPr>
        <w:tblStyle w:val="KPMGTable"/>
        <w:tblW w:w="9978" w:type="dxa"/>
        <w:tblLook w:val="04A0" w:firstRow="1" w:lastRow="0" w:firstColumn="1" w:lastColumn="0" w:noHBand="0" w:noVBand="1"/>
      </w:tblPr>
      <w:tblGrid>
        <w:gridCol w:w="4989"/>
        <w:gridCol w:w="4989"/>
      </w:tblGrid>
      <w:tr w:rsidR="00467133" w:rsidRPr="009F01A9" w14:paraId="6DC12EC8" w14:textId="77777777" w:rsidTr="0027093A">
        <w:trPr>
          <w:cnfStyle w:val="100000000000" w:firstRow="1" w:lastRow="0" w:firstColumn="0" w:lastColumn="0" w:oddVBand="0" w:evenVBand="0" w:oddHBand="0"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4989" w:type="dxa"/>
          </w:tcPr>
          <w:p w14:paraId="4578DEE6" w14:textId="06A6A2ED" w:rsidR="004D438C" w:rsidRPr="00227FA0" w:rsidRDefault="004D438C" w:rsidP="004D438C">
            <w:pPr>
              <w:pStyle w:val="TableHeading"/>
              <w:rPr>
                <w:rFonts w:cs="Arial"/>
                <w:kern w:val="24"/>
                <w:szCs w:val="20"/>
              </w:rPr>
            </w:pPr>
            <w:r w:rsidRPr="00BC7528">
              <w:t>Sub-questions</w:t>
            </w:r>
          </w:p>
        </w:tc>
        <w:tc>
          <w:tcPr>
            <w:tcW w:w="4989" w:type="dxa"/>
          </w:tcPr>
          <w:p w14:paraId="490BF9B7" w14:textId="41C50D01" w:rsidR="004D438C" w:rsidRPr="00484E9D" w:rsidRDefault="004D438C" w:rsidP="004D438C">
            <w:pPr>
              <w:pStyle w:val="TableHeading"/>
              <w:cnfStyle w:val="100000000000" w:firstRow="1" w:lastRow="0" w:firstColumn="0" w:lastColumn="0" w:oddVBand="0" w:evenVBand="0" w:oddHBand="0" w:evenHBand="0" w:firstRowFirstColumn="0" w:firstRowLastColumn="0" w:lastRowFirstColumn="0" w:lastRowLastColumn="0"/>
              <w:rPr>
                <w:rFonts w:cs="Arial"/>
                <w:bCs/>
                <w:kern w:val="24"/>
                <w:szCs w:val="20"/>
              </w:rPr>
            </w:pPr>
            <w:r>
              <w:t>Section of this report where question is addressed</w:t>
            </w:r>
          </w:p>
        </w:tc>
      </w:tr>
      <w:tr w:rsidR="00677ED1" w:rsidRPr="009F01A9" w14:paraId="5AED567F" w14:textId="77777777" w:rsidTr="0027093A">
        <w:trPr>
          <w:trHeight w:val="382"/>
        </w:trPr>
        <w:tc>
          <w:tcPr>
            <w:cnfStyle w:val="001000000000" w:firstRow="0" w:lastRow="0" w:firstColumn="1" w:lastColumn="0" w:oddVBand="0" w:evenVBand="0" w:oddHBand="0" w:evenHBand="0" w:firstRowFirstColumn="0" w:firstRowLastColumn="0" w:lastRowFirstColumn="0" w:lastRowLastColumn="0"/>
            <w:tcW w:w="4989" w:type="dxa"/>
          </w:tcPr>
          <w:p w14:paraId="0D109C56" w14:textId="77777777" w:rsidR="00B275A0" w:rsidRPr="00227FA0" w:rsidRDefault="00B275A0" w:rsidP="004D438C">
            <w:pPr>
              <w:pStyle w:val="TableText"/>
            </w:pPr>
            <w:r w:rsidRPr="00227FA0">
              <w:t xml:space="preserve">How does this differ by jurisdiction? </w:t>
            </w:r>
          </w:p>
        </w:tc>
        <w:tc>
          <w:tcPr>
            <w:tcW w:w="4989" w:type="dxa"/>
          </w:tcPr>
          <w:p w14:paraId="2BD02DDB" w14:textId="3A19636F" w:rsidR="00C04FFC" w:rsidRPr="004D438C" w:rsidRDefault="00EC09DB" w:rsidP="004D438C">
            <w:pPr>
              <w:pStyle w:val="TableText"/>
              <w:cnfStyle w:val="000000000000" w:firstRow="0" w:lastRow="0" w:firstColumn="0" w:lastColumn="0" w:oddVBand="0" w:evenVBand="0" w:oddHBand="0" w:evenHBand="0" w:firstRowFirstColumn="0" w:firstRowLastColumn="0" w:lastRowFirstColumn="0" w:lastRowLastColumn="0"/>
            </w:pPr>
            <w:r w:rsidRPr="004D438C">
              <w:t>Section 2: Current prostheses services, programs and schemes in Australia</w:t>
            </w:r>
          </w:p>
        </w:tc>
      </w:tr>
      <w:tr w:rsidR="00677ED1" w:rsidRPr="009F01A9" w14:paraId="525A3C88" w14:textId="77777777" w:rsidTr="0027093A">
        <w:trPr>
          <w:trHeight w:val="381"/>
        </w:trPr>
        <w:tc>
          <w:tcPr>
            <w:cnfStyle w:val="001000000000" w:firstRow="0" w:lastRow="0" w:firstColumn="1" w:lastColumn="0" w:oddVBand="0" w:evenVBand="0" w:oddHBand="0" w:evenHBand="0" w:firstRowFirstColumn="0" w:firstRowLastColumn="0" w:lastRowFirstColumn="0" w:lastRowLastColumn="0"/>
            <w:tcW w:w="4989" w:type="dxa"/>
          </w:tcPr>
          <w:p w14:paraId="79D81669" w14:textId="77777777" w:rsidR="00B275A0" w:rsidRPr="00227FA0" w:rsidRDefault="00B275A0" w:rsidP="004D438C">
            <w:pPr>
              <w:pStyle w:val="TableText"/>
            </w:pPr>
            <w:r w:rsidRPr="00307046">
              <w:t>How does this differ by prostheses and / or cancer type?</w:t>
            </w:r>
          </w:p>
        </w:tc>
        <w:tc>
          <w:tcPr>
            <w:tcW w:w="4989" w:type="dxa"/>
          </w:tcPr>
          <w:p w14:paraId="66C4C589" w14:textId="7B086B11" w:rsidR="00C04FFC" w:rsidRPr="004D438C" w:rsidRDefault="00EC09DB" w:rsidP="004D438C">
            <w:pPr>
              <w:pStyle w:val="TableText"/>
              <w:cnfStyle w:val="000000000000" w:firstRow="0" w:lastRow="0" w:firstColumn="0" w:lastColumn="0" w:oddVBand="0" w:evenVBand="0" w:oddHBand="0" w:evenHBand="0" w:firstRowFirstColumn="0" w:firstRowLastColumn="0" w:lastRowFirstColumn="0" w:lastRowLastColumn="0"/>
            </w:pPr>
            <w:r w:rsidRPr="004D438C">
              <w:t>Section 2: Current prostheses services, programs and schemes in Australia</w:t>
            </w:r>
          </w:p>
        </w:tc>
      </w:tr>
      <w:tr w:rsidR="00677ED1" w:rsidRPr="009F01A9" w14:paraId="156A1D67" w14:textId="77777777" w:rsidTr="0027093A">
        <w:trPr>
          <w:trHeight w:val="381"/>
        </w:trPr>
        <w:tc>
          <w:tcPr>
            <w:cnfStyle w:val="001000000000" w:firstRow="0" w:lastRow="0" w:firstColumn="1" w:lastColumn="0" w:oddVBand="0" w:evenVBand="0" w:oddHBand="0" w:evenHBand="0" w:firstRowFirstColumn="0" w:firstRowLastColumn="0" w:lastRowFirstColumn="0" w:lastRowLastColumn="0"/>
            <w:tcW w:w="4989" w:type="dxa"/>
          </w:tcPr>
          <w:p w14:paraId="73ECA111" w14:textId="77777777" w:rsidR="00B275A0" w:rsidRPr="00227FA0" w:rsidRDefault="00B275A0" w:rsidP="004D438C">
            <w:pPr>
              <w:pStyle w:val="TableText"/>
            </w:pPr>
            <w:r w:rsidRPr="00227FA0">
              <w:t>How does this differ in rural and remote areas vs. metropolitan areas?</w:t>
            </w:r>
          </w:p>
        </w:tc>
        <w:tc>
          <w:tcPr>
            <w:tcW w:w="4989" w:type="dxa"/>
          </w:tcPr>
          <w:p w14:paraId="70AB58AE" w14:textId="0D0071E6" w:rsidR="00C04FFC" w:rsidRPr="004D438C" w:rsidRDefault="00EC09DB" w:rsidP="004D438C">
            <w:pPr>
              <w:pStyle w:val="TableText"/>
              <w:cnfStyle w:val="000000000000" w:firstRow="0" w:lastRow="0" w:firstColumn="0" w:lastColumn="0" w:oddVBand="0" w:evenVBand="0" w:oddHBand="0" w:evenHBand="0" w:firstRowFirstColumn="0" w:firstRowLastColumn="0" w:lastRowFirstColumn="0" w:lastRowLastColumn="0"/>
            </w:pPr>
            <w:r w:rsidRPr="004D438C">
              <w:t>Section 2: Current prostheses services, programs and schemes in Australia</w:t>
            </w:r>
          </w:p>
        </w:tc>
      </w:tr>
      <w:tr w:rsidR="00677ED1" w:rsidRPr="009F01A9" w14:paraId="494FF14E" w14:textId="77777777" w:rsidTr="0027093A">
        <w:trPr>
          <w:trHeight w:val="442"/>
        </w:trPr>
        <w:tc>
          <w:tcPr>
            <w:cnfStyle w:val="001000000000" w:firstRow="0" w:lastRow="0" w:firstColumn="1" w:lastColumn="0" w:oddVBand="0" w:evenVBand="0" w:oddHBand="0" w:evenHBand="0" w:firstRowFirstColumn="0" w:firstRowLastColumn="0" w:lastRowFirstColumn="0" w:lastRowLastColumn="0"/>
            <w:tcW w:w="4989" w:type="dxa"/>
          </w:tcPr>
          <w:p w14:paraId="6C4CE070" w14:textId="62B9A083" w:rsidR="00B275A0" w:rsidRDefault="00B275A0" w:rsidP="004D438C">
            <w:pPr>
              <w:pStyle w:val="TableText"/>
            </w:pPr>
            <w:r>
              <w:t>How does this differ</w:t>
            </w:r>
            <w:r w:rsidRPr="004B713F">
              <w:t xml:space="preserve"> </w:t>
            </w:r>
            <w:r>
              <w:t>for</w:t>
            </w:r>
            <w:r w:rsidRPr="004B713F">
              <w:t xml:space="preserve"> priority population group</w:t>
            </w:r>
            <w:r>
              <w:t>s</w:t>
            </w:r>
            <w:r w:rsidR="007B7939">
              <w:rPr>
                <w:rFonts w:ascii="ZWAdobeF" w:hAnsi="ZWAdobeF" w:cs="ZWAdobeF"/>
                <w:color w:val="auto"/>
                <w:sz w:val="2"/>
                <w:szCs w:val="2"/>
              </w:rPr>
              <w:t>175F</w:t>
            </w:r>
            <w:r>
              <w:rPr>
                <w:rStyle w:val="FootnoteReference"/>
                <w:rFonts w:cs="Arial"/>
                <w:kern w:val="24"/>
                <w:szCs w:val="20"/>
              </w:rPr>
              <w:footnoteReference w:id="168"/>
            </w:r>
            <w:r w:rsidRPr="004B713F">
              <w:t>?</w:t>
            </w:r>
          </w:p>
        </w:tc>
        <w:tc>
          <w:tcPr>
            <w:tcW w:w="4989" w:type="dxa"/>
          </w:tcPr>
          <w:p w14:paraId="11BA3BD1" w14:textId="651E4ECF" w:rsidR="00C04FFC" w:rsidRPr="004D438C" w:rsidRDefault="00EC09DB" w:rsidP="004D438C">
            <w:pPr>
              <w:pStyle w:val="TableText"/>
              <w:cnfStyle w:val="000000000000" w:firstRow="0" w:lastRow="0" w:firstColumn="0" w:lastColumn="0" w:oddVBand="0" w:evenVBand="0" w:oddHBand="0" w:evenHBand="0" w:firstRowFirstColumn="0" w:firstRowLastColumn="0" w:lastRowFirstColumn="0" w:lastRowLastColumn="0"/>
            </w:pPr>
            <w:r w:rsidRPr="004D438C">
              <w:t>Section 2: Current prostheses services, programs and schemes in Australia</w:t>
            </w:r>
          </w:p>
        </w:tc>
      </w:tr>
    </w:tbl>
    <w:p w14:paraId="292903D8" w14:textId="062203BE" w:rsidR="004D438C" w:rsidRDefault="004D438C" w:rsidP="004D438C">
      <w:pPr>
        <w:pStyle w:val="Caption-Source"/>
      </w:pPr>
      <w:r w:rsidRPr="00956CC4">
        <w:t xml:space="preserve">Source: </w:t>
      </w:r>
      <w:r w:rsidR="00435DC4" w:rsidRPr="00435DC4">
        <w:t>Independent reviewer</w:t>
      </w:r>
      <w:r w:rsidRPr="00956CC4">
        <w:t xml:space="preserve"> (2025)</w:t>
      </w:r>
    </w:p>
    <w:p w14:paraId="2C63AC26" w14:textId="299D8E84" w:rsidR="004D438C" w:rsidRPr="00A10684" w:rsidRDefault="004D438C" w:rsidP="00DD71E7">
      <w:r>
        <w:t>Key review question</w:t>
      </w:r>
      <w:r w:rsidRPr="00FA39C2">
        <w:t xml:space="preserve"> </w:t>
      </w:r>
      <w:r w:rsidR="006D486B">
        <w:t>4</w:t>
      </w:r>
      <w:r>
        <w:t xml:space="preserve"> is </w:t>
      </w:r>
      <w:r w:rsidR="006D486B" w:rsidRPr="0042443F">
        <w:rPr>
          <w:rStyle w:val="Strong"/>
        </w:rPr>
        <w:t>What are the current barriers faced by people living with or who have lived experience of cancer in accessing prostheses?</w:t>
      </w:r>
      <w:r w:rsidRPr="0042443F">
        <w:rPr>
          <w:rStyle w:val="Strong"/>
        </w:rPr>
        <w:t xml:space="preserve"> </w:t>
      </w:r>
      <w:r w:rsidR="006D486B">
        <w:fldChar w:fldCharType="begin"/>
      </w:r>
      <w:r w:rsidR="006D486B" w:rsidRPr="0042443F">
        <w:rPr>
          <w:rStyle w:val="Strong"/>
        </w:rPr>
        <w:instrText xml:space="preserve"> REF _Ref207204460 \h </w:instrText>
      </w:r>
      <w:r w:rsidR="006D486B">
        <w:fldChar w:fldCharType="separate"/>
      </w:r>
      <w:r w:rsidR="006D486B">
        <w:t xml:space="preserve">Table </w:t>
      </w:r>
      <w:r w:rsidR="006D486B">
        <w:rPr>
          <w:noProof/>
        </w:rPr>
        <w:t>48</w:t>
      </w:r>
      <w:r w:rsidR="006D486B">
        <w:fldChar w:fldCharType="end"/>
      </w:r>
      <w:r w:rsidR="006D486B">
        <w:t xml:space="preserve"> </w:t>
      </w:r>
      <w:r>
        <w:t>below o</w:t>
      </w:r>
      <w:r w:rsidRPr="00DD71E7">
        <w:t xml:space="preserve">utlines the sub-questions and sections of the report where the key review question is addressed. The data sources used to answer KRQ </w:t>
      </w:r>
      <w:r w:rsidR="006D486B" w:rsidRPr="00DD71E7">
        <w:t>4</w:t>
      </w:r>
      <w:r w:rsidRPr="00DD71E7">
        <w:t xml:space="preserve"> include:</w:t>
      </w:r>
    </w:p>
    <w:p w14:paraId="360284B8" w14:textId="77777777" w:rsidR="006D486B" w:rsidRPr="008C11BD" w:rsidRDefault="006D486B" w:rsidP="006D486B">
      <w:pPr>
        <w:pStyle w:val="Bullet1stlevel"/>
      </w:pPr>
      <w:r w:rsidRPr="008C11BD">
        <w:t xml:space="preserve">Desktop review and literature scan </w:t>
      </w:r>
    </w:p>
    <w:p w14:paraId="19AA682E" w14:textId="77777777" w:rsidR="006D486B" w:rsidRPr="008C11BD" w:rsidRDefault="006D486B" w:rsidP="006D486B">
      <w:pPr>
        <w:pStyle w:val="Bullet1stlevel"/>
      </w:pPr>
      <w:r w:rsidRPr="008C11BD">
        <w:t>Consultation with states and territories</w:t>
      </w:r>
    </w:p>
    <w:p w14:paraId="396B5E50" w14:textId="77777777" w:rsidR="006D486B" w:rsidRPr="008C11BD" w:rsidRDefault="006D486B" w:rsidP="006D486B">
      <w:pPr>
        <w:pStyle w:val="Bullet1stlevel"/>
      </w:pPr>
      <w:r w:rsidRPr="008C11BD">
        <w:t xml:space="preserve">Consultation and survey with clinicians </w:t>
      </w:r>
    </w:p>
    <w:p w14:paraId="670E0657" w14:textId="77777777" w:rsidR="006D486B" w:rsidRPr="008C11BD" w:rsidRDefault="006D486B" w:rsidP="006D486B">
      <w:pPr>
        <w:pStyle w:val="Bullet1stlevel"/>
      </w:pPr>
      <w:r w:rsidRPr="008C11BD">
        <w:t xml:space="preserve">Consultation with retailers of </w:t>
      </w:r>
      <w:r>
        <w:t>prostheses</w:t>
      </w:r>
    </w:p>
    <w:p w14:paraId="20162B4C" w14:textId="77777777" w:rsidR="006D486B" w:rsidRPr="008C11BD" w:rsidRDefault="006D486B" w:rsidP="006D486B">
      <w:pPr>
        <w:pStyle w:val="Bullet1stlevel"/>
      </w:pPr>
      <w:r w:rsidRPr="008C11BD">
        <w:t>Consultation and survey with people who are living with or who have lived experience of cancer and their carers</w:t>
      </w:r>
    </w:p>
    <w:p w14:paraId="0D87C779" w14:textId="77777777" w:rsidR="006D486B" w:rsidRPr="008C11BD" w:rsidRDefault="006D486B" w:rsidP="006D486B">
      <w:pPr>
        <w:pStyle w:val="Bullet1stlevel"/>
      </w:pPr>
      <w:r w:rsidRPr="008C11BD">
        <w:t>Consultation with peak bodies / advocacy groups</w:t>
      </w:r>
    </w:p>
    <w:p w14:paraId="44CEECC6" w14:textId="15291242" w:rsidR="006D486B" w:rsidRDefault="006D486B" w:rsidP="006D486B">
      <w:pPr>
        <w:pStyle w:val="Caption"/>
      </w:pPr>
      <w:bookmarkStart w:id="209" w:name="_Ref207204460"/>
      <w:bookmarkStart w:id="210" w:name="_Toc207348613"/>
      <w:r>
        <w:t xml:space="preserve">Table </w:t>
      </w:r>
      <w:r w:rsidR="004F27F5">
        <w:fldChar w:fldCharType="begin"/>
      </w:r>
      <w:r w:rsidR="004F27F5">
        <w:instrText xml:space="preserve"> SEQ Table \* ARABIC </w:instrText>
      </w:r>
      <w:r w:rsidR="004F27F5">
        <w:fldChar w:fldCharType="separate"/>
      </w:r>
      <w:r w:rsidR="004F27F5">
        <w:rPr>
          <w:noProof/>
        </w:rPr>
        <w:t>48</w:t>
      </w:r>
      <w:r w:rsidR="004F27F5">
        <w:rPr>
          <w:noProof/>
        </w:rPr>
        <w:fldChar w:fldCharType="end"/>
      </w:r>
      <w:bookmarkEnd w:id="209"/>
      <w:r>
        <w:t xml:space="preserve">: </w:t>
      </w:r>
      <w:r w:rsidRPr="008649E8">
        <w:t xml:space="preserve">Sub-questions and sections of the report where KRQ </w:t>
      </w:r>
      <w:r>
        <w:t>4</w:t>
      </w:r>
      <w:r w:rsidRPr="008649E8">
        <w:t xml:space="preserve"> is addressed</w:t>
      </w:r>
      <w:bookmarkEnd w:id="210"/>
    </w:p>
    <w:tbl>
      <w:tblPr>
        <w:tblStyle w:val="KPMGTable"/>
        <w:tblW w:w="9928" w:type="dxa"/>
        <w:tblLook w:val="04A0" w:firstRow="1" w:lastRow="0" w:firstColumn="1" w:lastColumn="0" w:noHBand="0" w:noVBand="1"/>
      </w:tblPr>
      <w:tblGrid>
        <w:gridCol w:w="4964"/>
        <w:gridCol w:w="4964"/>
      </w:tblGrid>
      <w:tr w:rsidR="00467133" w:rsidRPr="009F01A9" w14:paraId="6B405991" w14:textId="77777777" w:rsidTr="00A10684">
        <w:trPr>
          <w:cnfStyle w:val="100000000000" w:firstRow="1" w:lastRow="0" w:firstColumn="0" w:lastColumn="0" w:oddVBand="0" w:evenVBand="0" w:oddHBand="0" w:evenHBand="0" w:firstRowFirstColumn="0" w:firstRowLastColumn="0" w:lastRowFirstColumn="0" w:lastRowLastColumn="0"/>
          <w:trHeight w:val="499"/>
          <w:tblHeader/>
        </w:trPr>
        <w:tc>
          <w:tcPr>
            <w:cnfStyle w:val="001000000000" w:firstRow="0" w:lastRow="0" w:firstColumn="1" w:lastColumn="0" w:oddVBand="0" w:evenVBand="0" w:oddHBand="0" w:evenHBand="0" w:firstRowFirstColumn="0" w:firstRowLastColumn="0" w:lastRowFirstColumn="0" w:lastRowLastColumn="0"/>
            <w:tcW w:w="4964" w:type="dxa"/>
          </w:tcPr>
          <w:p w14:paraId="46168F47" w14:textId="287B49E4" w:rsidR="006D486B" w:rsidRPr="00307046" w:rsidRDefault="006D486B" w:rsidP="006D486B">
            <w:pPr>
              <w:pStyle w:val="TableHeading"/>
              <w:rPr>
                <w:rFonts w:cs="Arial"/>
                <w:kern w:val="24"/>
                <w:szCs w:val="20"/>
              </w:rPr>
            </w:pPr>
            <w:r w:rsidRPr="00BC7528">
              <w:t>Sub-questions</w:t>
            </w:r>
          </w:p>
        </w:tc>
        <w:tc>
          <w:tcPr>
            <w:tcW w:w="4964" w:type="dxa"/>
          </w:tcPr>
          <w:p w14:paraId="6A836E3B" w14:textId="1CCE77D6" w:rsidR="006D486B" w:rsidRPr="00484E9D" w:rsidRDefault="006D486B" w:rsidP="006D486B">
            <w:pPr>
              <w:pStyle w:val="TableHeading"/>
              <w:cnfStyle w:val="100000000000" w:firstRow="1" w:lastRow="0" w:firstColumn="0" w:lastColumn="0" w:oddVBand="0" w:evenVBand="0" w:oddHBand="0" w:evenHBand="0" w:firstRowFirstColumn="0" w:firstRowLastColumn="0" w:lastRowFirstColumn="0" w:lastRowLastColumn="0"/>
              <w:rPr>
                <w:rFonts w:cs="Arial"/>
                <w:bCs/>
                <w:kern w:val="24"/>
                <w:szCs w:val="20"/>
              </w:rPr>
            </w:pPr>
            <w:r>
              <w:t>Section of this report where question is addressed</w:t>
            </w:r>
          </w:p>
        </w:tc>
      </w:tr>
      <w:tr w:rsidR="00677ED1" w:rsidRPr="009F01A9" w14:paraId="70C85FD9" w14:textId="77777777" w:rsidTr="0027093A">
        <w:trPr>
          <w:trHeight w:val="499"/>
        </w:trPr>
        <w:tc>
          <w:tcPr>
            <w:cnfStyle w:val="001000000000" w:firstRow="0" w:lastRow="0" w:firstColumn="1" w:lastColumn="0" w:oddVBand="0" w:evenVBand="0" w:oddHBand="0" w:evenHBand="0" w:firstRowFirstColumn="0" w:firstRowLastColumn="0" w:lastRowFirstColumn="0" w:lastRowLastColumn="0"/>
            <w:tcW w:w="4964" w:type="dxa"/>
          </w:tcPr>
          <w:p w14:paraId="0CA904BA" w14:textId="77777777" w:rsidR="00B275A0" w:rsidRPr="006D486B" w:rsidRDefault="00B275A0" w:rsidP="006D486B">
            <w:pPr>
              <w:pStyle w:val="TableText"/>
            </w:pPr>
            <w:r w:rsidRPr="006D486B">
              <w:t xml:space="preserve">How does this differ by jurisdiction? </w:t>
            </w:r>
          </w:p>
        </w:tc>
        <w:tc>
          <w:tcPr>
            <w:tcW w:w="4964" w:type="dxa"/>
          </w:tcPr>
          <w:p w14:paraId="39302B76" w14:textId="56C23543" w:rsidR="00C04FFC" w:rsidRPr="006D486B" w:rsidRDefault="00EC09DB" w:rsidP="006D486B">
            <w:pPr>
              <w:pStyle w:val="TableText"/>
              <w:cnfStyle w:val="000000000000" w:firstRow="0" w:lastRow="0" w:firstColumn="0" w:lastColumn="0" w:oddVBand="0" w:evenVBand="0" w:oddHBand="0" w:evenHBand="0" w:firstRowFirstColumn="0" w:firstRowLastColumn="0" w:lastRowFirstColumn="0" w:lastRowLastColumn="0"/>
            </w:pPr>
            <w:r w:rsidRPr="006D486B">
              <w:t>Section 4: Equity of access to prostheses for people living with or post a cancer diagnosis in Australia</w:t>
            </w:r>
          </w:p>
        </w:tc>
      </w:tr>
      <w:tr w:rsidR="00677ED1" w:rsidRPr="009F01A9" w14:paraId="61172A0F" w14:textId="77777777" w:rsidTr="0027093A">
        <w:trPr>
          <w:trHeight w:val="496"/>
        </w:trPr>
        <w:tc>
          <w:tcPr>
            <w:cnfStyle w:val="001000000000" w:firstRow="0" w:lastRow="0" w:firstColumn="1" w:lastColumn="0" w:oddVBand="0" w:evenVBand="0" w:oddHBand="0" w:evenHBand="0" w:firstRowFirstColumn="0" w:firstRowLastColumn="0" w:lastRowFirstColumn="0" w:lastRowLastColumn="0"/>
            <w:tcW w:w="4964" w:type="dxa"/>
          </w:tcPr>
          <w:p w14:paraId="1444A710" w14:textId="77777777" w:rsidR="00B275A0" w:rsidRPr="006D486B" w:rsidRDefault="00B275A0" w:rsidP="006D486B">
            <w:pPr>
              <w:pStyle w:val="TableText"/>
            </w:pPr>
            <w:r w:rsidRPr="006D486B">
              <w:t>How does this differ by prostheses and / or cancer type?</w:t>
            </w:r>
          </w:p>
        </w:tc>
        <w:tc>
          <w:tcPr>
            <w:tcW w:w="4964" w:type="dxa"/>
          </w:tcPr>
          <w:p w14:paraId="5A9B4273" w14:textId="738231EA" w:rsidR="00C04FFC" w:rsidRPr="006D486B" w:rsidRDefault="00EC09DB" w:rsidP="006D486B">
            <w:pPr>
              <w:pStyle w:val="TableText"/>
              <w:cnfStyle w:val="000000000000" w:firstRow="0" w:lastRow="0" w:firstColumn="0" w:lastColumn="0" w:oddVBand="0" w:evenVBand="0" w:oddHBand="0" w:evenHBand="0" w:firstRowFirstColumn="0" w:firstRowLastColumn="0" w:lastRowFirstColumn="0" w:lastRowLastColumn="0"/>
            </w:pPr>
            <w:r w:rsidRPr="006D486B">
              <w:t>Section 4: Equity of access to prostheses for people living with or post a cancer diagnosis in Australia</w:t>
            </w:r>
          </w:p>
        </w:tc>
      </w:tr>
      <w:tr w:rsidR="00677ED1" w:rsidRPr="009F01A9" w14:paraId="71B86521" w14:textId="77777777" w:rsidTr="0027093A">
        <w:trPr>
          <w:trHeight w:val="496"/>
        </w:trPr>
        <w:tc>
          <w:tcPr>
            <w:cnfStyle w:val="001000000000" w:firstRow="0" w:lastRow="0" w:firstColumn="1" w:lastColumn="0" w:oddVBand="0" w:evenVBand="0" w:oddHBand="0" w:evenHBand="0" w:firstRowFirstColumn="0" w:firstRowLastColumn="0" w:lastRowFirstColumn="0" w:lastRowLastColumn="0"/>
            <w:tcW w:w="4964" w:type="dxa"/>
          </w:tcPr>
          <w:p w14:paraId="5C16AE0A" w14:textId="77777777" w:rsidR="00B275A0" w:rsidRPr="006D486B" w:rsidRDefault="00B275A0" w:rsidP="006D486B">
            <w:pPr>
              <w:pStyle w:val="TableText"/>
            </w:pPr>
            <w:r w:rsidRPr="006D486B">
              <w:t>How does this differ in rural and remote areas vs. metropolitan areas?</w:t>
            </w:r>
          </w:p>
        </w:tc>
        <w:tc>
          <w:tcPr>
            <w:tcW w:w="4964" w:type="dxa"/>
          </w:tcPr>
          <w:p w14:paraId="6B36FC40" w14:textId="64C1D165" w:rsidR="00C04FFC" w:rsidRPr="006D486B" w:rsidRDefault="00EC09DB" w:rsidP="006D486B">
            <w:pPr>
              <w:pStyle w:val="TableText"/>
              <w:cnfStyle w:val="000000000000" w:firstRow="0" w:lastRow="0" w:firstColumn="0" w:lastColumn="0" w:oddVBand="0" w:evenVBand="0" w:oddHBand="0" w:evenHBand="0" w:firstRowFirstColumn="0" w:firstRowLastColumn="0" w:lastRowFirstColumn="0" w:lastRowLastColumn="0"/>
            </w:pPr>
            <w:r w:rsidRPr="006D486B">
              <w:t>Section 4: Equity of access to prostheses for people living with or post a cancer diagnosis in Australia</w:t>
            </w:r>
          </w:p>
        </w:tc>
      </w:tr>
      <w:tr w:rsidR="00677ED1" w:rsidRPr="009F01A9" w14:paraId="7F370EE2" w14:textId="77777777" w:rsidTr="0027093A">
        <w:trPr>
          <w:trHeight w:val="496"/>
        </w:trPr>
        <w:tc>
          <w:tcPr>
            <w:cnfStyle w:val="001000000000" w:firstRow="0" w:lastRow="0" w:firstColumn="1" w:lastColumn="0" w:oddVBand="0" w:evenVBand="0" w:oddHBand="0" w:evenHBand="0" w:firstRowFirstColumn="0" w:firstRowLastColumn="0" w:lastRowFirstColumn="0" w:lastRowLastColumn="0"/>
            <w:tcW w:w="4964" w:type="dxa"/>
          </w:tcPr>
          <w:p w14:paraId="62D4956C" w14:textId="064FB343" w:rsidR="00B275A0" w:rsidRPr="006D486B" w:rsidRDefault="00B275A0" w:rsidP="006D486B">
            <w:pPr>
              <w:pStyle w:val="TableText"/>
            </w:pPr>
            <w:r w:rsidRPr="006D486B">
              <w:t>How does this differ for priority population groups? Are there unique barriers faced by priority population groups</w:t>
            </w:r>
            <w:r w:rsidR="007B7939" w:rsidRPr="006D486B">
              <w:t>176F</w:t>
            </w:r>
            <w:r w:rsidRPr="006D486B">
              <w:rPr>
                <w:rStyle w:val="FootnoteReference"/>
                <w:vertAlign w:val="baseline"/>
              </w:rPr>
              <w:footnoteReference w:id="169"/>
            </w:r>
            <w:r w:rsidRPr="006D486B">
              <w:t xml:space="preserve">? </w:t>
            </w:r>
          </w:p>
        </w:tc>
        <w:tc>
          <w:tcPr>
            <w:tcW w:w="4964" w:type="dxa"/>
          </w:tcPr>
          <w:p w14:paraId="2B1C780A" w14:textId="7A8B0567" w:rsidR="00C04FFC" w:rsidRPr="006D486B" w:rsidRDefault="00EC09DB" w:rsidP="006D486B">
            <w:pPr>
              <w:pStyle w:val="TableText"/>
              <w:cnfStyle w:val="000000000000" w:firstRow="0" w:lastRow="0" w:firstColumn="0" w:lastColumn="0" w:oddVBand="0" w:evenVBand="0" w:oddHBand="0" w:evenHBand="0" w:firstRowFirstColumn="0" w:firstRowLastColumn="0" w:lastRowFirstColumn="0" w:lastRowLastColumn="0"/>
            </w:pPr>
            <w:r w:rsidRPr="006D486B">
              <w:t>Section 4: Equity of access to prostheses for people living with or post a cancer diagnosis in Australia</w:t>
            </w:r>
          </w:p>
        </w:tc>
      </w:tr>
      <w:tr w:rsidR="00677ED1" w:rsidRPr="009F01A9" w14:paraId="53BE3A9E" w14:textId="77777777" w:rsidTr="0027093A">
        <w:trPr>
          <w:trHeight w:val="496"/>
        </w:trPr>
        <w:tc>
          <w:tcPr>
            <w:cnfStyle w:val="001000000000" w:firstRow="0" w:lastRow="0" w:firstColumn="1" w:lastColumn="0" w:oddVBand="0" w:evenVBand="0" w:oddHBand="0" w:evenHBand="0" w:firstRowFirstColumn="0" w:firstRowLastColumn="0" w:lastRowFirstColumn="0" w:lastRowLastColumn="0"/>
            <w:tcW w:w="4964" w:type="dxa"/>
          </w:tcPr>
          <w:p w14:paraId="683056D7" w14:textId="0438875A" w:rsidR="00B275A0" w:rsidRPr="006D486B" w:rsidRDefault="00B275A0" w:rsidP="006D486B">
            <w:pPr>
              <w:pStyle w:val="TableText"/>
            </w:pPr>
            <w:r w:rsidRPr="006D486B">
              <w:t xml:space="preserve">Could these barriers be addressed by a national Cancer </w:t>
            </w:r>
            <w:r w:rsidR="00243A26" w:rsidRPr="006D486B">
              <w:t>Prosthesis</w:t>
            </w:r>
            <w:r w:rsidRPr="006D486B">
              <w:t xml:space="preserve"> Program? If so, how? If not, why not?</w:t>
            </w:r>
          </w:p>
        </w:tc>
        <w:tc>
          <w:tcPr>
            <w:tcW w:w="4964" w:type="dxa"/>
          </w:tcPr>
          <w:p w14:paraId="1C2612C8" w14:textId="425B27F8" w:rsidR="00C04FFC" w:rsidRPr="006D486B" w:rsidRDefault="00EC09DB" w:rsidP="006D486B">
            <w:pPr>
              <w:pStyle w:val="TableText"/>
              <w:cnfStyle w:val="000000000000" w:firstRow="0" w:lastRow="0" w:firstColumn="0" w:lastColumn="0" w:oddVBand="0" w:evenVBand="0" w:oddHBand="0" w:evenHBand="0" w:firstRowFirstColumn="0" w:firstRowLastColumn="0" w:lastRowFirstColumn="0" w:lastRowLastColumn="0"/>
            </w:pPr>
            <w:r w:rsidRPr="006D486B">
              <w:t>Section 5: Considerations and options for a national cancer prosthesis program</w:t>
            </w:r>
          </w:p>
        </w:tc>
      </w:tr>
    </w:tbl>
    <w:p w14:paraId="0ACFE5E3" w14:textId="4274DFAC" w:rsidR="006D486B" w:rsidRDefault="006D486B" w:rsidP="006D486B">
      <w:pPr>
        <w:pStyle w:val="Caption-Source"/>
      </w:pPr>
      <w:r w:rsidRPr="00956CC4">
        <w:t xml:space="preserve">Source: </w:t>
      </w:r>
      <w:r w:rsidR="00435DC4" w:rsidRPr="00435DC4">
        <w:t>Independent reviewer</w:t>
      </w:r>
      <w:r w:rsidRPr="00956CC4">
        <w:t xml:space="preserve"> (2025)</w:t>
      </w:r>
    </w:p>
    <w:p w14:paraId="77071925" w14:textId="1F869DAE" w:rsidR="006D486B" w:rsidRPr="00DD71E7" w:rsidRDefault="006D486B" w:rsidP="00DD71E7">
      <w:r w:rsidRPr="00DD71E7">
        <w:t xml:space="preserve">Key review question </w:t>
      </w:r>
      <w:r w:rsidR="000F70AF" w:rsidRPr="00DD71E7">
        <w:t>5</w:t>
      </w:r>
      <w:r w:rsidRPr="00DD71E7">
        <w:t xml:space="preserve"> is </w:t>
      </w:r>
      <w:r w:rsidR="000F70AF" w:rsidRPr="00DD71E7">
        <w:rPr>
          <w:rStyle w:val="Strong"/>
        </w:rPr>
        <w:t xml:space="preserve">Are </w:t>
      </w:r>
      <w:proofErr w:type="gramStart"/>
      <w:r w:rsidR="000F70AF" w:rsidRPr="00DD71E7">
        <w:rPr>
          <w:rStyle w:val="Strong"/>
        </w:rPr>
        <w:t>there</w:t>
      </w:r>
      <w:proofErr w:type="gramEnd"/>
      <w:r w:rsidR="000F70AF" w:rsidRPr="00DD71E7">
        <w:rPr>
          <w:rStyle w:val="Strong"/>
        </w:rPr>
        <w:t xml:space="preserve"> </w:t>
      </w:r>
      <w:proofErr w:type="gramStart"/>
      <w:r w:rsidR="000F70AF" w:rsidRPr="00DD71E7">
        <w:rPr>
          <w:rStyle w:val="Strong"/>
        </w:rPr>
        <w:t>particular prosthesis</w:t>
      </w:r>
      <w:proofErr w:type="gramEnd"/>
      <w:r w:rsidR="000F70AF" w:rsidRPr="00DD71E7">
        <w:rPr>
          <w:rStyle w:val="Strong"/>
        </w:rPr>
        <w:t xml:space="preserve"> types that are more difficult than others to access? Are there particular prosthesis types that are not covered by any existing support schemes?</w:t>
      </w:r>
      <w:r w:rsidR="000F70AF" w:rsidRPr="00DD71E7">
        <w:t xml:space="preserve"> </w:t>
      </w:r>
      <w:r w:rsidR="000F70AF" w:rsidRPr="00DD71E7">
        <w:fldChar w:fldCharType="begin"/>
      </w:r>
      <w:r w:rsidR="000F70AF" w:rsidRPr="00DD71E7">
        <w:instrText xml:space="preserve"> REF _Ref207204625 \h </w:instrText>
      </w:r>
      <w:r w:rsidR="00DD71E7">
        <w:instrText xml:space="preserve"> \* MERGEFORMAT </w:instrText>
      </w:r>
      <w:r w:rsidR="000F70AF" w:rsidRPr="00DD71E7">
        <w:fldChar w:fldCharType="separate"/>
      </w:r>
      <w:r w:rsidR="000F70AF" w:rsidRPr="00DD71E7">
        <w:t>Table 49</w:t>
      </w:r>
      <w:r w:rsidR="000F70AF" w:rsidRPr="00DD71E7">
        <w:fldChar w:fldCharType="end"/>
      </w:r>
      <w:r w:rsidR="000F70AF" w:rsidRPr="00DD71E7">
        <w:t xml:space="preserve"> </w:t>
      </w:r>
      <w:r w:rsidRPr="00DD71E7">
        <w:t xml:space="preserve">below outlines the sub-questions and sections of the report where the key review question is addressed. The data sources used to answer KRQ </w:t>
      </w:r>
      <w:r w:rsidR="000F70AF" w:rsidRPr="00DD71E7">
        <w:t>5</w:t>
      </w:r>
      <w:r w:rsidRPr="00DD71E7">
        <w:t xml:space="preserve"> include:</w:t>
      </w:r>
    </w:p>
    <w:p w14:paraId="1D9DDAB3" w14:textId="77777777" w:rsidR="000F70AF" w:rsidRPr="008C11BD" w:rsidRDefault="000F70AF" w:rsidP="005313E5">
      <w:pPr>
        <w:pStyle w:val="Bullet1stlevel"/>
      </w:pPr>
      <w:r w:rsidRPr="008C11BD">
        <w:t>Desktop review and literature scan</w:t>
      </w:r>
    </w:p>
    <w:p w14:paraId="4BDBC4B7" w14:textId="77777777" w:rsidR="000F70AF" w:rsidRPr="008C11BD" w:rsidRDefault="000F70AF" w:rsidP="005313E5">
      <w:pPr>
        <w:pStyle w:val="Bullet1stlevel"/>
      </w:pPr>
      <w:r w:rsidRPr="008C11BD">
        <w:t>Consultation and survey with people who are living with or have lived experience and carers</w:t>
      </w:r>
    </w:p>
    <w:p w14:paraId="49168974" w14:textId="77777777" w:rsidR="000F70AF" w:rsidRPr="008C11BD" w:rsidRDefault="000F70AF" w:rsidP="005313E5">
      <w:pPr>
        <w:pStyle w:val="Bullet1stlevel"/>
      </w:pPr>
      <w:r w:rsidRPr="008C11BD">
        <w:t xml:space="preserve">Consultation and survey with clinicians </w:t>
      </w:r>
    </w:p>
    <w:p w14:paraId="00A41357" w14:textId="77777777" w:rsidR="000F70AF" w:rsidRPr="008C11BD" w:rsidRDefault="000F70AF" w:rsidP="005313E5">
      <w:pPr>
        <w:pStyle w:val="Bullet1stlevel"/>
      </w:pPr>
      <w:r w:rsidRPr="008C11BD">
        <w:t>Consultation with retailers of prostheses</w:t>
      </w:r>
    </w:p>
    <w:p w14:paraId="3186AF2C" w14:textId="77777777" w:rsidR="000F70AF" w:rsidRPr="008C11BD" w:rsidRDefault="000F70AF" w:rsidP="005313E5">
      <w:pPr>
        <w:pStyle w:val="Bullet1stlevel"/>
      </w:pPr>
      <w:r w:rsidRPr="008C11BD">
        <w:t>Consultation with peak bodies / advocacy groups</w:t>
      </w:r>
    </w:p>
    <w:p w14:paraId="7CDF0449" w14:textId="6C2D279D" w:rsidR="00C33FD2" w:rsidRDefault="000F70AF" w:rsidP="005313E5">
      <w:pPr>
        <w:pStyle w:val="Bullet1stlevel"/>
      </w:pPr>
      <w:r w:rsidRPr="008C11BD">
        <w:t xml:space="preserve"> Consultation and survey with people who are living with or who have lived experience of cancer and their carers</w:t>
      </w:r>
      <w:r w:rsidR="00C33FD2">
        <w:br w:type="page"/>
      </w:r>
    </w:p>
    <w:p w14:paraId="1F820FC1" w14:textId="08D7164C" w:rsidR="000F70AF" w:rsidRDefault="000F70AF" w:rsidP="000F70AF">
      <w:pPr>
        <w:pStyle w:val="Caption"/>
      </w:pPr>
      <w:bookmarkStart w:id="211" w:name="_Ref207204625"/>
      <w:bookmarkStart w:id="212" w:name="_Toc207348614"/>
      <w:r>
        <w:t xml:space="preserve">Table </w:t>
      </w:r>
      <w:r w:rsidR="004F27F5">
        <w:fldChar w:fldCharType="begin"/>
      </w:r>
      <w:r w:rsidR="004F27F5">
        <w:instrText xml:space="preserve"> SEQ Table \* ARABIC </w:instrText>
      </w:r>
      <w:r w:rsidR="004F27F5">
        <w:fldChar w:fldCharType="separate"/>
      </w:r>
      <w:r w:rsidR="004F27F5">
        <w:rPr>
          <w:noProof/>
        </w:rPr>
        <w:t>49</w:t>
      </w:r>
      <w:r w:rsidR="004F27F5">
        <w:rPr>
          <w:noProof/>
        </w:rPr>
        <w:fldChar w:fldCharType="end"/>
      </w:r>
      <w:bookmarkEnd w:id="211"/>
      <w:r>
        <w:t xml:space="preserve">: </w:t>
      </w:r>
      <w:r w:rsidRPr="0049153F">
        <w:t xml:space="preserve">Sub-questions and sections of the report where KRQ </w:t>
      </w:r>
      <w:r>
        <w:t>5</w:t>
      </w:r>
      <w:r w:rsidRPr="0049153F">
        <w:t xml:space="preserve"> is addressed</w:t>
      </w:r>
      <w:bookmarkEnd w:id="212"/>
    </w:p>
    <w:tbl>
      <w:tblPr>
        <w:tblStyle w:val="KPMGTable"/>
        <w:tblW w:w="9890" w:type="dxa"/>
        <w:tblLook w:val="04A0" w:firstRow="1" w:lastRow="0" w:firstColumn="1" w:lastColumn="0" w:noHBand="0" w:noVBand="1"/>
      </w:tblPr>
      <w:tblGrid>
        <w:gridCol w:w="4945"/>
        <w:gridCol w:w="4945"/>
      </w:tblGrid>
      <w:tr w:rsidR="00467133" w:rsidRPr="009F01A9" w14:paraId="6124BFAA" w14:textId="77777777" w:rsidTr="00A10684">
        <w:trPr>
          <w:cnfStyle w:val="100000000000" w:firstRow="1" w:lastRow="0" w:firstColumn="0" w:lastColumn="0" w:oddVBand="0" w:evenVBand="0" w:oddHBand="0" w:evenHBand="0" w:firstRowFirstColumn="0" w:firstRowLastColumn="0" w:lastRowFirstColumn="0" w:lastRowLastColumn="0"/>
          <w:trHeight w:val="393"/>
          <w:tblHeader/>
        </w:trPr>
        <w:tc>
          <w:tcPr>
            <w:cnfStyle w:val="001000000000" w:firstRow="0" w:lastRow="0" w:firstColumn="1" w:lastColumn="0" w:oddVBand="0" w:evenVBand="0" w:oddHBand="0" w:evenHBand="0" w:firstRowFirstColumn="0" w:firstRowLastColumn="0" w:lastRowFirstColumn="0" w:lastRowLastColumn="0"/>
            <w:tcW w:w="4945" w:type="dxa"/>
          </w:tcPr>
          <w:p w14:paraId="303D0C60" w14:textId="7FB407FB" w:rsidR="005313E5" w:rsidRPr="00706F1A" w:rsidRDefault="005313E5" w:rsidP="005313E5">
            <w:pPr>
              <w:pStyle w:val="TableHeading"/>
              <w:rPr>
                <w:rFonts w:cs="Arial"/>
                <w:kern w:val="24"/>
                <w:szCs w:val="20"/>
              </w:rPr>
            </w:pPr>
            <w:r w:rsidRPr="00BC7528">
              <w:t>Sub-questions</w:t>
            </w:r>
          </w:p>
        </w:tc>
        <w:tc>
          <w:tcPr>
            <w:tcW w:w="4945" w:type="dxa"/>
          </w:tcPr>
          <w:p w14:paraId="311080AA" w14:textId="38A327A3" w:rsidR="005313E5" w:rsidRPr="00484E9D" w:rsidRDefault="005313E5" w:rsidP="005313E5">
            <w:pPr>
              <w:pStyle w:val="TableHeading"/>
              <w:cnfStyle w:val="100000000000" w:firstRow="1" w:lastRow="0" w:firstColumn="0" w:lastColumn="0" w:oddVBand="0" w:evenVBand="0" w:oddHBand="0" w:evenHBand="0" w:firstRowFirstColumn="0" w:firstRowLastColumn="0" w:lastRowFirstColumn="0" w:lastRowLastColumn="0"/>
              <w:rPr>
                <w:rFonts w:cs="Arial"/>
                <w:bCs/>
                <w:kern w:val="24"/>
                <w:szCs w:val="20"/>
              </w:rPr>
            </w:pPr>
            <w:r>
              <w:t>Section of this report where question is addressed</w:t>
            </w:r>
          </w:p>
        </w:tc>
      </w:tr>
      <w:tr w:rsidR="00677ED1" w:rsidRPr="009F01A9" w14:paraId="571311DA" w14:textId="77777777" w:rsidTr="0027093A">
        <w:trPr>
          <w:trHeight w:val="393"/>
        </w:trPr>
        <w:tc>
          <w:tcPr>
            <w:cnfStyle w:val="001000000000" w:firstRow="0" w:lastRow="0" w:firstColumn="1" w:lastColumn="0" w:oddVBand="0" w:evenVBand="0" w:oddHBand="0" w:evenHBand="0" w:firstRowFirstColumn="0" w:firstRowLastColumn="0" w:lastRowFirstColumn="0" w:lastRowLastColumn="0"/>
            <w:tcW w:w="4945" w:type="dxa"/>
          </w:tcPr>
          <w:p w14:paraId="5CCBB139" w14:textId="77777777" w:rsidR="00B275A0" w:rsidRPr="005313E5" w:rsidRDefault="00B275A0" w:rsidP="005313E5">
            <w:pPr>
              <w:pStyle w:val="TableText"/>
            </w:pPr>
            <w:r w:rsidRPr="005313E5">
              <w:t>If so, what are the key drivers that make these prosthesis types more difficult to access?</w:t>
            </w:r>
          </w:p>
        </w:tc>
        <w:tc>
          <w:tcPr>
            <w:tcW w:w="4945" w:type="dxa"/>
          </w:tcPr>
          <w:p w14:paraId="6221EBB4" w14:textId="3E193022" w:rsidR="00C04FFC" w:rsidRPr="005313E5" w:rsidRDefault="00EC09DB" w:rsidP="005313E5">
            <w:pPr>
              <w:pStyle w:val="TableText"/>
              <w:cnfStyle w:val="000000000000" w:firstRow="0" w:lastRow="0" w:firstColumn="0" w:lastColumn="0" w:oddVBand="0" w:evenVBand="0" w:oddHBand="0" w:evenHBand="0" w:firstRowFirstColumn="0" w:firstRowLastColumn="0" w:lastRowFirstColumn="0" w:lastRowLastColumn="0"/>
            </w:pPr>
            <w:r w:rsidRPr="005313E5">
              <w:t>Section 4: Equity of access to prostheses for people living with or post a cancer diagnosis in Australia</w:t>
            </w:r>
          </w:p>
        </w:tc>
      </w:tr>
      <w:tr w:rsidR="00677ED1" w:rsidRPr="009F01A9" w14:paraId="0C726099" w14:textId="77777777" w:rsidTr="0027093A">
        <w:trPr>
          <w:trHeight w:val="428"/>
        </w:trPr>
        <w:tc>
          <w:tcPr>
            <w:cnfStyle w:val="001000000000" w:firstRow="0" w:lastRow="0" w:firstColumn="1" w:lastColumn="0" w:oddVBand="0" w:evenVBand="0" w:oddHBand="0" w:evenHBand="0" w:firstRowFirstColumn="0" w:firstRowLastColumn="0" w:lastRowFirstColumn="0" w:lastRowLastColumn="0"/>
            <w:tcW w:w="4945" w:type="dxa"/>
          </w:tcPr>
          <w:p w14:paraId="5C1FFD59" w14:textId="77777777" w:rsidR="00B275A0" w:rsidRPr="005313E5" w:rsidRDefault="00B275A0" w:rsidP="005313E5">
            <w:pPr>
              <w:pStyle w:val="TableText"/>
            </w:pPr>
            <w:r w:rsidRPr="005313E5">
              <w:t>How does this differ by jurisdiction?</w:t>
            </w:r>
          </w:p>
        </w:tc>
        <w:tc>
          <w:tcPr>
            <w:tcW w:w="4945" w:type="dxa"/>
          </w:tcPr>
          <w:p w14:paraId="5B7E64A2" w14:textId="6758566D" w:rsidR="00C04FFC" w:rsidRPr="005313E5" w:rsidRDefault="00EC09DB" w:rsidP="005313E5">
            <w:pPr>
              <w:pStyle w:val="TableText"/>
              <w:cnfStyle w:val="000000000000" w:firstRow="0" w:lastRow="0" w:firstColumn="0" w:lastColumn="0" w:oddVBand="0" w:evenVBand="0" w:oddHBand="0" w:evenHBand="0" w:firstRowFirstColumn="0" w:firstRowLastColumn="0" w:lastRowFirstColumn="0" w:lastRowLastColumn="0"/>
            </w:pPr>
            <w:r w:rsidRPr="005313E5">
              <w:t>Section 4: Equity of access to prostheses for people living with or post a cancer diagnosis in Australia</w:t>
            </w:r>
          </w:p>
        </w:tc>
      </w:tr>
      <w:tr w:rsidR="00677ED1" w:rsidRPr="009F01A9" w14:paraId="4994A724" w14:textId="77777777" w:rsidTr="0027093A">
        <w:trPr>
          <w:trHeight w:val="633"/>
        </w:trPr>
        <w:tc>
          <w:tcPr>
            <w:cnfStyle w:val="001000000000" w:firstRow="0" w:lastRow="0" w:firstColumn="1" w:lastColumn="0" w:oddVBand="0" w:evenVBand="0" w:oddHBand="0" w:evenHBand="0" w:firstRowFirstColumn="0" w:firstRowLastColumn="0" w:lastRowFirstColumn="0" w:lastRowLastColumn="0"/>
            <w:tcW w:w="4945" w:type="dxa"/>
          </w:tcPr>
          <w:p w14:paraId="1B06666C" w14:textId="77777777" w:rsidR="00B275A0" w:rsidRPr="005313E5" w:rsidRDefault="00B275A0" w:rsidP="005313E5">
            <w:pPr>
              <w:pStyle w:val="TableText"/>
            </w:pPr>
            <w:r w:rsidRPr="005313E5">
              <w:t>How does this differ in rural and remote areas vs. metropolitan areas?</w:t>
            </w:r>
          </w:p>
        </w:tc>
        <w:tc>
          <w:tcPr>
            <w:tcW w:w="4945" w:type="dxa"/>
          </w:tcPr>
          <w:p w14:paraId="78471803" w14:textId="42F877C7" w:rsidR="00C04FFC" w:rsidRPr="005313E5" w:rsidRDefault="00EC09DB" w:rsidP="005313E5">
            <w:pPr>
              <w:pStyle w:val="TableText"/>
              <w:cnfStyle w:val="000000000000" w:firstRow="0" w:lastRow="0" w:firstColumn="0" w:lastColumn="0" w:oddVBand="0" w:evenVBand="0" w:oddHBand="0" w:evenHBand="0" w:firstRowFirstColumn="0" w:firstRowLastColumn="0" w:lastRowFirstColumn="0" w:lastRowLastColumn="0"/>
            </w:pPr>
            <w:r w:rsidRPr="005313E5">
              <w:t>Section 4: Equity of access to prostheses for people living with or post a cancer diagnosis in Australia</w:t>
            </w:r>
          </w:p>
        </w:tc>
      </w:tr>
      <w:tr w:rsidR="00677ED1" w:rsidRPr="009F01A9" w14:paraId="39CAC408" w14:textId="77777777" w:rsidTr="0027093A">
        <w:trPr>
          <w:trHeight w:val="620"/>
        </w:trPr>
        <w:tc>
          <w:tcPr>
            <w:cnfStyle w:val="001000000000" w:firstRow="0" w:lastRow="0" w:firstColumn="1" w:lastColumn="0" w:oddVBand="0" w:evenVBand="0" w:oddHBand="0" w:evenHBand="0" w:firstRowFirstColumn="0" w:firstRowLastColumn="0" w:lastRowFirstColumn="0" w:lastRowLastColumn="0"/>
            <w:tcW w:w="4945" w:type="dxa"/>
          </w:tcPr>
          <w:p w14:paraId="469EB02B" w14:textId="3A9CB382" w:rsidR="00B275A0" w:rsidRPr="005313E5" w:rsidRDefault="00B275A0" w:rsidP="005313E5">
            <w:pPr>
              <w:pStyle w:val="TableText"/>
            </w:pPr>
            <w:r w:rsidRPr="005313E5">
              <w:t>How does this differ for priority population groups</w:t>
            </w:r>
            <w:r w:rsidR="007B7939" w:rsidRPr="005313E5">
              <w:t>177F</w:t>
            </w:r>
            <w:r w:rsidRPr="005313E5">
              <w:rPr>
                <w:rStyle w:val="FootnoteReference"/>
                <w:vertAlign w:val="baseline"/>
              </w:rPr>
              <w:footnoteReference w:id="170"/>
            </w:r>
            <w:r w:rsidRPr="005313E5">
              <w:t>?</w:t>
            </w:r>
          </w:p>
        </w:tc>
        <w:tc>
          <w:tcPr>
            <w:tcW w:w="4945" w:type="dxa"/>
          </w:tcPr>
          <w:p w14:paraId="47843D14" w14:textId="5117E183" w:rsidR="00C04FFC" w:rsidRPr="005313E5" w:rsidRDefault="00EC09DB" w:rsidP="005313E5">
            <w:pPr>
              <w:pStyle w:val="TableText"/>
              <w:cnfStyle w:val="000000000000" w:firstRow="0" w:lastRow="0" w:firstColumn="0" w:lastColumn="0" w:oddVBand="0" w:evenVBand="0" w:oddHBand="0" w:evenHBand="0" w:firstRowFirstColumn="0" w:firstRowLastColumn="0" w:lastRowFirstColumn="0" w:lastRowLastColumn="0"/>
            </w:pPr>
            <w:r w:rsidRPr="005313E5">
              <w:t>Section 4: Equity of access to prostheses for people living with or post a cancer diagnosis in Australia</w:t>
            </w:r>
          </w:p>
        </w:tc>
      </w:tr>
    </w:tbl>
    <w:p w14:paraId="41F16702" w14:textId="4E803935" w:rsidR="005313E5" w:rsidRDefault="005313E5" w:rsidP="005313E5">
      <w:pPr>
        <w:pStyle w:val="Caption-Source"/>
      </w:pPr>
      <w:r w:rsidRPr="00956CC4">
        <w:t xml:space="preserve">Source: </w:t>
      </w:r>
      <w:r w:rsidR="00435DC4" w:rsidRPr="00435DC4">
        <w:t>Independent reviewer</w:t>
      </w:r>
      <w:r w:rsidRPr="00956CC4">
        <w:t xml:space="preserve"> (2025)</w:t>
      </w:r>
    </w:p>
    <w:p w14:paraId="15163672" w14:textId="22004C44" w:rsidR="00BE54A1" w:rsidRDefault="00BE54A1" w:rsidP="00DD71E7">
      <w:r>
        <w:t>Key review question</w:t>
      </w:r>
      <w:r w:rsidRPr="00FA39C2">
        <w:t xml:space="preserve"> </w:t>
      </w:r>
      <w:r w:rsidR="00B6215D">
        <w:t>6</w:t>
      </w:r>
      <w:r>
        <w:t xml:space="preserve"> is </w:t>
      </w:r>
      <w:proofErr w:type="spellStart"/>
      <w:r w:rsidR="00B6215D" w:rsidRPr="0042443F">
        <w:rPr>
          <w:rStyle w:val="Strong"/>
        </w:rPr>
        <w:t>Is</w:t>
      </w:r>
      <w:proofErr w:type="spellEnd"/>
      <w:r w:rsidR="00B6215D" w:rsidRPr="0042443F">
        <w:rPr>
          <w:rStyle w:val="Strong"/>
        </w:rPr>
        <w:t xml:space="preserve"> there a gap in equity and access to prosthetics for individuals living with or post a cancer diagnosis? </w:t>
      </w:r>
      <w:r w:rsidR="00B6215D">
        <w:fldChar w:fldCharType="begin"/>
      </w:r>
      <w:r w:rsidR="00B6215D" w:rsidRPr="0042443F">
        <w:rPr>
          <w:rStyle w:val="Strong"/>
        </w:rPr>
        <w:instrText xml:space="preserve"> REF _Ref207204975 \h </w:instrText>
      </w:r>
      <w:r w:rsidR="00B6215D">
        <w:fldChar w:fldCharType="separate"/>
      </w:r>
      <w:r w:rsidR="00B6215D">
        <w:t xml:space="preserve">Table </w:t>
      </w:r>
      <w:r w:rsidR="00B6215D">
        <w:rPr>
          <w:noProof/>
        </w:rPr>
        <w:t>50</w:t>
      </w:r>
      <w:r w:rsidR="00B6215D">
        <w:fldChar w:fldCharType="end"/>
      </w:r>
      <w:r>
        <w:t xml:space="preserve"> </w:t>
      </w:r>
      <w:r w:rsidRPr="00DD71E7">
        <w:t xml:space="preserve">below outlines the sub-questions and sections of the report where the key review question is addressed. The data sources used to answer KRQ </w:t>
      </w:r>
      <w:r w:rsidR="00B6215D" w:rsidRPr="00DD71E7">
        <w:t>6</w:t>
      </w:r>
      <w:r w:rsidRPr="00DD71E7">
        <w:t xml:space="preserve"> include:</w:t>
      </w:r>
    </w:p>
    <w:p w14:paraId="54EC3714" w14:textId="2AE5A2C2" w:rsidR="00B6215D" w:rsidRDefault="00B6215D" w:rsidP="00B6215D">
      <w:pPr>
        <w:pStyle w:val="Bullet1stlevel"/>
      </w:pPr>
      <w:r>
        <w:t xml:space="preserve">Desktop review and literature scan </w:t>
      </w:r>
    </w:p>
    <w:p w14:paraId="0509EDA9" w14:textId="447EC2E9" w:rsidR="00B6215D" w:rsidRDefault="00B6215D" w:rsidP="00B6215D">
      <w:pPr>
        <w:pStyle w:val="Bullet1stlevel"/>
      </w:pPr>
      <w:r>
        <w:t>Consultation with states and territories</w:t>
      </w:r>
    </w:p>
    <w:p w14:paraId="68EF1561" w14:textId="2FB3514E" w:rsidR="00B6215D" w:rsidRDefault="00B6215D" w:rsidP="00B6215D">
      <w:pPr>
        <w:pStyle w:val="Bullet1stlevel"/>
      </w:pPr>
      <w:r>
        <w:t xml:space="preserve">Consultation and survey with clinicians </w:t>
      </w:r>
    </w:p>
    <w:p w14:paraId="371411CA" w14:textId="588DBF02" w:rsidR="00B6215D" w:rsidRDefault="00B6215D" w:rsidP="00B6215D">
      <w:pPr>
        <w:pStyle w:val="Bullet1stlevel"/>
      </w:pPr>
      <w:r>
        <w:t>Consultation with retailers of prostheses</w:t>
      </w:r>
    </w:p>
    <w:p w14:paraId="17FB4D46" w14:textId="11D845F8" w:rsidR="00B6215D" w:rsidRDefault="00B6215D" w:rsidP="00B6215D">
      <w:pPr>
        <w:pStyle w:val="Bullet1stlevel"/>
      </w:pPr>
      <w:r>
        <w:t>Consultation with NDIA / DVA / DSS</w:t>
      </w:r>
    </w:p>
    <w:p w14:paraId="1ED03692" w14:textId="0EE0C547" w:rsidR="00B6215D" w:rsidRDefault="00B6215D" w:rsidP="00B6215D">
      <w:pPr>
        <w:pStyle w:val="Bullet1stlevel"/>
      </w:pPr>
      <w:r>
        <w:t>Consultation with peak bodies / advocacy groups</w:t>
      </w:r>
    </w:p>
    <w:p w14:paraId="06F5C150" w14:textId="0797CC03" w:rsidR="00B6215D" w:rsidRDefault="00B6215D" w:rsidP="00B6215D">
      <w:pPr>
        <w:pStyle w:val="Bullet1stlevel"/>
      </w:pPr>
      <w:r>
        <w:t>Consultation and survey with people who are living with or who have lived experience of cancer and their carers</w:t>
      </w:r>
    </w:p>
    <w:p w14:paraId="069844D9" w14:textId="63BFD6B0" w:rsidR="00B6215D" w:rsidRDefault="00B6215D" w:rsidP="00B6215D">
      <w:pPr>
        <w:pStyle w:val="Caption"/>
      </w:pPr>
      <w:bookmarkStart w:id="213" w:name="_Ref207204975"/>
      <w:bookmarkStart w:id="214" w:name="_Toc207348615"/>
      <w:r>
        <w:t xml:space="preserve">Table </w:t>
      </w:r>
      <w:r w:rsidR="004F27F5">
        <w:fldChar w:fldCharType="begin"/>
      </w:r>
      <w:r w:rsidR="004F27F5">
        <w:instrText xml:space="preserve"> SEQ Table \* ARABIC </w:instrText>
      </w:r>
      <w:r w:rsidR="004F27F5">
        <w:fldChar w:fldCharType="separate"/>
      </w:r>
      <w:r w:rsidR="004F27F5">
        <w:rPr>
          <w:noProof/>
        </w:rPr>
        <w:t>50</w:t>
      </w:r>
      <w:r w:rsidR="004F27F5">
        <w:rPr>
          <w:noProof/>
        </w:rPr>
        <w:fldChar w:fldCharType="end"/>
      </w:r>
      <w:bookmarkEnd w:id="213"/>
      <w:r>
        <w:t xml:space="preserve">: </w:t>
      </w:r>
      <w:r w:rsidRPr="00623A4F">
        <w:t xml:space="preserve">Sub-questions and sections of the report where KRQ </w:t>
      </w:r>
      <w:r>
        <w:t>6</w:t>
      </w:r>
      <w:r w:rsidRPr="00623A4F">
        <w:t xml:space="preserve"> is addressed</w:t>
      </w:r>
      <w:bookmarkEnd w:id="214"/>
    </w:p>
    <w:tbl>
      <w:tblPr>
        <w:tblStyle w:val="KPMGTable"/>
        <w:tblW w:w="9676" w:type="dxa"/>
        <w:tblLook w:val="04A0" w:firstRow="1" w:lastRow="0" w:firstColumn="1" w:lastColumn="0" w:noHBand="0" w:noVBand="1"/>
      </w:tblPr>
      <w:tblGrid>
        <w:gridCol w:w="4838"/>
        <w:gridCol w:w="4838"/>
      </w:tblGrid>
      <w:tr w:rsidR="00467133" w:rsidRPr="009F01A9" w14:paraId="3028792E" w14:textId="77777777" w:rsidTr="00A10684">
        <w:trPr>
          <w:cnfStyle w:val="100000000000" w:firstRow="1" w:lastRow="0" w:firstColumn="0" w:lastColumn="0" w:oddVBand="0" w:evenVBand="0" w:oddHBand="0" w:evenHBand="0" w:firstRowFirstColumn="0" w:firstRowLastColumn="0" w:lastRowFirstColumn="0" w:lastRowLastColumn="0"/>
          <w:trHeight w:val="493"/>
          <w:tblHeader/>
        </w:trPr>
        <w:tc>
          <w:tcPr>
            <w:cnfStyle w:val="001000000000" w:firstRow="0" w:lastRow="0" w:firstColumn="1" w:lastColumn="0" w:oddVBand="0" w:evenVBand="0" w:oddHBand="0" w:evenHBand="0" w:firstRowFirstColumn="0" w:firstRowLastColumn="0" w:lastRowFirstColumn="0" w:lastRowLastColumn="0"/>
            <w:tcW w:w="4838" w:type="dxa"/>
          </w:tcPr>
          <w:p w14:paraId="4BA6CC05" w14:textId="7DB132A0" w:rsidR="00B436D0" w:rsidRPr="008045D0" w:rsidRDefault="00B436D0" w:rsidP="00C40058">
            <w:pPr>
              <w:pStyle w:val="TableHeading"/>
              <w:rPr>
                <w:rFonts w:cs="Arial"/>
                <w:kern w:val="24"/>
                <w:szCs w:val="20"/>
              </w:rPr>
            </w:pPr>
            <w:r w:rsidRPr="00BC7528">
              <w:t>Sub-questions</w:t>
            </w:r>
          </w:p>
        </w:tc>
        <w:tc>
          <w:tcPr>
            <w:tcW w:w="4838" w:type="dxa"/>
          </w:tcPr>
          <w:p w14:paraId="58EDA6E5" w14:textId="11F02EAC" w:rsidR="00B436D0" w:rsidRPr="00484E9D" w:rsidRDefault="00B436D0" w:rsidP="00C40058">
            <w:pPr>
              <w:pStyle w:val="TableHeading"/>
              <w:cnfStyle w:val="100000000000" w:firstRow="1" w:lastRow="0" w:firstColumn="0" w:lastColumn="0" w:oddVBand="0" w:evenVBand="0" w:oddHBand="0" w:evenHBand="0" w:firstRowFirstColumn="0" w:firstRowLastColumn="0" w:lastRowFirstColumn="0" w:lastRowLastColumn="0"/>
              <w:rPr>
                <w:rFonts w:cs="Arial"/>
                <w:bCs/>
                <w:kern w:val="24"/>
                <w:szCs w:val="20"/>
              </w:rPr>
            </w:pPr>
            <w:r>
              <w:t>Section of this report where question is addressed</w:t>
            </w:r>
          </w:p>
        </w:tc>
      </w:tr>
      <w:tr w:rsidR="00677ED1" w:rsidRPr="009F01A9" w14:paraId="7903B144" w14:textId="77777777" w:rsidTr="0027093A">
        <w:trPr>
          <w:trHeight w:val="493"/>
        </w:trPr>
        <w:tc>
          <w:tcPr>
            <w:cnfStyle w:val="001000000000" w:firstRow="0" w:lastRow="0" w:firstColumn="1" w:lastColumn="0" w:oddVBand="0" w:evenVBand="0" w:oddHBand="0" w:evenHBand="0" w:firstRowFirstColumn="0" w:firstRowLastColumn="0" w:lastRowFirstColumn="0" w:lastRowLastColumn="0"/>
            <w:tcW w:w="4838" w:type="dxa"/>
          </w:tcPr>
          <w:p w14:paraId="50A976F3" w14:textId="77777777" w:rsidR="00B275A0" w:rsidRPr="00C40058" w:rsidRDefault="00B275A0" w:rsidP="00C40058">
            <w:pPr>
              <w:pStyle w:val="TableText"/>
            </w:pPr>
            <w:r w:rsidRPr="00C40058">
              <w:t>How does this differ by jurisdiction?</w:t>
            </w:r>
          </w:p>
        </w:tc>
        <w:tc>
          <w:tcPr>
            <w:tcW w:w="4838" w:type="dxa"/>
          </w:tcPr>
          <w:p w14:paraId="5163402C" w14:textId="1C333EBA" w:rsidR="00C04FFC" w:rsidRPr="00C40058" w:rsidRDefault="00EC09DB" w:rsidP="00C40058">
            <w:pPr>
              <w:pStyle w:val="TableText"/>
              <w:cnfStyle w:val="000000000000" w:firstRow="0" w:lastRow="0" w:firstColumn="0" w:lastColumn="0" w:oddVBand="0" w:evenVBand="0" w:oddHBand="0" w:evenHBand="0" w:firstRowFirstColumn="0" w:firstRowLastColumn="0" w:lastRowFirstColumn="0" w:lastRowLastColumn="0"/>
            </w:pPr>
            <w:r w:rsidRPr="00C40058">
              <w:t>Section 4: Equity of access to prostheses for people living with or post a cancer diagnosis in Australia</w:t>
            </w:r>
          </w:p>
        </w:tc>
      </w:tr>
      <w:tr w:rsidR="00677ED1" w:rsidRPr="009F01A9" w14:paraId="12AD23F2" w14:textId="77777777" w:rsidTr="0027093A">
        <w:trPr>
          <w:trHeight w:val="493"/>
        </w:trPr>
        <w:tc>
          <w:tcPr>
            <w:cnfStyle w:val="001000000000" w:firstRow="0" w:lastRow="0" w:firstColumn="1" w:lastColumn="0" w:oddVBand="0" w:evenVBand="0" w:oddHBand="0" w:evenHBand="0" w:firstRowFirstColumn="0" w:firstRowLastColumn="0" w:lastRowFirstColumn="0" w:lastRowLastColumn="0"/>
            <w:tcW w:w="4838" w:type="dxa"/>
          </w:tcPr>
          <w:p w14:paraId="30CD7957" w14:textId="77777777" w:rsidR="00B275A0" w:rsidRPr="00C40058" w:rsidRDefault="00B275A0" w:rsidP="00C40058">
            <w:pPr>
              <w:pStyle w:val="TableText"/>
            </w:pPr>
            <w:r w:rsidRPr="00C40058">
              <w:t>How does this differ in rural and remote areas vs. metropolitan areas?</w:t>
            </w:r>
          </w:p>
        </w:tc>
        <w:tc>
          <w:tcPr>
            <w:tcW w:w="4838" w:type="dxa"/>
          </w:tcPr>
          <w:p w14:paraId="31D1CCC7" w14:textId="74FA1AC4" w:rsidR="00C04FFC" w:rsidRPr="00C40058" w:rsidRDefault="00EC09DB" w:rsidP="00C40058">
            <w:pPr>
              <w:pStyle w:val="TableText"/>
              <w:cnfStyle w:val="000000000000" w:firstRow="0" w:lastRow="0" w:firstColumn="0" w:lastColumn="0" w:oddVBand="0" w:evenVBand="0" w:oddHBand="0" w:evenHBand="0" w:firstRowFirstColumn="0" w:firstRowLastColumn="0" w:lastRowFirstColumn="0" w:lastRowLastColumn="0"/>
            </w:pPr>
            <w:r w:rsidRPr="00C40058">
              <w:t>Section 4: Equity of access to prostheses for people living with or post a cancer diagnosis in Australia</w:t>
            </w:r>
          </w:p>
        </w:tc>
      </w:tr>
      <w:tr w:rsidR="00677ED1" w:rsidRPr="009F01A9" w14:paraId="7A5F9234" w14:textId="77777777" w:rsidTr="0027093A">
        <w:trPr>
          <w:trHeight w:val="493"/>
        </w:trPr>
        <w:tc>
          <w:tcPr>
            <w:cnfStyle w:val="001000000000" w:firstRow="0" w:lastRow="0" w:firstColumn="1" w:lastColumn="0" w:oddVBand="0" w:evenVBand="0" w:oddHBand="0" w:evenHBand="0" w:firstRowFirstColumn="0" w:firstRowLastColumn="0" w:lastRowFirstColumn="0" w:lastRowLastColumn="0"/>
            <w:tcW w:w="4838" w:type="dxa"/>
          </w:tcPr>
          <w:p w14:paraId="5DCF3C09" w14:textId="77777777" w:rsidR="00B275A0" w:rsidRPr="00C40058" w:rsidRDefault="00B275A0" w:rsidP="00C40058">
            <w:pPr>
              <w:pStyle w:val="TableText"/>
            </w:pPr>
            <w:r w:rsidRPr="00C40058">
              <w:t>How does this differ by socio-economic status?</w:t>
            </w:r>
          </w:p>
        </w:tc>
        <w:tc>
          <w:tcPr>
            <w:tcW w:w="4838" w:type="dxa"/>
          </w:tcPr>
          <w:p w14:paraId="756347B1" w14:textId="39E1D00F" w:rsidR="00C04FFC" w:rsidRPr="00C40058" w:rsidRDefault="00EC09DB" w:rsidP="00C40058">
            <w:pPr>
              <w:pStyle w:val="TableText"/>
              <w:cnfStyle w:val="000000000000" w:firstRow="0" w:lastRow="0" w:firstColumn="0" w:lastColumn="0" w:oddVBand="0" w:evenVBand="0" w:oddHBand="0" w:evenHBand="0" w:firstRowFirstColumn="0" w:firstRowLastColumn="0" w:lastRowFirstColumn="0" w:lastRowLastColumn="0"/>
            </w:pPr>
            <w:r w:rsidRPr="00C40058">
              <w:t>Section 4: Equity of access to prostheses for people living with or post a cancer diagnosis in Australia</w:t>
            </w:r>
          </w:p>
        </w:tc>
      </w:tr>
      <w:tr w:rsidR="00677ED1" w:rsidRPr="009F01A9" w14:paraId="7235CAF0" w14:textId="77777777" w:rsidTr="0027093A">
        <w:trPr>
          <w:trHeight w:val="493"/>
        </w:trPr>
        <w:tc>
          <w:tcPr>
            <w:cnfStyle w:val="001000000000" w:firstRow="0" w:lastRow="0" w:firstColumn="1" w:lastColumn="0" w:oddVBand="0" w:evenVBand="0" w:oddHBand="0" w:evenHBand="0" w:firstRowFirstColumn="0" w:firstRowLastColumn="0" w:lastRowFirstColumn="0" w:lastRowLastColumn="0"/>
            <w:tcW w:w="4838" w:type="dxa"/>
          </w:tcPr>
          <w:p w14:paraId="1B20799F" w14:textId="77777777" w:rsidR="00B275A0" w:rsidRPr="00C40058" w:rsidRDefault="00B275A0" w:rsidP="00C40058">
            <w:pPr>
              <w:pStyle w:val="TableText"/>
            </w:pPr>
            <w:r w:rsidRPr="00C40058">
              <w:t>How does this differ by prostheses and / or cancer type?</w:t>
            </w:r>
          </w:p>
        </w:tc>
        <w:tc>
          <w:tcPr>
            <w:tcW w:w="4838" w:type="dxa"/>
          </w:tcPr>
          <w:p w14:paraId="481D7EB9" w14:textId="26F796DC" w:rsidR="00C04FFC" w:rsidRPr="00C40058" w:rsidRDefault="00EC09DB" w:rsidP="00C40058">
            <w:pPr>
              <w:pStyle w:val="TableText"/>
              <w:cnfStyle w:val="000000000000" w:firstRow="0" w:lastRow="0" w:firstColumn="0" w:lastColumn="0" w:oddVBand="0" w:evenVBand="0" w:oddHBand="0" w:evenHBand="0" w:firstRowFirstColumn="0" w:firstRowLastColumn="0" w:lastRowFirstColumn="0" w:lastRowLastColumn="0"/>
            </w:pPr>
            <w:r w:rsidRPr="00C40058">
              <w:t>Section 4: Equity of access to prostheses for people living with or post a cancer diagnosis in Australia</w:t>
            </w:r>
          </w:p>
        </w:tc>
      </w:tr>
      <w:tr w:rsidR="00677ED1" w:rsidRPr="009F01A9" w14:paraId="0AB0DBB4" w14:textId="77777777" w:rsidTr="0027093A">
        <w:trPr>
          <w:trHeight w:val="493"/>
        </w:trPr>
        <w:tc>
          <w:tcPr>
            <w:cnfStyle w:val="001000000000" w:firstRow="0" w:lastRow="0" w:firstColumn="1" w:lastColumn="0" w:oddVBand="0" w:evenVBand="0" w:oddHBand="0" w:evenHBand="0" w:firstRowFirstColumn="0" w:firstRowLastColumn="0" w:lastRowFirstColumn="0" w:lastRowLastColumn="0"/>
            <w:tcW w:w="4838" w:type="dxa"/>
          </w:tcPr>
          <w:p w14:paraId="58C7C4D4" w14:textId="289F5579" w:rsidR="00B275A0" w:rsidRPr="00C40058" w:rsidRDefault="00B275A0" w:rsidP="00C40058">
            <w:pPr>
              <w:pStyle w:val="TableText"/>
            </w:pPr>
            <w:r w:rsidRPr="00C40058">
              <w:t>How does this differ by priority population groups</w:t>
            </w:r>
            <w:r w:rsidR="007B7939" w:rsidRPr="00C40058">
              <w:t>178F</w:t>
            </w:r>
            <w:r w:rsidRPr="00C40058">
              <w:rPr>
                <w:rStyle w:val="FootnoteReference"/>
                <w:vertAlign w:val="baseline"/>
              </w:rPr>
              <w:footnoteReference w:id="171"/>
            </w:r>
            <w:r w:rsidRPr="00C40058">
              <w:t>?</w:t>
            </w:r>
          </w:p>
        </w:tc>
        <w:tc>
          <w:tcPr>
            <w:tcW w:w="4838" w:type="dxa"/>
          </w:tcPr>
          <w:p w14:paraId="46D2F7A8" w14:textId="03632D5F" w:rsidR="00C04FFC" w:rsidRPr="00C40058" w:rsidRDefault="00EC09DB" w:rsidP="00C40058">
            <w:pPr>
              <w:pStyle w:val="TableText"/>
              <w:cnfStyle w:val="000000000000" w:firstRow="0" w:lastRow="0" w:firstColumn="0" w:lastColumn="0" w:oddVBand="0" w:evenVBand="0" w:oddHBand="0" w:evenHBand="0" w:firstRowFirstColumn="0" w:firstRowLastColumn="0" w:lastRowFirstColumn="0" w:lastRowLastColumn="0"/>
            </w:pPr>
            <w:r w:rsidRPr="00C40058">
              <w:t>Section 4: Equity of access to prostheses for people living with or post a cancer diagnosis in Australia</w:t>
            </w:r>
          </w:p>
        </w:tc>
      </w:tr>
      <w:tr w:rsidR="00677ED1" w:rsidRPr="009F01A9" w14:paraId="2E95322A" w14:textId="77777777" w:rsidTr="0027093A">
        <w:trPr>
          <w:trHeight w:val="213"/>
        </w:trPr>
        <w:tc>
          <w:tcPr>
            <w:cnfStyle w:val="001000000000" w:firstRow="0" w:lastRow="0" w:firstColumn="1" w:lastColumn="0" w:oddVBand="0" w:evenVBand="0" w:oddHBand="0" w:evenHBand="0" w:firstRowFirstColumn="0" w:firstRowLastColumn="0" w:lastRowFirstColumn="0" w:lastRowLastColumn="0"/>
            <w:tcW w:w="4838" w:type="dxa"/>
          </w:tcPr>
          <w:p w14:paraId="36C78688" w14:textId="77777777" w:rsidR="00B275A0" w:rsidRPr="00C40058" w:rsidRDefault="00B275A0" w:rsidP="00C40058">
            <w:pPr>
              <w:pStyle w:val="TableText"/>
            </w:pPr>
            <w:r w:rsidRPr="00C40058">
              <w:t>Could this gap be addressed by a national Cancer Prosthesis Program? If so, how?</w:t>
            </w:r>
          </w:p>
        </w:tc>
        <w:tc>
          <w:tcPr>
            <w:tcW w:w="4838" w:type="dxa"/>
          </w:tcPr>
          <w:p w14:paraId="27CFDBB4" w14:textId="12F5DAF6" w:rsidR="00044CEF" w:rsidRPr="00C40058" w:rsidRDefault="00EC09DB" w:rsidP="00C40058">
            <w:pPr>
              <w:pStyle w:val="TableText"/>
              <w:cnfStyle w:val="000000000000" w:firstRow="0" w:lastRow="0" w:firstColumn="0" w:lastColumn="0" w:oddVBand="0" w:evenVBand="0" w:oddHBand="0" w:evenHBand="0" w:firstRowFirstColumn="0" w:firstRowLastColumn="0" w:lastRowFirstColumn="0" w:lastRowLastColumn="0"/>
            </w:pPr>
            <w:r w:rsidRPr="00C40058">
              <w:t>Section 5: Considerations and options for a national cancer prosthesis program</w:t>
            </w:r>
          </w:p>
        </w:tc>
      </w:tr>
    </w:tbl>
    <w:p w14:paraId="66993B53" w14:textId="79CAD1C0" w:rsidR="00C40058" w:rsidRDefault="00C40058" w:rsidP="00C40058">
      <w:pPr>
        <w:pStyle w:val="Caption-Source"/>
      </w:pPr>
      <w:r w:rsidRPr="00956CC4">
        <w:t xml:space="preserve">Source: </w:t>
      </w:r>
      <w:r w:rsidR="00435DC4" w:rsidRPr="00435DC4">
        <w:t>Independent reviewer</w:t>
      </w:r>
      <w:r w:rsidRPr="00956CC4">
        <w:t xml:space="preserve"> (2025)</w:t>
      </w:r>
    </w:p>
    <w:p w14:paraId="7ECF26E5" w14:textId="77777777" w:rsidR="00C33FD2" w:rsidRPr="00DD71E7" w:rsidRDefault="00C33FD2" w:rsidP="00DD71E7">
      <w:r w:rsidRPr="00DD71E7">
        <w:br w:type="page"/>
      </w:r>
    </w:p>
    <w:p w14:paraId="61450A19" w14:textId="5681F94D" w:rsidR="00C40058" w:rsidRDefault="00C40058" w:rsidP="00DD71E7">
      <w:r>
        <w:t>Key review question</w:t>
      </w:r>
      <w:r w:rsidRPr="00FA39C2">
        <w:t xml:space="preserve"> </w:t>
      </w:r>
      <w:r>
        <w:t xml:space="preserve">7 </w:t>
      </w:r>
      <w:r w:rsidRPr="0042443F">
        <w:rPr>
          <w:rStyle w:val="Strong"/>
        </w:rPr>
        <w:t>What would be the cost of a national cancer prosthesis program?</w:t>
      </w:r>
      <w:r>
        <w:rPr>
          <w:b/>
          <w:bCs/>
          <w:sz w:val="18"/>
          <w:szCs w:val="18"/>
        </w:rPr>
        <w:t xml:space="preserve"> </w:t>
      </w:r>
      <w:r>
        <w:fldChar w:fldCharType="begin"/>
      </w:r>
      <w:r>
        <w:rPr>
          <w:b/>
          <w:bCs/>
          <w:sz w:val="18"/>
          <w:szCs w:val="18"/>
        </w:rPr>
        <w:instrText xml:space="preserve"> REF _Ref207205276 \h </w:instrText>
      </w:r>
      <w:r>
        <w:fldChar w:fldCharType="separate"/>
      </w:r>
      <w:r>
        <w:t xml:space="preserve">Table </w:t>
      </w:r>
      <w:r>
        <w:rPr>
          <w:noProof/>
        </w:rPr>
        <w:t>51</w:t>
      </w:r>
      <w:r>
        <w:fldChar w:fldCharType="end"/>
      </w:r>
      <w:r>
        <w:t xml:space="preserve"> below </w:t>
      </w:r>
      <w:r w:rsidRPr="00DD71E7">
        <w:t>outlines the sub-questions and sections of the report where the key review question is addressed. The data sources used to answer KRQ 7 include:</w:t>
      </w:r>
    </w:p>
    <w:p w14:paraId="64F9D0FE" w14:textId="77777777" w:rsidR="00C40058" w:rsidRPr="008C11BD" w:rsidRDefault="00C40058" w:rsidP="00C40058">
      <w:pPr>
        <w:pStyle w:val="Bullet1stlevel"/>
      </w:pPr>
      <w:r w:rsidRPr="008C11BD">
        <w:t xml:space="preserve">Desktop review and literature scan </w:t>
      </w:r>
    </w:p>
    <w:p w14:paraId="5ED37A09" w14:textId="77777777" w:rsidR="00C40058" w:rsidRPr="008C11BD" w:rsidRDefault="00C40058" w:rsidP="00C40058">
      <w:pPr>
        <w:pStyle w:val="Bullet1stlevel"/>
      </w:pPr>
      <w:r w:rsidRPr="008C11BD">
        <w:t>AIHW cancer data</w:t>
      </w:r>
    </w:p>
    <w:p w14:paraId="71FD9C55" w14:textId="77777777" w:rsidR="00C40058" w:rsidRPr="008C11BD" w:rsidRDefault="00C40058" w:rsidP="00C40058">
      <w:pPr>
        <w:pStyle w:val="Bullet1stlevel"/>
      </w:pPr>
      <w:r w:rsidRPr="008C11BD">
        <w:t>Consultation and survey with people who are living with or who have lived experience of cancer and their carers</w:t>
      </w:r>
    </w:p>
    <w:p w14:paraId="29636CC1" w14:textId="77777777" w:rsidR="00C40058" w:rsidRPr="008C11BD" w:rsidRDefault="00C40058" w:rsidP="00C40058">
      <w:pPr>
        <w:pStyle w:val="Bullet1stlevel"/>
      </w:pPr>
      <w:r w:rsidRPr="008C11BD">
        <w:t xml:space="preserve">Consultation with the Department of Health, Disability and Ageing </w:t>
      </w:r>
    </w:p>
    <w:p w14:paraId="664FF5F6" w14:textId="77777777" w:rsidR="00C40058" w:rsidRPr="008C11BD" w:rsidRDefault="00C40058" w:rsidP="00C40058">
      <w:pPr>
        <w:pStyle w:val="Bullet1stlevel"/>
      </w:pPr>
      <w:r w:rsidRPr="008C11BD">
        <w:t>Consultation with states and territories</w:t>
      </w:r>
    </w:p>
    <w:p w14:paraId="249BD402" w14:textId="77777777" w:rsidR="00C40058" w:rsidRPr="008C11BD" w:rsidRDefault="00C40058" w:rsidP="00C40058">
      <w:pPr>
        <w:pStyle w:val="Bullet1stlevel"/>
      </w:pPr>
      <w:r w:rsidRPr="008C11BD">
        <w:t>Consultation with NDIA</w:t>
      </w:r>
    </w:p>
    <w:p w14:paraId="09210AF3" w14:textId="77777777" w:rsidR="00C40058" w:rsidRPr="008C11BD" w:rsidRDefault="00C40058" w:rsidP="00C40058">
      <w:pPr>
        <w:pStyle w:val="Bullet1stlevel"/>
      </w:pPr>
      <w:r w:rsidRPr="008C11BD">
        <w:t>Consultation with peak bodies / advocacy groups</w:t>
      </w:r>
    </w:p>
    <w:p w14:paraId="53ADC4EC" w14:textId="77777777" w:rsidR="00C40058" w:rsidRPr="008C11BD" w:rsidRDefault="00C40058" w:rsidP="00C40058">
      <w:pPr>
        <w:pStyle w:val="Bullet1stlevel"/>
      </w:pPr>
      <w:r w:rsidRPr="008C11BD">
        <w:t xml:space="preserve">Consultation and survey with clinicians </w:t>
      </w:r>
    </w:p>
    <w:p w14:paraId="05F3365D" w14:textId="605420C7" w:rsidR="00B6215D" w:rsidRDefault="00C40058" w:rsidP="00C40058">
      <w:pPr>
        <w:pStyle w:val="Bullet1stlevel"/>
      </w:pPr>
      <w:r w:rsidRPr="008C11BD">
        <w:t>Consultation with retailers of prostheses</w:t>
      </w:r>
    </w:p>
    <w:p w14:paraId="1E2A9970" w14:textId="6F08D371" w:rsidR="00C40058" w:rsidRDefault="00C40058" w:rsidP="00C40058">
      <w:pPr>
        <w:pStyle w:val="Caption"/>
      </w:pPr>
      <w:bookmarkStart w:id="215" w:name="_Ref207205276"/>
      <w:bookmarkStart w:id="216" w:name="_Toc207348616"/>
      <w:r>
        <w:t xml:space="preserve">Table </w:t>
      </w:r>
      <w:r w:rsidR="004F27F5">
        <w:fldChar w:fldCharType="begin"/>
      </w:r>
      <w:r w:rsidR="004F27F5">
        <w:instrText xml:space="preserve"> SEQ Table \* ARABIC </w:instrText>
      </w:r>
      <w:r w:rsidR="004F27F5">
        <w:fldChar w:fldCharType="separate"/>
      </w:r>
      <w:r w:rsidR="004F27F5">
        <w:rPr>
          <w:noProof/>
        </w:rPr>
        <w:t>51</w:t>
      </w:r>
      <w:r w:rsidR="004F27F5">
        <w:rPr>
          <w:noProof/>
        </w:rPr>
        <w:fldChar w:fldCharType="end"/>
      </w:r>
      <w:bookmarkEnd w:id="215"/>
      <w:r>
        <w:t xml:space="preserve">: </w:t>
      </w:r>
      <w:r w:rsidRPr="00D40D1D">
        <w:t xml:space="preserve">Sub-questions and sections of the report where KRQ </w:t>
      </w:r>
      <w:r>
        <w:t>7</w:t>
      </w:r>
      <w:r w:rsidRPr="00D40D1D">
        <w:t xml:space="preserve"> is addressed</w:t>
      </w:r>
      <w:bookmarkEnd w:id="216"/>
    </w:p>
    <w:tbl>
      <w:tblPr>
        <w:tblStyle w:val="KPMGTable"/>
        <w:tblW w:w="9816" w:type="dxa"/>
        <w:tblLook w:val="04A0" w:firstRow="1" w:lastRow="0" w:firstColumn="1" w:lastColumn="0" w:noHBand="0" w:noVBand="1"/>
      </w:tblPr>
      <w:tblGrid>
        <w:gridCol w:w="4908"/>
        <w:gridCol w:w="4908"/>
      </w:tblGrid>
      <w:tr w:rsidR="00467133" w:rsidRPr="009F01A9" w14:paraId="7E964A6E" w14:textId="77777777" w:rsidTr="00F17EF9">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4908" w:type="dxa"/>
          </w:tcPr>
          <w:p w14:paraId="0FCDCC36" w14:textId="229E7458" w:rsidR="00C40058" w:rsidRPr="002B1273" w:rsidRDefault="00C40058" w:rsidP="00C40058">
            <w:pPr>
              <w:pStyle w:val="TableHeading"/>
              <w:rPr>
                <w:rFonts w:cs="Arial"/>
                <w:kern w:val="24"/>
                <w:szCs w:val="20"/>
              </w:rPr>
            </w:pPr>
            <w:r w:rsidRPr="00BC7528">
              <w:t>Sub-questions</w:t>
            </w:r>
          </w:p>
        </w:tc>
        <w:tc>
          <w:tcPr>
            <w:tcW w:w="4908" w:type="dxa"/>
          </w:tcPr>
          <w:p w14:paraId="651FFBD9" w14:textId="33E21515" w:rsidR="00C40058" w:rsidRPr="00447AD8" w:rsidRDefault="00C40058" w:rsidP="00C40058">
            <w:pPr>
              <w:pStyle w:val="TableHeading"/>
              <w:cnfStyle w:val="100000000000" w:firstRow="1" w:lastRow="0" w:firstColumn="0" w:lastColumn="0" w:oddVBand="0" w:evenVBand="0" w:oddHBand="0" w:evenHBand="0" w:firstRowFirstColumn="0" w:firstRowLastColumn="0" w:lastRowFirstColumn="0" w:lastRowLastColumn="0"/>
              <w:rPr>
                <w:rFonts w:cs="Arial"/>
                <w:bCs/>
                <w:kern w:val="24"/>
                <w:szCs w:val="20"/>
              </w:rPr>
            </w:pPr>
            <w:r>
              <w:t>Section of this report where question is addressed</w:t>
            </w:r>
          </w:p>
        </w:tc>
      </w:tr>
      <w:tr w:rsidR="00677ED1" w:rsidRPr="009F01A9" w14:paraId="54A796DE" w14:textId="77777777" w:rsidTr="0027093A">
        <w:trPr>
          <w:trHeight w:val="283"/>
        </w:trPr>
        <w:tc>
          <w:tcPr>
            <w:cnfStyle w:val="001000000000" w:firstRow="0" w:lastRow="0" w:firstColumn="1" w:lastColumn="0" w:oddVBand="0" w:evenVBand="0" w:oddHBand="0" w:evenHBand="0" w:firstRowFirstColumn="0" w:firstRowLastColumn="0" w:lastRowFirstColumn="0" w:lastRowLastColumn="0"/>
            <w:tcW w:w="4908" w:type="dxa"/>
          </w:tcPr>
          <w:p w14:paraId="4E665134" w14:textId="77777777" w:rsidR="00B275A0" w:rsidRPr="00C40058" w:rsidRDefault="00B275A0" w:rsidP="00C40058">
            <w:pPr>
              <w:pStyle w:val="TableText"/>
            </w:pPr>
            <w:r w:rsidRPr="00C40058">
              <w:t>How many people living with or who have lived experience of cancer require new and replacement prostheses each year in Australia? How does this differ by prostheses and / or cancer type?</w:t>
            </w:r>
          </w:p>
        </w:tc>
        <w:tc>
          <w:tcPr>
            <w:tcW w:w="4908" w:type="dxa"/>
          </w:tcPr>
          <w:p w14:paraId="4ABDDE20" w14:textId="69EE482A" w:rsidR="00C04FFC" w:rsidRPr="00C40058" w:rsidRDefault="00EC09DB" w:rsidP="00C40058">
            <w:pPr>
              <w:pStyle w:val="TableText"/>
              <w:cnfStyle w:val="000000000000" w:firstRow="0" w:lastRow="0" w:firstColumn="0" w:lastColumn="0" w:oddVBand="0" w:evenVBand="0" w:oddHBand="0" w:evenHBand="0" w:firstRowFirstColumn="0" w:firstRowLastColumn="0" w:lastRowFirstColumn="0" w:lastRowLastColumn="0"/>
            </w:pPr>
            <w:r w:rsidRPr="00C40058">
              <w:t>Section 6: Cost implications of a national cancer prosthesis program</w:t>
            </w:r>
          </w:p>
        </w:tc>
      </w:tr>
      <w:tr w:rsidR="00677ED1" w:rsidRPr="009F01A9" w14:paraId="5BE48CF0" w14:textId="77777777" w:rsidTr="0027093A">
        <w:trPr>
          <w:trHeight w:val="283"/>
        </w:trPr>
        <w:tc>
          <w:tcPr>
            <w:cnfStyle w:val="001000000000" w:firstRow="0" w:lastRow="0" w:firstColumn="1" w:lastColumn="0" w:oddVBand="0" w:evenVBand="0" w:oddHBand="0" w:evenHBand="0" w:firstRowFirstColumn="0" w:firstRowLastColumn="0" w:lastRowFirstColumn="0" w:lastRowLastColumn="0"/>
            <w:tcW w:w="4908" w:type="dxa"/>
          </w:tcPr>
          <w:p w14:paraId="6F3F923A" w14:textId="77777777" w:rsidR="00B275A0" w:rsidRPr="00C40058" w:rsidRDefault="00B275A0" w:rsidP="00C40058">
            <w:pPr>
              <w:pStyle w:val="TableText"/>
            </w:pPr>
            <w:r w:rsidRPr="00C40058">
              <w:t>What are the key cost components that should be considered for new and replacement prostheses? How does this differ by prostheses and / or cancer type?</w:t>
            </w:r>
          </w:p>
        </w:tc>
        <w:tc>
          <w:tcPr>
            <w:tcW w:w="4908" w:type="dxa"/>
          </w:tcPr>
          <w:p w14:paraId="2A089A9A" w14:textId="75535556" w:rsidR="00C04FFC" w:rsidRPr="00C40058" w:rsidRDefault="00EC09DB" w:rsidP="00C40058">
            <w:pPr>
              <w:pStyle w:val="TableText"/>
              <w:cnfStyle w:val="000000000000" w:firstRow="0" w:lastRow="0" w:firstColumn="0" w:lastColumn="0" w:oddVBand="0" w:evenVBand="0" w:oddHBand="0" w:evenHBand="0" w:firstRowFirstColumn="0" w:firstRowLastColumn="0" w:lastRowFirstColumn="0" w:lastRowLastColumn="0"/>
            </w:pPr>
            <w:r w:rsidRPr="00C40058">
              <w:t>Section 6: Cost implications of a national cancer prosthesis program</w:t>
            </w:r>
          </w:p>
        </w:tc>
      </w:tr>
      <w:tr w:rsidR="00677ED1" w:rsidRPr="009F01A9" w14:paraId="78636286" w14:textId="77777777" w:rsidTr="0027093A">
        <w:trPr>
          <w:trHeight w:val="283"/>
        </w:trPr>
        <w:tc>
          <w:tcPr>
            <w:cnfStyle w:val="001000000000" w:firstRow="0" w:lastRow="0" w:firstColumn="1" w:lastColumn="0" w:oddVBand="0" w:evenVBand="0" w:oddHBand="0" w:evenHBand="0" w:firstRowFirstColumn="0" w:firstRowLastColumn="0" w:lastRowFirstColumn="0" w:lastRowLastColumn="0"/>
            <w:tcW w:w="4908" w:type="dxa"/>
          </w:tcPr>
          <w:p w14:paraId="11612E6C" w14:textId="77777777" w:rsidR="00B275A0" w:rsidRPr="00C40058" w:rsidRDefault="00B275A0" w:rsidP="00C40058">
            <w:pPr>
              <w:pStyle w:val="TableText"/>
            </w:pPr>
            <w:r w:rsidRPr="00C40058">
              <w:t>What is the average cost of new and replacement prostheses? How does this differ by prostheses and / or cancer type?</w:t>
            </w:r>
          </w:p>
        </w:tc>
        <w:tc>
          <w:tcPr>
            <w:tcW w:w="4908" w:type="dxa"/>
          </w:tcPr>
          <w:p w14:paraId="1411A5C6" w14:textId="18FDBB88" w:rsidR="00C04FFC" w:rsidRPr="00C40058" w:rsidRDefault="00EC09DB" w:rsidP="00C40058">
            <w:pPr>
              <w:pStyle w:val="TableText"/>
              <w:cnfStyle w:val="000000000000" w:firstRow="0" w:lastRow="0" w:firstColumn="0" w:lastColumn="0" w:oddVBand="0" w:evenVBand="0" w:oddHBand="0" w:evenHBand="0" w:firstRowFirstColumn="0" w:firstRowLastColumn="0" w:lastRowFirstColumn="0" w:lastRowLastColumn="0"/>
            </w:pPr>
            <w:r w:rsidRPr="00C40058">
              <w:t>Section 6: Cost implications of a national cancer prosthesis program</w:t>
            </w:r>
          </w:p>
        </w:tc>
      </w:tr>
      <w:tr w:rsidR="00677ED1" w:rsidRPr="009F01A9" w14:paraId="733EE0A4" w14:textId="77777777" w:rsidTr="0027093A">
        <w:trPr>
          <w:trHeight w:val="283"/>
        </w:trPr>
        <w:tc>
          <w:tcPr>
            <w:cnfStyle w:val="001000000000" w:firstRow="0" w:lastRow="0" w:firstColumn="1" w:lastColumn="0" w:oddVBand="0" w:evenVBand="0" w:oddHBand="0" w:evenHBand="0" w:firstRowFirstColumn="0" w:firstRowLastColumn="0" w:lastRowFirstColumn="0" w:lastRowLastColumn="0"/>
            <w:tcW w:w="4908" w:type="dxa"/>
          </w:tcPr>
          <w:p w14:paraId="5F0C0E32" w14:textId="504EF3B3" w:rsidR="00B275A0" w:rsidRPr="00C40058" w:rsidRDefault="00B275A0" w:rsidP="00C40058">
            <w:pPr>
              <w:pStyle w:val="TableText"/>
            </w:pPr>
            <w:r w:rsidRPr="00C40058">
              <w:t xml:space="preserve">What impact might a national program have on the market price for </w:t>
            </w:r>
            <w:r w:rsidR="00243A26" w:rsidRPr="00C40058">
              <w:t>prostheses</w:t>
            </w:r>
            <w:r w:rsidRPr="00C40058">
              <w:t>?</w:t>
            </w:r>
          </w:p>
        </w:tc>
        <w:tc>
          <w:tcPr>
            <w:tcW w:w="4908" w:type="dxa"/>
          </w:tcPr>
          <w:p w14:paraId="2C175EAA" w14:textId="59100A79" w:rsidR="00C04FFC" w:rsidRPr="00C40058" w:rsidRDefault="00EC09DB" w:rsidP="00C40058">
            <w:pPr>
              <w:pStyle w:val="TableText"/>
              <w:cnfStyle w:val="000000000000" w:firstRow="0" w:lastRow="0" w:firstColumn="0" w:lastColumn="0" w:oddVBand="0" w:evenVBand="0" w:oddHBand="0" w:evenHBand="0" w:firstRowFirstColumn="0" w:firstRowLastColumn="0" w:lastRowFirstColumn="0" w:lastRowLastColumn="0"/>
            </w:pPr>
            <w:r w:rsidRPr="00C40058">
              <w:t>Section 6: Cost implications of a national cancer prosthesis program</w:t>
            </w:r>
          </w:p>
        </w:tc>
      </w:tr>
      <w:tr w:rsidR="00677ED1" w:rsidRPr="009F01A9" w14:paraId="00D5FE30" w14:textId="77777777" w:rsidTr="0027093A">
        <w:trPr>
          <w:trHeight w:val="283"/>
        </w:trPr>
        <w:tc>
          <w:tcPr>
            <w:cnfStyle w:val="001000000000" w:firstRow="0" w:lastRow="0" w:firstColumn="1" w:lastColumn="0" w:oddVBand="0" w:evenVBand="0" w:oddHBand="0" w:evenHBand="0" w:firstRowFirstColumn="0" w:firstRowLastColumn="0" w:lastRowFirstColumn="0" w:lastRowLastColumn="0"/>
            <w:tcW w:w="4908" w:type="dxa"/>
          </w:tcPr>
          <w:p w14:paraId="0F4500BD" w14:textId="77777777" w:rsidR="00B275A0" w:rsidRPr="00C40058" w:rsidRDefault="00B275A0" w:rsidP="00C40058">
            <w:pPr>
              <w:pStyle w:val="TableText"/>
            </w:pPr>
            <w:r w:rsidRPr="00C40058">
              <w:t>What are the key enablers for successful implementation of a new Cancer Prosthesis Program?</w:t>
            </w:r>
          </w:p>
        </w:tc>
        <w:tc>
          <w:tcPr>
            <w:tcW w:w="4908" w:type="dxa"/>
          </w:tcPr>
          <w:p w14:paraId="04509B7B" w14:textId="576EBB64" w:rsidR="00C04FFC" w:rsidRPr="00C40058" w:rsidRDefault="00EC09DB" w:rsidP="00C40058">
            <w:pPr>
              <w:pStyle w:val="TableText"/>
              <w:cnfStyle w:val="000000000000" w:firstRow="0" w:lastRow="0" w:firstColumn="0" w:lastColumn="0" w:oddVBand="0" w:evenVBand="0" w:oddHBand="0" w:evenHBand="0" w:firstRowFirstColumn="0" w:firstRowLastColumn="0" w:lastRowFirstColumn="0" w:lastRowLastColumn="0"/>
            </w:pPr>
            <w:r w:rsidRPr="00C40058">
              <w:t>Section 5: Considerations and options for a national cancer prosthesis program</w:t>
            </w:r>
          </w:p>
        </w:tc>
      </w:tr>
      <w:tr w:rsidR="00677ED1" w:rsidRPr="009F01A9" w14:paraId="2C8FA743" w14:textId="77777777" w:rsidTr="0027093A">
        <w:trPr>
          <w:trHeight w:val="283"/>
        </w:trPr>
        <w:tc>
          <w:tcPr>
            <w:cnfStyle w:val="001000000000" w:firstRow="0" w:lastRow="0" w:firstColumn="1" w:lastColumn="0" w:oddVBand="0" w:evenVBand="0" w:oddHBand="0" w:evenHBand="0" w:firstRowFirstColumn="0" w:firstRowLastColumn="0" w:lastRowFirstColumn="0" w:lastRowLastColumn="0"/>
            <w:tcW w:w="4908" w:type="dxa"/>
          </w:tcPr>
          <w:p w14:paraId="0D2DB4C7" w14:textId="77777777" w:rsidR="00B275A0" w:rsidRPr="00C40058" w:rsidRDefault="00B275A0" w:rsidP="00C40058">
            <w:pPr>
              <w:pStyle w:val="TableText"/>
            </w:pPr>
            <w:r w:rsidRPr="00C40058">
              <w:t>What eligibility criteria should be considered for the program to ensure existing gaps are addressed?</w:t>
            </w:r>
          </w:p>
        </w:tc>
        <w:tc>
          <w:tcPr>
            <w:tcW w:w="4908" w:type="dxa"/>
          </w:tcPr>
          <w:p w14:paraId="1AF05909" w14:textId="4E17D9B2" w:rsidR="00C04FFC" w:rsidRPr="00C40058" w:rsidRDefault="00EC09DB" w:rsidP="00C40058">
            <w:pPr>
              <w:pStyle w:val="TableText"/>
              <w:cnfStyle w:val="000000000000" w:firstRow="0" w:lastRow="0" w:firstColumn="0" w:lastColumn="0" w:oddVBand="0" w:evenVBand="0" w:oddHBand="0" w:evenHBand="0" w:firstRowFirstColumn="0" w:firstRowLastColumn="0" w:lastRowFirstColumn="0" w:lastRowLastColumn="0"/>
            </w:pPr>
            <w:r w:rsidRPr="00C40058">
              <w:t>Section 5: Considerations and options for a national cancer prosthesis program</w:t>
            </w:r>
          </w:p>
        </w:tc>
      </w:tr>
      <w:tr w:rsidR="00677ED1" w:rsidRPr="009F01A9" w14:paraId="01F41C53" w14:textId="77777777" w:rsidTr="0027093A">
        <w:trPr>
          <w:trHeight w:val="283"/>
        </w:trPr>
        <w:tc>
          <w:tcPr>
            <w:cnfStyle w:val="001000000000" w:firstRow="0" w:lastRow="0" w:firstColumn="1" w:lastColumn="0" w:oddVBand="0" w:evenVBand="0" w:oddHBand="0" w:evenHBand="0" w:firstRowFirstColumn="0" w:firstRowLastColumn="0" w:lastRowFirstColumn="0" w:lastRowLastColumn="0"/>
            <w:tcW w:w="4908" w:type="dxa"/>
          </w:tcPr>
          <w:p w14:paraId="7898C440" w14:textId="77777777" w:rsidR="00B275A0" w:rsidRPr="00C40058" w:rsidRDefault="00B275A0" w:rsidP="00C40058">
            <w:pPr>
              <w:pStyle w:val="TableText"/>
            </w:pPr>
            <w:r w:rsidRPr="00C40058">
              <w:t>What funding model would be most appropriate (e.g. Commonwealth led and funded, state / jurisdiction co-contribution, patient co-contribution, private health insurance)? How do similar programs in other jurisdictions work?</w:t>
            </w:r>
          </w:p>
        </w:tc>
        <w:tc>
          <w:tcPr>
            <w:tcW w:w="4908" w:type="dxa"/>
          </w:tcPr>
          <w:p w14:paraId="2E8F7CC6" w14:textId="040770DD" w:rsidR="00C04FFC" w:rsidRPr="00C40058" w:rsidRDefault="00EC09DB" w:rsidP="00C40058">
            <w:pPr>
              <w:pStyle w:val="TableText"/>
              <w:cnfStyle w:val="000000000000" w:firstRow="0" w:lastRow="0" w:firstColumn="0" w:lastColumn="0" w:oddVBand="0" w:evenVBand="0" w:oddHBand="0" w:evenHBand="0" w:firstRowFirstColumn="0" w:firstRowLastColumn="0" w:lastRowFirstColumn="0" w:lastRowLastColumn="0"/>
            </w:pPr>
            <w:r w:rsidRPr="00C40058">
              <w:t>Section 6: Cost implications of a national cancer prosthesis program</w:t>
            </w:r>
          </w:p>
        </w:tc>
      </w:tr>
    </w:tbl>
    <w:p w14:paraId="0CEF425F" w14:textId="27ECF8F5" w:rsidR="00B275A0" w:rsidRPr="003A2C71" w:rsidRDefault="00B275A0" w:rsidP="0027093A">
      <w:pPr>
        <w:pStyle w:val="Caption-Source"/>
      </w:pPr>
      <w:r w:rsidRPr="00112772">
        <w:t xml:space="preserve">Source: </w:t>
      </w:r>
      <w:r w:rsidR="00435DC4" w:rsidRPr="00435DC4">
        <w:t>Independent reviewer</w:t>
      </w:r>
      <w:r w:rsidR="00584D02">
        <w:t xml:space="preserve"> (</w:t>
      </w:r>
      <w:r w:rsidRPr="003A2C71">
        <w:t>202</w:t>
      </w:r>
      <w:r>
        <w:t>5</w:t>
      </w:r>
      <w:r w:rsidR="00584D02">
        <w:t>)</w:t>
      </w:r>
    </w:p>
    <w:p w14:paraId="26A65971" w14:textId="77777777" w:rsidR="00331184" w:rsidRDefault="00331184" w:rsidP="00F06BE2">
      <w:pPr>
        <w:spacing w:before="0" w:after="160" w:line="259" w:lineRule="auto"/>
        <w:rPr>
          <w:rFonts w:ascii="Arial" w:hAnsi="Arial" w:cs="Arial"/>
        </w:rPr>
        <w:sectPr w:rsidR="00331184" w:rsidSect="00E65795">
          <w:headerReference w:type="even" r:id="rId93"/>
          <w:headerReference w:type="default" r:id="rId94"/>
          <w:footerReference w:type="default" r:id="rId95"/>
          <w:headerReference w:type="first" r:id="rId96"/>
          <w:pgSz w:w="11906" w:h="16838"/>
          <w:pgMar w:top="1418" w:right="851" w:bottom="1134" w:left="851" w:header="567" w:footer="284" w:gutter="0"/>
          <w:cols w:space="708"/>
          <w:docGrid w:linePitch="360"/>
        </w:sectPr>
      </w:pPr>
      <w:bookmarkStart w:id="217" w:name="_Ref196307653"/>
    </w:p>
    <w:p w14:paraId="2F90BA9E" w14:textId="750718BB" w:rsidR="00F06BE2" w:rsidRDefault="00F06BE2" w:rsidP="00F06BE2">
      <w:pPr>
        <w:pStyle w:val="Appendixheading"/>
        <w:spacing w:after="360"/>
      </w:pPr>
      <w:bookmarkStart w:id="218" w:name="_Ref201824949"/>
      <w:bookmarkStart w:id="219" w:name="_Ref201825714"/>
      <w:bookmarkStart w:id="220" w:name="_Ref201825726"/>
      <w:bookmarkStart w:id="221" w:name="_Toc207348759"/>
      <w:r>
        <w:t>: Data collection</w:t>
      </w:r>
      <w:bookmarkEnd w:id="217"/>
      <w:bookmarkEnd w:id="218"/>
      <w:bookmarkEnd w:id="219"/>
      <w:bookmarkEnd w:id="220"/>
      <w:bookmarkEnd w:id="221"/>
    </w:p>
    <w:p w14:paraId="7A01B349" w14:textId="0A6146E6" w:rsidR="00CD6533" w:rsidRDefault="00543C37" w:rsidP="00A10684">
      <w:r>
        <w:t xml:space="preserve">Appendix </w:t>
      </w:r>
      <w:r w:rsidR="00F06BE2">
        <w:t>B</w:t>
      </w:r>
      <w:r>
        <w:t xml:space="preserve"> </w:t>
      </w:r>
      <w:r w:rsidR="0046514E">
        <w:t>includes</w:t>
      </w:r>
      <w:r>
        <w:t xml:space="preserve"> </w:t>
      </w:r>
      <w:r w:rsidR="0046514E">
        <w:t xml:space="preserve">materials related to </w:t>
      </w:r>
      <w:r w:rsidR="00EF2A94">
        <w:t xml:space="preserve">the various </w:t>
      </w:r>
      <w:r w:rsidR="0046514E">
        <w:t>data collection</w:t>
      </w:r>
      <w:r w:rsidR="00EF2A94">
        <w:t xml:space="preserve"> activities</w:t>
      </w:r>
      <w:r w:rsidR="0046514E">
        <w:t xml:space="preserve"> undertaken as part of this review, including:</w:t>
      </w:r>
    </w:p>
    <w:p w14:paraId="156C6FAA" w14:textId="1B5A39AF" w:rsidR="00543C37" w:rsidRPr="0042443F" w:rsidRDefault="00CF30F4" w:rsidP="0027093A">
      <w:pPr>
        <w:pStyle w:val="Bullet1stlevel"/>
        <w:rPr>
          <w:rStyle w:val="Strong"/>
        </w:rPr>
      </w:pPr>
      <w:r w:rsidRPr="0042443F">
        <w:rPr>
          <w:rStyle w:val="Strong"/>
        </w:rPr>
        <w:t>B</w:t>
      </w:r>
      <w:r w:rsidR="00543C37" w:rsidRPr="0042443F">
        <w:rPr>
          <w:rStyle w:val="Strong"/>
        </w:rPr>
        <w:t xml:space="preserve">.1 </w:t>
      </w:r>
      <w:r w:rsidRPr="0042443F">
        <w:rPr>
          <w:rStyle w:val="Strong"/>
        </w:rPr>
        <w:t>List of stakeholders consulted</w:t>
      </w:r>
      <w:r w:rsidR="00367DE0" w:rsidRPr="0042443F">
        <w:rPr>
          <w:rStyle w:val="Strong"/>
        </w:rPr>
        <w:t xml:space="preserve"> </w:t>
      </w:r>
    </w:p>
    <w:p w14:paraId="38A458E6" w14:textId="64B5F7CE" w:rsidR="00077A2B" w:rsidRPr="0042443F" w:rsidRDefault="00CF30F4" w:rsidP="0027093A">
      <w:pPr>
        <w:pStyle w:val="Bullet1stlevel"/>
        <w:rPr>
          <w:rStyle w:val="Strong"/>
        </w:rPr>
      </w:pPr>
      <w:r w:rsidRPr="0042443F">
        <w:rPr>
          <w:rStyle w:val="Strong"/>
        </w:rPr>
        <w:t>B</w:t>
      </w:r>
      <w:r w:rsidR="00077A2B" w:rsidRPr="0042443F">
        <w:rPr>
          <w:rStyle w:val="Strong"/>
        </w:rPr>
        <w:t xml:space="preserve">.2 </w:t>
      </w:r>
      <w:r w:rsidRPr="0042443F">
        <w:rPr>
          <w:rStyle w:val="Strong"/>
        </w:rPr>
        <w:t>Survey of people living with or with lived experience of cancer and their carers</w:t>
      </w:r>
      <w:r w:rsidR="006B36F3" w:rsidRPr="0042443F">
        <w:rPr>
          <w:rStyle w:val="Strong"/>
        </w:rPr>
        <w:t xml:space="preserve"> questions and results</w:t>
      </w:r>
    </w:p>
    <w:p w14:paraId="5154EC35" w14:textId="05F9937D" w:rsidR="0046514E" w:rsidRPr="0042443F" w:rsidRDefault="0046514E" w:rsidP="0027093A">
      <w:pPr>
        <w:pStyle w:val="Bullet1stlevel"/>
        <w:rPr>
          <w:rStyle w:val="Strong"/>
        </w:rPr>
      </w:pPr>
      <w:r w:rsidRPr="0042443F">
        <w:rPr>
          <w:rStyle w:val="Strong"/>
        </w:rPr>
        <w:t>B.</w:t>
      </w:r>
      <w:r w:rsidR="00EF2A94" w:rsidRPr="0042443F">
        <w:rPr>
          <w:rStyle w:val="Strong"/>
        </w:rPr>
        <w:t>3</w:t>
      </w:r>
      <w:r w:rsidRPr="0042443F">
        <w:rPr>
          <w:rStyle w:val="Strong"/>
        </w:rPr>
        <w:t xml:space="preserve"> Survey of clinicians involved in the delivery of prostheses services</w:t>
      </w:r>
      <w:r w:rsidR="006B36F3" w:rsidRPr="0042443F">
        <w:rPr>
          <w:rStyle w:val="Strong"/>
        </w:rPr>
        <w:t xml:space="preserve"> questions and results</w:t>
      </w:r>
    </w:p>
    <w:p w14:paraId="3EBFDE01" w14:textId="44718773" w:rsidR="0046514E" w:rsidRPr="0042443F" w:rsidRDefault="0046514E" w:rsidP="0027093A">
      <w:pPr>
        <w:pStyle w:val="Bullet1stlevel"/>
        <w:rPr>
          <w:rStyle w:val="Strong"/>
        </w:rPr>
      </w:pPr>
      <w:r w:rsidRPr="0042443F">
        <w:rPr>
          <w:rStyle w:val="Strong"/>
        </w:rPr>
        <w:t>B.</w:t>
      </w:r>
      <w:r w:rsidR="00EF2A94" w:rsidRPr="0042443F">
        <w:rPr>
          <w:rStyle w:val="Strong"/>
        </w:rPr>
        <w:t>4</w:t>
      </w:r>
      <w:r w:rsidRPr="0042443F">
        <w:rPr>
          <w:rStyle w:val="Strong"/>
        </w:rPr>
        <w:t xml:space="preserve"> Literature scan search protocol</w:t>
      </w:r>
    </w:p>
    <w:p w14:paraId="12E7EBA3" w14:textId="32884460" w:rsidR="0046514E" w:rsidRPr="0042443F" w:rsidRDefault="0046514E" w:rsidP="0027093A">
      <w:pPr>
        <w:pStyle w:val="Bullet1stlevel"/>
        <w:rPr>
          <w:rStyle w:val="Strong"/>
        </w:rPr>
      </w:pPr>
      <w:r w:rsidRPr="0042443F">
        <w:rPr>
          <w:rStyle w:val="Strong"/>
        </w:rPr>
        <w:t>B.</w:t>
      </w:r>
      <w:r w:rsidR="00EF2A94" w:rsidRPr="0042443F">
        <w:rPr>
          <w:rStyle w:val="Strong"/>
        </w:rPr>
        <w:t>5</w:t>
      </w:r>
      <w:r w:rsidRPr="0042443F">
        <w:rPr>
          <w:rStyle w:val="Strong"/>
        </w:rPr>
        <w:t xml:space="preserve"> List of documents reviewed</w:t>
      </w:r>
    </w:p>
    <w:p w14:paraId="269F0733" w14:textId="75E811D2" w:rsidR="005E4457" w:rsidRDefault="0046514E" w:rsidP="008239ED">
      <w:pPr>
        <w:pStyle w:val="AppendixHeading2"/>
      </w:pPr>
      <w:bookmarkStart w:id="222" w:name="_Toc207348760"/>
      <w:r>
        <w:t>List of stakeholders consulted</w:t>
      </w:r>
      <w:bookmarkEnd w:id="222"/>
    </w:p>
    <w:p w14:paraId="1F573177" w14:textId="3FED54DC" w:rsidR="00844E85" w:rsidRPr="007A1D2F" w:rsidRDefault="00F8695D" w:rsidP="007A1D2F">
      <w:pPr>
        <w:rPr>
          <w:rFonts w:ascii="Arial" w:hAnsi="Arial" w:cs="Arial"/>
        </w:rPr>
      </w:pPr>
      <w:r>
        <w:rPr>
          <w:rFonts w:ascii="Arial" w:hAnsi="Arial" w:cs="Arial"/>
        </w:rPr>
        <w:t xml:space="preserve">This section details the </w:t>
      </w:r>
      <w:r w:rsidR="00FB208D">
        <w:rPr>
          <w:rFonts w:ascii="Arial" w:hAnsi="Arial" w:cs="Arial"/>
        </w:rPr>
        <w:t>stakeholders</w:t>
      </w:r>
      <w:r>
        <w:rPr>
          <w:rFonts w:ascii="Arial" w:hAnsi="Arial" w:cs="Arial"/>
        </w:rPr>
        <w:t xml:space="preserve"> </w:t>
      </w:r>
      <w:r w:rsidR="00FF6DB2">
        <w:rPr>
          <w:rFonts w:ascii="Arial" w:hAnsi="Arial" w:cs="Arial"/>
        </w:rPr>
        <w:t xml:space="preserve">who attended </w:t>
      </w:r>
      <w:r>
        <w:rPr>
          <w:rFonts w:ascii="Arial" w:hAnsi="Arial" w:cs="Arial"/>
        </w:rPr>
        <w:t xml:space="preserve">the review design workshop and </w:t>
      </w:r>
      <w:r w:rsidR="00FF6DB2">
        <w:rPr>
          <w:rFonts w:ascii="Arial" w:hAnsi="Arial" w:cs="Arial"/>
        </w:rPr>
        <w:t>participated in consultation interviews as part of</w:t>
      </w:r>
      <w:r>
        <w:rPr>
          <w:rFonts w:ascii="Arial" w:hAnsi="Arial" w:cs="Arial"/>
        </w:rPr>
        <w:t xml:space="preserve"> this r</w:t>
      </w:r>
      <w:r w:rsidR="00FE67D9">
        <w:rPr>
          <w:rFonts w:ascii="Arial" w:hAnsi="Arial" w:cs="Arial"/>
        </w:rPr>
        <w:t>eview.</w:t>
      </w:r>
      <w:r w:rsidR="004D44FD">
        <w:rPr>
          <w:rFonts w:ascii="Arial" w:hAnsi="Arial" w:cs="Arial"/>
        </w:rPr>
        <w:t xml:space="preserve"> </w:t>
      </w:r>
      <w:r w:rsidR="00754698">
        <w:rPr>
          <w:rFonts w:ascii="Arial" w:hAnsi="Arial" w:cs="Arial"/>
        </w:rPr>
        <w:t>The list of review design workshop attendees include:</w:t>
      </w:r>
    </w:p>
    <w:p w14:paraId="5AEB1A20" w14:textId="1AF64965" w:rsidR="00754698" w:rsidRPr="0042443F" w:rsidRDefault="00754698" w:rsidP="00754698">
      <w:pPr>
        <w:pStyle w:val="Bullet1stlevel"/>
        <w:rPr>
          <w:rStyle w:val="Strong"/>
        </w:rPr>
      </w:pPr>
      <w:r w:rsidRPr="0042443F">
        <w:rPr>
          <w:rStyle w:val="Strong"/>
        </w:rPr>
        <w:t>Advocacy group / peak body</w:t>
      </w:r>
    </w:p>
    <w:p w14:paraId="32B5916D" w14:textId="2F922F0F" w:rsidR="00754698" w:rsidRDefault="00754698" w:rsidP="007A1D2F">
      <w:pPr>
        <w:pStyle w:val="Bullet2ndlevel"/>
      </w:pPr>
      <w:r w:rsidRPr="00754698">
        <w:t>Cancer Council Australia</w:t>
      </w:r>
      <w:r>
        <w:t>: Workshop attended</w:t>
      </w:r>
    </w:p>
    <w:p w14:paraId="40AE381D" w14:textId="27B11E1D" w:rsidR="00754698" w:rsidRDefault="00754698" w:rsidP="007A1D2F">
      <w:pPr>
        <w:pStyle w:val="Bullet2ndlevel"/>
      </w:pPr>
      <w:r>
        <w:t>NACCHO: Workshop attended</w:t>
      </w:r>
    </w:p>
    <w:p w14:paraId="1611593C" w14:textId="67E64D22" w:rsidR="00754698" w:rsidRDefault="00754698" w:rsidP="007A1D2F">
      <w:pPr>
        <w:pStyle w:val="Bullet2ndlevel"/>
      </w:pPr>
      <w:r>
        <w:t>Rare Cancer Australia: Workshop attended</w:t>
      </w:r>
    </w:p>
    <w:p w14:paraId="501EA07B" w14:textId="682F0A6F" w:rsidR="00754698" w:rsidRDefault="00754698" w:rsidP="007A1D2F">
      <w:pPr>
        <w:pStyle w:val="Bullet2ndlevel"/>
      </w:pPr>
      <w:r>
        <w:t>Head and Neck Cancer:</w:t>
      </w:r>
      <w:r w:rsidRPr="00754698">
        <w:t xml:space="preserve"> </w:t>
      </w:r>
      <w:r>
        <w:t>Workshop attended</w:t>
      </w:r>
    </w:p>
    <w:p w14:paraId="22D16C88" w14:textId="79963EFC" w:rsidR="00754698" w:rsidRPr="0042443F" w:rsidRDefault="00754698" w:rsidP="00754698">
      <w:pPr>
        <w:pStyle w:val="Bullet1stlevel"/>
        <w:rPr>
          <w:rStyle w:val="Strong"/>
        </w:rPr>
      </w:pPr>
      <w:r w:rsidRPr="0042443F">
        <w:rPr>
          <w:rStyle w:val="Strong"/>
        </w:rPr>
        <w:t>Commonwealth agency</w:t>
      </w:r>
    </w:p>
    <w:p w14:paraId="2C098853" w14:textId="2EE0A1E9" w:rsidR="00754698" w:rsidRDefault="00754698" w:rsidP="00754698">
      <w:pPr>
        <w:pStyle w:val="Bullet2ndlevel"/>
      </w:pPr>
      <w:r>
        <w:t>Cancer Australia: Workshop attended</w:t>
      </w:r>
    </w:p>
    <w:p w14:paraId="5872EC87" w14:textId="23A967D7" w:rsidR="00217EE7" w:rsidRPr="0042443F" w:rsidRDefault="00217EE7" w:rsidP="00217EE7">
      <w:pPr>
        <w:pStyle w:val="Bullet1stlevel"/>
        <w:rPr>
          <w:rStyle w:val="Strong"/>
        </w:rPr>
      </w:pPr>
      <w:r w:rsidRPr="0042443F">
        <w:rPr>
          <w:rStyle w:val="Strong"/>
        </w:rPr>
        <w:t>State/territory representatives</w:t>
      </w:r>
    </w:p>
    <w:p w14:paraId="0F830262" w14:textId="48E2864E" w:rsidR="00217EE7" w:rsidRDefault="00217EE7" w:rsidP="00217EE7">
      <w:pPr>
        <w:pStyle w:val="Bullet2ndlevel"/>
      </w:pPr>
      <w:r>
        <w:t>NSW Health</w:t>
      </w:r>
      <w:r w:rsidR="00210D6C">
        <w:t>:</w:t>
      </w:r>
      <w:r w:rsidR="00210D6C" w:rsidRPr="00210D6C">
        <w:t xml:space="preserve"> </w:t>
      </w:r>
      <w:r w:rsidR="00210D6C">
        <w:t>Workshop attended</w:t>
      </w:r>
    </w:p>
    <w:p w14:paraId="3E69C699" w14:textId="3F28A84A" w:rsidR="00210D6C" w:rsidRDefault="00210D6C" w:rsidP="00217EE7">
      <w:pPr>
        <w:pStyle w:val="Bullet2ndlevel"/>
      </w:pPr>
      <w:r>
        <w:t>WA Health Workshop attended</w:t>
      </w:r>
    </w:p>
    <w:p w14:paraId="45E59E7B" w14:textId="3128B258" w:rsidR="00210D6C" w:rsidRPr="00A10684" w:rsidRDefault="00210D6C" w:rsidP="00A10684">
      <w:r w:rsidRPr="00A10684">
        <w:fldChar w:fldCharType="begin"/>
      </w:r>
      <w:r w:rsidRPr="00A10684">
        <w:instrText xml:space="preserve"> REF _Ref204113359 \h </w:instrText>
      </w:r>
      <w:r w:rsidR="00A10684">
        <w:instrText xml:space="preserve"> \* MERGEFORMAT </w:instrText>
      </w:r>
      <w:r w:rsidRPr="00A10684">
        <w:fldChar w:fldCharType="separate"/>
      </w:r>
      <w:r w:rsidRPr="00A10684">
        <w:t>Table 52</w:t>
      </w:r>
      <w:r w:rsidRPr="00A10684">
        <w:fldChar w:fldCharType="end"/>
      </w:r>
      <w:r w:rsidRPr="00A10684">
        <w:t xml:space="preserve"> below outlines the list of stakeholders that were consulted as part of the review and their consultation status.</w:t>
      </w:r>
    </w:p>
    <w:p w14:paraId="161BA692" w14:textId="1856C617" w:rsidR="007A1D2F" w:rsidRDefault="007A1D2F" w:rsidP="007A1D2F">
      <w:pPr>
        <w:pStyle w:val="Caption"/>
      </w:pPr>
      <w:bookmarkStart w:id="223" w:name="_Ref204113359"/>
      <w:bookmarkStart w:id="224" w:name="_Toc207348617"/>
      <w:r>
        <w:t xml:space="preserve">Table </w:t>
      </w:r>
      <w:r w:rsidR="004F27F5">
        <w:fldChar w:fldCharType="begin"/>
      </w:r>
      <w:r w:rsidR="004F27F5">
        <w:instrText xml:space="preserve"> SEQ Table \* ARABIC </w:instrText>
      </w:r>
      <w:r w:rsidR="004F27F5">
        <w:fldChar w:fldCharType="separate"/>
      </w:r>
      <w:r w:rsidR="004F27F5">
        <w:rPr>
          <w:noProof/>
        </w:rPr>
        <w:t>52</w:t>
      </w:r>
      <w:r w:rsidR="004F27F5">
        <w:rPr>
          <w:noProof/>
        </w:rPr>
        <w:fldChar w:fldCharType="end"/>
      </w:r>
      <w:bookmarkEnd w:id="223"/>
      <w:r>
        <w:t>: List of stakeholders for consultation and consultation status</w:t>
      </w:r>
      <w:bookmarkEnd w:id="224"/>
      <w:r>
        <w:t xml:space="preserve"> </w:t>
      </w:r>
    </w:p>
    <w:tbl>
      <w:tblPr>
        <w:tblStyle w:val="KPMGTable"/>
        <w:tblW w:w="0" w:type="auto"/>
        <w:tblLook w:val="04A0" w:firstRow="1" w:lastRow="0" w:firstColumn="1" w:lastColumn="0" w:noHBand="0" w:noVBand="1"/>
      </w:tblPr>
      <w:tblGrid>
        <w:gridCol w:w="2833"/>
        <w:gridCol w:w="3963"/>
        <w:gridCol w:w="3398"/>
      </w:tblGrid>
      <w:tr w:rsidR="00677ED1" w:rsidRPr="008E77E9" w14:paraId="67AA0016" w14:textId="77777777" w:rsidTr="00C33FD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3" w:type="dxa"/>
          </w:tcPr>
          <w:p w14:paraId="3DD1E570" w14:textId="77777777" w:rsidR="007A1D2F" w:rsidRPr="008E77E9" w:rsidRDefault="007A1D2F" w:rsidP="00383EAE">
            <w:pPr>
              <w:pStyle w:val="TableHeading"/>
            </w:pPr>
            <w:r>
              <w:t>Stakeholder group</w:t>
            </w:r>
          </w:p>
        </w:tc>
        <w:tc>
          <w:tcPr>
            <w:tcW w:w="3963" w:type="dxa"/>
          </w:tcPr>
          <w:p w14:paraId="385BCE95" w14:textId="77777777" w:rsidR="007A1D2F" w:rsidRPr="008E77E9" w:rsidRDefault="007A1D2F" w:rsidP="00383EAE">
            <w:pPr>
              <w:pStyle w:val="TableHeading"/>
              <w:cnfStyle w:val="100000000000" w:firstRow="1" w:lastRow="0" w:firstColumn="0" w:lastColumn="0" w:oddVBand="0" w:evenVBand="0" w:oddHBand="0" w:evenHBand="0" w:firstRowFirstColumn="0" w:firstRowLastColumn="0" w:lastRowFirstColumn="0" w:lastRowLastColumn="0"/>
            </w:pPr>
            <w:r>
              <w:t>Organisation</w:t>
            </w:r>
          </w:p>
        </w:tc>
        <w:tc>
          <w:tcPr>
            <w:tcW w:w="3398" w:type="dxa"/>
          </w:tcPr>
          <w:p w14:paraId="3510FC40" w14:textId="77777777" w:rsidR="007A1D2F" w:rsidRDefault="007A1D2F" w:rsidP="00383EAE">
            <w:pPr>
              <w:pStyle w:val="TableHeading"/>
              <w:cnfStyle w:val="100000000000" w:firstRow="1" w:lastRow="0" w:firstColumn="0" w:lastColumn="0" w:oddVBand="0" w:evenVBand="0" w:oddHBand="0" w:evenHBand="0" w:firstRowFirstColumn="0" w:firstRowLastColumn="0" w:lastRowFirstColumn="0" w:lastRowLastColumn="0"/>
            </w:pPr>
            <w:r>
              <w:t>Comments</w:t>
            </w:r>
          </w:p>
        </w:tc>
      </w:tr>
      <w:tr w:rsidR="00677ED1" w:rsidRPr="00F56161" w14:paraId="0674B61C"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7FD227DA" w14:textId="77777777" w:rsidR="007A1D2F" w:rsidRPr="008E77E9" w:rsidRDefault="007A1D2F" w:rsidP="00383EAE">
            <w:pPr>
              <w:pStyle w:val="Tabletextbold"/>
              <w:rPr>
                <w:b/>
              </w:rPr>
            </w:pPr>
            <w:r>
              <w:rPr>
                <w:b/>
              </w:rPr>
              <w:t>Advocacy group / peak body</w:t>
            </w:r>
          </w:p>
        </w:tc>
        <w:tc>
          <w:tcPr>
            <w:tcW w:w="3963" w:type="dxa"/>
          </w:tcPr>
          <w:p w14:paraId="3C4FCA8F" w14:textId="77777777" w:rsidR="007A1D2F" w:rsidRPr="000D5A4E" w:rsidRDefault="007A1D2F" w:rsidP="00383EAE">
            <w:pPr>
              <w:pStyle w:val="TableText"/>
              <w:cnfStyle w:val="000000000000" w:firstRow="0" w:lastRow="0" w:firstColumn="0" w:lastColumn="0" w:oddVBand="0" w:evenVBand="0" w:oddHBand="0" w:evenHBand="0" w:firstRowFirstColumn="0" w:firstRowLastColumn="0" w:lastRowFirstColumn="0" w:lastRowLastColumn="0"/>
            </w:pPr>
            <w:r>
              <w:t xml:space="preserve">Cancer </w:t>
            </w:r>
            <w:r>
              <w:rPr>
                <w:szCs w:val="18"/>
              </w:rPr>
              <w:t xml:space="preserve">Council </w:t>
            </w:r>
            <w:r>
              <w:t>Australia</w:t>
            </w:r>
          </w:p>
        </w:tc>
        <w:tc>
          <w:tcPr>
            <w:tcW w:w="3398" w:type="dxa"/>
          </w:tcPr>
          <w:p w14:paraId="5C1AAD3C" w14:textId="3D64CC51" w:rsidR="007A1D2F" w:rsidRPr="00767AB0" w:rsidRDefault="007A1D2F" w:rsidP="00383EAE">
            <w:pPr>
              <w:pStyle w:val="TableText"/>
              <w:cnfStyle w:val="000000000000" w:firstRow="0" w:lastRow="0" w:firstColumn="0" w:lastColumn="0" w:oddVBand="0" w:evenVBand="0" w:oddHBand="0" w:evenHBand="0" w:firstRowFirstColumn="0" w:firstRowLastColumn="0" w:lastRowFirstColumn="0" w:lastRowLastColumn="0"/>
            </w:pPr>
            <w:r>
              <w:t>Interview conducted</w:t>
            </w:r>
          </w:p>
        </w:tc>
      </w:tr>
      <w:tr w:rsidR="00677ED1" w:rsidRPr="00F56161" w14:paraId="6A6782C8"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467B0572" w14:textId="1D419B1E" w:rsidR="007A1D2F" w:rsidRPr="00F56161" w:rsidRDefault="009A778F" w:rsidP="00383EAE">
            <w:pPr>
              <w:pStyle w:val="Tabletextbold"/>
            </w:pPr>
            <w:r w:rsidRPr="00407484">
              <w:rPr>
                <w:b/>
              </w:rPr>
              <w:t>Advocacy group / peak body</w:t>
            </w:r>
          </w:p>
        </w:tc>
        <w:tc>
          <w:tcPr>
            <w:tcW w:w="3963" w:type="dxa"/>
          </w:tcPr>
          <w:p w14:paraId="788CC5DF" w14:textId="0322B955" w:rsidR="007A1D2F" w:rsidRPr="00767AB0" w:rsidRDefault="002B526E" w:rsidP="00383EAE">
            <w:pPr>
              <w:pStyle w:val="TableText"/>
              <w:cnfStyle w:val="000000000000" w:firstRow="0" w:lastRow="0" w:firstColumn="0" w:lastColumn="0" w:oddVBand="0" w:evenVBand="0" w:oddHBand="0" w:evenHBand="0" w:firstRowFirstColumn="0" w:firstRowLastColumn="0" w:lastRowFirstColumn="0" w:lastRowLastColumn="0"/>
            </w:pPr>
            <w:r>
              <w:t xml:space="preserve">National Aboriginal Community Controlled Health Organisation </w:t>
            </w:r>
          </w:p>
        </w:tc>
        <w:tc>
          <w:tcPr>
            <w:tcW w:w="3398" w:type="dxa"/>
          </w:tcPr>
          <w:p w14:paraId="4B8FE596" w14:textId="153185D7" w:rsidR="007A1D2F" w:rsidRPr="00BC4491" w:rsidRDefault="007A1D2F" w:rsidP="00383EAE">
            <w:pPr>
              <w:pStyle w:val="TableText"/>
              <w:cnfStyle w:val="000000000000" w:firstRow="0" w:lastRow="0" w:firstColumn="0" w:lastColumn="0" w:oddVBand="0" w:evenVBand="0" w:oddHBand="0" w:evenHBand="0" w:firstRowFirstColumn="0" w:firstRowLastColumn="0" w:lastRowFirstColumn="0" w:lastRowLastColumn="0"/>
            </w:pPr>
            <w:r>
              <w:t>Interview conducted</w:t>
            </w:r>
          </w:p>
        </w:tc>
      </w:tr>
      <w:tr w:rsidR="00677ED1" w:rsidRPr="00F56161" w14:paraId="1140C18D"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201123F3" w14:textId="78E880FF" w:rsidR="007A1D2F" w:rsidRPr="00F56161" w:rsidRDefault="009A778F" w:rsidP="00383EAE">
            <w:pPr>
              <w:pStyle w:val="Tabletextbold"/>
            </w:pPr>
            <w:r w:rsidRPr="00407484">
              <w:rPr>
                <w:b/>
              </w:rPr>
              <w:t>Advocacy group / peak body</w:t>
            </w:r>
          </w:p>
        </w:tc>
        <w:tc>
          <w:tcPr>
            <w:tcW w:w="3963" w:type="dxa"/>
          </w:tcPr>
          <w:p w14:paraId="4C9CED54" w14:textId="77777777" w:rsidR="007A1D2F" w:rsidRPr="00767AB0" w:rsidRDefault="007A1D2F" w:rsidP="00383EAE">
            <w:pPr>
              <w:pStyle w:val="TableText"/>
              <w:cnfStyle w:val="000000000000" w:firstRow="0" w:lastRow="0" w:firstColumn="0" w:lastColumn="0" w:oddVBand="0" w:evenVBand="0" w:oddHBand="0" w:evenHBand="0" w:firstRowFirstColumn="0" w:firstRowLastColumn="0" w:lastRowFirstColumn="0" w:lastRowLastColumn="0"/>
            </w:pPr>
            <w:r>
              <w:rPr>
                <w:szCs w:val="18"/>
              </w:rPr>
              <w:t>Rare Cancer Australia</w:t>
            </w:r>
          </w:p>
        </w:tc>
        <w:tc>
          <w:tcPr>
            <w:tcW w:w="3398" w:type="dxa"/>
          </w:tcPr>
          <w:p w14:paraId="3B49975E" w14:textId="54037ED3" w:rsidR="007A1D2F" w:rsidRPr="00F56161" w:rsidRDefault="007A1D2F"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t>Interview conducted</w:t>
            </w:r>
          </w:p>
        </w:tc>
      </w:tr>
      <w:tr w:rsidR="00677ED1" w:rsidRPr="00F56161" w14:paraId="2E2CC732"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7D5E5A5D" w14:textId="0AA9BDB3" w:rsidR="007A1D2F" w:rsidRPr="00F56161" w:rsidRDefault="009A778F" w:rsidP="00383EAE">
            <w:pPr>
              <w:pStyle w:val="Tabletextbold"/>
            </w:pPr>
            <w:r w:rsidRPr="00407484">
              <w:rPr>
                <w:b/>
              </w:rPr>
              <w:t>Advocacy group / peak body</w:t>
            </w:r>
          </w:p>
        </w:tc>
        <w:tc>
          <w:tcPr>
            <w:tcW w:w="3963" w:type="dxa"/>
          </w:tcPr>
          <w:p w14:paraId="27BD904E" w14:textId="4E29DBBB" w:rsidR="007A1D2F" w:rsidRDefault="007A1D2F"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Head and Neck Australia</w:t>
            </w:r>
          </w:p>
        </w:tc>
        <w:tc>
          <w:tcPr>
            <w:tcW w:w="3398" w:type="dxa"/>
          </w:tcPr>
          <w:p w14:paraId="2E55D72E" w14:textId="341C99F1" w:rsidR="007A1D2F" w:rsidRDefault="007A1D2F" w:rsidP="00383EAE">
            <w:pPr>
              <w:pStyle w:val="TableText"/>
              <w:cnfStyle w:val="000000000000" w:firstRow="0" w:lastRow="0" w:firstColumn="0" w:lastColumn="0" w:oddVBand="0" w:evenVBand="0" w:oddHBand="0" w:evenHBand="0" w:firstRowFirstColumn="0" w:firstRowLastColumn="0" w:lastRowFirstColumn="0" w:lastRowLastColumn="0"/>
            </w:pPr>
            <w:r>
              <w:t>Interview conducted</w:t>
            </w:r>
          </w:p>
        </w:tc>
      </w:tr>
      <w:tr w:rsidR="00677ED1" w:rsidRPr="00F56161" w14:paraId="00400AD1"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36AB8868" w14:textId="2CDF2C0F" w:rsidR="007A1D2F" w:rsidRPr="00F56161" w:rsidRDefault="009A778F" w:rsidP="00383EAE">
            <w:pPr>
              <w:pStyle w:val="Tabletextbold"/>
            </w:pPr>
            <w:r w:rsidRPr="00407484">
              <w:rPr>
                <w:b/>
              </w:rPr>
              <w:t>Advocacy group / peak body</w:t>
            </w:r>
          </w:p>
        </w:tc>
        <w:tc>
          <w:tcPr>
            <w:tcW w:w="3963" w:type="dxa"/>
          </w:tcPr>
          <w:p w14:paraId="6D9CE076" w14:textId="3DEF6EC4" w:rsidR="007A1D2F" w:rsidRDefault="007A1D2F"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Limbs 4 Life</w:t>
            </w:r>
          </w:p>
        </w:tc>
        <w:tc>
          <w:tcPr>
            <w:tcW w:w="3398" w:type="dxa"/>
          </w:tcPr>
          <w:p w14:paraId="365BF12D" w14:textId="4AF83F48" w:rsidR="007A1D2F" w:rsidRDefault="007A1D2F" w:rsidP="00383EAE">
            <w:pPr>
              <w:pStyle w:val="TableText"/>
              <w:cnfStyle w:val="000000000000" w:firstRow="0" w:lastRow="0" w:firstColumn="0" w:lastColumn="0" w:oddVBand="0" w:evenVBand="0" w:oddHBand="0" w:evenHBand="0" w:firstRowFirstColumn="0" w:firstRowLastColumn="0" w:lastRowFirstColumn="0" w:lastRowLastColumn="0"/>
            </w:pPr>
            <w:r>
              <w:t>Interview conducted</w:t>
            </w:r>
          </w:p>
        </w:tc>
      </w:tr>
      <w:tr w:rsidR="00677ED1" w:rsidRPr="00F56161" w14:paraId="35C0CC42"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46A8C02B" w14:textId="08A9FF7D" w:rsidR="007A1D2F" w:rsidRPr="00F56161" w:rsidRDefault="009A778F" w:rsidP="00383EAE">
            <w:pPr>
              <w:pStyle w:val="Tabletextbold"/>
            </w:pPr>
            <w:r w:rsidRPr="00407484">
              <w:rPr>
                <w:b/>
              </w:rPr>
              <w:t>Advocacy group / peak body</w:t>
            </w:r>
          </w:p>
        </w:tc>
        <w:tc>
          <w:tcPr>
            <w:tcW w:w="3963" w:type="dxa"/>
          </w:tcPr>
          <w:p w14:paraId="52E10E62" w14:textId="0B77FDEA" w:rsidR="007A1D2F" w:rsidRDefault="007A1D2F"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The Australian Orthotic Prosthetic Association </w:t>
            </w:r>
          </w:p>
        </w:tc>
        <w:tc>
          <w:tcPr>
            <w:tcW w:w="3398" w:type="dxa"/>
          </w:tcPr>
          <w:p w14:paraId="1EF19A7F" w14:textId="1554B235" w:rsidR="007A1D2F" w:rsidRDefault="007A1D2F" w:rsidP="00383EAE">
            <w:pPr>
              <w:pStyle w:val="TableText"/>
              <w:cnfStyle w:val="000000000000" w:firstRow="0" w:lastRow="0" w:firstColumn="0" w:lastColumn="0" w:oddVBand="0" w:evenVBand="0" w:oddHBand="0" w:evenHBand="0" w:firstRowFirstColumn="0" w:firstRowLastColumn="0" w:lastRowFirstColumn="0" w:lastRowLastColumn="0"/>
            </w:pPr>
            <w:r>
              <w:t>Interview conducted</w:t>
            </w:r>
          </w:p>
        </w:tc>
      </w:tr>
      <w:tr w:rsidR="00677ED1" w:rsidRPr="00F56161" w14:paraId="63795755"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4B3403DE" w14:textId="7CBB0F2F" w:rsidR="00B6404C" w:rsidRPr="00F56161" w:rsidRDefault="009A778F" w:rsidP="00383EAE">
            <w:pPr>
              <w:pStyle w:val="Tabletextbold"/>
            </w:pPr>
            <w:r w:rsidRPr="00407484">
              <w:rPr>
                <w:b/>
              </w:rPr>
              <w:t>Advocacy group / peak body</w:t>
            </w:r>
          </w:p>
        </w:tc>
        <w:tc>
          <w:tcPr>
            <w:tcW w:w="3963" w:type="dxa"/>
          </w:tcPr>
          <w:p w14:paraId="25853963" w14:textId="4F24FC8B" w:rsidR="00B6404C" w:rsidRPr="00B6404C" w:rsidRDefault="00B6404C"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sidRPr="00B6404C">
              <w:rPr>
                <w:szCs w:val="18"/>
              </w:rPr>
              <w:t xml:space="preserve">The Australian and New Zealand Association of Oral and Maxillofacial Surgeons </w:t>
            </w:r>
          </w:p>
        </w:tc>
        <w:tc>
          <w:tcPr>
            <w:tcW w:w="3398" w:type="dxa"/>
          </w:tcPr>
          <w:p w14:paraId="02F7475C" w14:textId="0D28D3CF" w:rsidR="00B6404C" w:rsidRDefault="00B6404C" w:rsidP="00383EAE">
            <w:pPr>
              <w:pStyle w:val="TableText"/>
              <w:cnfStyle w:val="000000000000" w:firstRow="0" w:lastRow="0" w:firstColumn="0" w:lastColumn="0" w:oddVBand="0" w:evenVBand="0" w:oddHBand="0" w:evenHBand="0" w:firstRowFirstColumn="0" w:firstRowLastColumn="0" w:lastRowFirstColumn="0" w:lastRowLastColumn="0"/>
            </w:pPr>
            <w:r>
              <w:t>Interview conducted</w:t>
            </w:r>
          </w:p>
        </w:tc>
      </w:tr>
      <w:tr w:rsidR="00677ED1" w:rsidRPr="00F56161" w14:paraId="487AF245"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1D03252F" w14:textId="2F4287CB" w:rsidR="005A5263" w:rsidRPr="00F56161" w:rsidRDefault="009A778F" w:rsidP="00383EAE">
            <w:pPr>
              <w:pStyle w:val="Tabletextbold"/>
            </w:pPr>
            <w:r w:rsidRPr="00407484">
              <w:rPr>
                <w:b/>
              </w:rPr>
              <w:t>Advocacy group / peak body</w:t>
            </w:r>
          </w:p>
        </w:tc>
        <w:tc>
          <w:tcPr>
            <w:tcW w:w="3963" w:type="dxa"/>
          </w:tcPr>
          <w:p w14:paraId="1CB63074" w14:textId="276BDA3B" w:rsidR="005A5263" w:rsidRPr="00B6404C" w:rsidRDefault="005A5263"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Canteen</w:t>
            </w:r>
          </w:p>
        </w:tc>
        <w:tc>
          <w:tcPr>
            <w:tcW w:w="3398" w:type="dxa"/>
          </w:tcPr>
          <w:p w14:paraId="146D8458" w14:textId="4D6B4864" w:rsidR="005A5263" w:rsidRDefault="005A5263" w:rsidP="00383EAE">
            <w:pPr>
              <w:pStyle w:val="TableText"/>
              <w:cnfStyle w:val="000000000000" w:firstRow="0" w:lastRow="0" w:firstColumn="0" w:lastColumn="0" w:oddVBand="0" w:evenVBand="0" w:oddHBand="0" w:evenHBand="0" w:firstRowFirstColumn="0" w:firstRowLastColumn="0" w:lastRowFirstColumn="0" w:lastRowLastColumn="0"/>
            </w:pPr>
            <w:r>
              <w:t>Interview conducted</w:t>
            </w:r>
          </w:p>
        </w:tc>
      </w:tr>
      <w:tr w:rsidR="00677ED1" w:rsidRPr="00F56161" w14:paraId="0BC26AEC"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0DECEAC1" w14:textId="600F71BD" w:rsidR="005A5263" w:rsidRPr="00F56161" w:rsidRDefault="009A778F" w:rsidP="00383EAE">
            <w:pPr>
              <w:pStyle w:val="Tabletextbold"/>
            </w:pPr>
            <w:r w:rsidRPr="002B240D">
              <w:rPr>
                <w:b/>
              </w:rPr>
              <w:t>Advocacy group / peak body</w:t>
            </w:r>
          </w:p>
        </w:tc>
        <w:tc>
          <w:tcPr>
            <w:tcW w:w="3963" w:type="dxa"/>
          </w:tcPr>
          <w:p w14:paraId="54F6A350" w14:textId="6510C917" w:rsidR="005A5263" w:rsidRDefault="005A5263"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Prostate Cancer Foundation Australia</w:t>
            </w:r>
          </w:p>
        </w:tc>
        <w:tc>
          <w:tcPr>
            <w:tcW w:w="3398" w:type="dxa"/>
          </w:tcPr>
          <w:p w14:paraId="14E40C8E" w14:textId="014B5A0B" w:rsidR="005A5263" w:rsidRDefault="005A5263" w:rsidP="00383EAE">
            <w:pPr>
              <w:pStyle w:val="TableText"/>
              <w:cnfStyle w:val="000000000000" w:firstRow="0" w:lastRow="0" w:firstColumn="0" w:lastColumn="0" w:oddVBand="0" w:evenVBand="0" w:oddHBand="0" w:evenHBand="0" w:firstRowFirstColumn="0" w:firstRowLastColumn="0" w:lastRowFirstColumn="0" w:lastRowLastColumn="0"/>
            </w:pPr>
            <w:r>
              <w:t>Interview conducted</w:t>
            </w:r>
          </w:p>
        </w:tc>
      </w:tr>
      <w:tr w:rsidR="00677ED1" w:rsidRPr="00F56161" w14:paraId="3345151B"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6672CF6A" w14:textId="4B8B5812" w:rsidR="002B526E" w:rsidRPr="00F56161" w:rsidRDefault="009A778F" w:rsidP="00383EAE">
            <w:pPr>
              <w:pStyle w:val="Tabletextbold"/>
            </w:pPr>
            <w:r w:rsidRPr="002B240D">
              <w:rPr>
                <w:b/>
              </w:rPr>
              <w:t>Advocacy group / peak body</w:t>
            </w:r>
          </w:p>
        </w:tc>
        <w:tc>
          <w:tcPr>
            <w:tcW w:w="3963" w:type="dxa"/>
          </w:tcPr>
          <w:p w14:paraId="5D8BFE2E" w14:textId="39A15F55" w:rsidR="002B526E" w:rsidRDefault="002B526E"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Federation of Ethnic Communities Council of Australia </w:t>
            </w:r>
          </w:p>
        </w:tc>
        <w:tc>
          <w:tcPr>
            <w:tcW w:w="3398" w:type="dxa"/>
          </w:tcPr>
          <w:p w14:paraId="5EA32165" w14:textId="15F69C46" w:rsidR="002B526E" w:rsidRDefault="002B526E" w:rsidP="00383EAE">
            <w:pPr>
              <w:pStyle w:val="TableText"/>
              <w:cnfStyle w:val="000000000000" w:firstRow="0" w:lastRow="0" w:firstColumn="0" w:lastColumn="0" w:oddVBand="0" w:evenVBand="0" w:oddHBand="0" w:evenHBand="0" w:firstRowFirstColumn="0" w:firstRowLastColumn="0" w:lastRowFirstColumn="0" w:lastRowLastColumn="0"/>
            </w:pPr>
            <w:r>
              <w:t>Interview conducted</w:t>
            </w:r>
          </w:p>
        </w:tc>
      </w:tr>
      <w:tr w:rsidR="00677ED1" w:rsidRPr="00F56161" w14:paraId="22BBA05A"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62C2EB50" w14:textId="3BBE8068" w:rsidR="00A65F23" w:rsidRPr="00F56161" w:rsidRDefault="009A778F" w:rsidP="00383EAE">
            <w:pPr>
              <w:pStyle w:val="Tabletextbold"/>
            </w:pPr>
            <w:r w:rsidRPr="002B240D">
              <w:rPr>
                <w:b/>
              </w:rPr>
              <w:t>Advocacy group / peak body</w:t>
            </w:r>
          </w:p>
        </w:tc>
        <w:tc>
          <w:tcPr>
            <w:tcW w:w="3963" w:type="dxa"/>
          </w:tcPr>
          <w:p w14:paraId="6ACA35FA" w14:textId="252CEA71" w:rsidR="00A65F23" w:rsidRDefault="00A65F23"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Social Policy Group</w:t>
            </w:r>
          </w:p>
        </w:tc>
        <w:tc>
          <w:tcPr>
            <w:tcW w:w="3398" w:type="dxa"/>
          </w:tcPr>
          <w:p w14:paraId="6A859BEC" w14:textId="0CBAFE00" w:rsidR="00A65F23" w:rsidRDefault="00A65F23" w:rsidP="00383EAE">
            <w:pPr>
              <w:pStyle w:val="TableText"/>
              <w:cnfStyle w:val="000000000000" w:firstRow="0" w:lastRow="0" w:firstColumn="0" w:lastColumn="0" w:oddVBand="0" w:evenVBand="0" w:oddHBand="0" w:evenHBand="0" w:firstRowFirstColumn="0" w:firstRowLastColumn="0" w:lastRowFirstColumn="0" w:lastRowLastColumn="0"/>
            </w:pPr>
            <w:r>
              <w:t>Interview conducted</w:t>
            </w:r>
          </w:p>
        </w:tc>
      </w:tr>
      <w:tr w:rsidR="00677ED1" w:rsidRPr="00F56161" w14:paraId="3AAE0F60"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1E49C935" w14:textId="1650F5C4" w:rsidR="00B6404C" w:rsidRPr="00F56161" w:rsidRDefault="009A778F" w:rsidP="00383EAE">
            <w:pPr>
              <w:pStyle w:val="Tabletextbold"/>
            </w:pPr>
            <w:r w:rsidRPr="002B240D">
              <w:rPr>
                <w:b/>
              </w:rPr>
              <w:t>Advocacy group / peak body</w:t>
            </w:r>
          </w:p>
        </w:tc>
        <w:tc>
          <w:tcPr>
            <w:tcW w:w="3963" w:type="dxa"/>
          </w:tcPr>
          <w:p w14:paraId="0FB8B38C" w14:textId="6C64A7DE" w:rsidR="00B6404C" w:rsidRPr="00B6404C" w:rsidRDefault="00B6404C"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sidRPr="00B6404C">
              <w:rPr>
                <w:szCs w:val="18"/>
              </w:rPr>
              <w:t>Ethnic Communities Council Queensland</w:t>
            </w:r>
          </w:p>
        </w:tc>
        <w:tc>
          <w:tcPr>
            <w:tcW w:w="3398" w:type="dxa"/>
          </w:tcPr>
          <w:p w14:paraId="3BCCCBAA" w14:textId="49A9CEAC" w:rsidR="00B6404C" w:rsidRDefault="00B6404C" w:rsidP="00383EAE">
            <w:pPr>
              <w:pStyle w:val="TableText"/>
              <w:cnfStyle w:val="000000000000" w:firstRow="0" w:lastRow="0" w:firstColumn="0" w:lastColumn="0" w:oddVBand="0" w:evenVBand="0" w:oddHBand="0" w:evenHBand="0" w:firstRowFirstColumn="0" w:firstRowLastColumn="0" w:lastRowFirstColumn="0" w:lastRowLastColumn="0"/>
            </w:pPr>
            <w:r>
              <w:t xml:space="preserve">Written response received </w:t>
            </w:r>
          </w:p>
        </w:tc>
      </w:tr>
      <w:tr w:rsidR="00677ED1" w:rsidRPr="00F56161" w14:paraId="1B705D0D"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2E90D517" w14:textId="3AF12DD4" w:rsidR="005A5263" w:rsidRPr="00F56161" w:rsidRDefault="009A778F" w:rsidP="00383EAE">
            <w:pPr>
              <w:pStyle w:val="Tabletextbold"/>
            </w:pPr>
            <w:r w:rsidRPr="002B240D">
              <w:rPr>
                <w:b/>
              </w:rPr>
              <w:t>Advocacy group / peak body</w:t>
            </w:r>
          </w:p>
        </w:tc>
        <w:tc>
          <w:tcPr>
            <w:tcW w:w="3963" w:type="dxa"/>
          </w:tcPr>
          <w:p w14:paraId="054BA508" w14:textId="093B20B4" w:rsidR="005A5263" w:rsidRPr="00B6404C" w:rsidRDefault="005A5263"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Breast Cancer Network Australia</w:t>
            </w:r>
          </w:p>
        </w:tc>
        <w:tc>
          <w:tcPr>
            <w:tcW w:w="3398" w:type="dxa"/>
          </w:tcPr>
          <w:p w14:paraId="4206D6EF" w14:textId="131E634A" w:rsidR="005A5263" w:rsidRDefault="005A5263" w:rsidP="00383EAE">
            <w:pPr>
              <w:pStyle w:val="TableText"/>
              <w:cnfStyle w:val="000000000000" w:firstRow="0" w:lastRow="0" w:firstColumn="0" w:lastColumn="0" w:oddVBand="0" w:evenVBand="0" w:oddHBand="0" w:evenHBand="0" w:firstRowFirstColumn="0" w:firstRowLastColumn="0" w:lastRowFirstColumn="0" w:lastRowLastColumn="0"/>
            </w:pPr>
            <w:r>
              <w:t>Invitation declined</w:t>
            </w:r>
          </w:p>
        </w:tc>
      </w:tr>
      <w:tr w:rsidR="00677ED1" w:rsidRPr="00F56161" w14:paraId="0CD612B5"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7EF59D9D" w14:textId="5177FEBF" w:rsidR="00B6404C" w:rsidRPr="00F56161" w:rsidRDefault="009A778F" w:rsidP="00383EAE">
            <w:pPr>
              <w:pStyle w:val="Tabletextbold"/>
            </w:pPr>
            <w:r w:rsidRPr="002B240D">
              <w:rPr>
                <w:b/>
              </w:rPr>
              <w:t>Advocacy group / peak body</w:t>
            </w:r>
          </w:p>
        </w:tc>
        <w:tc>
          <w:tcPr>
            <w:tcW w:w="3963" w:type="dxa"/>
          </w:tcPr>
          <w:p w14:paraId="2FAC97BB" w14:textId="3F9D7D0B" w:rsidR="00B6404C" w:rsidRPr="00B6404C" w:rsidRDefault="001B7FEB"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sidRPr="001B7FEB">
              <w:rPr>
                <w:szCs w:val="18"/>
              </w:rPr>
              <w:t>Older Persons Advocacy Network</w:t>
            </w:r>
          </w:p>
        </w:tc>
        <w:tc>
          <w:tcPr>
            <w:tcW w:w="3398" w:type="dxa"/>
          </w:tcPr>
          <w:p w14:paraId="0B45B8FA" w14:textId="16975592" w:rsidR="00B6404C" w:rsidRDefault="005A5263" w:rsidP="00383EAE">
            <w:pPr>
              <w:pStyle w:val="TableText"/>
              <w:cnfStyle w:val="000000000000" w:firstRow="0" w:lastRow="0" w:firstColumn="0" w:lastColumn="0" w:oddVBand="0" w:evenVBand="0" w:oddHBand="0" w:evenHBand="0" w:firstRowFirstColumn="0" w:firstRowLastColumn="0" w:lastRowFirstColumn="0" w:lastRowLastColumn="0"/>
            </w:pPr>
            <w:r>
              <w:t>Invitation declined</w:t>
            </w:r>
          </w:p>
        </w:tc>
      </w:tr>
      <w:tr w:rsidR="00677ED1" w:rsidRPr="00F56161" w14:paraId="77720823"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39C52362" w14:textId="0374D256" w:rsidR="005A5263" w:rsidRPr="00F56161" w:rsidRDefault="009A778F" w:rsidP="00383EAE">
            <w:pPr>
              <w:pStyle w:val="Tabletextbold"/>
            </w:pPr>
            <w:r w:rsidRPr="002B240D">
              <w:rPr>
                <w:b/>
              </w:rPr>
              <w:t>Advocacy group / peak body</w:t>
            </w:r>
          </w:p>
        </w:tc>
        <w:tc>
          <w:tcPr>
            <w:tcW w:w="3963" w:type="dxa"/>
          </w:tcPr>
          <w:p w14:paraId="5AEB3B45" w14:textId="6FF87412" w:rsidR="005A5263" w:rsidRPr="001B7FEB" w:rsidRDefault="005A5263"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sidRPr="005A5263">
              <w:rPr>
                <w:szCs w:val="18"/>
              </w:rPr>
              <w:t>People with Disability Australia</w:t>
            </w:r>
          </w:p>
        </w:tc>
        <w:tc>
          <w:tcPr>
            <w:tcW w:w="3398" w:type="dxa"/>
          </w:tcPr>
          <w:p w14:paraId="0D4DA9A6" w14:textId="5514DF1D" w:rsidR="005A5263" w:rsidRDefault="005A5263" w:rsidP="00383EAE">
            <w:pPr>
              <w:pStyle w:val="TableText"/>
              <w:cnfStyle w:val="000000000000" w:firstRow="0" w:lastRow="0" w:firstColumn="0" w:lastColumn="0" w:oddVBand="0" w:evenVBand="0" w:oddHBand="0" w:evenHBand="0" w:firstRowFirstColumn="0" w:firstRowLastColumn="0" w:lastRowFirstColumn="0" w:lastRowLastColumn="0"/>
            </w:pPr>
            <w:r>
              <w:t>No response received</w:t>
            </w:r>
          </w:p>
        </w:tc>
      </w:tr>
      <w:tr w:rsidR="00677ED1" w:rsidRPr="00F56161" w14:paraId="17DD23D6"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59944CCB" w14:textId="33B5E4C4" w:rsidR="007A1D2F" w:rsidRPr="00F56161" w:rsidRDefault="009A778F" w:rsidP="00383EAE">
            <w:pPr>
              <w:pStyle w:val="Tabletextbold"/>
            </w:pPr>
            <w:r w:rsidRPr="002B240D">
              <w:rPr>
                <w:b/>
              </w:rPr>
              <w:t>Advocacy group / peak body</w:t>
            </w:r>
          </w:p>
        </w:tc>
        <w:tc>
          <w:tcPr>
            <w:tcW w:w="3963" w:type="dxa"/>
          </w:tcPr>
          <w:p w14:paraId="2952E017" w14:textId="26B087E1" w:rsidR="007A1D2F" w:rsidRDefault="00B6404C"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sidRPr="00B6404C">
              <w:rPr>
                <w:szCs w:val="18"/>
              </w:rPr>
              <w:t>Australasian Academy of Facial Plastic Surgeons</w:t>
            </w:r>
          </w:p>
        </w:tc>
        <w:tc>
          <w:tcPr>
            <w:tcW w:w="3398" w:type="dxa"/>
          </w:tcPr>
          <w:p w14:paraId="6B6B8BC0" w14:textId="6DC9B0BB" w:rsidR="007A1D2F" w:rsidRDefault="00B6404C" w:rsidP="00383EAE">
            <w:pPr>
              <w:pStyle w:val="TableText"/>
              <w:cnfStyle w:val="000000000000" w:firstRow="0" w:lastRow="0" w:firstColumn="0" w:lastColumn="0" w:oddVBand="0" w:evenVBand="0" w:oddHBand="0" w:evenHBand="0" w:firstRowFirstColumn="0" w:firstRowLastColumn="0" w:lastRowFirstColumn="0" w:lastRowLastColumn="0"/>
            </w:pPr>
            <w:r>
              <w:t>No response received</w:t>
            </w:r>
          </w:p>
        </w:tc>
      </w:tr>
      <w:tr w:rsidR="00677ED1" w:rsidRPr="00F56161" w14:paraId="619C4DFE"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6D579F63" w14:textId="6415FD88" w:rsidR="00B6404C" w:rsidRPr="00F56161" w:rsidRDefault="009A778F" w:rsidP="00383EAE">
            <w:pPr>
              <w:pStyle w:val="Tabletextbold"/>
            </w:pPr>
            <w:r w:rsidRPr="002B240D">
              <w:rPr>
                <w:b/>
              </w:rPr>
              <w:t>Advocacy group / peak body</w:t>
            </w:r>
          </w:p>
        </w:tc>
        <w:tc>
          <w:tcPr>
            <w:tcW w:w="3963" w:type="dxa"/>
          </w:tcPr>
          <w:p w14:paraId="558A8396" w14:textId="7AA031FD" w:rsidR="00B6404C" w:rsidRPr="00B6404C" w:rsidRDefault="00B6404C"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sidRPr="00B6404C">
              <w:rPr>
                <w:szCs w:val="18"/>
              </w:rPr>
              <w:t>Australian &amp; New Zealand Head and Neck Society</w:t>
            </w:r>
          </w:p>
        </w:tc>
        <w:tc>
          <w:tcPr>
            <w:tcW w:w="3398" w:type="dxa"/>
          </w:tcPr>
          <w:p w14:paraId="3DE6FD9D" w14:textId="7ABB07F0" w:rsidR="00B6404C" w:rsidRDefault="00B6404C" w:rsidP="00383EAE">
            <w:pPr>
              <w:pStyle w:val="TableText"/>
              <w:cnfStyle w:val="000000000000" w:firstRow="0" w:lastRow="0" w:firstColumn="0" w:lastColumn="0" w:oddVBand="0" w:evenVBand="0" w:oddHBand="0" w:evenHBand="0" w:firstRowFirstColumn="0" w:firstRowLastColumn="0" w:lastRowFirstColumn="0" w:lastRowLastColumn="0"/>
            </w:pPr>
            <w:r>
              <w:t>No response received</w:t>
            </w:r>
          </w:p>
        </w:tc>
      </w:tr>
      <w:tr w:rsidR="00677ED1" w:rsidRPr="00F56161" w14:paraId="53C155B2"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10276B16" w14:textId="3AAC2B70" w:rsidR="00B6404C" w:rsidRPr="00F56161" w:rsidRDefault="009A778F" w:rsidP="00383EAE">
            <w:pPr>
              <w:pStyle w:val="Tabletextbold"/>
            </w:pPr>
            <w:r w:rsidRPr="002B240D">
              <w:rPr>
                <w:b/>
              </w:rPr>
              <w:t>Advocacy group / peak body</w:t>
            </w:r>
          </w:p>
        </w:tc>
        <w:tc>
          <w:tcPr>
            <w:tcW w:w="3963" w:type="dxa"/>
          </w:tcPr>
          <w:p w14:paraId="5343EE80" w14:textId="6BE361F7" w:rsidR="00B6404C" w:rsidRPr="00B6404C" w:rsidRDefault="00B6404C"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sidRPr="00B6404C">
              <w:rPr>
                <w:szCs w:val="18"/>
              </w:rPr>
              <w:t>Ethnic Communities Council Western Australia</w:t>
            </w:r>
          </w:p>
        </w:tc>
        <w:tc>
          <w:tcPr>
            <w:tcW w:w="3398" w:type="dxa"/>
          </w:tcPr>
          <w:p w14:paraId="70219796" w14:textId="69DB1059" w:rsidR="00B6404C" w:rsidRDefault="00B6404C" w:rsidP="00383EAE">
            <w:pPr>
              <w:pStyle w:val="TableText"/>
              <w:cnfStyle w:val="000000000000" w:firstRow="0" w:lastRow="0" w:firstColumn="0" w:lastColumn="0" w:oddVBand="0" w:evenVBand="0" w:oddHBand="0" w:evenHBand="0" w:firstRowFirstColumn="0" w:firstRowLastColumn="0" w:lastRowFirstColumn="0" w:lastRowLastColumn="0"/>
            </w:pPr>
            <w:r>
              <w:t>No response received</w:t>
            </w:r>
          </w:p>
        </w:tc>
      </w:tr>
      <w:tr w:rsidR="00677ED1" w:rsidRPr="00F56161" w14:paraId="1ADEB1A1"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7C4DEDE0" w14:textId="7A0B4A24" w:rsidR="007A1D2F" w:rsidRPr="00F56161" w:rsidRDefault="009A778F" w:rsidP="00383EAE">
            <w:pPr>
              <w:pStyle w:val="Tabletextbold"/>
            </w:pPr>
            <w:r w:rsidRPr="002B240D">
              <w:rPr>
                <w:b/>
              </w:rPr>
              <w:t>Advocacy group / peak body</w:t>
            </w:r>
          </w:p>
        </w:tc>
        <w:tc>
          <w:tcPr>
            <w:tcW w:w="3963" w:type="dxa"/>
          </w:tcPr>
          <w:p w14:paraId="54AB984B" w14:textId="2BCE4327" w:rsidR="007A1D2F" w:rsidRDefault="00B6404C"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sidRPr="00B6404C">
              <w:rPr>
                <w:szCs w:val="18"/>
              </w:rPr>
              <w:t>Australian &amp; New Zealand Head and Neck Society</w:t>
            </w:r>
          </w:p>
        </w:tc>
        <w:tc>
          <w:tcPr>
            <w:tcW w:w="3398" w:type="dxa"/>
          </w:tcPr>
          <w:p w14:paraId="55FE6111" w14:textId="4D265479" w:rsidR="007A1D2F" w:rsidRPr="00F56161" w:rsidRDefault="00B6404C"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t xml:space="preserve">No response </w:t>
            </w:r>
            <w:r w:rsidR="005A5263">
              <w:t>received</w:t>
            </w:r>
          </w:p>
        </w:tc>
      </w:tr>
      <w:tr w:rsidR="00677ED1" w:rsidRPr="00F56161" w14:paraId="72B20DEA"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6C5128E7" w14:textId="29A5FF9D" w:rsidR="007A1D2F" w:rsidRPr="00C042E7" w:rsidRDefault="005A5263" w:rsidP="00383EAE">
            <w:pPr>
              <w:pStyle w:val="Tabletextbold"/>
              <w:rPr>
                <w:b/>
              </w:rPr>
            </w:pPr>
            <w:r>
              <w:rPr>
                <w:b/>
              </w:rPr>
              <w:t>Clinicians</w:t>
            </w:r>
          </w:p>
        </w:tc>
        <w:tc>
          <w:tcPr>
            <w:tcW w:w="3963" w:type="dxa"/>
          </w:tcPr>
          <w:p w14:paraId="009B27B3" w14:textId="2B32141D" w:rsidR="007A1D2F" w:rsidRDefault="005A5263"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Fiona Stanley Hospital</w:t>
            </w:r>
          </w:p>
        </w:tc>
        <w:tc>
          <w:tcPr>
            <w:tcW w:w="3398" w:type="dxa"/>
          </w:tcPr>
          <w:p w14:paraId="5B4EA237" w14:textId="2E9549AD" w:rsidR="007A1D2F" w:rsidRPr="00F56161" w:rsidRDefault="005A5263"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t>Interview conducte</w:t>
            </w:r>
            <w:r w:rsidR="007B59BE">
              <w:t>d</w:t>
            </w:r>
          </w:p>
        </w:tc>
      </w:tr>
      <w:tr w:rsidR="00677ED1" w:rsidRPr="00F56161" w14:paraId="1BD5125F"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4BC9E495" w14:textId="61871F24" w:rsidR="005A5263" w:rsidRDefault="009A778F" w:rsidP="00383EAE">
            <w:pPr>
              <w:pStyle w:val="Tabletextbold"/>
              <w:rPr>
                <w:b/>
              </w:rPr>
            </w:pPr>
            <w:r w:rsidRPr="00141DE5">
              <w:rPr>
                <w:b/>
              </w:rPr>
              <w:t>Clinicians</w:t>
            </w:r>
          </w:p>
        </w:tc>
        <w:tc>
          <w:tcPr>
            <w:tcW w:w="3963" w:type="dxa"/>
          </w:tcPr>
          <w:p w14:paraId="1B52F888" w14:textId="3D93B493" w:rsidR="005A5263" w:rsidRDefault="007B59BE"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Cancer Network WA</w:t>
            </w:r>
          </w:p>
        </w:tc>
        <w:tc>
          <w:tcPr>
            <w:tcW w:w="3398" w:type="dxa"/>
          </w:tcPr>
          <w:p w14:paraId="5915290F" w14:textId="12D0E0CB" w:rsidR="005A5263" w:rsidRDefault="00AD0470" w:rsidP="00383EAE">
            <w:pPr>
              <w:pStyle w:val="TableText"/>
              <w:cnfStyle w:val="000000000000" w:firstRow="0" w:lastRow="0" w:firstColumn="0" w:lastColumn="0" w:oddVBand="0" w:evenVBand="0" w:oddHBand="0" w:evenHBand="0" w:firstRowFirstColumn="0" w:firstRowLastColumn="0" w:lastRowFirstColumn="0" w:lastRowLastColumn="0"/>
            </w:pPr>
            <w:r w:rsidRPr="001E64BA">
              <w:t>Interview conducted</w:t>
            </w:r>
          </w:p>
        </w:tc>
      </w:tr>
      <w:tr w:rsidR="00677ED1" w:rsidRPr="00F56161" w14:paraId="704AE6F1"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5A292600" w14:textId="17C28391" w:rsidR="005A5263" w:rsidRDefault="009A778F" w:rsidP="00383EAE">
            <w:pPr>
              <w:pStyle w:val="Tabletextbold"/>
              <w:rPr>
                <w:b/>
              </w:rPr>
            </w:pPr>
            <w:r w:rsidRPr="00141DE5">
              <w:rPr>
                <w:b/>
              </w:rPr>
              <w:t>Clinicians</w:t>
            </w:r>
          </w:p>
        </w:tc>
        <w:tc>
          <w:tcPr>
            <w:tcW w:w="3963" w:type="dxa"/>
          </w:tcPr>
          <w:p w14:paraId="77A3C26F" w14:textId="031547F2" w:rsidR="005A5263" w:rsidRDefault="007B59BE"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Royal Melbourne</w:t>
            </w:r>
            <w:r w:rsidR="00DF0670">
              <w:rPr>
                <w:szCs w:val="18"/>
              </w:rPr>
              <w:t xml:space="preserve"> Hospital</w:t>
            </w:r>
          </w:p>
        </w:tc>
        <w:tc>
          <w:tcPr>
            <w:tcW w:w="3398" w:type="dxa"/>
          </w:tcPr>
          <w:p w14:paraId="606726DD" w14:textId="724C7853" w:rsidR="005A5263" w:rsidRDefault="00AD0470" w:rsidP="00383EAE">
            <w:pPr>
              <w:pStyle w:val="TableText"/>
              <w:cnfStyle w:val="000000000000" w:firstRow="0" w:lastRow="0" w:firstColumn="0" w:lastColumn="0" w:oddVBand="0" w:evenVBand="0" w:oddHBand="0" w:evenHBand="0" w:firstRowFirstColumn="0" w:firstRowLastColumn="0" w:lastRowFirstColumn="0" w:lastRowLastColumn="0"/>
            </w:pPr>
            <w:r w:rsidRPr="001E64BA">
              <w:t>Interview conducted</w:t>
            </w:r>
          </w:p>
        </w:tc>
      </w:tr>
      <w:tr w:rsidR="00677ED1" w:rsidRPr="00F56161" w14:paraId="18B6EF4E"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3E038DFD" w14:textId="1C3E2333" w:rsidR="00DF0670" w:rsidRDefault="009A778F" w:rsidP="00383EAE">
            <w:pPr>
              <w:pStyle w:val="Tabletextbold"/>
              <w:rPr>
                <w:b/>
              </w:rPr>
            </w:pPr>
            <w:r w:rsidRPr="00141DE5">
              <w:rPr>
                <w:b/>
              </w:rPr>
              <w:t>Clinicians</w:t>
            </w:r>
          </w:p>
        </w:tc>
        <w:tc>
          <w:tcPr>
            <w:tcW w:w="3963" w:type="dxa"/>
          </w:tcPr>
          <w:p w14:paraId="296B0691" w14:textId="5276CD1B" w:rsidR="00DF0670" w:rsidRDefault="00DF0670"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Royal Brisbane Hospital</w:t>
            </w:r>
          </w:p>
        </w:tc>
        <w:tc>
          <w:tcPr>
            <w:tcW w:w="3398" w:type="dxa"/>
          </w:tcPr>
          <w:p w14:paraId="09E7B27C" w14:textId="6CF216B9" w:rsidR="00DF0670" w:rsidRPr="001E64BA" w:rsidRDefault="00DF0670" w:rsidP="00383EAE">
            <w:pPr>
              <w:pStyle w:val="TableText"/>
              <w:cnfStyle w:val="000000000000" w:firstRow="0" w:lastRow="0" w:firstColumn="0" w:lastColumn="0" w:oddVBand="0" w:evenVBand="0" w:oddHBand="0" w:evenHBand="0" w:firstRowFirstColumn="0" w:firstRowLastColumn="0" w:lastRowFirstColumn="0" w:lastRowLastColumn="0"/>
            </w:pPr>
            <w:r w:rsidRPr="00BA7164">
              <w:t>Interview conducte</w:t>
            </w:r>
            <w:r>
              <w:t>d</w:t>
            </w:r>
          </w:p>
        </w:tc>
      </w:tr>
      <w:tr w:rsidR="00677ED1" w:rsidRPr="00F56161" w14:paraId="40082A5A"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0E476A72" w14:textId="16D926FC" w:rsidR="005A5263" w:rsidRDefault="009A778F" w:rsidP="00383EAE">
            <w:pPr>
              <w:pStyle w:val="Tabletextbold"/>
              <w:rPr>
                <w:b/>
              </w:rPr>
            </w:pPr>
            <w:r w:rsidRPr="00141DE5">
              <w:rPr>
                <w:b/>
              </w:rPr>
              <w:t>Clinicians</w:t>
            </w:r>
          </w:p>
        </w:tc>
        <w:tc>
          <w:tcPr>
            <w:tcW w:w="3963" w:type="dxa"/>
          </w:tcPr>
          <w:p w14:paraId="64CB59A6" w14:textId="66826AC8" w:rsidR="005A5263" w:rsidRDefault="007B59BE"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Prosthetic Art Technology</w:t>
            </w:r>
          </w:p>
        </w:tc>
        <w:tc>
          <w:tcPr>
            <w:tcW w:w="3398" w:type="dxa"/>
          </w:tcPr>
          <w:p w14:paraId="683B2505" w14:textId="18D973C6" w:rsidR="005A5263" w:rsidRDefault="00AD0470" w:rsidP="00383EAE">
            <w:pPr>
              <w:pStyle w:val="TableText"/>
              <w:cnfStyle w:val="000000000000" w:firstRow="0" w:lastRow="0" w:firstColumn="0" w:lastColumn="0" w:oddVBand="0" w:evenVBand="0" w:oddHBand="0" w:evenHBand="0" w:firstRowFirstColumn="0" w:firstRowLastColumn="0" w:lastRowFirstColumn="0" w:lastRowLastColumn="0"/>
            </w:pPr>
            <w:r w:rsidRPr="001E64BA">
              <w:t xml:space="preserve">Interview </w:t>
            </w:r>
            <w:r w:rsidR="00DF0670" w:rsidRPr="00BA7164">
              <w:t>conducte</w:t>
            </w:r>
            <w:r w:rsidR="0097525E">
              <w:t>d</w:t>
            </w:r>
          </w:p>
        </w:tc>
      </w:tr>
      <w:tr w:rsidR="00677ED1" w:rsidRPr="00F56161" w14:paraId="4A5F39A0"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7FF27703" w14:textId="23B941A7" w:rsidR="005A5263" w:rsidRDefault="009A778F" w:rsidP="00383EAE">
            <w:pPr>
              <w:pStyle w:val="Tabletextbold"/>
              <w:rPr>
                <w:b/>
              </w:rPr>
            </w:pPr>
            <w:r w:rsidRPr="00141DE5">
              <w:rPr>
                <w:b/>
              </w:rPr>
              <w:t>Clinicians</w:t>
            </w:r>
          </w:p>
        </w:tc>
        <w:tc>
          <w:tcPr>
            <w:tcW w:w="3963" w:type="dxa"/>
          </w:tcPr>
          <w:p w14:paraId="13CC9FE9" w14:textId="68FD5DCD" w:rsidR="005A5263" w:rsidRDefault="007B59BE"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Wollongong Public Hospital</w:t>
            </w:r>
          </w:p>
        </w:tc>
        <w:tc>
          <w:tcPr>
            <w:tcW w:w="3398" w:type="dxa"/>
          </w:tcPr>
          <w:p w14:paraId="2C1F5DD3" w14:textId="693B2727" w:rsidR="005A5263" w:rsidRDefault="00AD0470" w:rsidP="00383EAE">
            <w:pPr>
              <w:pStyle w:val="TableText"/>
              <w:cnfStyle w:val="000000000000" w:firstRow="0" w:lastRow="0" w:firstColumn="0" w:lastColumn="0" w:oddVBand="0" w:evenVBand="0" w:oddHBand="0" w:evenHBand="0" w:firstRowFirstColumn="0" w:firstRowLastColumn="0" w:lastRowFirstColumn="0" w:lastRowLastColumn="0"/>
            </w:pPr>
            <w:r w:rsidRPr="001E64BA">
              <w:t xml:space="preserve">Interview </w:t>
            </w:r>
            <w:r w:rsidR="00DF0670" w:rsidRPr="00BA7164">
              <w:t>conducte</w:t>
            </w:r>
            <w:r w:rsidR="0097525E">
              <w:t>d</w:t>
            </w:r>
          </w:p>
        </w:tc>
      </w:tr>
      <w:tr w:rsidR="00677ED1" w:rsidRPr="00F56161" w14:paraId="7C8881D0"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323A22D2" w14:textId="15186EAD" w:rsidR="005A5263" w:rsidRDefault="009A778F" w:rsidP="00383EAE">
            <w:pPr>
              <w:pStyle w:val="Tabletextbold"/>
              <w:rPr>
                <w:b/>
              </w:rPr>
            </w:pPr>
            <w:r w:rsidRPr="00141DE5">
              <w:rPr>
                <w:b/>
              </w:rPr>
              <w:t>Clinicians</w:t>
            </w:r>
          </w:p>
        </w:tc>
        <w:tc>
          <w:tcPr>
            <w:tcW w:w="3963" w:type="dxa"/>
          </w:tcPr>
          <w:p w14:paraId="7B56AD79" w14:textId="1662B0AC" w:rsidR="005A5263" w:rsidRDefault="007B59BE"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Chris O’Brien </w:t>
            </w:r>
            <w:r w:rsidR="00AD0470">
              <w:rPr>
                <w:szCs w:val="18"/>
              </w:rPr>
              <w:t>Life house</w:t>
            </w:r>
          </w:p>
        </w:tc>
        <w:tc>
          <w:tcPr>
            <w:tcW w:w="3398" w:type="dxa"/>
          </w:tcPr>
          <w:p w14:paraId="4749FD55" w14:textId="1D59F42A" w:rsidR="005A5263" w:rsidRDefault="00AD0470" w:rsidP="00383EAE">
            <w:pPr>
              <w:pStyle w:val="TableText"/>
              <w:cnfStyle w:val="000000000000" w:firstRow="0" w:lastRow="0" w:firstColumn="0" w:lastColumn="0" w:oddVBand="0" w:evenVBand="0" w:oddHBand="0" w:evenHBand="0" w:firstRowFirstColumn="0" w:firstRowLastColumn="0" w:lastRowFirstColumn="0" w:lastRowLastColumn="0"/>
            </w:pPr>
            <w:r w:rsidRPr="001E64BA">
              <w:t xml:space="preserve">Interview </w:t>
            </w:r>
            <w:r w:rsidR="00DF0670" w:rsidRPr="00BA7164">
              <w:t>conducte</w:t>
            </w:r>
            <w:r w:rsidR="0097525E">
              <w:t>d</w:t>
            </w:r>
          </w:p>
        </w:tc>
      </w:tr>
      <w:tr w:rsidR="00677ED1" w:rsidRPr="00F56161" w14:paraId="30CBA6DE"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27B5D4F7" w14:textId="655A8F81" w:rsidR="00AD0470" w:rsidRDefault="009A778F" w:rsidP="00383EAE">
            <w:pPr>
              <w:pStyle w:val="Tabletextbold"/>
              <w:rPr>
                <w:b/>
              </w:rPr>
            </w:pPr>
            <w:r w:rsidRPr="00141DE5">
              <w:rPr>
                <w:b/>
              </w:rPr>
              <w:t>Clinicians</w:t>
            </w:r>
          </w:p>
        </w:tc>
        <w:tc>
          <w:tcPr>
            <w:tcW w:w="3963" w:type="dxa"/>
          </w:tcPr>
          <w:p w14:paraId="05B7E2B3" w14:textId="452E15C1" w:rsidR="00AD0470" w:rsidRDefault="00AD0470"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Peter Mac Cancer Centre </w:t>
            </w:r>
          </w:p>
        </w:tc>
        <w:tc>
          <w:tcPr>
            <w:tcW w:w="3398" w:type="dxa"/>
          </w:tcPr>
          <w:p w14:paraId="7A808DC5" w14:textId="1EF89F70" w:rsidR="00AD0470" w:rsidRDefault="00AD0470" w:rsidP="00383EAE">
            <w:pPr>
              <w:pStyle w:val="TableText"/>
              <w:cnfStyle w:val="000000000000" w:firstRow="0" w:lastRow="0" w:firstColumn="0" w:lastColumn="0" w:oddVBand="0" w:evenVBand="0" w:oddHBand="0" w:evenHBand="0" w:firstRowFirstColumn="0" w:firstRowLastColumn="0" w:lastRowFirstColumn="0" w:lastRowLastColumn="0"/>
            </w:pPr>
            <w:r w:rsidRPr="001E64BA">
              <w:t xml:space="preserve">Interview </w:t>
            </w:r>
            <w:r w:rsidR="00DF0670" w:rsidRPr="00BA7164">
              <w:t>conducte</w:t>
            </w:r>
            <w:r w:rsidR="0097525E">
              <w:t>d</w:t>
            </w:r>
          </w:p>
        </w:tc>
      </w:tr>
      <w:tr w:rsidR="00677ED1" w:rsidRPr="00F56161" w14:paraId="275ED19B"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22F77979" w14:textId="5E402B97" w:rsidR="00DF0670" w:rsidRDefault="009A778F" w:rsidP="00383EAE">
            <w:pPr>
              <w:pStyle w:val="Tabletextbold"/>
              <w:rPr>
                <w:b/>
              </w:rPr>
            </w:pPr>
            <w:r w:rsidRPr="00141DE5">
              <w:rPr>
                <w:b/>
              </w:rPr>
              <w:t>Clinicians</w:t>
            </w:r>
          </w:p>
        </w:tc>
        <w:tc>
          <w:tcPr>
            <w:tcW w:w="3963" w:type="dxa"/>
          </w:tcPr>
          <w:p w14:paraId="0AFBCB69" w14:textId="3518101D" w:rsidR="00DF0670" w:rsidRDefault="00DF0670"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Adelaide Dental Hospital </w:t>
            </w:r>
          </w:p>
        </w:tc>
        <w:tc>
          <w:tcPr>
            <w:tcW w:w="3398" w:type="dxa"/>
          </w:tcPr>
          <w:p w14:paraId="78B73450" w14:textId="1E5EA774" w:rsidR="00DF0670" w:rsidRPr="001E64BA" w:rsidRDefault="00DF0670" w:rsidP="00383EAE">
            <w:pPr>
              <w:pStyle w:val="TableText"/>
              <w:cnfStyle w:val="000000000000" w:firstRow="0" w:lastRow="0" w:firstColumn="0" w:lastColumn="0" w:oddVBand="0" w:evenVBand="0" w:oddHBand="0" w:evenHBand="0" w:firstRowFirstColumn="0" w:firstRowLastColumn="0" w:lastRowFirstColumn="0" w:lastRowLastColumn="0"/>
            </w:pPr>
            <w:r w:rsidRPr="00BA7164">
              <w:t>Interview conducte</w:t>
            </w:r>
            <w:r>
              <w:t>d</w:t>
            </w:r>
          </w:p>
        </w:tc>
      </w:tr>
      <w:tr w:rsidR="00677ED1" w:rsidRPr="00F56161" w14:paraId="61CE3854"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6B5CE2C4" w14:textId="5ED536FD" w:rsidR="00F0277F" w:rsidRDefault="009A778F" w:rsidP="00383EAE">
            <w:pPr>
              <w:pStyle w:val="Tabletextbold"/>
              <w:rPr>
                <w:b/>
              </w:rPr>
            </w:pPr>
            <w:r w:rsidRPr="00141DE5">
              <w:rPr>
                <w:b/>
              </w:rPr>
              <w:t>Clinicians</w:t>
            </w:r>
          </w:p>
        </w:tc>
        <w:tc>
          <w:tcPr>
            <w:tcW w:w="3963" w:type="dxa"/>
          </w:tcPr>
          <w:p w14:paraId="65746852" w14:textId="3596C7AE" w:rsidR="00F0277F" w:rsidRDefault="00F0277F"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Flinders Medical Centre</w:t>
            </w:r>
          </w:p>
        </w:tc>
        <w:tc>
          <w:tcPr>
            <w:tcW w:w="3398" w:type="dxa"/>
          </w:tcPr>
          <w:p w14:paraId="3DD2FA04" w14:textId="4E9258EE" w:rsidR="00F0277F" w:rsidRPr="00BA7164" w:rsidRDefault="00F0277F" w:rsidP="00383EAE">
            <w:pPr>
              <w:pStyle w:val="TableText"/>
              <w:cnfStyle w:val="000000000000" w:firstRow="0" w:lastRow="0" w:firstColumn="0" w:lastColumn="0" w:oddVBand="0" w:evenVBand="0" w:oddHBand="0" w:evenHBand="0" w:firstRowFirstColumn="0" w:firstRowLastColumn="0" w:lastRowFirstColumn="0" w:lastRowLastColumn="0"/>
            </w:pPr>
            <w:r w:rsidRPr="00BA7164">
              <w:t>Interview conducte</w:t>
            </w:r>
            <w:r>
              <w:t>d</w:t>
            </w:r>
          </w:p>
        </w:tc>
      </w:tr>
      <w:tr w:rsidR="00677ED1" w:rsidRPr="00F56161" w14:paraId="217D2419"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611FF1D2" w14:textId="34AB80C5" w:rsidR="00AD0470" w:rsidRDefault="009A778F" w:rsidP="00383EAE">
            <w:pPr>
              <w:pStyle w:val="Tabletextbold"/>
              <w:rPr>
                <w:b/>
              </w:rPr>
            </w:pPr>
            <w:r w:rsidRPr="00141DE5">
              <w:rPr>
                <w:b/>
              </w:rPr>
              <w:t>Clinicians</w:t>
            </w:r>
          </w:p>
        </w:tc>
        <w:tc>
          <w:tcPr>
            <w:tcW w:w="3963" w:type="dxa"/>
          </w:tcPr>
          <w:p w14:paraId="218CDE3B" w14:textId="2C3D415E" w:rsidR="00AD0470" w:rsidRDefault="00AD0470"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The University of Sydney</w:t>
            </w:r>
          </w:p>
        </w:tc>
        <w:tc>
          <w:tcPr>
            <w:tcW w:w="3398" w:type="dxa"/>
          </w:tcPr>
          <w:p w14:paraId="34364837" w14:textId="3D7B778D" w:rsidR="00AD0470" w:rsidRDefault="00AD0470" w:rsidP="00383EAE">
            <w:pPr>
              <w:pStyle w:val="TableText"/>
              <w:cnfStyle w:val="000000000000" w:firstRow="0" w:lastRow="0" w:firstColumn="0" w:lastColumn="0" w:oddVBand="0" w:evenVBand="0" w:oddHBand="0" w:evenHBand="0" w:firstRowFirstColumn="0" w:firstRowLastColumn="0" w:lastRowFirstColumn="0" w:lastRowLastColumn="0"/>
            </w:pPr>
            <w:r w:rsidRPr="001E64BA">
              <w:t>Interview conducted</w:t>
            </w:r>
          </w:p>
        </w:tc>
      </w:tr>
      <w:tr w:rsidR="00677ED1" w:rsidRPr="00F56161" w14:paraId="54D8EA7D"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5B0BA0C3" w14:textId="3277DEE2" w:rsidR="00AD0470" w:rsidRDefault="009A778F" w:rsidP="00383EAE">
            <w:pPr>
              <w:pStyle w:val="Tabletextbold"/>
              <w:rPr>
                <w:b/>
              </w:rPr>
            </w:pPr>
            <w:r w:rsidRPr="00141DE5">
              <w:rPr>
                <w:b/>
              </w:rPr>
              <w:t>Clinicians</w:t>
            </w:r>
          </w:p>
        </w:tc>
        <w:tc>
          <w:tcPr>
            <w:tcW w:w="3963" w:type="dxa"/>
          </w:tcPr>
          <w:p w14:paraId="68234EC6" w14:textId="1D64BB55" w:rsidR="00AD0470" w:rsidRDefault="00AD0470"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McGrath Foundation</w:t>
            </w:r>
          </w:p>
        </w:tc>
        <w:tc>
          <w:tcPr>
            <w:tcW w:w="3398" w:type="dxa"/>
          </w:tcPr>
          <w:p w14:paraId="2D91FE63" w14:textId="44A61F6F" w:rsidR="00AD0470" w:rsidRDefault="00AD0470" w:rsidP="00383EAE">
            <w:pPr>
              <w:pStyle w:val="TableText"/>
              <w:cnfStyle w:val="000000000000" w:firstRow="0" w:lastRow="0" w:firstColumn="0" w:lastColumn="0" w:oddVBand="0" w:evenVBand="0" w:oddHBand="0" w:evenHBand="0" w:firstRowFirstColumn="0" w:firstRowLastColumn="0" w:lastRowFirstColumn="0" w:lastRowLastColumn="0"/>
            </w:pPr>
            <w:r w:rsidRPr="001E64BA">
              <w:t>Interview conducted</w:t>
            </w:r>
          </w:p>
        </w:tc>
      </w:tr>
      <w:tr w:rsidR="00677ED1" w:rsidRPr="00F56161" w14:paraId="4A6D3330"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383BD529" w14:textId="3BAE4B5C" w:rsidR="00AD0470" w:rsidRDefault="009A778F" w:rsidP="00383EAE">
            <w:pPr>
              <w:pStyle w:val="Tabletextbold"/>
              <w:rPr>
                <w:b/>
              </w:rPr>
            </w:pPr>
            <w:r w:rsidRPr="00141DE5">
              <w:rPr>
                <w:b/>
              </w:rPr>
              <w:t>Clinicians</w:t>
            </w:r>
          </w:p>
        </w:tc>
        <w:tc>
          <w:tcPr>
            <w:tcW w:w="3963" w:type="dxa"/>
          </w:tcPr>
          <w:p w14:paraId="6A6D614E" w14:textId="5DA0FEE0" w:rsidR="00AD0470" w:rsidRDefault="00AD0470"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Alfred Health </w:t>
            </w:r>
          </w:p>
        </w:tc>
        <w:tc>
          <w:tcPr>
            <w:tcW w:w="3398" w:type="dxa"/>
          </w:tcPr>
          <w:p w14:paraId="013ADE42" w14:textId="045EC5E6" w:rsidR="00AD0470" w:rsidRDefault="00AD0470" w:rsidP="00383EAE">
            <w:pPr>
              <w:pStyle w:val="TableText"/>
              <w:cnfStyle w:val="000000000000" w:firstRow="0" w:lastRow="0" w:firstColumn="0" w:lastColumn="0" w:oddVBand="0" w:evenVBand="0" w:oddHBand="0" w:evenHBand="0" w:firstRowFirstColumn="0" w:firstRowLastColumn="0" w:lastRowFirstColumn="0" w:lastRowLastColumn="0"/>
            </w:pPr>
            <w:r>
              <w:t>Interview declined</w:t>
            </w:r>
          </w:p>
        </w:tc>
      </w:tr>
      <w:tr w:rsidR="00677ED1" w:rsidRPr="00F56161" w14:paraId="00E0BFFB"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7BBF2E1E" w14:textId="53794FED" w:rsidR="00AD0470" w:rsidRDefault="00091645" w:rsidP="00383EAE">
            <w:pPr>
              <w:pStyle w:val="Tabletextbold"/>
              <w:rPr>
                <w:b/>
              </w:rPr>
            </w:pPr>
            <w:r>
              <w:rPr>
                <w:b/>
              </w:rPr>
              <w:t>People with lived experience</w:t>
            </w:r>
          </w:p>
        </w:tc>
        <w:tc>
          <w:tcPr>
            <w:tcW w:w="3963" w:type="dxa"/>
          </w:tcPr>
          <w:p w14:paraId="70592A4F" w14:textId="0D28FA81" w:rsidR="00AD0470" w:rsidRDefault="00F76484"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sidRPr="00547BA3">
              <w:rPr>
                <w:szCs w:val="18"/>
              </w:rPr>
              <w:t>Not applicable</w:t>
            </w:r>
          </w:p>
        </w:tc>
        <w:tc>
          <w:tcPr>
            <w:tcW w:w="3398" w:type="dxa"/>
          </w:tcPr>
          <w:p w14:paraId="27B90AD1" w14:textId="7BF51709" w:rsidR="00AD0470" w:rsidRDefault="00F76484" w:rsidP="00383EAE">
            <w:pPr>
              <w:pStyle w:val="TableText"/>
              <w:cnfStyle w:val="000000000000" w:firstRow="0" w:lastRow="0" w:firstColumn="0" w:lastColumn="0" w:oddVBand="0" w:evenVBand="0" w:oddHBand="0" w:evenHBand="0" w:firstRowFirstColumn="0" w:firstRowLastColumn="0" w:lastRowFirstColumn="0" w:lastRowLastColumn="0"/>
            </w:pPr>
            <w:r w:rsidRPr="00014431">
              <w:t>Interview conducted</w:t>
            </w:r>
          </w:p>
        </w:tc>
      </w:tr>
      <w:tr w:rsidR="00677ED1" w:rsidRPr="00F56161" w14:paraId="77BCF06A"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6BA08F6D" w14:textId="3964C0B5" w:rsidR="00F76484" w:rsidRDefault="009A778F" w:rsidP="00383EAE">
            <w:pPr>
              <w:pStyle w:val="Tabletextbold"/>
              <w:rPr>
                <w:b/>
              </w:rPr>
            </w:pPr>
            <w:r>
              <w:rPr>
                <w:b/>
              </w:rPr>
              <w:t>People with lived experience</w:t>
            </w:r>
          </w:p>
        </w:tc>
        <w:tc>
          <w:tcPr>
            <w:tcW w:w="3963" w:type="dxa"/>
          </w:tcPr>
          <w:p w14:paraId="09AB2AC2" w14:textId="781EEB32" w:rsidR="00F76484" w:rsidRDefault="00F76484"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sidRPr="00547BA3">
              <w:rPr>
                <w:szCs w:val="18"/>
              </w:rPr>
              <w:t>Not applicable</w:t>
            </w:r>
          </w:p>
        </w:tc>
        <w:tc>
          <w:tcPr>
            <w:tcW w:w="3398" w:type="dxa"/>
          </w:tcPr>
          <w:p w14:paraId="06940628" w14:textId="04819FF2" w:rsidR="00F76484" w:rsidRDefault="00F76484" w:rsidP="00383EAE">
            <w:pPr>
              <w:pStyle w:val="TableText"/>
              <w:cnfStyle w:val="000000000000" w:firstRow="0" w:lastRow="0" w:firstColumn="0" w:lastColumn="0" w:oddVBand="0" w:evenVBand="0" w:oddHBand="0" w:evenHBand="0" w:firstRowFirstColumn="0" w:firstRowLastColumn="0" w:lastRowFirstColumn="0" w:lastRowLastColumn="0"/>
            </w:pPr>
            <w:r w:rsidRPr="00014431">
              <w:t>Interview conducted</w:t>
            </w:r>
          </w:p>
        </w:tc>
      </w:tr>
      <w:tr w:rsidR="00677ED1" w:rsidRPr="00F56161" w14:paraId="475E5CA3"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2AC6A608" w14:textId="6941A416" w:rsidR="00F76484" w:rsidRDefault="009A778F" w:rsidP="00383EAE">
            <w:pPr>
              <w:pStyle w:val="Tabletextbold"/>
              <w:rPr>
                <w:b/>
              </w:rPr>
            </w:pPr>
            <w:r>
              <w:rPr>
                <w:b/>
              </w:rPr>
              <w:t>People with lived experience</w:t>
            </w:r>
          </w:p>
        </w:tc>
        <w:tc>
          <w:tcPr>
            <w:tcW w:w="3963" w:type="dxa"/>
          </w:tcPr>
          <w:p w14:paraId="21DC5B92" w14:textId="5531D02E" w:rsidR="00F76484" w:rsidRDefault="00F76484"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sidRPr="00547BA3">
              <w:rPr>
                <w:szCs w:val="18"/>
              </w:rPr>
              <w:t>Not applicable</w:t>
            </w:r>
          </w:p>
        </w:tc>
        <w:tc>
          <w:tcPr>
            <w:tcW w:w="3398" w:type="dxa"/>
          </w:tcPr>
          <w:p w14:paraId="1DB1C1A3" w14:textId="7BE1BB23" w:rsidR="00F76484" w:rsidRDefault="00F76484" w:rsidP="00383EAE">
            <w:pPr>
              <w:pStyle w:val="TableText"/>
              <w:cnfStyle w:val="000000000000" w:firstRow="0" w:lastRow="0" w:firstColumn="0" w:lastColumn="0" w:oddVBand="0" w:evenVBand="0" w:oddHBand="0" w:evenHBand="0" w:firstRowFirstColumn="0" w:firstRowLastColumn="0" w:lastRowFirstColumn="0" w:lastRowLastColumn="0"/>
            </w:pPr>
            <w:r w:rsidRPr="00014431">
              <w:t>Interview conducted</w:t>
            </w:r>
          </w:p>
        </w:tc>
      </w:tr>
      <w:tr w:rsidR="00677ED1" w:rsidRPr="00F56161" w14:paraId="137ED52C"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27325699" w14:textId="1640D303" w:rsidR="00F76484" w:rsidRDefault="009A778F" w:rsidP="00383EAE">
            <w:pPr>
              <w:pStyle w:val="Tabletextbold"/>
              <w:rPr>
                <w:b/>
              </w:rPr>
            </w:pPr>
            <w:r>
              <w:rPr>
                <w:b/>
              </w:rPr>
              <w:t>People with lived experience</w:t>
            </w:r>
          </w:p>
        </w:tc>
        <w:tc>
          <w:tcPr>
            <w:tcW w:w="3963" w:type="dxa"/>
          </w:tcPr>
          <w:p w14:paraId="5130FE3A" w14:textId="730C47A7" w:rsidR="00F76484" w:rsidRDefault="00F76484"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sidRPr="00547BA3">
              <w:rPr>
                <w:szCs w:val="18"/>
              </w:rPr>
              <w:t>Not applicable</w:t>
            </w:r>
          </w:p>
        </w:tc>
        <w:tc>
          <w:tcPr>
            <w:tcW w:w="3398" w:type="dxa"/>
          </w:tcPr>
          <w:p w14:paraId="5F95DE52" w14:textId="1DD51EB6" w:rsidR="00F76484" w:rsidRDefault="00F76484" w:rsidP="00383EAE">
            <w:pPr>
              <w:pStyle w:val="TableText"/>
              <w:cnfStyle w:val="000000000000" w:firstRow="0" w:lastRow="0" w:firstColumn="0" w:lastColumn="0" w:oddVBand="0" w:evenVBand="0" w:oddHBand="0" w:evenHBand="0" w:firstRowFirstColumn="0" w:firstRowLastColumn="0" w:lastRowFirstColumn="0" w:lastRowLastColumn="0"/>
            </w:pPr>
            <w:r w:rsidRPr="00014431">
              <w:t>Interview conducted</w:t>
            </w:r>
          </w:p>
        </w:tc>
      </w:tr>
      <w:tr w:rsidR="00677ED1" w:rsidRPr="00F56161" w14:paraId="42C3D6A9"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275840F7" w14:textId="4FEBC699" w:rsidR="00F76484" w:rsidRDefault="009A778F" w:rsidP="00383EAE">
            <w:pPr>
              <w:pStyle w:val="Tabletextbold"/>
              <w:rPr>
                <w:b/>
              </w:rPr>
            </w:pPr>
            <w:r>
              <w:rPr>
                <w:b/>
              </w:rPr>
              <w:t>People with lived experience</w:t>
            </w:r>
          </w:p>
        </w:tc>
        <w:tc>
          <w:tcPr>
            <w:tcW w:w="3963" w:type="dxa"/>
          </w:tcPr>
          <w:p w14:paraId="7FC11AB8" w14:textId="3925D4CB" w:rsidR="00F76484" w:rsidRDefault="00F76484"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sidRPr="00547BA3">
              <w:rPr>
                <w:szCs w:val="18"/>
              </w:rPr>
              <w:t>Not applicable</w:t>
            </w:r>
          </w:p>
        </w:tc>
        <w:tc>
          <w:tcPr>
            <w:tcW w:w="3398" w:type="dxa"/>
          </w:tcPr>
          <w:p w14:paraId="2E2B00A0" w14:textId="1407DC4D" w:rsidR="00F76484" w:rsidRDefault="00F76484" w:rsidP="00383EAE">
            <w:pPr>
              <w:pStyle w:val="TableText"/>
              <w:cnfStyle w:val="000000000000" w:firstRow="0" w:lastRow="0" w:firstColumn="0" w:lastColumn="0" w:oddVBand="0" w:evenVBand="0" w:oddHBand="0" w:evenHBand="0" w:firstRowFirstColumn="0" w:firstRowLastColumn="0" w:lastRowFirstColumn="0" w:lastRowLastColumn="0"/>
            </w:pPr>
            <w:r w:rsidRPr="00014431">
              <w:t>Interview conducted</w:t>
            </w:r>
          </w:p>
        </w:tc>
      </w:tr>
      <w:tr w:rsidR="00677ED1" w:rsidRPr="00F56161" w14:paraId="61C1D223"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7D7DE580" w14:textId="232EB161" w:rsidR="00F76484" w:rsidRDefault="009A778F" w:rsidP="00383EAE">
            <w:pPr>
              <w:pStyle w:val="Tabletextbold"/>
              <w:rPr>
                <w:b/>
              </w:rPr>
            </w:pPr>
            <w:r>
              <w:rPr>
                <w:b/>
              </w:rPr>
              <w:t>People with lived experience</w:t>
            </w:r>
          </w:p>
        </w:tc>
        <w:tc>
          <w:tcPr>
            <w:tcW w:w="3963" w:type="dxa"/>
          </w:tcPr>
          <w:p w14:paraId="61DA6732" w14:textId="7B6144C9" w:rsidR="00F76484" w:rsidRDefault="00F76484"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sidRPr="00547BA3">
              <w:rPr>
                <w:szCs w:val="18"/>
              </w:rPr>
              <w:t>Not applicable</w:t>
            </w:r>
          </w:p>
        </w:tc>
        <w:tc>
          <w:tcPr>
            <w:tcW w:w="3398" w:type="dxa"/>
          </w:tcPr>
          <w:p w14:paraId="12B5C135" w14:textId="60E17503" w:rsidR="00F76484" w:rsidRDefault="00F76484" w:rsidP="00383EAE">
            <w:pPr>
              <w:pStyle w:val="TableText"/>
              <w:cnfStyle w:val="000000000000" w:firstRow="0" w:lastRow="0" w:firstColumn="0" w:lastColumn="0" w:oddVBand="0" w:evenVBand="0" w:oddHBand="0" w:evenHBand="0" w:firstRowFirstColumn="0" w:firstRowLastColumn="0" w:lastRowFirstColumn="0" w:lastRowLastColumn="0"/>
            </w:pPr>
            <w:r>
              <w:t>No response received</w:t>
            </w:r>
          </w:p>
        </w:tc>
      </w:tr>
      <w:tr w:rsidR="00677ED1" w:rsidRPr="00F56161" w14:paraId="3086B4E8"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2CEDF32D" w14:textId="515788E4" w:rsidR="00F76484" w:rsidRDefault="009A778F" w:rsidP="00383EAE">
            <w:pPr>
              <w:pStyle w:val="Tabletextbold"/>
              <w:rPr>
                <w:b/>
              </w:rPr>
            </w:pPr>
            <w:r>
              <w:rPr>
                <w:b/>
              </w:rPr>
              <w:t>People with lived experience</w:t>
            </w:r>
          </w:p>
        </w:tc>
        <w:tc>
          <w:tcPr>
            <w:tcW w:w="3963" w:type="dxa"/>
          </w:tcPr>
          <w:p w14:paraId="3F96DFA3" w14:textId="5D98D970" w:rsidR="00F76484" w:rsidRDefault="00F76484"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sidRPr="00547BA3">
              <w:rPr>
                <w:szCs w:val="18"/>
              </w:rPr>
              <w:t>Not applicable</w:t>
            </w:r>
          </w:p>
        </w:tc>
        <w:tc>
          <w:tcPr>
            <w:tcW w:w="3398" w:type="dxa"/>
          </w:tcPr>
          <w:p w14:paraId="1A0E4556" w14:textId="1B634662" w:rsidR="00F76484" w:rsidRDefault="00F76484" w:rsidP="00383EAE">
            <w:pPr>
              <w:pStyle w:val="TableText"/>
              <w:cnfStyle w:val="000000000000" w:firstRow="0" w:lastRow="0" w:firstColumn="0" w:lastColumn="0" w:oddVBand="0" w:evenVBand="0" w:oddHBand="0" w:evenHBand="0" w:firstRowFirstColumn="0" w:firstRowLastColumn="0" w:lastRowFirstColumn="0" w:lastRowLastColumn="0"/>
            </w:pPr>
            <w:r>
              <w:t>No response received</w:t>
            </w:r>
          </w:p>
        </w:tc>
      </w:tr>
      <w:tr w:rsidR="00677ED1" w:rsidRPr="00F56161" w14:paraId="14BD0F18"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03432809" w14:textId="786FDA48" w:rsidR="00AD0470" w:rsidRDefault="00091645" w:rsidP="00383EAE">
            <w:pPr>
              <w:pStyle w:val="Tabletextbold"/>
              <w:rPr>
                <w:b/>
              </w:rPr>
            </w:pPr>
            <w:r>
              <w:rPr>
                <w:b/>
              </w:rPr>
              <w:t xml:space="preserve">Department of Health, Disability and Ageing </w:t>
            </w:r>
          </w:p>
        </w:tc>
        <w:tc>
          <w:tcPr>
            <w:tcW w:w="3963" w:type="dxa"/>
          </w:tcPr>
          <w:p w14:paraId="426395F2" w14:textId="220979AF" w:rsidR="00AD0470" w:rsidRDefault="00091645"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Technology Assessment and Access Division </w:t>
            </w:r>
          </w:p>
        </w:tc>
        <w:tc>
          <w:tcPr>
            <w:tcW w:w="3398" w:type="dxa"/>
          </w:tcPr>
          <w:p w14:paraId="017C32FF" w14:textId="4D5E8C7D" w:rsidR="00AD0470" w:rsidRDefault="00091645" w:rsidP="00383EAE">
            <w:pPr>
              <w:pStyle w:val="TableText"/>
              <w:cnfStyle w:val="000000000000" w:firstRow="0" w:lastRow="0" w:firstColumn="0" w:lastColumn="0" w:oddVBand="0" w:evenVBand="0" w:oddHBand="0" w:evenHBand="0" w:firstRowFirstColumn="0" w:firstRowLastColumn="0" w:lastRowFirstColumn="0" w:lastRowLastColumn="0"/>
            </w:pPr>
            <w:r w:rsidRPr="00F37E69">
              <w:t>Interview conducted</w:t>
            </w:r>
          </w:p>
        </w:tc>
      </w:tr>
      <w:tr w:rsidR="00677ED1" w:rsidRPr="00F56161" w14:paraId="7A21E198"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694CB435" w14:textId="4B96390B" w:rsidR="00091645" w:rsidRDefault="00383EAE" w:rsidP="00383EAE">
            <w:pPr>
              <w:pStyle w:val="Tabletextbold"/>
              <w:rPr>
                <w:b/>
              </w:rPr>
            </w:pPr>
            <w:r w:rsidRPr="005535F6">
              <w:rPr>
                <w:b/>
              </w:rPr>
              <w:t xml:space="preserve">Department of Health, Disability and Ageing </w:t>
            </w:r>
          </w:p>
        </w:tc>
        <w:tc>
          <w:tcPr>
            <w:tcW w:w="3963" w:type="dxa"/>
          </w:tcPr>
          <w:p w14:paraId="3EAA3816" w14:textId="01577D38" w:rsidR="00091645" w:rsidRDefault="00091645"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Medicare Benefits and Digital Health Division</w:t>
            </w:r>
          </w:p>
        </w:tc>
        <w:tc>
          <w:tcPr>
            <w:tcW w:w="3398" w:type="dxa"/>
          </w:tcPr>
          <w:p w14:paraId="23366DE0" w14:textId="3F408721" w:rsidR="00091645" w:rsidRDefault="00091645" w:rsidP="00383EAE">
            <w:pPr>
              <w:pStyle w:val="TableText"/>
              <w:cnfStyle w:val="000000000000" w:firstRow="0" w:lastRow="0" w:firstColumn="0" w:lastColumn="0" w:oddVBand="0" w:evenVBand="0" w:oddHBand="0" w:evenHBand="0" w:firstRowFirstColumn="0" w:firstRowLastColumn="0" w:lastRowFirstColumn="0" w:lastRowLastColumn="0"/>
            </w:pPr>
            <w:r w:rsidRPr="00F37E69">
              <w:t>Interview conducted</w:t>
            </w:r>
          </w:p>
        </w:tc>
      </w:tr>
      <w:tr w:rsidR="00677ED1" w:rsidRPr="00F56161" w14:paraId="3A20212C"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5B31F7CB" w14:textId="5D1739DB" w:rsidR="00091645" w:rsidRDefault="00383EAE" w:rsidP="00383EAE">
            <w:pPr>
              <w:pStyle w:val="Tabletextbold"/>
              <w:rPr>
                <w:b/>
              </w:rPr>
            </w:pPr>
            <w:r w:rsidRPr="005535F6">
              <w:rPr>
                <w:b/>
              </w:rPr>
              <w:t xml:space="preserve">Department of Health, Disability and Ageing </w:t>
            </w:r>
          </w:p>
        </w:tc>
        <w:tc>
          <w:tcPr>
            <w:tcW w:w="3963" w:type="dxa"/>
          </w:tcPr>
          <w:p w14:paraId="26FC120C" w14:textId="66972D48" w:rsidR="00091645" w:rsidRDefault="00091645"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Cancer Policy Section </w:t>
            </w:r>
          </w:p>
        </w:tc>
        <w:tc>
          <w:tcPr>
            <w:tcW w:w="3398" w:type="dxa"/>
          </w:tcPr>
          <w:p w14:paraId="2F4D0E08" w14:textId="0A286FE1" w:rsidR="00091645" w:rsidRPr="00F37E69" w:rsidRDefault="00091645" w:rsidP="00383EAE">
            <w:pPr>
              <w:pStyle w:val="TableText"/>
              <w:cnfStyle w:val="000000000000" w:firstRow="0" w:lastRow="0" w:firstColumn="0" w:lastColumn="0" w:oddVBand="0" w:evenVBand="0" w:oddHBand="0" w:evenHBand="0" w:firstRowFirstColumn="0" w:firstRowLastColumn="0" w:lastRowFirstColumn="0" w:lastRowLastColumn="0"/>
            </w:pPr>
            <w:r w:rsidRPr="00F37E69">
              <w:t>Interview conducted</w:t>
            </w:r>
          </w:p>
        </w:tc>
      </w:tr>
      <w:tr w:rsidR="00677ED1" w:rsidRPr="00F56161" w14:paraId="17AF7F42"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3513844A" w14:textId="5F135EBF" w:rsidR="00AA0AA3" w:rsidRDefault="00383EAE" w:rsidP="00383EAE">
            <w:pPr>
              <w:pStyle w:val="Tabletextbold"/>
              <w:rPr>
                <w:b/>
              </w:rPr>
            </w:pPr>
            <w:r w:rsidRPr="005535F6">
              <w:rPr>
                <w:b/>
              </w:rPr>
              <w:t xml:space="preserve">Department of Health, Disability and Ageing </w:t>
            </w:r>
          </w:p>
        </w:tc>
        <w:tc>
          <w:tcPr>
            <w:tcW w:w="3963" w:type="dxa"/>
          </w:tcPr>
          <w:p w14:paraId="48C6EA1E" w14:textId="5EC99090" w:rsidR="00AA0AA3" w:rsidRDefault="00AA0AA3"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Primary Care Branch</w:t>
            </w:r>
          </w:p>
        </w:tc>
        <w:tc>
          <w:tcPr>
            <w:tcW w:w="3398" w:type="dxa"/>
          </w:tcPr>
          <w:p w14:paraId="12105592" w14:textId="560D780C" w:rsidR="00AA0AA3" w:rsidRPr="00F37E69" w:rsidRDefault="00AA0AA3" w:rsidP="00383EAE">
            <w:pPr>
              <w:pStyle w:val="TableText"/>
              <w:cnfStyle w:val="000000000000" w:firstRow="0" w:lastRow="0" w:firstColumn="0" w:lastColumn="0" w:oddVBand="0" w:evenVBand="0" w:oddHBand="0" w:evenHBand="0" w:firstRowFirstColumn="0" w:firstRowLastColumn="0" w:lastRowFirstColumn="0" w:lastRowLastColumn="0"/>
            </w:pPr>
            <w:r w:rsidRPr="00F37E69">
              <w:t xml:space="preserve">Interview </w:t>
            </w:r>
            <w:r>
              <w:t>declined</w:t>
            </w:r>
          </w:p>
        </w:tc>
      </w:tr>
      <w:tr w:rsidR="00677ED1" w:rsidRPr="00F56161" w14:paraId="23511B62"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4F0985FB" w14:textId="0526BD93" w:rsidR="00AD0470" w:rsidRDefault="00383EAE" w:rsidP="00383EAE">
            <w:pPr>
              <w:pStyle w:val="Tabletextbold"/>
              <w:rPr>
                <w:b/>
              </w:rPr>
            </w:pPr>
            <w:r w:rsidRPr="005535F6">
              <w:rPr>
                <w:b/>
              </w:rPr>
              <w:t xml:space="preserve">Department of Health, Disability and Ageing </w:t>
            </w:r>
          </w:p>
        </w:tc>
        <w:tc>
          <w:tcPr>
            <w:tcW w:w="3963" w:type="dxa"/>
          </w:tcPr>
          <w:p w14:paraId="3B65C40D" w14:textId="43ED260A" w:rsidR="00AD0470" w:rsidRDefault="00091645"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Private Health Strategy Branch</w:t>
            </w:r>
          </w:p>
        </w:tc>
        <w:tc>
          <w:tcPr>
            <w:tcW w:w="3398" w:type="dxa"/>
          </w:tcPr>
          <w:p w14:paraId="4A1F06B5" w14:textId="2D722BC5" w:rsidR="00AD0470" w:rsidRDefault="00AD0470" w:rsidP="00383EAE">
            <w:pPr>
              <w:pStyle w:val="TableText"/>
              <w:cnfStyle w:val="000000000000" w:firstRow="0" w:lastRow="0" w:firstColumn="0" w:lastColumn="0" w:oddVBand="0" w:evenVBand="0" w:oddHBand="0" w:evenHBand="0" w:firstRowFirstColumn="0" w:firstRowLastColumn="0" w:lastRowFirstColumn="0" w:lastRowLastColumn="0"/>
            </w:pPr>
            <w:r>
              <w:t>Interview declined</w:t>
            </w:r>
          </w:p>
        </w:tc>
      </w:tr>
      <w:tr w:rsidR="00677ED1" w:rsidRPr="00F56161" w14:paraId="2DB7AF74"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21E182B9" w14:textId="61BF2E21" w:rsidR="00091645" w:rsidRDefault="00091645" w:rsidP="00383EAE">
            <w:pPr>
              <w:pStyle w:val="Tabletextbold"/>
              <w:rPr>
                <w:b/>
              </w:rPr>
            </w:pPr>
            <w:r>
              <w:rPr>
                <w:b/>
              </w:rPr>
              <w:t>Commonwealth agencies</w:t>
            </w:r>
          </w:p>
        </w:tc>
        <w:tc>
          <w:tcPr>
            <w:tcW w:w="3963" w:type="dxa"/>
          </w:tcPr>
          <w:p w14:paraId="6360CA32" w14:textId="02A89DAD" w:rsidR="00091645" w:rsidRDefault="00091645"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National Disability Insurance Agency</w:t>
            </w:r>
          </w:p>
        </w:tc>
        <w:tc>
          <w:tcPr>
            <w:tcW w:w="3398" w:type="dxa"/>
          </w:tcPr>
          <w:p w14:paraId="1339DBF3" w14:textId="73F3BF7D" w:rsidR="00091645" w:rsidRDefault="00455B9C" w:rsidP="00383EAE">
            <w:pPr>
              <w:pStyle w:val="TableText"/>
              <w:cnfStyle w:val="000000000000" w:firstRow="0" w:lastRow="0" w:firstColumn="0" w:lastColumn="0" w:oddVBand="0" w:evenVBand="0" w:oddHBand="0" w:evenHBand="0" w:firstRowFirstColumn="0" w:firstRowLastColumn="0" w:lastRowFirstColumn="0" w:lastRowLastColumn="0"/>
            </w:pPr>
            <w:r w:rsidRPr="00F726F8">
              <w:t>Interview conducted</w:t>
            </w:r>
          </w:p>
        </w:tc>
      </w:tr>
      <w:tr w:rsidR="00677ED1" w:rsidRPr="00F56161" w14:paraId="45DFFEFE"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590B286B" w14:textId="0FB26922" w:rsidR="00091645" w:rsidRDefault="00383EAE" w:rsidP="00383EAE">
            <w:pPr>
              <w:pStyle w:val="Tabletextbold"/>
              <w:rPr>
                <w:b/>
              </w:rPr>
            </w:pPr>
            <w:r w:rsidRPr="00F4475D">
              <w:rPr>
                <w:b/>
              </w:rPr>
              <w:t>Commonwealth agencies</w:t>
            </w:r>
          </w:p>
        </w:tc>
        <w:tc>
          <w:tcPr>
            <w:tcW w:w="3963" w:type="dxa"/>
          </w:tcPr>
          <w:p w14:paraId="1C1A7DB5" w14:textId="4D5C18D5" w:rsidR="00091645" w:rsidRDefault="00455B9C"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Department of Social Services</w:t>
            </w:r>
          </w:p>
        </w:tc>
        <w:tc>
          <w:tcPr>
            <w:tcW w:w="3398" w:type="dxa"/>
          </w:tcPr>
          <w:p w14:paraId="3F55490B" w14:textId="69061206" w:rsidR="00091645" w:rsidRDefault="00455B9C" w:rsidP="00383EAE">
            <w:pPr>
              <w:pStyle w:val="TableText"/>
              <w:cnfStyle w:val="000000000000" w:firstRow="0" w:lastRow="0" w:firstColumn="0" w:lastColumn="0" w:oddVBand="0" w:evenVBand="0" w:oddHBand="0" w:evenHBand="0" w:firstRowFirstColumn="0" w:firstRowLastColumn="0" w:lastRowFirstColumn="0" w:lastRowLastColumn="0"/>
            </w:pPr>
            <w:r w:rsidRPr="00F726F8">
              <w:t>Interview conducted</w:t>
            </w:r>
          </w:p>
        </w:tc>
      </w:tr>
      <w:tr w:rsidR="00677ED1" w:rsidRPr="00F56161" w14:paraId="6BCF9FE8"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2A77A405" w14:textId="4A77F9BE" w:rsidR="00455B9C" w:rsidRDefault="00383EAE" w:rsidP="00383EAE">
            <w:pPr>
              <w:pStyle w:val="Tabletextbold"/>
              <w:rPr>
                <w:b/>
              </w:rPr>
            </w:pPr>
            <w:r w:rsidRPr="00F4475D">
              <w:rPr>
                <w:b/>
              </w:rPr>
              <w:t>Commonwealth agencies</w:t>
            </w:r>
          </w:p>
        </w:tc>
        <w:tc>
          <w:tcPr>
            <w:tcW w:w="3963" w:type="dxa"/>
          </w:tcPr>
          <w:p w14:paraId="4ADC1228" w14:textId="1FEE6708" w:rsidR="00455B9C" w:rsidRDefault="00455B9C"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Department of Veterans’ Affairs</w:t>
            </w:r>
          </w:p>
        </w:tc>
        <w:tc>
          <w:tcPr>
            <w:tcW w:w="3398" w:type="dxa"/>
          </w:tcPr>
          <w:p w14:paraId="77B1672A" w14:textId="28EE5483" w:rsidR="00455B9C" w:rsidRDefault="00455B9C" w:rsidP="00383EAE">
            <w:pPr>
              <w:pStyle w:val="TableText"/>
              <w:cnfStyle w:val="000000000000" w:firstRow="0" w:lastRow="0" w:firstColumn="0" w:lastColumn="0" w:oddVBand="0" w:evenVBand="0" w:oddHBand="0" w:evenHBand="0" w:firstRowFirstColumn="0" w:firstRowLastColumn="0" w:lastRowFirstColumn="0" w:lastRowLastColumn="0"/>
            </w:pPr>
            <w:r w:rsidRPr="00F726F8">
              <w:t>Interview conducted</w:t>
            </w:r>
          </w:p>
        </w:tc>
      </w:tr>
      <w:tr w:rsidR="00677ED1" w:rsidRPr="00F56161" w14:paraId="0907ECF6"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5EE8BCA0" w14:textId="77B4D74B" w:rsidR="00091645" w:rsidRDefault="00383EAE" w:rsidP="00383EAE">
            <w:pPr>
              <w:pStyle w:val="Tabletextbold"/>
              <w:rPr>
                <w:b/>
              </w:rPr>
            </w:pPr>
            <w:r w:rsidRPr="00F4475D">
              <w:rPr>
                <w:b/>
              </w:rPr>
              <w:t>Commonwealth agencies</w:t>
            </w:r>
          </w:p>
        </w:tc>
        <w:tc>
          <w:tcPr>
            <w:tcW w:w="3963" w:type="dxa"/>
          </w:tcPr>
          <w:p w14:paraId="2199346C" w14:textId="76E1851E" w:rsidR="00091645" w:rsidRDefault="00455B9C"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Cancer Australia </w:t>
            </w:r>
          </w:p>
        </w:tc>
        <w:tc>
          <w:tcPr>
            <w:tcW w:w="3398" w:type="dxa"/>
          </w:tcPr>
          <w:p w14:paraId="0D7CD51A" w14:textId="5A2CE162" w:rsidR="00091645" w:rsidRDefault="00455B9C" w:rsidP="00383EAE">
            <w:pPr>
              <w:pStyle w:val="TableText"/>
              <w:cnfStyle w:val="000000000000" w:firstRow="0" w:lastRow="0" w:firstColumn="0" w:lastColumn="0" w:oddVBand="0" w:evenVBand="0" w:oddHBand="0" w:evenHBand="0" w:firstRowFirstColumn="0" w:firstRowLastColumn="0" w:lastRowFirstColumn="0" w:lastRowLastColumn="0"/>
            </w:pPr>
            <w:r w:rsidRPr="00F726F8">
              <w:t>Interview conducted</w:t>
            </w:r>
          </w:p>
        </w:tc>
      </w:tr>
      <w:tr w:rsidR="00677ED1" w:rsidRPr="00F56161" w14:paraId="2737FEA0"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01E90E60" w14:textId="06D8C12D" w:rsidR="00455B9C" w:rsidRDefault="00455B9C" w:rsidP="00383EAE">
            <w:pPr>
              <w:pStyle w:val="Tabletextbold"/>
              <w:rPr>
                <w:b/>
              </w:rPr>
            </w:pPr>
            <w:r>
              <w:rPr>
                <w:b/>
              </w:rPr>
              <w:t>Retailers</w:t>
            </w:r>
          </w:p>
        </w:tc>
        <w:tc>
          <w:tcPr>
            <w:tcW w:w="3963" w:type="dxa"/>
          </w:tcPr>
          <w:p w14:paraId="64D93484" w14:textId="572F20E8" w:rsidR="00455B9C" w:rsidRDefault="00455B9C"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Artificial Eyes</w:t>
            </w:r>
          </w:p>
        </w:tc>
        <w:tc>
          <w:tcPr>
            <w:tcW w:w="3398" w:type="dxa"/>
          </w:tcPr>
          <w:p w14:paraId="7BC09C45" w14:textId="2C60152B" w:rsidR="00455B9C" w:rsidRPr="00F726F8" w:rsidRDefault="00D65239" w:rsidP="00383EAE">
            <w:pPr>
              <w:pStyle w:val="TableText"/>
              <w:cnfStyle w:val="000000000000" w:firstRow="0" w:lastRow="0" w:firstColumn="0" w:lastColumn="0" w:oddVBand="0" w:evenVBand="0" w:oddHBand="0" w:evenHBand="0" w:firstRowFirstColumn="0" w:firstRowLastColumn="0" w:lastRowFirstColumn="0" w:lastRowLastColumn="0"/>
            </w:pPr>
            <w:r w:rsidRPr="00EC2252">
              <w:t>Interview conducted</w:t>
            </w:r>
          </w:p>
        </w:tc>
      </w:tr>
      <w:tr w:rsidR="00677ED1" w:rsidRPr="00F56161" w14:paraId="33E06FC5"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19D7E45C" w14:textId="13EA646A" w:rsidR="00455B9C" w:rsidRDefault="00383EAE" w:rsidP="00383EAE">
            <w:pPr>
              <w:pStyle w:val="Tabletextbold"/>
              <w:rPr>
                <w:b/>
              </w:rPr>
            </w:pPr>
            <w:r w:rsidRPr="0089049F">
              <w:rPr>
                <w:b/>
              </w:rPr>
              <w:t>Retailers</w:t>
            </w:r>
          </w:p>
        </w:tc>
        <w:tc>
          <w:tcPr>
            <w:tcW w:w="3963" w:type="dxa"/>
          </w:tcPr>
          <w:p w14:paraId="0A604B35" w14:textId="2D3DE83E" w:rsidR="00455B9C" w:rsidRDefault="00455B9C"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Morphett Eyes</w:t>
            </w:r>
          </w:p>
        </w:tc>
        <w:tc>
          <w:tcPr>
            <w:tcW w:w="3398" w:type="dxa"/>
          </w:tcPr>
          <w:p w14:paraId="2B31E30F" w14:textId="7D18DAB3" w:rsidR="00455B9C" w:rsidRPr="00F726F8" w:rsidRDefault="00D65239" w:rsidP="00383EAE">
            <w:pPr>
              <w:pStyle w:val="TableText"/>
              <w:cnfStyle w:val="000000000000" w:firstRow="0" w:lastRow="0" w:firstColumn="0" w:lastColumn="0" w:oddVBand="0" w:evenVBand="0" w:oddHBand="0" w:evenHBand="0" w:firstRowFirstColumn="0" w:firstRowLastColumn="0" w:lastRowFirstColumn="0" w:lastRowLastColumn="0"/>
            </w:pPr>
            <w:r w:rsidRPr="00EC2252">
              <w:t>Interview conducted</w:t>
            </w:r>
          </w:p>
        </w:tc>
      </w:tr>
      <w:tr w:rsidR="00677ED1" w:rsidRPr="00F56161" w14:paraId="71CD7180"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06260CBD" w14:textId="221AF3CD" w:rsidR="00455B9C" w:rsidRDefault="00383EAE" w:rsidP="00383EAE">
            <w:pPr>
              <w:pStyle w:val="Tabletextbold"/>
              <w:rPr>
                <w:b/>
              </w:rPr>
            </w:pPr>
            <w:r w:rsidRPr="0089049F">
              <w:rPr>
                <w:b/>
              </w:rPr>
              <w:t>Retailers</w:t>
            </w:r>
          </w:p>
        </w:tc>
        <w:tc>
          <w:tcPr>
            <w:tcW w:w="3963" w:type="dxa"/>
          </w:tcPr>
          <w:p w14:paraId="7CC36222" w14:textId="55BEC6D5" w:rsidR="00455B9C" w:rsidRDefault="00D65239"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Ossur</w:t>
            </w:r>
          </w:p>
        </w:tc>
        <w:tc>
          <w:tcPr>
            <w:tcW w:w="3398" w:type="dxa"/>
          </w:tcPr>
          <w:p w14:paraId="6E98AA62" w14:textId="678BEC8A" w:rsidR="00455B9C" w:rsidRPr="00F726F8" w:rsidRDefault="00D65239" w:rsidP="00383EAE">
            <w:pPr>
              <w:pStyle w:val="TableText"/>
              <w:cnfStyle w:val="000000000000" w:firstRow="0" w:lastRow="0" w:firstColumn="0" w:lastColumn="0" w:oddVBand="0" w:evenVBand="0" w:oddHBand="0" w:evenHBand="0" w:firstRowFirstColumn="0" w:firstRowLastColumn="0" w:lastRowFirstColumn="0" w:lastRowLastColumn="0"/>
            </w:pPr>
            <w:r>
              <w:t xml:space="preserve">No response received </w:t>
            </w:r>
          </w:p>
        </w:tc>
      </w:tr>
      <w:tr w:rsidR="00677ED1" w:rsidRPr="00F56161" w14:paraId="18C91BEA"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79AA565D" w14:textId="7F07C946" w:rsidR="00455B9C" w:rsidRDefault="00383EAE" w:rsidP="00383EAE">
            <w:pPr>
              <w:pStyle w:val="Tabletextbold"/>
              <w:rPr>
                <w:b/>
              </w:rPr>
            </w:pPr>
            <w:r w:rsidRPr="0089049F">
              <w:rPr>
                <w:b/>
              </w:rPr>
              <w:t>Retailers</w:t>
            </w:r>
          </w:p>
        </w:tc>
        <w:tc>
          <w:tcPr>
            <w:tcW w:w="3963" w:type="dxa"/>
          </w:tcPr>
          <w:p w14:paraId="16C01E8E" w14:textId="6DFBEDAA" w:rsidR="00455B9C" w:rsidRDefault="0095580B" w:rsidP="00383EAE">
            <w:pPr>
              <w:pStyle w:val="TableText"/>
              <w:cnfStyle w:val="000000000000" w:firstRow="0" w:lastRow="0" w:firstColumn="0" w:lastColumn="0" w:oddVBand="0" w:evenVBand="0" w:oddHBand="0" w:evenHBand="0" w:firstRowFirstColumn="0" w:firstRowLastColumn="0" w:lastRowFirstColumn="0" w:lastRowLastColumn="0"/>
              <w:rPr>
                <w:szCs w:val="18"/>
              </w:rPr>
            </w:pPr>
            <w:proofErr w:type="spellStart"/>
            <w:r>
              <w:rPr>
                <w:szCs w:val="18"/>
              </w:rPr>
              <w:t>Ottobock</w:t>
            </w:r>
            <w:proofErr w:type="spellEnd"/>
          </w:p>
        </w:tc>
        <w:tc>
          <w:tcPr>
            <w:tcW w:w="3398" w:type="dxa"/>
          </w:tcPr>
          <w:p w14:paraId="6360EF4C" w14:textId="5A3D9BE9" w:rsidR="00455B9C" w:rsidRPr="00F726F8" w:rsidRDefault="0095580B" w:rsidP="00383EAE">
            <w:pPr>
              <w:pStyle w:val="TableText"/>
              <w:cnfStyle w:val="000000000000" w:firstRow="0" w:lastRow="0" w:firstColumn="0" w:lastColumn="0" w:oddVBand="0" w:evenVBand="0" w:oddHBand="0" w:evenHBand="0" w:firstRowFirstColumn="0" w:firstRowLastColumn="0" w:lastRowFirstColumn="0" w:lastRowLastColumn="0"/>
            </w:pPr>
            <w:r w:rsidRPr="00982E73">
              <w:t xml:space="preserve">No response received </w:t>
            </w:r>
          </w:p>
        </w:tc>
      </w:tr>
      <w:tr w:rsidR="00677ED1" w:rsidRPr="00F56161" w14:paraId="7CA20BCF"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481F78C8" w14:textId="68C17F68" w:rsidR="00455B9C" w:rsidRDefault="00383EAE" w:rsidP="00383EAE">
            <w:pPr>
              <w:pStyle w:val="Tabletextbold"/>
              <w:rPr>
                <w:b/>
              </w:rPr>
            </w:pPr>
            <w:r w:rsidRPr="0089049F">
              <w:rPr>
                <w:b/>
              </w:rPr>
              <w:t>Retailers</w:t>
            </w:r>
          </w:p>
        </w:tc>
        <w:tc>
          <w:tcPr>
            <w:tcW w:w="3963" w:type="dxa"/>
          </w:tcPr>
          <w:p w14:paraId="7A6973EF" w14:textId="1779A17E" w:rsidR="00455B9C" w:rsidRDefault="0095580B"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OPC Health</w:t>
            </w:r>
          </w:p>
        </w:tc>
        <w:tc>
          <w:tcPr>
            <w:tcW w:w="3398" w:type="dxa"/>
          </w:tcPr>
          <w:p w14:paraId="3A918B84" w14:textId="08931B34" w:rsidR="00455B9C" w:rsidRPr="00F726F8" w:rsidRDefault="0095580B" w:rsidP="00383EAE">
            <w:pPr>
              <w:pStyle w:val="TableText"/>
              <w:cnfStyle w:val="000000000000" w:firstRow="0" w:lastRow="0" w:firstColumn="0" w:lastColumn="0" w:oddVBand="0" w:evenVBand="0" w:oddHBand="0" w:evenHBand="0" w:firstRowFirstColumn="0" w:firstRowLastColumn="0" w:lastRowFirstColumn="0" w:lastRowLastColumn="0"/>
            </w:pPr>
            <w:r w:rsidRPr="00982E73">
              <w:t xml:space="preserve">No response received </w:t>
            </w:r>
          </w:p>
        </w:tc>
      </w:tr>
      <w:tr w:rsidR="00677ED1" w:rsidRPr="00F56161" w14:paraId="00BEC730"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7C101CFF" w14:textId="6241B815" w:rsidR="0095580B" w:rsidRDefault="00383EAE" w:rsidP="00383EAE">
            <w:pPr>
              <w:pStyle w:val="Tabletextbold"/>
              <w:rPr>
                <w:b/>
              </w:rPr>
            </w:pPr>
            <w:r w:rsidRPr="0089049F">
              <w:rPr>
                <w:b/>
              </w:rPr>
              <w:t>Retailers</w:t>
            </w:r>
          </w:p>
        </w:tc>
        <w:tc>
          <w:tcPr>
            <w:tcW w:w="3963" w:type="dxa"/>
          </w:tcPr>
          <w:p w14:paraId="11356AA2" w14:textId="2E852DCE" w:rsidR="0095580B" w:rsidRDefault="0095580B" w:rsidP="00383EAE">
            <w:pPr>
              <w:pStyle w:val="TableText"/>
              <w:cnfStyle w:val="000000000000" w:firstRow="0" w:lastRow="0" w:firstColumn="0" w:lastColumn="0" w:oddVBand="0" w:evenVBand="0" w:oddHBand="0" w:evenHBand="0" w:firstRowFirstColumn="0" w:firstRowLastColumn="0" w:lastRowFirstColumn="0" w:lastRowLastColumn="0"/>
              <w:rPr>
                <w:szCs w:val="18"/>
              </w:rPr>
            </w:pPr>
            <w:proofErr w:type="spellStart"/>
            <w:r>
              <w:rPr>
                <w:szCs w:val="18"/>
              </w:rPr>
              <w:t>Massons</w:t>
            </w:r>
            <w:proofErr w:type="spellEnd"/>
            <w:r>
              <w:rPr>
                <w:szCs w:val="18"/>
              </w:rPr>
              <w:t xml:space="preserve"> Healthcare</w:t>
            </w:r>
          </w:p>
        </w:tc>
        <w:tc>
          <w:tcPr>
            <w:tcW w:w="3398" w:type="dxa"/>
          </w:tcPr>
          <w:p w14:paraId="49489667" w14:textId="0E876067" w:rsidR="0095580B" w:rsidRPr="00F726F8" w:rsidRDefault="0095580B" w:rsidP="00383EAE">
            <w:pPr>
              <w:pStyle w:val="TableText"/>
              <w:cnfStyle w:val="000000000000" w:firstRow="0" w:lastRow="0" w:firstColumn="0" w:lastColumn="0" w:oddVBand="0" w:evenVBand="0" w:oddHBand="0" w:evenHBand="0" w:firstRowFirstColumn="0" w:firstRowLastColumn="0" w:lastRowFirstColumn="0" w:lastRowLastColumn="0"/>
            </w:pPr>
            <w:r w:rsidRPr="00982E73">
              <w:t xml:space="preserve">No response received </w:t>
            </w:r>
          </w:p>
        </w:tc>
      </w:tr>
      <w:tr w:rsidR="00677ED1" w:rsidRPr="00F56161" w14:paraId="6C1B8223"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3298EE66" w14:textId="0E3FEEC6" w:rsidR="0095580B" w:rsidRDefault="00383EAE" w:rsidP="00383EAE">
            <w:pPr>
              <w:pStyle w:val="Tabletextbold"/>
              <w:rPr>
                <w:b/>
              </w:rPr>
            </w:pPr>
            <w:r w:rsidRPr="0089049F">
              <w:rPr>
                <w:b/>
              </w:rPr>
              <w:t>Retailers</w:t>
            </w:r>
          </w:p>
        </w:tc>
        <w:tc>
          <w:tcPr>
            <w:tcW w:w="3963" w:type="dxa"/>
          </w:tcPr>
          <w:p w14:paraId="2FFE905A" w14:textId="513DFF91" w:rsidR="0095580B" w:rsidRDefault="0095580B"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Taska Prosthetics</w:t>
            </w:r>
          </w:p>
        </w:tc>
        <w:tc>
          <w:tcPr>
            <w:tcW w:w="3398" w:type="dxa"/>
          </w:tcPr>
          <w:p w14:paraId="53F4A99B" w14:textId="7A89FFF8" w:rsidR="0095580B" w:rsidRPr="00F726F8" w:rsidRDefault="0095580B" w:rsidP="00383EAE">
            <w:pPr>
              <w:pStyle w:val="TableText"/>
              <w:cnfStyle w:val="000000000000" w:firstRow="0" w:lastRow="0" w:firstColumn="0" w:lastColumn="0" w:oddVBand="0" w:evenVBand="0" w:oddHBand="0" w:evenHBand="0" w:firstRowFirstColumn="0" w:firstRowLastColumn="0" w:lastRowFirstColumn="0" w:lastRowLastColumn="0"/>
            </w:pPr>
            <w:r w:rsidRPr="00982E73">
              <w:t xml:space="preserve">No response received </w:t>
            </w:r>
          </w:p>
        </w:tc>
      </w:tr>
      <w:tr w:rsidR="00677ED1" w:rsidRPr="00F56161" w14:paraId="39EA7752"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33CCD1EE" w14:textId="77777777" w:rsidR="007A1D2F" w:rsidRPr="00C042E7" w:rsidRDefault="007A1D2F" w:rsidP="00383EAE">
            <w:pPr>
              <w:pStyle w:val="Tabletextbold"/>
              <w:rPr>
                <w:b/>
              </w:rPr>
            </w:pPr>
            <w:r w:rsidRPr="00C042E7">
              <w:rPr>
                <w:b/>
              </w:rPr>
              <w:t>State / territory representatives</w:t>
            </w:r>
          </w:p>
        </w:tc>
        <w:tc>
          <w:tcPr>
            <w:tcW w:w="3963" w:type="dxa"/>
          </w:tcPr>
          <w:p w14:paraId="539E5E1E" w14:textId="328EF95F" w:rsidR="007A1D2F" w:rsidRDefault="00455B9C"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ACT Health Directorate</w:t>
            </w:r>
          </w:p>
        </w:tc>
        <w:tc>
          <w:tcPr>
            <w:tcW w:w="3398" w:type="dxa"/>
          </w:tcPr>
          <w:p w14:paraId="7D8D89C0" w14:textId="736A4DB9" w:rsidR="007A1D2F" w:rsidRPr="00F56161" w:rsidRDefault="003F7618"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sidRPr="00B52FF9">
              <w:t>Interview conducted</w:t>
            </w:r>
          </w:p>
        </w:tc>
      </w:tr>
      <w:tr w:rsidR="00677ED1" w:rsidRPr="00F56161" w14:paraId="7DFA155F"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5333244E" w14:textId="733DAE73" w:rsidR="00455B9C" w:rsidRPr="00C042E7" w:rsidRDefault="00383EAE" w:rsidP="00383EAE">
            <w:pPr>
              <w:pStyle w:val="Tabletextbold"/>
              <w:rPr>
                <w:b/>
              </w:rPr>
            </w:pPr>
            <w:r w:rsidRPr="00EB4B32">
              <w:rPr>
                <w:b/>
              </w:rPr>
              <w:t>State / territory representatives</w:t>
            </w:r>
          </w:p>
        </w:tc>
        <w:tc>
          <w:tcPr>
            <w:tcW w:w="3963" w:type="dxa"/>
          </w:tcPr>
          <w:p w14:paraId="6C04B819" w14:textId="6B949CAA" w:rsidR="00455B9C" w:rsidRDefault="00455B9C"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Cancer Institute NSW</w:t>
            </w:r>
          </w:p>
        </w:tc>
        <w:tc>
          <w:tcPr>
            <w:tcW w:w="3398" w:type="dxa"/>
          </w:tcPr>
          <w:p w14:paraId="0C178947" w14:textId="5034AF69" w:rsidR="00455B9C" w:rsidRPr="00F56161" w:rsidRDefault="003F7618"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sidRPr="00B52FF9">
              <w:t>Interview conducted</w:t>
            </w:r>
          </w:p>
        </w:tc>
      </w:tr>
      <w:tr w:rsidR="00677ED1" w:rsidRPr="00F56161" w14:paraId="2B790253"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38C773BC" w14:textId="205A5C07" w:rsidR="00455B9C" w:rsidRPr="00C042E7" w:rsidRDefault="00383EAE" w:rsidP="00383EAE">
            <w:pPr>
              <w:pStyle w:val="Tabletextbold"/>
              <w:rPr>
                <w:b/>
              </w:rPr>
            </w:pPr>
            <w:r w:rsidRPr="00EB4B32">
              <w:rPr>
                <w:b/>
              </w:rPr>
              <w:t>State / territory representatives</w:t>
            </w:r>
          </w:p>
        </w:tc>
        <w:tc>
          <w:tcPr>
            <w:tcW w:w="3963" w:type="dxa"/>
          </w:tcPr>
          <w:p w14:paraId="56AFCBC9" w14:textId="6D9C897C" w:rsidR="00455B9C" w:rsidRDefault="00455B9C"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Department of Health NT</w:t>
            </w:r>
          </w:p>
        </w:tc>
        <w:tc>
          <w:tcPr>
            <w:tcW w:w="3398" w:type="dxa"/>
          </w:tcPr>
          <w:p w14:paraId="3129CBB7" w14:textId="103A3D11" w:rsidR="00455B9C" w:rsidRPr="00F56161" w:rsidRDefault="003F7618"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sidRPr="00B52FF9">
              <w:t>Interview conducted</w:t>
            </w:r>
          </w:p>
        </w:tc>
      </w:tr>
      <w:tr w:rsidR="00677ED1" w:rsidRPr="00F56161" w14:paraId="42555019"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4963FDE2" w14:textId="458941E6" w:rsidR="00455B9C" w:rsidRPr="00C042E7" w:rsidRDefault="00383EAE" w:rsidP="00383EAE">
            <w:pPr>
              <w:pStyle w:val="Tabletextbold"/>
              <w:rPr>
                <w:b/>
              </w:rPr>
            </w:pPr>
            <w:r w:rsidRPr="00EB4B32">
              <w:rPr>
                <w:b/>
              </w:rPr>
              <w:t>State / territory representatives</w:t>
            </w:r>
          </w:p>
        </w:tc>
        <w:tc>
          <w:tcPr>
            <w:tcW w:w="3963" w:type="dxa"/>
          </w:tcPr>
          <w:p w14:paraId="1C0FA5BD" w14:textId="1737344E" w:rsidR="00455B9C" w:rsidRDefault="00455B9C"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Department of Health QLD</w:t>
            </w:r>
          </w:p>
        </w:tc>
        <w:tc>
          <w:tcPr>
            <w:tcW w:w="3398" w:type="dxa"/>
          </w:tcPr>
          <w:p w14:paraId="1F5606F3" w14:textId="25457A90" w:rsidR="00455B9C" w:rsidRPr="00F56161" w:rsidRDefault="003F7618"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sidRPr="00B52FF9">
              <w:t>Interview conducted</w:t>
            </w:r>
          </w:p>
        </w:tc>
      </w:tr>
      <w:tr w:rsidR="00677ED1" w:rsidRPr="00F56161" w14:paraId="6A84ABEF"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0A8299AB" w14:textId="3DB1E7BA" w:rsidR="00455B9C" w:rsidRPr="00C042E7" w:rsidRDefault="00383EAE" w:rsidP="00383EAE">
            <w:pPr>
              <w:pStyle w:val="Tabletextbold"/>
              <w:rPr>
                <w:b/>
              </w:rPr>
            </w:pPr>
            <w:r w:rsidRPr="00EB4B32">
              <w:rPr>
                <w:b/>
              </w:rPr>
              <w:t>State / territory representatives</w:t>
            </w:r>
          </w:p>
        </w:tc>
        <w:tc>
          <w:tcPr>
            <w:tcW w:w="3963" w:type="dxa"/>
          </w:tcPr>
          <w:p w14:paraId="4F4DFB41" w14:textId="67E43CE2" w:rsidR="00455B9C" w:rsidRDefault="003F7618"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Department</w:t>
            </w:r>
            <w:r w:rsidR="00455B9C">
              <w:rPr>
                <w:szCs w:val="18"/>
              </w:rPr>
              <w:t xml:space="preserve"> of Health SA</w:t>
            </w:r>
          </w:p>
        </w:tc>
        <w:tc>
          <w:tcPr>
            <w:tcW w:w="3398" w:type="dxa"/>
          </w:tcPr>
          <w:p w14:paraId="7DACD56D" w14:textId="757BA16E" w:rsidR="00455B9C" w:rsidRPr="00F56161" w:rsidRDefault="003F7618"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sidRPr="00B52FF9">
              <w:t>Interview conducted</w:t>
            </w:r>
          </w:p>
        </w:tc>
      </w:tr>
      <w:tr w:rsidR="00677ED1" w:rsidRPr="00F56161" w14:paraId="4646AC6B"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39DE6AB4" w14:textId="6D1395DF" w:rsidR="00455B9C" w:rsidRPr="00C042E7" w:rsidRDefault="00383EAE" w:rsidP="00383EAE">
            <w:pPr>
              <w:pStyle w:val="Tabletextbold"/>
              <w:rPr>
                <w:b/>
              </w:rPr>
            </w:pPr>
            <w:r w:rsidRPr="00EB4B32">
              <w:rPr>
                <w:b/>
              </w:rPr>
              <w:t>State / territory representatives</w:t>
            </w:r>
          </w:p>
        </w:tc>
        <w:tc>
          <w:tcPr>
            <w:tcW w:w="3963" w:type="dxa"/>
          </w:tcPr>
          <w:p w14:paraId="24B059E1" w14:textId="154645B4" w:rsidR="00455B9C" w:rsidRDefault="00455B9C"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Department of Health TAS</w:t>
            </w:r>
          </w:p>
        </w:tc>
        <w:tc>
          <w:tcPr>
            <w:tcW w:w="3398" w:type="dxa"/>
          </w:tcPr>
          <w:p w14:paraId="1C74C217" w14:textId="22ECDEDE" w:rsidR="00455B9C" w:rsidRPr="00F56161" w:rsidRDefault="003F7618"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sidRPr="00B52FF9">
              <w:t>Interview conducted</w:t>
            </w:r>
          </w:p>
        </w:tc>
      </w:tr>
      <w:tr w:rsidR="00677ED1" w:rsidRPr="00F56161" w14:paraId="5149DE9B"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43A3D618" w14:textId="23697AE8" w:rsidR="003F7618" w:rsidRPr="00C042E7" w:rsidRDefault="00383EAE" w:rsidP="00383EAE">
            <w:pPr>
              <w:pStyle w:val="Tabletextbold"/>
              <w:rPr>
                <w:b/>
              </w:rPr>
            </w:pPr>
            <w:r w:rsidRPr="00EB4B32">
              <w:rPr>
                <w:b/>
              </w:rPr>
              <w:t>State / territory representatives</w:t>
            </w:r>
          </w:p>
        </w:tc>
        <w:tc>
          <w:tcPr>
            <w:tcW w:w="3963" w:type="dxa"/>
          </w:tcPr>
          <w:p w14:paraId="7F592145" w14:textId="5A95F8A4" w:rsidR="003F7618" w:rsidRDefault="003F7618"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Department of Health WA</w:t>
            </w:r>
          </w:p>
        </w:tc>
        <w:tc>
          <w:tcPr>
            <w:tcW w:w="3398" w:type="dxa"/>
          </w:tcPr>
          <w:p w14:paraId="195E4A02" w14:textId="742E9F52" w:rsidR="003F7618" w:rsidRPr="00F56161" w:rsidRDefault="003F7618"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sidRPr="00B52FF9">
              <w:t>Interview conducted</w:t>
            </w:r>
          </w:p>
        </w:tc>
      </w:tr>
      <w:tr w:rsidR="00677ED1" w:rsidRPr="00F56161" w14:paraId="39E7D16D" w14:textId="77777777" w:rsidTr="00383EAE">
        <w:tc>
          <w:tcPr>
            <w:cnfStyle w:val="001000000000" w:firstRow="0" w:lastRow="0" w:firstColumn="1" w:lastColumn="0" w:oddVBand="0" w:evenVBand="0" w:oddHBand="0" w:evenHBand="0" w:firstRowFirstColumn="0" w:firstRowLastColumn="0" w:lastRowFirstColumn="0" w:lastRowLastColumn="0"/>
            <w:tcW w:w="2833" w:type="dxa"/>
          </w:tcPr>
          <w:p w14:paraId="72F06645" w14:textId="209CE987" w:rsidR="007A1D2F" w:rsidRPr="00F56161" w:rsidRDefault="00383EAE" w:rsidP="00383EAE">
            <w:pPr>
              <w:pStyle w:val="Tabletextbold"/>
            </w:pPr>
            <w:r w:rsidRPr="00EB4B32">
              <w:rPr>
                <w:b/>
              </w:rPr>
              <w:t>State / territory representatives</w:t>
            </w:r>
          </w:p>
        </w:tc>
        <w:tc>
          <w:tcPr>
            <w:tcW w:w="3963" w:type="dxa"/>
          </w:tcPr>
          <w:p w14:paraId="0B904AF9" w14:textId="0B438BF4" w:rsidR="007A1D2F" w:rsidRDefault="003F7618"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Royal Melbourne Hospital </w:t>
            </w:r>
          </w:p>
        </w:tc>
        <w:tc>
          <w:tcPr>
            <w:tcW w:w="3398" w:type="dxa"/>
          </w:tcPr>
          <w:p w14:paraId="3998E722" w14:textId="3BA3013A" w:rsidR="007A1D2F" w:rsidRPr="00F56161" w:rsidRDefault="003F7618" w:rsidP="00383EAE">
            <w:pPr>
              <w:pStyle w:val="TableText"/>
              <w:cnfStyle w:val="000000000000" w:firstRow="0" w:lastRow="0" w:firstColumn="0" w:lastColumn="0" w:oddVBand="0" w:evenVBand="0" w:oddHBand="0" w:evenHBand="0" w:firstRowFirstColumn="0" w:firstRowLastColumn="0" w:lastRowFirstColumn="0" w:lastRowLastColumn="0"/>
              <w:rPr>
                <w:szCs w:val="18"/>
              </w:rPr>
            </w:pPr>
            <w:r w:rsidRPr="00B52FF9">
              <w:t>Interview conducted</w:t>
            </w:r>
          </w:p>
        </w:tc>
      </w:tr>
    </w:tbl>
    <w:p w14:paraId="0D5A26C8" w14:textId="2837405D" w:rsidR="007A1D2F" w:rsidRPr="00844E85" w:rsidRDefault="007A1D2F" w:rsidP="00383EAE">
      <w:pPr>
        <w:pStyle w:val="Caption-Source"/>
        <w:rPr>
          <w:i/>
          <w:iCs w:val="0"/>
          <w:szCs w:val="20"/>
        </w:rPr>
      </w:pPr>
      <w:r w:rsidRPr="00844E85">
        <w:t xml:space="preserve">Source: </w:t>
      </w:r>
      <w:r w:rsidR="00435DC4">
        <w:t>Independent reviewer</w:t>
      </w:r>
      <w:r w:rsidRPr="00844E85">
        <w:t xml:space="preserve"> (2025)</w:t>
      </w:r>
    </w:p>
    <w:p w14:paraId="73A95F6E" w14:textId="58E40F8E" w:rsidR="005E4457" w:rsidRDefault="005E4457">
      <w:pPr>
        <w:spacing w:before="0" w:after="160" w:line="259" w:lineRule="auto"/>
      </w:pPr>
      <w:r>
        <w:br w:type="page"/>
      </w:r>
    </w:p>
    <w:p w14:paraId="721A20A8" w14:textId="0086C063" w:rsidR="00E713C6" w:rsidRDefault="00EF2A94" w:rsidP="008239ED">
      <w:pPr>
        <w:pStyle w:val="AppendixHeading2"/>
        <w:rPr>
          <w:rFonts w:eastAsia="Calibri"/>
        </w:rPr>
      </w:pPr>
      <w:bookmarkStart w:id="225" w:name="_Toc207348761"/>
      <w:r w:rsidRPr="00EF2A94">
        <w:t>Survey of people living with or with lived experience of cancer and their carers</w:t>
      </w:r>
      <w:bookmarkEnd w:id="225"/>
      <w:r w:rsidRPr="00EF2A94">
        <w:rPr>
          <w:rFonts w:eastAsia="Calibri"/>
        </w:rPr>
        <w:t xml:space="preserve"> </w:t>
      </w:r>
    </w:p>
    <w:p w14:paraId="5469623E" w14:textId="53CF64F5" w:rsidR="00960F32" w:rsidRPr="00A10684" w:rsidRDefault="00960F32" w:rsidP="00A10684">
      <w:r>
        <w:t xml:space="preserve">Not all respondents provided </w:t>
      </w:r>
      <w:r w:rsidR="00316E8F">
        <w:t>a response to every question</w:t>
      </w:r>
      <w:r w:rsidR="005820A1">
        <w:t xml:space="preserve">, therefore the number of respondents for each question fluctuates. The total number of respondents are noted in each question. </w:t>
      </w:r>
    </w:p>
    <w:p w14:paraId="609F2877" w14:textId="58F89977" w:rsidR="005820A1" w:rsidRPr="00960F32" w:rsidRDefault="00EB0509" w:rsidP="00A10684">
      <w:r w:rsidRPr="00A10684">
        <w:t xml:space="preserve">A total of 61 respondents </w:t>
      </w:r>
      <w:r w:rsidR="009B5081" w:rsidRPr="00A10684">
        <w:t>provided a response for every mandatory question in the survey</w:t>
      </w:r>
      <w:r w:rsidR="00BB0899" w:rsidRPr="00A10684">
        <w:t>. On the other hand,</w:t>
      </w:r>
      <w:r w:rsidR="00E92941" w:rsidRPr="00A10684">
        <w:t xml:space="preserve"> </w:t>
      </w:r>
      <w:r w:rsidR="00B50FC2" w:rsidRPr="00A10684">
        <w:t>57 other</w:t>
      </w:r>
      <w:r w:rsidR="00E92941" w:rsidRPr="00A10684">
        <w:t xml:space="preserve"> respondents started </w:t>
      </w:r>
      <w:r w:rsidR="009C00C7" w:rsidRPr="00A10684">
        <w:t>the survey but did not complete it. The most com</w:t>
      </w:r>
      <w:r w:rsidR="009C00C7">
        <w:t xml:space="preserve">mon </w:t>
      </w:r>
      <w:r w:rsidR="00DD625E">
        <w:t>drop-off question was question 6</w:t>
      </w:r>
      <w:r w:rsidR="00E62564">
        <w:t xml:space="preserve">. </w:t>
      </w:r>
    </w:p>
    <w:p w14:paraId="36F61A4C" w14:textId="55A104D3" w:rsidR="00F00433" w:rsidRPr="0042443F" w:rsidRDefault="00F00433" w:rsidP="005C1285">
      <w:pPr>
        <w:pStyle w:val="ListNumber"/>
        <w:rPr>
          <w:rStyle w:val="Strong"/>
        </w:rPr>
      </w:pPr>
      <w:r w:rsidRPr="0042443F">
        <w:rPr>
          <w:rStyle w:val="Strong"/>
        </w:rPr>
        <w:t xml:space="preserve">How old are you, or the age of the person you care for? </w:t>
      </w:r>
    </w:p>
    <w:tbl>
      <w:tblPr>
        <w:tblStyle w:val="KPMGTable"/>
        <w:tblW w:w="10028" w:type="dxa"/>
        <w:tblLook w:val="04A0" w:firstRow="1" w:lastRow="0" w:firstColumn="1" w:lastColumn="0" w:noHBand="0" w:noVBand="1"/>
      </w:tblPr>
      <w:tblGrid>
        <w:gridCol w:w="3342"/>
        <w:gridCol w:w="3343"/>
        <w:gridCol w:w="3343"/>
      </w:tblGrid>
      <w:tr w:rsidR="00677ED1" w:rsidRPr="007B154A" w14:paraId="28C0F636"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3342" w:type="dxa"/>
          </w:tcPr>
          <w:p w14:paraId="175C1EE3" w14:textId="3447207D" w:rsidR="0054313E" w:rsidRPr="007B154A" w:rsidRDefault="0054313E" w:rsidP="00C1112D">
            <w:pPr>
              <w:pStyle w:val="TableHeading"/>
              <w:rPr>
                <w:b w:val="0"/>
                <w:color w:val="FFFFFF" w:themeColor="background1"/>
                <w:szCs w:val="20"/>
              </w:rPr>
            </w:pPr>
            <w:r>
              <w:t>Response</w:t>
            </w:r>
          </w:p>
        </w:tc>
        <w:tc>
          <w:tcPr>
            <w:tcW w:w="3343" w:type="dxa"/>
          </w:tcPr>
          <w:p w14:paraId="6DD5327F" w14:textId="45974CBA" w:rsidR="00386CBC" w:rsidRPr="00386CBC" w:rsidRDefault="00386CBC" w:rsidP="00C1112D">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rsidRPr="00386CBC">
              <w:t>Number of respondents</w:t>
            </w:r>
          </w:p>
        </w:tc>
        <w:tc>
          <w:tcPr>
            <w:tcW w:w="3343" w:type="dxa"/>
          </w:tcPr>
          <w:p w14:paraId="4419B1A6" w14:textId="3136342B" w:rsidR="0054313E" w:rsidRPr="00276F53" w:rsidRDefault="00386CBC" w:rsidP="00C1112D">
            <w:pPr>
              <w:pStyle w:val="TableHeading"/>
              <w:cnfStyle w:val="100000000000" w:firstRow="1" w:lastRow="0" w:firstColumn="0" w:lastColumn="0" w:oddVBand="0" w:evenVBand="0" w:oddHBand="0" w:evenHBand="0" w:firstRowFirstColumn="0" w:firstRowLastColumn="0" w:lastRowFirstColumn="0" w:lastRowLastColumn="0"/>
              <w:rPr>
                <w:b w:val="0"/>
                <w:szCs w:val="20"/>
              </w:rPr>
            </w:pPr>
            <w:r w:rsidRPr="00276F53">
              <w:t>Proportion of total respondents</w:t>
            </w:r>
            <w:r w:rsidR="00B870E7" w:rsidRPr="00276F53">
              <w:rPr>
                <w:b w:val="0"/>
                <w:szCs w:val="20"/>
              </w:rPr>
              <w:t xml:space="preserve"> (%)</w:t>
            </w:r>
          </w:p>
        </w:tc>
      </w:tr>
      <w:tr w:rsidR="00677ED1" w:rsidRPr="001B05CB" w14:paraId="24ECE584" w14:textId="77777777" w:rsidTr="00C1112D">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0DB24558" w14:textId="019CEC5A" w:rsidR="0054313E" w:rsidRPr="00E90673" w:rsidRDefault="00386CBC" w:rsidP="00C1112D">
            <w:pPr>
              <w:pStyle w:val="TableText"/>
              <w:rPr>
                <w:szCs w:val="20"/>
              </w:rPr>
            </w:pPr>
            <w:r w:rsidRPr="006D20D0">
              <w:t>Under 25 years old</w:t>
            </w:r>
          </w:p>
        </w:tc>
        <w:tc>
          <w:tcPr>
            <w:tcW w:w="3343" w:type="dxa"/>
          </w:tcPr>
          <w:p w14:paraId="6EE36D89" w14:textId="4EC5CE90" w:rsidR="00386CBC" w:rsidRPr="006D20D0" w:rsidRDefault="00F10204" w:rsidP="00C1112D">
            <w:pPr>
              <w:pStyle w:val="TableText"/>
              <w:cnfStyle w:val="000000000000" w:firstRow="0" w:lastRow="0" w:firstColumn="0" w:lastColumn="0" w:oddVBand="0" w:evenVBand="0" w:oddHBand="0" w:evenHBand="0" w:firstRowFirstColumn="0" w:firstRowLastColumn="0" w:lastRowFirstColumn="0" w:lastRowLastColumn="0"/>
            </w:pPr>
            <w:r w:rsidRPr="006D20D0">
              <w:t>1</w:t>
            </w:r>
          </w:p>
        </w:tc>
        <w:tc>
          <w:tcPr>
            <w:tcW w:w="3343" w:type="dxa"/>
          </w:tcPr>
          <w:p w14:paraId="25A77980" w14:textId="6A7B2406" w:rsidR="0054313E" w:rsidRPr="006D20D0" w:rsidRDefault="00960F32" w:rsidP="00C1112D">
            <w:pPr>
              <w:pStyle w:val="TableText"/>
              <w:cnfStyle w:val="000000000000" w:firstRow="0" w:lastRow="0" w:firstColumn="0" w:lastColumn="0" w:oddVBand="0" w:evenVBand="0" w:oddHBand="0" w:evenHBand="0" w:firstRowFirstColumn="0" w:firstRowLastColumn="0" w:lastRowFirstColumn="0" w:lastRowLastColumn="0"/>
            </w:pPr>
            <w:r w:rsidRPr="006D20D0">
              <w:t>0.</w:t>
            </w:r>
            <w:r w:rsidR="00A16C06">
              <w:t>9</w:t>
            </w:r>
          </w:p>
        </w:tc>
      </w:tr>
      <w:tr w:rsidR="00677ED1" w:rsidRPr="00FA30FA" w14:paraId="62519C62" w14:textId="77777777" w:rsidTr="00C1112D">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2F2DAD67" w14:textId="0A0E1ADF" w:rsidR="0054313E" w:rsidRPr="00E90673" w:rsidRDefault="00386CBC" w:rsidP="00C1112D">
            <w:pPr>
              <w:pStyle w:val="TableText"/>
              <w:rPr>
                <w:szCs w:val="20"/>
              </w:rPr>
            </w:pPr>
            <w:r w:rsidRPr="006D20D0">
              <w:t xml:space="preserve">25 </w:t>
            </w:r>
            <w:r w:rsidR="00644F87" w:rsidRPr="006D20D0">
              <w:t>to</w:t>
            </w:r>
            <w:r w:rsidRPr="006D20D0">
              <w:t xml:space="preserve"> 34 years old</w:t>
            </w:r>
          </w:p>
        </w:tc>
        <w:tc>
          <w:tcPr>
            <w:tcW w:w="3343" w:type="dxa"/>
          </w:tcPr>
          <w:p w14:paraId="34723113" w14:textId="511DCC3D" w:rsidR="00386CBC" w:rsidRPr="006D20D0" w:rsidRDefault="00960F32" w:rsidP="00C1112D">
            <w:pPr>
              <w:pStyle w:val="TableText"/>
              <w:cnfStyle w:val="000000000000" w:firstRow="0" w:lastRow="0" w:firstColumn="0" w:lastColumn="0" w:oddVBand="0" w:evenVBand="0" w:oddHBand="0" w:evenHBand="0" w:firstRowFirstColumn="0" w:firstRowLastColumn="0" w:lastRowFirstColumn="0" w:lastRowLastColumn="0"/>
            </w:pPr>
            <w:r w:rsidRPr="006D20D0">
              <w:t>3</w:t>
            </w:r>
          </w:p>
        </w:tc>
        <w:tc>
          <w:tcPr>
            <w:tcW w:w="3343" w:type="dxa"/>
          </w:tcPr>
          <w:p w14:paraId="7EA385D1" w14:textId="6B351865" w:rsidR="0054313E" w:rsidRPr="006D20D0" w:rsidRDefault="00960F32" w:rsidP="00C1112D">
            <w:pPr>
              <w:pStyle w:val="TableText"/>
              <w:cnfStyle w:val="000000000000" w:firstRow="0" w:lastRow="0" w:firstColumn="0" w:lastColumn="0" w:oddVBand="0" w:evenVBand="0" w:oddHBand="0" w:evenHBand="0" w:firstRowFirstColumn="0" w:firstRowLastColumn="0" w:lastRowFirstColumn="0" w:lastRowLastColumn="0"/>
            </w:pPr>
            <w:r w:rsidRPr="006D20D0">
              <w:t>2.6</w:t>
            </w:r>
          </w:p>
        </w:tc>
      </w:tr>
      <w:tr w:rsidR="00677ED1" w:rsidRPr="00FA30FA" w14:paraId="4EDC6AE3" w14:textId="77777777" w:rsidTr="00C1112D">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6FE9465F" w14:textId="43930A59" w:rsidR="0054313E" w:rsidRPr="00E90673" w:rsidRDefault="00386CBC" w:rsidP="00C1112D">
            <w:pPr>
              <w:pStyle w:val="TableText"/>
              <w:rPr>
                <w:szCs w:val="20"/>
              </w:rPr>
            </w:pPr>
            <w:r w:rsidRPr="006D20D0">
              <w:t xml:space="preserve">35 </w:t>
            </w:r>
            <w:r w:rsidR="00644F87" w:rsidRPr="006D20D0">
              <w:t>to</w:t>
            </w:r>
            <w:r w:rsidRPr="006D20D0">
              <w:t xml:space="preserve"> 44 years old</w:t>
            </w:r>
          </w:p>
        </w:tc>
        <w:tc>
          <w:tcPr>
            <w:tcW w:w="3343" w:type="dxa"/>
          </w:tcPr>
          <w:p w14:paraId="0AB67EB9" w14:textId="189FD09B" w:rsidR="00386CBC" w:rsidRPr="006D20D0" w:rsidRDefault="00960F32" w:rsidP="00C1112D">
            <w:pPr>
              <w:pStyle w:val="TableText"/>
              <w:cnfStyle w:val="000000000000" w:firstRow="0" w:lastRow="0" w:firstColumn="0" w:lastColumn="0" w:oddVBand="0" w:evenVBand="0" w:oddHBand="0" w:evenHBand="0" w:firstRowFirstColumn="0" w:firstRowLastColumn="0" w:lastRowFirstColumn="0" w:lastRowLastColumn="0"/>
            </w:pPr>
            <w:r w:rsidRPr="006D20D0">
              <w:t>2</w:t>
            </w:r>
          </w:p>
        </w:tc>
        <w:tc>
          <w:tcPr>
            <w:tcW w:w="3343" w:type="dxa"/>
          </w:tcPr>
          <w:p w14:paraId="633DA47E" w14:textId="6EF5B97A" w:rsidR="0054313E" w:rsidRPr="006D20D0" w:rsidRDefault="00B870E7" w:rsidP="00C1112D">
            <w:pPr>
              <w:pStyle w:val="TableText"/>
              <w:cnfStyle w:val="000000000000" w:firstRow="0" w:lastRow="0" w:firstColumn="0" w:lastColumn="0" w:oddVBand="0" w:evenVBand="0" w:oddHBand="0" w:evenHBand="0" w:firstRowFirstColumn="0" w:firstRowLastColumn="0" w:lastRowFirstColumn="0" w:lastRowLastColumn="0"/>
            </w:pPr>
            <w:r w:rsidRPr="006D20D0">
              <w:t>1.</w:t>
            </w:r>
            <w:r w:rsidR="00960F32" w:rsidRPr="006D20D0">
              <w:t>7</w:t>
            </w:r>
          </w:p>
        </w:tc>
      </w:tr>
      <w:tr w:rsidR="00677ED1" w:rsidRPr="00FA30FA" w14:paraId="29967B8D" w14:textId="77777777" w:rsidTr="00C1112D">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78FD5CA1" w14:textId="74B5BC01" w:rsidR="0054313E" w:rsidRPr="00E90673" w:rsidRDefault="00386CBC" w:rsidP="00C1112D">
            <w:pPr>
              <w:pStyle w:val="TableText"/>
              <w:rPr>
                <w:szCs w:val="20"/>
              </w:rPr>
            </w:pPr>
            <w:r w:rsidRPr="006D20D0">
              <w:t xml:space="preserve">45 </w:t>
            </w:r>
            <w:r w:rsidR="00644F87" w:rsidRPr="006D20D0">
              <w:t>to</w:t>
            </w:r>
            <w:r w:rsidRPr="006D20D0">
              <w:t xml:space="preserve"> 54 years old </w:t>
            </w:r>
          </w:p>
        </w:tc>
        <w:tc>
          <w:tcPr>
            <w:tcW w:w="3343" w:type="dxa"/>
          </w:tcPr>
          <w:p w14:paraId="5EE181E0" w14:textId="52A92910" w:rsidR="00386CBC" w:rsidRPr="006D20D0" w:rsidRDefault="00B85FE0" w:rsidP="00C1112D">
            <w:pPr>
              <w:pStyle w:val="TableText"/>
              <w:cnfStyle w:val="000000000000" w:firstRow="0" w:lastRow="0" w:firstColumn="0" w:lastColumn="0" w:oddVBand="0" w:evenVBand="0" w:oddHBand="0" w:evenHBand="0" w:firstRowFirstColumn="0" w:firstRowLastColumn="0" w:lastRowFirstColumn="0" w:lastRowLastColumn="0"/>
            </w:pPr>
            <w:r w:rsidRPr="006D20D0">
              <w:t>2</w:t>
            </w:r>
            <w:r w:rsidR="00960F32" w:rsidRPr="006D20D0">
              <w:t>0</w:t>
            </w:r>
          </w:p>
        </w:tc>
        <w:tc>
          <w:tcPr>
            <w:tcW w:w="3343" w:type="dxa"/>
          </w:tcPr>
          <w:p w14:paraId="2AD78859" w14:textId="3A3C8BF2" w:rsidR="0054313E" w:rsidRPr="006D20D0" w:rsidRDefault="003E3391" w:rsidP="00C1112D">
            <w:pPr>
              <w:pStyle w:val="TableText"/>
              <w:cnfStyle w:val="000000000000" w:firstRow="0" w:lastRow="0" w:firstColumn="0" w:lastColumn="0" w:oddVBand="0" w:evenVBand="0" w:oddHBand="0" w:evenHBand="0" w:firstRowFirstColumn="0" w:firstRowLastColumn="0" w:lastRowFirstColumn="0" w:lastRowLastColumn="0"/>
            </w:pPr>
            <w:r w:rsidRPr="006D20D0">
              <w:t>1</w:t>
            </w:r>
            <w:r w:rsidR="00960F32" w:rsidRPr="006D20D0">
              <w:t>7.</w:t>
            </w:r>
            <w:r w:rsidR="00F4293D">
              <w:t>1</w:t>
            </w:r>
          </w:p>
        </w:tc>
      </w:tr>
      <w:tr w:rsidR="00677ED1" w:rsidRPr="00FA30FA" w14:paraId="02FEDFAB" w14:textId="77777777" w:rsidTr="00C1112D">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0D0E9310" w14:textId="01AF6D07" w:rsidR="0054313E" w:rsidRPr="00E90673" w:rsidRDefault="00386CBC" w:rsidP="00C1112D">
            <w:pPr>
              <w:pStyle w:val="TableText"/>
              <w:rPr>
                <w:szCs w:val="20"/>
              </w:rPr>
            </w:pPr>
            <w:r w:rsidRPr="006D20D0">
              <w:t>55+ years old</w:t>
            </w:r>
          </w:p>
        </w:tc>
        <w:tc>
          <w:tcPr>
            <w:tcW w:w="3343" w:type="dxa"/>
          </w:tcPr>
          <w:p w14:paraId="0E49CF11" w14:textId="2EAA48E9" w:rsidR="00386CBC" w:rsidRPr="006D20D0" w:rsidRDefault="00960F32" w:rsidP="00C1112D">
            <w:pPr>
              <w:pStyle w:val="TableText"/>
              <w:cnfStyle w:val="000000000000" w:firstRow="0" w:lastRow="0" w:firstColumn="0" w:lastColumn="0" w:oddVBand="0" w:evenVBand="0" w:oddHBand="0" w:evenHBand="0" w:firstRowFirstColumn="0" w:firstRowLastColumn="0" w:lastRowFirstColumn="0" w:lastRowLastColumn="0"/>
            </w:pPr>
            <w:r w:rsidRPr="006D20D0">
              <w:t>91</w:t>
            </w:r>
          </w:p>
        </w:tc>
        <w:tc>
          <w:tcPr>
            <w:tcW w:w="3343" w:type="dxa"/>
          </w:tcPr>
          <w:p w14:paraId="5D64E700" w14:textId="3FD18839" w:rsidR="0054313E" w:rsidRPr="006D20D0" w:rsidRDefault="00E5778B" w:rsidP="00C1112D">
            <w:pPr>
              <w:pStyle w:val="TableText"/>
              <w:cnfStyle w:val="000000000000" w:firstRow="0" w:lastRow="0" w:firstColumn="0" w:lastColumn="0" w:oddVBand="0" w:evenVBand="0" w:oddHBand="0" w:evenHBand="0" w:firstRowFirstColumn="0" w:firstRowLastColumn="0" w:lastRowFirstColumn="0" w:lastRowLastColumn="0"/>
            </w:pPr>
            <w:r w:rsidRPr="006D20D0">
              <w:t>77</w:t>
            </w:r>
            <w:r w:rsidR="00960F32" w:rsidRPr="006D20D0">
              <w:t>.8</w:t>
            </w:r>
          </w:p>
        </w:tc>
      </w:tr>
      <w:tr w:rsidR="00677ED1" w:rsidRPr="00FA30FA" w14:paraId="32868FFA" w14:textId="77777777" w:rsidTr="00C1112D">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0EB167DF" w14:textId="3FD78D34" w:rsidR="00032942" w:rsidRPr="006D20D0" w:rsidRDefault="00032942" w:rsidP="00C1112D">
            <w:pPr>
              <w:pStyle w:val="Tabletextbold"/>
              <w:rPr>
                <w:rFonts w:eastAsiaTheme="minorEastAsia" w:cs="Arial"/>
                <w:b/>
                <w:szCs w:val="18"/>
              </w:rPr>
            </w:pPr>
            <w:r w:rsidRPr="00C33FD2">
              <w:rPr>
                <w:b/>
                <w:bCs/>
              </w:rPr>
              <w:t>Total</w:t>
            </w:r>
          </w:p>
        </w:tc>
        <w:tc>
          <w:tcPr>
            <w:tcW w:w="3343" w:type="dxa"/>
          </w:tcPr>
          <w:p w14:paraId="46EA910E" w14:textId="5CEFBC85" w:rsidR="00032942" w:rsidRPr="006D20D0" w:rsidRDefault="00960F32" w:rsidP="00C1112D">
            <w:pPr>
              <w:pStyle w:val="TableText"/>
              <w:cnfStyle w:val="000000000000" w:firstRow="0" w:lastRow="0" w:firstColumn="0" w:lastColumn="0" w:oddVBand="0" w:evenVBand="0" w:oddHBand="0" w:evenHBand="0" w:firstRowFirstColumn="0" w:firstRowLastColumn="0" w:lastRowFirstColumn="0" w:lastRowLastColumn="0"/>
            </w:pPr>
            <w:r w:rsidRPr="006D20D0">
              <w:t>117</w:t>
            </w:r>
          </w:p>
        </w:tc>
        <w:tc>
          <w:tcPr>
            <w:tcW w:w="3343" w:type="dxa"/>
          </w:tcPr>
          <w:p w14:paraId="2FCBA505" w14:textId="4B51CC2E" w:rsidR="00032942" w:rsidRPr="006D20D0" w:rsidRDefault="00E5778B" w:rsidP="00C1112D">
            <w:pPr>
              <w:pStyle w:val="TableText"/>
              <w:cnfStyle w:val="000000000000" w:firstRow="0" w:lastRow="0" w:firstColumn="0" w:lastColumn="0" w:oddVBand="0" w:evenVBand="0" w:oddHBand="0" w:evenHBand="0" w:firstRowFirstColumn="0" w:firstRowLastColumn="0" w:lastRowFirstColumn="0" w:lastRowLastColumn="0"/>
            </w:pPr>
            <w:r w:rsidRPr="006D20D0">
              <w:t>100</w:t>
            </w:r>
          </w:p>
        </w:tc>
      </w:tr>
    </w:tbl>
    <w:p w14:paraId="2D5D3997" w14:textId="24125501" w:rsidR="00E87F3D" w:rsidRPr="005C1285" w:rsidRDefault="00032942" w:rsidP="005C1285">
      <w:pPr>
        <w:pStyle w:val="Caption-Source"/>
      </w:pPr>
      <w:r w:rsidRPr="005C1285">
        <w:t xml:space="preserve">Source: </w:t>
      </w:r>
      <w:r w:rsidR="00435DC4">
        <w:t>Independent reviewer</w:t>
      </w:r>
      <w:r w:rsidR="00584D02" w:rsidRPr="005C1285">
        <w:t xml:space="preserve"> (</w:t>
      </w:r>
      <w:r w:rsidRPr="005C1285">
        <w:t>2025</w:t>
      </w:r>
      <w:r w:rsidR="00584D02" w:rsidRPr="005C1285">
        <w:t>)</w:t>
      </w:r>
    </w:p>
    <w:p w14:paraId="37FFE6A3" w14:textId="781B4793" w:rsidR="00F00433" w:rsidRPr="0042443F" w:rsidRDefault="00F00433" w:rsidP="005C1285">
      <w:pPr>
        <w:pStyle w:val="ListNumber"/>
        <w:rPr>
          <w:rStyle w:val="Strong"/>
        </w:rPr>
      </w:pPr>
      <w:r w:rsidRPr="0042443F">
        <w:rPr>
          <w:rStyle w:val="Strong"/>
        </w:rPr>
        <w:t>What is your gender, or the gender of the person you care for? [single answer, mandatory]</w:t>
      </w:r>
    </w:p>
    <w:tbl>
      <w:tblPr>
        <w:tblStyle w:val="KPMGTable"/>
        <w:tblW w:w="10028" w:type="dxa"/>
        <w:tblLook w:val="04A0" w:firstRow="1" w:lastRow="0" w:firstColumn="1" w:lastColumn="0" w:noHBand="0" w:noVBand="1"/>
      </w:tblPr>
      <w:tblGrid>
        <w:gridCol w:w="3342"/>
        <w:gridCol w:w="3343"/>
        <w:gridCol w:w="3343"/>
      </w:tblGrid>
      <w:tr w:rsidR="00677ED1" w:rsidRPr="00386CBC" w14:paraId="475B759C"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3342" w:type="dxa"/>
          </w:tcPr>
          <w:p w14:paraId="6710DE00" w14:textId="77777777" w:rsidR="00FF04EF" w:rsidRPr="006F5F45" w:rsidRDefault="00FF04EF" w:rsidP="00127E5B">
            <w:pPr>
              <w:pStyle w:val="TableHeading"/>
              <w:rPr>
                <w:color w:val="FFFFFF" w:themeColor="background1"/>
                <w:szCs w:val="20"/>
              </w:rPr>
            </w:pPr>
            <w:r w:rsidRPr="006F5F45">
              <w:t>Response</w:t>
            </w:r>
          </w:p>
        </w:tc>
        <w:tc>
          <w:tcPr>
            <w:tcW w:w="3343" w:type="dxa"/>
          </w:tcPr>
          <w:p w14:paraId="0D218ADB" w14:textId="77777777" w:rsidR="00FF04EF" w:rsidRPr="006F5F45" w:rsidRDefault="00FF04EF" w:rsidP="00127E5B">
            <w:pPr>
              <w:pStyle w:val="TableHeading"/>
              <w:cnfStyle w:val="100000000000" w:firstRow="1" w:lastRow="0" w:firstColumn="0" w:lastColumn="0" w:oddVBand="0" w:evenVBand="0" w:oddHBand="0" w:evenHBand="0" w:firstRowFirstColumn="0" w:firstRowLastColumn="0" w:lastRowFirstColumn="0" w:lastRowLastColumn="0"/>
              <w:rPr>
                <w:szCs w:val="20"/>
              </w:rPr>
            </w:pPr>
            <w:r w:rsidRPr="006F5F45">
              <w:t xml:space="preserve">Number of </w:t>
            </w:r>
            <w:r w:rsidRPr="006F5F45">
              <w:rPr>
                <w:szCs w:val="20"/>
              </w:rPr>
              <w:t>respondents</w:t>
            </w:r>
          </w:p>
        </w:tc>
        <w:tc>
          <w:tcPr>
            <w:tcW w:w="3343" w:type="dxa"/>
          </w:tcPr>
          <w:p w14:paraId="5AD8B9C4" w14:textId="77777777" w:rsidR="00FF04EF" w:rsidRPr="006F5F45" w:rsidRDefault="00FF04EF" w:rsidP="00127E5B">
            <w:pPr>
              <w:pStyle w:val="TableHeading"/>
              <w:cnfStyle w:val="100000000000" w:firstRow="1" w:lastRow="0" w:firstColumn="0" w:lastColumn="0" w:oddVBand="0" w:evenVBand="0" w:oddHBand="0" w:evenHBand="0" w:firstRowFirstColumn="0" w:firstRowLastColumn="0" w:lastRowFirstColumn="0" w:lastRowLastColumn="0"/>
              <w:rPr>
                <w:szCs w:val="20"/>
              </w:rPr>
            </w:pPr>
            <w:r w:rsidRPr="006F5F45">
              <w:t>Proportion of total respondents</w:t>
            </w:r>
            <w:r w:rsidRPr="006F5F45">
              <w:rPr>
                <w:szCs w:val="20"/>
              </w:rPr>
              <w:t xml:space="preserve"> (%)</w:t>
            </w:r>
          </w:p>
        </w:tc>
      </w:tr>
      <w:tr w:rsidR="00677ED1" w:rsidRPr="009C1931" w14:paraId="17948AF3" w14:textId="77777777" w:rsidTr="00127E5B">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1ABBC09C" w14:textId="4D3F1B44" w:rsidR="00FF04EF" w:rsidRPr="006D20D0" w:rsidRDefault="00FF04EF" w:rsidP="00127E5B">
            <w:pPr>
              <w:pStyle w:val="TableText"/>
            </w:pPr>
            <w:r w:rsidRPr="006D20D0">
              <w:t>Male</w:t>
            </w:r>
          </w:p>
        </w:tc>
        <w:tc>
          <w:tcPr>
            <w:tcW w:w="3343" w:type="dxa"/>
          </w:tcPr>
          <w:p w14:paraId="2FD8D978" w14:textId="3A9A591C" w:rsidR="00FF04EF" w:rsidRPr="006D20D0" w:rsidRDefault="00E62564" w:rsidP="00127E5B">
            <w:pPr>
              <w:pStyle w:val="TableText"/>
              <w:cnfStyle w:val="000000000000" w:firstRow="0" w:lastRow="0" w:firstColumn="0" w:lastColumn="0" w:oddVBand="0" w:evenVBand="0" w:oddHBand="0" w:evenHBand="0" w:firstRowFirstColumn="0" w:firstRowLastColumn="0" w:lastRowFirstColumn="0" w:lastRowLastColumn="0"/>
            </w:pPr>
            <w:r w:rsidRPr="006D20D0">
              <w:t>63</w:t>
            </w:r>
          </w:p>
        </w:tc>
        <w:tc>
          <w:tcPr>
            <w:tcW w:w="3343" w:type="dxa"/>
          </w:tcPr>
          <w:p w14:paraId="2D1B9E4C" w14:textId="4466C0B9" w:rsidR="00FF04EF" w:rsidRPr="006D20D0" w:rsidRDefault="006E71CB" w:rsidP="00127E5B">
            <w:pPr>
              <w:pStyle w:val="TableText"/>
              <w:cnfStyle w:val="000000000000" w:firstRow="0" w:lastRow="0" w:firstColumn="0" w:lastColumn="0" w:oddVBand="0" w:evenVBand="0" w:oddHBand="0" w:evenHBand="0" w:firstRowFirstColumn="0" w:firstRowLastColumn="0" w:lastRowFirstColumn="0" w:lastRowLastColumn="0"/>
            </w:pPr>
            <w:r w:rsidRPr="006D20D0">
              <w:t>53.</w:t>
            </w:r>
            <w:r w:rsidR="00A16C06">
              <w:t>4</w:t>
            </w:r>
          </w:p>
        </w:tc>
      </w:tr>
      <w:tr w:rsidR="00677ED1" w:rsidRPr="009C1931" w14:paraId="26DDEB00" w14:textId="77777777" w:rsidTr="00127E5B">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38A34EBD" w14:textId="3010FA11" w:rsidR="00FF04EF" w:rsidRPr="006D20D0" w:rsidRDefault="00FF04EF" w:rsidP="00127E5B">
            <w:pPr>
              <w:pStyle w:val="TableText"/>
            </w:pPr>
            <w:r w:rsidRPr="006D20D0">
              <w:t>Female</w:t>
            </w:r>
          </w:p>
        </w:tc>
        <w:tc>
          <w:tcPr>
            <w:tcW w:w="3343" w:type="dxa"/>
          </w:tcPr>
          <w:p w14:paraId="6C1086EB" w14:textId="040C3CAE" w:rsidR="00FF04EF" w:rsidRPr="006D20D0" w:rsidRDefault="00E62564" w:rsidP="00127E5B">
            <w:pPr>
              <w:pStyle w:val="TableText"/>
              <w:cnfStyle w:val="000000000000" w:firstRow="0" w:lastRow="0" w:firstColumn="0" w:lastColumn="0" w:oddVBand="0" w:evenVBand="0" w:oddHBand="0" w:evenHBand="0" w:firstRowFirstColumn="0" w:firstRowLastColumn="0" w:lastRowFirstColumn="0" w:lastRowLastColumn="0"/>
            </w:pPr>
            <w:r w:rsidRPr="006D20D0">
              <w:t>53</w:t>
            </w:r>
          </w:p>
        </w:tc>
        <w:tc>
          <w:tcPr>
            <w:tcW w:w="3343" w:type="dxa"/>
          </w:tcPr>
          <w:p w14:paraId="5114D28A" w14:textId="34FC3F44" w:rsidR="00FF04EF" w:rsidRPr="006D20D0" w:rsidRDefault="006E71CB" w:rsidP="00127E5B">
            <w:pPr>
              <w:pStyle w:val="TableText"/>
              <w:cnfStyle w:val="000000000000" w:firstRow="0" w:lastRow="0" w:firstColumn="0" w:lastColumn="0" w:oddVBand="0" w:evenVBand="0" w:oddHBand="0" w:evenHBand="0" w:firstRowFirstColumn="0" w:firstRowLastColumn="0" w:lastRowFirstColumn="0" w:lastRowLastColumn="0"/>
            </w:pPr>
            <w:r w:rsidRPr="006D20D0">
              <w:t>44.9</w:t>
            </w:r>
          </w:p>
        </w:tc>
      </w:tr>
      <w:tr w:rsidR="00677ED1" w:rsidRPr="009C1931" w14:paraId="5460E73A" w14:textId="77777777" w:rsidTr="00127E5B">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2A8D23F0" w14:textId="0C626E2C" w:rsidR="00FF04EF" w:rsidRPr="006D20D0" w:rsidRDefault="00FF04EF" w:rsidP="00127E5B">
            <w:pPr>
              <w:pStyle w:val="TableText"/>
            </w:pPr>
            <w:r w:rsidRPr="006D20D0">
              <w:t>Other</w:t>
            </w:r>
          </w:p>
        </w:tc>
        <w:tc>
          <w:tcPr>
            <w:tcW w:w="3343" w:type="dxa"/>
          </w:tcPr>
          <w:p w14:paraId="03A865DD" w14:textId="72D282BC" w:rsidR="00FF04EF" w:rsidRPr="006D20D0" w:rsidRDefault="008811F1" w:rsidP="00127E5B">
            <w:pPr>
              <w:pStyle w:val="TableText"/>
              <w:cnfStyle w:val="000000000000" w:firstRow="0" w:lastRow="0" w:firstColumn="0" w:lastColumn="0" w:oddVBand="0" w:evenVBand="0" w:oddHBand="0" w:evenHBand="0" w:firstRowFirstColumn="0" w:firstRowLastColumn="0" w:lastRowFirstColumn="0" w:lastRowLastColumn="0"/>
            </w:pPr>
            <w:r w:rsidRPr="006D20D0">
              <w:t>1</w:t>
            </w:r>
          </w:p>
        </w:tc>
        <w:tc>
          <w:tcPr>
            <w:tcW w:w="3343" w:type="dxa"/>
          </w:tcPr>
          <w:p w14:paraId="6E58812F" w14:textId="1C2D854F" w:rsidR="00FF04EF" w:rsidRPr="006D20D0" w:rsidRDefault="00E62564" w:rsidP="00127E5B">
            <w:pPr>
              <w:pStyle w:val="TableText"/>
              <w:cnfStyle w:val="000000000000" w:firstRow="0" w:lastRow="0" w:firstColumn="0" w:lastColumn="0" w:oddVBand="0" w:evenVBand="0" w:oddHBand="0" w:evenHBand="0" w:firstRowFirstColumn="0" w:firstRowLastColumn="0" w:lastRowFirstColumn="0" w:lastRowLastColumn="0"/>
            </w:pPr>
            <w:r w:rsidRPr="006D20D0">
              <w:t>0.</w:t>
            </w:r>
            <w:r w:rsidR="00A16C06">
              <w:t>9</w:t>
            </w:r>
          </w:p>
        </w:tc>
      </w:tr>
      <w:tr w:rsidR="00677ED1" w:rsidRPr="009C1931" w14:paraId="7BC70AB2" w14:textId="77777777" w:rsidTr="00127E5B">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24937F5A" w14:textId="57D1F391" w:rsidR="00FF04EF" w:rsidRPr="006D20D0" w:rsidRDefault="00FF04EF" w:rsidP="00127E5B">
            <w:pPr>
              <w:pStyle w:val="TableText"/>
            </w:pPr>
            <w:r w:rsidRPr="006D20D0">
              <w:t>Prefer not to say</w:t>
            </w:r>
          </w:p>
        </w:tc>
        <w:tc>
          <w:tcPr>
            <w:tcW w:w="3343" w:type="dxa"/>
          </w:tcPr>
          <w:p w14:paraId="49896D05" w14:textId="3542E7B2" w:rsidR="00FF04EF" w:rsidRPr="006D20D0" w:rsidRDefault="00E62564" w:rsidP="00127E5B">
            <w:pPr>
              <w:pStyle w:val="TableText"/>
              <w:cnfStyle w:val="000000000000" w:firstRow="0" w:lastRow="0" w:firstColumn="0" w:lastColumn="0" w:oddVBand="0" w:evenVBand="0" w:oddHBand="0" w:evenHBand="0" w:firstRowFirstColumn="0" w:firstRowLastColumn="0" w:lastRowFirstColumn="0" w:lastRowLastColumn="0"/>
            </w:pPr>
            <w:r w:rsidRPr="006D20D0">
              <w:t>1</w:t>
            </w:r>
          </w:p>
        </w:tc>
        <w:tc>
          <w:tcPr>
            <w:tcW w:w="3343" w:type="dxa"/>
          </w:tcPr>
          <w:p w14:paraId="3828440A" w14:textId="23C6BBA5" w:rsidR="00FF04EF" w:rsidRPr="006D20D0" w:rsidRDefault="008811F1" w:rsidP="00127E5B">
            <w:pPr>
              <w:pStyle w:val="TableText"/>
              <w:cnfStyle w:val="000000000000" w:firstRow="0" w:lastRow="0" w:firstColumn="0" w:lastColumn="0" w:oddVBand="0" w:evenVBand="0" w:oddHBand="0" w:evenHBand="0" w:firstRowFirstColumn="0" w:firstRowLastColumn="0" w:lastRowFirstColumn="0" w:lastRowLastColumn="0"/>
            </w:pPr>
            <w:r w:rsidRPr="006D20D0">
              <w:t>0</w:t>
            </w:r>
            <w:r w:rsidR="00E62564" w:rsidRPr="006D20D0">
              <w:t>.</w:t>
            </w:r>
            <w:r w:rsidR="00A16C06">
              <w:t>9</w:t>
            </w:r>
          </w:p>
        </w:tc>
      </w:tr>
      <w:tr w:rsidR="00677ED1" w:rsidRPr="009C1931" w14:paraId="070A1B4F" w14:textId="77777777" w:rsidTr="00127E5B">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104AEEB1" w14:textId="77777777" w:rsidR="00FF04EF" w:rsidRPr="006D20D0" w:rsidRDefault="00FF04EF" w:rsidP="00127E5B">
            <w:pPr>
              <w:pStyle w:val="Tabletextbold"/>
              <w:rPr>
                <w:rFonts w:eastAsiaTheme="minorEastAsia" w:cs="Arial"/>
                <w:b/>
                <w:szCs w:val="18"/>
              </w:rPr>
            </w:pPr>
            <w:r w:rsidRPr="00C33FD2">
              <w:rPr>
                <w:b/>
                <w:bCs/>
              </w:rPr>
              <w:t>Total</w:t>
            </w:r>
          </w:p>
        </w:tc>
        <w:tc>
          <w:tcPr>
            <w:tcW w:w="3343" w:type="dxa"/>
          </w:tcPr>
          <w:p w14:paraId="25B3BAB8" w14:textId="34DBC205" w:rsidR="00FF04EF" w:rsidRPr="006F5F45" w:rsidRDefault="00BB0899" w:rsidP="00127E5B">
            <w:pPr>
              <w:pStyle w:val="TableText"/>
              <w:cnfStyle w:val="000000000000" w:firstRow="0" w:lastRow="0" w:firstColumn="0" w:lastColumn="0" w:oddVBand="0" w:evenVBand="0" w:oddHBand="0" w:evenHBand="0" w:firstRowFirstColumn="0" w:firstRowLastColumn="0" w:lastRowFirstColumn="0" w:lastRowLastColumn="0"/>
              <w:rPr>
                <w:b/>
                <w:bCs/>
                <w:szCs w:val="20"/>
              </w:rPr>
            </w:pPr>
            <w:r w:rsidRPr="006F5F45">
              <w:rPr>
                <w:b/>
                <w:bCs/>
                <w:szCs w:val="20"/>
              </w:rPr>
              <w:t>118</w:t>
            </w:r>
          </w:p>
        </w:tc>
        <w:tc>
          <w:tcPr>
            <w:tcW w:w="3343" w:type="dxa"/>
          </w:tcPr>
          <w:p w14:paraId="7B0EEF95" w14:textId="77777777" w:rsidR="00FF04EF" w:rsidRPr="006F5F45" w:rsidRDefault="00FF04EF" w:rsidP="00127E5B">
            <w:pPr>
              <w:pStyle w:val="TableText"/>
              <w:cnfStyle w:val="000000000000" w:firstRow="0" w:lastRow="0" w:firstColumn="0" w:lastColumn="0" w:oddVBand="0" w:evenVBand="0" w:oddHBand="0" w:evenHBand="0" w:firstRowFirstColumn="0" w:firstRowLastColumn="0" w:lastRowFirstColumn="0" w:lastRowLastColumn="0"/>
              <w:rPr>
                <w:b/>
                <w:bCs/>
                <w:szCs w:val="20"/>
              </w:rPr>
            </w:pPr>
            <w:r w:rsidRPr="006F5F45">
              <w:rPr>
                <w:b/>
                <w:bCs/>
                <w:szCs w:val="20"/>
              </w:rPr>
              <w:t>100</w:t>
            </w:r>
          </w:p>
        </w:tc>
      </w:tr>
    </w:tbl>
    <w:p w14:paraId="2CB40D9C" w14:textId="5B4CC9CE" w:rsidR="001219BE" w:rsidRPr="005C1285" w:rsidRDefault="00080273" w:rsidP="00127E5B">
      <w:pPr>
        <w:pStyle w:val="Caption-Source"/>
      </w:pPr>
      <w:r w:rsidRPr="00032942">
        <w:t xml:space="preserve">Source: </w:t>
      </w:r>
      <w:r w:rsidR="00435DC4">
        <w:t>Independent reviewer</w:t>
      </w:r>
      <w:r w:rsidR="00584D02" w:rsidRPr="005C1285">
        <w:t xml:space="preserve"> (</w:t>
      </w:r>
      <w:r w:rsidRPr="005C1285">
        <w:t>2025</w:t>
      </w:r>
      <w:r w:rsidR="00584D02" w:rsidRPr="005C1285">
        <w:t>)</w:t>
      </w:r>
    </w:p>
    <w:p w14:paraId="6A8EDA76" w14:textId="174F6CCC" w:rsidR="00F00433" w:rsidRPr="0042443F" w:rsidRDefault="00F00433" w:rsidP="005C1285">
      <w:pPr>
        <w:pStyle w:val="ListNumber"/>
        <w:rPr>
          <w:rStyle w:val="Strong"/>
        </w:rPr>
      </w:pPr>
      <w:r w:rsidRPr="0042443F">
        <w:rPr>
          <w:rStyle w:val="Strong"/>
        </w:rPr>
        <w:t>In what state / territory do you, or the person you care for, live? [single answer, mandatory]</w:t>
      </w:r>
    </w:p>
    <w:tbl>
      <w:tblPr>
        <w:tblStyle w:val="KPMGTable"/>
        <w:tblW w:w="10008" w:type="dxa"/>
        <w:tblLook w:val="04A0" w:firstRow="1" w:lastRow="0" w:firstColumn="1" w:lastColumn="0" w:noHBand="0" w:noVBand="1"/>
      </w:tblPr>
      <w:tblGrid>
        <w:gridCol w:w="3336"/>
        <w:gridCol w:w="3336"/>
        <w:gridCol w:w="3336"/>
      </w:tblGrid>
      <w:tr w:rsidR="00677ED1" w:rsidRPr="00386CBC" w14:paraId="7BC0223C" w14:textId="77777777" w:rsidTr="00A10684">
        <w:trPr>
          <w:cnfStyle w:val="100000000000" w:firstRow="1" w:lastRow="0" w:firstColumn="0" w:lastColumn="0" w:oddVBand="0" w:evenVBand="0" w:oddHBand="0" w:evenHBand="0" w:firstRowFirstColumn="0" w:firstRowLastColumn="0" w:lastRowFirstColumn="0" w:lastRowLastColumn="0"/>
          <w:trHeight w:val="430"/>
          <w:tblHeader/>
        </w:trPr>
        <w:tc>
          <w:tcPr>
            <w:cnfStyle w:val="001000000000" w:firstRow="0" w:lastRow="0" w:firstColumn="1" w:lastColumn="0" w:oddVBand="0" w:evenVBand="0" w:oddHBand="0" w:evenHBand="0" w:firstRowFirstColumn="0" w:firstRowLastColumn="0" w:lastRowFirstColumn="0" w:lastRowLastColumn="0"/>
            <w:tcW w:w="3336" w:type="dxa"/>
          </w:tcPr>
          <w:p w14:paraId="3AE1F8FD" w14:textId="77777777" w:rsidR="00080273" w:rsidRPr="006F5F45" w:rsidRDefault="00080273" w:rsidP="00F81F2B">
            <w:pPr>
              <w:pStyle w:val="TableHeading"/>
              <w:rPr>
                <w:color w:val="FFFFFF" w:themeColor="background1"/>
                <w:szCs w:val="20"/>
              </w:rPr>
            </w:pPr>
            <w:r w:rsidRPr="006F5F45">
              <w:t>Response</w:t>
            </w:r>
          </w:p>
        </w:tc>
        <w:tc>
          <w:tcPr>
            <w:tcW w:w="3336" w:type="dxa"/>
          </w:tcPr>
          <w:p w14:paraId="0A19E2DF" w14:textId="77777777" w:rsidR="00080273" w:rsidRPr="006F5F45" w:rsidRDefault="00080273" w:rsidP="00F81F2B">
            <w:pPr>
              <w:pStyle w:val="TableHeading"/>
              <w:cnfStyle w:val="100000000000" w:firstRow="1" w:lastRow="0" w:firstColumn="0" w:lastColumn="0" w:oddVBand="0" w:evenVBand="0" w:oddHBand="0" w:evenHBand="0" w:firstRowFirstColumn="0" w:firstRowLastColumn="0" w:lastRowFirstColumn="0" w:lastRowLastColumn="0"/>
              <w:rPr>
                <w:color w:val="FFFFFF" w:themeColor="background1"/>
                <w:szCs w:val="20"/>
              </w:rPr>
            </w:pPr>
            <w:r w:rsidRPr="006F5F45">
              <w:t>Number of respondents</w:t>
            </w:r>
          </w:p>
        </w:tc>
        <w:tc>
          <w:tcPr>
            <w:tcW w:w="3336" w:type="dxa"/>
          </w:tcPr>
          <w:p w14:paraId="1E213A23" w14:textId="77777777" w:rsidR="00080273" w:rsidRPr="006F5F45" w:rsidRDefault="00080273" w:rsidP="00F81F2B">
            <w:pPr>
              <w:pStyle w:val="TableHeading"/>
              <w:cnfStyle w:val="100000000000" w:firstRow="1" w:lastRow="0" w:firstColumn="0" w:lastColumn="0" w:oddVBand="0" w:evenVBand="0" w:oddHBand="0" w:evenHBand="0" w:firstRowFirstColumn="0" w:firstRowLastColumn="0" w:lastRowFirstColumn="0" w:lastRowLastColumn="0"/>
              <w:rPr>
                <w:szCs w:val="20"/>
              </w:rPr>
            </w:pPr>
            <w:r w:rsidRPr="006F5F45">
              <w:t>Proportion of total respondents</w:t>
            </w:r>
            <w:r w:rsidRPr="006F5F45">
              <w:rPr>
                <w:szCs w:val="20"/>
              </w:rPr>
              <w:t xml:space="preserve"> (%)</w:t>
            </w:r>
          </w:p>
        </w:tc>
      </w:tr>
      <w:tr w:rsidR="00677ED1" w:rsidRPr="009C1931" w14:paraId="4DF87453" w14:textId="77777777" w:rsidTr="00DA41E4">
        <w:trPr>
          <w:trHeight w:val="89"/>
        </w:trPr>
        <w:tc>
          <w:tcPr>
            <w:cnfStyle w:val="001000000000" w:firstRow="0" w:lastRow="0" w:firstColumn="1" w:lastColumn="0" w:oddVBand="0" w:evenVBand="0" w:oddHBand="0" w:evenHBand="0" w:firstRowFirstColumn="0" w:firstRowLastColumn="0" w:lastRowFirstColumn="0" w:lastRowLastColumn="0"/>
            <w:tcW w:w="3336" w:type="dxa"/>
          </w:tcPr>
          <w:p w14:paraId="26FCF00E" w14:textId="27F3588F" w:rsidR="00080273" w:rsidRPr="00E90673" w:rsidRDefault="00080273" w:rsidP="00F81F2B">
            <w:pPr>
              <w:pStyle w:val="TableText"/>
              <w:rPr>
                <w:szCs w:val="20"/>
              </w:rPr>
            </w:pPr>
            <w:r w:rsidRPr="00CF4D14">
              <w:t>New South Wales</w:t>
            </w:r>
          </w:p>
        </w:tc>
        <w:tc>
          <w:tcPr>
            <w:tcW w:w="3336" w:type="dxa"/>
          </w:tcPr>
          <w:p w14:paraId="50921656" w14:textId="3875E211" w:rsidR="00080273" w:rsidRPr="00CF4D14" w:rsidRDefault="006E71CB" w:rsidP="00F81F2B">
            <w:pPr>
              <w:pStyle w:val="TableText"/>
              <w:cnfStyle w:val="000000000000" w:firstRow="0" w:lastRow="0" w:firstColumn="0" w:lastColumn="0" w:oddVBand="0" w:evenVBand="0" w:oddHBand="0" w:evenHBand="0" w:firstRowFirstColumn="0" w:firstRowLastColumn="0" w:lastRowFirstColumn="0" w:lastRowLastColumn="0"/>
            </w:pPr>
            <w:r>
              <w:t>58</w:t>
            </w:r>
          </w:p>
        </w:tc>
        <w:tc>
          <w:tcPr>
            <w:tcW w:w="3336" w:type="dxa"/>
          </w:tcPr>
          <w:p w14:paraId="0F6FC580" w14:textId="0395EE49" w:rsidR="00080273" w:rsidRPr="00CF4D14" w:rsidRDefault="00432F70" w:rsidP="00F81F2B">
            <w:pPr>
              <w:pStyle w:val="TableText"/>
              <w:cnfStyle w:val="000000000000" w:firstRow="0" w:lastRow="0" w:firstColumn="0" w:lastColumn="0" w:oddVBand="0" w:evenVBand="0" w:oddHBand="0" w:evenHBand="0" w:firstRowFirstColumn="0" w:firstRowLastColumn="0" w:lastRowFirstColumn="0" w:lastRowLastColumn="0"/>
            </w:pPr>
            <w:r>
              <w:t>49.</w:t>
            </w:r>
            <w:r w:rsidR="00A16C06">
              <w:t>6</w:t>
            </w:r>
          </w:p>
        </w:tc>
      </w:tr>
      <w:tr w:rsidR="00677ED1" w:rsidRPr="009C1931" w14:paraId="46641735" w14:textId="77777777" w:rsidTr="00DA41E4">
        <w:trPr>
          <w:trHeight w:val="89"/>
        </w:trPr>
        <w:tc>
          <w:tcPr>
            <w:cnfStyle w:val="001000000000" w:firstRow="0" w:lastRow="0" w:firstColumn="1" w:lastColumn="0" w:oddVBand="0" w:evenVBand="0" w:oddHBand="0" w:evenHBand="0" w:firstRowFirstColumn="0" w:firstRowLastColumn="0" w:lastRowFirstColumn="0" w:lastRowLastColumn="0"/>
            <w:tcW w:w="3336" w:type="dxa"/>
          </w:tcPr>
          <w:p w14:paraId="7DB4338B" w14:textId="449DBD62" w:rsidR="00736AF3" w:rsidRPr="006D20D0" w:rsidRDefault="00736AF3" w:rsidP="00F81F2B">
            <w:pPr>
              <w:pStyle w:val="TableText"/>
            </w:pPr>
            <w:r w:rsidRPr="006D20D0">
              <w:t>Victoria</w:t>
            </w:r>
          </w:p>
        </w:tc>
        <w:tc>
          <w:tcPr>
            <w:tcW w:w="3336" w:type="dxa"/>
          </w:tcPr>
          <w:p w14:paraId="052A6285" w14:textId="418370CE" w:rsidR="00736AF3" w:rsidRDefault="005C6EB0" w:rsidP="00F81F2B">
            <w:pPr>
              <w:pStyle w:val="TableText"/>
              <w:cnfStyle w:val="000000000000" w:firstRow="0" w:lastRow="0" w:firstColumn="0" w:lastColumn="0" w:oddVBand="0" w:evenVBand="0" w:oddHBand="0" w:evenHBand="0" w:firstRowFirstColumn="0" w:firstRowLastColumn="0" w:lastRowFirstColumn="0" w:lastRowLastColumn="0"/>
              <w:rPr>
                <w:bCs/>
                <w:szCs w:val="20"/>
              </w:rPr>
            </w:pPr>
            <w:r>
              <w:rPr>
                <w:szCs w:val="20"/>
              </w:rPr>
              <w:t>19</w:t>
            </w:r>
          </w:p>
        </w:tc>
        <w:tc>
          <w:tcPr>
            <w:tcW w:w="3336" w:type="dxa"/>
          </w:tcPr>
          <w:p w14:paraId="46124815" w14:textId="29E31580" w:rsidR="00736AF3" w:rsidRPr="009C1931" w:rsidRDefault="00432F70" w:rsidP="00F81F2B">
            <w:pPr>
              <w:pStyle w:val="TableText"/>
              <w:cnfStyle w:val="000000000000" w:firstRow="0" w:lastRow="0" w:firstColumn="0" w:lastColumn="0" w:oddVBand="0" w:evenVBand="0" w:oddHBand="0" w:evenHBand="0" w:firstRowFirstColumn="0" w:firstRowLastColumn="0" w:lastRowFirstColumn="0" w:lastRowLastColumn="0"/>
              <w:rPr>
                <w:bCs/>
                <w:szCs w:val="20"/>
              </w:rPr>
            </w:pPr>
            <w:r>
              <w:rPr>
                <w:szCs w:val="20"/>
              </w:rPr>
              <w:t>16.</w:t>
            </w:r>
            <w:r w:rsidR="00125115">
              <w:rPr>
                <w:bCs/>
                <w:szCs w:val="20"/>
              </w:rPr>
              <w:t>2</w:t>
            </w:r>
          </w:p>
        </w:tc>
      </w:tr>
      <w:tr w:rsidR="00677ED1" w:rsidRPr="009C1931" w14:paraId="01FBE772" w14:textId="77777777" w:rsidTr="00DA41E4">
        <w:trPr>
          <w:trHeight w:val="89"/>
        </w:trPr>
        <w:tc>
          <w:tcPr>
            <w:cnfStyle w:val="001000000000" w:firstRow="0" w:lastRow="0" w:firstColumn="1" w:lastColumn="0" w:oddVBand="0" w:evenVBand="0" w:oddHBand="0" w:evenHBand="0" w:firstRowFirstColumn="0" w:firstRowLastColumn="0" w:lastRowFirstColumn="0" w:lastRowLastColumn="0"/>
            <w:tcW w:w="3336" w:type="dxa"/>
          </w:tcPr>
          <w:p w14:paraId="4F93702A" w14:textId="3D31AD12" w:rsidR="00080273" w:rsidRPr="00E90673" w:rsidRDefault="00080273" w:rsidP="00F81F2B">
            <w:pPr>
              <w:pStyle w:val="TableText"/>
              <w:rPr>
                <w:szCs w:val="20"/>
              </w:rPr>
            </w:pPr>
            <w:r w:rsidRPr="006D20D0">
              <w:t>Queensland</w:t>
            </w:r>
          </w:p>
        </w:tc>
        <w:tc>
          <w:tcPr>
            <w:tcW w:w="3336" w:type="dxa"/>
          </w:tcPr>
          <w:p w14:paraId="6642D731" w14:textId="153415E0" w:rsidR="00080273" w:rsidRPr="009C1931" w:rsidRDefault="005C6EB0" w:rsidP="00F81F2B">
            <w:pPr>
              <w:pStyle w:val="TableText"/>
              <w:cnfStyle w:val="000000000000" w:firstRow="0" w:lastRow="0" w:firstColumn="0" w:lastColumn="0" w:oddVBand="0" w:evenVBand="0" w:oddHBand="0" w:evenHBand="0" w:firstRowFirstColumn="0" w:firstRowLastColumn="0" w:lastRowFirstColumn="0" w:lastRowLastColumn="0"/>
              <w:rPr>
                <w:bCs/>
                <w:szCs w:val="20"/>
              </w:rPr>
            </w:pPr>
            <w:r>
              <w:rPr>
                <w:szCs w:val="20"/>
              </w:rPr>
              <w:t>25</w:t>
            </w:r>
          </w:p>
        </w:tc>
        <w:tc>
          <w:tcPr>
            <w:tcW w:w="3336" w:type="dxa"/>
          </w:tcPr>
          <w:p w14:paraId="2D466E22" w14:textId="2F36296A" w:rsidR="00080273" w:rsidRPr="009C1931" w:rsidRDefault="00B94BE1" w:rsidP="00F81F2B">
            <w:pPr>
              <w:pStyle w:val="TableText"/>
              <w:cnfStyle w:val="000000000000" w:firstRow="0" w:lastRow="0" w:firstColumn="0" w:lastColumn="0" w:oddVBand="0" w:evenVBand="0" w:oddHBand="0" w:evenHBand="0" w:firstRowFirstColumn="0" w:firstRowLastColumn="0" w:lastRowFirstColumn="0" w:lastRowLastColumn="0"/>
              <w:rPr>
                <w:bCs/>
                <w:szCs w:val="20"/>
              </w:rPr>
            </w:pPr>
            <w:r>
              <w:rPr>
                <w:szCs w:val="20"/>
              </w:rPr>
              <w:t>21.</w:t>
            </w:r>
            <w:r w:rsidR="00A16C06">
              <w:rPr>
                <w:bCs/>
                <w:szCs w:val="20"/>
              </w:rPr>
              <w:t>4</w:t>
            </w:r>
          </w:p>
        </w:tc>
      </w:tr>
      <w:tr w:rsidR="00677ED1" w:rsidRPr="009C1931" w14:paraId="67C59041" w14:textId="77777777" w:rsidTr="00DA41E4">
        <w:trPr>
          <w:trHeight w:val="89"/>
        </w:trPr>
        <w:tc>
          <w:tcPr>
            <w:cnfStyle w:val="001000000000" w:firstRow="0" w:lastRow="0" w:firstColumn="1" w:lastColumn="0" w:oddVBand="0" w:evenVBand="0" w:oddHBand="0" w:evenHBand="0" w:firstRowFirstColumn="0" w:firstRowLastColumn="0" w:lastRowFirstColumn="0" w:lastRowLastColumn="0"/>
            <w:tcW w:w="3336" w:type="dxa"/>
          </w:tcPr>
          <w:p w14:paraId="43017B91" w14:textId="1C250FD6" w:rsidR="00736AF3" w:rsidRPr="006D20D0" w:rsidRDefault="00736AF3" w:rsidP="00F81F2B">
            <w:pPr>
              <w:pStyle w:val="TableText"/>
            </w:pPr>
            <w:r w:rsidRPr="006D20D0">
              <w:t>Western Australia</w:t>
            </w:r>
          </w:p>
        </w:tc>
        <w:tc>
          <w:tcPr>
            <w:tcW w:w="3336" w:type="dxa"/>
          </w:tcPr>
          <w:p w14:paraId="2AEE54D3" w14:textId="5B2BAB9C" w:rsidR="00736AF3" w:rsidRDefault="009F107D" w:rsidP="00F81F2B">
            <w:pPr>
              <w:pStyle w:val="TableText"/>
              <w:cnfStyle w:val="000000000000" w:firstRow="0" w:lastRow="0" w:firstColumn="0" w:lastColumn="0" w:oddVBand="0" w:evenVBand="0" w:oddHBand="0" w:evenHBand="0" w:firstRowFirstColumn="0" w:firstRowLastColumn="0" w:lastRowFirstColumn="0" w:lastRowLastColumn="0"/>
              <w:rPr>
                <w:bCs/>
                <w:szCs w:val="20"/>
              </w:rPr>
            </w:pPr>
            <w:r>
              <w:rPr>
                <w:szCs w:val="20"/>
              </w:rPr>
              <w:t>4</w:t>
            </w:r>
          </w:p>
        </w:tc>
        <w:tc>
          <w:tcPr>
            <w:tcW w:w="3336" w:type="dxa"/>
          </w:tcPr>
          <w:p w14:paraId="1438F2C1" w14:textId="4BDFA6BE" w:rsidR="00736AF3" w:rsidRDefault="00B94BE1" w:rsidP="00F81F2B">
            <w:pPr>
              <w:pStyle w:val="TableText"/>
              <w:cnfStyle w:val="000000000000" w:firstRow="0" w:lastRow="0" w:firstColumn="0" w:lastColumn="0" w:oddVBand="0" w:evenVBand="0" w:oddHBand="0" w:evenHBand="0" w:firstRowFirstColumn="0" w:firstRowLastColumn="0" w:lastRowFirstColumn="0" w:lastRowLastColumn="0"/>
              <w:rPr>
                <w:bCs/>
                <w:szCs w:val="20"/>
              </w:rPr>
            </w:pPr>
            <w:r>
              <w:rPr>
                <w:szCs w:val="20"/>
              </w:rPr>
              <w:t>3.</w:t>
            </w:r>
            <w:r w:rsidR="00264CAE">
              <w:rPr>
                <w:bCs/>
                <w:szCs w:val="20"/>
              </w:rPr>
              <w:t>4</w:t>
            </w:r>
          </w:p>
        </w:tc>
      </w:tr>
      <w:tr w:rsidR="00677ED1" w:rsidRPr="009C1931" w14:paraId="76BF6311" w14:textId="77777777" w:rsidTr="00DA41E4">
        <w:trPr>
          <w:trHeight w:val="89"/>
        </w:trPr>
        <w:tc>
          <w:tcPr>
            <w:cnfStyle w:val="001000000000" w:firstRow="0" w:lastRow="0" w:firstColumn="1" w:lastColumn="0" w:oddVBand="0" w:evenVBand="0" w:oddHBand="0" w:evenHBand="0" w:firstRowFirstColumn="0" w:firstRowLastColumn="0" w:lastRowFirstColumn="0" w:lastRowLastColumn="0"/>
            <w:tcW w:w="3336" w:type="dxa"/>
          </w:tcPr>
          <w:p w14:paraId="06E6EA34" w14:textId="19E015E1" w:rsidR="00080273" w:rsidRPr="006D20D0" w:rsidRDefault="00080273" w:rsidP="00F81F2B">
            <w:pPr>
              <w:pStyle w:val="TableText"/>
            </w:pPr>
            <w:r w:rsidRPr="006D20D0">
              <w:t>South Australia</w:t>
            </w:r>
          </w:p>
        </w:tc>
        <w:tc>
          <w:tcPr>
            <w:tcW w:w="3336" w:type="dxa"/>
          </w:tcPr>
          <w:p w14:paraId="63B382D6" w14:textId="4FBEEC41" w:rsidR="00080273" w:rsidRDefault="009F107D" w:rsidP="00F81F2B">
            <w:pPr>
              <w:pStyle w:val="TableText"/>
              <w:cnfStyle w:val="000000000000" w:firstRow="0" w:lastRow="0" w:firstColumn="0" w:lastColumn="0" w:oddVBand="0" w:evenVBand="0" w:oddHBand="0" w:evenHBand="0" w:firstRowFirstColumn="0" w:firstRowLastColumn="0" w:lastRowFirstColumn="0" w:lastRowLastColumn="0"/>
              <w:rPr>
                <w:bCs/>
                <w:szCs w:val="20"/>
              </w:rPr>
            </w:pPr>
            <w:r>
              <w:rPr>
                <w:szCs w:val="20"/>
              </w:rPr>
              <w:t>10</w:t>
            </w:r>
          </w:p>
        </w:tc>
        <w:tc>
          <w:tcPr>
            <w:tcW w:w="3336" w:type="dxa"/>
          </w:tcPr>
          <w:p w14:paraId="78AF438D" w14:textId="762281A9" w:rsidR="00080273" w:rsidRDefault="00B94BE1" w:rsidP="00F81F2B">
            <w:pPr>
              <w:pStyle w:val="TableText"/>
              <w:cnfStyle w:val="000000000000" w:firstRow="0" w:lastRow="0" w:firstColumn="0" w:lastColumn="0" w:oddVBand="0" w:evenVBand="0" w:oddHBand="0" w:evenHBand="0" w:firstRowFirstColumn="0" w:firstRowLastColumn="0" w:lastRowFirstColumn="0" w:lastRowLastColumn="0"/>
              <w:rPr>
                <w:bCs/>
                <w:szCs w:val="20"/>
              </w:rPr>
            </w:pPr>
            <w:r>
              <w:rPr>
                <w:szCs w:val="20"/>
              </w:rPr>
              <w:t>8.</w:t>
            </w:r>
            <w:r w:rsidR="00A16C06">
              <w:rPr>
                <w:bCs/>
                <w:szCs w:val="20"/>
              </w:rPr>
              <w:t>6</w:t>
            </w:r>
          </w:p>
        </w:tc>
      </w:tr>
      <w:tr w:rsidR="00677ED1" w:rsidRPr="009C1931" w14:paraId="076AF17B" w14:textId="77777777" w:rsidTr="00DA41E4">
        <w:trPr>
          <w:trHeight w:val="89"/>
        </w:trPr>
        <w:tc>
          <w:tcPr>
            <w:cnfStyle w:val="001000000000" w:firstRow="0" w:lastRow="0" w:firstColumn="1" w:lastColumn="0" w:oddVBand="0" w:evenVBand="0" w:oddHBand="0" w:evenHBand="0" w:firstRowFirstColumn="0" w:firstRowLastColumn="0" w:lastRowFirstColumn="0" w:lastRowLastColumn="0"/>
            <w:tcW w:w="3336" w:type="dxa"/>
          </w:tcPr>
          <w:p w14:paraId="2C08C0D2" w14:textId="42BC84C3" w:rsidR="00080273" w:rsidRPr="006D20D0" w:rsidRDefault="00736AF3" w:rsidP="00F81F2B">
            <w:pPr>
              <w:pStyle w:val="TableText"/>
            </w:pPr>
            <w:r w:rsidRPr="006D20D0">
              <w:t>Australian Capital Territory</w:t>
            </w:r>
          </w:p>
        </w:tc>
        <w:tc>
          <w:tcPr>
            <w:tcW w:w="3336" w:type="dxa"/>
          </w:tcPr>
          <w:p w14:paraId="66DA0085" w14:textId="3ECA2A2F" w:rsidR="00080273" w:rsidRDefault="00736AF3" w:rsidP="00F81F2B">
            <w:pPr>
              <w:pStyle w:val="TableText"/>
              <w:cnfStyle w:val="000000000000" w:firstRow="0" w:lastRow="0" w:firstColumn="0" w:lastColumn="0" w:oddVBand="0" w:evenVBand="0" w:oddHBand="0" w:evenHBand="0" w:firstRowFirstColumn="0" w:firstRowLastColumn="0" w:lastRowFirstColumn="0" w:lastRowLastColumn="0"/>
              <w:rPr>
                <w:bCs/>
                <w:szCs w:val="20"/>
              </w:rPr>
            </w:pPr>
            <w:r>
              <w:rPr>
                <w:szCs w:val="20"/>
              </w:rPr>
              <w:t>0</w:t>
            </w:r>
          </w:p>
        </w:tc>
        <w:tc>
          <w:tcPr>
            <w:tcW w:w="3336" w:type="dxa"/>
          </w:tcPr>
          <w:p w14:paraId="5452CC0D" w14:textId="6C69F7DA" w:rsidR="00080273" w:rsidRDefault="009705F7" w:rsidP="00F81F2B">
            <w:pPr>
              <w:pStyle w:val="TableText"/>
              <w:cnfStyle w:val="000000000000" w:firstRow="0" w:lastRow="0" w:firstColumn="0" w:lastColumn="0" w:oddVBand="0" w:evenVBand="0" w:oddHBand="0" w:evenHBand="0" w:firstRowFirstColumn="0" w:firstRowLastColumn="0" w:lastRowFirstColumn="0" w:lastRowLastColumn="0"/>
              <w:rPr>
                <w:bCs/>
                <w:szCs w:val="20"/>
              </w:rPr>
            </w:pPr>
            <w:r>
              <w:rPr>
                <w:szCs w:val="20"/>
              </w:rPr>
              <w:t>0</w:t>
            </w:r>
          </w:p>
        </w:tc>
      </w:tr>
      <w:tr w:rsidR="00677ED1" w:rsidRPr="009C1931" w14:paraId="2036AB01" w14:textId="77777777" w:rsidTr="00DA41E4">
        <w:trPr>
          <w:trHeight w:val="89"/>
        </w:trPr>
        <w:tc>
          <w:tcPr>
            <w:cnfStyle w:val="001000000000" w:firstRow="0" w:lastRow="0" w:firstColumn="1" w:lastColumn="0" w:oddVBand="0" w:evenVBand="0" w:oddHBand="0" w:evenHBand="0" w:firstRowFirstColumn="0" w:firstRowLastColumn="0" w:lastRowFirstColumn="0" w:lastRowLastColumn="0"/>
            <w:tcW w:w="3336" w:type="dxa"/>
          </w:tcPr>
          <w:p w14:paraId="02834473" w14:textId="2F439BF2" w:rsidR="003D39EA" w:rsidRPr="006D20D0" w:rsidRDefault="003D39EA" w:rsidP="00F81F2B">
            <w:pPr>
              <w:pStyle w:val="TableText"/>
            </w:pPr>
            <w:r w:rsidRPr="006D20D0">
              <w:t>Tasmania</w:t>
            </w:r>
          </w:p>
        </w:tc>
        <w:tc>
          <w:tcPr>
            <w:tcW w:w="3336" w:type="dxa"/>
          </w:tcPr>
          <w:p w14:paraId="00E590E7" w14:textId="640E3163" w:rsidR="003D39EA" w:rsidRDefault="00B333C6" w:rsidP="00F81F2B">
            <w:pPr>
              <w:pStyle w:val="TableText"/>
              <w:cnfStyle w:val="000000000000" w:firstRow="0" w:lastRow="0" w:firstColumn="0" w:lastColumn="0" w:oddVBand="0" w:evenVBand="0" w:oddHBand="0" w:evenHBand="0" w:firstRowFirstColumn="0" w:firstRowLastColumn="0" w:lastRowFirstColumn="0" w:lastRowLastColumn="0"/>
              <w:rPr>
                <w:bCs/>
                <w:szCs w:val="20"/>
              </w:rPr>
            </w:pPr>
            <w:r>
              <w:rPr>
                <w:szCs w:val="20"/>
              </w:rPr>
              <w:t>1</w:t>
            </w:r>
          </w:p>
        </w:tc>
        <w:tc>
          <w:tcPr>
            <w:tcW w:w="3336" w:type="dxa"/>
          </w:tcPr>
          <w:p w14:paraId="01F49CF9" w14:textId="5C28929C" w:rsidR="003D39EA" w:rsidRDefault="009F107D" w:rsidP="00F81F2B">
            <w:pPr>
              <w:pStyle w:val="TableText"/>
              <w:cnfStyle w:val="000000000000" w:firstRow="0" w:lastRow="0" w:firstColumn="0" w:lastColumn="0" w:oddVBand="0" w:evenVBand="0" w:oddHBand="0" w:evenHBand="0" w:firstRowFirstColumn="0" w:firstRowLastColumn="0" w:lastRowFirstColumn="0" w:lastRowLastColumn="0"/>
              <w:rPr>
                <w:bCs/>
                <w:szCs w:val="20"/>
              </w:rPr>
            </w:pPr>
            <w:r>
              <w:rPr>
                <w:szCs w:val="20"/>
              </w:rPr>
              <w:t>0.</w:t>
            </w:r>
            <w:r w:rsidR="00A16C06">
              <w:rPr>
                <w:bCs/>
                <w:szCs w:val="20"/>
              </w:rPr>
              <w:t>9</w:t>
            </w:r>
          </w:p>
        </w:tc>
      </w:tr>
      <w:tr w:rsidR="00677ED1" w:rsidRPr="009C1931" w14:paraId="1132A450" w14:textId="77777777" w:rsidTr="00DA41E4">
        <w:trPr>
          <w:trHeight w:val="89"/>
        </w:trPr>
        <w:tc>
          <w:tcPr>
            <w:cnfStyle w:val="001000000000" w:firstRow="0" w:lastRow="0" w:firstColumn="1" w:lastColumn="0" w:oddVBand="0" w:evenVBand="0" w:oddHBand="0" w:evenHBand="0" w:firstRowFirstColumn="0" w:firstRowLastColumn="0" w:lastRowFirstColumn="0" w:lastRowLastColumn="0"/>
            <w:tcW w:w="3336" w:type="dxa"/>
          </w:tcPr>
          <w:p w14:paraId="37EAB2C4" w14:textId="1F323F38" w:rsidR="00080273" w:rsidRPr="00E90673" w:rsidRDefault="00080273" w:rsidP="00F81F2B">
            <w:pPr>
              <w:pStyle w:val="TableText"/>
              <w:rPr>
                <w:szCs w:val="20"/>
              </w:rPr>
            </w:pPr>
            <w:r w:rsidRPr="006D20D0">
              <w:t>Northern Territory</w:t>
            </w:r>
          </w:p>
        </w:tc>
        <w:tc>
          <w:tcPr>
            <w:tcW w:w="3336" w:type="dxa"/>
          </w:tcPr>
          <w:p w14:paraId="41D8E571" w14:textId="77777777" w:rsidR="00080273" w:rsidRPr="009C1931" w:rsidRDefault="00080273" w:rsidP="00F81F2B">
            <w:pPr>
              <w:pStyle w:val="TableText"/>
              <w:cnfStyle w:val="000000000000" w:firstRow="0" w:lastRow="0" w:firstColumn="0" w:lastColumn="0" w:oddVBand="0" w:evenVBand="0" w:oddHBand="0" w:evenHBand="0" w:firstRowFirstColumn="0" w:firstRowLastColumn="0" w:lastRowFirstColumn="0" w:lastRowLastColumn="0"/>
              <w:rPr>
                <w:bCs/>
                <w:szCs w:val="20"/>
              </w:rPr>
            </w:pPr>
            <w:r>
              <w:rPr>
                <w:szCs w:val="20"/>
              </w:rPr>
              <w:t>0</w:t>
            </w:r>
          </w:p>
        </w:tc>
        <w:tc>
          <w:tcPr>
            <w:tcW w:w="3336" w:type="dxa"/>
          </w:tcPr>
          <w:p w14:paraId="38E70189" w14:textId="77777777" w:rsidR="00080273" w:rsidRPr="009C1931" w:rsidRDefault="00080273" w:rsidP="00F81F2B">
            <w:pPr>
              <w:pStyle w:val="TableText"/>
              <w:cnfStyle w:val="000000000000" w:firstRow="0" w:lastRow="0" w:firstColumn="0" w:lastColumn="0" w:oddVBand="0" w:evenVBand="0" w:oddHBand="0" w:evenHBand="0" w:firstRowFirstColumn="0" w:firstRowLastColumn="0" w:lastRowFirstColumn="0" w:lastRowLastColumn="0"/>
              <w:rPr>
                <w:bCs/>
                <w:szCs w:val="20"/>
              </w:rPr>
            </w:pPr>
            <w:r>
              <w:rPr>
                <w:szCs w:val="20"/>
              </w:rPr>
              <w:t>0</w:t>
            </w:r>
          </w:p>
        </w:tc>
      </w:tr>
      <w:tr w:rsidR="00677ED1" w:rsidRPr="009C1931" w14:paraId="406B658A" w14:textId="77777777" w:rsidTr="00DA41E4">
        <w:trPr>
          <w:trHeight w:val="89"/>
        </w:trPr>
        <w:tc>
          <w:tcPr>
            <w:cnfStyle w:val="001000000000" w:firstRow="0" w:lastRow="0" w:firstColumn="1" w:lastColumn="0" w:oddVBand="0" w:evenVBand="0" w:oddHBand="0" w:evenHBand="0" w:firstRowFirstColumn="0" w:firstRowLastColumn="0" w:lastRowFirstColumn="0" w:lastRowLastColumn="0"/>
            <w:tcW w:w="3336" w:type="dxa"/>
          </w:tcPr>
          <w:p w14:paraId="5ED645BC" w14:textId="77777777" w:rsidR="00080273" w:rsidRPr="006D20D0" w:rsidRDefault="00080273" w:rsidP="00F81F2B">
            <w:pPr>
              <w:pStyle w:val="Tabletextbold"/>
              <w:rPr>
                <w:rFonts w:eastAsiaTheme="minorEastAsia" w:cs="Arial"/>
                <w:b/>
                <w:szCs w:val="18"/>
              </w:rPr>
            </w:pPr>
            <w:r w:rsidRPr="00C33FD2">
              <w:rPr>
                <w:b/>
                <w:bCs/>
              </w:rPr>
              <w:t>Total</w:t>
            </w:r>
          </w:p>
        </w:tc>
        <w:tc>
          <w:tcPr>
            <w:tcW w:w="3336" w:type="dxa"/>
          </w:tcPr>
          <w:p w14:paraId="5D3E31BC" w14:textId="71F0BB02" w:rsidR="00080273" w:rsidRPr="006F5F45" w:rsidRDefault="00B94BE1" w:rsidP="00F81F2B">
            <w:pPr>
              <w:pStyle w:val="TableText"/>
              <w:cnfStyle w:val="000000000000" w:firstRow="0" w:lastRow="0" w:firstColumn="0" w:lastColumn="0" w:oddVBand="0" w:evenVBand="0" w:oddHBand="0" w:evenHBand="0" w:firstRowFirstColumn="0" w:firstRowLastColumn="0" w:lastRowFirstColumn="0" w:lastRowLastColumn="0"/>
              <w:rPr>
                <w:b/>
                <w:bCs/>
                <w:szCs w:val="20"/>
              </w:rPr>
            </w:pPr>
            <w:r w:rsidRPr="006F5F45">
              <w:rPr>
                <w:b/>
                <w:bCs/>
                <w:szCs w:val="20"/>
              </w:rPr>
              <w:t>11</w:t>
            </w:r>
            <w:r w:rsidR="00681904" w:rsidRPr="006F5F45">
              <w:rPr>
                <w:b/>
                <w:bCs/>
                <w:szCs w:val="20"/>
              </w:rPr>
              <w:t>7</w:t>
            </w:r>
          </w:p>
        </w:tc>
        <w:tc>
          <w:tcPr>
            <w:tcW w:w="3336" w:type="dxa"/>
          </w:tcPr>
          <w:p w14:paraId="3606DD7A" w14:textId="77777777" w:rsidR="00080273" w:rsidRPr="006F5F45" w:rsidRDefault="00080273" w:rsidP="00F81F2B">
            <w:pPr>
              <w:pStyle w:val="TableText"/>
              <w:cnfStyle w:val="000000000000" w:firstRow="0" w:lastRow="0" w:firstColumn="0" w:lastColumn="0" w:oddVBand="0" w:evenVBand="0" w:oddHBand="0" w:evenHBand="0" w:firstRowFirstColumn="0" w:firstRowLastColumn="0" w:lastRowFirstColumn="0" w:lastRowLastColumn="0"/>
              <w:rPr>
                <w:b/>
                <w:bCs/>
                <w:szCs w:val="20"/>
              </w:rPr>
            </w:pPr>
            <w:r w:rsidRPr="006F5F45">
              <w:rPr>
                <w:b/>
                <w:bCs/>
                <w:szCs w:val="20"/>
              </w:rPr>
              <w:t>100</w:t>
            </w:r>
          </w:p>
        </w:tc>
      </w:tr>
    </w:tbl>
    <w:p w14:paraId="192029A3" w14:textId="77777777" w:rsidR="00A10684" w:rsidRDefault="00A87B7E" w:rsidP="00F81F2B">
      <w:pPr>
        <w:pStyle w:val="Caption-Source"/>
      </w:pPr>
      <w:r w:rsidRPr="00032942">
        <w:t xml:space="preserve">Source: </w:t>
      </w:r>
      <w:r w:rsidR="00435DC4">
        <w:t>Independent reviewer</w:t>
      </w:r>
      <w:r w:rsidR="00584D02" w:rsidRPr="005C1285">
        <w:t xml:space="preserve"> (</w:t>
      </w:r>
      <w:r w:rsidRPr="005C1285">
        <w:t>2025</w:t>
      </w:r>
      <w:r w:rsidR="00584D02" w:rsidRPr="005C1285">
        <w:t>)</w:t>
      </w:r>
    </w:p>
    <w:p w14:paraId="36F40CD5" w14:textId="42718C4C" w:rsidR="00733B33" w:rsidRPr="00A10684" w:rsidRDefault="00733B33" w:rsidP="00A10684">
      <w:r w:rsidRPr="00A10684">
        <w:br w:type="page"/>
      </w:r>
    </w:p>
    <w:p w14:paraId="055FC307" w14:textId="77777777" w:rsidR="00F00433" w:rsidRPr="0042443F" w:rsidRDefault="00F00433" w:rsidP="005C1285">
      <w:pPr>
        <w:pStyle w:val="ListNumber"/>
        <w:rPr>
          <w:rStyle w:val="Strong"/>
        </w:rPr>
      </w:pPr>
      <w:r w:rsidRPr="0042443F">
        <w:rPr>
          <w:rStyle w:val="Strong"/>
        </w:rPr>
        <w:t>How would you describe the area where you, or the person you care for, live? [single answer, mandatory]</w:t>
      </w:r>
    </w:p>
    <w:tbl>
      <w:tblPr>
        <w:tblStyle w:val="KPMGTable"/>
        <w:tblW w:w="10028" w:type="dxa"/>
        <w:tblLook w:val="04A0" w:firstRow="1" w:lastRow="0" w:firstColumn="1" w:lastColumn="0" w:noHBand="0" w:noVBand="1"/>
      </w:tblPr>
      <w:tblGrid>
        <w:gridCol w:w="3342"/>
        <w:gridCol w:w="3343"/>
        <w:gridCol w:w="3343"/>
      </w:tblGrid>
      <w:tr w:rsidR="00677ED1" w:rsidRPr="00386CBC" w14:paraId="6A02F5D0"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3342" w:type="dxa"/>
          </w:tcPr>
          <w:p w14:paraId="7EBC545E" w14:textId="77777777" w:rsidR="008A47FB" w:rsidRPr="007B154A" w:rsidRDefault="008A47FB" w:rsidP="001A00F8">
            <w:pPr>
              <w:pStyle w:val="TableHeading"/>
              <w:rPr>
                <w:b w:val="0"/>
                <w:color w:val="FFFFFF" w:themeColor="background1"/>
                <w:szCs w:val="20"/>
              </w:rPr>
            </w:pPr>
            <w:r>
              <w:t>Response</w:t>
            </w:r>
          </w:p>
        </w:tc>
        <w:tc>
          <w:tcPr>
            <w:tcW w:w="3343" w:type="dxa"/>
          </w:tcPr>
          <w:p w14:paraId="19FD98B4" w14:textId="77777777" w:rsidR="008A47FB" w:rsidRPr="00386CBC" w:rsidRDefault="008A47FB" w:rsidP="001A00F8">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rsidRPr="00386CBC">
              <w:t>Number of respondents</w:t>
            </w:r>
          </w:p>
        </w:tc>
        <w:tc>
          <w:tcPr>
            <w:tcW w:w="3343" w:type="dxa"/>
          </w:tcPr>
          <w:p w14:paraId="30D8034A" w14:textId="77777777" w:rsidR="008A47FB" w:rsidRPr="00276F53" w:rsidRDefault="008A47FB" w:rsidP="001A00F8">
            <w:pPr>
              <w:pStyle w:val="TableHeading"/>
              <w:cnfStyle w:val="100000000000" w:firstRow="1" w:lastRow="0" w:firstColumn="0" w:lastColumn="0" w:oddVBand="0" w:evenVBand="0" w:oddHBand="0" w:evenHBand="0" w:firstRowFirstColumn="0" w:firstRowLastColumn="0" w:lastRowFirstColumn="0" w:lastRowLastColumn="0"/>
              <w:rPr>
                <w:b w:val="0"/>
                <w:szCs w:val="20"/>
              </w:rPr>
            </w:pPr>
            <w:r w:rsidRPr="00276F53">
              <w:t>Proportion of total respondents</w:t>
            </w:r>
            <w:r w:rsidRPr="00276F53">
              <w:rPr>
                <w:b w:val="0"/>
                <w:szCs w:val="20"/>
              </w:rPr>
              <w:t xml:space="preserve"> (%)</w:t>
            </w:r>
          </w:p>
        </w:tc>
      </w:tr>
      <w:tr w:rsidR="00677ED1" w:rsidRPr="00960F32" w14:paraId="605FFA8B" w14:textId="77777777" w:rsidTr="001A00F8">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0E9D14CB" w14:textId="008E7AB2" w:rsidR="008A47FB" w:rsidRPr="006D20D0" w:rsidRDefault="008A47FB" w:rsidP="001A00F8">
            <w:pPr>
              <w:pStyle w:val="TableText"/>
            </w:pPr>
            <w:r w:rsidRPr="006D20D0">
              <w:t>Metropolitan area</w:t>
            </w:r>
          </w:p>
        </w:tc>
        <w:tc>
          <w:tcPr>
            <w:tcW w:w="3343" w:type="dxa"/>
          </w:tcPr>
          <w:p w14:paraId="3B335643" w14:textId="0B3C26E5" w:rsidR="008A47FB" w:rsidRPr="006D20D0" w:rsidRDefault="002A1778" w:rsidP="001A00F8">
            <w:pPr>
              <w:pStyle w:val="TableText"/>
              <w:cnfStyle w:val="000000000000" w:firstRow="0" w:lastRow="0" w:firstColumn="0" w:lastColumn="0" w:oddVBand="0" w:evenVBand="0" w:oddHBand="0" w:evenHBand="0" w:firstRowFirstColumn="0" w:firstRowLastColumn="0" w:lastRowFirstColumn="0" w:lastRowLastColumn="0"/>
            </w:pPr>
            <w:r w:rsidRPr="006D20D0">
              <w:t>53</w:t>
            </w:r>
          </w:p>
        </w:tc>
        <w:tc>
          <w:tcPr>
            <w:tcW w:w="3343" w:type="dxa"/>
          </w:tcPr>
          <w:p w14:paraId="3B8109C1" w14:textId="0C3CC1C1" w:rsidR="008A47FB" w:rsidRPr="006D20D0" w:rsidRDefault="002A1778" w:rsidP="001A00F8">
            <w:pPr>
              <w:pStyle w:val="TableText"/>
              <w:cnfStyle w:val="000000000000" w:firstRow="0" w:lastRow="0" w:firstColumn="0" w:lastColumn="0" w:oddVBand="0" w:evenVBand="0" w:oddHBand="0" w:evenHBand="0" w:firstRowFirstColumn="0" w:firstRowLastColumn="0" w:lastRowFirstColumn="0" w:lastRowLastColumn="0"/>
            </w:pPr>
            <w:r w:rsidRPr="006D20D0">
              <w:t>52.</w:t>
            </w:r>
            <w:r w:rsidR="00F2270A">
              <w:t>5</w:t>
            </w:r>
          </w:p>
        </w:tc>
      </w:tr>
      <w:tr w:rsidR="00677ED1" w:rsidRPr="00960F32" w14:paraId="000D2E19" w14:textId="77777777" w:rsidTr="001A00F8">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5D1B80A2" w14:textId="142C9A6F" w:rsidR="008A47FB" w:rsidRPr="006D20D0" w:rsidRDefault="008A47FB" w:rsidP="001A00F8">
            <w:pPr>
              <w:pStyle w:val="TableText"/>
            </w:pPr>
            <w:r w:rsidRPr="006D20D0">
              <w:t>Regional centre</w:t>
            </w:r>
          </w:p>
        </w:tc>
        <w:tc>
          <w:tcPr>
            <w:tcW w:w="3343" w:type="dxa"/>
          </w:tcPr>
          <w:p w14:paraId="0322B467" w14:textId="02A0643D" w:rsidR="008A47FB" w:rsidRPr="006D20D0" w:rsidRDefault="002A1778" w:rsidP="001A00F8">
            <w:pPr>
              <w:pStyle w:val="TableText"/>
              <w:cnfStyle w:val="000000000000" w:firstRow="0" w:lastRow="0" w:firstColumn="0" w:lastColumn="0" w:oddVBand="0" w:evenVBand="0" w:oddHBand="0" w:evenHBand="0" w:firstRowFirstColumn="0" w:firstRowLastColumn="0" w:lastRowFirstColumn="0" w:lastRowLastColumn="0"/>
            </w:pPr>
            <w:r w:rsidRPr="006D20D0">
              <w:t>27</w:t>
            </w:r>
          </w:p>
        </w:tc>
        <w:tc>
          <w:tcPr>
            <w:tcW w:w="3343" w:type="dxa"/>
          </w:tcPr>
          <w:p w14:paraId="656F75F5" w14:textId="11E1B600" w:rsidR="008A47FB" w:rsidRPr="006D20D0" w:rsidRDefault="002A1778" w:rsidP="001A00F8">
            <w:pPr>
              <w:pStyle w:val="TableText"/>
              <w:cnfStyle w:val="000000000000" w:firstRow="0" w:lastRow="0" w:firstColumn="0" w:lastColumn="0" w:oddVBand="0" w:evenVBand="0" w:oddHBand="0" w:evenHBand="0" w:firstRowFirstColumn="0" w:firstRowLastColumn="0" w:lastRowFirstColumn="0" w:lastRowLastColumn="0"/>
            </w:pPr>
            <w:r w:rsidRPr="006D20D0">
              <w:t>26.7</w:t>
            </w:r>
          </w:p>
        </w:tc>
      </w:tr>
      <w:tr w:rsidR="00677ED1" w:rsidRPr="00960F32" w14:paraId="0D9B00E4" w14:textId="77777777" w:rsidTr="001A00F8">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14AE2364" w14:textId="126A0C68" w:rsidR="008A47FB" w:rsidRPr="006D20D0" w:rsidRDefault="008A47FB" w:rsidP="001A00F8">
            <w:pPr>
              <w:pStyle w:val="TableText"/>
            </w:pPr>
            <w:r w:rsidRPr="006D20D0">
              <w:t>Rural area</w:t>
            </w:r>
          </w:p>
        </w:tc>
        <w:tc>
          <w:tcPr>
            <w:tcW w:w="3343" w:type="dxa"/>
          </w:tcPr>
          <w:p w14:paraId="7790708B" w14:textId="47DB31B1" w:rsidR="008A47FB" w:rsidRPr="006D20D0" w:rsidRDefault="002A1778" w:rsidP="001A00F8">
            <w:pPr>
              <w:pStyle w:val="TableText"/>
              <w:cnfStyle w:val="000000000000" w:firstRow="0" w:lastRow="0" w:firstColumn="0" w:lastColumn="0" w:oddVBand="0" w:evenVBand="0" w:oddHBand="0" w:evenHBand="0" w:firstRowFirstColumn="0" w:firstRowLastColumn="0" w:lastRowFirstColumn="0" w:lastRowLastColumn="0"/>
            </w:pPr>
            <w:r w:rsidRPr="006D20D0">
              <w:t>20</w:t>
            </w:r>
          </w:p>
        </w:tc>
        <w:tc>
          <w:tcPr>
            <w:tcW w:w="3343" w:type="dxa"/>
          </w:tcPr>
          <w:p w14:paraId="7B3A7B59" w14:textId="1B0FC9E9" w:rsidR="008A47FB" w:rsidRPr="006D20D0" w:rsidRDefault="002A1778" w:rsidP="001A00F8">
            <w:pPr>
              <w:pStyle w:val="TableText"/>
              <w:cnfStyle w:val="000000000000" w:firstRow="0" w:lastRow="0" w:firstColumn="0" w:lastColumn="0" w:oddVBand="0" w:evenVBand="0" w:oddHBand="0" w:evenHBand="0" w:firstRowFirstColumn="0" w:firstRowLastColumn="0" w:lastRowFirstColumn="0" w:lastRowLastColumn="0"/>
            </w:pPr>
            <w:r w:rsidRPr="006D20D0">
              <w:t>19.8</w:t>
            </w:r>
          </w:p>
        </w:tc>
      </w:tr>
      <w:tr w:rsidR="00677ED1" w:rsidRPr="00960F32" w14:paraId="511619DF" w14:textId="77777777" w:rsidTr="001A00F8">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0E7DF28A" w14:textId="1E22A0E9" w:rsidR="008A47FB" w:rsidRPr="006D20D0" w:rsidRDefault="008A47FB" w:rsidP="001A00F8">
            <w:pPr>
              <w:pStyle w:val="TableText"/>
            </w:pPr>
            <w:r w:rsidRPr="006D20D0">
              <w:t>Remote community</w:t>
            </w:r>
          </w:p>
        </w:tc>
        <w:tc>
          <w:tcPr>
            <w:tcW w:w="3343" w:type="dxa"/>
          </w:tcPr>
          <w:p w14:paraId="10CE4518" w14:textId="77777777" w:rsidR="008A47FB" w:rsidRPr="006D20D0" w:rsidRDefault="008A47FB" w:rsidP="001A00F8">
            <w:pPr>
              <w:pStyle w:val="TableText"/>
              <w:cnfStyle w:val="000000000000" w:firstRow="0" w:lastRow="0" w:firstColumn="0" w:lastColumn="0" w:oddVBand="0" w:evenVBand="0" w:oddHBand="0" w:evenHBand="0" w:firstRowFirstColumn="0" w:firstRowLastColumn="0" w:lastRowFirstColumn="0" w:lastRowLastColumn="0"/>
            </w:pPr>
            <w:r w:rsidRPr="006D20D0">
              <w:t>1</w:t>
            </w:r>
          </w:p>
        </w:tc>
        <w:tc>
          <w:tcPr>
            <w:tcW w:w="3343" w:type="dxa"/>
          </w:tcPr>
          <w:p w14:paraId="543D5C98" w14:textId="47C1B40E" w:rsidR="008A47FB" w:rsidRPr="006D20D0" w:rsidRDefault="008A47FB" w:rsidP="001A00F8">
            <w:pPr>
              <w:pStyle w:val="TableText"/>
              <w:cnfStyle w:val="000000000000" w:firstRow="0" w:lastRow="0" w:firstColumn="0" w:lastColumn="0" w:oddVBand="0" w:evenVBand="0" w:oddHBand="0" w:evenHBand="0" w:firstRowFirstColumn="0" w:firstRowLastColumn="0" w:lastRowFirstColumn="0" w:lastRowLastColumn="0"/>
            </w:pPr>
            <w:r w:rsidRPr="006D20D0">
              <w:t>0.</w:t>
            </w:r>
            <w:r w:rsidR="002A1778" w:rsidRPr="006D20D0">
              <w:t>9</w:t>
            </w:r>
          </w:p>
        </w:tc>
      </w:tr>
      <w:tr w:rsidR="00677ED1" w:rsidRPr="009C1931" w14:paraId="3165DD1E" w14:textId="77777777" w:rsidTr="001A00F8">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57EB5401" w14:textId="77777777" w:rsidR="008A47FB" w:rsidRPr="006D20D0" w:rsidRDefault="008A47FB" w:rsidP="001A00F8">
            <w:pPr>
              <w:pStyle w:val="Tabletextbold"/>
              <w:rPr>
                <w:rFonts w:eastAsiaTheme="minorEastAsia" w:cs="Arial"/>
                <w:b/>
                <w:szCs w:val="18"/>
              </w:rPr>
            </w:pPr>
            <w:r w:rsidRPr="00C33FD2">
              <w:rPr>
                <w:b/>
                <w:bCs/>
              </w:rPr>
              <w:t>Total</w:t>
            </w:r>
          </w:p>
        </w:tc>
        <w:tc>
          <w:tcPr>
            <w:tcW w:w="3343" w:type="dxa"/>
          </w:tcPr>
          <w:p w14:paraId="7A029BF4" w14:textId="41E0A5EF" w:rsidR="008A47FB" w:rsidRPr="006F5F45" w:rsidRDefault="008A47FB" w:rsidP="001A00F8">
            <w:pPr>
              <w:pStyle w:val="TableText"/>
              <w:cnfStyle w:val="000000000000" w:firstRow="0" w:lastRow="0" w:firstColumn="0" w:lastColumn="0" w:oddVBand="0" w:evenVBand="0" w:oddHBand="0" w:evenHBand="0" w:firstRowFirstColumn="0" w:firstRowLastColumn="0" w:lastRowFirstColumn="0" w:lastRowLastColumn="0"/>
              <w:rPr>
                <w:b/>
                <w:bCs/>
                <w:szCs w:val="20"/>
              </w:rPr>
            </w:pPr>
            <w:r w:rsidRPr="006F5F45">
              <w:rPr>
                <w:b/>
                <w:bCs/>
                <w:szCs w:val="20"/>
              </w:rPr>
              <w:t>1</w:t>
            </w:r>
            <w:r w:rsidR="008110DD" w:rsidRPr="006F5F45">
              <w:rPr>
                <w:b/>
                <w:bCs/>
                <w:szCs w:val="20"/>
              </w:rPr>
              <w:t>01</w:t>
            </w:r>
          </w:p>
        </w:tc>
        <w:tc>
          <w:tcPr>
            <w:tcW w:w="3343" w:type="dxa"/>
          </w:tcPr>
          <w:p w14:paraId="5125C791" w14:textId="77777777" w:rsidR="008A47FB" w:rsidRPr="006F5F45" w:rsidRDefault="008A47FB" w:rsidP="001A00F8">
            <w:pPr>
              <w:pStyle w:val="TableText"/>
              <w:cnfStyle w:val="000000000000" w:firstRow="0" w:lastRow="0" w:firstColumn="0" w:lastColumn="0" w:oddVBand="0" w:evenVBand="0" w:oddHBand="0" w:evenHBand="0" w:firstRowFirstColumn="0" w:firstRowLastColumn="0" w:lastRowFirstColumn="0" w:lastRowLastColumn="0"/>
              <w:rPr>
                <w:b/>
                <w:bCs/>
                <w:szCs w:val="20"/>
              </w:rPr>
            </w:pPr>
            <w:r w:rsidRPr="006F5F45">
              <w:rPr>
                <w:b/>
                <w:bCs/>
                <w:szCs w:val="20"/>
              </w:rPr>
              <w:t>100</w:t>
            </w:r>
          </w:p>
        </w:tc>
      </w:tr>
    </w:tbl>
    <w:p w14:paraId="6C36B5B2" w14:textId="4B110EEF" w:rsidR="006D20D0" w:rsidRPr="00CD3106" w:rsidRDefault="006D20D0" w:rsidP="001A00F8">
      <w:pPr>
        <w:pStyle w:val="Caption-Source"/>
      </w:pPr>
      <w:r w:rsidRPr="00032942">
        <w:t xml:space="preserve">Source: </w:t>
      </w:r>
      <w:r w:rsidR="00435DC4">
        <w:t>Independent reviewer</w:t>
      </w:r>
      <w:r w:rsidR="00584D02" w:rsidRPr="00CD3106">
        <w:t xml:space="preserve"> (</w:t>
      </w:r>
      <w:r w:rsidRPr="00CD3106">
        <w:t>2025</w:t>
      </w:r>
      <w:r w:rsidR="00584D02" w:rsidRPr="00CD3106">
        <w:t>)</w:t>
      </w:r>
    </w:p>
    <w:p w14:paraId="6475BD2F" w14:textId="77777777" w:rsidR="00F00433" w:rsidRPr="0042443F" w:rsidRDefault="00F00433" w:rsidP="00733B33">
      <w:pPr>
        <w:pStyle w:val="ListNumber"/>
        <w:rPr>
          <w:rStyle w:val="Strong"/>
        </w:rPr>
      </w:pPr>
      <w:r w:rsidRPr="0042443F">
        <w:rPr>
          <w:rStyle w:val="Strong"/>
        </w:rPr>
        <w:t>What type of prosthesis do you, or the person you care for, require? [multi answer, mandatory]</w:t>
      </w:r>
    </w:p>
    <w:tbl>
      <w:tblPr>
        <w:tblStyle w:val="KPMGTable"/>
        <w:tblW w:w="10028" w:type="dxa"/>
        <w:tblLook w:val="04A0" w:firstRow="1" w:lastRow="0" w:firstColumn="1" w:lastColumn="0" w:noHBand="0" w:noVBand="1"/>
      </w:tblPr>
      <w:tblGrid>
        <w:gridCol w:w="3342"/>
        <w:gridCol w:w="3343"/>
        <w:gridCol w:w="3343"/>
      </w:tblGrid>
      <w:tr w:rsidR="00677ED1" w:rsidRPr="00386CBC" w14:paraId="4DC7B9CD"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3342" w:type="dxa"/>
          </w:tcPr>
          <w:p w14:paraId="0EBEFA5B" w14:textId="77777777" w:rsidR="002A1778" w:rsidRPr="007B154A" w:rsidRDefault="002A1778" w:rsidP="001A00F8">
            <w:pPr>
              <w:pStyle w:val="TableHeading"/>
              <w:rPr>
                <w:b w:val="0"/>
                <w:color w:val="FFFFFF" w:themeColor="background1"/>
                <w:szCs w:val="20"/>
              </w:rPr>
            </w:pPr>
            <w:r>
              <w:t>Response</w:t>
            </w:r>
          </w:p>
        </w:tc>
        <w:tc>
          <w:tcPr>
            <w:tcW w:w="3343" w:type="dxa"/>
          </w:tcPr>
          <w:p w14:paraId="4F9729A8" w14:textId="77777777" w:rsidR="002A1778" w:rsidRPr="00386CBC" w:rsidRDefault="002A1778" w:rsidP="001A00F8">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rsidRPr="00386CBC">
              <w:t>Number of respondents</w:t>
            </w:r>
          </w:p>
        </w:tc>
        <w:tc>
          <w:tcPr>
            <w:tcW w:w="3343" w:type="dxa"/>
          </w:tcPr>
          <w:p w14:paraId="7525FF80" w14:textId="77777777" w:rsidR="002A1778" w:rsidRPr="00276F53" w:rsidRDefault="002A1778" w:rsidP="001A00F8">
            <w:pPr>
              <w:pStyle w:val="TableHeading"/>
              <w:cnfStyle w:val="100000000000" w:firstRow="1" w:lastRow="0" w:firstColumn="0" w:lastColumn="0" w:oddVBand="0" w:evenVBand="0" w:oddHBand="0" w:evenHBand="0" w:firstRowFirstColumn="0" w:firstRowLastColumn="0" w:lastRowFirstColumn="0" w:lastRowLastColumn="0"/>
              <w:rPr>
                <w:b w:val="0"/>
                <w:szCs w:val="20"/>
              </w:rPr>
            </w:pPr>
            <w:r w:rsidRPr="00276F53">
              <w:t xml:space="preserve">Proportion of </w:t>
            </w:r>
            <w:r w:rsidRPr="00276F53">
              <w:rPr>
                <w:b w:val="0"/>
                <w:szCs w:val="20"/>
              </w:rPr>
              <w:t>total respondents (%)</w:t>
            </w:r>
          </w:p>
        </w:tc>
      </w:tr>
      <w:tr w:rsidR="00677ED1" w:rsidRPr="00960F32" w14:paraId="33E9A6F2" w14:textId="77777777" w:rsidTr="001A00F8">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083D2DE1" w14:textId="77777777" w:rsidR="002A1778" w:rsidRPr="006D20D0" w:rsidRDefault="002A1778" w:rsidP="001117A0">
            <w:pPr>
              <w:pStyle w:val="TableText"/>
            </w:pPr>
            <w:r w:rsidRPr="006D20D0">
              <w:t>Limb prosthesis</w:t>
            </w:r>
          </w:p>
          <w:p w14:paraId="022FC152" w14:textId="333E79F7" w:rsidR="002A1778" w:rsidRPr="006D20D0" w:rsidRDefault="002A1778" w:rsidP="001117A0">
            <w:pPr>
              <w:pStyle w:val="TableText"/>
            </w:pPr>
            <w:r w:rsidRPr="006D20D0">
              <w:t>Including: arm prostheses fitted at, above or below the elbow, including hand and finger prostheses and leg prostheses fitted at, above or below the knee, including foot and toe prostheses</w:t>
            </w:r>
          </w:p>
        </w:tc>
        <w:tc>
          <w:tcPr>
            <w:tcW w:w="3343" w:type="dxa"/>
          </w:tcPr>
          <w:p w14:paraId="7D182414" w14:textId="38DD9CD9" w:rsidR="002A1778" w:rsidRPr="006D20D0" w:rsidRDefault="00E82CE3" w:rsidP="001117A0">
            <w:pPr>
              <w:pStyle w:val="TableText"/>
              <w:cnfStyle w:val="000000000000" w:firstRow="0" w:lastRow="0" w:firstColumn="0" w:lastColumn="0" w:oddVBand="0" w:evenVBand="0" w:oddHBand="0" w:evenHBand="0" w:firstRowFirstColumn="0" w:firstRowLastColumn="0" w:lastRowFirstColumn="0" w:lastRowLastColumn="0"/>
            </w:pPr>
            <w:r w:rsidRPr="006D20D0">
              <w:t>1</w:t>
            </w:r>
          </w:p>
        </w:tc>
        <w:tc>
          <w:tcPr>
            <w:tcW w:w="3343" w:type="dxa"/>
          </w:tcPr>
          <w:p w14:paraId="222D0370" w14:textId="4785984A" w:rsidR="002A1778" w:rsidRPr="006D20D0" w:rsidRDefault="00FE5B5C" w:rsidP="001117A0">
            <w:pPr>
              <w:pStyle w:val="TableText"/>
              <w:cnfStyle w:val="000000000000" w:firstRow="0" w:lastRow="0" w:firstColumn="0" w:lastColumn="0" w:oddVBand="0" w:evenVBand="0" w:oddHBand="0" w:evenHBand="0" w:firstRowFirstColumn="0" w:firstRowLastColumn="0" w:lastRowFirstColumn="0" w:lastRowLastColumn="0"/>
            </w:pPr>
            <w:r w:rsidRPr="006D20D0">
              <w:t>1.</w:t>
            </w:r>
            <w:r w:rsidR="00F2270A">
              <w:t>2</w:t>
            </w:r>
          </w:p>
        </w:tc>
      </w:tr>
      <w:tr w:rsidR="00677ED1" w:rsidRPr="00960F32" w14:paraId="3C597367" w14:textId="77777777" w:rsidTr="001A00F8">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2C63A4A2" w14:textId="600566BC" w:rsidR="002A1778" w:rsidRPr="006D20D0" w:rsidRDefault="002A1778" w:rsidP="001117A0">
            <w:pPr>
              <w:pStyle w:val="TableText"/>
            </w:pPr>
            <w:r w:rsidRPr="006D20D0">
              <w:t>Facial prosthes</w:t>
            </w:r>
            <w:r w:rsidR="0072093B">
              <w:t>i</w:t>
            </w:r>
            <w:r w:rsidRPr="006D20D0">
              <w:t>s</w:t>
            </w:r>
          </w:p>
          <w:p w14:paraId="25B661CA" w14:textId="353B6ED5" w:rsidR="002A1778" w:rsidRPr="006D20D0" w:rsidRDefault="002A1778" w:rsidP="001117A0">
            <w:pPr>
              <w:pStyle w:val="TableText"/>
            </w:pPr>
            <w:r w:rsidRPr="006D20D0">
              <w:t>Including: Prosthetic ears, noses, eyeballs, orbital prosthetics</w:t>
            </w:r>
            <w:r w:rsidR="009D01D3">
              <w:t xml:space="preserve">, </w:t>
            </w:r>
            <w:r w:rsidRPr="006D20D0">
              <w:t>hemi-facial prosthetics</w:t>
            </w:r>
            <w:r w:rsidR="009D01D3">
              <w:t>, and artificial soft or hard palates</w:t>
            </w:r>
          </w:p>
        </w:tc>
        <w:tc>
          <w:tcPr>
            <w:tcW w:w="3343" w:type="dxa"/>
          </w:tcPr>
          <w:p w14:paraId="60D24DFC" w14:textId="20319135" w:rsidR="002A1778" w:rsidRPr="006D20D0" w:rsidRDefault="009D01D3" w:rsidP="001117A0">
            <w:pPr>
              <w:pStyle w:val="TableText"/>
              <w:cnfStyle w:val="000000000000" w:firstRow="0" w:lastRow="0" w:firstColumn="0" w:lastColumn="0" w:oddVBand="0" w:evenVBand="0" w:oddHBand="0" w:evenHBand="0" w:firstRowFirstColumn="0" w:firstRowLastColumn="0" w:lastRowFirstColumn="0" w:lastRowLastColumn="0"/>
            </w:pPr>
            <w:r>
              <w:t>56</w:t>
            </w:r>
          </w:p>
        </w:tc>
        <w:tc>
          <w:tcPr>
            <w:tcW w:w="3343" w:type="dxa"/>
          </w:tcPr>
          <w:p w14:paraId="7F06A0F2" w14:textId="3C20733B" w:rsidR="002A1778" w:rsidRPr="006D20D0" w:rsidRDefault="0079747C" w:rsidP="001117A0">
            <w:pPr>
              <w:pStyle w:val="TableText"/>
              <w:cnfStyle w:val="000000000000" w:firstRow="0" w:lastRow="0" w:firstColumn="0" w:lastColumn="0" w:oddVBand="0" w:evenVBand="0" w:oddHBand="0" w:evenHBand="0" w:firstRowFirstColumn="0" w:firstRowLastColumn="0" w:lastRowFirstColumn="0" w:lastRowLastColumn="0"/>
            </w:pPr>
            <w:r>
              <w:t>66.7</w:t>
            </w:r>
          </w:p>
        </w:tc>
      </w:tr>
      <w:tr w:rsidR="00677ED1" w:rsidRPr="00960F32" w14:paraId="0ACF0CAC" w14:textId="77777777" w:rsidTr="001A00F8">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4EAD0A43" w14:textId="1D4767EE" w:rsidR="002A1778" w:rsidRPr="006D20D0" w:rsidRDefault="002A1778" w:rsidP="001117A0">
            <w:pPr>
              <w:pStyle w:val="TableText"/>
            </w:pPr>
            <w:r w:rsidRPr="006D20D0">
              <w:t>An artificial breast worn in the bra</w:t>
            </w:r>
          </w:p>
        </w:tc>
        <w:tc>
          <w:tcPr>
            <w:tcW w:w="3343" w:type="dxa"/>
          </w:tcPr>
          <w:p w14:paraId="5F6F8FFE" w14:textId="65E3BFEE" w:rsidR="002A1778" w:rsidRPr="006D20D0" w:rsidRDefault="004C31DF" w:rsidP="001117A0">
            <w:pPr>
              <w:pStyle w:val="TableText"/>
              <w:cnfStyle w:val="000000000000" w:firstRow="0" w:lastRow="0" w:firstColumn="0" w:lastColumn="0" w:oddVBand="0" w:evenVBand="0" w:oddHBand="0" w:evenHBand="0" w:firstRowFirstColumn="0" w:firstRowLastColumn="0" w:lastRowFirstColumn="0" w:lastRowLastColumn="0"/>
            </w:pPr>
            <w:r w:rsidRPr="006D20D0">
              <w:t>3</w:t>
            </w:r>
          </w:p>
        </w:tc>
        <w:tc>
          <w:tcPr>
            <w:tcW w:w="3343" w:type="dxa"/>
          </w:tcPr>
          <w:p w14:paraId="55F3F371" w14:textId="6B519D93" w:rsidR="002A1778" w:rsidRPr="006D20D0" w:rsidRDefault="00267804" w:rsidP="001117A0">
            <w:pPr>
              <w:pStyle w:val="TableText"/>
              <w:cnfStyle w:val="000000000000" w:firstRow="0" w:lastRow="0" w:firstColumn="0" w:lastColumn="0" w:oddVBand="0" w:evenVBand="0" w:oddHBand="0" w:evenHBand="0" w:firstRowFirstColumn="0" w:firstRowLastColumn="0" w:lastRowFirstColumn="0" w:lastRowLastColumn="0"/>
            </w:pPr>
            <w:r w:rsidRPr="006D20D0">
              <w:t>3.</w:t>
            </w:r>
            <w:r w:rsidR="00F2270A">
              <w:t>6</w:t>
            </w:r>
          </w:p>
        </w:tc>
      </w:tr>
      <w:tr w:rsidR="00677ED1" w:rsidRPr="00960F32" w14:paraId="0D3621C4" w14:textId="77777777" w:rsidTr="001A00F8">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72E222DA" w14:textId="71060A12" w:rsidR="00D66075" w:rsidRPr="006D20D0" w:rsidRDefault="00D66075" w:rsidP="001117A0">
            <w:pPr>
              <w:pStyle w:val="TableText"/>
              <w:rPr>
                <w:rFonts w:eastAsiaTheme="minorEastAsia"/>
              </w:rPr>
            </w:pPr>
            <w:r w:rsidRPr="006D20D0">
              <w:rPr>
                <w:rFonts w:eastAsiaTheme="minorEastAsia"/>
              </w:rPr>
              <w:t>Voice prostheses</w:t>
            </w:r>
          </w:p>
        </w:tc>
        <w:tc>
          <w:tcPr>
            <w:tcW w:w="3343" w:type="dxa"/>
          </w:tcPr>
          <w:p w14:paraId="685FF91B" w14:textId="23F245AA" w:rsidR="00D66075" w:rsidRPr="006D20D0" w:rsidRDefault="00A0279B" w:rsidP="001117A0">
            <w:pPr>
              <w:pStyle w:val="TableText"/>
              <w:cnfStyle w:val="000000000000" w:firstRow="0" w:lastRow="0" w:firstColumn="0" w:lastColumn="0" w:oddVBand="0" w:evenVBand="0" w:oddHBand="0" w:evenHBand="0" w:firstRowFirstColumn="0" w:firstRowLastColumn="0" w:lastRowFirstColumn="0" w:lastRowLastColumn="0"/>
            </w:pPr>
            <w:r w:rsidRPr="006D20D0">
              <w:t>13</w:t>
            </w:r>
          </w:p>
        </w:tc>
        <w:tc>
          <w:tcPr>
            <w:tcW w:w="3343" w:type="dxa"/>
          </w:tcPr>
          <w:p w14:paraId="44E48103" w14:textId="7D5FFF84" w:rsidR="00D66075" w:rsidRPr="006D20D0" w:rsidRDefault="00B5728D" w:rsidP="001117A0">
            <w:pPr>
              <w:pStyle w:val="TableText"/>
              <w:cnfStyle w:val="000000000000" w:firstRow="0" w:lastRow="0" w:firstColumn="0" w:lastColumn="0" w:oddVBand="0" w:evenVBand="0" w:oddHBand="0" w:evenHBand="0" w:firstRowFirstColumn="0" w:firstRowLastColumn="0" w:lastRowFirstColumn="0" w:lastRowLastColumn="0"/>
            </w:pPr>
            <w:r>
              <w:t>15.</w:t>
            </w:r>
            <w:r w:rsidR="00F2270A">
              <w:t>5</w:t>
            </w:r>
          </w:p>
        </w:tc>
      </w:tr>
      <w:tr w:rsidR="00677ED1" w:rsidRPr="00960F32" w14:paraId="13B3BDF4" w14:textId="77777777" w:rsidTr="001A00F8">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7A28B450" w14:textId="7984C4AB" w:rsidR="002637B0" w:rsidRPr="006D20D0" w:rsidRDefault="002637B0" w:rsidP="001117A0">
            <w:pPr>
              <w:pStyle w:val="TableText"/>
              <w:rPr>
                <w:rFonts w:eastAsiaTheme="minorEastAsia"/>
              </w:rPr>
            </w:pPr>
            <w:r w:rsidRPr="006D20D0">
              <w:rPr>
                <w:rFonts w:eastAsiaTheme="minorEastAsia"/>
              </w:rPr>
              <w:t>Dental prostheses</w:t>
            </w:r>
          </w:p>
        </w:tc>
        <w:tc>
          <w:tcPr>
            <w:tcW w:w="3343" w:type="dxa"/>
          </w:tcPr>
          <w:p w14:paraId="069A6790" w14:textId="29288489" w:rsidR="002637B0" w:rsidRPr="006D20D0" w:rsidRDefault="006F5DE4" w:rsidP="001117A0">
            <w:pPr>
              <w:pStyle w:val="TableText"/>
              <w:cnfStyle w:val="000000000000" w:firstRow="0" w:lastRow="0" w:firstColumn="0" w:lastColumn="0" w:oddVBand="0" w:evenVBand="0" w:oddHBand="0" w:evenHBand="0" w:firstRowFirstColumn="0" w:firstRowLastColumn="0" w:lastRowFirstColumn="0" w:lastRowLastColumn="0"/>
            </w:pPr>
            <w:r w:rsidRPr="006D20D0">
              <w:t>10</w:t>
            </w:r>
          </w:p>
        </w:tc>
        <w:tc>
          <w:tcPr>
            <w:tcW w:w="3343" w:type="dxa"/>
          </w:tcPr>
          <w:p w14:paraId="6C83B496" w14:textId="66DA6B01" w:rsidR="002637B0" w:rsidRPr="006D20D0" w:rsidRDefault="006957CE" w:rsidP="001117A0">
            <w:pPr>
              <w:pStyle w:val="TableText"/>
              <w:cnfStyle w:val="000000000000" w:firstRow="0" w:lastRow="0" w:firstColumn="0" w:lastColumn="0" w:oddVBand="0" w:evenVBand="0" w:oddHBand="0" w:evenHBand="0" w:firstRowFirstColumn="0" w:firstRowLastColumn="0" w:lastRowFirstColumn="0" w:lastRowLastColumn="0"/>
            </w:pPr>
            <w:r>
              <w:t>11.9</w:t>
            </w:r>
          </w:p>
        </w:tc>
      </w:tr>
      <w:tr w:rsidR="00677ED1" w:rsidRPr="00960F32" w14:paraId="1991EA06" w14:textId="77777777" w:rsidTr="001A00F8">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24307434" w14:textId="0EBA2D97" w:rsidR="002A189A" w:rsidRPr="006D20D0" w:rsidRDefault="00734B3D" w:rsidP="001117A0">
            <w:pPr>
              <w:pStyle w:val="TableText"/>
              <w:rPr>
                <w:rFonts w:eastAsiaTheme="minorEastAsia"/>
              </w:rPr>
            </w:pPr>
            <w:r w:rsidRPr="006D20D0">
              <w:rPr>
                <w:rFonts w:eastAsiaTheme="minorEastAsia"/>
              </w:rPr>
              <w:t>Fat grafting</w:t>
            </w:r>
            <w:r w:rsidR="0097449C">
              <w:rPr>
                <w:rFonts w:eastAsiaTheme="minorEastAsia"/>
              </w:rPr>
              <w:t>*</w:t>
            </w:r>
          </w:p>
        </w:tc>
        <w:tc>
          <w:tcPr>
            <w:tcW w:w="3343" w:type="dxa"/>
          </w:tcPr>
          <w:p w14:paraId="71E6A2D0" w14:textId="396F4B92" w:rsidR="002A189A" w:rsidRPr="006D20D0" w:rsidRDefault="00F8558F" w:rsidP="001117A0">
            <w:pPr>
              <w:pStyle w:val="TableText"/>
              <w:cnfStyle w:val="000000000000" w:firstRow="0" w:lastRow="0" w:firstColumn="0" w:lastColumn="0" w:oddVBand="0" w:evenVBand="0" w:oddHBand="0" w:evenHBand="0" w:firstRowFirstColumn="0" w:firstRowLastColumn="0" w:lastRowFirstColumn="0" w:lastRowLastColumn="0"/>
            </w:pPr>
            <w:r w:rsidRPr="006D20D0">
              <w:t>1</w:t>
            </w:r>
          </w:p>
        </w:tc>
        <w:tc>
          <w:tcPr>
            <w:tcW w:w="3343" w:type="dxa"/>
          </w:tcPr>
          <w:p w14:paraId="3801010C" w14:textId="15CE5CDF" w:rsidR="002A189A" w:rsidRPr="006D20D0" w:rsidRDefault="006957CE" w:rsidP="001117A0">
            <w:pPr>
              <w:pStyle w:val="TableText"/>
              <w:cnfStyle w:val="000000000000" w:firstRow="0" w:lastRow="0" w:firstColumn="0" w:lastColumn="0" w:oddVBand="0" w:evenVBand="0" w:oddHBand="0" w:evenHBand="0" w:firstRowFirstColumn="0" w:firstRowLastColumn="0" w:lastRowFirstColumn="0" w:lastRowLastColumn="0"/>
            </w:pPr>
            <w:r>
              <w:t>1.</w:t>
            </w:r>
            <w:r w:rsidR="00F2270A">
              <w:t>2</w:t>
            </w:r>
          </w:p>
        </w:tc>
      </w:tr>
      <w:tr w:rsidR="00677ED1" w:rsidRPr="009C1931" w14:paraId="00F940C1" w14:textId="77777777" w:rsidTr="001A00F8">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7686BDF9" w14:textId="77777777" w:rsidR="002A1778" w:rsidRPr="006D20D0" w:rsidRDefault="002A1778" w:rsidP="001117A0">
            <w:pPr>
              <w:pStyle w:val="Tabletextbold"/>
              <w:rPr>
                <w:rFonts w:eastAsiaTheme="minorEastAsia" w:cs="Arial"/>
                <w:b/>
                <w:szCs w:val="18"/>
              </w:rPr>
            </w:pPr>
            <w:r w:rsidRPr="00C33FD2">
              <w:rPr>
                <w:b/>
                <w:bCs/>
              </w:rPr>
              <w:t>Total</w:t>
            </w:r>
          </w:p>
        </w:tc>
        <w:tc>
          <w:tcPr>
            <w:tcW w:w="3343" w:type="dxa"/>
          </w:tcPr>
          <w:p w14:paraId="2A32F8C3" w14:textId="5825D1E1" w:rsidR="002A1778" w:rsidRPr="006F5F45" w:rsidRDefault="002E0622" w:rsidP="001117A0">
            <w:pPr>
              <w:pStyle w:val="TableText"/>
              <w:cnfStyle w:val="000000000000" w:firstRow="0" w:lastRow="0" w:firstColumn="0" w:lastColumn="0" w:oddVBand="0" w:evenVBand="0" w:oddHBand="0" w:evenHBand="0" w:firstRowFirstColumn="0" w:firstRowLastColumn="0" w:lastRowFirstColumn="0" w:lastRowLastColumn="0"/>
              <w:rPr>
                <w:b/>
                <w:bCs/>
                <w:szCs w:val="20"/>
              </w:rPr>
            </w:pPr>
            <w:r w:rsidRPr="006F5F45">
              <w:rPr>
                <w:b/>
                <w:bCs/>
                <w:szCs w:val="20"/>
              </w:rPr>
              <w:t>84</w:t>
            </w:r>
          </w:p>
        </w:tc>
        <w:tc>
          <w:tcPr>
            <w:tcW w:w="3343" w:type="dxa"/>
          </w:tcPr>
          <w:p w14:paraId="007E1BB3" w14:textId="35AB597A" w:rsidR="002A1778" w:rsidRPr="006F5F45" w:rsidRDefault="000F7F29" w:rsidP="001117A0">
            <w:pPr>
              <w:pStyle w:val="TableText"/>
              <w:cnfStyle w:val="000000000000" w:firstRow="0" w:lastRow="0" w:firstColumn="0" w:lastColumn="0" w:oddVBand="0" w:evenVBand="0" w:oddHBand="0" w:evenHBand="0" w:firstRowFirstColumn="0" w:firstRowLastColumn="0" w:lastRowFirstColumn="0" w:lastRowLastColumn="0"/>
              <w:rPr>
                <w:b/>
                <w:bCs/>
                <w:szCs w:val="20"/>
              </w:rPr>
            </w:pPr>
            <w:r w:rsidRPr="006F5F45">
              <w:rPr>
                <w:b/>
                <w:bCs/>
                <w:szCs w:val="20"/>
              </w:rPr>
              <w:t>100</w:t>
            </w:r>
          </w:p>
        </w:tc>
      </w:tr>
    </w:tbl>
    <w:p w14:paraId="71A25DB6" w14:textId="0BFBF3D6" w:rsidR="00F00433" w:rsidRPr="006D20D0" w:rsidRDefault="006D20D0" w:rsidP="001117A0">
      <w:pPr>
        <w:pStyle w:val="Caption-Source"/>
        <w:rPr>
          <w:color w:val="0070C0"/>
          <w:szCs w:val="20"/>
        </w:rPr>
      </w:pPr>
      <w:r w:rsidRPr="00733B33">
        <w:t xml:space="preserve">Source: </w:t>
      </w:r>
      <w:r w:rsidR="00435DC4">
        <w:t>Independent reviewer</w:t>
      </w:r>
      <w:r w:rsidR="00584D02" w:rsidRPr="00733B33">
        <w:t xml:space="preserve"> (</w:t>
      </w:r>
      <w:r w:rsidRPr="00733B33">
        <w:t>2025</w:t>
      </w:r>
      <w:r w:rsidR="00584D02" w:rsidRPr="00733B33">
        <w:t>)</w:t>
      </w:r>
    </w:p>
    <w:p w14:paraId="4EF80315" w14:textId="295FF6E5" w:rsidR="0097449C" w:rsidRDefault="00734F82" w:rsidP="000F7F29">
      <w:pPr>
        <w:rPr>
          <w:rFonts w:ascii="Arial" w:hAnsi="Arial" w:cs="Arial"/>
          <w:szCs w:val="20"/>
        </w:rPr>
      </w:pPr>
      <w:r>
        <w:rPr>
          <w:rFonts w:ascii="Arial" w:hAnsi="Arial" w:cs="Arial"/>
          <w:szCs w:val="20"/>
        </w:rPr>
        <w:t xml:space="preserve">*Note: This respondent did not report another prosthesis. </w:t>
      </w:r>
    </w:p>
    <w:p w14:paraId="596327FF" w14:textId="388CCCA5" w:rsidR="00E754AA" w:rsidRPr="00A10684" w:rsidRDefault="00E754AA" w:rsidP="00A10684">
      <w:r>
        <w:rPr>
          <w:rFonts w:ascii="Arial" w:hAnsi="Arial" w:cs="Arial"/>
          <w:szCs w:val="20"/>
        </w:rPr>
        <w:t xml:space="preserve">Most of the respondents </w:t>
      </w:r>
      <w:r w:rsidR="007F15CD">
        <w:rPr>
          <w:rFonts w:ascii="Arial" w:hAnsi="Arial" w:cs="Arial"/>
          <w:szCs w:val="20"/>
        </w:rPr>
        <w:t>responded with</w:t>
      </w:r>
      <w:r w:rsidR="00EB4F8B">
        <w:rPr>
          <w:rFonts w:ascii="Arial" w:hAnsi="Arial" w:cs="Arial"/>
          <w:szCs w:val="20"/>
        </w:rPr>
        <w:t xml:space="preserve"> </w:t>
      </w:r>
      <w:r w:rsidR="00F4103F">
        <w:rPr>
          <w:rFonts w:ascii="Arial" w:hAnsi="Arial" w:cs="Arial"/>
          <w:szCs w:val="20"/>
        </w:rPr>
        <w:t xml:space="preserve">having </w:t>
      </w:r>
      <w:r w:rsidR="00EB4F8B">
        <w:rPr>
          <w:rFonts w:ascii="Arial" w:hAnsi="Arial" w:cs="Arial"/>
          <w:szCs w:val="20"/>
        </w:rPr>
        <w:t>only one prosth</w:t>
      </w:r>
      <w:r w:rsidR="00E4669D">
        <w:rPr>
          <w:rFonts w:ascii="Arial" w:hAnsi="Arial" w:cs="Arial"/>
          <w:szCs w:val="20"/>
        </w:rPr>
        <w:t xml:space="preserve">esis, or </w:t>
      </w:r>
      <w:r w:rsidR="00734F82">
        <w:rPr>
          <w:rFonts w:ascii="Arial" w:hAnsi="Arial" w:cs="Arial"/>
          <w:szCs w:val="20"/>
        </w:rPr>
        <w:t>reported</w:t>
      </w:r>
      <w:r w:rsidR="00E4669D">
        <w:rPr>
          <w:rFonts w:ascii="Arial" w:hAnsi="Arial" w:cs="Arial"/>
          <w:szCs w:val="20"/>
        </w:rPr>
        <w:t xml:space="preserve"> </w:t>
      </w:r>
      <w:r w:rsidR="000B63F7">
        <w:rPr>
          <w:rFonts w:ascii="Arial" w:hAnsi="Arial" w:cs="Arial"/>
          <w:szCs w:val="20"/>
        </w:rPr>
        <w:t xml:space="preserve">a secondary </w:t>
      </w:r>
      <w:r w:rsidR="00EB4F8B">
        <w:rPr>
          <w:rFonts w:ascii="Arial" w:hAnsi="Arial" w:cs="Arial"/>
          <w:szCs w:val="20"/>
        </w:rPr>
        <w:t>prosthes</w:t>
      </w:r>
      <w:r w:rsidR="00116786">
        <w:rPr>
          <w:rFonts w:ascii="Arial" w:hAnsi="Arial" w:cs="Arial"/>
          <w:szCs w:val="20"/>
        </w:rPr>
        <w:t>i</w:t>
      </w:r>
      <w:r w:rsidR="00EB4F8B">
        <w:rPr>
          <w:rFonts w:ascii="Arial" w:hAnsi="Arial" w:cs="Arial"/>
          <w:szCs w:val="20"/>
        </w:rPr>
        <w:t>s</w:t>
      </w:r>
      <w:r w:rsidR="0018719D">
        <w:rPr>
          <w:rFonts w:ascii="Arial" w:hAnsi="Arial" w:cs="Arial"/>
          <w:szCs w:val="20"/>
        </w:rPr>
        <w:t xml:space="preserve"> related to their main prosthesis (e.g., </w:t>
      </w:r>
      <w:r w:rsidR="0031624C">
        <w:rPr>
          <w:rFonts w:ascii="Arial" w:hAnsi="Arial" w:cs="Arial"/>
          <w:szCs w:val="20"/>
        </w:rPr>
        <w:t xml:space="preserve">a nose prosthesis and </w:t>
      </w:r>
      <w:r w:rsidR="00734F82">
        <w:rPr>
          <w:rFonts w:ascii="Arial" w:hAnsi="Arial" w:cs="Arial"/>
          <w:szCs w:val="20"/>
        </w:rPr>
        <w:t xml:space="preserve">a </w:t>
      </w:r>
      <w:r w:rsidR="007F15CD">
        <w:rPr>
          <w:rFonts w:ascii="Arial" w:hAnsi="Arial" w:cs="Arial"/>
          <w:szCs w:val="20"/>
        </w:rPr>
        <w:t>magnetic attachment</w:t>
      </w:r>
      <w:r w:rsidR="0031624C">
        <w:rPr>
          <w:rFonts w:ascii="Arial" w:hAnsi="Arial" w:cs="Arial"/>
          <w:szCs w:val="20"/>
        </w:rPr>
        <w:t xml:space="preserve"> for the nose prosthesis). </w:t>
      </w:r>
      <w:r w:rsidR="00D53AEC">
        <w:rPr>
          <w:rFonts w:ascii="Arial" w:hAnsi="Arial" w:cs="Arial"/>
          <w:szCs w:val="20"/>
        </w:rPr>
        <w:t xml:space="preserve">The latter type of response has been </w:t>
      </w:r>
      <w:r w:rsidR="001A5256">
        <w:rPr>
          <w:rFonts w:ascii="Arial" w:hAnsi="Arial" w:cs="Arial"/>
          <w:szCs w:val="20"/>
        </w:rPr>
        <w:t>grouped unde</w:t>
      </w:r>
      <w:r w:rsidR="001A5256" w:rsidRPr="00A10684">
        <w:t xml:space="preserve">r the respondent’s main prosthesis and counted as a single response. </w:t>
      </w:r>
    </w:p>
    <w:p w14:paraId="06A997C9" w14:textId="43DCDD8B" w:rsidR="00F4103F" w:rsidRPr="00A10684" w:rsidRDefault="00E06724" w:rsidP="00A10684">
      <w:r w:rsidRPr="00A10684">
        <w:t xml:space="preserve">Six respondents described having two distinct prostheses. </w:t>
      </w:r>
      <w:r w:rsidR="00E92FFB" w:rsidRPr="00A10684">
        <w:t xml:space="preserve">Their responses </w:t>
      </w:r>
      <w:r w:rsidR="00A946BC" w:rsidRPr="00A10684">
        <w:t>have been counted as two responses each</w:t>
      </w:r>
      <w:r w:rsidR="00612BFE" w:rsidRPr="00A10684">
        <w:t xml:space="preserve"> in the table above</w:t>
      </w:r>
      <w:r w:rsidR="00A946BC" w:rsidRPr="00A10684">
        <w:t>.</w:t>
      </w:r>
      <w:r w:rsidRPr="00A10684">
        <w:t xml:space="preserve"> </w:t>
      </w:r>
      <w:r w:rsidR="008D41FE" w:rsidRPr="00A10684">
        <w:t>They are:</w:t>
      </w:r>
    </w:p>
    <w:p w14:paraId="09CE868C" w14:textId="0E5F9CD2" w:rsidR="008D41FE" w:rsidRPr="008D41FE" w:rsidRDefault="00777A7E" w:rsidP="005E356C">
      <w:pPr>
        <w:pStyle w:val="Bullet1stlevel"/>
      </w:pPr>
      <w:r>
        <w:t xml:space="preserve">Two respondents have a prosthetic </w:t>
      </w:r>
      <w:r w:rsidR="00F340A5">
        <w:t>nose</w:t>
      </w:r>
      <w:r>
        <w:t xml:space="preserve"> and a prosthetic </w:t>
      </w:r>
      <w:r w:rsidR="00F340A5">
        <w:t>eyeball</w:t>
      </w:r>
      <w:r>
        <w:t>,</w:t>
      </w:r>
    </w:p>
    <w:p w14:paraId="36A56FD7" w14:textId="37714F9C" w:rsidR="00777A7E" w:rsidRPr="008D41FE" w:rsidRDefault="00777A7E" w:rsidP="005E356C">
      <w:pPr>
        <w:pStyle w:val="Bullet1stlevel"/>
      </w:pPr>
      <w:r>
        <w:t xml:space="preserve">One respondent has a </w:t>
      </w:r>
      <w:r w:rsidR="00CE6D45">
        <w:t>prosthetic nose and an artificial palate,</w:t>
      </w:r>
    </w:p>
    <w:p w14:paraId="74109BB9" w14:textId="4F9C63BD" w:rsidR="00CE6D45" w:rsidRPr="008D41FE" w:rsidRDefault="00CE6D45" w:rsidP="005E356C">
      <w:pPr>
        <w:pStyle w:val="Bullet1stlevel"/>
      </w:pPr>
      <w:r>
        <w:t xml:space="preserve">One respondent has a </w:t>
      </w:r>
      <w:r w:rsidR="00F340A5">
        <w:t>prosthetic nose and an artificial breast,</w:t>
      </w:r>
    </w:p>
    <w:p w14:paraId="6B9FDE99" w14:textId="6FF114DC" w:rsidR="00F340A5" w:rsidRPr="008D41FE" w:rsidRDefault="00F340A5" w:rsidP="005E356C">
      <w:pPr>
        <w:pStyle w:val="Bullet1stlevel"/>
      </w:pPr>
      <w:r>
        <w:t>One respondent has</w:t>
      </w:r>
      <w:r w:rsidR="0060767A">
        <w:t xml:space="preserve"> an artificial palate and a dental prosthesis,</w:t>
      </w:r>
      <w:r w:rsidR="0097449C">
        <w:t xml:space="preserve"> and</w:t>
      </w:r>
    </w:p>
    <w:p w14:paraId="62223EA4" w14:textId="03AEA91D" w:rsidR="0060767A" w:rsidRPr="008D41FE" w:rsidRDefault="0060767A" w:rsidP="005E356C">
      <w:pPr>
        <w:pStyle w:val="Bullet1stlevel"/>
      </w:pPr>
      <w:r>
        <w:t xml:space="preserve">One respondent has </w:t>
      </w:r>
      <w:r w:rsidR="004A5EE5">
        <w:t xml:space="preserve">an artificial palate and a </w:t>
      </w:r>
      <w:r w:rsidR="0097449C">
        <w:t xml:space="preserve">hemi-facial prosthesis. </w:t>
      </w:r>
    </w:p>
    <w:p w14:paraId="6D84ABA2" w14:textId="77777777" w:rsidR="00F00433" w:rsidRPr="0042443F" w:rsidRDefault="00F00433" w:rsidP="0000013E">
      <w:pPr>
        <w:pStyle w:val="ListNumber"/>
        <w:rPr>
          <w:rStyle w:val="Strong"/>
        </w:rPr>
      </w:pPr>
      <w:r w:rsidRPr="0042443F">
        <w:rPr>
          <w:rStyle w:val="Strong"/>
        </w:rPr>
        <w:t>To what extent do you agree with the following statements about your prosthesis (or the prosthesis used by the person you care for)? [grid, mandatory]</w:t>
      </w:r>
    </w:p>
    <w:p w14:paraId="4D4F2A94" w14:textId="671A8748" w:rsidR="00B867BD" w:rsidRPr="00A10684" w:rsidRDefault="00B867BD" w:rsidP="00A10684">
      <w:r>
        <w:rPr>
          <w:rFonts w:ascii="Arial" w:hAnsi="Arial" w:cs="Arial"/>
          <w:szCs w:val="20"/>
        </w:rPr>
        <w:t xml:space="preserve">A total of </w:t>
      </w:r>
      <w:r w:rsidR="00F86413">
        <w:rPr>
          <w:rFonts w:ascii="Arial" w:hAnsi="Arial" w:cs="Arial"/>
          <w:szCs w:val="20"/>
        </w:rPr>
        <w:t>eight statements were provided to the survey respondents</w:t>
      </w:r>
      <w:r w:rsidR="00780855">
        <w:rPr>
          <w:rFonts w:ascii="Arial" w:hAnsi="Arial" w:cs="Arial"/>
          <w:szCs w:val="20"/>
        </w:rPr>
        <w:t xml:space="preserve">, who were asked if they </w:t>
      </w:r>
      <w:r w:rsidR="00C21C49">
        <w:rPr>
          <w:rFonts w:ascii="Arial" w:hAnsi="Arial" w:cs="Arial"/>
          <w:szCs w:val="20"/>
        </w:rPr>
        <w:t>agreed or disagreed with each statement, on a 5-point Likert scale</w:t>
      </w:r>
      <w:r w:rsidR="00F86413">
        <w:rPr>
          <w:rFonts w:ascii="Arial" w:hAnsi="Arial" w:cs="Arial"/>
          <w:szCs w:val="20"/>
        </w:rPr>
        <w:t xml:space="preserve">. </w:t>
      </w:r>
    </w:p>
    <w:p w14:paraId="3C2EA81F" w14:textId="107A3B46" w:rsidR="00D95C7C" w:rsidRDefault="00D46FB6" w:rsidP="00A10684">
      <w:pPr>
        <w:rPr>
          <w:rFonts w:ascii="Arial" w:hAnsi="Arial" w:cs="Arial"/>
          <w:szCs w:val="20"/>
        </w:rPr>
      </w:pPr>
      <w:r>
        <w:rPr>
          <w:rFonts w:ascii="Arial" w:hAnsi="Arial" w:cs="Arial"/>
          <w:szCs w:val="20"/>
        </w:rPr>
        <w:t xml:space="preserve">The responses to each statement are organised by </w:t>
      </w:r>
      <w:r w:rsidR="00D3235D">
        <w:rPr>
          <w:rFonts w:ascii="Arial" w:hAnsi="Arial" w:cs="Arial"/>
          <w:szCs w:val="20"/>
        </w:rPr>
        <w:t xml:space="preserve">three distinct </w:t>
      </w:r>
      <w:r w:rsidR="00706BCE">
        <w:rPr>
          <w:rFonts w:ascii="Arial" w:hAnsi="Arial" w:cs="Arial"/>
          <w:szCs w:val="20"/>
        </w:rPr>
        <w:t>categories – jurisdiction, remoteness</w:t>
      </w:r>
      <w:r w:rsidR="00B87C85">
        <w:rPr>
          <w:rFonts w:ascii="Arial" w:hAnsi="Arial" w:cs="Arial"/>
          <w:szCs w:val="20"/>
        </w:rPr>
        <w:t>, and prosthesis type</w:t>
      </w:r>
      <w:r w:rsidR="00353B66">
        <w:rPr>
          <w:rFonts w:ascii="Arial" w:hAnsi="Arial" w:cs="Arial"/>
          <w:szCs w:val="20"/>
        </w:rPr>
        <w:t xml:space="preserve"> – to outline the distribution of each response</w:t>
      </w:r>
      <w:r w:rsidR="00B87C85">
        <w:rPr>
          <w:rFonts w:ascii="Arial" w:hAnsi="Arial" w:cs="Arial"/>
          <w:szCs w:val="20"/>
        </w:rPr>
        <w:t xml:space="preserve">. </w:t>
      </w:r>
      <w:r w:rsidR="002D23FF">
        <w:rPr>
          <w:rFonts w:ascii="Arial" w:hAnsi="Arial" w:cs="Arial"/>
          <w:szCs w:val="20"/>
        </w:rPr>
        <w:t>Each column outlines the number of respondents</w:t>
      </w:r>
      <w:r w:rsidR="0040793A">
        <w:rPr>
          <w:rFonts w:ascii="Arial" w:hAnsi="Arial" w:cs="Arial"/>
          <w:szCs w:val="20"/>
        </w:rPr>
        <w:t>,</w:t>
      </w:r>
      <w:r w:rsidR="002D23FF">
        <w:rPr>
          <w:rFonts w:ascii="Arial" w:hAnsi="Arial" w:cs="Arial"/>
          <w:szCs w:val="20"/>
        </w:rPr>
        <w:t xml:space="preserve"> </w:t>
      </w:r>
      <w:r w:rsidR="006F7DFC">
        <w:rPr>
          <w:rFonts w:ascii="Arial" w:hAnsi="Arial" w:cs="Arial"/>
          <w:szCs w:val="20"/>
        </w:rPr>
        <w:t xml:space="preserve">and the proportion of respondents </w:t>
      </w:r>
      <w:r w:rsidR="00F3463A">
        <w:rPr>
          <w:rFonts w:ascii="Arial" w:hAnsi="Arial" w:cs="Arial"/>
          <w:szCs w:val="20"/>
        </w:rPr>
        <w:t>for</w:t>
      </w:r>
      <w:r w:rsidR="0089506B">
        <w:rPr>
          <w:rFonts w:ascii="Arial" w:hAnsi="Arial" w:cs="Arial"/>
          <w:szCs w:val="20"/>
        </w:rPr>
        <w:t xml:space="preserve"> each row </w:t>
      </w:r>
      <w:r w:rsidR="00F3463A">
        <w:rPr>
          <w:rFonts w:ascii="Arial" w:hAnsi="Arial" w:cs="Arial"/>
          <w:szCs w:val="20"/>
        </w:rPr>
        <w:t xml:space="preserve">indicated </w:t>
      </w:r>
      <w:r w:rsidR="006F7DFC">
        <w:rPr>
          <w:rFonts w:ascii="Arial" w:hAnsi="Arial" w:cs="Arial"/>
          <w:szCs w:val="20"/>
        </w:rPr>
        <w:t xml:space="preserve">in an accompanying bracket.  </w:t>
      </w:r>
    </w:p>
    <w:p w14:paraId="58B96FB5" w14:textId="60433244" w:rsidR="00833461" w:rsidRPr="0042443F" w:rsidRDefault="00E938D1" w:rsidP="004F27F5">
      <w:pPr>
        <w:spacing w:before="0" w:after="160" w:line="259" w:lineRule="auto"/>
        <w:rPr>
          <w:rStyle w:val="Strong"/>
        </w:rPr>
      </w:pPr>
      <w:r w:rsidRPr="0042443F">
        <w:rPr>
          <w:rStyle w:val="Strong"/>
        </w:rPr>
        <w:t xml:space="preserve">Statement </w:t>
      </w:r>
      <w:r w:rsidR="00F80C6D" w:rsidRPr="0042443F">
        <w:rPr>
          <w:rStyle w:val="Strong"/>
        </w:rPr>
        <w:t xml:space="preserve">1: </w:t>
      </w:r>
      <w:r w:rsidR="0035206A" w:rsidRPr="0042443F">
        <w:rPr>
          <w:rStyle w:val="Strong"/>
        </w:rPr>
        <w:t>Clear information about prostheses options, funding available and the process for obtaining a prosthesis was provided</w:t>
      </w:r>
    </w:p>
    <w:p w14:paraId="7A96E7FC" w14:textId="7334625A" w:rsidR="004F27F5" w:rsidRDefault="004F27F5" w:rsidP="004F27F5">
      <w:pPr>
        <w:pStyle w:val="Caption"/>
      </w:pPr>
      <w:bookmarkStart w:id="226" w:name="_Toc207348618"/>
      <w:r>
        <w:t xml:space="preserve">Table </w:t>
      </w:r>
      <w:r>
        <w:fldChar w:fldCharType="begin"/>
      </w:r>
      <w:r>
        <w:instrText xml:space="preserve"> SEQ Table \* ARABIC </w:instrText>
      </w:r>
      <w:r>
        <w:fldChar w:fldCharType="separate"/>
      </w:r>
      <w:r>
        <w:rPr>
          <w:noProof/>
        </w:rPr>
        <w:t>53</w:t>
      </w:r>
      <w:r>
        <w:rPr>
          <w:noProof/>
        </w:rPr>
        <w:fldChar w:fldCharType="end"/>
      </w:r>
      <w:r>
        <w:t xml:space="preserve">: Responses by jurisdiction to Statement </w:t>
      </w:r>
      <w:r w:rsidRPr="004F27F5">
        <w:t>1</w:t>
      </w:r>
      <w:bookmarkEnd w:id="226"/>
    </w:p>
    <w:tbl>
      <w:tblPr>
        <w:tblStyle w:val="KPMGTable"/>
        <w:tblW w:w="5000" w:type="pct"/>
        <w:tblLook w:val="04A0" w:firstRow="1" w:lastRow="0" w:firstColumn="1" w:lastColumn="0" w:noHBand="0" w:noVBand="1"/>
      </w:tblPr>
      <w:tblGrid>
        <w:gridCol w:w="1701"/>
        <w:gridCol w:w="1701"/>
        <w:gridCol w:w="1701"/>
        <w:gridCol w:w="1701"/>
        <w:gridCol w:w="1700"/>
        <w:gridCol w:w="1700"/>
      </w:tblGrid>
      <w:tr w:rsidR="00AD6F37" w:rsidRPr="00501302" w14:paraId="6DCC4388"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833" w:type="pct"/>
          </w:tcPr>
          <w:p w14:paraId="2B18B791" w14:textId="77777777" w:rsidR="009B5759" w:rsidRPr="007B154A" w:rsidRDefault="009B5759" w:rsidP="004F27F5">
            <w:pPr>
              <w:pStyle w:val="TableHeading"/>
              <w:rPr>
                <w:b w:val="0"/>
                <w:color w:val="FFFFFF" w:themeColor="background1"/>
                <w:szCs w:val="20"/>
              </w:rPr>
            </w:pPr>
            <w:r>
              <w:t>Response</w:t>
            </w:r>
          </w:p>
        </w:tc>
        <w:tc>
          <w:tcPr>
            <w:tcW w:w="833" w:type="pct"/>
          </w:tcPr>
          <w:p w14:paraId="6E470001" w14:textId="77777777" w:rsidR="009B5759" w:rsidRPr="006F5F45" w:rsidRDefault="009B5759" w:rsidP="004F27F5">
            <w:pPr>
              <w:pStyle w:val="TableHeading"/>
              <w:cnfStyle w:val="100000000000" w:firstRow="1" w:lastRow="0" w:firstColumn="0" w:lastColumn="0" w:oddVBand="0" w:evenVBand="0" w:oddHBand="0" w:evenHBand="0" w:firstRowFirstColumn="0" w:firstRowLastColumn="0" w:lastRowFirstColumn="0" w:lastRowLastColumn="0"/>
              <w:rPr>
                <w:color w:val="FFFFFF" w:themeColor="background1"/>
                <w:szCs w:val="20"/>
              </w:rPr>
            </w:pPr>
            <w:r w:rsidRPr="006F5F45">
              <w:t>Strongly disagree</w:t>
            </w:r>
          </w:p>
        </w:tc>
        <w:tc>
          <w:tcPr>
            <w:tcW w:w="833" w:type="pct"/>
          </w:tcPr>
          <w:p w14:paraId="34D80765" w14:textId="77777777" w:rsidR="009B5759" w:rsidRPr="006F5F45" w:rsidRDefault="009B5759" w:rsidP="004F27F5">
            <w:pPr>
              <w:pStyle w:val="TableHeading"/>
              <w:cnfStyle w:val="100000000000" w:firstRow="1" w:lastRow="0" w:firstColumn="0" w:lastColumn="0" w:oddVBand="0" w:evenVBand="0" w:oddHBand="0" w:evenHBand="0" w:firstRowFirstColumn="0" w:firstRowLastColumn="0" w:lastRowFirstColumn="0" w:lastRowLastColumn="0"/>
              <w:rPr>
                <w:color w:val="FFFFFF" w:themeColor="background1"/>
                <w:szCs w:val="20"/>
              </w:rPr>
            </w:pPr>
            <w:r w:rsidRPr="006F5F45">
              <w:t>Somewhat disagree</w:t>
            </w:r>
          </w:p>
        </w:tc>
        <w:tc>
          <w:tcPr>
            <w:tcW w:w="833" w:type="pct"/>
          </w:tcPr>
          <w:p w14:paraId="5EA09038" w14:textId="77777777" w:rsidR="009B5759" w:rsidRPr="006F5F45" w:rsidRDefault="009B5759" w:rsidP="004F27F5">
            <w:pPr>
              <w:pStyle w:val="TableHeading"/>
              <w:cnfStyle w:val="100000000000" w:firstRow="1" w:lastRow="0" w:firstColumn="0" w:lastColumn="0" w:oddVBand="0" w:evenVBand="0" w:oddHBand="0" w:evenHBand="0" w:firstRowFirstColumn="0" w:firstRowLastColumn="0" w:lastRowFirstColumn="0" w:lastRowLastColumn="0"/>
              <w:rPr>
                <w:szCs w:val="20"/>
              </w:rPr>
            </w:pPr>
            <w:r w:rsidRPr="006F5F45">
              <w:t xml:space="preserve">Neither </w:t>
            </w:r>
            <w:r w:rsidRPr="006F5F45">
              <w:rPr>
                <w:szCs w:val="20"/>
              </w:rPr>
              <w:t>agree nor disagree</w:t>
            </w:r>
          </w:p>
        </w:tc>
        <w:tc>
          <w:tcPr>
            <w:tcW w:w="833" w:type="pct"/>
          </w:tcPr>
          <w:p w14:paraId="50C9AF13" w14:textId="77777777" w:rsidR="009B5759" w:rsidRPr="006F5F45" w:rsidRDefault="009B5759" w:rsidP="004F27F5">
            <w:pPr>
              <w:pStyle w:val="TableHeading"/>
              <w:cnfStyle w:val="100000000000" w:firstRow="1" w:lastRow="0" w:firstColumn="0" w:lastColumn="0" w:oddVBand="0" w:evenVBand="0" w:oddHBand="0" w:evenHBand="0" w:firstRowFirstColumn="0" w:firstRowLastColumn="0" w:lastRowFirstColumn="0" w:lastRowLastColumn="0"/>
              <w:rPr>
                <w:color w:val="FFFFFF" w:themeColor="background1"/>
                <w:szCs w:val="20"/>
              </w:rPr>
            </w:pPr>
            <w:r w:rsidRPr="006F5F45">
              <w:t>Somewhat agree</w:t>
            </w:r>
          </w:p>
        </w:tc>
        <w:tc>
          <w:tcPr>
            <w:tcW w:w="833" w:type="pct"/>
          </w:tcPr>
          <w:p w14:paraId="644E59F8" w14:textId="77777777" w:rsidR="009B5759" w:rsidRPr="006F5F45" w:rsidRDefault="009B5759" w:rsidP="004F27F5">
            <w:pPr>
              <w:pStyle w:val="TableHeading"/>
              <w:cnfStyle w:val="100000000000" w:firstRow="1" w:lastRow="0" w:firstColumn="0" w:lastColumn="0" w:oddVBand="0" w:evenVBand="0" w:oddHBand="0" w:evenHBand="0" w:firstRowFirstColumn="0" w:firstRowLastColumn="0" w:lastRowFirstColumn="0" w:lastRowLastColumn="0"/>
              <w:rPr>
                <w:color w:val="FFFFFF" w:themeColor="background1"/>
                <w:szCs w:val="20"/>
              </w:rPr>
            </w:pPr>
            <w:r w:rsidRPr="006F5F45">
              <w:t>Strongly agree</w:t>
            </w:r>
          </w:p>
        </w:tc>
      </w:tr>
      <w:tr w:rsidR="00677ED1" w:rsidRPr="00DE530D" w14:paraId="56129FBB"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50479F0F" w14:textId="77777777" w:rsidR="009B5759" w:rsidRPr="00E90673" w:rsidRDefault="009B5759" w:rsidP="004F27F5">
            <w:pPr>
              <w:pStyle w:val="TableText"/>
            </w:pPr>
            <w:r>
              <w:t>New South Wales</w:t>
            </w:r>
          </w:p>
        </w:tc>
        <w:tc>
          <w:tcPr>
            <w:tcW w:w="833" w:type="pct"/>
          </w:tcPr>
          <w:p w14:paraId="66ADD697" w14:textId="3DB16858" w:rsidR="009B5759" w:rsidRDefault="009B5759" w:rsidP="004F27F5">
            <w:pPr>
              <w:pStyle w:val="TableText"/>
              <w:cnfStyle w:val="000000000000" w:firstRow="0" w:lastRow="0" w:firstColumn="0" w:lastColumn="0" w:oddVBand="0" w:evenVBand="0" w:oddHBand="0" w:evenHBand="0" w:firstRowFirstColumn="0" w:firstRowLastColumn="0" w:lastRowFirstColumn="0" w:lastRowLastColumn="0"/>
            </w:pPr>
            <w:r>
              <w:t>11 (30.</w:t>
            </w:r>
            <w:r w:rsidR="00656306">
              <w:t>6</w:t>
            </w:r>
            <w:r>
              <w:t>%)</w:t>
            </w:r>
          </w:p>
        </w:tc>
        <w:tc>
          <w:tcPr>
            <w:tcW w:w="833" w:type="pct"/>
          </w:tcPr>
          <w:p w14:paraId="360E5E62" w14:textId="6843D876" w:rsidR="009B5759" w:rsidRDefault="009B5759" w:rsidP="004F27F5">
            <w:pPr>
              <w:pStyle w:val="TableText"/>
              <w:cnfStyle w:val="000000000000" w:firstRow="0" w:lastRow="0" w:firstColumn="0" w:lastColumn="0" w:oddVBand="0" w:evenVBand="0" w:oddHBand="0" w:evenHBand="0" w:firstRowFirstColumn="0" w:firstRowLastColumn="0" w:lastRowFirstColumn="0" w:lastRowLastColumn="0"/>
            </w:pPr>
            <w:r>
              <w:t>4 (11.</w:t>
            </w:r>
            <w:r w:rsidR="00656306">
              <w:t>1</w:t>
            </w:r>
            <w:r>
              <w:t>%)</w:t>
            </w:r>
          </w:p>
        </w:tc>
        <w:tc>
          <w:tcPr>
            <w:tcW w:w="833" w:type="pct"/>
          </w:tcPr>
          <w:p w14:paraId="6047B549" w14:textId="1BB5817B" w:rsidR="009B5759" w:rsidRDefault="009B5759" w:rsidP="004F27F5">
            <w:pPr>
              <w:pStyle w:val="TableText"/>
              <w:cnfStyle w:val="000000000000" w:firstRow="0" w:lastRow="0" w:firstColumn="0" w:lastColumn="0" w:oddVBand="0" w:evenVBand="0" w:oddHBand="0" w:evenHBand="0" w:firstRowFirstColumn="0" w:firstRowLastColumn="0" w:lastRowFirstColumn="0" w:lastRowLastColumn="0"/>
            </w:pPr>
            <w:r>
              <w:t>3 (8.</w:t>
            </w:r>
            <w:r w:rsidR="00656306">
              <w:t>3</w:t>
            </w:r>
            <w:r>
              <w:t>%)</w:t>
            </w:r>
          </w:p>
        </w:tc>
        <w:tc>
          <w:tcPr>
            <w:tcW w:w="833" w:type="pct"/>
          </w:tcPr>
          <w:p w14:paraId="3A0289A3" w14:textId="0A81DD3D" w:rsidR="009B5759" w:rsidRDefault="009B5759" w:rsidP="004F27F5">
            <w:pPr>
              <w:pStyle w:val="TableText"/>
              <w:cnfStyle w:val="000000000000" w:firstRow="0" w:lastRow="0" w:firstColumn="0" w:lastColumn="0" w:oddVBand="0" w:evenVBand="0" w:oddHBand="0" w:evenHBand="0" w:firstRowFirstColumn="0" w:firstRowLastColumn="0" w:lastRowFirstColumn="0" w:lastRowLastColumn="0"/>
            </w:pPr>
            <w:r>
              <w:t>8 (22.</w:t>
            </w:r>
            <w:r w:rsidR="00656306">
              <w:t>2</w:t>
            </w:r>
            <w:r>
              <w:t>%)</w:t>
            </w:r>
          </w:p>
        </w:tc>
        <w:tc>
          <w:tcPr>
            <w:tcW w:w="833" w:type="pct"/>
          </w:tcPr>
          <w:p w14:paraId="0E66FD12" w14:textId="7FEE79E3" w:rsidR="009B5759" w:rsidRDefault="009B5759" w:rsidP="004F27F5">
            <w:pPr>
              <w:pStyle w:val="TableText"/>
              <w:cnfStyle w:val="000000000000" w:firstRow="0" w:lastRow="0" w:firstColumn="0" w:lastColumn="0" w:oddVBand="0" w:evenVBand="0" w:oddHBand="0" w:evenHBand="0" w:firstRowFirstColumn="0" w:firstRowLastColumn="0" w:lastRowFirstColumn="0" w:lastRowLastColumn="0"/>
            </w:pPr>
            <w:r>
              <w:t>10 (27.</w:t>
            </w:r>
            <w:r w:rsidR="00656306">
              <w:t>8</w:t>
            </w:r>
            <w:r>
              <w:t>%)</w:t>
            </w:r>
          </w:p>
        </w:tc>
      </w:tr>
      <w:tr w:rsidR="00677ED1" w:rsidRPr="00DE530D" w14:paraId="1F8DDD39"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2386BF53" w14:textId="77777777" w:rsidR="009B5759" w:rsidRPr="006D20D0" w:rsidRDefault="009B5759" w:rsidP="004F27F5">
            <w:pPr>
              <w:pStyle w:val="TableText"/>
              <w:rPr>
                <w:szCs w:val="18"/>
              </w:rPr>
            </w:pPr>
            <w:r>
              <w:rPr>
                <w:szCs w:val="18"/>
              </w:rPr>
              <w:t>Victoria</w:t>
            </w:r>
          </w:p>
        </w:tc>
        <w:tc>
          <w:tcPr>
            <w:tcW w:w="833" w:type="pct"/>
          </w:tcPr>
          <w:p w14:paraId="03668655" w14:textId="59FCDB3F" w:rsidR="009B5759" w:rsidRDefault="009B5759"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w:t>
            </w:r>
            <w:r w:rsidR="00656306">
              <w:rPr>
                <w:szCs w:val="18"/>
              </w:rPr>
              <w:t>0</w:t>
            </w:r>
            <w:r>
              <w:rPr>
                <w:szCs w:val="18"/>
              </w:rPr>
              <w:t>%)</w:t>
            </w:r>
          </w:p>
        </w:tc>
        <w:tc>
          <w:tcPr>
            <w:tcW w:w="833" w:type="pct"/>
          </w:tcPr>
          <w:p w14:paraId="0F3C20AE" w14:textId="0DD424D3" w:rsidR="009B5759" w:rsidRDefault="009B5759"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 (16.</w:t>
            </w:r>
            <w:r w:rsidR="00656306">
              <w:rPr>
                <w:szCs w:val="18"/>
              </w:rPr>
              <w:t>7</w:t>
            </w:r>
            <w:r>
              <w:rPr>
                <w:szCs w:val="18"/>
              </w:rPr>
              <w:t>%)</w:t>
            </w:r>
          </w:p>
        </w:tc>
        <w:tc>
          <w:tcPr>
            <w:tcW w:w="833" w:type="pct"/>
          </w:tcPr>
          <w:p w14:paraId="10BE76B9" w14:textId="1D350B60" w:rsidR="009B5759" w:rsidRDefault="009B5759"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 (16.</w:t>
            </w:r>
            <w:r w:rsidR="00656306">
              <w:rPr>
                <w:szCs w:val="18"/>
              </w:rPr>
              <w:t>7</w:t>
            </w:r>
            <w:r>
              <w:rPr>
                <w:szCs w:val="18"/>
              </w:rPr>
              <w:t>%)</w:t>
            </w:r>
          </w:p>
        </w:tc>
        <w:tc>
          <w:tcPr>
            <w:tcW w:w="833" w:type="pct"/>
          </w:tcPr>
          <w:p w14:paraId="75DD63EE" w14:textId="33112642" w:rsidR="009B5759" w:rsidRDefault="009B5759"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2 (33.</w:t>
            </w:r>
            <w:r w:rsidR="00656306">
              <w:rPr>
                <w:szCs w:val="18"/>
              </w:rPr>
              <w:t>3</w:t>
            </w:r>
            <w:r>
              <w:rPr>
                <w:szCs w:val="18"/>
              </w:rPr>
              <w:t>%)</w:t>
            </w:r>
          </w:p>
        </w:tc>
        <w:tc>
          <w:tcPr>
            <w:tcW w:w="833" w:type="pct"/>
          </w:tcPr>
          <w:p w14:paraId="494FA1AA" w14:textId="7AC6F3BF" w:rsidR="009B5759" w:rsidRDefault="009B5759"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2 (33.</w:t>
            </w:r>
            <w:r w:rsidR="00656306">
              <w:rPr>
                <w:szCs w:val="18"/>
              </w:rPr>
              <w:t>3</w:t>
            </w:r>
            <w:r>
              <w:rPr>
                <w:szCs w:val="18"/>
              </w:rPr>
              <w:t>%)</w:t>
            </w:r>
          </w:p>
        </w:tc>
      </w:tr>
      <w:tr w:rsidR="00677ED1" w:rsidRPr="00DE530D" w14:paraId="2013D229"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206C9DD0" w14:textId="77777777" w:rsidR="009B5759" w:rsidRPr="00E90673" w:rsidRDefault="009B5759" w:rsidP="004F27F5">
            <w:pPr>
              <w:pStyle w:val="TableText"/>
            </w:pPr>
            <w:r>
              <w:t>Queensland</w:t>
            </w:r>
          </w:p>
        </w:tc>
        <w:tc>
          <w:tcPr>
            <w:tcW w:w="833" w:type="pct"/>
          </w:tcPr>
          <w:p w14:paraId="01EF00B2" w14:textId="5D338631" w:rsidR="009B5759" w:rsidRDefault="009B5759" w:rsidP="004F27F5">
            <w:pPr>
              <w:pStyle w:val="TableText"/>
              <w:cnfStyle w:val="000000000000" w:firstRow="0" w:lastRow="0" w:firstColumn="0" w:lastColumn="0" w:oddVBand="0" w:evenVBand="0" w:oddHBand="0" w:evenHBand="0" w:firstRowFirstColumn="0" w:firstRowLastColumn="0" w:lastRowFirstColumn="0" w:lastRowLastColumn="0"/>
            </w:pPr>
            <w:r>
              <w:t>4 (28.</w:t>
            </w:r>
            <w:r w:rsidR="00656306">
              <w:t>6</w:t>
            </w:r>
            <w:r>
              <w:t>%)</w:t>
            </w:r>
          </w:p>
        </w:tc>
        <w:tc>
          <w:tcPr>
            <w:tcW w:w="833" w:type="pct"/>
          </w:tcPr>
          <w:p w14:paraId="48FA4EC2" w14:textId="1E957318" w:rsidR="009B5759" w:rsidRDefault="009B5759" w:rsidP="004F27F5">
            <w:pPr>
              <w:pStyle w:val="TableText"/>
              <w:cnfStyle w:val="000000000000" w:firstRow="0" w:lastRow="0" w:firstColumn="0" w:lastColumn="0" w:oddVBand="0" w:evenVBand="0" w:oddHBand="0" w:evenHBand="0" w:firstRowFirstColumn="0" w:firstRowLastColumn="0" w:lastRowFirstColumn="0" w:lastRowLastColumn="0"/>
            </w:pPr>
            <w:r>
              <w:t>5 (35.</w:t>
            </w:r>
            <w:r w:rsidR="00656306">
              <w:t>7</w:t>
            </w:r>
            <w:r>
              <w:t>%)</w:t>
            </w:r>
          </w:p>
        </w:tc>
        <w:tc>
          <w:tcPr>
            <w:tcW w:w="833" w:type="pct"/>
          </w:tcPr>
          <w:p w14:paraId="45AC34C2" w14:textId="23F05074" w:rsidR="009B5759" w:rsidRDefault="009B5759" w:rsidP="004F27F5">
            <w:pPr>
              <w:pStyle w:val="TableText"/>
              <w:cnfStyle w:val="000000000000" w:firstRow="0" w:lastRow="0" w:firstColumn="0" w:lastColumn="0" w:oddVBand="0" w:evenVBand="0" w:oddHBand="0" w:evenHBand="0" w:firstRowFirstColumn="0" w:firstRowLastColumn="0" w:lastRowFirstColumn="0" w:lastRowLastColumn="0"/>
            </w:pPr>
            <w:r>
              <w:t>2 (14.</w:t>
            </w:r>
            <w:r w:rsidR="00656306">
              <w:t>3</w:t>
            </w:r>
            <w:r>
              <w:t>%)</w:t>
            </w:r>
          </w:p>
        </w:tc>
        <w:tc>
          <w:tcPr>
            <w:tcW w:w="833" w:type="pct"/>
          </w:tcPr>
          <w:p w14:paraId="7A70BD81" w14:textId="33F57530" w:rsidR="009B5759" w:rsidRDefault="009B5759" w:rsidP="004F27F5">
            <w:pPr>
              <w:pStyle w:val="TableText"/>
              <w:cnfStyle w:val="000000000000" w:firstRow="0" w:lastRow="0" w:firstColumn="0" w:lastColumn="0" w:oddVBand="0" w:evenVBand="0" w:oddHBand="0" w:evenHBand="0" w:firstRowFirstColumn="0" w:firstRowLastColumn="0" w:lastRowFirstColumn="0" w:lastRowLastColumn="0"/>
            </w:pPr>
            <w:r>
              <w:t>0 (0.</w:t>
            </w:r>
            <w:r w:rsidR="00656306">
              <w:t>0</w:t>
            </w:r>
            <w:r>
              <w:t>%)</w:t>
            </w:r>
          </w:p>
        </w:tc>
        <w:tc>
          <w:tcPr>
            <w:tcW w:w="833" w:type="pct"/>
          </w:tcPr>
          <w:p w14:paraId="5223058F" w14:textId="3D81D103" w:rsidR="009B5759" w:rsidRDefault="009B5759" w:rsidP="004F27F5">
            <w:pPr>
              <w:pStyle w:val="TableText"/>
              <w:cnfStyle w:val="000000000000" w:firstRow="0" w:lastRow="0" w:firstColumn="0" w:lastColumn="0" w:oddVBand="0" w:evenVBand="0" w:oddHBand="0" w:evenHBand="0" w:firstRowFirstColumn="0" w:firstRowLastColumn="0" w:lastRowFirstColumn="0" w:lastRowLastColumn="0"/>
            </w:pPr>
            <w:r>
              <w:t>3 (21.</w:t>
            </w:r>
            <w:r w:rsidR="00656306">
              <w:t>4</w:t>
            </w:r>
            <w:r>
              <w:t>%)</w:t>
            </w:r>
          </w:p>
        </w:tc>
      </w:tr>
      <w:tr w:rsidR="00677ED1" w:rsidRPr="00DE530D" w14:paraId="392A33E6"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3372381A" w14:textId="77777777" w:rsidR="009B5759" w:rsidRPr="006D20D0" w:rsidRDefault="009B5759" w:rsidP="004F27F5">
            <w:pPr>
              <w:pStyle w:val="TableText"/>
              <w:rPr>
                <w:szCs w:val="18"/>
              </w:rPr>
            </w:pPr>
            <w:r>
              <w:rPr>
                <w:szCs w:val="18"/>
              </w:rPr>
              <w:t xml:space="preserve">South Australia </w:t>
            </w:r>
          </w:p>
        </w:tc>
        <w:tc>
          <w:tcPr>
            <w:tcW w:w="833" w:type="pct"/>
          </w:tcPr>
          <w:p w14:paraId="3FDF02AE" w14:textId="1CAFE257" w:rsidR="009B5759" w:rsidRDefault="009B5759"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 (25.</w:t>
            </w:r>
            <w:r w:rsidR="00656306">
              <w:rPr>
                <w:szCs w:val="18"/>
              </w:rPr>
              <w:t>0</w:t>
            </w:r>
            <w:r>
              <w:rPr>
                <w:szCs w:val="18"/>
              </w:rPr>
              <w:t>%)</w:t>
            </w:r>
          </w:p>
        </w:tc>
        <w:tc>
          <w:tcPr>
            <w:tcW w:w="833" w:type="pct"/>
          </w:tcPr>
          <w:p w14:paraId="6976A0C1" w14:textId="666D1B49" w:rsidR="009B5759" w:rsidRDefault="009B5759"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 (25.</w:t>
            </w:r>
            <w:r w:rsidR="00656306">
              <w:rPr>
                <w:szCs w:val="18"/>
              </w:rPr>
              <w:t>0</w:t>
            </w:r>
            <w:r>
              <w:rPr>
                <w:szCs w:val="18"/>
              </w:rPr>
              <w:t>%)</w:t>
            </w:r>
          </w:p>
        </w:tc>
        <w:tc>
          <w:tcPr>
            <w:tcW w:w="833" w:type="pct"/>
          </w:tcPr>
          <w:p w14:paraId="0701FA43" w14:textId="554B3F51" w:rsidR="009B5759" w:rsidRDefault="009B5759"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w:t>
            </w:r>
            <w:r w:rsidR="00656306">
              <w:rPr>
                <w:szCs w:val="18"/>
              </w:rPr>
              <w:t>0</w:t>
            </w:r>
            <w:r>
              <w:rPr>
                <w:szCs w:val="18"/>
              </w:rPr>
              <w:t>%)</w:t>
            </w:r>
          </w:p>
        </w:tc>
        <w:tc>
          <w:tcPr>
            <w:tcW w:w="833" w:type="pct"/>
          </w:tcPr>
          <w:p w14:paraId="71EA9043" w14:textId="6A9D89A7" w:rsidR="009B5759" w:rsidRDefault="009B5759"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2 (50.</w:t>
            </w:r>
            <w:r w:rsidR="00656306">
              <w:rPr>
                <w:szCs w:val="18"/>
              </w:rPr>
              <w:t>0</w:t>
            </w:r>
            <w:r>
              <w:rPr>
                <w:szCs w:val="18"/>
              </w:rPr>
              <w:t>%)</w:t>
            </w:r>
          </w:p>
        </w:tc>
        <w:tc>
          <w:tcPr>
            <w:tcW w:w="833" w:type="pct"/>
          </w:tcPr>
          <w:p w14:paraId="4EAD55D2" w14:textId="383C25D9" w:rsidR="009B5759" w:rsidRDefault="009B5759"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w:t>
            </w:r>
            <w:r w:rsidR="00656306">
              <w:rPr>
                <w:szCs w:val="18"/>
              </w:rPr>
              <w:t>0</w:t>
            </w:r>
            <w:r>
              <w:rPr>
                <w:szCs w:val="18"/>
              </w:rPr>
              <w:t>%)</w:t>
            </w:r>
          </w:p>
        </w:tc>
      </w:tr>
      <w:tr w:rsidR="00677ED1" w:rsidRPr="00DE530D" w14:paraId="2894778A"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2315DB8B" w14:textId="77777777" w:rsidR="009B5759" w:rsidRDefault="009B5759" w:rsidP="004F27F5">
            <w:pPr>
              <w:pStyle w:val="TableText"/>
              <w:rPr>
                <w:szCs w:val="18"/>
              </w:rPr>
            </w:pPr>
            <w:r>
              <w:rPr>
                <w:szCs w:val="18"/>
              </w:rPr>
              <w:t>Tasmania</w:t>
            </w:r>
          </w:p>
        </w:tc>
        <w:tc>
          <w:tcPr>
            <w:tcW w:w="833" w:type="pct"/>
          </w:tcPr>
          <w:p w14:paraId="189426EF" w14:textId="228AE399" w:rsidR="009B5759" w:rsidRDefault="009B5759"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 (100.</w:t>
            </w:r>
            <w:r w:rsidR="00656306">
              <w:rPr>
                <w:szCs w:val="18"/>
              </w:rPr>
              <w:t>0</w:t>
            </w:r>
            <w:r>
              <w:rPr>
                <w:szCs w:val="18"/>
              </w:rPr>
              <w:t>%)</w:t>
            </w:r>
          </w:p>
        </w:tc>
        <w:tc>
          <w:tcPr>
            <w:tcW w:w="833" w:type="pct"/>
          </w:tcPr>
          <w:p w14:paraId="06A66496" w14:textId="02BCA8DF" w:rsidR="009B5759" w:rsidRDefault="009B5759"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w:t>
            </w:r>
            <w:r w:rsidR="00656306">
              <w:rPr>
                <w:szCs w:val="18"/>
              </w:rPr>
              <w:t>0</w:t>
            </w:r>
            <w:r>
              <w:rPr>
                <w:szCs w:val="18"/>
              </w:rPr>
              <w:t>%)</w:t>
            </w:r>
          </w:p>
        </w:tc>
        <w:tc>
          <w:tcPr>
            <w:tcW w:w="833" w:type="pct"/>
          </w:tcPr>
          <w:p w14:paraId="386D8617" w14:textId="42C8E3B6" w:rsidR="009B5759" w:rsidRDefault="009B5759"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w:t>
            </w:r>
            <w:r w:rsidR="00656306">
              <w:rPr>
                <w:szCs w:val="18"/>
              </w:rPr>
              <w:t>0</w:t>
            </w:r>
            <w:r>
              <w:rPr>
                <w:szCs w:val="18"/>
              </w:rPr>
              <w:t>%)</w:t>
            </w:r>
          </w:p>
        </w:tc>
        <w:tc>
          <w:tcPr>
            <w:tcW w:w="833" w:type="pct"/>
          </w:tcPr>
          <w:p w14:paraId="5CBDF1A7" w14:textId="38B6B5FE" w:rsidR="009B5759" w:rsidRDefault="009B5759"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w:t>
            </w:r>
            <w:r w:rsidR="00656306">
              <w:rPr>
                <w:szCs w:val="18"/>
              </w:rPr>
              <w:t>0</w:t>
            </w:r>
            <w:r>
              <w:rPr>
                <w:szCs w:val="18"/>
              </w:rPr>
              <w:t>%)</w:t>
            </w:r>
          </w:p>
        </w:tc>
        <w:tc>
          <w:tcPr>
            <w:tcW w:w="833" w:type="pct"/>
          </w:tcPr>
          <w:p w14:paraId="7DEC7093" w14:textId="7684D3CA" w:rsidR="009B5759" w:rsidRDefault="009B5759"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w:t>
            </w:r>
            <w:r w:rsidR="00656306">
              <w:rPr>
                <w:szCs w:val="18"/>
              </w:rPr>
              <w:t>0</w:t>
            </w:r>
            <w:r>
              <w:rPr>
                <w:szCs w:val="18"/>
              </w:rPr>
              <w:t>%)</w:t>
            </w:r>
          </w:p>
        </w:tc>
      </w:tr>
      <w:tr w:rsidR="00677ED1" w:rsidRPr="00501302" w14:paraId="0C646F22"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62BAA765" w14:textId="77777777" w:rsidR="009B5759" w:rsidRPr="00C33FD2" w:rsidRDefault="009B5759" w:rsidP="004F27F5">
            <w:pPr>
              <w:pStyle w:val="Tabletextbold"/>
              <w:rPr>
                <w:rFonts w:eastAsiaTheme="minorEastAsia" w:cs="Arial"/>
                <w:b/>
                <w:bCs/>
                <w:szCs w:val="18"/>
              </w:rPr>
            </w:pPr>
            <w:r w:rsidRPr="00C33FD2">
              <w:rPr>
                <w:b/>
                <w:bCs/>
              </w:rPr>
              <w:t>Total</w:t>
            </w:r>
          </w:p>
        </w:tc>
        <w:tc>
          <w:tcPr>
            <w:tcW w:w="833" w:type="pct"/>
          </w:tcPr>
          <w:p w14:paraId="2DB4CBB9" w14:textId="640328DF" w:rsidR="009B5759" w:rsidRPr="006F5F45" w:rsidRDefault="009B5759"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17 (27.</w:t>
            </w:r>
            <w:r w:rsidR="00656306" w:rsidRPr="006F5F45">
              <w:rPr>
                <w:rFonts w:eastAsiaTheme="minorEastAsia" w:cs="Arial"/>
                <w:szCs w:val="18"/>
              </w:rPr>
              <w:t>9</w:t>
            </w:r>
            <w:r w:rsidRPr="006F5F45">
              <w:rPr>
                <w:rFonts w:eastAsiaTheme="minorEastAsia" w:cs="Arial"/>
                <w:szCs w:val="18"/>
              </w:rPr>
              <w:t>%)</w:t>
            </w:r>
          </w:p>
        </w:tc>
        <w:tc>
          <w:tcPr>
            <w:tcW w:w="833" w:type="pct"/>
          </w:tcPr>
          <w:p w14:paraId="0BF83F9E" w14:textId="1AA73553" w:rsidR="009B5759" w:rsidRPr="006F5F45" w:rsidRDefault="009B5759"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11 (18.</w:t>
            </w:r>
            <w:r w:rsidR="00656306" w:rsidRPr="006F5F45">
              <w:rPr>
                <w:rFonts w:eastAsiaTheme="minorEastAsia" w:cs="Arial"/>
                <w:szCs w:val="18"/>
              </w:rPr>
              <w:t>0</w:t>
            </w:r>
            <w:r w:rsidRPr="006F5F45">
              <w:rPr>
                <w:rFonts w:eastAsiaTheme="minorEastAsia" w:cs="Arial"/>
                <w:szCs w:val="18"/>
              </w:rPr>
              <w:t>%)</w:t>
            </w:r>
          </w:p>
        </w:tc>
        <w:tc>
          <w:tcPr>
            <w:tcW w:w="833" w:type="pct"/>
          </w:tcPr>
          <w:p w14:paraId="4DAD47D8" w14:textId="2FD49C6D" w:rsidR="009B5759" w:rsidRPr="006F5F45" w:rsidRDefault="009B5759"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6 (9.</w:t>
            </w:r>
            <w:r w:rsidR="00656306" w:rsidRPr="006F5F45">
              <w:rPr>
                <w:rFonts w:eastAsiaTheme="minorEastAsia" w:cs="Arial"/>
                <w:szCs w:val="18"/>
              </w:rPr>
              <w:t>8</w:t>
            </w:r>
            <w:r w:rsidRPr="006F5F45">
              <w:rPr>
                <w:rFonts w:eastAsiaTheme="minorEastAsia" w:cs="Arial"/>
                <w:szCs w:val="18"/>
              </w:rPr>
              <w:t>%)</w:t>
            </w:r>
          </w:p>
        </w:tc>
        <w:tc>
          <w:tcPr>
            <w:tcW w:w="833" w:type="pct"/>
          </w:tcPr>
          <w:p w14:paraId="0BAA1332" w14:textId="5470A172" w:rsidR="009B5759" w:rsidRPr="006F5F45" w:rsidRDefault="009B5759"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12 (19.</w:t>
            </w:r>
            <w:r w:rsidR="00656306" w:rsidRPr="006F5F45">
              <w:rPr>
                <w:rFonts w:eastAsiaTheme="minorEastAsia" w:cs="Arial"/>
                <w:szCs w:val="18"/>
              </w:rPr>
              <w:t>7</w:t>
            </w:r>
            <w:r w:rsidRPr="006F5F45">
              <w:rPr>
                <w:rFonts w:eastAsiaTheme="minorEastAsia" w:cs="Arial"/>
                <w:szCs w:val="18"/>
              </w:rPr>
              <w:t>%)</w:t>
            </w:r>
          </w:p>
        </w:tc>
        <w:tc>
          <w:tcPr>
            <w:tcW w:w="833" w:type="pct"/>
          </w:tcPr>
          <w:p w14:paraId="16AF23F5" w14:textId="592FC4FB" w:rsidR="009B5759" w:rsidRPr="006F5F45" w:rsidRDefault="009B5759"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 xml:space="preserve">15 </w:t>
            </w:r>
            <w:r w:rsidRPr="006F5F45">
              <w:rPr>
                <w:rFonts w:eastAsiaTheme="minorEastAsia" w:cs="Arial"/>
                <w:szCs w:val="18"/>
              </w:rPr>
              <w:t>(24.</w:t>
            </w:r>
            <w:r w:rsidR="00656306" w:rsidRPr="006F5F45">
              <w:rPr>
                <w:rFonts w:eastAsiaTheme="minorEastAsia" w:cs="Arial"/>
                <w:szCs w:val="18"/>
              </w:rPr>
              <w:t>6</w:t>
            </w:r>
            <w:r w:rsidRPr="006F5F45">
              <w:rPr>
                <w:rFonts w:eastAsiaTheme="minorEastAsia" w:cs="Arial"/>
                <w:szCs w:val="18"/>
              </w:rPr>
              <w:t>%)</w:t>
            </w:r>
          </w:p>
        </w:tc>
      </w:tr>
    </w:tbl>
    <w:p w14:paraId="336B68E8" w14:textId="66789E24" w:rsidR="00034CCE" w:rsidRPr="00CD3106" w:rsidRDefault="00AF476B" w:rsidP="004F27F5">
      <w:pPr>
        <w:pStyle w:val="Caption-Source"/>
      </w:pPr>
      <w:r w:rsidRPr="00417AD3">
        <w:t xml:space="preserve">Source: </w:t>
      </w:r>
      <w:r w:rsidR="00435DC4">
        <w:t>Independent reviewer</w:t>
      </w:r>
      <w:r w:rsidR="00584D02" w:rsidRPr="00CD3106">
        <w:t xml:space="preserve"> (</w:t>
      </w:r>
      <w:r w:rsidRPr="00CD3106">
        <w:t>2025</w:t>
      </w:r>
      <w:r w:rsidR="00584D02" w:rsidRPr="00CD3106">
        <w:t>)</w:t>
      </w:r>
    </w:p>
    <w:p w14:paraId="39832495" w14:textId="6CCF7D70" w:rsidR="004F27F5" w:rsidRDefault="004F27F5" w:rsidP="004F27F5">
      <w:pPr>
        <w:pStyle w:val="Caption"/>
      </w:pPr>
      <w:bookmarkStart w:id="227" w:name="_Toc207348619"/>
      <w:r>
        <w:t xml:space="preserve">Table </w:t>
      </w:r>
      <w:r>
        <w:fldChar w:fldCharType="begin"/>
      </w:r>
      <w:r>
        <w:instrText xml:space="preserve"> SEQ Table \* ARABIC </w:instrText>
      </w:r>
      <w:r>
        <w:fldChar w:fldCharType="separate"/>
      </w:r>
      <w:r>
        <w:rPr>
          <w:noProof/>
        </w:rPr>
        <w:t>54</w:t>
      </w:r>
      <w:r>
        <w:rPr>
          <w:noProof/>
        </w:rPr>
        <w:fldChar w:fldCharType="end"/>
      </w:r>
      <w:r>
        <w:t xml:space="preserve">: </w:t>
      </w:r>
      <w:r w:rsidRPr="00B16BBD">
        <w:t xml:space="preserve">Responses by </w:t>
      </w:r>
      <w:r>
        <w:t>remoteness</w:t>
      </w:r>
      <w:r w:rsidRPr="00B16BBD">
        <w:t xml:space="preserve"> to </w:t>
      </w:r>
      <w:r>
        <w:t>S</w:t>
      </w:r>
      <w:r w:rsidRPr="00B16BBD">
        <w:t>tatement 1</w:t>
      </w:r>
      <w:bookmarkEnd w:id="227"/>
    </w:p>
    <w:tbl>
      <w:tblPr>
        <w:tblStyle w:val="KPMGTable"/>
        <w:tblW w:w="5000" w:type="pct"/>
        <w:tblLook w:val="04A0" w:firstRow="1" w:lastRow="0" w:firstColumn="1" w:lastColumn="0" w:noHBand="0" w:noVBand="1"/>
      </w:tblPr>
      <w:tblGrid>
        <w:gridCol w:w="1701"/>
        <w:gridCol w:w="1701"/>
        <w:gridCol w:w="1701"/>
        <w:gridCol w:w="1701"/>
        <w:gridCol w:w="1700"/>
        <w:gridCol w:w="1700"/>
      </w:tblGrid>
      <w:tr w:rsidR="00AD6F37" w:rsidRPr="00386CBC" w14:paraId="57389406"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833" w:type="pct"/>
          </w:tcPr>
          <w:p w14:paraId="19A650A7" w14:textId="77777777" w:rsidR="00417AD3" w:rsidRPr="007B154A" w:rsidRDefault="00417AD3" w:rsidP="004F27F5">
            <w:pPr>
              <w:pStyle w:val="TableHeading"/>
              <w:rPr>
                <w:b w:val="0"/>
                <w:color w:val="FFFFFF" w:themeColor="background1"/>
                <w:szCs w:val="20"/>
              </w:rPr>
            </w:pPr>
            <w:r>
              <w:t>Response</w:t>
            </w:r>
          </w:p>
        </w:tc>
        <w:tc>
          <w:tcPr>
            <w:tcW w:w="833" w:type="pct"/>
          </w:tcPr>
          <w:p w14:paraId="1C70C3ED" w14:textId="77777777" w:rsidR="00417AD3" w:rsidRPr="006F5F45" w:rsidRDefault="00417AD3" w:rsidP="004F27F5">
            <w:pPr>
              <w:pStyle w:val="TableHeading"/>
              <w:cnfStyle w:val="100000000000" w:firstRow="1" w:lastRow="0" w:firstColumn="0" w:lastColumn="0" w:oddVBand="0" w:evenVBand="0" w:oddHBand="0" w:evenHBand="0" w:firstRowFirstColumn="0" w:firstRowLastColumn="0" w:lastRowFirstColumn="0" w:lastRowLastColumn="0"/>
              <w:rPr>
                <w:szCs w:val="20"/>
              </w:rPr>
            </w:pPr>
            <w:r w:rsidRPr="006F5F45">
              <w:t xml:space="preserve">Strongly </w:t>
            </w:r>
            <w:r w:rsidRPr="006F5F45">
              <w:rPr>
                <w:szCs w:val="20"/>
              </w:rPr>
              <w:t>disagree</w:t>
            </w:r>
          </w:p>
        </w:tc>
        <w:tc>
          <w:tcPr>
            <w:tcW w:w="833" w:type="pct"/>
          </w:tcPr>
          <w:p w14:paraId="2D1929D9" w14:textId="77777777" w:rsidR="00417AD3" w:rsidRPr="006F5F45" w:rsidRDefault="00417AD3" w:rsidP="004F27F5">
            <w:pPr>
              <w:pStyle w:val="TableHeading"/>
              <w:cnfStyle w:val="100000000000" w:firstRow="1" w:lastRow="0" w:firstColumn="0" w:lastColumn="0" w:oddVBand="0" w:evenVBand="0" w:oddHBand="0" w:evenHBand="0" w:firstRowFirstColumn="0" w:firstRowLastColumn="0" w:lastRowFirstColumn="0" w:lastRowLastColumn="0"/>
              <w:rPr>
                <w:color w:val="FFFFFF" w:themeColor="background1"/>
                <w:szCs w:val="20"/>
              </w:rPr>
            </w:pPr>
            <w:r w:rsidRPr="006F5F45">
              <w:t>Somewhat disagree</w:t>
            </w:r>
          </w:p>
        </w:tc>
        <w:tc>
          <w:tcPr>
            <w:tcW w:w="833" w:type="pct"/>
          </w:tcPr>
          <w:p w14:paraId="39674000" w14:textId="77777777" w:rsidR="00417AD3" w:rsidRPr="006F5F45" w:rsidRDefault="00417AD3" w:rsidP="004F27F5">
            <w:pPr>
              <w:pStyle w:val="TableHeading"/>
              <w:cnfStyle w:val="100000000000" w:firstRow="1" w:lastRow="0" w:firstColumn="0" w:lastColumn="0" w:oddVBand="0" w:evenVBand="0" w:oddHBand="0" w:evenHBand="0" w:firstRowFirstColumn="0" w:firstRowLastColumn="0" w:lastRowFirstColumn="0" w:lastRowLastColumn="0"/>
              <w:rPr>
                <w:color w:val="FFFFFF" w:themeColor="background1"/>
                <w:szCs w:val="20"/>
              </w:rPr>
            </w:pPr>
            <w:r w:rsidRPr="006F5F45">
              <w:t>Neither agree nor disagree</w:t>
            </w:r>
          </w:p>
        </w:tc>
        <w:tc>
          <w:tcPr>
            <w:tcW w:w="833" w:type="pct"/>
          </w:tcPr>
          <w:p w14:paraId="490F157E" w14:textId="77777777" w:rsidR="00417AD3" w:rsidRPr="006F5F45" w:rsidRDefault="00417AD3" w:rsidP="004F27F5">
            <w:pPr>
              <w:pStyle w:val="TableHeading"/>
              <w:cnfStyle w:val="100000000000" w:firstRow="1" w:lastRow="0" w:firstColumn="0" w:lastColumn="0" w:oddVBand="0" w:evenVBand="0" w:oddHBand="0" w:evenHBand="0" w:firstRowFirstColumn="0" w:firstRowLastColumn="0" w:lastRowFirstColumn="0" w:lastRowLastColumn="0"/>
              <w:rPr>
                <w:color w:val="FFFFFF" w:themeColor="background1"/>
                <w:szCs w:val="20"/>
              </w:rPr>
            </w:pPr>
            <w:r w:rsidRPr="006F5F45">
              <w:t>Somewhat agree</w:t>
            </w:r>
          </w:p>
        </w:tc>
        <w:tc>
          <w:tcPr>
            <w:tcW w:w="833" w:type="pct"/>
          </w:tcPr>
          <w:p w14:paraId="62B86647" w14:textId="77777777" w:rsidR="00417AD3" w:rsidRPr="006F5F45" w:rsidRDefault="00417AD3" w:rsidP="004F27F5">
            <w:pPr>
              <w:pStyle w:val="TableHeading"/>
              <w:cnfStyle w:val="100000000000" w:firstRow="1" w:lastRow="0" w:firstColumn="0" w:lastColumn="0" w:oddVBand="0" w:evenVBand="0" w:oddHBand="0" w:evenHBand="0" w:firstRowFirstColumn="0" w:firstRowLastColumn="0" w:lastRowFirstColumn="0" w:lastRowLastColumn="0"/>
              <w:rPr>
                <w:color w:val="FFFFFF" w:themeColor="background1"/>
                <w:szCs w:val="20"/>
              </w:rPr>
            </w:pPr>
            <w:r w:rsidRPr="006F5F45">
              <w:t>Strongly agree</w:t>
            </w:r>
          </w:p>
        </w:tc>
      </w:tr>
      <w:tr w:rsidR="00677ED1" w:rsidRPr="006D20D0" w14:paraId="0E8C06D4"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3093890A" w14:textId="77777777" w:rsidR="00417AD3" w:rsidRPr="00E90673" w:rsidRDefault="00417AD3" w:rsidP="004F27F5">
            <w:pPr>
              <w:pStyle w:val="TableText"/>
            </w:pPr>
            <w:r>
              <w:t>Metropolitan area</w:t>
            </w:r>
          </w:p>
        </w:tc>
        <w:tc>
          <w:tcPr>
            <w:tcW w:w="833" w:type="pct"/>
          </w:tcPr>
          <w:p w14:paraId="26FD1CD3" w14:textId="18A4BD4F"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9 (28.1%)</w:t>
            </w:r>
          </w:p>
        </w:tc>
        <w:tc>
          <w:tcPr>
            <w:tcW w:w="833" w:type="pct"/>
          </w:tcPr>
          <w:p w14:paraId="57479C79" w14:textId="12E76738"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5 (15.</w:t>
            </w:r>
            <w:r w:rsidR="00656306">
              <w:t>6</w:t>
            </w:r>
            <w:r>
              <w:t>%)</w:t>
            </w:r>
          </w:p>
        </w:tc>
        <w:tc>
          <w:tcPr>
            <w:tcW w:w="833" w:type="pct"/>
          </w:tcPr>
          <w:p w14:paraId="714AB548" w14:textId="2E55C76F"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3 (9.</w:t>
            </w:r>
            <w:r w:rsidR="00656306">
              <w:t>4</w:t>
            </w:r>
            <w:r>
              <w:t>%)</w:t>
            </w:r>
          </w:p>
        </w:tc>
        <w:tc>
          <w:tcPr>
            <w:tcW w:w="833" w:type="pct"/>
          </w:tcPr>
          <w:p w14:paraId="5A197780" w14:textId="7E2CF8D9"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7 (21.</w:t>
            </w:r>
            <w:r w:rsidR="00656306">
              <w:t>9</w:t>
            </w:r>
            <w:r>
              <w:t>%)</w:t>
            </w:r>
          </w:p>
        </w:tc>
        <w:tc>
          <w:tcPr>
            <w:tcW w:w="833" w:type="pct"/>
          </w:tcPr>
          <w:p w14:paraId="1E0A5C84" w14:textId="10874127"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8 (25.0%)</w:t>
            </w:r>
          </w:p>
        </w:tc>
      </w:tr>
      <w:tr w:rsidR="00677ED1" w:rsidRPr="009C1931" w14:paraId="677D2235"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2CEEA272" w14:textId="77777777" w:rsidR="00417AD3" w:rsidRPr="006D20D0" w:rsidRDefault="00417AD3" w:rsidP="004F27F5">
            <w:pPr>
              <w:pStyle w:val="TableText"/>
              <w:rPr>
                <w:szCs w:val="18"/>
              </w:rPr>
            </w:pPr>
            <w:r>
              <w:rPr>
                <w:szCs w:val="18"/>
              </w:rPr>
              <w:t>Regional centre</w:t>
            </w:r>
          </w:p>
        </w:tc>
        <w:tc>
          <w:tcPr>
            <w:tcW w:w="833" w:type="pct"/>
          </w:tcPr>
          <w:p w14:paraId="59DAC86D" w14:textId="02FF374D"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5 (26.3%)</w:t>
            </w:r>
          </w:p>
        </w:tc>
        <w:tc>
          <w:tcPr>
            <w:tcW w:w="833" w:type="pct"/>
          </w:tcPr>
          <w:p w14:paraId="3947F5B5" w14:textId="060AD4C2"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3 (15.</w:t>
            </w:r>
            <w:r w:rsidR="00656306">
              <w:rPr>
                <w:szCs w:val="18"/>
              </w:rPr>
              <w:t>8</w:t>
            </w:r>
            <w:r>
              <w:rPr>
                <w:szCs w:val="18"/>
              </w:rPr>
              <w:t>%)</w:t>
            </w:r>
          </w:p>
        </w:tc>
        <w:tc>
          <w:tcPr>
            <w:tcW w:w="833" w:type="pct"/>
          </w:tcPr>
          <w:p w14:paraId="18AA011D" w14:textId="22C0DD66"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3 (15.</w:t>
            </w:r>
            <w:r w:rsidR="00656306">
              <w:rPr>
                <w:szCs w:val="18"/>
              </w:rPr>
              <w:t>8</w:t>
            </w:r>
            <w:r>
              <w:rPr>
                <w:szCs w:val="18"/>
              </w:rPr>
              <w:t>%)</w:t>
            </w:r>
          </w:p>
        </w:tc>
        <w:tc>
          <w:tcPr>
            <w:tcW w:w="833" w:type="pct"/>
          </w:tcPr>
          <w:p w14:paraId="4CF97FA4" w14:textId="2DE023B5"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3 (15.</w:t>
            </w:r>
            <w:r w:rsidR="00656306">
              <w:rPr>
                <w:szCs w:val="18"/>
              </w:rPr>
              <w:t>8</w:t>
            </w:r>
            <w:r>
              <w:rPr>
                <w:szCs w:val="18"/>
              </w:rPr>
              <w:t>%)</w:t>
            </w:r>
          </w:p>
        </w:tc>
        <w:tc>
          <w:tcPr>
            <w:tcW w:w="833" w:type="pct"/>
          </w:tcPr>
          <w:p w14:paraId="1AA282B5" w14:textId="2FDB3B9A"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5 (26.3%)</w:t>
            </w:r>
          </w:p>
        </w:tc>
      </w:tr>
      <w:tr w:rsidR="00677ED1" w:rsidRPr="009C1931" w14:paraId="17F25A75"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46963DE5" w14:textId="77777777" w:rsidR="00417AD3" w:rsidRDefault="00417AD3" w:rsidP="004F27F5">
            <w:pPr>
              <w:pStyle w:val="TableText"/>
            </w:pPr>
            <w:r>
              <w:rPr>
                <w:szCs w:val="18"/>
              </w:rPr>
              <w:t>Rural area</w:t>
            </w:r>
          </w:p>
        </w:tc>
        <w:tc>
          <w:tcPr>
            <w:tcW w:w="833" w:type="pct"/>
          </w:tcPr>
          <w:p w14:paraId="0CD15096" w14:textId="13F92FE9"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rPr>
                <w:szCs w:val="18"/>
              </w:rPr>
              <w:t>2 (22.2%)</w:t>
            </w:r>
          </w:p>
        </w:tc>
        <w:tc>
          <w:tcPr>
            <w:tcW w:w="833" w:type="pct"/>
          </w:tcPr>
          <w:p w14:paraId="550D4E87" w14:textId="6890CCB9"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rPr>
                <w:szCs w:val="18"/>
              </w:rPr>
              <w:t>3 (33.3%)</w:t>
            </w:r>
          </w:p>
        </w:tc>
        <w:tc>
          <w:tcPr>
            <w:tcW w:w="833" w:type="pct"/>
          </w:tcPr>
          <w:p w14:paraId="7A8A682E" w14:textId="5BFA5E68"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2ACBB66E" w14:textId="0AC69FD0"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rPr>
                <w:szCs w:val="18"/>
              </w:rPr>
              <w:t>2 (22.2%)</w:t>
            </w:r>
          </w:p>
        </w:tc>
        <w:tc>
          <w:tcPr>
            <w:tcW w:w="833" w:type="pct"/>
          </w:tcPr>
          <w:p w14:paraId="64226E67" w14:textId="088A52E6"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rPr>
                <w:szCs w:val="18"/>
              </w:rPr>
              <w:t>2 (22.2%)</w:t>
            </w:r>
          </w:p>
        </w:tc>
      </w:tr>
      <w:tr w:rsidR="00677ED1" w:rsidRPr="009C1931" w14:paraId="111BC2B1"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478509B4" w14:textId="77777777" w:rsidR="00417AD3" w:rsidRPr="00E90673" w:rsidRDefault="00417AD3" w:rsidP="004F27F5">
            <w:pPr>
              <w:pStyle w:val="TableText"/>
            </w:pPr>
            <w:r>
              <w:t>Remote community</w:t>
            </w:r>
          </w:p>
        </w:tc>
        <w:tc>
          <w:tcPr>
            <w:tcW w:w="833" w:type="pct"/>
          </w:tcPr>
          <w:p w14:paraId="55D21801" w14:textId="44A0B5A2"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1 (100</w:t>
            </w:r>
            <w:r w:rsidR="00656306">
              <w:t>.0</w:t>
            </w:r>
            <w:r>
              <w:t>%)</w:t>
            </w:r>
          </w:p>
        </w:tc>
        <w:tc>
          <w:tcPr>
            <w:tcW w:w="833" w:type="pct"/>
          </w:tcPr>
          <w:p w14:paraId="77EFC17E" w14:textId="160AC288"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43DEE487" w14:textId="2F049925"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58F1DC4B" w14:textId="00EDA5DD"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519D0D80" w14:textId="3D9AEDC3"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r>
      <w:tr w:rsidR="00677ED1" w:rsidRPr="009C1931" w14:paraId="3D6832BB"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7108B5F2" w14:textId="77777777" w:rsidR="00417AD3" w:rsidRPr="006D20D0" w:rsidRDefault="00417AD3" w:rsidP="004F27F5">
            <w:pPr>
              <w:pStyle w:val="Tabletextbold"/>
              <w:rPr>
                <w:rFonts w:eastAsiaTheme="minorEastAsia" w:cs="Arial"/>
                <w:b/>
                <w:bCs/>
                <w:szCs w:val="18"/>
              </w:rPr>
            </w:pPr>
            <w:r w:rsidRPr="00C33FD2">
              <w:rPr>
                <w:b/>
                <w:bCs/>
              </w:rPr>
              <w:t>Total</w:t>
            </w:r>
            <w:r>
              <w:rPr>
                <w:rFonts w:eastAsiaTheme="minorEastAsia" w:cs="Arial"/>
                <w:b/>
                <w:bCs/>
                <w:szCs w:val="18"/>
              </w:rPr>
              <w:t>: 61 respondents</w:t>
            </w:r>
          </w:p>
        </w:tc>
        <w:tc>
          <w:tcPr>
            <w:tcW w:w="833" w:type="pct"/>
          </w:tcPr>
          <w:p w14:paraId="76390736" w14:textId="28AE0E63"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17 (27.</w:t>
            </w:r>
            <w:r w:rsidR="00656306" w:rsidRPr="006F5F45">
              <w:rPr>
                <w:rFonts w:eastAsiaTheme="minorEastAsia" w:cs="Arial"/>
                <w:szCs w:val="18"/>
              </w:rPr>
              <w:t>9</w:t>
            </w:r>
            <w:r w:rsidRPr="006F5F45">
              <w:rPr>
                <w:rFonts w:eastAsiaTheme="minorEastAsia" w:cs="Arial"/>
                <w:szCs w:val="18"/>
              </w:rPr>
              <w:t>%)</w:t>
            </w:r>
          </w:p>
        </w:tc>
        <w:tc>
          <w:tcPr>
            <w:tcW w:w="833" w:type="pct"/>
          </w:tcPr>
          <w:p w14:paraId="04D69E07" w14:textId="35D58F68"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 xml:space="preserve">11 </w:t>
            </w:r>
            <w:r w:rsidRPr="006F5F45">
              <w:rPr>
                <w:rFonts w:eastAsiaTheme="minorEastAsia" w:cs="Arial"/>
                <w:szCs w:val="18"/>
              </w:rPr>
              <w:t>(18.0%)</w:t>
            </w:r>
          </w:p>
        </w:tc>
        <w:tc>
          <w:tcPr>
            <w:tcW w:w="833" w:type="pct"/>
          </w:tcPr>
          <w:p w14:paraId="38792C50" w14:textId="5E73E05B"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6 (9.8%)</w:t>
            </w:r>
          </w:p>
        </w:tc>
        <w:tc>
          <w:tcPr>
            <w:tcW w:w="833" w:type="pct"/>
          </w:tcPr>
          <w:p w14:paraId="1BA5D4A1" w14:textId="3800C4B6"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12 (19.7%)</w:t>
            </w:r>
          </w:p>
        </w:tc>
        <w:tc>
          <w:tcPr>
            <w:tcW w:w="833" w:type="pct"/>
          </w:tcPr>
          <w:p w14:paraId="43DAD69E" w14:textId="2F4FE117"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 xml:space="preserve">15 </w:t>
            </w:r>
            <w:r w:rsidRPr="006F5F45">
              <w:rPr>
                <w:rFonts w:eastAsiaTheme="minorEastAsia" w:cs="Arial"/>
                <w:szCs w:val="18"/>
              </w:rPr>
              <w:t>(24.</w:t>
            </w:r>
            <w:r w:rsidR="00656306" w:rsidRPr="006F5F45">
              <w:rPr>
                <w:rFonts w:eastAsiaTheme="minorEastAsia" w:cs="Arial"/>
                <w:szCs w:val="18"/>
              </w:rPr>
              <w:t>6</w:t>
            </w:r>
            <w:r w:rsidRPr="006F5F45">
              <w:rPr>
                <w:rFonts w:eastAsiaTheme="minorEastAsia" w:cs="Arial"/>
                <w:szCs w:val="18"/>
              </w:rPr>
              <w:t>%)</w:t>
            </w:r>
          </w:p>
        </w:tc>
      </w:tr>
    </w:tbl>
    <w:p w14:paraId="7855FD50" w14:textId="2B552249" w:rsidR="00B4770B" w:rsidRPr="00CD3106" w:rsidRDefault="00B4770B" w:rsidP="004F27F5">
      <w:pPr>
        <w:pStyle w:val="Caption-Source"/>
      </w:pPr>
      <w:r w:rsidRPr="00417AD3">
        <w:t xml:space="preserve">Source: </w:t>
      </w:r>
      <w:r w:rsidR="00435DC4">
        <w:t>Independent reviewer</w:t>
      </w:r>
      <w:r w:rsidR="00584D02" w:rsidRPr="00CD3106">
        <w:t xml:space="preserve"> (</w:t>
      </w:r>
      <w:r w:rsidRPr="00CD3106">
        <w:t>2025</w:t>
      </w:r>
      <w:r w:rsidR="00584D02" w:rsidRPr="00CD3106">
        <w:t>)</w:t>
      </w:r>
    </w:p>
    <w:p w14:paraId="6116114A" w14:textId="7D31884B" w:rsidR="004F27F5" w:rsidRDefault="004F27F5" w:rsidP="004F27F5">
      <w:pPr>
        <w:pStyle w:val="Caption"/>
      </w:pPr>
      <w:bookmarkStart w:id="228" w:name="_Toc207348620"/>
      <w:r>
        <w:t xml:space="preserve">Table </w:t>
      </w:r>
      <w:r>
        <w:fldChar w:fldCharType="begin"/>
      </w:r>
      <w:r>
        <w:instrText xml:space="preserve"> SEQ Table \* ARABIC </w:instrText>
      </w:r>
      <w:r>
        <w:fldChar w:fldCharType="separate"/>
      </w:r>
      <w:r>
        <w:rPr>
          <w:noProof/>
        </w:rPr>
        <w:t>55</w:t>
      </w:r>
      <w:r>
        <w:rPr>
          <w:noProof/>
        </w:rPr>
        <w:fldChar w:fldCharType="end"/>
      </w:r>
      <w:r>
        <w:t xml:space="preserve">: </w:t>
      </w:r>
      <w:r w:rsidRPr="00B51F10">
        <w:t xml:space="preserve">Responses by </w:t>
      </w:r>
      <w:r>
        <w:t>prosthesis type</w:t>
      </w:r>
      <w:r w:rsidRPr="00B51F10">
        <w:t xml:space="preserve"> to Statement 1</w:t>
      </w:r>
      <w:bookmarkEnd w:id="228"/>
    </w:p>
    <w:tbl>
      <w:tblPr>
        <w:tblStyle w:val="KPMGTable"/>
        <w:tblW w:w="5000" w:type="pct"/>
        <w:tblLook w:val="04A0" w:firstRow="1" w:lastRow="0" w:firstColumn="1" w:lastColumn="0" w:noHBand="0" w:noVBand="1"/>
      </w:tblPr>
      <w:tblGrid>
        <w:gridCol w:w="1701"/>
        <w:gridCol w:w="1701"/>
        <w:gridCol w:w="1701"/>
        <w:gridCol w:w="1701"/>
        <w:gridCol w:w="1700"/>
        <w:gridCol w:w="1700"/>
      </w:tblGrid>
      <w:tr w:rsidR="00AD6F37" w:rsidRPr="00386CBC" w14:paraId="2D1DBED5"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833" w:type="pct"/>
          </w:tcPr>
          <w:p w14:paraId="3DF3DBB5" w14:textId="77777777" w:rsidR="00417AD3" w:rsidRPr="007B154A" w:rsidRDefault="00417AD3" w:rsidP="004F27F5">
            <w:pPr>
              <w:pStyle w:val="TableHeading"/>
              <w:rPr>
                <w:b w:val="0"/>
                <w:color w:val="FFFFFF" w:themeColor="background1"/>
                <w:szCs w:val="20"/>
              </w:rPr>
            </w:pPr>
            <w:r>
              <w:t>Response</w:t>
            </w:r>
          </w:p>
        </w:tc>
        <w:tc>
          <w:tcPr>
            <w:tcW w:w="833" w:type="pct"/>
          </w:tcPr>
          <w:p w14:paraId="4F40946E" w14:textId="77777777" w:rsidR="00417AD3" w:rsidRPr="006F5F45" w:rsidRDefault="00417AD3" w:rsidP="004F27F5">
            <w:pPr>
              <w:pStyle w:val="TableHeading"/>
              <w:cnfStyle w:val="100000000000" w:firstRow="1" w:lastRow="0" w:firstColumn="0" w:lastColumn="0" w:oddVBand="0" w:evenVBand="0" w:oddHBand="0" w:evenHBand="0" w:firstRowFirstColumn="0" w:firstRowLastColumn="0" w:lastRowFirstColumn="0" w:lastRowLastColumn="0"/>
              <w:rPr>
                <w:szCs w:val="20"/>
              </w:rPr>
            </w:pPr>
            <w:r w:rsidRPr="006F5F45">
              <w:t xml:space="preserve">Strongly </w:t>
            </w:r>
            <w:r w:rsidRPr="006F5F45">
              <w:rPr>
                <w:szCs w:val="20"/>
              </w:rPr>
              <w:t>disagree</w:t>
            </w:r>
          </w:p>
        </w:tc>
        <w:tc>
          <w:tcPr>
            <w:tcW w:w="833" w:type="pct"/>
          </w:tcPr>
          <w:p w14:paraId="7B8B2C74" w14:textId="77777777" w:rsidR="00417AD3" w:rsidRPr="006F5F45" w:rsidRDefault="00417AD3" w:rsidP="004F27F5">
            <w:pPr>
              <w:pStyle w:val="TableHeading"/>
              <w:cnfStyle w:val="100000000000" w:firstRow="1" w:lastRow="0" w:firstColumn="0" w:lastColumn="0" w:oddVBand="0" w:evenVBand="0" w:oddHBand="0" w:evenHBand="0" w:firstRowFirstColumn="0" w:firstRowLastColumn="0" w:lastRowFirstColumn="0" w:lastRowLastColumn="0"/>
              <w:rPr>
                <w:color w:val="FFFFFF" w:themeColor="background1"/>
                <w:szCs w:val="20"/>
              </w:rPr>
            </w:pPr>
            <w:r w:rsidRPr="006F5F45">
              <w:t>Somewhat disagree</w:t>
            </w:r>
          </w:p>
        </w:tc>
        <w:tc>
          <w:tcPr>
            <w:tcW w:w="833" w:type="pct"/>
          </w:tcPr>
          <w:p w14:paraId="25355EF2" w14:textId="77777777" w:rsidR="00417AD3" w:rsidRPr="006F5F45" w:rsidRDefault="00417AD3" w:rsidP="004F27F5">
            <w:pPr>
              <w:pStyle w:val="TableHeading"/>
              <w:cnfStyle w:val="100000000000" w:firstRow="1" w:lastRow="0" w:firstColumn="0" w:lastColumn="0" w:oddVBand="0" w:evenVBand="0" w:oddHBand="0" w:evenHBand="0" w:firstRowFirstColumn="0" w:firstRowLastColumn="0" w:lastRowFirstColumn="0" w:lastRowLastColumn="0"/>
              <w:rPr>
                <w:color w:val="FFFFFF" w:themeColor="background1"/>
                <w:szCs w:val="20"/>
              </w:rPr>
            </w:pPr>
            <w:r w:rsidRPr="006F5F45">
              <w:t>Neither agree nor disagree</w:t>
            </w:r>
          </w:p>
        </w:tc>
        <w:tc>
          <w:tcPr>
            <w:tcW w:w="833" w:type="pct"/>
          </w:tcPr>
          <w:p w14:paraId="0B8826AF" w14:textId="77777777" w:rsidR="00417AD3" w:rsidRPr="006F5F45" w:rsidRDefault="00417AD3" w:rsidP="004F27F5">
            <w:pPr>
              <w:pStyle w:val="TableHeading"/>
              <w:cnfStyle w:val="100000000000" w:firstRow="1" w:lastRow="0" w:firstColumn="0" w:lastColumn="0" w:oddVBand="0" w:evenVBand="0" w:oddHBand="0" w:evenHBand="0" w:firstRowFirstColumn="0" w:firstRowLastColumn="0" w:lastRowFirstColumn="0" w:lastRowLastColumn="0"/>
              <w:rPr>
                <w:color w:val="FFFFFF" w:themeColor="background1"/>
                <w:szCs w:val="20"/>
              </w:rPr>
            </w:pPr>
            <w:r w:rsidRPr="006F5F45">
              <w:t>Somewhat agree</w:t>
            </w:r>
          </w:p>
        </w:tc>
        <w:tc>
          <w:tcPr>
            <w:tcW w:w="833" w:type="pct"/>
          </w:tcPr>
          <w:p w14:paraId="0140C6F8" w14:textId="77777777" w:rsidR="00417AD3" w:rsidRPr="006F5F45" w:rsidRDefault="00417AD3" w:rsidP="004F27F5">
            <w:pPr>
              <w:pStyle w:val="TableHeading"/>
              <w:cnfStyle w:val="100000000000" w:firstRow="1" w:lastRow="0" w:firstColumn="0" w:lastColumn="0" w:oddVBand="0" w:evenVBand="0" w:oddHBand="0" w:evenHBand="0" w:firstRowFirstColumn="0" w:firstRowLastColumn="0" w:lastRowFirstColumn="0" w:lastRowLastColumn="0"/>
              <w:rPr>
                <w:color w:val="FFFFFF" w:themeColor="background1"/>
                <w:szCs w:val="20"/>
              </w:rPr>
            </w:pPr>
            <w:r w:rsidRPr="006F5F45">
              <w:t>Strongly agree</w:t>
            </w:r>
          </w:p>
        </w:tc>
      </w:tr>
      <w:tr w:rsidR="00677ED1" w:rsidRPr="006D20D0" w14:paraId="6CB30D2B"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692EC7B2" w14:textId="77777777" w:rsidR="00417AD3" w:rsidRPr="00E90673" w:rsidRDefault="00417AD3" w:rsidP="004F27F5">
            <w:pPr>
              <w:pStyle w:val="TableText"/>
            </w:pPr>
            <w:r>
              <w:t>Facial prosthesis</w:t>
            </w:r>
          </w:p>
        </w:tc>
        <w:tc>
          <w:tcPr>
            <w:tcW w:w="833" w:type="pct"/>
          </w:tcPr>
          <w:p w14:paraId="42AFE698" w14:textId="6FD99855"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1</w:t>
            </w:r>
            <w:r w:rsidR="00E2553F">
              <w:t>2</w:t>
            </w:r>
            <w:r>
              <w:t xml:space="preserve"> (3</w:t>
            </w:r>
            <w:r w:rsidR="00165474">
              <w:t>0.8</w:t>
            </w:r>
            <w:r>
              <w:t>%)</w:t>
            </w:r>
          </w:p>
        </w:tc>
        <w:tc>
          <w:tcPr>
            <w:tcW w:w="833" w:type="pct"/>
          </w:tcPr>
          <w:p w14:paraId="712E3F2A" w14:textId="035D0358" w:rsidR="00417AD3" w:rsidRDefault="00E2553F" w:rsidP="004F27F5">
            <w:pPr>
              <w:pStyle w:val="TableText"/>
              <w:cnfStyle w:val="000000000000" w:firstRow="0" w:lastRow="0" w:firstColumn="0" w:lastColumn="0" w:oddVBand="0" w:evenVBand="0" w:oddHBand="0" w:evenHBand="0" w:firstRowFirstColumn="0" w:firstRowLastColumn="0" w:lastRowFirstColumn="0" w:lastRowLastColumn="0"/>
            </w:pPr>
            <w:r>
              <w:t>7</w:t>
            </w:r>
            <w:r w:rsidR="00417AD3">
              <w:t xml:space="preserve"> (1</w:t>
            </w:r>
            <w:r w:rsidR="004A1382">
              <w:t>7.9</w:t>
            </w:r>
            <w:r w:rsidR="00417AD3">
              <w:t>%)</w:t>
            </w:r>
          </w:p>
        </w:tc>
        <w:tc>
          <w:tcPr>
            <w:tcW w:w="833" w:type="pct"/>
          </w:tcPr>
          <w:p w14:paraId="163A2852" w14:textId="6DF7319B" w:rsidR="00417AD3" w:rsidRDefault="00E2553F" w:rsidP="004F27F5">
            <w:pPr>
              <w:pStyle w:val="TableText"/>
              <w:cnfStyle w:val="000000000000" w:firstRow="0" w:lastRow="0" w:firstColumn="0" w:lastColumn="0" w:oddVBand="0" w:evenVBand="0" w:oddHBand="0" w:evenHBand="0" w:firstRowFirstColumn="0" w:firstRowLastColumn="0" w:lastRowFirstColumn="0" w:lastRowLastColumn="0"/>
            </w:pPr>
            <w:r>
              <w:t>3</w:t>
            </w:r>
            <w:r w:rsidR="00417AD3">
              <w:t xml:space="preserve"> </w:t>
            </w:r>
            <w:r w:rsidR="004A1382">
              <w:t>(7.7</w:t>
            </w:r>
            <w:r w:rsidR="00417AD3">
              <w:t>%)</w:t>
            </w:r>
          </w:p>
        </w:tc>
        <w:tc>
          <w:tcPr>
            <w:tcW w:w="833" w:type="pct"/>
          </w:tcPr>
          <w:p w14:paraId="50298138" w14:textId="1D7F7DEF" w:rsidR="00417AD3" w:rsidRDefault="00E2553F" w:rsidP="004F27F5">
            <w:pPr>
              <w:pStyle w:val="TableText"/>
              <w:cnfStyle w:val="000000000000" w:firstRow="0" w:lastRow="0" w:firstColumn="0" w:lastColumn="0" w:oddVBand="0" w:evenVBand="0" w:oddHBand="0" w:evenHBand="0" w:firstRowFirstColumn="0" w:firstRowLastColumn="0" w:lastRowFirstColumn="0" w:lastRowLastColumn="0"/>
            </w:pPr>
            <w:r>
              <w:t>7</w:t>
            </w:r>
            <w:r w:rsidR="00417AD3">
              <w:t xml:space="preserve"> (1</w:t>
            </w:r>
            <w:r w:rsidR="004A1382">
              <w:t>7.9</w:t>
            </w:r>
            <w:r w:rsidR="00417AD3">
              <w:t>%)</w:t>
            </w:r>
          </w:p>
        </w:tc>
        <w:tc>
          <w:tcPr>
            <w:tcW w:w="833" w:type="pct"/>
          </w:tcPr>
          <w:p w14:paraId="634F1A5B" w14:textId="2C9A430D" w:rsidR="00417AD3" w:rsidRDefault="00441AF0" w:rsidP="004F27F5">
            <w:pPr>
              <w:pStyle w:val="TableText"/>
              <w:cnfStyle w:val="000000000000" w:firstRow="0" w:lastRow="0" w:firstColumn="0" w:lastColumn="0" w:oddVBand="0" w:evenVBand="0" w:oddHBand="0" w:evenHBand="0" w:firstRowFirstColumn="0" w:firstRowLastColumn="0" w:lastRowFirstColumn="0" w:lastRowLastColumn="0"/>
            </w:pPr>
            <w:r>
              <w:t>10</w:t>
            </w:r>
            <w:r w:rsidR="00417AD3">
              <w:t xml:space="preserve"> (25.</w:t>
            </w:r>
            <w:r w:rsidR="00664E12">
              <w:t>6</w:t>
            </w:r>
            <w:r w:rsidR="00417AD3">
              <w:t>%)</w:t>
            </w:r>
          </w:p>
        </w:tc>
      </w:tr>
      <w:tr w:rsidR="00677ED1" w:rsidRPr="009C1931" w14:paraId="4AE02B18"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2C0D0AFB" w14:textId="77777777" w:rsidR="00417AD3" w:rsidRPr="005C4C25" w:rsidRDefault="00417AD3" w:rsidP="004F27F5">
            <w:pPr>
              <w:pStyle w:val="TableText"/>
            </w:pPr>
            <w:r w:rsidRPr="005C4C25">
              <w:t>An artificial breast worn in the bra</w:t>
            </w:r>
          </w:p>
        </w:tc>
        <w:tc>
          <w:tcPr>
            <w:tcW w:w="833" w:type="pct"/>
          </w:tcPr>
          <w:p w14:paraId="0B6B0971" w14:textId="14533986"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c>
          <w:tcPr>
            <w:tcW w:w="833" w:type="pct"/>
          </w:tcPr>
          <w:p w14:paraId="2455E7C1" w14:textId="1213A986"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c>
          <w:tcPr>
            <w:tcW w:w="833" w:type="pct"/>
          </w:tcPr>
          <w:p w14:paraId="0EA89755" w14:textId="3FD1356B"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c>
          <w:tcPr>
            <w:tcW w:w="833" w:type="pct"/>
          </w:tcPr>
          <w:p w14:paraId="74C23E8A" w14:textId="0E23DC5A"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c>
          <w:tcPr>
            <w:tcW w:w="833" w:type="pct"/>
          </w:tcPr>
          <w:p w14:paraId="5AE629D8" w14:textId="341006CC"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3 (100</w:t>
            </w:r>
            <w:r w:rsidR="001D1904">
              <w:rPr>
                <w:szCs w:val="18"/>
              </w:rPr>
              <w:t>.0</w:t>
            </w:r>
            <w:r>
              <w:rPr>
                <w:szCs w:val="18"/>
              </w:rPr>
              <w:t>%)</w:t>
            </w:r>
          </w:p>
        </w:tc>
      </w:tr>
      <w:tr w:rsidR="00677ED1" w:rsidRPr="009C1931" w14:paraId="0C6077FB"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61F405E8" w14:textId="77777777" w:rsidR="00417AD3" w:rsidRPr="00E90673" w:rsidRDefault="00417AD3" w:rsidP="004F27F5">
            <w:pPr>
              <w:pStyle w:val="TableText"/>
            </w:pPr>
            <w:r w:rsidRPr="005C4C25">
              <w:t>Voice prostheses</w:t>
            </w:r>
          </w:p>
        </w:tc>
        <w:tc>
          <w:tcPr>
            <w:tcW w:w="833" w:type="pct"/>
          </w:tcPr>
          <w:p w14:paraId="699383B9" w14:textId="454E53BE"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3 (23.</w:t>
            </w:r>
            <w:r w:rsidR="001D1904">
              <w:t>1</w:t>
            </w:r>
            <w:r>
              <w:t>%)</w:t>
            </w:r>
          </w:p>
        </w:tc>
        <w:tc>
          <w:tcPr>
            <w:tcW w:w="833" w:type="pct"/>
          </w:tcPr>
          <w:p w14:paraId="5B31465E" w14:textId="08203C2B"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2 (15.</w:t>
            </w:r>
            <w:r w:rsidR="00770DB0">
              <w:t>4</w:t>
            </w:r>
            <w:r>
              <w:t>%)</w:t>
            </w:r>
          </w:p>
        </w:tc>
        <w:tc>
          <w:tcPr>
            <w:tcW w:w="833" w:type="pct"/>
          </w:tcPr>
          <w:p w14:paraId="0C656F26" w14:textId="621F1894"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1 (7.</w:t>
            </w:r>
            <w:r w:rsidR="00770DB0">
              <w:t>7%</w:t>
            </w:r>
            <w:r>
              <w:t>%)</w:t>
            </w:r>
          </w:p>
        </w:tc>
        <w:tc>
          <w:tcPr>
            <w:tcW w:w="833" w:type="pct"/>
          </w:tcPr>
          <w:p w14:paraId="2A65C6F8" w14:textId="4D009E98"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4 (30.</w:t>
            </w:r>
            <w:r w:rsidR="00770DB0">
              <w:t>8</w:t>
            </w:r>
            <w:r>
              <w:t>%)</w:t>
            </w:r>
          </w:p>
        </w:tc>
        <w:tc>
          <w:tcPr>
            <w:tcW w:w="833" w:type="pct"/>
          </w:tcPr>
          <w:p w14:paraId="1D8EDA7C" w14:textId="220A4ABF"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3 (23.</w:t>
            </w:r>
            <w:r w:rsidR="00770DB0">
              <w:t>1</w:t>
            </w:r>
            <w:r>
              <w:t>%)</w:t>
            </w:r>
          </w:p>
        </w:tc>
      </w:tr>
      <w:tr w:rsidR="00677ED1" w14:paraId="6B357461"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6BE77CBF" w14:textId="77777777" w:rsidR="00417AD3" w:rsidRPr="005C4C25" w:rsidRDefault="00417AD3" w:rsidP="004F27F5">
            <w:pPr>
              <w:pStyle w:val="TableText"/>
            </w:pPr>
            <w:r w:rsidRPr="005C4C25">
              <w:t>Dental prostheses</w:t>
            </w:r>
          </w:p>
        </w:tc>
        <w:tc>
          <w:tcPr>
            <w:tcW w:w="833" w:type="pct"/>
          </w:tcPr>
          <w:p w14:paraId="2AA99DCE" w14:textId="68EF7E48"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3 (33.3%)</w:t>
            </w:r>
          </w:p>
        </w:tc>
        <w:tc>
          <w:tcPr>
            <w:tcW w:w="833" w:type="pct"/>
          </w:tcPr>
          <w:p w14:paraId="4817A966" w14:textId="57B0EF39"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2 (22.2%)</w:t>
            </w:r>
          </w:p>
        </w:tc>
        <w:tc>
          <w:tcPr>
            <w:tcW w:w="833" w:type="pct"/>
          </w:tcPr>
          <w:p w14:paraId="4ECA856C" w14:textId="5DFEE392"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2 (22.2%)</w:t>
            </w:r>
          </w:p>
        </w:tc>
        <w:tc>
          <w:tcPr>
            <w:tcW w:w="833" w:type="pct"/>
          </w:tcPr>
          <w:p w14:paraId="4A6D5221" w14:textId="2BD0F886"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2 (22.2%)</w:t>
            </w:r>
          </w:p>
        </w:tc>
        <w:tc>
          <w:tcPr>
            <w:tcW w:w="833" w:type="pct"/>
          </w:tcPr>
          <w:p w14:paraId="5EF4AA48" w14:textId="7FE2578D"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r>
      <w:tr w:rsidR="00677ED1" w14:paraId="597A4ABE"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7CBEA07A" w14:textId="77777777" w:rsidR="00417AD3" w:rsidRPr="005C4C25" w:rsidRDefault="00417AD3" w:rsidP="004F27F5">
            <w:pPr>
              <w:pStyle w:val="TableText"/>
            </w:pPr>
            <w:r>
              <w:t>Fat grafting</w:t>
            </w:r>
          </w:p>
        </w:tc>
        <w:tc>
          <w:tcPr>
            <w:tcW w:w="833" w:type="pct"/>
          </w:tcPr>
          <w:p w14:paraId="381F503F" w14:textId="46CC7D54"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c>
          <w:tcPr>
            <w:tcW w:w="833" w:type="pct"/>
          </w:tcPr>
          <w:p w14:paraId="24565854" w14:textId="39D640FD"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c>
          <w:tcPr>
            <w:tcW w:w="833" w:type="pct"/>
          </w:tcPr>
          <w:p w14:paraId="1F876762" w14:textId="166D30E8"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c>
          <w:tcPr>
            <w:tcW w:w="833" w:type="pct"/>
          </w:tcPr>
          <w:p w14:paraId="2895DE6A" w14:textId="0CFDEBDE"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 (100</w:t>
            </w:r>
            <w:r w:rsidR="00770DB0">
              <w:rPr>
                <w:szCs w:val="18"/>
              </w:rPr>
              <w:t>.0</w:t>
            </w:r>
            <w:r>
              <w:rPr>
                <w:szCs w:val="18"/>
              </w:rPr>
              <w:t>%)</w:t>
            </w:r>
          </w:p>
        </w:tc>
        <w:tc>
          <w:tcPr>
            <w:tcW w:w="833" w:type="pct"/>
          </w:tcPr>
          <w:p w14:paraId="18824ABF" w14:textId="2945B815"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r>
      <w:tr w:rsidR="00677ED1" w:rsidRPr="009C1931" w14:paraId="58A7F414"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43922E32" w14:textId="77777777" w:rsidR="00417AD3" w:rsidRPr="006D20D0" w:rsidRDefault="00417AD3" w:rsidP="004F27F5">
            <w:pPr>
              <w:pStyle w:val="Tabletextbold"/>
              <w:rPr>
                <w:rFonts w:eastAsiaTheme="minorEastAsia" w:cs="Arial"/>
                <w:b/>
                <w:bCs/>
                <w:szCs w:val="18"/>
              </w:rPr>
            </w:pPr>
            <w:r w:rsidRPr="00C33FD2">
              <w:rPr>
                <w:b/>
                <w:bCs/>
              </w:rPr>
              <w:t>Total</w:t>
            </w:r>
            <w:r>
              <w:rPr>
                <w:rFonts w:eastAsiaTheme="minorEastAsia" w:cs="Arial"/>
                <w:b/>
                <w:bCs/>
                <w:szCs w:val="18"/>
              </w:rPr>
              <w:t>: 65* respondents</w:t>
            </w:r>
          </w:p>
        </w:tc>
        <w:tc>
          <w:tcPr>
            <w:tcW w:w="833" w:type="pct"/>
          </w:tcPr>
          <w:p w14:paraId="5A02FF77" w14:textId="1AA333F7"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18 (27.</w:t>
            </w:r>
            <w:r w:rsidR="00770DB0" w:rsidRPr="006F5F45">
              <w:rPr>
                <w:rFonts w:eastAsiaTheme="minorEastAsia" w:cs="Arial"/>
                <w:szCs w:val="18"/>
              </w:rPr>
              <w:t>7</w:t>
            </w:r>
            <w:r w:rsidRPr="006F5F45">
              <w:rPr>
                <w:rFonts w:eastAsiaTheme="minorEastAsia" w:cs="Arial"/>
                <w:szCs w:val="18"/>
              </w:rPr>
              <w:t>%)</w:t>
            </w:r>
          </w:p>
        </w:tc>
        <w:tc>
          <w:tcPr>
            <w:tcW w:w="833" w:type="pct"/>
          </w:tcPr>
          <w:p w14:paraId="400F6720" w14:textId="5A24A405"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11 (16.9</w:t>
            </w:r>
            <w:r w:rsidR="00770DB0" w:rsidRPr="006F5F45">
              <w:rPr>
                <w:rFonts w:eastAsiaTheme="minorEastAsia" w:cs="Arial"/>
                <w:szCs w:val="18"/>
              </w:rPr>
              <w:t>%</w:t>
            </w:r>
            <w:r w:rsidRPr="006F5F45">
              <w:rPr>
                <w:rFonts w:eastAsiaTheme="minorEastAsia" w:cs="Arial"/>
                <w:szCs w:val="18"/>
              </w:rPr>
              <w:t>)</w:t>
            </w:r>
          </w:p>
        </w:tc>
        <w:tc>
          <w:tcPr>
            <w:tcW w:w="833" w:type="pct"/>
          </w:tcPr>
          <w:p w14:paraId="29F409DF" w14:textId="75F9F817"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6 (9.2%)</w:t>
            </w:r>
          </w:p>
        </w:tc>
        <w:tc>
          <w:tcPr>
            <w:tcW w:w="833" w:type="pct"/>
          </w:tcPr>
          <w:p w14:paraId="122B8249" w14:textId="044E4F8F"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14 (21.5%)</w:t>
            </w:r>
          </w:p>
        </w:tc>
        <w:tc>
          <w:tcPr>
            <w:tcW w:w="833" w:type="pct"/>
          </w:tcPr>
          <w:p w14:paraId="2A31EEEE" w14:textId="72B3BAD8"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16 (24.6%)</w:t>
            </w:r>
          </w:p>
        </w:tc>
      </w:tr>
    </w:tbl>
    <w:p w14:paraId="65622E48" w14:textId="5E223B28" w:rsidR="002E1066" w:rsidRPr="0000013E" w:rsidRDefault="002E1066" w:rsidP="004F27F5">
      <w:pPr>
        <w:pStyle w:val="Caption-Source"/>
      </w:pPr>
      <w:r w:rsidRPr="00417AD3">
        <w:t xml:space="preserve">Source: </w:t>
      </w:r>
      <w:r w:rsidR="00435DC4">
        <w:t>Independent reviewer</w:t>
      </w:r>
      <w:r w:rsidR="00584D02" w:rsidRPr="0000013E">
        <w:t xml:space="preserve"> (</w:t>
      </w:r>
      <w:r w:rsidRPr="0000013E">
        <w:t>2025</w:t>
      </w:r>
      <w:r w:rsidR="00584D02" w:rsidRPr="0000013E">
        <w:t>)</w:t>
      </w:r>
    </w:p>
    <w:p w14:paraId="738D03E3" w14:textId="68B98115" w:rsidR="00C33FD2" w:rsidRPr="00DD71E7" w:rsidRDefault="00E07AEC" w:rsidP="00DD71E7">
      <w:r w:rsidRPr="00DD71E7">
        <w:t xml:space="preserve">*Note: While there are only 61 </w:t>
      </w:r>
      <w:r w:rsidR="00417AD3" w:rsidRPr="00DD71E7">
        <w:t xml:space="preserve">actual </w:t>
      </w:r>
      <w:r w:rsidR="002E5170" w:rsidRPr="00DD71E7">
        <w:t xml:space="preserve">respondents, </w:t>
      </w:r>
      <w:r w:rsidR="00015848" w:rsidRPr="00DD71E7">
        <w:t>there is a total of 6</w:t>
      </w:r>
      <w:r w:rsidR="00EC7279" w:rsidRPr="00DD71E7">
        <w:t>5</w:t>
      </w:r>
      <w:r w:rsidR="00015848" w:rsidRPr="00DD71E7">
        <w:t xml:space="preserve"> distinct responses </w:t>
      </w:r>
      <w:r w:rsidR="00EC7279" w:rsidRPr="00DD71E7">
        <w:t>due to four respondents having m</w:t>
      </w:r>
      <w:r w:rsidR="004D58C0" w:rsidRPr="00DD71E7">
        <w:t>ore than one type of</w:t>
      </w:r>
      <w:r w:rsidR="00EC7279" w:rsidRPr="00DD71E7">
        <w:t xml:space="preserve"> prosthes</w:t>
      </w:r>
      <w:r w:rsidR="004D58C0" w:rsidRPr="00DD71E7">
        <w:t>i</w:t>
      </w:r>
      <w:r w:rsidR="00EC7279" w:rsidRPr="00DD71E7">
        <w:t>s</w:t>
      </w:r>
      <w:r w:rsidR="000614CE" w:rsidRPr="00DD71E7">
        <w:t xml:space="preserve">. </w:t>
      </w:r>
      <w:r w:rsidR="00C33FD2" w:rsidRPr="00DD71E7">
        <w:br w:type="page"/>
      </w:r>
    </w:p>
    <w:p w14:paraId="122FF5B6" w14:textId="73910724" w:rsidR="00961F75" w:rsidRPr="0042443F" w:rsidRDefault="004F27F5" w:rsidP="004F27F5">
      <w:pPr>
        <w:spacing w:before="0" w:after="160" w:line="259" w:lineRule="auto"/>
        <w:rPr>
          <w:rStyle w:val="Strong"/>
        </w:rPr>
      </w:pPr>
      <w:r w:rsidRPr="0042443F">
        <w:rPr>
          <w:rStyle w:val="Strong"/>
        </w:rPr>
        <w:t xml:space="preserve">Statement 2: </w:t>
      </w:r>
      <w:r w:rsidR="00961F75" w:rsidRPr="0042443F">
        <w:rPr>
          <w:rStyle w:val="Strong"/>
        </w:rPr>
        <w:t>There were minimal barriers to accessing a prosthesis that met my needs</w:t>
      </w:r>
      <w:r w:rsidR="00AD5795" w:rsidRPr="0042443F">
        <w:rPr>
          <w:rStyle w:val="Strong"/>
        </w:rPr>
        <w:t>.</w:t>
      </w:r>
    </w:p>
    <w:p w14:paraId="32A9FCD7" w14:textId="3AB635C5" w:rsidR="004F27F5" w:rsidRDefault="004F27F5" w:rsidP="004F27F5">
      <w:pPr>
        <w:pStyle w:val="Caption"/>
      </w:pPr>
      <w:bookmarkStart w:id="229" w:name="_Toc207348621"/>
      <w:r>
        <w:t xml:space="preserve">Table </w:t>
      </w:r>
      <w:r>
        <w:fldChar w:fldCharType="begin"/>
      </w:r>
      <w:r>
        <w:instrText xml:space="preserve"> SEQ Table \* ARABIC </w:instrText>
      </w:r>
      <w:r>
        <w:fldChar w:fldCharType="separate"/>
      </w:r>
      <w:r>
        <w:rPr>
          <w:noProof/>
        </w:rPr>
        <w:t>56</w:t>
      </w:r>
      <w:r>
        <w:rPr>
          <w:noProof/>
        </w:rPr>
        <w:fldChar w:fldCharType="end"/>
      </w:r>
      <w:r>
        <w:t xml:space="preserve">: </w:t>
      </w:r>
      <w:r w:rsidRPr="00226951">
        <w:t xml:space="preserve">Responses by </w:t>
      </w:r>
      <w:r>
        <w:t xml:space="preserve">jurisdiction </w:t>
      </w:r>
      <w:r w:rsidRPr="00226951">
        <w:t xml:space="preserve">to Statement </w:t>
      </w:r>
      <w:r>
        <w:t>2</w:t>
      </w:r>
      <w:bookmarkEnd w:id="229"/>
    </w:p>
    <w:tbl>
      <w:tblPr>
        <w:tblStyle w:val="KPMGTable"/>
        <w:tblW w:w="5000" w:type="pct"/>
        <w:tblLook w:val="04A0" w:firstRow="1" w:lastRow="0" w:firstColumn="1" w:lastColumn="0" w:noHBand="0" w:noVBand="1"/>
      </w:tblPr>
      <w:tblGrid>
        <w:gridCol w:w="1701"/>
        <w:gridCol w:w="1701"/>
        <w:gridCol w:w="1701"/>
        <w:gridCol w:w="1701"/>
        <w:gridCol w:w="1700"/>
        <w:gridCol w:w="1700"/>
      </w:tblGrid>
      <w:tr w:rsidR="00AD6F37" w:rsidRPr="00501302" w14:paraId="27106618"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833" w:type="pct"/>
          </w:tcPr>
          <w:p w14:paraId="00E068EE" w14:textId="77777777" w:rsidR="00417AD3" w:rsidRPr="007B154A" w:rsidRDefault="00417AD3" w:rsidP="004F27F5">
            <w:pPr>
              <w:pStyle w:val="TableHeading"/>
              <w:rPr>
                <w:b w:val="0"/>
                <w:color w:val="FFFFFF" w:themeColor="background1"/>
                <w:szCs w:val="20"/>
              </w:rPr>
            </w:pPr>
            <w:r>
              <w:t>Response</w:t>
            </w:r>
          </w:p>
        </w:tc>
        <w:tc>
          <w:tcPr>
            <w:tcW w:w="833" w:type="pct"/>
          </w:tcPr>
          <w:p w14:paraId="3C2626D6" w14:textId="77777777" w:rsidR="00417AD3" w:rsidRDefault="00417AD3" w:rsidP="004F27F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disagree</w:t>
            </w:r>
          </w:p>
        </w:tc>
        <w:tc>
          <w:tcPr>
            <w:tcW w:w="833" w:type="pct"/>
          </w:tcPr>
          <w:p w14:paraId="1EACB850" w14:textId="77777777" w:rsidR="00417AD3" w:rsidRDefault="00417AD3" w:rsidP="004F27F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disagree</w:t>
            </w:r>
          </w:p>
        </w:tc>
        <w:tc>
          <w:tcPr>
            <w:tcW w:w="833" w:type="pct"/>
          </w:tcPr>
          <w:p w14:paraId="63278876" w14:textId="77777777" w:rsidR="00417AD3" w:rsidRDefault="00417AD3" w:rsidP="004F27F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Neither agree nor disagree</w:t>
            </w:r>
          </w:p>
        </w:tc>
        <w:tc>
          <w:tcPr>
            <w:tcW w:w="833" w:type="pct"/>
          </w:tcPr>
          <w:p w14:paraId="7EAB07EE" w14:textId="77777777" w:rsidR="00417AD3" w:rsidRDefault="00417AD3" w:rsidP="004F27F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agree</w:t>
            </w:r>
          </w:p>
        </w:tc>
        <w:tc>
          <w:tcPr>
            <w:tcW w:w="833" w:type="pct"/>
          </w:tcPr>
          <w:p w14:paraId="025C3957" w14:textId="77777777" w:rsidR="00417AD3" w:rsidRDefault="00417AD3" w:rsidP="004F27F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agree</w:t>
            </w:r>
          </w:p>
        </w:tc>
      </w:tr>
      <w:tr w:rsidR="00677ED1" w:rsidRPr="00DE530D" w14:paraId="71D443B6"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3B2975FF" w14:textId="77777777" w:rsidR="00417AD3" w:rsidRPr="00E90673" w:rsidRDefault="00417AD3" w:rsidP="004F27F5">
            <w:pPr>
              <w:pStyle w:val="TableText"/>
            </w:pPr>
            <w:r>
              <w:t>New South Wales</w:t>
            </w:r>
          </w:p>
        </w:tc>
        <w:tc>
          <w:tcPr>
            <w:tcW w:w="833" w:type="pct"/>
          </w:tcPr>
          <w:p w14:paraId="40A088DC" w14:textId="7413D9AA"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15 (41.7%)</w:t>
            </w:r>
          </w:p>
        </w:tc>
        <w:tc>
          <w:tcPr>
            <w:tcW w:w="833" w:type="pct"/>
          </w:tcPr>
          <w:p w14:paraId="69AF35DD" w14:textId="27ED2849"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5 (13.</w:t>
            </w:r>
            <w:r w:rsidR="00770DB0">
              <w:t>9</w:t>
            </w:r>
            <w:r>
              <w:t>%)</w:t>
            </w:r>
          </w:p>
        </w:tc>
        <w:tc>
          <w:tcPr>
            <w:tcW w:w="833" w:type="pct"/>
          </w:tcPr>
          <w:p w14:paraId="01B2463E" w14:textId="5528C017"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4 (11.1%)</w:t>
            </w:r>
          </w:p>
        </w:tc>
        <w:tc>
          <w:tcPr>
            <w:tcW w:w="833" w:type="pct"/>
          </w:tcPr>
          <w:p w14:paraId="2F3D5BAB" w14:textId="146648E9"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7 (19.4%)</w:t>
            </w:r>
          </w:p>
        </w:tc>
        <w:tc>
          <w:tcPr>
            <w:tcW w:w="833" w:type="pct"/>
          </w:tcPr>
          <w:p w14:paraId="5FF269DE" w14:textId="6DBF4F9D"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5 (13.9%)</w:t>
            </w:r>
          </w:p>
        </w:tc>
      </w:tr>
      <w:tr w:rsidR="00677ED1" w:rsidRPr="00DE530D" w14:paraId="0CF8B3FB"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773683B1" w14:textId="77777777" w:rsidR="00417AD3" w:rsidRPr="006D20D0" w:rsidRDefault="00417AD3" w:rsidP="004F27F5">
            <w:pPr>
              <w:pStyle w:val="TableText"/>
              <w:rPr>
                <w:szCs w:val="18"/>
              </w:rPr>
            </w:pPr>
            <w:r>
              <w:rPr>
                <w:szCs w:val="18"/>
              </w:rPr>
              <w:t>Victoria</w:t>
            </w:r>
          </w:p>
        </w:tc>
        <w:tc>
          <w:tcPr>
            <w:tcW w:w="833" w:type="pct"/>
          </w:tcPr>
          <w:p w14:paraId="016710C5" w14:textId="38924FDC"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c>
          <w:tcPr>
            <w:tcW w:w="833" w:type="pct"/>
          </w:tcPr>
          <w:p w14:paraId="69FB0598" w14:textId="502F47B8"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4 (66.7%)</w:t>
            </w:r>
          </w:p>
        </w:tc>
        <w:tc>
          <w:tcPr>
            <w:tcW w:w="833" w:type="pct"/>
          </w:tcPr>
          <w:p w14:paraId="5E12829E" w14:textId="175E07B4"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 (16.7%)</w:t>
            </w:r>
          </w:p>
        </w:tc>
        <w:tc>
          <w:tcPr>
            <w:tcW w:w="833" w:type="pct"/>
          </w:tcPr>
          <w:p w14:paraId="0729CA02" w14:textId="3307CFDD"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c>
          <w:tcPr>
            <w:tcW w:w="833" w:type="pct"/>
          </w:tcPr>
          <w:p w14:paraId="693763B3" w14:textId="5F5E2D59"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 (16.7%)</w:t>
            </w:r>
          </w:p>
        </w:tc>
      </w:tr>
      <w:tr w:rsidR="00677ED1" w:rsidRPr="00DE530D" w14:paraId="2C115B16"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3C1D5184" w14:textId="77777777" w:rsidR="00417AD3" w:rsidRPr="00E90673" w:rsidRDefault="00417AD3" w:rsidP="004F27F5">
            <w:pPr>
              <w:pStyle w:val="TableText"/>
            </w:pPr>
            <w:r>
              <w:t>Queensland</w:t>
            </w:r>
          </w:p>
        </w:tc>
        <w:tc>
          <w:tcPr>
            <w:tcW w:w="833" w:type="pct"/>
          </w:tcPr>
          <w:p w14:paraId="4BCD0AAC" w14:textId="600E838F"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5 (35.7%)</w:t>
            </w:r>
          </w:p>
        </w:tc>
        <w:tc>
          <w:tcPr>
            <w:tcW w:w="833" w:type="pct"/>
          </w:tcPr>
          <w:p w14:paraId="141F3A89" w14:textId="3CF13A9B"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4 (28.</w:t>
            </w:r>
            <w:r w:rsidR="00770DB0">
              <w:t>6</w:t>
            </w:r>
            <w:r>
              <w:t>%)</w:t>
            </w:r>
          </w:p>
        </w:tc>
        <w:tc>
          <w:tcPr>
            <w:tcW w:w="833" w:type="pct"/>
          </w:tcPr>
          <w:p w14:paraId="0D154947" w14:textId="0D5A3399"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1 (7.1%)</w:t>
            </w:r>
          </w:p>
        </w:tc>
        <w:tc>
          <w:tcPr>
            <w:tcW w:w="833" w:type="pct"/>
          </w:tcPr>
          <w:p w14:paraId="04A8E26B" w14:textId="546A0C90"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2 (14.</w:t>
            </w:r>
            <w:r w:rsidR="00770DB0">
              <w:t>3</w:t>
            </w:r>
            <w:r>
              <w:t>%)</w:t>
            </w:r>
          </w:p>
        </w:tc>
        <w:tc>
          <w:tcPr>
            <w:tcW w:w="833" w:type="pct"/>
          </w:tcPr>
          <w:p w14:paraId="5E02CA22" w14:textId="63CB8DCE"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2 (14.</w:t>
            </w:r>
            <w:r w:rsidR="00770DB0">
              <w:t>3</w:t>
            </w:r>
            <w:r>
              <w:t>%)</w:t>
            </w:r>
          </w:p>
        </w:tc>
      </w:tr>
      <w:tr w:rsidR="00677ED1" w:rsidRPr="00DE530D" w14:paraId="3B79595A"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30E02193" w14:textId="77777777" w:rsidR="00417AD3" w:rsidRPr="006D20D0" w:rsidRDefault="00417AD3" w:rsidP="004F27F5">
            <w:pPr>
              <w:pStyle w:val="TableText"/>
              <w:rPr>
                <w:szCs w:val="18"/>
              </w:rPr>
            </w:pPr>
            <w:r>
              <w:rPr>
                <w:szCs w:val="18"/>
              </w:rPr>
              <w:t xml:space="preserve">South Australia </w:t>
            </w:r>
          </w:p>
        </w:tc>
        <w:tc>
          <w:tcPr>
            <w:tcW w:w="833" w:type="pct"/>
          </w:tcPr>
          <w:p w14:paraId="2174E24A" w14:textId="27DA0095"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 (25.0%)</w:t>
            </w:r>
          </w:p>
        </w:tc>
        <w:tc>
          <w:tcPr>
            <w:tcW w:w="833" w:type="pct"/>
          </w:tcPr>
          <w:p w14:paraId="1C19FB37" w14:textId="0D62196A"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2 (50.0%)</w:t>
            </w:r>
          </w:p>
        </w:tc>
        <w:tc>
          <w:tcPr>
            <w:tcW w:w="833" w:type="pct"/>
          </w:tcPr>
          <w:p w14:paraId="2BC727A7" w14:textId="587A38B1"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c>
          <w:tcPr>
            <w:tcW w:w="833" w:type="pct"/>
          </w:tcPr>
          <w:p w14:paraId="1248EDC3" w14:textId="0370E4FB"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 (25.0%)</w:t>
            </w:r>
          </w:p>
        </w:tc>
        <w:tc>
          <w:tcPr>
            <w:tcW w:w="833" w:type="pct"/>
          </w:tcPr>
          <w:p w14:paraId="12D61F3E" w14:textId="130C023D"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r>
      <w:tr w:rsidR="00677ED1" w:rsidRPr="00DE530D" w14:paraId="70D8216A"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3965A4A4" w14:textId="77777777" w:rsidR="00417AD3" w:rsidRDefault="00417AD3" w:rsidP="004F27F5">
            <w:pPr>
              <w:pStyle w:val="TableText"/>
              <w:rPr>
                <w:szCs w:val="18"/>
              </w:rPr>
            </w:pPr>
            <w:r>
              <w:rPr>
                <w:szCs w:val="18"/>
              </w:rPr>
              <w:t>Tasmania</w:t>
            </w:r>
          </w:p>
        </w:tc>
        <w:tc>
          <w:tcPr>
            <w:tcW w:w="833" w:type="pct"/>
          </w:tcPr>
          <w:p w14:paraId="0B6A0458" w14:textId="6A22282A"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 (100</w:t>
            </w:r>
            <w:r w:rsidR="00770DB0">
              <w:rPr>
                <w:szCs w:val="18"/>
              </w:rPr>
              <w:t>.0</w:t>
            </w:r>
            <w:r>
              <w:rPr>
                <w:szCs w:val="18"/>
              </w:rPr>
              <w:t>%)</w:t>
            </w:r>
          </w:p>
        </w:tc>
        <w:tc>
          <w:tcPr>
            <w:tcW w:w="833" w:type="pct"/>
          </w:tcPr>
          <w:p w14:paraId="7D35527F" w14:textId="0775A777"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c>
          <w:tcPr>
            <w:tcW w:w="833" w:type="pct"/>
          </w:tcPr>
          <w:p w14:paraId="01AACAA0" w14:textId="63DDBC69"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c>
          <w:tcPr>
            <w:tcW w:w="833" w:type="pct"/>
          </w:tcPr>
          <w:p w14:paraId="102C129A" w14:textId="1D0D1D8B"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c>
          <w:tcPr>
            <w:tcW w:w="833" w:type="pct"/>
          </w:tcPr>
          <w:p w14:paraId="05D25373" w14:textId="4EBE8EF0"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r>
      <w:tr w:rsidR="00677ED1" w:rsidRPr="00501302" w14:paraId="4C8DF830"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2E86DA04" w14:textId="77777777" w:rsidR="00417AD3" w:rsidRPr="006D20D0" w:rsidRDefault="00417AD3" w:rsidP="004F27F5">
            <w:pPr>
              <w:pStyle w:val="Tabletextbold"/>
              <w:rPr>
                <w:rFonts w:eastAsiaTheme="minorEastAsia" w:cs="Arial"/>
                <w:b/>
                <w:bCs/>
                <w:szCs w:val="18"/>
              </w:rPr>
            </w:pPr>
            <w:r w:rsidRPr="00C33FD2">
              <w:rPr>
                <w:b/>
                <w:bCs/>
              </w:rPr>
              <w:t>Total</w:t>
            </w:r>
            <w:r>
              <w:rPr>
                <w:rFonts w:eastAsiaTheme="minorEastAsia" w:cs="Arial"/>
                <w:b/>
                <w:bCs/>
                <w:szCs w:val="18"/>
              </w:rPr>
              <w:t>: 61 respondents</w:t>
            </w:r>
          </w:p>
        </w:tc>
        <w:tc>
          <w:tcPr>
            <w:tcW w:w="833" w:type="pct"/>
          </w:tcPr>
          <w:p w14:paraId="0666A4B2" w14:textId="051F6CD2"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22 (36.</w:t>
            </w:r>
            <w:r w:rsidR="00770DB0" w:rsidRPr="006F5F45">
              <w:rPr>
                <w:rFonts w:eastAsiaTheme="minorEastAsia" w:cs="Arial"/>
                <w:szCs w:val="18"/>
              </w:rPr>
              <w:t>1</w:t>
            </w:r>
            <w:r w:rsidRPr="006F5F45">
              <w:rPr>
                <w:rFonts w:eastAsiaTheme="minorEastAsia" w:cs="Arial"/>
                <w:szCs w:val="18"/>
              </w:rPr>
              <w:t>%)</w:t>
            </w:r>
          </w:p>
        </w:tc>
        <w:tc>
          <w:tcPr>
            <w:tcW w:w="833" w:type="pct"/>
          </w:tcPr>
          <w:p w14:paraId="2AC900F4" w14:textId="0BBFB8FF"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15 (24.</w:t>
            </w:r>
            <w:r w:rsidR="00770DB0" w:rsidRPr="006F5F45">
              <w:rPr>
                <w:rFonts w:eastAsiaTheme="minorEastAsia" w:cs="Arial"/>
                <w:szCs w:val="18"/>
              </w:rPr>
              <w:t>6</w:t>
            </w:r>
            <w:r w:rsidRPr="006F5F45">
              <w:rPr>
                <w:rFonts w:eastAsiaTheme="minorEastAsia" w:cs="Arial"/>
                <w:szCs w:val="18"/>
              </w:rPr>
              <w:t>%)</w:t>
            </w:r>
          </w:p>
        </w:tc>
        <w:tc>
          <w:tcPr>
            <w:tcW w:w="833" w:type="pct"/>
          </w:tcPr>
          <w:p w14:paraId="7C3664A2" w14:textId="4C91E761"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6 (9.8%)</w:t>
            </w:r>
          </w:p>
        </w:tc>
        <w:tc>
          <w:tcPr>
            <w:tcW w:w="833" w:type="pct"/>
          </w:tcPr>
          <w:p w14:paraId="4DBF8C71" w14:textId="160C37A4"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 xml:space="preserve">10 </w:t>
            </w:r>
            <w:r w:rsidRPr="006F5F45">
              <w:rPr>
                <w:rFonts w:eastAsiaTheme="minorEastAsia" w:cs="Arial"/>
                <w:szCs w:val="18"/>
              </w:rPr>
              <w:t>(16.</w:t>
            </w:r>
            <w:r w:rsidR="00770DB0" w:rsidRPr="006F5F45">
              <w:rPr>
                <w:rFonts w:eastAsiaTheme="minorEastAsia" w:cs="Arial"/>
                <w:szCs w:val="18"/>
              </w:rPr>
              <w:t>4</w:t>
            </w:r>
            <w:r w:rsidRPr="006F5F45">
              <w:rPr>
                <w:rFonts w:eastAsiaTheme="minorEastAsia" w:cs="Arial"/>
                <w:szCs w:val="18"/>
              </w:rPr>
              <w:t>%)</w:t>
            </w:r>
          </w:p>
        </w:tc>
        <w:tc>
          <w:tcPr>
            <w:tcW w:w="833" w:type="pct"/>
          </w:tcPr>
          <w:p w14:paraId="487BB2FA" w14:textId="7F7E708A"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8 (13.1%)</w:t>
            </w:r>
          </w:p>
        </w:tc>
      </w:tr>
    </w:tbl>
    <w:p w14:paraId="4828A6E6" w14:textId="0BE2F2EC" w:rsidR="00961F75" w:rsidRPr="0000013E" w:rsidRDefault="00961F75" w:rsidP="004F27F5">
      <w:pPr>
        <w:pStyle w:val="Caption-Source"/>
      </w:pPr>
      <w:r w:rsidRPr="00417AD3">
        <w:t xml:space="preserve">Source: </w:t>
      </w:r>
      <w:r w:rsidR="00435DC4">
        <w:t>Independent reviewer</w:t>
      </w:r>
      <w:r w:rsidR="00584D02" w:rsidRPr="0000013E">
        <w:t xml:space="preserve"> (</w:t>
      </w:r>
      <w:r w:rsidRPr="0000013E">
        <w:t>2025</w:t>
      </w:r>
      <w:r w:rsidR="00584D02" w:rsidRPr="0000013E">
        <w:t>)</w:t>
      </w:r>
    </w:p>
    <w:p w14:paraId="7D29AF86" w14:textId="29EF8ACB" w:rsidR="004F27F5" w:rsidRDefault="004F27F5" w:rsidP="004F27F5">
      <w:pPr>
        <w:pStyle w:val="Caption"/>
      </w:pPr>
      <w:bookmarkStart w:id="230" w:name="_Toc207348622"/>
      <w:r>
        <w:t xml:space="preserve">Table </w:t>
      </w:r>
      <w:r>
        <w:fldChar w:fldCharType="begin"/>
      </w:r>
      <w:r>
        <w:instrText xml:space="preserve"> SEQ Table \* ARABIC </w:instrText>
      </w:r>
      <w:r>
        <w:fldChar w:fldCharType="separate"/>
      </w:r>
      <w:r>
        <w:rPr>
          <w:noProof/>
        </w:rPr>
        <w:t>57</w:t>
      </w:r>
      <w:r>
        <w:rPr>
          <w:noProof/>
        </w:rPr>
        <w:fldChar w:fldCharType="end"/>
      </w:r>
      <w:r>
        <w:t xml:space="preserve">: </w:t>
      </w:r>
      <w:r w:rsidRPr="00027B60">
        <w:t xml:space="preserve">Responses by </w:t>
      </w:r>
      <w:r>
        <w:t>remoteness</w:t>
      </w:r>
      <w:r w:rsidRPr="00027B60">
        <w:t xml:space="preserve"> to Statement 2</w:t>
      </w:r>
      <w:bookmarkEnd w:id="230"/>
    </w:p>
    <w:tbl>
      <w:tblPr>
        <w:tblStyle w:val="KPMGTable"/>
        <w:tblW w:w="5000" w:type="pct"/>
        <w:tblLook w:val="04A0" w:firstRow="1" w:lastRow="0" w:firstColumn="1" w:lastColumn="0" w:noHBand="0" w:noVBand="1"/>
      </w:tblPr>
      <w:tblGrid>
        <w:gridCol w:w="1701"/>
        <w:gridCol w:w="1701"/>
        <w:gridCol w:w="1701"/>
        <w:gridCol w:w="1701"/>
        <w:gridCol w:w="1700"/>
        <w:gridCol w:w="1700"/>
      </w:tblGrid>
      <w:tr w:rsidR="00AD6F37" w:rsidRPr="00386CBC" w14:paraId="21F3B582"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833" w:type="pct"/>
          </w:tcPr>
          <w:p w14:paraId="593BD235" w14:textId="77777777" w:rsidR="00417AD3" w:rsidRPr="007B154A" w:rsidRDefault="00417AD3" w:rsidP="004F27F5">
            <w:pPr>
              <w:pStyle w:val="TableHeading"/>
              <w:rPr>
                <w:b w:val="0"/>
                <w:color w:val="FFFFFF" w:themeColor="background1"/>
                <w:szCs w:val="20"/>
              </w:rPr>
            </w:pPr>
            <w:r>
              <w:t>Response</w:t>
            </w:r>
          </w:p>
        </w:tc>
        <w:tc>
          <w:tcPr>
            <w:tcW w:w="833" w:type="pct"/>
          </w:tcPr>
          <w:p w14:paraId="66FC2E7E" w14:textId="77777777" w:rsidR="00417AD3" w:rsidRDefault="00417AD3" w:rsidP="004F27F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disagree</w:t>
            </w:r>
          </w:p>
        </w:tc>
        <w:tc>
          <w:tcPr>
            <w:tcW w:w="833" w:type="pct"/>
          </w:tcPr>
          <w:p w14:paraId="73907F8C" w14:textId="77777777" w:rsidR="00417AD3" w:rsidRDefault="00417AD3" w:rsidP="004F27F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disagree</w:t>
            </w:r>
          </w:p>
        </w:tc>
        <w:tc>
          <w:tcPr>
            <w:tcW w:w="833" w:type="pct"/>
          </w:tcPr>
          <w:p w14:paraId="097A0DA8" w14:textId="77777777" w:rsidR="00417AD3" w:rsidRDefault="00417AD3" w:rsidP="004F27F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Neither agree nor disagree</w:t>
            </w:r>
          </w:p>
        </w:tc>
        <w:tc>
          <w:tcPr>
            <w:tcW w:w="833" w:type="pct"/>
          </w:tcPr>
          <w:p w14:paraId="2A6A99CF" w14:textId="77777777" w:rsidR="00417AD3" w:rsidRDefault="00417AD3" w:rsidP="004F27F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agree</w:t>
            </w:r>
          </w:p>
        </w:tc>
        <w:tc>
          <w:tcPr>
            <w:tcW w:w="833" w:type="pct"/>
          </w:tcPr>
          <w:p w14:paraId="569B6161" w14:textId="77777777" w:rsidR="00417AD3" w:rsidRDefault="00417AD3" w:rsidP="004F27F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agree</w:t>
            </w:r>
          </w:p>
        </w:tc>
      </w:tr>
      <w:tr w:rsidR="00677ED1" w:rsidRPr="006D20D0" w14:paraId="6AD5AB20"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1D870BF4" w14:textId="77777777" w:rsidR="00417AD3" w:rsidRPr="00E90673" w:rsidRDefault="00417AD3" w:rsidP="004F27F5">
            <w:pPr>
              <w:pStyle w:val="TableText"/>
            </w:pPr>
            <w:r>
              <w:t>Metropolitan area</w:t>
            </w:r>
          </w:p>
        </w:tc>
        <w:tc>
          <w:tcPr>
            <w:tcW w:w="833" w:type="pct"/>
          </w:tcPr>
          <w:p w14:paraId="60E24D4E" w14:textId="69053AC8"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12 (37.5%)</w:t>
            </w:r>
          </w:p>
        </w:tc>
        <w:tc>
          <w:tcPr>
            <w:tcW w:w="833" w:type="pct"/>
          </w:tcPr>
          <w:p w14:paraId="64BC95FB" w14:textId="5B56430E"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9 (28.1%)</w:t>
            </w:r>
          </w:p>
        </w:tc>
        <w:tc>
          <w:tcPr>
            <w:tcW w:w="833" w:type="pct"/>
          </w:tcPr>
          <w:p w14:paraId="31D2A68F" w14:textId="003248BE"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3 (9.</w:t>
            </w:r>
            <w:r w:rsidR="00D91D99">
              <w:t>4</w:t>
            </w:r>
            <w:r>
              <w:t>%)</w:t>
            </w:r>
          </w:p>
        </w:tc>
        <w:tc>
          <w:tcPr>
            <w:tcW w:w="833" w:type="pct"/>
          </w:tcPr>
          <w:p w14:paraId="794C96C2" w14:textId="44CBACC9"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5 (15.6%)</w:t>
            </w:r>
          </w:p>
        </w:tc>
        <w:tc>
          <w:tcPr>
            <w:tcW w:w="833" w:type="pct"/>
          </w:tcPr>
          <w:p w14:paraId="0A409661" w14:textId="1CD40B15"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3 (9.</w:t>
            </w:r>
            <w:r w:rsidR="00D91D99">
              <w:t>4</w:t>
            </w:r>
            <w:r>
              <w:t>%)</w:t>
            </w:r>
          </w:p>
        </w:tc>
      </w:tr>
      <w:tr w:rsidR="00677ED1" w:rsidRPr="009C1931" w14:paraId="50A6FD39"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2212EB0E" w14:textId="77777777" w:rsidR="00417AD3" w:rsidRPr="006D20D0" w:rsidRDefault="00417AD3" w:rsidP="004F27F5">
            <w:pPr>
              <w:pStyle w:val="TableText"/>
              <w:rPr>
                <w:szCs w:val="18"/>
              </w:rPr>
            </w:pPr>
            <w:r>
              <w:rPr>
                <w:szCs w:val="18"/>
              </w:rPr>
              <w:t>Regional centre</w:t>
            </w:r>
          </w:p>
        </w:tc>
        <w:tc>
          <w:tcPr>
            <w:tcW w:w="833" w:type="pct"/>
          </w:tcPr>
          <w:p w14:paraId="4AD03873" w14:textId="0FF30FEC"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6 (31.</w:t>
            </w:r>
            <w:r w:rsidR="00D91D99">
              <w:rPr>
                <w:szCs w:val="18"/>
              </w:rPr>
              <w:t>6</w:t>
            </w:r>
            <w:r>
              <w:rPr>
                <w:szCs w:val="18"/>
              </w:rPr>
              <w:t>%)</w:t>
            </w:r>
          </w:p>
        </w:tc>
        <w:tc>
          <w:tcPr>
            <w:tcW w:w="833" w:type="pct"/>
          </w:tcPr>
          <w:p w14:paraId="31126EBE" w14:textId="032BBAD6"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3 (15.</w:t>
            </w:r>
            <w:r w:rsidR="00D91D99">
              <w:rPr>
                <w:szCs w:val="18"/>
              </w:rPr>
              <w:t>8</w:t>
            </w:r>
            <w:r>
              <w:rPr>
                <w:szCs w:val="18"/>
              </w:rPr>
              <w:t>%)</w:t>
            </w:r>
          </w:p>
        </w:tc>
        <w:tc>
          <w:tcPr>
            <w:tcW w:w="833" w:type="pct"/>
          </w:tcPr>
          <w:p w14:paraId="2B2F3622" w14:textId="4DBAA118"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3 (15.</w:t>
            </w:r>
            <w:r w:rsidR="00D91D99">
              <w:rPr>
                <w:szCs w:val="18"/>
              </w:rPr>
              <w:t>8</w:t>
            </w:r>
            <w:r>
              <w:rPr>
                <w:szCs w:val="18"/>
              </w:rPr>
              <w:t>%)</w:t>
            </w:r>
          </w:p>
        </w:tc>
        <w:tc>
          <w:tcPr>
            <w:tcW w:w="833" w:type="pct"/>
          </w:tcPr>
          <w:p w14:paraId="4D3C784A" w14:textId="01243E45"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3 (15.</w:t>
            </w:r>
            <w:r w:rsidR="00D91D99">
              <w:rPr>
                <w:szCs w:val="18"/>
              </w:rPr>
              <w:t>8</w:t>
            </w:r>
            <w:r>
              <w:rPr>
                <w:szCs w:val="18"/>
              </w:rPr>
              <w:t>%)</w:t>
            </w:r>
          </w:p>
        </w:tc>
        <w:tc>
          <w:tcPr>
            <w:tcW w:w="833" w:type="pct"/>
          </w:tcPr>
          <w:p w14:paraId="23DF82BB" w14:textId="0DB9DD34"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4 (21.0%)</w:t>
            </w:r>
          </w:p>
        </w:tc>
      </w:tr>
      <w:tr w:rsidR="00677ED1" w:rsidRPr="009C1931" w14:paraId="0A7D9E22"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314D63E0" w14:textId="77777777" w:rsidR="00417AD3" w:rsidRDefault="00417AD3" w:rsidP="004F27F5">
            <w:pPr>
              <w:pStyle w:val="TableText"/>
            </w:pPr>
            <w:r>
              <w:rPr>
                <w:szCs w:val="18"/>
              </w:rPr>
              <w:t>Rural area</w:t>
            </w:r>
          </w:p>
        </w:tc>
        <w:tc>
          <w:tcPr>
            <w:tcW w:w="833" w:type="pct"/>
          </w:tcPr>
          <w:p w14:paraId="00FD5EFF" w14:textId="7AB6828F"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 xml:space="preserve">3 </w:t>
            </w:r>
            <w:r>
              <w:rPr>
                <w:szCs w:val="18"/>
              </w:rPr>
              <w:t>(33.3%)</w:t>
            </w:r>
          </w:p>
        </w:tc>
        <w:tc>
          <w:tcPr>
            <w:tcW w:w="833" w:type="pct"/>
          </w:tcPr>
          <w:p w14:paraId="13320F37" w14:textId="3FAB6096"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 xml:space="preserve">3 </w:t>
            </w:r>
            <w:r>
              <w:rPr>
                <w:szCs w:val="18"/>
              </w:rPr>
              <w:t>(33.3%)</w:t>
            </w:r>
          </w:p>
        </w:tc>
        <w:tc>
          <w:tcPr>
            <w:tcW w:w="833" w:type="pct"/>
          </w:tcPr>
          <w:p w14:paraId="027E7BC4" w14:textId="0BC2FF99"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495EB175" w14:textId="45232E18"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2 (22.2</w:t>
            </w:r>
            <w:r w:rsidR="00D91D99">
              <w:t>%</w:t>
            </w:r>
            <w:r>
              <w:t>)</w:t>
            </w:r>
          </w:p>
        </w:tc>
        <w:tc>
          <w:tcPr>
            <w:tcW w:w="833" w:type="pct"/>
          </w:tcPr>
          <w:p w14:paraId="50CAADE2" w14:textId="5F2449A3"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1 (11.1</w:t>
            </w:r>
            <w:r w:rsidR="00D91D99">
              <w:t>%</w:t>
            </w:r>
            <w:r>
              <w:t>)</w:t>
            </w:r>
          </w:p>
        </w:tc>
      </w:tr>
      <w:tr w:rsidR="00677ED1" w:rsidRPr="009C1931" w14:paraId="22441263"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10282877" w14:textId="77777777" w:rsidR="00417AD3" w:rsidRPr="00E90673" w:rsidRDefault="00417AD3" w:rsidP="004F27F5">
            <w:pPr>
              <w:pStyle w:val="TableText"/>
            </w:pPr>
            <w:r>
              <w:t>Remote community</w:t>
            </w:r>
          </w:p>
        </w:tc>
        <w:tc>
          <w:tcPr>
            <w:tcW w:w="833" w:type="pct"/>
          </w:tcPr>
          <w:p w14:paraId="6FA513DA" w14:textId="46BBA022"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1 (100.0%)</w:t>
            </w:r>
          </w:p>
        </w:tc>
        <w:tc>
          <w:tcPr>
            <w:tcW w:w="833" w:type="pct"/>
          </w:tcPr>
          <w:p w14:paraId="2AF77BFF" w14:textId="2CA520DB"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735CAB64" w14:textId="52D436F2"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45281FA7" w14:textId="71AC2EB3"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2F531B1E" w14:textId="0E29D9EB"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r>
      <w:tr w:rsidR="00677ED1" w:rsidRPr="009C1931" w14:paraId="44D73FD3"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28821431" w14:textId="77777777" w:rsidR="00417AD3" w:rsidRPr="006D20D0" w:rsidRDefault="00417AD3" w:rsidP="004F27F5">
            <w:pPr>
              <w:pStyle w:val="Tabletextbold"/>
              <w:rPr>
                <w:rFonts w:eastAsiaTheme="minorEastAsia" w:cs="Arial"/>
                <w:b/>
                <w:bCs/>
                <w:szCs w:val="18"/>
              </w:rPr>
            </w:pPr>
            <w:r w:rsidRPr="006D20D0">
              <w:rPr>
                <w:b/>
              </w:rPr>
              <w:t>Total</w:t>
            </w:r>
            <w:r>
              <w:rPr>
                <w:rFonts w:eastAsiaTheme="minorEastAsia" w:cs="Arial"/>
                <w:b/>
                <w:bCs/>
                <w:szCs w:val="18"/>
              </w:rPr>
              <w:t>: 61 respondents</w:t>
            </w:r>
          </w:p>
        </w:tc>
        <w:tc>
          <w:tcPr>
            <w:tcW w:w="833" w:type="pct"/>
          </w:tcPr>
          <w:p w14:paraId="214D666E" w14:textId="5E7576AA"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22 (36.</w:t>
            </w:r>
            <w:r w:rsidR="00D91D99" w:rsidRPr="006F5F45">
              <w:rPr>
                <w:rFonts w:eastAsiaTheme="minorEastAsia" w:cs="Arial"/>
                <w:szCs w:val="18"/>
              </w:rPr>
              <w:t>1</w:t>
            </w:r>
            <w:r w:rsidRPr="006F5F45">
              <w:rPr>
                <w:rFonts w:eastAsiaTheme="minorEastAsia" w:cs="Arial"/>
                <w:szCs w:val="18"/>
              </w:rPr>
              <w:t>%)</w:t>
            </w:r>
          </w:p>
        </w:tc>
        <w:tc>
          <w:tcPr>
            <w:tcW w:w="833" w:type="pct"/>
          </w:tcPr>
          <w:p w14:paraId="315F6081" w14:textId="494830F9"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15 (24.</w:t>
            </w:r>
            <w:r w:rsidR="00D91D99" w:rsidRPr="006F5F45">
              <w:rPr>
                <w:rFonts w:eastAsiaTheme="minorEastAsia" w:cs="Arial"/>
                <w:szCs w:val="18"/>
              </w:rPr>
              <w:t>6</w:t>
            </w:r>
            <w:r w:rsidRPr="006F5F45">
              <w:rPr>
                <w:rFonts w:eastAsiaTheme="minorEastAsia" w:cs="Arial"/>
                <w:szCs w:val="18"/>
              </w:rPr>
              <w:t>%)</w:t>
            </w:r>
          </w:p>
        </w:tc>
        <w:tc>
          <w:tcPr>
            <w:tcW w:w="833" w:type="pct"/>
          </w:tcPr>
          <w:p w14:paraId="330606D6" w14:textId="324CBBC1"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6 (9.8%)</w:t>
            </w:r>
          </w:p>
        </w:tc>
        <w:tc>
          <w:tcPr>
            <w:tcW w:w="833" w:type="pct"/>
          </w:tcPr>
          <w:p w14:paraId="09410EA5" w14:textId="3E886F18"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 xml:space="preserve">10 </w:t>
            </w:r>
            <w:r w:rsidRPr="006F5F45">
              <w:rPr>
                <w:rFonts w:eastAsiaTheme="minorEastAsia" w:cs="Arial"/>
                <w:szCs w:val="18"/>
              </w:rPr>
              <w:t>(16.</w:t>
            </w:r>
            <w:r w:rsidR="00D91D99" w:rsidRPr="006F5F45">
              <w:rPr>
                <w:rFonts w:eastAsiaTheme="minorEastAsia" w:cs="Arial"/>
                <w:szCs w:val="18"/>
              </w:rPr>
              <w:t>4</w:t>
            </w:r>
            <w:r w:rsidRPr="006F5F45">
              <w:rPr>
                <w:rFonts w:eastAsiaTheme="minorEastAsia" w:cs="Arial"/>
                <w:szCs w:val="18"/>
              </w:rPr>
              <w:t>%)</w:t>
            </w:r>
          </w:p>
        </w:tc>
        <w:tc>
          <w:tcPr>
            <w:tcW w:w="833" w:type="pct"/>
          </w:tcPr>
          <w:p w14:paraId="1FDB8DAF" w14:textId="7699CED4"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8 (13.1%)</w:t>
            </w:r>
          </w:p>
        </w:tc>
      </w:tr>
    </w:tbl>
    <w:p w14:paraId="09F0CD30" w14:textId="6DD39DDD" w:rsidR="00961F75" w:rsidRPr="0000013E" w:rsidRDefault="00961F75" w:rsidP="004F27F5">
      <w:pPr>
        <w:pStyle w:val="Caption-Source"/>
      </w:pPr>
      <w:r w:rsidRPr="00417AD3">
        <w:t xml:space="preserve">Source: </w:t>
      </w:r>
      <w:r w:rsidR="00435DC4">
        <w:t>Independent reviewer</w:t>
      </w:r>
      <w:r w:rsidR="00584D02" w:rsidRPr="0000013E">
        <w:t xml:space="preserve"> (</w:t>
      </w:r>
      <w:r w:rsidRPr="0000013E">
        <w:t>2025</w:t>
      </w:r>
      <w:r w:rsidR="00584D02" w:rsidRPr="0000013E">
        <w:t>)</w:t>
      </w:r>
    </w:p>
    <w:p w14:paraId="29BE2BE1" w14:textId="37F5A632" w:rsidR="004F27F5" w:rsidRDefault="004F27F5" w:rsidP="004F27F5">
      <w:pPr>
        <w:pStyle w:val="Caption"/>
      </w:pPr>
      <w:bookmarkStart w:id="231" w:name="_Toc207348623"/>
      <w:r>
        <w:t xml:space="preserve">Table </w:t>
      </w:r>
      <w:r>
        <w:fldChar w:fldCharType="begin"/>
      </w:r>
      <w:r>
        <w:instrText xml:space="preserve"> SEQ Table \* ARABIC </w:instrText>
      </w:r>
      <w:r>
        <w:fldChar w:fldCharType="separate"/>
      </w:r>
      <w:r>
        <w:rPr>
          <w:noProof/>
        </w:rPr>
        <w:t>58</w:t>
      </w:r>
      <w:r>
        <w:rPr>
          <w:noProof/>
        </w:rPr>
        <w:fldChar w:fldCharType="end"/>
      </w:r>
      <w:r>
        <w:t xml:space="preserve">: </w:t>
      </w:r>
      <w:r w:rsidRPr="00A64868">
        <w:t xml:space="preserve">Responses by </w:t>
      </w:r>
      <w:r>
        <w:t>prosthesis type</w:t>
      </w:r>
      <w:r w:rsidRPr="00A64868">
        <w:t xml:space="preserve"> to Statement 2</w:t>
      </w:r>
      <w:bookmarkEnd w:id="231"/>
    </w:p>
    <w:tbl>
      <w:tblPr>
        <w:tblStyle w:val="KPMGTable"/>
        <w:tblW w:w="5000" w:type="pct"/>
        <w:tblLook w:val="04A0" w:firstRow="1" w:lastRow="0" w:firstColumn="1" w:lastColumn="0" w:noHBand="0" w:noVBand="1"/>
      </w:tblPr>
      <w:tblGrid>
        <w:gridCol w:w="1701"/>
        <w:gridCol w:w="1701"/>
        <w:gridCol w:w="1701"/>
        <w:gridCol w:w="1701"/>
        <w:gridCol w:w="1700"/>
        <w:gridCol w:w="1700"/>
      </w:tblGrid>
      <w:tr w:rsidR="00AD6F37" w:rsidRPr="00386CBC" w14:paraId="4A6D6490"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833" w:type="pct"/>
          </w:tcPr>
          <w:p w14:paraId="2B5DE79B" w14:textId="77777777" w:rsidR="00417AD3" w:rsidRPr="007B154A" w:rsidRDefault="00417AD3" w:rsidP="004F27F5">
            <w:pPr>
              <w:pStyle w:val="TableHeading"/>
              <w:rPr>
                <w:b w:val="0"/>
                <w:color w:val="FFFFFF" w:themeColor="background1"/>
                <w:szCs w:val="20"/>
              </w:rPr>
            </w:pPr>
            <w:r>
              <w:t>Response</w:t>
            </w:r>
          </w:p>
        </w:tc>
        <w:tc>
          <w:tcPr>
            <w:tcW w:w="833" w:type="pct"/>
          </w:tcPr>
          <w:p w14:paraId="4C8B013F" w14:textId="77777777" w:rsidR="00417AD3" w:rsidRDefault="00417AD3" w:rsidP="004F27F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disagree</w:t>
            </w:r>
          </w:p>
        </w:tc>
        <w:tc>
          <w:tcPr>
            <w:tcW w:w="833" w:type="pct"/>
          </w:tcPr>
          <w:p w14:paraId="0BBBA2DC" w14:textId="77777777" w:rsidR="00417AD3" w:rsidRDefault="00417AD3" w:rsidP="004F27F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disagree</w:t>
            </w:r>
          </w:p>
        </w:tc>
        <w:tc>
          <w:tcPr>
            <w:tcW w:w="833" w:type="pct"/>
          </w:tcPr>
          <w:p w14:paraId="386384A6" w14:textId="77777777" w:rsidR="00417AD3" w:rsidRDefault="00417AD3" w:rsidP="004F27F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Neither agree nor disagree</w:t>
            </w:r>
          </w:p>
        </w:tc>
        <w:tc>
          <w:tcPr>
            <w:tcW w:w="833" w:type="pct"/>
          </w:tcPr>
          <w:p w14:paraId="5CE4AD05" w14:textId="77777777" w:rsidR="00417AD3" w:rsidRDefault="00417AD3" w:rsidP="004F27F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agree</w:t>
            </w:r>
          </w:p>
        </w:tc>
        <w:tc>
          <w:tcPr>
            <w:tcW w:w="833" w:type="pct"/>
          </w:tcPr>
          <w:p w14:paraId="4BCE750E" w14:textId="77777777" w:rsidR="00417AD3" w:rsidRDefault="00417AD3" w:rsidP="004F27F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agree</w:t>
            </w:r>
          </w:p>
        </w:tc>
      </w:tr>
      <w:tr w:rsidR="00677ED1" w:rsidRPr="006D20D0" w14:paraId="0BA3599D"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61B7D748" w14:textId="77777777" w:rsidR="00417AD3" w:rsidRPr="00E90673" w:rsidRDefault="00417AD3" w:rsidP="004F27F5">
            <w:pPr>
              <w:pStyle w:val="TableText"/>
            </w:pPr>
            <w:r>
              <w:t>Facial prosthesis</w:t>
            </w:r>
          </w:p>
        </w:tc>
        <w:tc>
          <w:tcPr>
            <w:tcW w:w="833" w:type="pct"/>
          </w:tcPr>
          <w:p w14:paraId="64CABF5E" w14:textId="3A00D9F5"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1</w:t>
            </w:r>
            <w:r w:rsidR="006A7C63">
              <w:t>6</w:t>
            </w:r>
            <w:r>
              <w:t xml:space="preserve"> (4</w:t>
            </w:r>
            <w:r w:rsidR="00BA78A5">
              <w:t>1.0</w:t>
            </w:r>
            <w:r>
              <w:t>%)</w:t>
            </w:r>
          </w:p>
        </w:tc>
        <w:tc>
          <w:tcPr>
            <w:tcW w:w="833" w:type="pct"/>
          </w:tcPr>
          <w:p w14:paraId="511C6DA9" w14:textId="0694D034" w:rsidR="00417AD3" w:rsidRDefault="006A7C63" w:rsidP="004F27F5">
            <w:pPr>
              <w:pStyle w:val="TableText"/>
              <w:cnfStyle w:val="000000000000" w:firstRow="0" w:lastRow="0" w:firstColumn="0" w:lastColumn="0" w:oddVBand="0" w:evenVBand="0" w:oddHBand="0" w:evenHBand="0" w:firstRowFirstColumn="0" w:firstRowLastColumn="0" w:lastRowFirstColumn="0" w:lastRowLastColumn="0"/>
            </w:pPr>
            <w:r>
              <w:t>8</w:t>
            </w:r>
            <w:r w:rsidR="00417AD3">
              <w:t xml:space="preserve"> (</w:t>
            </w:r>
            <w:r w:rsidR="00BA78A5">
              <w:t>20.</w:t>
            </w:r>
            <w:r w:rsidR="00417AD3">
              <w:t>5%)</w:t>
            </w:r>
          </w:p>
        </w:tc>
        <w:tc>
          <w:tcPr>
            <w:tcW w:w="833" w:type="pct"/>
          </w:tcPr>
          <w:p w14:paraId="4AA7D78B" w14:textId="645F35EE" w:rsidR="00417AD3" w:rsidRDefault="006A7C63" w:rsidP="004F27F5">
            <w:pPr>
              <w:pStyle w:val="TableText"/>
              <w:cnfStyle w:val="000000000000" w:firstRow="0" w:lastRow="0" w:firstColumn="0" w:lastColumn="0" w:oddVBand="0" w:evenVBand="0" w:oddHBand="0" w:evenHBand="0" w:firstRowFirstColumn="0" w:firstRowLastColumn="0" w:lastRowFirstColumn="0" w:lastRowLastColumn="0"/>
            </w:pPr>
            <w:r>
              <w:t>4</w:t>
            </w:r>
            <w:r w:rsidR="00417AD3">
              <w:t xml:space="preserve"> (</w:t>
            </w:r>
            <w:r w:rsidR="005F3190">
              <w:t>10.</w:t>
            </w:r>
            <w:r w:rsidR="00417AD3">
              <w:t>3%)</w:t>
            </w:r>
          </w:p>
        </w:tc>
        <w:tc>
          <w:tcPr>
            <w:tcW w:w="833" w:type="pct"/>
          </w:tcPr>
          <w:p w14:paraId="2404BF99" w14:textId="535A2AD5" w:rsidR="00417AD3" w:rsidRDefault="006A7C63" w:rsidP="004F27F5">
            <w:pPr>
              <w:pStyle w:val="TableText"/>
              <w:cnfStyle w:val="000000000000" w:firstRow="0" w:lastRow="0" w:firstColumn="0" w:lastColumn="0" w:oddVBand="0" w:evenVBand="0" w:oddHBand="0" w:evenHBand="0" w:firstRowFirstColumn="0" w:firstRowLastColumn="0" w:lastRowFirstColumn="0" w:lastRowLastColumn="0"/>
            </w:pPr>
            <w:r>
              <w:t>5</w:t>
            </w:r>
            <w:r w:rsidR="00417AD3">
              <w:t xml:space="preserve"> (12.</w:t>
            </w:r>
            <w:r w:rsidR="005F3190">
              <w:t>8</w:t>
            </w:r>
            <w:r w:rsidR="00417AD3">
              <w:t>%)</w:t>
            </w:r>
          </w:p>
        </w:tc>
        <w:tc>
          <w:tcPr>
            <w:tcW w:w="833" w:type="pct"/>
          </w:tcPr>
          <w:p w14:paraId="65370AB9" w14:textId="1E29EFC4" w:rsidR="00417AD3" w:rsidRDefault="006A7C63" w:rsidP="004F27F5">
            <w:pPr>
              <w:pStyle w:val="TableText"/>
              <w:cnfStyle w:val="000000000000" w:firstRow="0" w:lastRow="0" w:firstColumn="0" w:lastColumn="0" w:oddVBand="0" w:evenVBand="0" w:oddHBand="0" w:evenHBand="0" w:firstRowFirstColumn="0" w:firstRowLastColumn="0" w:lastRowFirstColumn="0" w:lastRowLastColumn="0"/>
            </w:pPr>
            <w:r>
              <w:t>6</w:t>
            </w:r>
            <w:r w:rsidR="00417AD3">
              <w:t xml:space="preserve"> (1</w:t>
            </w:r>
            <w:r w:rsidR="006A7969">
              <w:t>5.</w:t>
            </w:r>
            <w:r w:rsidR="00417AD3">
              <w:t>4%)</w:t>
            </w:r>
          </w:p>
        </w:tc>
      </w:tr>
      <w:tr w:rsidR="00677ED1" w:rsidRPr="009C1931" w14:paraId="3393DDDE"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14B19FEC" w14:textId="77777777" w:rsidR="00417AD3" w:rsidRPr="005C4C25" w:rsidRDefault="00417AD3" w:rsidP="004F27F5">
            <w:pPr>
              <w:pStyle w:val="TableText"/>
            </w:pPr>
            <w:r w:rsidRPr="005C4C25">
              <w:t>An artificial breast worn in the bra</w:t>
            </w:r>
          </w:p>
        </w:tc>
        <w:tc>
          <w:tcPr>
            <w:tcW w:w="833" w:type="pct"/>
          </w:tcPr>
          <w:p w14:paraId="7D50E9F0" w14:textId="19DF5397"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c>
          <w:tcPr>
            <w:tcW w:w="833" w:type="pct"/>
          </w:tcPr>
          <w:p w14:paraId="242B87C9" w14:textId="35D9FC9D"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 (33.3</w:t>
            </w:r>
            <w:r w:rsidR="003309EE">
              <w:rPr>
                <w:szCs w:val="18"/>
              </w:rPr>
              <w:t>%</w:t>
            </w:r>
            <w:r>
              <w:rPr>
                <w:szCs w:val="18"/>
              </w:rPr>
              <w:t>)</w:t>
            </w:r>
          </w:p>
        </w:tc>
        <w:tc>
          <w:tcPr>
            <w:tcW w:w="833" w:type="pct"/>
          </w:tcPr>
          <w:p w14:paraId="3504FD91" w14:textId="562A57F2"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c>
          <w:tcPr>
            <w:tcW w:w="833" w:type="pct"/>
          </w:tcPr>
          <w:p w14:paraId="1B806B76" w14:textId="76BC9E8C"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2 (66.</w:t>
            </w:r>
            <w:r w:rsidR="00315EB7">
              <w:rPr>
                <w:szCs w:val="18"/>
              </w:rPr>
              <w:t>7</w:t>
            </w:r>
            <w:r>
              <w:rPr>
                <w:szCs w:val="18"/>
              </w:rPr>
              <w:t>%)</w:t>
            </w:r>
          </w:p>
        </w:tc>
        <w:tc>
          <w:tcPr>
            <w:tcW w:w="833" w:type="pct"/>
          </w:tcPr>
          <w:p w14:paraId="28A741CB" w14:textId="68402AE7"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r>
      <w:tr w:rsidR="00677ED1" w:rsidRPr="009C1931" w14:paraId="0B696713"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168A073E" w14:textId="77777777" w:rsidR="00417AD3" w:rsidRPr="005C4C25" w:rsidRDefault="00417AD3" w:rsidP="004F27F5">
            <w:pPr>
              <w:pStyle w:val="TableText"/>
            </w:pPr>
            <w:r w:rsidRPr="005C4C25">
              <w:t>Voice prostheses</w:t>
            </w:r>
          </w:p>
        </w:tc>
        <w:tc>
          <w:tcPr>
            <w:tcW w:w="833" w:type="pct"/>
          </w:tcPr>
          <w:p w14:paraId="484489C0" w14:textId="440B3A82"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 xml:space="preserve">1 </w:t>
            </w:r>
            <w:r>
              <w:rPr>
                <w:szCs w:val="18"/>
              </w:rPr>
              <w:t>(7.</w:t>
            </w:r>
            <w:r w:rsidR="00D91D99">
              <w:rPr>
                <w:szCs w:val="18"/>
              </w:rPr>
              <w:t>7</w:t>
            </w:r>
            <w:r>
              <w:rPr>
                <w:szCs w:val="18"/>
              </w:rPr>
              <w:t>%)</w:t>
            </w:r>
          </w:p>
        </w:tc>
        <w:tc>
          <w:tcPr>
            <w:tcW w:w="833" w:type="pct"/>
          </w:tcPr>
          <w:p w14:paraId="08655562" w14:textId="03E8C05E"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4 (30.</w:t>
            </w:r>
            <w:r w:rsidR="00D91D99">
              <w:t>8</w:t>
            </w:r>
            <w:r>
              <w:t>%)</w:t>
            </w:r>
          </w:p>
        </w:tc>
        <w:tc>
          <w:tcPr>
            <w:tcW w:w="833" w:type="pct"/>
          </w:tcPr>
          <w:p w14:paraId="328940C8" w14:textId="281CD0CA"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3 (23.</w:t>
            </w:r>
            <w:r w:rsidR="00D63AED">
              <w:t>1</w:t>
            </w:r>
            <w:r>
              <w:t>%)</w:t>
            </w:r>
          </w:p>
        </w:tc>
        <w:tc>
          <w:tcPr>
            <w:tcW w:w="833" w:type="pct"/>
          </w:tcPr>
          <w:p w14:paraId="56870AA0" w14:textId="76B4AC86"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3 (23.</w:t>
            </w:r>
            <w:r w:rsidR="00315EB7">
              <w:t>1</w:t>
            </w:r>
            <w:r>
              <w:t>%)</w:t>
            </w:r>
          </w:p>
        </w:tc>
        <w:tc>
          <w:tcPr>
            <w:tcW w:w="833" w:type="pct"/>
          </w:tcPr>
          <w:p w14:paraId="15AF9164" w14:textId="72AEFE7D"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 xml:space="preserve">2 </w:t>
            </w:r>
            <w:r>
              <w:rPr>
                <w:szCs w:val="18"/>
              </w:rPr>
              <w:t>(15.</w:t>
            </w:r>
            <w:r w:rsidR="00315EB7">
              <w:rPr>
                <w:szCs w:val="18"/>
              </w:rPr>
              <w:t>4</w:t>
            </w:r>
            <w:r>
              <w:rPr>
                <w:szCs w:val="18"/>
              </w:rPr>
              <w:t>%)</w:t>
            </w:r>
          </w:p>
        </w:tc>
      </w:tr>
      <w:tr w:rsidR="00677ED1" w14:paraId="5D9BE6EB" w14:textId="77777777" w:rsidTr="004F27F5">
        <w:trPr>
          <w:trHeight w:val="399"/>
        </w:trPr>
        <w:tc>
          <w:tcPr>
            <w:cnfStyle w:val="001000000000" w:firstRow="0" w:lastRow="0" w:firstColumn="1" w:lastColumn="0" w:oddVBand="0" w:evenVBand="0" w:oddHBand="0" w:evenHBand="0" w:firstRowFirstColumn="0" w:firstRowLastColumn="0" w:lastRowFirstColumn="0" w:lastRowLastColumn="0"/>
            <w:tcW w:w="833" w:type="pct"/>
          </w:tcPr>
          <w:p w14:paraId="65A3EACA" w14:textId="77777777" w:rsidR="00417AD3" w:rsidRPr="005C4C25" w:rsidRDefault="00417AD3" w:rsidP="004F27F5">
            <w:pPr>
              <w:pStyle w:val="TableText"/>
            </w:pPr>
            <w:r w:rsidRPr="005C4C25">
              <w:t>Dental prostheses</w:t>
            </w:r>
          </w:p>
        </w:tc>
        <w:tc>
          <w:tcPr>
            <w:tcW w:w="833" w:type="pct"/>
          </w:tcPr>
          <w:p w14:paraId="5C732BA3" w14:textId="250BFD02"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6 (66.</w:t>
            </w:r>
            <w:r w:rsidR="00D91D99">
              <w:rPr>
                <w:szCs w:val="18"/>
              </w:rPr>
              <w:t>7</w:t>
            </w:r>
            <w:r>
              <w:rPr>
                <w:szCs w:val="18"/>
              </w:rPr>
              <w:t>%)</w:t>
            </w:r>
          </w:p>
        </w:tc>
        <w:tc>
          <w:tcPr>
            <w:tcW w:w="833" w:type="pct"/>
          </w:tcPr>
          <w:p w14:paraId="495DE767" w14:textId="13287B17"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2 (22.2%)</w:t>
            </w:r>
          </w:p>
        </w:tc>
        <w:tc>
          <w:tcPr>
            <w:tcW w:w="833" w:type="pct"/>
          </w:tcPr>
          <w:p w14:paraId="3283366E" w14:textId="7482AED8"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c>
          <w:tcPr>
            <w:tcW w:w="833" w:type="pct"/>
          </w:tcPr>
          <w:p w14:paraId="6ECBF5E5" w14:textId="0C4B9408"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 (11.1%)</w:t>
            </w:r>
          </w:p>
        </w:tc>
        <w:tc>
          <w:tcPr>
            <w:tcW w:w="833" w:type="pct"/>
          </w:tcPr>
          <w:p w14:paraId="21A54D87" w14:textId="3E65F0F1"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r>
      <w:tr w:rsidR="00677ED1" w14:paraId="497538D2"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40F6AC06" w14:textId="77777777" w:rsidR="00417AD3" w:rsidRPr="005C4C25" w:rsidRDefault="00417AD3" w:rsidP="004F27F5">
            <w:pPr>
              <w:pStyle w:val="TableText"/>
            </w:pPr>
            <w:r>
              <w:t>Fat grafting</w:t>
            </w:r>
          </w:p>
        </w:tc>
        <w:tc>
          <w:tcPr>
            <w:tcW w:w="833" w:type="pct"/>
          </w:tcPr>
          <w:p w14:paraId="5232362C" w14:textId="64CF1E71"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c>
          <w:tcPr>
            <w:tcW w:w="833" w:type="pct"/>
          </w:tcPr>
          <w:p w14:paraId="6B552793" w14:textId="1306E9E4"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 (1.5%)</w:t>
            </w:r>
          </w:p>
        </w:tc>
        <w:tc>
          <w:tcPr>
            <w:tcW w:w="833" w:type="pct"/>
          </w:tcPr>
          <w:p w14:paraId="3CDC1A54" w14:textId="547A9006"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c>
          <w:tcPr>
            <w:tcW w:w="833" w:type="pct"/>
          </w:tcPr>
          <w:p w14:paraId="62EADFF5" w14:textId="4A7ABA6B"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c>
          <w:tcPr>
            <w:tcW w:w="833" w:type="pct"/>
          </w:tcPr>
          <w:p w14:paraId="679E92DE" w14:textId="67D92298"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r>
      <w:tr w:rsidR="00677ED1" w:rsidRPr="009C1931" w14:paraId="36E453E6"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3111B8E4" w14:textId="77777777" w:rsidR="00417AD3" w:rsidRPr="006D20D0" w:rsidRDefault="00417AD3" w:rsidP="004F27F5">
            <w:pPr>
              <w:pStyle w:val="Tabletextbold"/>
              <w:rPr>
                <w:rFonts w:eastAsiaTheme="minorEastAsia" w:cs="Arial"/>
                <w:b/>
                <w:bCs/>
                <w:szCs w:val="18"/>
              </w:rPr>
            </w:pPr>
            <w:r w:rsidRPr="00C33FD2">
              <w:rPr>
                <w:b/>
                <w:bCs/>
              </w:rPr>
              <w:t>Total</w:t>
            </w:r>
            <w:r>
              <w:rPr>
                <w:rFonts w:eastAsiaTheme="minorEastAsia" w:cs="Arial"/>
                <w:b/>
                <w:bCs/>
                <w:szCs w:val="18"/>
              </w:rPr>
              <w:t>: 65 respondents</w:t>
            </w:r>
          </w:p>
        </w:tc>
        <w:tc>
          <w:tcPr>
            <w:tcW w:w="833" w:type="pct"/>
          </w:tcPr>
          <w:p w14:paraId="0FEECC30" w14:textId="5354AFAB"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23 (35.</w:t>
            </w:r>
            <w:r w:rsidR="00D91D99" w:rsidRPr="006F5F45">
              <w:rPr>
                <w:rFonts w:eastAsiaTheme="minorEastAsia" w:cs="Arial"/>
                <w:szCs w:val="18"/>
              </w:rPr>
              <w:t>4</w:t>
            </w:r>
            <w:r w:rsidRPr="006F5F45">
              <w:rPr>
                <w:rFonts w:eastAsiaTheme="minorEastAsia" w:cs="Arial"/>
                <w:szCs w:val="18"/>
              </w:rPr>
              <w:t>%)</w:t>
            </w:r>
          </w:p>
        </w:tc>
        <w:tc>
          <w:tcPr>
            <w:tcW w:w="833" w:type="pct"/>
          </w:tcPr>
          <w:p w14:paraId="571BFA3E" w14:textId="0B477CB7"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16 (24.6%)</w:t>
            </w:r>
          </w:p>
        </w:tc>
        <w:tc>
          <w:tcPr>
            <w:tcW w:w="833" w:type="pct"/>
          </w:tcPr>
          <w:p w14:paraId="675C0E30" w14:textId="569AAA23"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7 (10.</w:t>
            </w:r>
            <w:r w:rsidR="00315EB7" w:rsidRPr="006F5F45">
              <w:rPr>
                <w:rFonts w:eastAsiaTheme="minorEastAsia" w:cs="Arial"/>
                <w:szCs w:val="18"/>
              </w:rPr>
              <w:t>8</w:t>
            </w:r>
            <w:r w:rsidRPr="006F5F45">
              <w:rPr>
                <w:rFonts w:eastAsiaTheme="minorEastAsia" w:cs="Arial"/>
                <w:szCs w:val="18"/>
              </w:rPr>
              <w:t>%)</w:t>
            </w:r>
          </w:p>
        </w:tc>
        <w:tc>
          <w:tcPr>
            <w:tcW w:w="833" w:type="pct"/>
          </w:tcPr>
          <w:p w14:paraId="51993655" w14:textId="614E6799"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11 (16.9%)</w:t>
            </w:r>
          </w:p>
        </w:tc>
        <w:tc>
          <w:tcPr>
            <w:tcW w:w="833" w:type="pct"/>
          </w:tcPr>
          <w:p w14:paraId="7DC62E1F" w14:textId="10110148"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8 (12.3%)</w:t>
            </w:r>
          </w:p>
        </w:tc>
      </w:tr>
    </w:tbl>
    <w:p w14:paraId="2B7A0B74" w14:textId="06DD4B43" w:rsidR="00961F75" w:rsidRPr="0000013E" w:rsidRDefault="00961F75" w:rsidP="0000013E">
      <w:pPr>
        <w:pStyle w:val="Caption-Source"/>
      </w:pPr>
      <w:r w:rsidRPr="0000013E">
        <w:t xml:space="preserve">Source: </w:t>
      </w:r>
      <w:r w:rsidR="00435DC4">
        <w:t>Independent reviewer</w:t>
      </w:r>
      <w:r w:rsidR="00584D02" w:rsidRPr="0000013E">
        <w:t xml:space="preserve"> (</w:t>
      </w:r>
      <w:r w:rsidRPr="0000013E">
        <w:t>2025</w:t>
      </w:r>
      <w:r w:rsidR="00584D02" w:rsidRPr="0000013E">
        <w:t>)</w:t>
      </w:r>
    </w:p>
    <w:p w14:paraId="3B30ADA0" w14:textId="77777777" w:rsidR="00C33FD2" w:rsidRPr="00A10684" w:rsidRDefault="00C33FD2" w:rsidP="00A10684">
      <w:r w:rsidRPr="00A10684">
        <w:br w:type="page"/>
      </w:r>
    </w:p>
    <w:p w14:paraId="4D1A9561" w14:textId="6087C81A" w:rsidR="00BD1782" w:rsidRPr="0042443F" w:rsidRDefault="004F27F5" w:rsidP="004F27F5">
      <w:pPr>
        <w:spacing w:before="0" w:after="160" w:line="259" w:lineRule="auto"/>
        <w:rPr>
          <w:rStyle w:val="Strong"/>
        </w:rPr>
      </w:pPr>
      <w:r w:rsidRPr="0042443F">
        <w:rPr>
          <w:rStyle w:val="Strong"/>
        </w:rPr>
        <w:t xml:space="preserve">Statement 3: </w:t>
      </w:r>
      <w:r w:rsidR="00BD1782" w:rsidRPr="0042443F">
        <w:rPr>
          <w:rStyle w:val="Strong"/>
        </w:rPr>
        <w:t xml:space="preserve">The cost of the prosthesis impacted my decision making or ability to obtain a </w:t>
      </w:r>
      <w:proofErr w:type="gramStart"/>
      <w:r w:rsidR="00BD1782" w:rsidRPr="0042443F">
        <w:rPr>
          <w:rStyle w:val="Strong"/>
        </w:rPr>
        <w:t>prosthesis .</w:t>
      </w:r>
      <w:proofErr w:type="gramEnd"/>
    </w:p>
    <w:p w14:paraId="44DCC778" w14:textId="74747FF0" w:rsidR="004F27F5" w:rsidRDefault="004F27F5" w:rsidP="004F27F5">
      <w:pPr>
        <w:pStyle w:val="Caption"/>
      </w:pPr>
      <w:bookmarkStart w:id="232" w:name="_Toc207348624"/>
      <w:r>
        <w:t xml:space="preserve">Table </w:t>
      </w:r>
      <w:r>
        <w:fldChar w:fldCharType="begin"/>
      </w:r>
      <w:r>
        <w:instrText xml:space="preserve"> SEQ Table \* ARABIC </w:instrText>
      </w:r>
      <w:r>
        <w:fldChar w:fldCharType="separate"/>
      </w:r>
      <w:r>
        <w:rPr>
          <w:noProof/>
        </w:rPr>
        <w:t>59</w:t>
      </w:r>
      <w:r>
        <w:rPr>
          <w:noProof/>
        </w:rPr>
        <w:fldChar w:fldCharType="end"/>
      </w:r>
      <w:r>
        <w:t xml:space="preserve">: </w:t>
      </w:r>
      <w:r w:rsidRPr="007046F6">
        <w:t xml:space="preserve">Responses by </w:t>
      </w:r>
      <w:r>
        <w:t xml:space="preserve">jurisdiction </w:t>
      </w:r>
      <w:r w:rsidRPr="007046F6">
        <w:t xml:space="preserve">to Statement </w:t>
      </w:r>
      <w:r>
        <w:t>3</w:t>
      </w:r>
      <w:bookmarkEnd w:id="232"/>
    </w:p>
    <w:tbl>
      <w:tblPr>
        <w:tblStyle w:val="KPMGTable"/>
        <w:tblW w:w="5000" w:type="pct"/>
        <w:tblLook w:val="04A0" w:firstRow="1" w:lastRow="0" w:firstColumn="1" w:lastColumn="0" w:noHBand="0" w:noVBand="1"/>
      </w:tblPr>
      <w:tblGrid>
        <w:gridCol w:w="1701"/>
        <w:gridCol w:w="1701"/>
        <w:gridCol w:w="1701"/>
        <w:gridCol w:w="1701"/>
        <w:gridCol w:w="1700"/>
        <w:gridCol w:w="1700"/>
      </w:tblGrid>
      <w:tr w:rsidR="00AD6F37" w:rsidRPr="00501302" w14:paraId="57A202B6"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833" w:type="pct"/>
          </w:tcPr>
          <w:p w14:paraId="0D1943BB" w14:textId="77777777" w:rsidR="00417AD3" w:rsidRPr="007B154A" w:rsidRDefault="00417AD3" w:rsidP="004F27F5">
            <w:pPr>
              <w:pStyle w:val="TableHeading"/>
              <w:rPr>
                <w:b w:val="0"/>
                <w:color w:val="FFFFFF" w:themeColor="background1"/>
                <w:szCs w:val="20"/>
              </w:rPr>
            </w:pPr>
            <w:r>
              <w:t>Response</w:t>
            </w:r>
          </w:p>
        </w:tc>
        <w:tc>
          <w:tcPr>
            <w:tcW w:w="833" w:type="pct"/>
          </w:tcPr>
          <w:p w14:paraId="1D482325" w14:textId="77777777" w:rsidR="00417AD3" w:rsidRDefault="00417AD3" w:rsidP="004F27F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disagree</w:t>
            </w:r>
          </w:p>
        </w:tc>
        <w:tc>
          <w:tcPr>
            <w:tcW w:w="833" w:type="pct"/>
          </w:tcPr>
          <w:p w14:paraId="7378FD7B" w14:textId="77777777" w:rsidR="00417AD3" w:rsidRDefault="00417AD3" w:rsidP="004F27F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disagree</w:t>
            </w:r>
          </w:p>
        </w:tc>
        <w:tc>
          <w:tcPr>
            <w:tcW w:w="833" w:type="pct"/>
          </w:tcPr>
          <w:p w14:paraId="03A15CFC" w14:textId="77777777" w:rsidR="00417AD3" w:rsidRDefault="00417AD3" w:rsidP="004F27F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Neither agree nor disagree</w:t>
            </w:r>
          </w:p>
        </w:tc>
        <w:tc>
          <w:tcPr>
            <w:tcW w:w="833" w:type="pct"/>
          </w:tcPr>
          <w:p w14:paraId="6078E86A" w14:textId="77777777" w:rsidR="00417AD3" w:rsidRDefault="00417AD3" w:rsidP="004F27F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agree</w:t>
            </w:r>
          </w:p>
        </w:tc>
        <w:tc>
          <w:tcPr>
            <w:tcW w:w="833" w:type="pct"/>
          </w:tcPr>
          <w:p w14:paraId="1979258B" w14:textId="77777777" w:rsidR="00417AD3" w:rsidRDefault="00417AD3" w:rsidP="004F27F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agree</w:t>
            </w:r>
          </w:p>
        </w:tc>
      </w:tr>
      <w:tr w:rsidR="00677ED1" w:rsidRPr="00DE530D" w14:paraId="08251835"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7D4EE950" w14:textId="77777777" w:rsidR="00417AD3" w:rsidRPr="00E90673" w:rsidRDefault="00417AD3" w:rsidP="004F27F5">
            <w:pPr>
              <w:pStyle w:val="TableText"/>
            </w:pPr>
            <w:r>
              <w:t>New South Wales</w:t>
            </w:r>
          </w:p>
        </w:tc>
        <w:tc>
          <w:tcPr>
            <w:tcW w:w="833" w:type="pct"/>
          </w:tcPr>
          <w:p w14:paraId="5759A32A" w14:textId="776AD562"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5 (13.9%)</w:t>
            </w:r>
          </w:p>
        </w:tc>
        <w:tc>
          <w:tcPr>
            <w:tcW w:w="833" w:type="pct"/>
          </w:tcPr>
          <w:p w14:paraId="24D55AE6" w14:textId="2E8A968F"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1 (2.8%)</w:t>
            </w:r>
          </w:p>
        </w:tc>
        <w:tc>
          <w:tcPr>
            <w:tcW w:w="833" w:type="pct"/>
          </w:tcPr>
          <w:p w14:paraId="280CFED3" w14:textId="774EFB62"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7 (19.4%)</w:t>
            </w:r>
          </w:p>
        </w:tc>
        <w:tc>
          <w:tcPr>
            <w:tcW w:w="833" w:type="pct"/>
          </w:tcPr>
          <w:p w14:paraId="1598B341" w14:textId="33B4E673"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5 (13.9%)</w:t>
            </w:r>
          </w:p>
        </w:tc>
        <w:tc>
          <w:tcPr>
            <w:tcW w:w="833" w:type="pct"/>
          </w:tcPr>
          <w:p w14:paraId="1E218CD9" w14:textId="27096A8E"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18 (50.0%)</w:t>
            </w:r>
          </w:p>
        </w:tc>
      </w:tr>
      <w:tr w:rsidR="00677ED1" w:rsidRPr="00DE530D" w14:paraId="03EE58E4"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121E65A6" w14:textId="77777777" w:rsidR="00417AD3" w:rsidRPr="006D20D0" w:rsidRDefault="00417AD3" w:rsidP="004F27F5">
            <w:pPr>
              <w:pStyle w:val="TableText"/>
              <w:rPr>
                <w:szCs w:val="18"/>
              </w:rPr>
            </w:pPr>
            <w:r>
              <w:rPr>
                <w:szCs w:val="18"/>
              </w:rPr>
              <w:t>Victoria</w:t>
            </w:r>
          </w:p>
        </w:tc>
        <w:tc>
          <w:tcPr>
            <w:tcW w:w="833" w:type="pct"/>
          </w:tcPr>
          <w:p w14:paraId="332E5437" w14:textId="58891393"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2 (33.3%)</w:t>
            </w:r>
          </w:p>
        </w:tc>
        <w:tc>
          <w:tcPr>
            <w:tcW w:w="833" w:type="pct"/>
          </w:tcPr>
          <w:p w14:paraId="1361A3B1" w14:textId="15BEABDE"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c>
          <w:tcPr>
            <w:tcW w:w="833" w:type="pct"/>
          </w:tcPr>
          <w:p w14:paraId="23D16B62" w14:textId="2C0EC388"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2 (33.3%)</w:t>
            </w:r>
          </w:p>
        </w:tc>
        <w:tc>
          <w:tcPr>
            <w:tcW w:w="833" w:type="pct"/>
          </w:tcPr>
          <w:p w14:paraId="34115D47" w14:textId="3DF9A27E"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1 </w:t>
            </w:r>
            <w:r>
              <w:t>(16.7%)</w:t>
            </w:r>
          </w:p>
        </w:tc>
        <w:tc>
          <w:tcPr>
            <w:tcW w:w="833" w:type="pct"/>
          </w:tcPr>
          <w:p w14:paraId="19343BFF" w14:textId="2F498A40"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 (16.7%)</w:t>
            </w:r>
          </w:p>
        </w:tc>
      </w:tr>
      <w:tr w:rsidR="00677ED1" w:rsidRPr="00DE530D" w14:paraId="0C4E6905"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69D4DF98" w14:textId="77777777" w:rsidR="00417AD3" w:rsidRPr="00E90673" w:rsidRDefault="00417AD3" w:rsidP="004F27F5">
            <w:pPr>
              <w:pStyle w:val="TableText"/>
            </w:pPr>
            <w:r>
              <w:t>Queensland</w:t>
            </w:r>
          </w:p>
        </w:tc>
        <w:tc>
          <w:tcPr>
            <w:tcW w:w="833" w:type="pct"/>
          </w:tcPr>
          <w:p w14:paraId="2692AFF9" w14:textId="21CD1721"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 xml:space="preserve">2 </w:t>
            </w:r>
            <w:r>
              <w:rPr>
                <w:szCs w:val="18"/>
              </w:rPr>
              <w:t>(14.</w:t>
            </w:r>
            <w:r w:rsidR="00315EB7">
              <w:rPr>
                <w:szCs w:val="18"/>
              </w:rPr>
              <w:t>3</w:t>
            </w:r>
            <w:r>
              <w:rPr>
                <w:szCs w:val="18"/>
              </w:rPr>
              <w:t>%)</w:t>
            </w:r>
          </w:p>
        </w:tc>
        <w:tc>
          <w:tcPr>
            <w:tcW w:w="833" w:type="pct"/>
          </w:tcPr>
          <w:p w14:paraId="6475B08E" w14:textId="4ED414CD"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12033445" w14:textId="4D7005A8"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1FF8F823" w14:textId="2CDB9803"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5 (35.7%)</w:t>
            </w:r>
          </w:p>
        </w:tc>
        <w:tc>
          <w:tcPr>
            <w:tcW w:w="833" w:type="pct"/>
          </w:tcPr>
          <w:p w14:paraId="2D540B9E" w14:textId="334989B9"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7 (50.0%)</w:t>
            </w:r>
          </w:p>
        </w:tc>
      </w:tr>
      <w:tr w:rsidR="00677ED1" w:rsidRPr="00DE530D" w14:paraId="216C9367"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371F9645" w14:textId="77777777" w:rsidR="00417AD3" w:rsidRPr="006D20D0" w:rsidRDefault="00417AD3" w:rsidP="004F27F5">
            <w:pPr>
              <w:pStyle w:val="TableText"/>
              <w:rPr>
                <w:szCs w:val="18"/>
              </w:rPr>
            </w:pPr>
            <w:r>
              <w:rPr>
                <w:szCs w:val="18"/>
              </w:rPr>
              <w:t xml:space="preserve">South Australia </w:t>
            </w:r>
          </w:p>
        </w:tc>
        <w:tc>
          <w:tcPr>
            <w:tcW w:w="833" w:type="pct"/>
          </w:tcPr>
          <w:p w14:paraId="51D4AA69" w14:textId="5BE2D214"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1 </w:t>
            </w:r>
            <w:r>
              <w:t>(25.0%)</w:t>
            </w:r>
          </w:p>
        </w:tc>
        <w:tc>
          <w:tcPr>
            <w:tcW w:w="833" w:type="pct"/>
          </w:tcPr>
          <w:p w14:paraId="669A53B6" w14:textId="392EDC4F"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c>
          <w:tcPr>
            <w:tcW w:w="833" w:type="pct"/>
          </w:tcPr>
          <w:p w14:paraId="498A5797" w14:textId="5D95E249"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c>
          <w:tcPr>
            <w:tcW w:w="833" w:type="pct"/>
          </w:tcPr>
          <w:p w14:paraId="5B4F19F7" w14:textId="7F637591"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1 </w:t>
            </w:r>
            <w:r>
              <w:t>(25.0%)</w:t>
            </w:r>
          </w:p>
        </w:tc>
        <w:tc>
          <w:tcPr>
            <w:tcW w:w="833" w:type="pct"/>
          </w:tcPr>
          <w:p w14:paraId="04A3F7F8" w14:textId="20F7CBCC"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2 (50.0%)</w:t>
            </w:r>
          </w:p>
        </w:tc>
      </w:tr>
      <w:tr w:rsidR="00677ED1" w:rsidRPr="00DE530D" w14:paraId="0AB423B1"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5D5F93A2" w14:textId="77777777" w:rsidR="00417AD3" w:rsidRDefault="00417AD3" w:rsidP="004F27F5">
            <w:pPr>
              <w:pStyle w:val="TableText"/>
              <w:rPr>
                <w:szCs w:val="18"/>
              </w:rPr>
            </w:pPr>
            <w:r>
              <w:rPr>
                <w:szCs w:val="18"/>
              </w:rPr>
              <w:t>Tasmania</w:t>
            </w:r>
          </w:p>
        </w:tc>
        <w:tc>
          <w:tcPr>
            <w:tcW w:w="833" w:type="pct"/>
          </w:tcPr>
          <w:p w14:paraId="36AF970D" w14:textId="11775C80"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1 </w:t>
            </w:r>
            <w:r>
              <w:t>(100</w:t>
            </w:r>
            <w:r w:rsidR="00315EB7">
              <w:t>.0</w:t>
            </w:r>
            <w:r>
              <w:t>%)</w:t>
            </w:r>
          </w:p>
        </w:tc>
        <w:tc>
          <w:tcPr>
            <w:tcW w:w="833" w:type="pct"/>
          </w:tcPr>
          <w:p w14:paraId="0942A877" w14:textId="55C68263"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c>
          <w:tcPr>
            <w:tcW w:w="833" w:type="pct"/>
          </w:tcPr>
          <w:p w14:paraId="5D458F6E" w14:textId="5A16E5B5"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c>
          <w:tcPr>
            <w:tcW w:w="833" w:type="pct"/>
          </w:tcPr>
          <w:p w14:paraId="509C63A0" w14:textId="25A22AA6"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c>
          <w:tcPr>
            <w:tcW w:w="833" w:type="pct"/>
          </w:tcPr>
          <w:p w14:paraId="1AA6C3D9" w14:textId="5D520C73" w:rsidR="00417AD3" w:rsidRDefault="00417AD3" w:rsidP="004F27F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r>
      <w:tr w:rsidR="00677ED1" w:rsidRPr="00501302" w14:paraId="5A968AF8"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3BC9F832" w14:textId="77777777" w:rsidR="00417AD3" w:rsidRPr="006D20D0" w:rsidRDefault="00417AD3" w:rsidP="004F27F5">
            <w:pPr>
              <w:pStyle w:val="Tabletextbold"/>
              <w:rPr>
                <w:rFonts w:eastAsiaTheme="minorEastAsia" w:cs="Arial"/>
                <w:b/>
                <w:bCs/>
                <w:szCs w:val="18"/>
              </w:rPr>
            </w:pPr>
            <w:r w:rsidRPr="00C33FD2">
              <w:rPr>
                <w:b/>
                <w:bCs/>
              </w:rPr>
              <w:t>Total</w:t>
            </w:r>
            <w:r>
              <w:rPr>
                <w:rFonts w:eastAsiaTheme="minorEastAsia" w:cs="Arial"/>
                <w:b/>
                <w:bCs/>
                <w:szCs w:val="18"/>
              </w:rPr>
              <w:t>: 61 respondents</w:t>
            </w:r>
          </w:p>
        </w:tc>
        <w:tc>
          <w:tcPr>
            <w:tcW w:w="833" w:type="pct"/>
          </w:tcPr>
          <w:p w14:paraId="4E436729" w14:textId="2B2466DB"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11 (18.0%)</w:t>
            </w:r>
          </w:p>
        </w:tc>
        <w:tc>
          <w:tcPr>
            <w:tcW w:w="833" w:type="pct"/>
          </w:tcPr>
          <w:p w14:paraId="0AD9774D" w14:textId="3B84F8F1"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 xml:space="preserve">1 </w:t>
            </w:r>
            <w:r w:rsidRPr="006F5F45">
              <w:rPr>
                <w:szCs w:val="20"/>
              </w:rPr>
              <w:t>(1.6%)</w:t>
            </w:r>
          </w:p>
        </w:tc>
        <w:tc>
          <w:tcPr>
            <w:tcW w:w="833" w:type="pct"/>
          </w:tcPr>
          <w:p w14:paraId="53C26B8F" w14:textId="3E39350C"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9 (14.</w:t>
            </w:r>
            <w:r w:rsidR="00315EB7" w:rsidRPr="006F5F45">
              <w:rPr>
                <w:rFonts w:eastAsiaTheme="minorEastAsia" w:cs="Arial"/>
                <w:szCs w:val="18"/>
              </w:rPr>
              <w:t>8</w:t>
            </w:r>
            <w:r w:rsidRPr="006F5F45">
              <w:rPr>
                <w:rFonts w:eastAsiaTheme="minorEastAsia" w:cs="Arial"/>
                <w:szCs w:val="18"/>
              </w:rPr>
              <w:t>%)</w:t>
            </w:r>
          </w:p>
        </w:tc>
        <w:tc>
          <w:tcPr>
            <w:tcW w:w="833" w:type="pct"/>
          </w:tcPr>
          <w:p w14:paraId="64A53BB1" w14:textId="594AD63B"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12 (19.7%)</w:t>
            </w:r>
          </w:p>
        </w:tc>
        <w:tc>
          <w:tcPr>
            <w:tcW w:w="833" w:type="pct"/>
          </w:tcPr>
          <w:p w14:paraId="31EFE0F9" w14:textId="2FB49296"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28 (45.9%)</w:t>
            </w:r>
          </w:p>
        </w:tc>
      </w:tr>
    </w:tbl>
    <w:p w14:paraId="70D2F940" w14:textId="46C332DB" w:rsidR="0000013E" w:rsidRDefault="00BD1782" w:rsidP="00C33FD2">
      <w:pPr>
        <w:pStyle w:val="Caption-Source"/>
      </w:pPr>
      <w:r w:rsidRPr="00032942">
        <w:t xml:space="preserve">Source: </w:t>
      </w:r>
      <w:r w:rsidR="00435DC4">
        <w:t>Independent reviewer</w:t>
      </w:r>
      <w:r w:rsidR="00584D02" w:rsidRPr="0000013E">
        <w:t xml:space="preserve"> (</w:t>
      </w:r>
      <w:r w:rsidRPr="0000013E">
        <w:t>2025</w:t>
      </w:r>
      <w:r w:rsidR="00584D02" w:rsidRPr="0000013E">
        <w:t>)</w:t>
      </w:r>
    </w:p>
    <w:p w14:paraId="1E4E3435" w14:textId="355D7042" w:rsidR="004F27F5" w:rsidRDefault="004F27F5" w:rsidP="004F27F5">
      <w:pPr>
        <w:pStyle w:val="Caption"/>
      </w:pPr>
      <w:bookmarkStart w:id="233" w:name="_Toc207348625"/>
      <w:r>
        <w:t xml:space="preserve">Table </w:t>
      </w:r>
      <w:r>
        <w:fldChar w:fldCharType="begin"/>
      </w:r>
      <w:r>
        <w:instrText xml:space="preserve"> SEQ Table \* ARABIC </w:instrText>
      </w:r>
      <w:r>
        <w:fldChar w:fldCharType="separate"/>
      </w:r>
      <w:r>
        <w:rPr>
          <w:noProof/>
        </w:rPr>
        <w:t>60</w:t>
      </w:r>
      <w:r>
        <w:rPr>
          <w:noProof/>
        </w:rPr>
        <w:fldChar w:fldCharType="end"/>
      </w:r>
      <w:r>
        <w:t xml:space="preserve">: </w:t>
      </w:r>
      <w:r w:rsidRPr="00B37DF6">
        <w:t xml:space="preserve">Responses by </w:t>
      </w:r>
      <w:r>
        <w:t>remoteness</w:t>
      </w:r>
      <w:r w:rsidRPr="00B37DF6">
        <w:t xml:space="preserve"> to Statement 3</w:t>
      </w:r>
      <w:bookmarkEnd w:id="233"/>
    </w:p>
    <w:tbl>
      <w:tblPr>
        <w:tblStyle w:val="KPMGTable"/>
        <w:tblW w:w="5000" w:type="pct"/>
        <w:tblLook w:val="04A0" w:firstRow="1" w:lastRow="0" w:firstColumn="1" w:lastColumn="0" w:noHBand="0" w:noVBand="1"/>
      </w:tblPr>
      <w:tblGrid>
        <w:gridCol w:w="1701"/>
        <w:gridCol w:w="1701"/>
        <w:gridCol w:w="1701"/>
        <w:gridCol w:w="1701"/>
        <w:gridCol w:w="1700"/>
        <w:gridCol w:w="1700"/>
      </w:tblGrid>
      <w:tr w:rsidR="00AD6F37" w:rsidRPr="00386CBC" w14:paraId="28077C45"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833" w:type="pct"/>
          </w:tcPr>
          <w:p w14:paraId="617C20E8" w14:textId="77777777" w:rsidR="00417AD3" w:rsidRPr="007B154A" w:rsidRDefault="00417AD3" w:rsidP="004F27F5">
            <w:pPr>
              <w:pStyle w:val="TableHeading"/>
              <w:rPr>
                <w:b w:val="0"/>
                <w:color w:val="FFFFFF" w:themeColor="background1"/>
                <w:szCs w:val="20"/>
              </w:rPr>
            </w:pPr>
            <w:r>
              <w:t>Response</w:t>
            </w:r>
          </w:p>
        </w:tc>
        <w:tc>
          <w:tcPr>
            <w:tcW w:w="833" w:type="pct"/>
          </w:tcPr>
          <w:p w14:paraId="72075D10" w14:textId="77777777" w:rsidR="00417AD3" w:rsidRDefault="00417AD3" w:rsidP="004F27F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disagree</w:t>
            </w:r>
          </w:p>
        </w:tc>
        <w:tc>
          <w:tcPr>
            <w:tcW w:w="833" w:type="pct"/>
          </w:tcPr>
          <w:p w14:paraId="1F8A2786" w14:textId="77777777" w:rsidR="00417AD3" w:rsidRDefault="00417AD3" w:rsidP="004F27F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disagree</w:t>
            </w:r>
          </w:p>
        </w:tc>
        <w:tc>
          <w:tcPr>
            <w:tcW w:w="833" w:type="pct"/>
          </w:tcPr>
          <w:p w14:paraId="121B0B23" w14:textId="77777777" w:rsidR="00417AD3" w:rsidRPr="00276F53" w:rsidRDefault="00417AD3" w:rsidP="004F27F5">
            <w:pPr>
              <w:pStyle w:val="TableHeading"/>
              <w:cnfStyle w:val="100000000000" w:firstRow="1" w:lastRow="0" w:firstColumn="0" w:lastColumn="0" w:oddVBand="0" w:evenVBand="0" w:oddHBand="0" w:evenHBand="0" w:firstRowFirstColumn="0" w:firstRowLastColumn="0" w:lastRowFirstColumn="0" w:lastRowLastColumn="0"/>
              <w:rPr>
                <w:b w:val="0"/>
                <w:szCs w:val="20"/>
              </w:rPr>
            </w:pPr>
            <w:r w:rsidRPr="00276F53">
              <w:t xml:space="preserve">Neither agree nor </w:t>
            </w:r>
            <w:r w:rsidRPr="00276F53">
              <w:rPr>
                <w:b w:val="0"/>
                <w:szCs w:val="20"/>
              </w:rPr>
              <w:t>disagree</w:t>
            </w:r>
          </w:p>
        </w:tc>
        <w:tc>
          <w:tcPr>
            <w:tcW w:w="833" w:type="pct"/>
          </w:tcPr>
          <w:p w14:paraId="3286EDD2" w14:textId="77777777" w:rsidR="00417AD3" w:rsidRDefault="00417AD3" w:rsidP="004F27F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agree</w:t>
            </w:r>
          </w:p>
        </w:tc>
        <w:tc>
          <w:tcPr>
            <w:tcW w:w="833" w:type="pct"/>
          </w:tcPr>
          <w:p w14:paraId="7D5E5C4A" w14:textId="77777777" w:rsidR="00417AD3" w:rsidRDefault="00417AD3" w:rsidP="004F27F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agree</w:t>
            </w:r>
          </w:p>
        </w:tc>
      </w:tr>
      <w:tr w:rsidR="00677ED1" w:rsidRPr="006D20D0" w14:paraId="56722014"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4237206F" w14:textId="77777777" w:rsidR="00417AD3" w:rsidRPr="00E90673" w:rsidRDefault="00417AD3" w:rsidP="004F27F5">
            <w:pPr>
              <w:pStyle w:val="TableText"/>
            </w:pPr>
            <w:r>
              <w:t>Metropolitan area</w:t>
            </w:r>
          </w:p>
        </w:tc>
        <w:tc>
          <w:tcPr>
            <w:tcW w:w="833" w:type="pct"/>
          </w:tcPr>
          <w:p w14:paraId="57E41319" w14:textId="75DABCE6" w:rsidR="00417AD3" w:rsidRPr="00FC120C"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3 (</w:t>
            </w:r>
            <w:r w:rsidRPr="00FC120C">
              <w:t>9.</w:t>
            </w:r>
            <w:r w:rsidR="0095237E">
              <w:t>4</w:t>
            </w:r>
            <w:r w:rsidRPr="00FC120C">
              <w:t>%</w:t>
            </w:r>
            <w:r>
              <w:t>)</w:t>
            </w:r>
          </w:p>
        </w:tc>
        <w:tc>
          <w:tcPr>
            <w:tcW w:w="833" w:type="pct"/>
          </w:tcPr>
          <w:p w14:paraId="63BD7894" w14:textId="343C91A5" w:rsidR="00417AD3" w:rsidRPr="00FC120C"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1 (</w:t>
            </w:r>
            <w:r w:rsidRPr="00FC120C">
              <w:t>3.1%</w:t>
            </w:r>
            <w:r>
              <w:t>)</w:t>
            </w:r>
          </w:p>
        </w:tc>
        <w:tc>
          <w:tcPr>
            <w:tcW w:w="833" w:type="pct"/>
          </w:tcPr>
          <w:p w14:paraId="76C79F14" w14:textId="02ECB376" w:rsidR="00417AD3" w:rsidRPr="00FC120C"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5 (</w:t>
            </w:r>
            <w:r w:rsidRPr="00FC120C">
              <w:t>15.6%</w:t>
            </w:r>
            <w:r>
              <w:t>)</w:t>
            </w:r>
          </w:p>
        </w:tc>
        <w:tc>
          <w:tcPr>
            <w:tcW w:w="833" w:type="pct"/>
          </w:tcPr>
          <w:p w14:paraId="632EAFE2" w14:textId="34080E83" w:rsidR="00417AD3" w:rsidRPr="00FC120C"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8 (</w:t>
            </w:r>
            <w:r w:rsidRPr="00FC120C">
              <w:t>25.0%</w:t>
            </w:r>
            <w:r>
              <w:t>)</w:t>
            </w:r>
          </w:p>
        </w:tc>
        <w:tc>
          <w:tcPr>
            <w:tcW w:w="833" w:type="pct"/>
          </w:tcPr>
          <w:p w14:paraId="111E676B" w14:textId="1B146995" w:rsidR="00417AD3" w:rsidRPr="00FC120C"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15 (</w:t>
            </w:r>
            <w:r w:rsidRPr="00FC120C">
              <w:t>46.</w:t>
            </w:r>
            <w:r w:rsidR="0095237E">
              <w:t>9</w:t>
            </w:r>
            <w:r w:rsidRPr="00FC120C">
              <w:t>%</w:t>
            </w:r>
            <w:r>
              <w:t>)</w:t>
            </w:r>
          </w:p>
        </w:tc>
      </w:tr>
      <w:tr w:rsidR="00677ED1" w:rsidRPr="009C1931" w14:paraId="2801592B"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73457F8C" w14:textId="77777777" w:rsidR="00417AD3" w:rsidRPr="006D20D0" w:rsidRDefault="00417AD3" w:rsidP="004F27F5">
            <w:pPr>
              <w:pStyle w:val="TableText"/>
              <w:rPr>
                <w:szCs w:val="18"/>
              </w:rPr>
            </w:pPr>
            <w:r>
              <w:rPr>
                <w:szCs w:val="18"/>
              </w:rPr>
              <w:t>Regional centre</w:t>
            </w:r>
          </w:p>
        </w:tc>
        <w:tc>
          <w:tcPr>
            <w:tcW w:w="833" w:type="pct"/>
          </w:tcPr>
          <w:p w14:paraId="4C3B075C" w14:textId="6B85A481" w:rsidR="00417AD3" w:rsidRPr="00FC120C"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6 (</w:t>
            </w:r>
            <w:r w:rsidRPr="00FC120C">
              <w:t>31.</w:t>
            </w:r>
            <w:r w:rsidR="0095237E">
              <w:t>6</w:t>
            </w:r>
            <w:r w:rsidRPr="00FC120C">
              <w:t>%</w:t>
            </w:r>
            <w:r>
              <w:t>)</w:t>
            </w:r>
          </w:p>
        </w:tc>
        <w:tc>
          <w:tcPr>
            <w:tcW w:w="833" w:type="pct"/>
          </w:tcPr>
          <w:p w14:paraId="0F9624AC" w14:textId="12AC294B" w:rsidR="00417AD3" w:rsidRPr="00FC120C" w:rsidRDefault="00417AD3" w:rsidP="004F27F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0E09A292" w14:textId="0D284660" w:rsidR="00417AD3" w:rsidRPr="00FC120C"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3 (</w:t>
            </w:r>
            <w:r w:rsidRPr="00FC120C">
              <w:t>15.</w:t>
            </w:r>
            <w:r w:rsidR="0095237E">
              <w:t>8</w:t>
            </w:r>
            <w:r w:rsidRPr="00FC120C">
              <w:t>%</w:t>
            </w:r>
            <w:r>
              <w:t>)</w:t>
            </w:r>
          </w:p>
        </w:tc>
        <w:tc>
          <w:tcPr>
            <w:tcW w:w="833" w:type="pct"/>
          </w:tcPr>
          <w:p w14:paraId="22AE647A" w14:textId="27BA256F" w:rsidR="00417AD3" w:rsidRPr="00FC120C"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1 (</w:t>
            </w:r>
            <w:r w:rsidRPr="00FC120C">
              <w:t>5.</w:t>
            </w:r>
            <w:r w:rsidR="0095237E">
              <w:t>3</w:t>
            </w:r>
            <w:r w:rsidRPr="00FC120C">
              <w:t>%</w:t>
            </w:r>
            <w:r>
              <w:t>)</w:t>
            </w:r>
          </w:p>
        </w:tc>
        <w:tc>
          <w:tcPr>
            <w:tcW w:w="833" w:type="pct"/>
          </w:tcPr>
          <w:p w14:paraId="175160F5" w14:textId="349F5759" w:rsidR="00417AD3" w:rsidRPr="00FC120C"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9 (</w:t>
            </w:r>
            <w:r w:rsidRPr="00FC120C">
              <w:t>47.</w:t>
            </w:r>
            <w:r w:rsidR="00D7759F">
              <w:t>4</w:t>
            </w:r>
            <w:r w:rsidRPr="00FC120C">
              <w:t>%</w:t>
            </w:r>
            <w:r>
              <w:t>)</w:t>
            </w:r>
          </w:p>
        </w:tc>
      </w:tr>
      <w:tr w:rsidR="00677ED1" w:rsidRPr="009C1931" w14:paraId="708D632A"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56C68902" w14:textId="77777777" w:rsidR="00417AD3" w:rsidRDefault="00417AD3" w:rsidP="004F27F5">
            <w:pPr>
              <w:pStyle w:val="TableText"/>
            </w:pPr>
            <w:r>
              <w:rPr>
                <w:szCs w:val="18"/>
              </w:rPr>
              <w:t>Rural area</w:t>
            </w:r>
          </w:p>
        </w:tc>
        <w:tc>
          <w:tcPr>
            <w:tcW w:w="833" w:type="pct"/>
          </w:tcPr>
          <w:p w14:paraId="1982E905" w14:textId="0104E16D" w:rsidR="00417AD3" w:rsidRPr="00FC120C"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2 (</w:t>
            </w:r>
            <w:r w:rsidRPr="00FC120C">
              <w:t>22.2%</w:t>
            </w:r>
            <w:r>
              <w:t>)</w:t>
            </w:r>
          </w:p>
        </w:tc>
        <w:tc>
          <w:tcPr>
            <w:tcW w:w="833" w:type="pct"/>
          </w:tcPr>
          <w:p w14:paraId="4E322FBF" w14:textId="71B8E2DE" w:rsidR="00417AD3" w:rsidRPr="00FC120C" w:rsidRDefault="00417AD3" w:rsidP="004F27F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765E7E70" w14:textId="5D208433" w:rsidR="00417AD3" w:rsidRPr="00FC120C"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1 (</w:t>
            </w:r>
            <w:r w:rsidRPr="00FC120C">
              <w:t>11.1%</w:t>
            </w:r>
            <w:r>
              <w:t>)</w:t>
            </w:r>
          </w:p>
        </w:tc>
        <w:tc>
          <w:tcPr>
            <w:tcW w:w="833" w:type="pct"/>
          </w:tcPr>
          <w:p w14:paraId="2225768A" w14:textId="2B3ACBAC" w:rsidR="00417AD3" w:rsidRPr="00FC120C"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3 (</w:t>
            </w:r>
            <w:r w:rsidRPr="00FC120C">
              <w:t>33.3%</w:t>
            </w:r>
            <w:r>
              <w:t>)</w:t>
            </w:r>
          </w:p>
        </w:tc>
        <w:tc>
          <w:tcPr>
            <w:tcW w:w="833" w:type="pct"/>
          </w:tcPr>
          <w:p w14:paraId="12415CAF" w14:textId="5FE6D3C9" w:rsidR="00417AD3" w:rsidRPr="00FC120C" w:rsidRDefault="00417AD3" w:rsidP="004F27F5">
            <w:pPr>
              <w:pStyle w:val="TableText"/>
              <w:cnfStyle w:val="000000000000" w:firstRow="0" w:lastRow="0" w:firstColumn="0" w:lastColumn="0" w:oddVBand="0" w:evenVBand="0" w:oddHBand="0" w:evenHBand="0" w:firstRowFirstColumn="0" w:firstRowLastColumn="0" w:lastRowFirstColumn="0" w:lastRowLastColumn="0"/>
            </w:pPr>
            <w:r>
              <w:t>3 (</w:t>
            </w:r>
            <w:r w:rsidRPr="00FC120C">
              <w:t>33.3%</w:t>
            </w:r>
            <w:r>
              <w:t>)</w:t>
            </w:r>
          </w:p>
        </w:tc>
      </w:tr>
      <w:tr w:rsidR="00677ED1" w:rsidRPr="009C1931" w14:paraId="33CEC95E"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7B2227EF" w14:textId="77777777" w:rsidR="00417AD3" w:rsidRPr="00E90673" w:rsidRDefault="00417AD3" w:rsidP="004F27F5">
            <w:pPr>
              <w:pStyle w:val="TableText"/>
            </w:pPr>
            <w:r>
              <w:t>Remote community</w:t>
            </w:r>
          </w:p>
        </w:tc>
        <w:tc>
          <w:tcPr>
            <w:tcW w:w="833" w:type="pct"/>
          </w:tcPr>
          <w:p w14:paraId="6862E865" w14:textId="3348D01D" w:rsidR="00417AD3" w:rsidRPr="00FC120C" w:rsidRDefault="00417AD3" w:rsidP="004F27F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357A4C2D" w14:textId="4C0F5BBC" w:rsidR="00417AD3" w:rsidRPr="00FC120C" w:rsidRDefault="00417AD3" w:rsidP="004F27F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2FC919E3" w14:textId="437C82A0" w:rsidR="00417AD3" w:rsidRPr="00FC120C" w:rsidRDefault="00417AD3" w:rsidP="004F27F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50F2F481" w14:textId="09A44FBE" w:rsidR="00417AD3" w:rsidRPr="00FC120C" w:rsidRDefault="00417AD3" w:rsidP="004F27F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139AC6F1" w14:textId="3557B9C9" w:rsidR="00417AD3" w:rsidRPr="00FC120C" w:rsidRDefault="00417AD3" w:rsidP="004F27F5">
            <w:pPr>
              <w:pStyle w:val="TableText"/>
              <w:cnfStyle w:val="000000000000" w:firstRow="0" w:lastRow="0" w:firstColumn="0" w:lastColumn="0" w:oddVBand="0" w:evenVBand="0" w:oddHBand="0" w:evenHBand="0" w:firstRowFirstColumn="0" w:firstRowLastColumn="0" w:lastRowFirstColumn="0" w:lastRowLastColumn="0"/>
            </w:pPr>
            <w:r w:rsidRPr="00FC120C">
              <w:t>1</w:t>
            </w:r>
            <w:r>
              <w:t xml:space="preserve"> (1</w:t>
            </w:r>
            <w:r w:rsidRPr="00FC120C">
              <w:t>00.0%</w:t>
            </w:r>
            <w:r>
              <w:t>)</w:t>
            </w:r>
          </w:p>
        </w:tc>
      </w:tr>
      <w:tr w:rsidR="00677ED1" w:rsidRPr="009C1931" w14:paraId="6E12A342" w14:textId="77777777" w:rsidTr="004F27F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1F0FEF5F" w14:textId="77777777" w:rsidR="00417AD3" w:rsidRPr="006D20D0" w:rsidRDefault="00417AD3" w:rsidP="004F27F5">
            <w:pPr>
              <w:pStyle w:val="Tabletextbold"/>
              <w:rPr>
                <w:rFonts w:eastAsiaTheme="minorEastAsia" w:cs="Arial"/>
                <w:b/>
                <w:bCs/>
                <w:szCs w:val="18"/>
              </w:rPr>
            </w:pPr>
            <w:r w:rsidRPr="00C33FD2">
              <w:rPr>
                <w:b/>
                <w:bCs/>
              </w:rPr>
              <w:t>Total</w:t>
            </w:r>
            <w:r>
              <w:rPr>
                <w:rFonts w:eastAsiaTheme="minorEastAsia" w:cs="Arial"/>
                <w:b/>
                <w:bCs/>
                <w:szCs w:val="18"/>
              </w:rPr>
              <w:t>: 61 respondents</w:t>
            </w:r>
          </w:p>
        </w:tc>
        <w:tc>
          <w:tcPr>
            <w:tcW w:w="833" w:type="pct"/>
          </w:tcPr>
          <w:p w14:paraId="415EC948" w14:textId="0B64C740"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11 (18.0%)</w:t>
            </w:r>
          </w:p>
        </w:tc>
        <w:tc>
          <w:tcPr>
            <w:tcW w:w="833" w:type="pct"/>
          </w:tcPr>
          <w:p w14:paraId="6C5CAAB7" w14:textId="043F13F1"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 xml:space="preserve">1 </w:t>
            </w:r>
            <w:r w:rsidRPr="006F5F45">
              <w:rPr>
                <w:szCs w:val="20"/>
              </w:rPr>
              <w:t>(1.6%)</w:t>
            </w:r>
          </w:p>
        </w:tc>
        <w:tc>
          <w:tcPr>
            <w:tcW w:w="833" w:type="pct"/>
          </w:tcPr>
          <w:p w14:paraId="3A0E2D56" w14:textId="581EE36F"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9 (14.</w:t>
            </w:r>
            <w:r w:rsidR="0095237E" w:rsidRPr="006F5F45">
              <w:rPr>
                <w:rFonts w:eastAsiaTheme="minorEastAsia" w:cs="Arial"/>
                <w:szCs w:val="18"/>
              </w:rPr>
              <w:t>8</w:t>
            </w:r>
            <w:r w:rsidRPr="006F5F45">
              <w:rPr>
                <w:rFonts w:eastAsiaTheme="minorEastAsia" w:cs="Arial"/>
                <w:szCs w:val="18"/>
              </w:rPr>
              <w:t>%)</w:t>
            </w:r>
          </w:p>
        </w:tc>
        <w:tc>
          <w:tcPr>
            <w:tcW w:w="833" w:type="pct"/>
          </w:tcPr>
          <w:p w14:paraId="4CEE03A6" w14:textId="7F93DFB8"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12 (19.7%)</w:t>
            </w:r>
          </w:p>
        </w:tc>
        <w:tc>
          <w:tcPr>
            <w:tcW w:w="833" w:type="pct"/>
          </w:tcPr>
          <w:p w14:paraId="620ED51D" w14:textId="017F1FDA" w:rsidR="00417AD3" w:rsidRPr="006F5F45" w:rsidRDefault="00417AD3" w:rsidP="004F27F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28 (45.9%)</w:t>
            </w:r>
          </w:p>
        </w:tc>
      </w:tr>
    </w:tbl>
    <w:p w14:paraId="2FFD22F5" w14:textId="148A7992" w:rsidR="00BD1782" w:rsidRPr="00C76D17" w:rsidRDefault="00BD1782" w:rsidP="0000013E">
      <w:pPr>
        <w:pStyle w:val="Caption-Source"/>
      </w:pPr>
      <w:r w:rsidRPr="00C76D17">
        <w:t xml:space="preserve">Source: </w:t>
      </w:r>
      <w:r w:rsidR="00435DC4">
        <w:t>Independent reviewer</w:t>
      </w:r>
      <w:r w:rsidR="00584D02" w:rsidRPr="00C76D17">
        <w:t xml:space="preserve"> (</w:t>
      </w:r>
      <w:r w:rsidRPr="00C76D17">
        <w:t>2025</w:t>
      </w:r>
      <w:r w:rsidR="00584D02" w:rsidRPr="00C76D17">
        <w:t>)</w:t>
      </w:r>
    </w:p>
    <w:p w14:paraId="726E0BC1" w14:textId="164B4104" w:rsidR="004F27F5" w:rsidRDefault="004F27F5" w:rsidP="004F27F5">
      <w:pPr>
        <w:pStyle w:val="Caption"/>
      </w:pPr>
      <w:bookmarkStart w:id="234" w:name="_Toc207348626"/>
      <w:r>
        <w:t xml:space="preserve">Table </w:t>
      </w:r>
      <w:r>
        <w:fldChar w:fldCharType="begin"/>
      </w:r>
      <w:r>
        <w:instrText xml:space="preserve"> SEQ Table \* ARABIC </w:instrText>
      </w:r>
      <w:r>
        <w:fldChar w:fldCharType="separate"/>
      </w:r>
      <w:r>
        <w:rPr>
          <w:noProof/>
        </w:rPr>
        <w:t>61</w:t>
      </w:r>
      <w:r>
        <w:rPr>
          <w:noProof/>
        </w:rPr>
        <w:fldChar w:fldCharType="end"/>
      </w:r>
      <w:r>
        <w:t xml:space="preserve">: </w:t>
      </w:r>
      <w:r w:rsidRPr="00751947">
        <w:t xml:space="preserve">Responses by </w:t>
      </w:r>
      <w:r>
        <w:t>prosthesis type</w:t>
      </w:r>
      <w:r w:rsidRPr="00751947">
        <w:t xml:space="preserve"> to Statement 3</w:t>
      </w:r>
      <w:bookmarkEnd w:id="234"/>
    </w:p>
    <w:tbl>
      <w:tblPr>
        <w:tblStyle w:val="KPMGTable"/>
        <w:tblW w:w="5000" w:type="pct"/>
        <w:tblLook w:val="04A0" w:firstRow="1" w:lastRow="0" w:firstColumn="1" w:lastColumn="0" w:noHBand="0" w:noVBand="1"/>
      </w:tblPr>
      <w:tblGrid>
        <w:gridCol w:w="1701"/>
        <w:gridCol w:w="1701"/>
        <w:gridCol w:w="1701"/>
        <w:gridCol w:w="1701"/>
        <w:gridCol w:w="1700"/>
        <w:gridCol w:w="1700"/>
      </w:tblGrid>
      <w:tr w:rsidR="00AD6F37" w:rsidRPr="00386CBC" w14:paraId="683C6313"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833" w:type="pct"/>
          </w:tcPr>
          <w:p w14:paraId="33054734" w14:textId="77777777" w:rsidR="00417AD3" w:rsidRPr="007B154A" w:rsidRDefault="00417AD3" w:rsidP="000E4E00">
            <w:pPr>
              <w:pStyle w:val="TableHeading"/>
              <w:rPr>
                <w:b w:val="0"/>
                <w:color w:val="FFFFFF" w:themeColor="background1"/>
                <w:szCs w:val="20"/>
              </w:rPr>
            </w:pPr>
            <w:r>
              <w:t>Response</w:t>
            </w:r>
          </w:p>
        </w:tc>
        <w:tc>
          <w:tcPr>
            <w:tcW w:w="833" w:type="pct"/>
          </w:tcPr>
          <w:p w14:paraId="6C896E14" w14:textId="77777777" w:rsidR="00417AD3" w:rsidRPr="006F5F45" w:rsidRDefault="00417AD3" w:rsidP="000E4E00">
            <w:pPr>
              <w:pStyle w:val="TableHeading"/>
              <w:cnfStyle w:val="100000000000" w:firstRow="1" w:lastRow="0" w:firstColumn="0" w:lastColumn="0" w:oddVBand="0" w:evenVBand="0" w:oddHBand="0" w:evenHBand="0" w:firstRowFirstColumn="0" w:firstRowLastColumn="0" w:lastRowFirstColumn="0" w:lastRowLastColumn="0"/>
              <w:rPr>
                <w:szCs w:val="20"/>
              </w:rPr>
            </w:pPr>
            <w:r w:rsidRPr="006F5F45">
              <w:t xml:space="preserve">Strongly </w:t>
            </w:r>
            <w:r w:rsidRPr="006F5F45">
              <w:rPr>
                <w:szCs w:val="20"/>
              </w:rPr>
              <w:t>disagree</w:t>
            </w:r>
          </w:p>
        </w:tc>
        <w:tc>
          <w:tcPr>
            <w:tcW w:w="833" w:type="pct"/>
          </w:tcPr>
          <w:p w14:paraId="6F50ED73" w14:textId="77777777" w:rsidR="00417AD3" w:rsidRPr="006F5F45" w:rsidRDefault="00417AD3" w:rsidP="000E4E00">
            <w:pPr>
              <w:pStyle w:val="TableHeading"/>
              <w:cnfStyle w:val="100000000000" w:firstRow="1" w:lastRow="0" w:firstColumn="0" w:lastColumn="0" w:oddVBand="0" w:evenVBand="0" w:oddHBand="0" w:evenHBand="0" w:firstRowFirstColumn="0" w:firstRowLastColumn="0" w:lastRowFirstColumn="0" w:lastRowLastColumn="0"/>
              <w:rPr>
                <w:color w:val="FFFFFF" w:themeColor="background1"/>
                <w:szCs w:val="20"/>
              </w:rPr>
            </w:pPr>
            <w:r w:rsidRPr="006F5F45">
              <w:t>Somewhat disagree</w:t>
            </w:r>
          </w:p>
        </w:tc>
        <w:tc>
          <w:tcPr>
            <w:tcW w:w="833" w:type="pct"/>
          </w:tcPr>
          <w:p w14:paraId="0EB23C1B" w14:textId="77777777" w:rsidR="00417AD3" w:rsidRPr="006F5F45" w:rsidRDefault="00417AD3" w:rsidP="000E4E00">
            <w:pPr>
              <w:pStyle w:val="TableHeading"/>
              <w:cnfStyle w:val="100000000000" w:firstRow="1" w:lastRow="0" w:firstColumn="0" w:lastColumn="0" w:oddVBand="0" w:evenVBand="0" w:oddHBand="0" w:evenHBand="0" w:firstRowFirstColumn="0" w:firstRowLastColumn="0" w:lastRowFirstColumn="0" w:lastRowLastColumn="0"/>
              <w:rPr>
                <w:color w:val="FFFFFF" w:themeColor="background1"/>
                <w:szCs w:val="20"/>
              </w:rPr>
            </w:pPr>
            <w:r w:rsidRPr="006F5F45">
              <w:t>Neither agree nor disagree</w:t>
            </w:r>
          </w:p>
        </w:tc>
        <w:tc>
          <w:tcPr>
            <w:tcW w:w="833" w:type="pct"/>
          </w:tcPr>
          <w:p w14:paraId="66B89DDD" w14:textId="77777777" w:rsidR="00417AD3" w:rsidRPr="006F5F45" w:rsidRDefault="00417AD3" w:rsidP="000E4E00">
            <w:pPr>
              <w:pStyle w:val="TableHeading"/>
              <w:cnfStyle w:val="100000000000" w:firstRow="1" w:lastRow="0" w:firstColumn="0" w:lastColumn="0" w:oddVBand="0" w:evenVBand="0" w:oddHBand="0" w:evenHBand="0" w:firstRowFirstColumn="0" w:firstRowLastColumn="0" w:lastRowFirstColumn="0" w:lastRowLastColumn="0"/>
              <w:rPr>
                <w:color w:val="FFFFFF" w:themeColor="background1"/>
                <w:szCs w:val="20"/>
              </w:rPr>
            </w:pPr>
            <w:r w:rsidRPr="006F5F45">
              <w:t>Somewhat agree</w:t>
            </w:r>
          </w:p>
        </w:tc>
        <w:tc>
          <w:tcPr>
            <w:tcW w:w="833" w:type="pct"/>
          </w:tcPr>
          <w:p w14:paraId="538D211E" w14:textId="77777777" w:rsidR="00417AD3" w:rsidRPr="006F5F45" w:rsidRDefault="00417AD3" w:rsidP="000E4E00">
            <w:pPr>
              <w:pStyle w:val="TableHeading"/>
              <w:cnfStyle w:val="100000000000" w:firstRow="1" w:lastRow="0" w:firstColumn="0" w:lastColumn="0" w:oddVBand="0" w:evenVBand="0" w:oddHBand="0" w:evenHBand="0" w:firstRowFirstColumn="0" w:firstRowLastColumn="0" w:lastRowFirstColumn="0" w:lastRowLastColumn="0"/>
              <w:rPr>
                <w:color w:val="FFFFFF" w:themeColor="background1"/>
                <w:szCs w:val="20"/>
              </w:rPr>
            </w:pPr>
            <w:r w:rsidRPr="006F5F45">
              <w:t>Strongly agree</w:t>
            </w:r>
          </w:p>
        </w:tc>
      </w:tr>
      <w:tr w:rsidR="00677ED1" w:rsidRPr="006D20D0" w14:paraId="605F9C97" w14:textId="77777777" w:rsidTr="000E4E00">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6FB1AE4F" w14:textId="77777777" w:rsidR="00417AD3" w:rsidRPr="00E90673" w:rsidRDefault="00417AD3" w:rsidP="000E4E00">
            <w:pPr>
              <w:pStyle w:val="TableText"/>
            </w:pPr>
            <w:r>
              <w:t>Facial prosthesis</w:t>
            </w:r>
          </w:p>
        </w:tc>
        <w:tc>
          <w:tcPr>
            <w:tcW w:w="833" w:type="pct"/>
          </w:tcPr>
          <w:p w14:paraId="0E7907CF" w14:textId="0B58DB5E" w:rsidR="00417AD3" w:rsidRPr="00453803" w:rsidRDefault="006A7969" w:rsidP="000E4E00">
            <w:pPr>
              <w:pStyle w:val="TableText"/>
              <w:cnfStyle w:val="000000000000" w:firstRow="0" w:lastRow="0" w:firstColumn="0" w:lastColumn="0" w:oddVBand="0" w:evenVBand="0" w:oddHBand="0" w:evenHBand="0" w:firstRowFirstColumn="0" w:firstRowLastColumn="0" w:lastRowFirstColumn="0" w:lastRowLastColumn="0"/>
            </w:pPr>
            <w:r>
              <w:t>5</w:t>
            </w:r>
            <w:r w:rsidR="00417AD3">
              <w:t xml:space="preserve"> (</w:t>
            </w:r>
            <w:r w:rsidR="00BA3B7E">
              <w:t>12.8</w:t>
            </w:r>
            <w:r w:rsidR="00417AD3" w:rsidRPr="00453803">
              <w:t>%</w:t>
            </w:r>
            <w:r w:rsidR="00417AD3">
              <w:t>)</w:t>
            </w:r>
          </w:p>
        </w:tc>
        <w:tc>
          <w:tcPr>
            <w:tcW w:w="833" w:type="pct"/>
          </w:tcPr>
          <w:p w14:paraId="542D5475" w14:textId="1BCF726A" w:rsidR="00417AD3" w:rsidRPr="00453803" w:rsidRDefault="00417AD3" w:rsidP="000E4E00">
            <w:pPr>
              <w:pStyle w:val="TableText"/>
              <w:cnfStyle w:val="000000000000" w:firstRow="0" w:lastRow="0" w:firstColumn="0" w:lastColumn="0" w:oddVBand="0" w:evenVBand="0" w:oddHBand="0" w:evenHBand="0" w:firstRowFirstColumn="0" w:firstRowLastColumn="0" w:lastRowFirstColumn="0" w:lastRowLastColumn="0"/>
            </w:pPr>
            <w:r>
              <w:t>1 (</w:t>
            </w:r>
            <w:r w:rsidR="00BA3B7E">
              <w:t>2.</w:t>
            </w:r>
            <w:r w:rsidRPr="00453803">
              <w:t>3%</w:t>
            </w:r>
            <w:r>
              <w:t>)</w:t>
            </w:r>
          </w:p>
        </w:tc>
        <w:tc>
          <w:tcPr>
            <w:tcW w:w="833" w:type="pct"/>
          </w:tcPr>
          <w:p w14:paraId="6A0DF88C" w14:textId="403084AC" w:rsidR="00417AD3" w:rsidRPr="00453803" w:rsidRDefault="00417AD3" w:rsidP="000E4E00">
            <w:pPr>
              <w:pStyle w:val="TableText"/>
              <w:cnfStyle w:val="000000000000" w:firstRow="0" w:lastRow="0" w:firstColumn="0" w:lastColumn="0" w:oddVBand="0" w:evenVBand="0" w:oddHBand="0" w:evenHBand="0" w:firstRowFirstColumn="0" w:firstRowLastColumn="0" w:lastRowFirstColumn="0" w:lastRowLastColumn="0"/>
            </w:pPr>
            <w:r>
              <w:t>4 (</w:t>
            </w:r>
            <w:r w:rsidRPr="00453803">
              <w:t>1</w:t>
            </w:r>
            <w:r w:rsidR="00BA3B7E">
              <w:t>0.3</w:t>
            </w:r>
            <w:r w:rsidRPr="00453803">
              <w:t>%</w:t>
            </w:r>
            <w:r>
              <w:t>)</w:t>
            </w:r>
          </w:p>
        </w:tc>
        <w:tc>
          <w:tcPr>
            <w:tcW w:w="833" w:type="pct"/>
          </w:tcPr>
          <w:p w14:paraId="35051037" w14:textId="7AE3B49A" w:rsidR="00417AD3" w:rsidRPr="00453803" w:rsidRDefault="006A7969" w:rsidP="000E4E00">
            <w:pPr>
              <w:pStyle w:val="TableText"/>
              <w:cnfStyle w:val="000000000000" w:firstRow="0" w:lastRow="0" w:firstColumn="0" w:lastColumn="0" w:oddVBand="0" w:evenVBand="0" w:oddHBand="0" w:evenHBand="0" w:firstRowFirstColumn="0" w:firstRowLastColumn="0" w:lastRowFirstColumn="0" w:lastRowLastColumn="0"/>
            </w:pPr>
            <w:r>
              <w:t>7</w:t>
            </w:r>
            <w:r w:rsidR="00417AD3">
              <w:t xml:space="preserve"> (</w:t>
            </w:r>
            <w:r w:rsidR="00417AD3" w:rsidRPr="00453803">
              <w:t>1</w:t>
            </w:r>
            <w:r w:rsidR="00883D08">
              <w:t>7</w:t>
            </w:r>
            <w:r w:rsidR="00417AD3" w:rsidRPr="00453803">
              <w:t>.9%</w:t>
            </w:r>
            <w:r w:rsidR="00417AD3">
              <w:t>)</w:t>
            </w:r>
          </w:p>
        </w:tc>
        <w:tc>
          <w:tcPr>
            <w:tcW w:w="833" w:type="pct"/>
          </w:tcPr>
          <w:p w14:paraId="1E4BE367" w14:textId="37DD0CA2" w:rsidR="00417AD3" w:rsidRPr="00453803" w:rsidRDefault="006A7969" w:rsidP="000E4E00">
            <w:pPr>
              <w:pStyle w:val="TableText"/>
              <w:cnfStyle w:val="000000000000" w:firstRow="0" w:lastRow="0" w:firstColumn="0" w:lastColumn="0" w:oddVBand="0" w:evenVBand="0" w:oddHBand="0" w:evenHBand="0" w:firstRowFirstColumn="0" w:firstRowLastColumn="0" w:lastRowFirstColumn="0" w:lastRowLastColumn="0"/>
            </w:pPr>
            <w:r>
              <w:t>22</w:t>
            </w:r>
            <w:r w:rsidR="00417AD3">
              <w:t xml:space="preserve"> (</w:t>
            </w:r>
            <w:r w:rsidR="00883D08">
              <w:t>56.4</w:t>
            </w:r>
            <w:r w:rsidR="00417AD3" w:rsidRPr="00453803">
              <w:t>%</w:t>
            </w:r>
            <w:r w:rsidR="00417AD3">
              <w:t>)</w:t>
            </w:r>
          </w:p>
        </w:tc>
      </w:tr>
      <w:tr w:rsidR="00677ED1" w:rsidRPr="009C1931" w14:paraId="5E403350" w14:textId="77777777" w:rsidTr="000E4E00">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4F073335" w14:textId="77777777" w:rsidR="00417AD3" w:rsidRPr="005C4C25" w:rsidRDefault="00417AD3" w:rsidP="000E4E00">
            <w:pPr>
              <w:pStyle w:val="TableText"/>
            </w:pPr>
            <w:r w:rsidRPr="005C4C25">
              <w:t>An artificial breast worn in the bra</w:t>
            </w:r>
          </w:p>
        </w:tc>
        <w:tc>
          <w:tcPr>
            <w:tcW w:w="833" w:type="pct"/>
          </w:tcPr>
          <w:p w14:paraId="624456BD" w14:textId="7857FF7B" w:rsidR="00417AD3" w:rsidRPr="00453803" w:rsidRDefault="00417AD3" w:rsidP="000E4E00">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72C06C5F" w14:textId="565C94C5" w:rsidR="00417AD3" w:rsidRPr="00453803" w:rsidRDefault="00417AD3" w:rsidP="000E4E00">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5B0A5EF0" w14:textId="58E2816B" w:rsidR="00417AD3" w:rsidRPr="00453803" w:rsidRDefault="00417AD3" w:rsidP="000E4E00">
            <w:pPr>
              <w:pStyle w:val="TableText"/>
              <w:cnfStyle w:val="000000000000" w:firstRow="0" w:lastRow="0" w:firstColumn="0" w:lastColumn="0" w:oddVBand="0" w:evenVBand="0" w:oddHBand="0" w:evenHBand="0" w:firstRowFirstColumn="0" w:firstRowLastColumn="0" w:lastRowFirstColumn="0" w:lastRowLastColumn="0"/>
            </w:pPr>
            <w:r>
              <w:t>1 (</w:t>
            </w:r>
            <w:r w:rsidRPr="00453803">
              <w:t>33.3%</w:t>
            </w:r>
            <w:r>
              <w:t>)</w:t>
            </w:r>
          </w:p>
        </w:tc>
        <w:tc>
          <w:tcPr>
            <w:tcW w:w="833" w:type="pct"/>
          </w:tcPr>
          <w:p w14:paraId="37E902B7" w14:textId="2CECCDD0" w:rsidR="00417AD3" w:rsidRPr="00453803" w:rsidRDefault="00417AD3" w:rsidP="000E4E00">
            <w:pPr>
              <w:pStyle w:val="TableText"/>
              <w:cnfStyle w:val="000000000000" w:firstRow="0" w:lastRow="0" w:firstColumn="0" w:lastColumn="0" w:oddVBand="0" w:evenVBand="0" w:oddHBand="0" w:evenHBand="0" w:firstRowFirstColumn="0" w:firstRowLastColumn="0" w:lastRowFirstColumn="0" w:lastRowLastColumn="0"/>
            </w:pPr>
            <w:r>
              <w:t>2 (</w:t>
            </w:r>
            <w:r w:rsidRPr="00453803">
              <w:t>66.7%</w:t>
            </w:r>
            <w:r>
              <w:t>)</w:t>
            </w:r>
          </w:p>
        </w:tc>
        <w:tc>
          <w:tcPr>
            <w:tcW w:w="833" w:type="pct"/>
          </w:tcPr>
          <w:p w14:paraId="011A050B" w14:textId="6C8A45D9" w:rsidR="00417AD3" w:rsidRPr="00453803" w:rsidRDefault="00417AD3" w:rsidP="000E4E00">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r>
      <w:tr w:rsidR="00677ED1" w:rsidRPr="009C1931" w14:paraId="1D22EEDD" w14:textId="77777777" w:rsidTr="000E4E00">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4BF652BB" w14:textId="77777777" w:rsidR="00417AD3" w:rsidRPr="005C4C25" w:rsidRDefault="00417AD3" w:rsidP="000E4E00">
            <w:pPr>
              <w:pStyle w:val="TableText"/>
            </w:pPr>
            <w:r w:rsidRPr="005C4C25">
              <w:t>Voice prostheses</w:t>
            </w:r>
          </w:p>
        </w:tc>
        <w:tc>
          <w:tcPr>
            <w:tcW w:w="833" w:type="pct"/>
          </w:tcPr>
          <w:p w14:paraId="43D0B157" w14:textId="73146725" w:rsidR="00417AD3" w:rsidRPr="00453803" w:rsidRDefault="00417AD3" w:rsidP="000E4E00">
            <w:pPr>
              <w:pStyle w:val="TableText"/>
              <w:cnfStyle w:val="000000000000" w:firstRow="0" w:lastRow="0" w:firstColumn="0" w:lastColumn="0" w:oddVBand="0" w:evenVBand="0" w:oddHBand="0" w:evenHBand="0" w:firstRowFirstColumn="0" w:firstRowLastColumn="0" w:lastRowFirstColumn="0" w:lastRowLastColumn="0"/>
            </w:pPr>
            <w:r>
              <w:t>5 (</w:t>
            </w:r>
            <w:r w:rsidRPr="00453803">
              <w:t>38.</w:t>
            </w:r>
            <w:r w:rsidR="00D7759F">
              <w:t>5</w:t>
            </w:r>
            <w:r w:rsidRPr="00453803">
              <w:t>%</w:t>
            </w:r>
            <w:r>
              <w:t>)</w:t>
            </w:r>
          </w:p>
        </w:tc>
        <w:tc>
          <w:tcPr>
            <w:tcW w:w="833" w:type="pct"/>
          </w:tcPr>
          <w:p w14:paraId="3830358A" w14:textId="57D9DB17" w:rsidR="00417AD3" w:rsidRPr="00453803" w:rsidRDefault="00417AD3" w:rsidP="000E4E00">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2C82CE4B" w14:textId="2BA892A7" w:rsidR="00417AD3" w:rsidRPr="00453803" w:rsidRDefault="00417AD3" w:rsidP="000E4E00">
            <w:pPr>
              <w:pStyle w:val="TableText"/>
              <w:cnfStyle w:val="000000000000" w:firstRow="0" w:lastRow="0" w:firstColumn="0" w:lastColumn="0" w:oddVBand="0" w:evenVBand="0" w:oddHBand="0" w:evenHBand="0" w:firstRowFirstColumn="0" w:firstRowLastColumn="0" w:lastRowFirstColumn="0" w:lastRowLastColumn="0"/>
            </w:pPr>
            <w:r>
              <w:t>5 (</w:t>
            </w:r>
            <w:r w:rsidRPr="00453803">
              <w:t>38.</w:t>
            </w:r>
            <w:r w:rsidR="00D7759F">
              <w:t>5</w:t>
            </w:r>
            <w:r w:rsidRPr="00453803">
              <w:t>%</w:t>
            </w:r>
            <w:r>
              <w:t>)</w:t>
            </w:r>
          </w:p>
        </w:tc>
        <w:tc>
          <w:tcPr>
            <w:tcW w:w="833" w:type="pct"/>
          </w:tcPr>
          <w:p w14:paraId="3130E0F3" w14:textId="59A94096" w:rsidR="00417AD3" w:rsidRPr="00453803" w:rsidRDefault="00417AD3" w:rsidP="000E4E00">
            <w:pPr>
              <w:pStyle w:val="TableText"/>
              <w:cnfStyle w:val="000000000000" w:firstRow="0" w:lastRow="0" w:firstColumn="0" w:lastColumn="0" w:oddVBand="0" w:evenVBand="0" w:oddHBand="0" w:evenHBand="0" w:firstRowFirstColumn="0" w:firstRowLastColumn="0" w:lastRowFirstColumn="0" w:lastRowLastColumn="0"/>
            </w:pPr>
            <w:r>
              <w:t>3 (</w:t>
            </w:r>
            <w:r w:rsidRPr="00453803">
              <w:t>23.</w:t>
            </w:r>
            <w:r w:rsidR="00D7759F">
              <w:t>1</w:t>
            </w:r>
            <w:r w:rsidRPr="00453803">
              <w:t>%</w:t>
            </w:r>
            <w:r>
              <w:t>)</w:t>
            </w:r>
          </w:p>
        </w:tc>
        <w:tc>
          <w:tcPr>
            <w:tcW w:w="833" w:type="pct"/>
          </w:tcPr>
          <w:p w14:paraId="3B328B9E" w14:textId="293F1474" w:rsidR="00417AD3" w:rsidRPr="00453803" w:rsidRDefault="00417AD3" w:rsidP="000E4E00">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r>
      <w:tr w:rsidR="00677ED1" w14:paraId="7521C366" w14:textId="77777777" w:rsidTr="000E4E00">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60324C2E" w14:textId="77777777" w:rsidR="00417AD3" w:rsidRPr="005C4C25" w:rsidRDefault="00417AD3" w:rsidP="000E4E00">
            <w:pPr>
              <w:pStyle w:val="TableText"/>
            </w:pPr>
            <w:r w:rsidRPr="005C4C25">
              <w:t>Dental prostheses</w:t>
            </w:r>
          </w:p>
        </w:tc>
        <w:tc>
          <w:tcPr>
            <w:tcW w:w="833" w:type="pct"/>
          </w:tcPr>
          <w:p w14:paraId="04A16DE3" w14:textId="171ADE7C" w:rsidR="00417AD3" w:rsidRPr="00453803" w:rsidRDefault="00D7759F" w:rsidP="000E4E00">
            <w:pPr>
              <w:pStyle w:val="TableText"/>
              <w:cnfStyle w:val="000000000000" w:firstRow="0" w:lastRow="0" w:firstColumn="0" w:lastColumn="0" w:oddVBand="0" w:evenVBand="0" w:oddHBand="0" w:evenHBand="0" w:firstRowFirstColumn="0" w:firstRowLastColumn="0" w:lastRowFirstColumn="0" w:lastRowLastColumn="0"/>
            </w:pPr>
            <w:r>
              <w:t>0 (0</w:t>
            </w:r>
            <w:r w:rsidR="00417AD3" w:rsidRPr="00453803">
              <w:t>.0%</w:t>
            </w:r>
            <w:r>
              <w:t>)</w:t>
            </w:r>
          </w:p>
        </w:tc>
        <w:tc>
          <w:tcPr>
            <w:tcW w:w="833" w:type="pct"/>
          </w:tcPr>
          <w:p w14:paraId="40014387" w14:textId="5BB6E2B0" w:rsidR="00417AD3" w:rsidRPr="00453803" w:rsidRDefault="00417AD3" w:rsidP="000E4E00">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0B887660" w14:textId="7D0EEBA1" w:rsidR="00417AD3" w:rsidRPr="00453803" w:rsidRDefault="00417AD3" w:rsidP="000E4E00">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0D31FCAC" w14:textId="4D1FAB42" w:rsidR="00417AD3" w:rsidRPr="00453803" w:rsidRDefault="00417AD3" w:rsidP="000E4E00">
            <w:pPr>
              <w:pStyle w:val="TableText"/>
              <w:cnfStyle w:val="000000000000" w:firstRow="0" w:lastRow="0" w:firstColumn="0" w:lastColumn="0" w:oddVBand="0" w:evenVBand="0" w:oddHBand="0" w:evenHBand="0" w:firstRowFirstColumn="0" w:firstRowLastColumn="0" w:lastRowFirstColumn="0" w:lastRowLastColumn="0"/>
            </w:pPr>
            <w:r>
              <w:t>1 (</w:t>
            </w:r>
            <w:r w:rsidRPr="00453803">
              <w:t>11.1%</w:t>
            </w:r>
            <w:r>
              <w:t>)</w:t>
            </w:r>
          </w:p>
        </w:tc>
        <w:tc>
          <w:tcPr>
            <w:tcW w:w="833" w:type="pct"/>
          </w:tcPr>
          <w:p w14:paraId="51B70403" w14:textId="74005F9C" w:rsidR="00417AD3" w:rsidRPr="00453803" w:rsidRDefault="00417AD3" w:rsidP="000E4E00">
            <w:pPr>
              <w:pStyle w:val="TableText"/>
              <w:cnfStyle w:val="000000000000" w:firstRow="0" w:lastRow="0" w:firstColumn="0" w:lastColumn="0" w:oddVBand="0" w:evenVBand="0" w:oddHBand="0" w:evenHBand="0" w:firstRowFirstColumn="0" w:firstRowLastColumn="0" w:lastRowFirstColumn="0" w:lastRowLastColumn="0"/>
            </w:pPr>
            <w:r>
              <w:t>8 (</w:t>
            </w:r>
            <w:r w:rsidRPr="00453803">
              <w:t>88.9%</w:t>
            </w:r>
            <w:r>
              <w:t>)</w:t>
            </w:r>
          </w:p>
        </w:tc>
      </w:tr>
      <w:tr w:rsidR="00677ED1" w14:paraId="6AAA174C" w14:textId="77777777" w:rsidTr="000E4E00">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2B5217DE" w14:textId="77777777" w:rsidR="00417AD3" w:rsidRPr="005C4C25" w:rsidRDefault="00417AD3" w:rsidP="000E4E00">
            <w:pPr>
              <w:pStyle w:val="TableText"/>
            </w:pPr>
            <w:r>
              <w:t>Fat grafting</w:t>
            </w:r>
          </w:p>
        </w:tc>
        <w:tc>
          <w:tcPr>
            <w:tcW w:w="833" w:type="pct"/>
          </w:tcPr>
          <w:p w14:paraId="076A6436" w14:textId="7CD5EED2" w:rsidR="00417AD3" w:rsidRPr="00453803" w:rsidRDefault="00417AD3" w:rsidP="000E4E00">
            <w:pPr>
              <w:pStyle w:val="TableText"/>
              <w:cnfStyle w:val="000000000000" w:firstRow="0" w:lastRow="0" w:firstColumn="0" w:lastColumn="0" w:oddVBand="0" w:evenVBand="0" w:oddHBand="0" w:evenHBand="0" w:firstRowFirstColumn="0" w:firstRowLastColumn="0" w:lastRowFirstColumn="0" w:lastRowLastColumn="0"/>
            </w:pPr>
            <w:r>
              <w:t>1 (</w:t>
            </w:r>
            <w:r w:rsidRPr="00453803">
              <w:t>100.0%</w:t>
            </w:r>
            <w:r>
              <w:t>)</w:t>
            </w:r>
          </w:p>
        </w:tc>
        <w:tc>
          <w:tcPr>
            <w:tcW w:w="833" w:type="pct"/>
          </w:tcPr>
          <w:p w14:paraId="179326D0" w14:textId="122351E8" w:rsidR="00417AD3" w:rsidRPr="00453803" w:rsidRDefault="00417AD3" w:rsidP="000E4E00">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0344C013" w14:textId="40726CF5" w:rsidR="00417AD3" w:rsidRPr="00453803" w:rsidRDefault="00417AD3" w:rsidP="000E4E00">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7F894974" w14:textId="52F9EAFA" w:rsidR="00417AD3" w:rsidRPr="00453803" w:rsidRDefault="00417AD3" w:rsidP="000E4E00">
            <w:pPr>
              <w:pStyle w:val="TableText"/>
              <w:cnfStyle w:val="000000000000" w:firstRow="0" w:lastRow="0" w:firstColumn="0" w:lastColumn="0" w:oddVBand="0" w:evenVBand="0" w:oddHBand="0" w:evenHBand="0" w:firstRowFirstColumn="0" w:firstRowLastColumn="0" w:lastRowFirstColumn="0" w:lastRowLastColumn="0"/>
            </w:pPr>
            <w:r w:rsidRPr="0024748B">
              <w:rPr>
                <w:szCs w:val="18"/>
              </w:rPr>
              <w:t>0 (0.0%)</w:t>
            </w:r>
          </w:p>
        </w:tc>
        <w:tc>
          <w:tcPr>
            <w:tcW w:w="833" w:type="pct"/>
          </w:tcPr>
          <w:p w14:paraId="50D3DBF5" w14:textId="4D60C9B9" w:rsidR="00417AD3" w:rsidRPr="00453803" w:rsidRDefault="00417AD3" w:rsidP="000E4E00">
            <w:pPr>
              <w:pStyle w:val="TableText"/>
              <w:cnfStyle w:val="000000000000" w:firstRow="0" w:lastRow="0" w:firstColumn="0" w:lastColumn="0" w:oddVBand="0" w:evenVBand="0" w:oddHBand="0" w:evenHBand="0" w:firstRowFirstColumn="0" w:firstRowLastColumn="0" w:lastRowFirstColumn="0" w:lastRowLastColumn="0"/>
            </w:pPr>
            <w:r w:rsidRPr="0024748B">
              <w:rPr>
                <w:szCs w:val="18"/>
              </w:rPr>
              <w:t>0 (0.0%)</w:t>
            </w:r>
          </w:p>
        </w:tc>
      </w:tr>
      <w:tr w:rsidR="00677ED1" w:rsidRPr="009C1931" w14:paraId="30BD70E4" w14:textId="77777777" w:rsidTr="000E4E00">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1A4CC1E3" w14:textId="77777777" w:rsidR="00417AD3" w:rsidRPr="006D20D0" w:rsidRDefault="00417AD3" w:rsidP="000E4E00">
            <w:pPr>
              <w:pStyle w:val="Tabletextbold"/>
              <w:rPr>
                <w:rFonts w:eastAsiaTheme="minorEastAsia" w:cs="Arial"/>
                <w:b/>
                <w:bCs/>
                <w:szCs w:val="18"/>
              </w:rPr>
            </w:pPr>
            <w:r w:rsidRPr="00C33FD2">
              <w:rPr>
                <w:b/>
                <w:bCs/>
              </w:rPr>
              <w:t>Total</w:t>
            </w:r>
            <w:r>
              <w:rPr>
                <w:rFonts w:eastAsiaTheme="minorEastAsia" w:cs="Arial"/>
                <w:b/>
                <w:bCs/>
                <w:szCs w:val="18"/>
              </w:rPr>
              <w:t>: 65 respondents</w:t>
            </w:r>
          </w:p>
        </w:tc>
        <w:tc>
          <w:tcPr>
            <w:tcW w:w="833" w:type="pct"/>
          </w:tcPr>
          <w:p w14:paraId="0DB6DDEF" w14:textId="3637DBD6" w:rsidR="00417AD3" w:rsidRPr="006F5F45" w:rsidRDefault="00417AD3" w:rsidP="000E4E0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11 (16.9%)</w:t>
            </w:r>
          </w:p>
        </w:tc>
        <w:tc>
          <w:tcPr>
            <w:tcW w:w="833" w:type="pct"/>
          </w:tcPr>
          <w:p w14:paraId="3B6CE3B4" w14:textId="7009EE32" w:rsidR="00417AD3" w:rsidRPr="006F5F45" w:rsidRDefault="00417AD3" w:rsidP="000E4E0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 xml:space="preserve">1 </w:t>
            </w:r>
            <w:r w:rsidRPr="006F5F45">
              <w:rPr>
                <w:szCs w:val="20"/>
              </w:rPr>
              <w:t>(1.5%)</w:t>
            </w:r>
          </w:p>
        </w:tc>
        <w:tc>
          <w:tcPr>
            <w:tcW w:w="833" w:type="pct"/>
          </w:tcPr>
          <w:p w14:paraId="5B684DFA" w14:textId="4CCF1942" w:rsidR="00417AD3" w:rsidRPr="006F5F45" w:rsidRDefault="00417AD3" w:rsidP="000E4E0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10 (15.</w:t>
            </w:r>
            <w:r w:rsidR="00D7759F" w:rsidRPr="006F5F45">
              <w:rPr>
                <w:rFonts w:eastAsiaTheme="minorEastAsia" w:cs="Arial"/>
                <w:szCs w:val="18"/>
              </w:rPr>
              <w:t>4</w:t>
            </w:r>
            <w:r w:rsidRPr="006F5F45">
              <w:rPr>
                <w:rFonts w:eastAsiaTheme="minorEastAsia" w:cs="Arial"/>
                <w:szCs w:val="18"/>
              </w:rPr>
              <w:t>%)</w:t>
            </w:r>
          </w:p>
        </w:tc>
        <w:tc>
          <w:tcPr>
            <w:tcW w:w="833" w:type="pct"/>
          </w:tcPr>
          <w:p w14:paraId="4B8444A4" w14:textId="32F4674F" w:rsidR="00417AD3" w:rsidRPr="006F5F45" w:rsidRDefault="00417AD3" w:rsidP="000E4E0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13 (200%)</w:t>
            </w:r>
          </w:p>
        </w:tc>
        <w:tc>
          <w:tcPr>
            <w:tcW w:w="833" w:type="pct"/>
          </w:tcPr>
          <w:p w14:paraId="2C4A12BC" w14:textId="3A3C2BFE" w:rsidR="00417AD3" w:rsidRPr="006F5F45" w:rsidRDefault="00417AD3" w:rsidP="000E4E0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 xml:space="preserve">30 </w:t>
            </w:r>
            <w:r w:rsidRPr="006F5F45">
              <w:rPr>
                <w:rFonts w:eastAsiaTheme="minorEastAsia" w:cs="Arial"/>
                <w:szCs w:val="18"/>
              </w:rPr>
              <w:t>(46.</w:t>
            </w:r>
            <w:r w:rsidR="00D7759F" w:rsidRPr="006F5F45">
              <w:rPr>
                <w:rFonts w:eastAsiaTheme="minorEastAsia" w:cs="Arial"/>
                <w:szCs w:val="18"/>
              </w:rPr>
              <w:t>2</w:t>
            </w:r>
            <w:r w:rsidRPr="006F5F45">
              <w:rPr>
                <w:rFonts w:eastAsiaTheme="minorEastAsia" w:cs="Arial"/>
                <w:szCs w:val="18"/>
              </w:rPr>
              <w:t>%)</w:t>
            </w:r>
          </w:p>
        </w:tc>
      </w:tr>
    </w:tbl>
    <w:p w14:paraId="23959655" w14:textId="170FB361" w:rsidR="00BD1782" w:rsidRPr="00C76D17" w:rsidRDefault="00BD1782" w:rsidP="000E4E00">
      <w:pPr>
        <w:pStyle w:val="Caption-Source"/>
      </w:pPr>
      <w:r w:rsidRPr="00C76D17">
        <w:t xml:space="preserve">Source: </w:t>
      </w:r>
      <w:r w:rsidR="00435DC4">
        <w:t>Independent reviewer</w:t>
      </w:r>
      <w:r w:rsidR="00584D02" w:rsidRPr="00C76D17">
        <w:t xml:space="preserve"> (</w:t>
      </w:r>
      <w:r w:rsidRPr="00C76D17">
        <w:t>2025</w:t>
      </w:r>
      <w:r w:rsidR="00584D02" w:rsidRPr="00C76D17">
        <w:t>)</w:t>
      </w:r>
    </w:p>
    <w:p w14:paraId="134506E7" w14:textId="77777777" w:rsidR="00C33FD2" w:rsidRPr="0042443F" w:rsidRDefault="00C33FD2" w:rsidP="00A10684">
      <w:pPr>
        <w:rPr>
          <w:rStyle w:val="Strong"/>
        </w:rPr>
      </w:pPr>
      <w:r w:rsidRPr="0042443F">
        <w:rPr>
          <w:rStyle w:val="Strong"/>
        </w:rPr>
        <w:br w:type="page"/>
      </w:r>
    </w:p>
    <w:p w14:paraId="169B86B7" w14:textId="53BC0171" w:rsidR="00157845" w:rsidRPr="0042443F" w:rsidRDefault="000E4E00" w:rsidP="000E4E00">
      <w:pPr>
        <w:spacing w:before="0" w:after="160" w:line="259" w:lineRule="auto"/>
        <w:rPr>
          <w:rStyle w:val="Strong"/>
        </w:rPr>
      </w:pPr>
      <w:r w:rsidRPr="0042443F">
        <w:rPr>
          <w:rStyle w:val="Strong"/>
        </w:rPr>
        <w:t xml:space="preserve">Statement 4: </w:t>
      </w:r>
      <w:r w:rsidR="00157845" w:rsidRPr="0042443F">
        <w:rPr>
          <w:rStyle w:val="Strong"/>
        </w:rPr>
        <w:t xml:space="preserve">There was a long wait time to receive access to a prosthesis </w:t>
      </w:r>
    </w:p>
    <w:p w14:paraId="1E35D2B4" w14:textId="7E7DBD65" w:rsidR="00C6535A" w:rsidRDefault="00C6535A" w:rsidP="00C6535A">
      <w:pPr>
        <w:pStyle w:val="Caption"/>
      </w:pPr>
      <w:bookmarkStart w:id="235" w:name="_Toc207348627"/>
      <w:r>
        <w:t xml:space="preserve">Table </w:t>
      </w:r>
      <w:r w:rsidR="00E6799D">
        <w:fldChar w:fldCharType="begin"/>
      </w:r>
      <w:r w:rsidR="00E6799D">
        <w:instrText xml:space="preserve"> SEQ Table \* ARABIC </w:instrText>
      </w:r>
      <w:r w:rsidR="00E6799D">
        <w:fldChar w:fldCharType="separate"/>
      </w:r>
      <w:r w:rsidR="00E6799D">
        <w:rPr>
          <w:noProof/>
        </w:rPr>
        <w:t>62</w:t>
      </w:r>
      <w:r w:rsidR="00E6799D">
        <w:rPr>
          <w:noProof/>
        </w:rPr>
        <w:fldChar w:fldCharType="end"/>
      </w:r>
      <w:r>
        <w:t xml:space="preserve">: </w:t>
      </w:r>
      <w:r w:rsidRPr="00320B71">
        <w:t xml:space="preserve">Responses by </w:t>
      </w:r>
      <w:r>
        <w:t>jurisdictions</w:t>
      </w:r>
      <w:r w:rsidRPr="00320B71">
        <w:t xml:space="preserve"> to Statement </w:t>
      </w:r>
      <w:r>
        <w:t>4</w:t>
      </w:r>
      <w:bookmarkEnd w:id="235"/>
    </w:p>
    <w:tbl>
      <w:tblPr>
        <w:tblStyle w:val="KPMGTable"/>
        <w:tblW w:w="5000" w:type="pct"/>
        <w:tblLook w:val="04A0" w:firstRow="1" w:lastRow="0" w:firstColumn="1" w:lastColumn="0" w:noHBand="0" w:noVBand="1"/>
      </w:tblPr>
      <w:tblGrid>
        <w:gridCol w:w="1701"/>
        <w:gridCol w:w="1701"/>
        <w:gridCol w:w="1701"/>
        <w:gridCol w:w="1701"/>
        <w:gridCol w:w="1700"/>
        <w:gridCol w:w="1700"/>
      </w:tblGrid>
      <w:tr w:rsidR="00AD6F37" w:rsidRPr="00501302" w14:paraId="1A252C72"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833" w:type="pct"/>
          </w:tcPr>
          <w:p w14:paraId="41F63F67" w14:textId="77777777" w:rsidR="00417AD3" w:rsidRPr="007B154A" w:rsidRDefault="00417AD3" w:rsidP="00C6535A">
            <w:pPr>
              <w:pStyle w:val="TableHeading"/>
              <w:rPr>
                <w:b w:val="0"/>
                <w:color w:val="FFFFFF" w:themeColor="background1"/>
                <w:szCs w:val="20"/>
              </w:rPr>
            </w:pPr>
            <w:r>
              <w:t>Response</w:t>
            </w:r>
          </w:p>
        </w:tc>
        <w:tc>
          <w:tcPr>
            <w:tcW w:w="833" w:type="pct"/>
          </w:tcPr>
          <w:p w14:paraId="1EEB1D93" w14:textId="77777777" w:rsidR="00417AD3" w:rsidRDefault="00417AD3" w:rsidP="00C6535A">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disagree</w:t>
            </w:r>
          </w:p>
        </w:tc>
        <w:tc>
          <w:tcPr>
            <w:tcW w:w="833" w:type="pct"/>
          </w:tcPr>
          <w:p w14:paraId="3CDA4AFF" w14:textId="77777777" w:rsidR="00417AD3" w:rsidRDefault="00417AD3" w:rsidP="00C6535A">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disagree</w:t>
            </w:r>
          </w:p>
        </w:tc>
        <w:tc>
          <w:tcPr>
            <w:tcW w:w="833" w:type="pct"/>
          </w:tcPr>
          <w:p w14:paraId="1D7BF420" w14:textId="77777777" w:rsidR="00417AD3" w:rsidRDefault="00417AD3" w:rsidP="00C6535A">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Neither agree nor disagree</w:t>
            </w:r>
          </w:p>
        </w:tc>
        <w:tc>
          <w:tcPr>
            <w:tcW w:w="833" w:type="pct"/>
          </w:tcPr>
          <w:p w14:paraId="37514126" w14:textId="77777777" w:rsidR="00417AD3" w:rsidRDefault="00417AD3" w:rsidP="00C6535A">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agree</w:t>
            </w:r>
          </w:p>
        </w:tc>
        <w:tc>
          <w:tcPr>
            <w:tcW w:w="833" w:type="pct"/>
          </w:tcPr>
          <w:p w14:paraId="433D1A42" w14:textId="77777777" w:rsidR="00417AD3" w:rsidRDefault="00417AD3" w:rsidP="00C6535A">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agree</w:t>
            </w:r>
          </w:p>
        </w:tc>
      </w:tr>
      <w:tr w:rsidR="002E5B6F" w:rsidRPr="00DE530D" w14:paraId="287D3303" w14:textId="77777777" w:rsidTr="00C6535A">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1F26DC6B" w14:textId="77777777" w:rsidR="00417AD3" w:rsidRPr="00E90673" w:rsidRDefault="00417AD3" w:rsidP="00C6535A">
            <w:pPr>
              <w:pStyle w:val="TableText"/>
            </w:pPr>
            <w:r>
              <w:t>New South Wales</w:t>
            </w:r>
          </w:p>
        </w:tc>
        <w:tc>
          <w:tcPr>
            <w:tcW w:w="833" w:type="pct"/>
          </w:tcPr>
          <w:p w14:paraId="30E2C7E5" w14:textId="31707D33" w:rsidR="00417AD3" w:rsidRPr="008F67E5" w:rsidRDefault="00417AD3" w:rsidP="00C6535A">
            <w:pPr>
              <w:pStyle w:val="TableText"/>
              <w:cnfStyle w:val="000000000000" w:firstRow="0" w:lastRow="0" w:firstColumn="0" w:lastColumn="0" w:oddVBand="0" w:evenVBand="0" w:oddHBand="0" w:evenHBand="0" w:firstRowFirstColumn="0" w:firstRowLastColumn="0" w:lastRowFirstColumn="0" w:lastRowLastColumn="0"/>
            </w:pPr>
            <w:r>
              <w:t>5 (</w:t>
            </w:r>
            <w:r w:rsidRPr="008F67E5">
              <w:t>13.9%</w:t>
            </w:r>
            <w:r>
              <w:t>)</w:t>
            </w:r>
          </w:p>
        </w:tc>
        <w:tc>
          <w:tcPr>
            <w:tcW w:w="833" w:type="pct"/>
          </w:tcPr>
          <w:p w14:paraId="071B5990" w14:textId="4145C6C1" w:rsidR="00417AD3" w:rsidRPr="008F67E5" w:rsidRDefault="00417AD3" w:rsidP="00C6535A">
            <w:pPr>
              <w:pStyle w:val="TableText"/>
              <w:cnfStyle w:val="000000000000" w:firstRow="0" w:lastRow="0" w:firstColumn="0" w:lastColumn="0" w:oddVBand="0" w:evenVBand="0" w:oddHBand="0" w:evenHBand="0" w:firstRowFirstColumn="0" w:firstRowLastColumn="0" w:lastRowFirstColumn="0" w:lastRowLastColumn="0"/>
            </w:pPr>
            <w:r>
              <w:t>5 (</w:t>
            </w:r>
            <w:r w:rsidRPr="008F67E5">
              <w:t>13.9%</w:t>
            </w:r>
            <w:r>
              <w:t>)</w:t>
            </w:r>
          </w:p>
        </w:tc>
        <w:tc>
          <w:tcPr>
            <w:tcW w:w="833" w:type="pct"/>
          </w:tcPr>
          <w:p w14:paraId="3F4793B9" w14:textId="536AA01D" w:rsidR="00417AD3" w:rsidRPr="008F67E5" w:rsidRDefault="00417AD3" w:rsidP="00C6535A">
            <w:pPr>
              <w:pStyle w:val="TableText"/>
              <w:cnfStyle w:val="000000000000" w:firstRow="0" w:lastRow="0" w:firstColumn="0" w:lastColumn="0" w:oddVBand="0" w:evenVBand="0" w:oddHBand="0" w:evenHBand="0" w:firstRowFirstColumn="0" w:firstRowLastColumn="0" w:lastRowFirstColumn="0" w:lastRowLastColumn="0"/>
            </w:pPr>
            <w:r>
              <w:t>6 (</w:t>
            </w:r>
            <w:r w:rsidRPr="008F67E5">
              <w:t>16.7%</w:t>
            </w:r>
            <w:r>
              <w:t>)</w:t>
            </w:r>
          </w:p>
        </w:tc>
        <w:tc>
          <w:tcPr>
            <w:tcW w:w="833" w:type="pct"/>
          </w:tcPr>
          <w:p w14:paraId="37FAF2B4" w14:textId="3F815415" w:rsidR="00417AD3" w:rsidRPr="008F67E5" w:rsidRDefault="00417AD3" w:rsidP="00C6535A">
            <w:pPr>
              <w:pStyle w:val="TableText"/>
              <w:cnfStyle w:val="000000000000" w:firstRow="0" w:lastRow="0" w:firstColumn="0" w:lastColumn="0" w:oddVBand="0" w:evenVBand="0" w:oddHBand="0" w:evenHBand="0" w:firstRowFirstColumn="0" w:firstRowLastColumn="0" w:lastRowFirstColumn="0" w:lastRowLastColumn="0"/>
            </w:pPr>
            <w:r>
              <w:t>9 (</w:t>
            </w:r>
            <w:r w:rsidRPr="008F67E5">
              <w:t>25.0%</w:t>
            </w:r>
            <w:r>
              <w:t>)</w:t>
            </w:r>
          </w:p>
        </w:tc>
        <w:tc>
          <w:tcPr>
            <w:tcW w:w="833" w:type="pct"/>
          </w:tcPr>
          <w:p w14:paraId="313DBCB5" w14:textId="7D4411A5" w:rsidR="00417AD3" w:rsidRPr="008F67E5" w:rsidRDefault="00417AD3" w:rsidP="00C6535A">
            <w:pPr>
              <w:pStyle w:val="TableText"/>
              <w:cnfStyle w:val="000000000000" w:firstRow="0" w:lastRow="0" w:firstColumn="0" w:lastColumn="0" w:oddVBand="0" w:evenVBand="0" w:oddHBand="0" w:evenHBand="0" w:firstRowFirstColumn="0" w:firstRowLastColumn="0" w:lastRowFirstColumn="0" w:lastRowLastColumn="0"/>
            </w:pPr>
            <w:r>
              <w:t>11 (</w:t>
            </w:r>
            <w:r w:rsidRPr="008F67E5">
              <w:t>30.6%</w:t>
            </w:r>
            <w:r>
              <w:t>)</w:t>
            </w:r>
          </w:p>
        </w:tc>
      </w:tr>
      <w:tr w:rsidR="002E5B6F" w:rsidRPr="00DE530D" w14:paraId="418145F2" w14:textId="77777777" w:rsidTr="00C6535A">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661AC9F6" w14:textId="77777777" w:rsidR="00417AD3" w:rsidRPr="006D20D0" w:rsidRDefault="00417AD3" w:rsidP="00C6535A">
            <w:pPr>
              <w:pStyle w:val="TableText"/>
              <w:rPr>
                <w:szCs w:val="18"/>
              </w:rPr>
            </w:pPr>
            <w:r>
              <w:rPr>
                <w:szCs w:val="18"/>
              </w:rPr>
              <w:t>Victoria</w:t>
            </w:r>
          </w:p>
        </w:tc>
        <w:tc>
          <w:tcPr>
            <w:tcW w:w="833" w:type="pct"/>
          </w:tcPr>
          <w:p w14:paraId="2CC2D456" w14:textId="437FE3C5" w:rsidR="00417AD3" w:rsidRPr="008F67E5" w:rsidRDefault="00417AD3" w:rsidP="00C6535A">
            <w:pPr>
              <w:pStyle w:val="TableText"/>
              <w:cnfStyle w:val="000000000000" w:firstRow="0" w:lastRow="0" w:firstColumn="0" w:lastColumn="0" w:oddVBand="0" w:evenVBand="0" w:oddHBand="0" w:evenHBand="0" w:firstRowFirstColumn="0" w:firstRowLastColumn="0" w:lastRowFirstColumn="0" w:lastRowLastColumn="0"/>
            </w:pPr>
            <w:r>
              <w:t>3 (</w:t>
            </w:r>
            <w:r w:rsidRPr="008F67E5">
              <w:t>50.0%</w:t>
            </w:r>
            <w:r>
              <w:t>)</w:t>
            </w:r>
          </w:p>
        </w:tc>
        <w:tc>
          <w:tcPr>
            <w:tcW w:w="833" w:type="pct"/>
          </w:tcPr>
          <w:p w14:paraId="4958A548" w14:textId="2CE6BA19" w:rsidR="00417AD3" w:rsidRPr="008F67E5" w:rsidRDefault="00417AD3" w:rsidP="00C6535A">
            <w:pPr>
              <w:pStyle w:val="TableText"/>
              <w:cnfStyle w:val="000000000000" w:firstRow="0" w:lastRow="0" w:firstColumn="0" w:lastColumn="0" w:oddVBand="0" w:evenVBand="0" w:oddHBand="0" w:evenHBand="0" w:firstRowFirstColumn="0" w:firstRowLastColumn="0" w:lastRowFirstColumn="0" w:lastRowLastColumn="0"/>
            </w:pPr>
            <w:r>
              <w:t>1 (</w:t>
            </w:r>
            <w:r w:rsidRPr="008F67E5">
              <w:t>16.7%</w:t>
            </w:r>
            <w:r>
              <w:t>)</w:t>
            </w:r>
          </w:p>
        </w:tc>
        <w:tc>
          <w:tcPr>
            <w:tcW w:w="833" w:type="pct"/>
          </w:tcPr>
          <w:p w14:paraId="68C9A447" w14:textId="3C8D6C4D" w:rsidR="00417AD3" w:rsidRPr="008F67E5" w:rsidRDefault="00417AD3" w:rsidP="00C6535A">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1AB031EE" w14:textId="5F83905B" w:rsidR="00417AD3" w:rsidRPr="008F67E5" w:rsidRDefault="00417AD3" w:rsidP="00C6535A">
            <w:pPr>
              <w:pStyle w:val="TableText"/>
              <w:cnfStyle w:val="000000000000" w:firstRow="0" w:lastRow="0" w:firstColumn="0" w:lastColumn="0" w:oddVBand="0" w:evenVBand="0" w:oddHBand="0" w:evenHBand="0" w:firstRowFirstColumn="0" w:firstRowLastColumn="0" w:lastRowFirstColumn="0" w:lastRowLastColumn="0"/>
            </w:pPr>
            <w:r>
              <w:t>2 (</w:t>
            </w:r>
            <w:r w:rsidRPr="008F67E5">
              <w:t>33.3%</w:t>
            </w:r>
            <w:r>
              <w:t>)</w:t>
            </w:r>
          </w:p>
        </w:tc>
        <w:tc>
          <w:tcPr>
            <w:tcW w:w="833" w:type="pct"/>
          </w:tcPr>
          <w:p w14:paraId="74782DC8" w14:textId="3765D816" w:rsidR="00417AD3" w:rsidRPr="008F67E5" w:rsidRDefault="00417AD3" w:rsidP="00C6535A">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r>
      <w:tr w:rsidR="002E5B6F" w:rsidRPr="00DE530D" w14:paraId="2D1261AF" w14:textId="77777777" w:rsidTr="00C6535A">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17652B29" w14:textId="77777777" w:rsidR="00417AD3" w:rsidRPr="00E90673" w:rsidRDefault="00417AD3" w:rsidP="00C6535A">
            <w:pPr>
              <w:pStyle w:val="TableText"/>
            </w:pPr>
            <w:r>
              <w:t>Queensland</w:t>
            </w:r>
          </w:p>
        </w:tc>
        <w:tc>
          <w:tcPr>
            <w:tcW w:w="833" w:type="pct"/>
          </w:tcPr>
          <w:p w14:paraId="1F3579FF" w14:textId="109926B5" w:rsidR="00417AD3" w:rsidRPr="008F67E5" w:rsidRDefault="00417AD3" w:rsidP="00C6535A">
            <w:pPr>
              <w:pStyle w:val="TableText"/>
              <w:cnfStyle w:val="000000000000" w:firstRow="0" w:lastRow="0" w:firstColumn="0" w:lastColumn="0" w:oddVBand="0" w:evenVBand="0" w:oddHBand="0" w:evenHBand="0" w:firstRowFirstColumn="0" w:firstRowLastColumn="0" w:lastRowFirstColumn="0" w:lastRowLastColumn="0"/>
            </w:pPr>
            <w:r>
              <w:t>2 (</w:t>
            </w:r>
            <w:r w:rsidRPr="008F67E5">
              <w:t>14.</w:t>
            </w:r>
            <w:r w:rsidR="00D7759F">
              <w:t>3</w:t>
            </w:r>
            <w:r w:rsidRPr="008F67E5">
              <w:t>%</w:t>
            </w:r>
            <w:r>
              <w:t>)</w:t>
            </w:r>
          </w:p>
        </w:tc>
        <w:tc>
          <w:tcPr>
            <w:tcW w:w="833" w:type="pct"/>
          </w:tcPr>
          <w:p w14:paraId="6195E4A8" w14:textId="2A7E1EB6" w:rsidR="00417AD3" w:rsidRPr="008F67E5" w:rsidRDefault="00417AD3" w:rsidP="00C6535A">
            <w:pPr>
              <w:pStyle w:val="TableText"/>
              <w:cnfStyle w:val="000000000000" w:firstRow="0" w:lastRow="0" w:firstColumn="0" w:lastColumn="0" w:oddVBand="0" w:evenVBand="0" w:oddHBand="0" w:evenHBand="0" w:firstRowFirstColumn="0" w:firstRowLastColumn="0" w:lastRowFirstColumn="0" w:lastRowLastColumn="0"/>
            </w:pPr>
            <w:r>
              <w:t>3 (</w:t>
            </w:r>
            <w:r w:rsidRPr="008F67E5">
              <w:t>21.4%</w:t>
            </w:r>
            <w:r>
              <w:t>)</w:t>
            </w:r>
          </w:p>
        </w:tc>
        <w:tc>
          <w:tcPr>
            <w:tcW w:w="833" w:type="pct"/>
          </w:tcPr>
          <w:p w14:paraId="4E71E3A3" w14:textId="478F3DA2" w:rsidR="00417AD3" w:rsidRPr="008F67E5" w:rsidRDefault="00417AD3" w:rsidP="00C6535A">
            <w:pPr>
              <w:pStyle w:val="TableText"/>
              <w:cnfStyle w:val="000000000000" w:firstRow="0" w:lastRow="0" w:firstColumn="0" w:lastColumn="0" w:oddVBand="0" w:evenVBand="0" w:oddHBand="0" w:evenHBand="0" w:firstRowFirstColumn="0" w:firstRowLastColumn="0" w:lastRowFirstColumn="0" w:lastRowLastColumn="0"/>
            </w:pPr>
            <w:r>
              <w:t>2 (</w:t>
            </w:r>
            <w:r w:rsidRPr="008F67E5">
              <w:t>14.</w:t>
            </w:r>
            <w:r w:rsidR="00D7759F">
              <w:t>3</w:t>
            </w:r>
            <w:r w:rsidRPr="008F67E5">
              <w:t>%</w:t>
            </w:r>
            <w:r>
              <w:t>)</w:t>
            </w:r>
          </w:p>
        </w:tc>
        <w:tc>
          <w:tcPr>
            <w:tcW w:w="833" w:type="pct"/>
          </w:tcPr>
          <w:p w14:paraId="0236BF8E" w14:textId="5545CE05" w:rsidR="00417AD3" w:rsidRPr="008F67E5" w:rsidRDefault="00417AD3" w:rsidP="00C6535A">
            <w:pPr>
              <w:pStyle w:val="TableText"/>
              <w:cnfStyle w:val="000000000000" w:firstRow="0" w:lastRow="0" w:firstColumn="0" w:lastColumn="0" w:oddVBand="0" w:evenVBand="0" w:oddHBand="0" w:evenHBand="0" w:firstRowFirstColumn="0" w:firstRowLastColumn="0" w:lastRowFirstColumn="0" w:lastRowLastColumn="0"/>
            </w:pPr>
            <w:r>
              <w:t>1 (</w:t>
            </w:r>
            <w:r w:rsidRPr="008F67E5">
              <w:t>7.1%</w:t>
            </w:r>
            <w:r>
              <w:t>)</w:t>
            </w:r>
          </w:p>
        </w:tc>
        <w:tc>
          <w:tcPr>
            <w:tcW w:w="833" w:type="pct"/>
          </w:tcPr>
          <w:p w14:paraId="095F6E2D" w14:textId="0CE0825A" w:rsidR="00417AD3" w:rsidRPr="008F67E5" w:rsidRDefault="00417AD3" w:rsidP="00C6535A">
            <w:pPr>
              <w:pStyle w:val="TableText"/>
              <w:cnfStyle w:val="000000000000" w:firstRow="0" w:lastRow="0" w:firstColumn="0" w:lastColumn="0" w:oddVBand="0" w:evenVBand="0" w:oddHBand="0" w:evenHBand="0" w:firstRowFirstColumn="0" w:firstRowLastColumn="0" w:lastRowFirstColumn="0" w:lastRowLastColumn="0"/>
            </w:pPr>
            <w:r>
              <w:t>6 (</w:t>
            </w:r>
            <w:r w:rsidRPr="008F67E5">
              <w:t>42.</w:t>
            </w:r>
            <w:r w:rsidR="00D7759F">
              <w:t>9</w:t>
            </w:r>
            <w:r w:rsidRPr="008F67E5">
              <w:t>%</w:t>
            </w:r>
            <w:r>
              <w:t>)</w:t>
            </w:r>
          </w:p>
        </w:tc>
      </w:tr>
      <w:tr w:rsidR="002E5B6F" w:rsidRPr="00DE530D" w14:paraId="57840AE5" w14:textId="77777777" w:rsidTr="00C6535A">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353A3CEC" w14:textId="77777777" w:rsidR="00417AD3" w:rsidRPr="006D20D0" w:rsidRDefault="00417AD3" w:rsidP="00C6535A">
            <w:pPr>
              <w:pStyle w:val="TableText"/>
              <w:rPr>
                <w:szCs w:val="18"/>
              </w:rPr>
            </w:pPr>
            <w:r>
              <w:rPr>
                <w:szCs w:val="18"/>
              </w:rPr>
              <w:t xml:space="preserve">South Australia </w:t>
            </w:r>
          </w:p>
        </w:tc>
        <w:tc>
          <w:tcPr>
            <w:tcW w:w="833" w:type="pct"/>
          </w:tcPr>
          <w:p w14:paraId="164009D5" w14:textId="5E6EA2BA" w:rsidR="00417AD3" w:rsidRPr="008F67E5" w:rsidRDefault="00417AD3" w:rsidP="00C6535A">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31C5F547" w14:textId="436CE67D" w:rsidR="00417AD3" w:rsidRPr="008F67E5" w:rsidRDefault="00417AD3" w:rsidP="00C6535A">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125F6C2A" w14:textId="5D3C44BE" w:rsidR="00417AD3" w:rsidRPr="008F67E5" w:rsidRDefault="00417AD3" w:rsidP="00C6535A">
            <w:pPr>
              <w:pStyle w:val="TableText"/>
              <w:cnfStyle w:val="000000000000" w:firstRow="0" w:lastRow="0" w:firstColumn="0" w:lastColumn="0" w:oddVBand="0" w:evenVBand="0" w:oddHBand="0" w:evenHBand="0" w:firstRowFirstColumn="0" w:firstRowLastColumn="0" w:lastRowFirstColumn="0" w:lastRowLastColumn="0"/>
            </w:pPr>
            <w:r>
              <w:t>1 (</w:t>
            </w:r>
            <w:r w:rsidRPr="008F67E5">
              <w:t>25.0%</w:t>
            </w:r>
            <w:r>
              <w:t>)</w:t>
            </w:r>
          </w:p>
        </w:tc>
        <w:tc>
          <w:tcPr>
            <w:tcW w:w="833" w:type="pct"/>
          </w:tcPr>
          <w:p w14:paraId="71C54E66" w14:textId="71FD8349" w:rsidR="00417AD3" w:rsidRPr="008F67E5" w:rsidRDefault="00417AD3" w:rsidP="00C6535A">
            <w:pPr>
              <w:pStyle w:val="TableText"/>
              <w:cnfStyle w:val="000000000000" w:firstRow="0" w:lastRow="0" w:firstColumn="0" w:lastColumn="0" w:oddVBand="0" w:evenVBand="0" w:oddHBand="0" w:evenHBand="0" w:firstRowFirstColumn="0" w:firstRowLastColumn="0" w:lastRowFirstColumn="0" w:lastRowLastColumn="0"/>
            </w:pPr>
            <w:r>
              <w:t>2 (</w:t>
            </w:r>
            <w:r w:rsidRPr="008F67E5">
              <w:t>50.0%</w:t>
            </w:r>
            <w:r>
              <w:t>)</w:t>
            </w:r>
          </w:p>
        </w:tc>
        <w:tc>
          <w:tcPr>
            <w:tcW w:w="833" w:type="pct"/>
          </w:tcPr>
          <w:p w14:paraId="395D9E05" w14:textId="1BF56E25" w:rsidR="00417AD3" w:rsidRPr="008F67E5" w:rsidRDefault="00417AD3" w:rsidP="00C6535A">
            <w:pPr>
              <w:pStyle w:val="TableText"/>
              <w:cnfStyle w:val="000000000000" w:firstRow="0" w:lastRow="0" w:firstColumn="0" w:lastColumn="0" w:oddVBand="0" w:evenVBand="0" w:oddHBand="0" w:evenHBand="0" w:firstRowFirstColumn="0" w:firstRowLastColumn="0" w:lastRowFirstColumn="0" w:lastRowLastColumn="0"/>
            </w:pPr>
            <w:r>
              <w:t>1 (</w:t>
            </w:r>
            <w:r w:rsidRPr="008F67E5">
              <w:t>25.0%</w:t>
            </w:r>
            <w:r>
              <w:t>)</w:t>
            </w:r>
          </w:p>
        </w:tc>
      </w:tr>
      <w:tr w:rsidR="002E5B6F" w:rsidRPr="00DE530D" w14:paraId="01792807" w14:textId="77777777" w:rsidTr="00C6535A">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7FA2CE4D" w14:textId="77777777" w:rsidR="00417AD3" w:rsidRDefault="00417AD3" w:rsidP="00C6535A">
            <w:pPr>
              <w:pStyle w:val="TableText"/>
              <w:rPr>
                <w:szCs w:val="18"/>
              </w:rPr>
            </w:pPr>
            <w:r>
              <w:rPr>
                <w:szCs w:val="18"/>
              </w:rPr>
              <w:t>Tasmania</w:t>
            </w:r>
          </w:p>
        </w:tc>
        <w:tc>
          <w:tcPr>
            <w:tcW w:w="833" w:type="pct"/>
          </w:tcPr>
          <w:p w14:paraId="23D15B62" w14:textId="5565A385" w:rsidR="00417AD3" w:rsidRPr="008F67E5" w:rsidRDefault="00417AD3" w:rsidP="00C6535A">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31AB785F" w14:textId="43D30FFE" w:rsidR="00417AD3" w:rsidRPr="008F67E5" w:rsidRDefault="00417AD3" w:rsidP="00C6535A">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1A35B014" w14:textId="6C262581" w:rsidR="00417AD3" w:rsidRPr="008F67E5" w:rsidRDefault="00417AD3" w:rsidP="00C6535A">
            <w:pPr>
              <w:pStyle w:val="TableText"/>
              <w:cnfStyle w:val="000000000000" w:firstRow="0" w:lastRow="0" w:firstColumn="0" w:lastColumn="0" w:oddVBand="0" w:evenVBand="0" w:oddHBand="0" w:evenHBand="0" w:firstRowFirstColumn="0" w:firstRowLastColumn="0" w:lastRowFirstColumn="0" w:lastRowLastColumn="0"/>
            </w:pPr>
            <w:r>
              <w:t>1 (</w:t>
            </w:r>
            <w:r w:rsidRPr="008F67E5">
              <w:t>100.0%</w:t>
            </w:r>
            <w:r>
              <w:t>)</w:t>
            </w:r>
          </w:p>
        </w:tc>
        <w:tc>
          <w:tcPr>
            <w:tcW w:w="833" w:type="pct"/>
          </w:tcPr>
          <w:p w14:paraId="18B0A165" w14:textId="25A26FD2" w:rsidR="00417AD3" w:rsidRPr="008F67E5" w:rsidRDefault="00417AD3" w:rsidP="00C6535A">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4B2C6706" w14:textId="318F44CE" w:rsidR="00417AD3" w:rsidRPr="008F67E5" w:rsidRDefault="00417AD3" w:rsidP="00C6535A">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r>
      <w:tr w:rsidR="002E5B6F" w:rsidRPr="00501302" w14:paraId="29FF35EF" w14:textId="77777777" w:rsidTr="00C6535A">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200135AA" w14:textId="77777777" w:rsidR="00417AD3" w:rsidRPr="00C33FD2" w:rsidRDefault="00417AD3" w:rsidP="00C6535A">
            <w:pPr>
              <w:pStyle w:val="Tabletextbold"/>
              <w:rPr>
                <w:rFonts w:eastAsiaTheme="minorEastAsia" w:cs="Arial"/>
                <w:b/>
                <w:bCs/>
                <w:szCs w:val="18"/>
              </w:rPr>
            </w:pPr>
            <w:r w:rsidRPr="00C33FD2">
              <w:rPr>
                <w:b/>
                <w:bCs/>
              </w:rPr>
              <w:t>Total</w:t>
            </w:r>
            <w:r w:rsidRPr="00C33FD2">
              <w:rPr>
                <w:rFonts w:eastAsiaTheme="minorEastAsia" w:cs="Arial"/>
                <w:b/>
                <w:bCs/>
                <w:szCs w:val="18"/>
              </w:rPr>
              <w:t>: 61 respondents</w:t>
            </w:r>
          </w:p>
        </w:tc>
        <w:tc>
          <w:tcPr>
            <w:tcW w:w="833" w:type="pct"/>
          </w:tcPr>
          <w:p w14:paraId="6974792C" w14:textId="0CF58040" w:rsidR="00417AD3" w:rsidRPr="006F5F45" w:rsidRDefault="00417AD3" w:rsidP="00C6535A">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10 (16.</w:t>
            </w:r>
            <w:r w:rsidR="00D7759F" w:rsidRPr="006F5F45">
              <w:rPr>
                <w:rFonts w:eastAsiaTheme="minorEastAsia" w:cs="Arial"/>
                <w:szCs w:val="18"/>
              </w:rPr>
              <w:t>4</w:t>
            </w:r>
            <w:r w:rsidRPr="006F5F45">
              <w:rPr>
                <w:rFonts w:eastAsiaTheme="minorEastAsia" w:cs="Arial"/>
                <w:szCs w:val="18"/>
              </w:rPr>
              <w:t>%)</w:t>
            </w:r>
          </w:p>
        </w:tc>
        <w:tc>
          <w:tcPr>
            <w:tcW w:w="833" w:type="pct"/>
          </w:tcPr>
          <w:p w14:paraId="34597E17" w14:textId="5AFA67BD" w:rsidR="00417AD3" w:rsidRPr="006F5F45" w:rsidRDefault="00417AD3" w:rsidP="00C6535A">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9 (14.</w:t>
            </w:r>
            <w:r w:rsidR="00D7759F" w:rsidRPr="006F5F45">
              <w:rPr>
                <w:rFonts w:eastAsiaTheme="minorEastAsia" w:cs="Arial"/>
                <w:szCs w:val="18"/>
              </w:rPr>
              <w:t>8</w:t>
            </w:r>
            <w:r w:rsidRPr="006F5F45">
              <w:rPr>
                <w:rFonts w:eastAsiaTheme="minorEastAsia" w:cs="Arial"/>
                <w:szCs w:val="18"/>
              </w:rPr>
              <w:t>%)</w:t>
            </w:r>
          </w:p>
        </w:tc>
        <w:tc>
          <w:tcPr>
            <w:tcW w:w="833" w:type="pct"/>
          </w:tcPr>
          <w:p w14:paraId="68470621" w14:textId="715E08B7" w:rsidR="00417AD3" w:rsidRPr="006F5F45" w:rsidRDefault="00417AD3" w:rsidP="00C6535A">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10 (16.</w:t>
            </w:r>
            <w:r w:rsidR="00D7759F" w:rsidRPr="006F5F45">
              <w:rPr>
                <w:rFonts w:eastAsiaTheme="minorEastAsia" w:cs="Arial"/>
                <w:szCs w:val="18"/>
              </w:rPr>
              <w:t>4</w:t>
            </w:r>
            <w:r w:rsidRPr="006F5F45">
              <w:rPr>
                <w:rFonts w:eastAsiaTheme="minorEastAsia" w:cs="Arial"/>
                <w:szCs w:val="18"/>
              </w:rPr>
              <w:t>%)</w:t>
            </w:r>
          </w:p>
        </w:tc>
        <w:tc>
          <w:tcPr>
            <w:tcW w:w="833" w:type="pct"/>
          </w:tcPr>
          <w:p w14:paraId="07C30EA9" w14:textId="30E28639" w:rsidR="00417AD3" w:rsidRPr="006F5F45" w:rsidRDefault="00417AD3" w:rsidP="00C6535A">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14 (2</w:t>
            </w:r>
            <w:r w:rsidR="00D7759F" w:rsidRPr="006F5F45">
              <w:rPr>
                <w:rFonts w:eastAsiaTheme="minorEastAsia" w:cs="Arial"/>
                <w:szCs w:val="18"/>
              </w:rPr>
              <w:t>3.0</w:t>
            </w:r>
            <w:r w:rsidRPr="006F5F45">
              <w:rPr>
                <w:rFonts w:eastAsiaTheme="minorEastAsia" w:cs="Arial"/>
                <w:szCs w:val="18"/>
              </w:rPr>
              <w:t>%)</w:t>
            </w:r>
          </w:p>
        </w:tc>
        <w:tc>
          <w:tcPr>
            <w:tcW w:w="833" w:type="pct"/>
          </w:tcPr>
          <w:p w14:paraId="611627BC" w14:textId="604F51A0" w:rsidR="00417AD3" w:rsidRPr="006F5F45" w:rsidRDefault="00417AD3" w:rsidP="00C6535A">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18 (29.5%)</w:t>
            </w:r>
          </w:p>
        </w:tc>
      </w:tr>
    </w:tbl>
    <w:p w14:paraId="70D07CC6" w14:textId="1AF23363" w:rsidR="00157845" w:rsidRPr="00C76D17" w:rsidRDefault="00157845" w:rsidP="00C6535A">
      <w:pPr>
        <w:pStyle w:val="Caption-Source"/>
      </w:pPr>
      <w:r w:rsidRPr="00C76D17">
        <w:t xml:space="preserve">Source: </w:t>
      </w:r>
      <w:r w:rsidR="00435DC4">
        <w:t>Independent reviewer</w:t>
      </w:r>
      <w:r w:rsidR="00584D02" w:rsidRPr="00C76D17">
        <w:t xml:space="preserve"> (</w:t>
      </w:r>
      <w:r w:rsidRPr="00C76D17">
        <w:t>2025</w:t>
      </w:r>
      <w:r w:rsidR="00584D02" w:rsidRPr="00C76D17">
        <w:t>)</w:t>
      </w:r>
    </w:p>
    <w:p w14:paraId="0568C2D2" w14:textId="0CEB1B01" w:rsidR="00C6535A" w:rsidRDefault="00C6535A" w:rsidP="00C6535A">
      <w:pPr>
        <w:pStyle w:val="Caption"/>
      </w:pPr>
      <w:bookmarkStart w:id="236" w:name="_Toc207348628"/>
      <w:r>
        <w:t xml:space="preserve">Table </w:t>
      </w:r>
      <w:r w:rsidR="00E6799D">
        <w:fldChar w:fldCharType="begin"/>
      </w:r>
      <w:r w:rsidR="00E6799D">
        <w:instrText xml:space="preserve"> SEQ Table \* ARABIC </w:instrText>
      </w:r>
      <w:r w:rsidR="00E6799D">
        <w:fldChar w:fldCharType="separate"/>
      </w:r>
      <w:r w:rsidR="00E6799D">
        <w:rPr>
          <w:noProof/>
        </w:rPr>
        <w:t>63</w:t>
      </w:r>
      <w:r w:rsidR="00E6799D">
        <w:rPr>
          <w:noProof/>
        </w:rPr>
        <w:fldChar w:fldCharType="end"/>
      </w:r>
      <w:r>
        <w:t xml:space="preserve">: </w:t>
      </w:r>
      <w:r w:rsidRPr="000A6436">
        <w:t xml:space="preserve">Responses by </w:t>
      </w:r>
      <w:r w:rsidR="00EB445F">
        <w:t>remoteness</w:t>
      </w:r>
      <w:r w:rsidRPr="000A6436">
        <w:t xml:space="preserve"> to Statement 4</w:t>
      </w:r>
      <w:bookmarkEnd w:id="236"/>
    </w:p>
    <w:tbl>
      <w:tblPr>
        <w:tblStyle w:val="KPMGTable"/>
        <w:tblW w:w="5000" w:type="pct"/>
        <w:tblLook w:val="04A0" w:firstRow="1" w:lastRow="0" w:firstColumn="1" w:lastColumn="0" w:noHBand="0" w:noVBand="1"/>
      </w:tblPr>
      <w:tblGrid>
        <w:gridCol w:w="1701"/>
        <w:gridCol w:w="1701"/>
        <w:gridCol w:w="1701"/>
        <w:gridCol w:w="1701"/>
        <w:gridCol w:w="1700"/>
        <w:gridCol w:w="1700"/>
      </w:tblGrid>
      <w:tr w:rsidR="00AD6F37" w:rsidRPr="00386CBC" w14:paraId="743B108F"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833" w:type="pct"/>
          </w:tcPr>
          <w:p w14:paraId="7D799642" w14:textId="77777777" w:rsidR="00417AD3" w:rsidRPr="007B154A" w:rsidRDefault="00417AD3" w:rsidP="00EB445F">
            <w:pPr>
              <w:pStyle w:val="TableHeading"/>
              <w:rPr>
                <w:b w:val="0"/>
                <w:color w:val="FFFFFF" w:themeColor="background1"/>
                <w:szCs w:val="20"/>
              </w:rPr>
            </w:pPr>
            <w:r>
              <w:t>Response</w:t>
            </w:r>
          </w:p>
        </w:tc>
        <w:tc>
          <w:tcPr>
            <w:tcW w:w="833" w:type="pct"/>
          </w:tcPr>
          <w:p w14:paraId="3C8658E3" w14:textId="77777777" w:rsidR="00417AD3" w:rsidRDefault="00417AD3" w:rsidP="00EB445F">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disagree</w:t>
            </w:r>
          </w:p>
        </w:tc>
        <w:tc>
          <w:tcPr>
            <w:tcW w:w="833" w:type="pct"/>
          </w:tcPr>
          <w:p w14:paraId="090CE07F" w14:textId="77777777" w:rsidR="00417AD3" w:rsidRDefault="00417AD3" w:rsidP="00EB445F">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disagree</w:t>
            </w:r>
          </w:p>
        </w:tc>
        <w:tc>
          <w:tcPr>
            <w:tcW w:w="833" w:type="pct"/>
          </w:tcPr>
          <w:p w14:paraId="4E0D2E6B" w14:textId="77777777" w:rsidR="00417AD3" w:rsidRDefault="00417AD3" w:rsidP="00EB445F">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Neither agree nor disagree</w:t>
            </w:r>
          </w:p>
        </w:tc>
        <w:tc>
          <w:tcPr>
            <w:tcW w:w="833" w:type="pct"/>
          </w:tcPr>
          <w:p w14:paraId="6ABAA73E" w14:textId="77777777" w:rsidR="00417AD3" w:rsidRDefault="00417AD3" w:rsidP="00EB445F">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agree</w:t>
            </w:r>
          </w:p>
        </w:tc>
        <w:tc>
          <w:tcPr>
            <w:tcW w:w="833" w:type="pct"/>
          </w:tcPr>
          <w:p w14:paraId="15AEF6B4" w14:textId="77777777" w:rsidR="00417AD3" w:rsidRDefault="00417AD3" w:rsidP="00EB445F">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agree</w:t>
            </w:r>
          </w:p>
        </w:tc>
      </w:tr>
      <w:tr w:rsidR="002E5B6F" w:rsidRPr="006D20D0" w14:paraId="71966F95" w14:textId="77777777" w:rsidTr="00EB445F">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18F72E7F" w14:textId="77777777" w:rsidR="00417AD3" w:rsidRPr="00E90673" w:rsidRDefault="00417AD3" w:rsidP="00EB445F">
            <w:pPr>
              <w:pStyle w:val="TableText"/>
            </w:pPr>
            <w:r>
              <w:t>Metropolitan area</w:t>
            </w:r>
          </w:p>
        </w:tc>
        <w:tc>
          <w:tcPr>
            <w:tcW w:w="833" w:type="pct"/>
          </w:tcPr>
          <w:p w14:paraId="5DBF6B04" w14:textId="4C9B69C8" w:rsidR="00417AD3" w:rsidRPr="00DA3FD1" w:rsidRDefault="00417AD3" w:rsidP="00EB445F">
            <w:pPr>
              <w:pStyle w:val="TableText"/>
              <w:cnfStyle w:val="000000000000" w:firstRow="0" w:lastRow="0" w:firstColumn="0" w:lastColumn="0" w:oddVBand="0" w:evenVBand="0" w:oddHBand="0" w:evenHBand="0" w:firstRowFirstColumn="0" w:firstRowLastColumn="0" w:lastRowFirstColumn="0" w:lastRowLastColumn="0"/>
            </w:pPr>
            <w:r>
              <w:t>6 (</w:t>
            </w:r>
            <w:r w:rsidRPr="00DA3FD1">
              <w:t>18.</w:t>
            </w:r>
            <w:r w:rsidR="00D7759F">
              <w:t>8</w:t>
            </w:r>
            <w:r w:rsidRPr="00DA3FD1">
              <w:t>%</w:t>
            </w:r>
            <w:r>
              <w:t>)</w:t>
            </w:r>
          </w:p>
        </w:tc>
        <w:tc>
          <w:tcPr>
            <w:tcW w:w="833" w:type="pct"/>
          </w:tcPr>
          <w:p w14:paraId="13797117" w14:textId="76BAB72D" w:rsidR="00417AD3" w:rsidRPr="00DA3FD1" w:rsidRDefault="00417AD3" w:rsidP="00EB445F">
            <w:pPr>
              <w:pStyle w:val="TableText"/>
              <w:cnfStyle w:val="000000000000" w:firstRow="0" w:lastRow="0" w:firstColumn="0" w:lastColumn="0" w:oddVBand="0" w:evenVBand="0" w:oddHBand="0" w:evenHBand="0" w:firstRowFirstColumn="0" w:firstRowLastColumn="0" w:lastRowFirstColumn="0" w:lastRowLastColumn="0"/>
            </w:pPr>
            <w:r>
              <w:t>5 (</w:t>
            </w:r>
            <w:r w:rsidRPr="00DA3FD1">
              <w:t>15.6%</w:t>
            </w:r>
            <w:r>
              <w:t>)</w:t>
            </w:r>
          </w:p>
        </w:tc>
        <w:tc>
          <w:tcPr>
            <w:tcW w:w="833" w:type="pct"/>
          </w:tcPr>
          <w:p w14:paraId="34F443C4" w14:textId="64158170" w:rsidR="00417AD3" w:rsidRPr="00DA3FD1" w:rsidRDefault="00417AD3" w:rsidP="00EB445F">
            <w:pPr>
              <w:pStyle w:val="TableText"/>
              <w:cnfStyle w:val="000000000000" w:firstRow="0" w:lastRow="0" w:firstColumn="0" w:lastColumn="0" w:oddVBand="0" w:evenVBand="0" w:oddHBand="0" w:evenHBand="0" w:firstRowFirstColumn="0" w:firstRowLastColumn="0" w:lastRowFirstColumn="0" w:lastRowLastColumn="0"/>
            </w:pPr>
            <w:r>
              <w:t>5 (</w:t>
            </w:r>
            <w:r w:rsidRPr="00DA3FD1">
              <w:t>15.6%</w:t>
            </w:r>
            <w:r>
              <w:t>)</w:t>
            </w:r>
          </w:p>
        </w:tc>
        <w:tc>
          <w:tcPr>
            <w:tcW w:w="833" w:type="pct"/>
          </w:tcPr>
          <w:p w14:paraId="19D889D3" w14:textId="33DC3577" w:rsidR="00417AD3" w:rsidRPr="00DA3FD1" w:rsidRDefault="00417AD3" w:rsidP="00EB445F">
            <w:pPr>
              <w:pStyle w:val="TableText"/>
              <w:cnfStyle w:val="000000000000" w:firstRow="0" w:lastRow="0" w:firstColumn="0" w:lastColumn="0" w:oddVBand="0" w:evenVBand="0" w:oddHBand="0" w:evenHBand="0" w:firstRowFirstColumn="0" w:firstRowLastColumn="0" w:lastRowFirstColumn="0" w:lastRowLastColumn="0"/>
            </w:pPr>
            <w:r>
              <w:t>7 (</w:t>
            </w:r>
            <w:r w:rsidRPr="00DA3FD1">
              <w:t>21.</w:t>
            </w:r>
            <w:r w:rsidR="00D7759F">
              <w:t>9</w:t>
            </w:r>
            <w:r w:rsidRPr="00DA3FD1">
              <w:t>%</w:t>
            </w:r>
            <w:r>
              <w:t>)</w:t>
            </w:r>
          </w:p>
        </w:tc>
        <w:tc>
          <w:tcPr>
            <w:tcW w:w="833" w:type="pct"/>
          </w:tcPr>
          <w:p w14:paraId="232C3267" w14:textId="1D01B71D" w:rsidR="00417AD3" w:rsidRPr="00DA3FD1" w:rsidRDefault="00417AD3" w:rsidP="00EB445F">
            <w:pPr>
              <w:pStyle w:val="TableText"/>
              <w:cnfStyle w:val="000000000000" w:firstRow="0" w:lastRow="0" w:firstColumn="0" w:lastColumn="0" w:oddVBand="0" w:evenVBand="0" w:oddHBand="0" w:evenHBand="0" w:firstRowFirstColumn="0" w:firstRowLastColumn="0" w:lastRowFirstColumn="0" w:lastRowLastColumn="0"/>
            </w:pPr>
            <w:r>
              <w:t>9 (</w:t>
            </w:r>
            <w:r w:rsidRPr="00DA3FD1">
              <w:t>28.1%</w:t>
            </w:r>
            <w:r>
              <w:t>)</w:t>
            </w:r>
          </w:p>
        </w:tc>
      </w:tr>
      <w:tr w:rsidR="002E5B6F" w:rsidRPr="009C1931" w14:paraId="363F297F" w14:textId="77777777" w:rsidTr="00EB445F">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3343A2FD" w14:textId="77777777" w:rsidR="00417AD3" w:rsidRPr="006D20D0" w:rsidRDefault="00417AD3" w:rsidP="00EB445F">
            <w:pPr>
              <w:pStyle w:val="TableText"/>
              <w:rPr>
                <w:szCs w:val="18"/>
              </w:rPr>
            </w:pPr>
            <w:r>
              <w:rPr>
                <w:szCs w:val="18"/>
              </w:rPr>
              <w:t>Regional centre</w:t>
            </w:r>
          </w:p>
        </w:tc>
        <w:tc>
          <w:tcPr>
            <w:tcW w:w="833" w:type="pct"/>
          </w:tcPr>
          <w:p w14:paraId="44D08120" w14:textId="5D7F3D61" w:rsidR="00417AD3" w:rsidRPr="00DA3FD1" w:rsidRDefault="00417AD3" w:rsidP="00EB445F">
            <w:pPr>
              <w:pStyle w:val="TableText"/>
              <w:cnfStyle w:val="000000000000" w:firstRow="0" w:lastRow="0" w:firstColumn="0" w:lastColumn="0" w:oddVBand="0" w:evenVBand="0" w:oddHBand="0" w:evenHBand="0" w:firstRowFirstColumn="0" w:firstRowLastColumn="0" w:lastRowFirstColumn="0" w:lastRowLastColumn="0"/>
            </w:pPr>
            <w:r>
              <w:t>3 (</w:t>
            </w:r>
            <w:r w:rsidRPr="00DA3FD1">
              <w:t>15.</w:t>
            </w:r>
            <w:r w:rsidR="00D7759F">
              <w:t>8</w:t>
            </w:r>
            <w:r w:rsidRPr="00DA3FD1">
              <w:t>%</w:t>
            </w:r>
            <w:r>
              <w:t>)</w:t>
            </w:r>
          </w:p>
        </w:tc>
        <w:tc>
          <w:tcPr>
            <w:tcW w:w="833" w:type="pct"/>
          </w:tcPr>
          <w:p w14:paraId="0DF691D4" w14:textId="741229F6" w:rsidR="00417AD3" w:rsidRPr="00DA3FD1" w:rsidRDefault="00417AD3" w:rsidP="00EB445F">
            <w:pPr>
              <w:pStyle w:val="TableText"/>
              <w:cnfStyle w:val="000000000000" w:firstRow="0" w:lastRow="0" w:firstColumn="0" w:lastColumn="0" w:oddVBand="0" w:evenVBand="0" w:oddHBand="0" w:evenHBand="0" w:firstRowFirstColumn="0" w:firstRowLastColumn="0" w:lastRowFirstColumn="0" w:lastRowLastColumn="0"/>
            </w:pPr>
            <w:r>
              <w:t>2 (</w:t>
            </w:r>
            <w:r w:rsidRPr="00DA3FD1">
              <w:t>10.5%</w:t>
            </w:r>
            <w:r>
              <w:t>)</w:t>
            </w:r>
          </w:p>
        </w:tc>
        <w:tc>
          <w:tcPr>
            <w:tcW w:w="833" w:type="pct"/>
          </w:tcPr>
          <w:p w14:paraId="47452664" w14:textId="2813A345" w:rsidR="00417AD3" w:rsidRPr="00DA3FD1" w:rsidRDefault="00417AD3" w:rsidP="00EB445F">
            <w:pPr>
              <w:pStyle w:val="TableText"/>
              <w:cnfStyle w:val="000000000000" w:firstRow="0" w:lastRow="0" w:firstColumn="0" w:lastColumn="0" w:oddVBand="0" w:evenVBand="0" w:oddHBand="0" w:evenHBand="0" w:firstRowFirstColumn="0" w:firstRowLastColumn="0" w:lastRowFirstColumn="0" w:lastRowLastColumn="0"/>
            </w:pPr>
            <w:r>
              <w:t>5 (</w:t>
            </w:r>
            <w:r w:rsidRPr="00DA3FD1">
              <w:t>26.3%</w:t>
            </w:r>
            <w:r>
              <w:t>)</w:t>
            </w:r>
          </w:p>
        </w:tc>
        <w:tc>
          <w:tcPr>
            <w:tcW w:w="833" w:type="pct"/>
          </w:tcPr>
          <w:p w14:paraId="42DEA2E5" w14:textId="21FBDAA4" w:rsidR="00417AD3" w:rsidRPr="00DA3FD1" w:rsidRDefault="00417AD3" w:rsidP="00EB445F">
            <w:pPr>
              <w:pStyle w:val="TableText"/>
              <w:cnfStyle w:val="000000000000" w:firstRow="0" w:lastRow="0" w:firstColumn="0" w:lastColumn="0" w:oddVBand="0" w:evenVBand="0" w:oddHBand="0" w:evenHBand="0" w:firstRowFirstColumn="0" w:firstRowLastColumn="0" w:lastRowFirstColumn="0" w:lastRowLastColumn="0"/>
            </w:pPr>
            <w:r>
              <w:t>5 (</w:t>
            </w:r>
            <w:r w:rsidRPr="00DA3FD1">
              <w:t>26.3%</w:t>
            </w:r>
            <w:r>
              <w:t>)</w:t>
            </w:r>
          </w:p>
        </w:tc>
        <w:tc>
          <w:tcPr>
            <w:tcW w:w="833" w:type="pct"/>
          </w:tcPr>
          <w:p w14:paraId="721BF97D" w14:textId="4053E336" w:rsidR="00417AD3" w:rsidRPr="00DA3FD1" w:rsidRDefault="00417AD3" w:rsidP="00EB445F">
            <w:pPr>
              <w:pStyle w:val="TableText"/>
              <w:cnfStyle w:val="000000000000" w:firstRow="0" w:lastRow="0" w:firstColumn="0" w:lastColumn="0" w:oddVBand="0" w:evenVBand="0" w:oddHBand="0" w:evenHBand="0" w:firstRowFirstColumn="0" w:firstRowLastColumn="0" w:lastRowFirstColumn="0" w:lastRowLastColumn="0"/>
            </w:pPr>
            <w:r>
              <w:t>4 (</w:t>
            </w:r>
            <w:r w:rsidRPr="00DA3FD1">
              <w:t>21.</w:t>
            </w:r>
            <w:r w:rsidR="00D7759F">
              <w:t>1</w:t>
            </w:r>
            <w:r w:rsidRPr="00DA3FD1">
              <w:t>%</w:t>
            </w:r>
            <w:r>
              <w:t>)</w:t>
            </w:r>
          </w:p>
        </w:tc>
      </w:tr>
      <w:tr w:rsidR="002E5B6F" w:rsidRPr="009C1931" w14:paraId="57640B8E" w14:textId="77777777" w:rsidTr="00EB445F">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3027B4FF" w14:textId="77777777" w:rsidR="00417AD3" w:rsidRDefault="00417AD3" w:rsidP="00EB445F">
            <w:pPr>
              <w:pStyle w:val="TableText"/>
            </w:pPr>
            <w:r>
              <w:rPr>
                <w:szCs w:val="18"/>
              </w:rPr>
              <w:t>Rural area</w:t>
            </w:r>
          </w:p>
        </w:tc>
        <w:tc>
          <w:tcPr>
            <w:tcW w:w="833" w:type="pct"/>
          </w:tcPr>
          <w:p w14:paraId="7E575587" w14:textId="7562ACDB" w:rsidR="00417AD3" w:rsidRPr="00DA3FD1" w:rsidRDefault="00417AD3" w:rsidP="00EB445F">
            <w:pPr>
              <w:pStyle w:val="TableText"/>
              <w:cnfStyle w:val="000000000000" w:firstRow="0" w:lastRow="0" w:firstColumn="0" w:lastColumn="0" w:oddVBand="0" w:evenVBand="0" w:oddHBand="0" w:evenHBand="0" w:firstRowFirstColumn="0" w:firstRowLastColumn="0" w:lastRowFirstColumn="0" w:lastRowLastColumn="0"/>
            </w:pPr>
            <w:r>
              <w:t>1 (</w:t>
            </w:r>
            <w:r w:rsidRPr="00DA3FD1">
              <w:t>11.1%</w:t>
            </w:r>
            <w:r>
              <w:t>)</w:t>
            </w:r>
          </w:p>
        </w:tc>
        <w:tc>
          <w:tcPr>
            <w:tcW w:w="833" w:type="pct"/>
          </w:tcPr>
          <w:p w14:paraId="77791367" w14:textId="77E0C2DE" w:rsidR="00417AD3" w:rsidRPr="00DA3FD1" w:rsidRDefault="00417AD3" w:rsidP="00EB445F">
            <w:pPr>
              <w:pStyle w:val="TableText"/>
              <w:cnfStyle w:val="000000000000" w:firstRow="0" w:lastRow="0" w:firstColumn="0" w:lastColumn="0" w:oddVBand="0" w:evenVBand="0" w:oddHBand="0" w:evenHBand="0" w:firstRowFirstColumn="0" w:firstRowLastColumn="0" w:lastRowFirstColumn="0" w:lastRowLastColumn="0"/>
            </w:pPr>
            <w:r>
              <w:t>2 (</w:t>
            </w:r>
            <w:r w:rsidRPr="00DA3FD1">
              <w:t>22.2%</w:t>
            </w:r>
            <w:r>
              <w:t>)</w:t>
            </w:r>
          </w:p>
        </w:tc>
        <w:tc>
          <w:tcPr>
            <w:tcW w:w="833" w:type="pct"/>
          </w:tcPr>
          <w:p w14:paraId="7AEA3DE4" w14:textId="146B5208" w:rsidR="00417AD3" w:rsidRPr="00DA3FD1" w:rsidRDefault="00417AD3" w:rsidP="00EB445F">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07554E31" w14:textId="55FF9932" w:rsidR="00417AD3" w:rsidRPr="00DA3FD1" w:rsidRDefault="00417AD3" w:rsidP="00EB445F">
            <w:pPr>
              <w:pStyle w:val="TableText"/>
              <w:cnfStyle w:val="000000000000" w:firstRow="0" w:lastRow="0" w:firstColumn="0" w:lastColumn="0" w:oddVBand="0" w:evenVBand="0" w:oddHBand="0" w:evenHBand="0" w:firstRowFirstColumn="0" w:firstRowLastColumn="0" w:lastRowFirstColumn="0" w:lastRowLastColumn="0"/>
            </w:pPr>
            <w:r>
              <w:t>2 (</w:t>
            </w:r>
            <w:r w:rsidRPr="00DA3FD1">
              <w:t>22.2%</w:t>
            </w:r>
            <w:r>
              <w:t>)</w:t>
            </w:r>
          </w:p>
        </w:tc>
        <w:tc>
          <w:tcPr>
            <w:tcW w:w="833" w:type="pct"/>
          </w:tcPr>
          <w:p w14:paraId="6EA552BD" w14:textId="6D406FDF" w:rsidR="00417AD3" w:rsidRPr="00DA3FD1" w:rsidRDefault="00417AD3" w:rsidP="00EB445F">
            <w:pPr>
              <w:pStyle w:val="TableText"/>
              <w:cnfStyle w:val="000000000000" w:firstRow="0" w:lastRow="0" w:firstColumn="0" w:lastColumn="0" w:oddVBand="0" w:evenVBand="0" w:oddHBand="0" w:evenHBand="0" w:firstRowFirstColumn="0" w:firstRowLastColumn="0" w:lastRowFirstColumn="0" w:lastRowLastColumn="0"/>
            </w:pPr>
            <w:r>
              <w:t>4 (</w:t>
            </w:r>
            <w:r w:rsidRPr="00DA3FD1">
              <w:t>44.4%</w:t>
            </w:r>
            <w:r>
              <w:t>)</w:t>
            </w:r>
          </w:p>
        </w:tc>
      </w:tr>
      <w:tr w:rsidR="002E5B6F" w:rsidRPr="009C1931" w14:paraId="0269B54D" w14:textId="77777777" w:rsidTr="00EB445F">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341C19D5" w14:textId="77777777" w:rsidR="00417AD3" w:rsidRPr="00E90673" w:rsidRDefault="00417AD3" w:rsidP="00EB445F">
            <w:pPr>
              <w:pStyle w:val="TableText"/>
            </w:pPr>
            <w:r>
              <w:t>Remote community</w:t>
            </w:r>
          </w:p>
        </w:tc>
        <w:tc>
          <w:tcPr>
            <w:tcW w:w="833" w:type="pct"/>
          </w:tcPr>
          <w:p w14:paraId="3517D2A7" w14:textId="658E4465" w:rsidR="00417AD3" w:rsidRPr="00DA3FD1" w:rsidRDefault="00417AD3" w:rsidP="00EB445F">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6DF91513" w14:textId="04A0AC46" w:rsidR="00417AD3" w:rsidRPr="00DA3FD1" w:rsidRDefault="00417AD3" w:rsidP="00EB445F">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07AA73E4" w14:textId="7436A6B7" w:rsidR="00417AD3" w:rsidRPr="00DA3FD1" w:rsidRDefault="00417AD3" w:rsidP="00EB445F">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312C9A37" w14:textId="49A50847" w:rsidR="00417AD3" w:rsidRPr="00DA3FD1" w:rsidRDefault="00417AD3" w:rsidP="00EB445F">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17250627" w14:textId="5C10B55F" w:rsidR="00417AD3" w:rsidRPr="00DA3FD1" w:rsidRDefault="00417AD3" w:rsidP="00EB445F">
            <w:pPr>
              <w:pStyle w:val="TableText"/>
              <w:cnfStyle w:val="000000000000" w:firstRow="0" w:lastRow="0" w:firstColumn="0" w:lastColumn="0" w:oddVBand="0" w:evenVBand="0" w:oddHBand="0" w:evenHBand="0" w:firstRowFirstColumn="0" w:firstRowLastColumn="0" w:lastRowFirstColumn="0" w:lastRowLastColumn="0"/>
            </w:pPr>
            <w:r w:rsidRPr="00DA3FD1">
              <w:t>1</w:t>
            </w:r>
            <w:r>
              <w:t xml:space="preserve"> (1</w:t>
            </w:r>
            <w:r w:rsidRPr="00DA3FD1">
              <w:t>00.0%</w:t>
            </w:r>
            <w:r>
              <w:t>)</w:t>
            </w:r>
          </w:p>
        </w:tc>
      </w:tr>
      <w:tr w:rsidR="002E5B6F" w:rsidRPr="009C1931" w14:paraId="5DBB6BAE" w14:textId="77777777" w:rsidTr="00EB445F">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2C5D081E" w14:textId="77777777" w:rsidR="00417AD3" w:rsidRPr="00C33FD2" w:rsidRDefault="00417AD3" w:rsidP="00E371E5">
            <w:pPr>
              <w:pStyle w:val="Tabletextbold"/>
              <w:rPr>
                <w:rFonts w:eastAsiaTheme="minorEastAsia" w:cs="Arial"/>
                <w:b/>
                <w:bCs/>
                <w:szCs w:val="18"/>
              </w:rPr>
            </w:pPr>
            <w:r w:rsidRPr="00C33FD2">
              <w:rPr>
                <w:b/>
                <w:bCs/>
              </w:rPr>
              <w:t>Total</w:t>
            </w:r>
            <w:r w:rsidRPr="00C33FD2">
              <w:rPr>
                <w:rFonts w:eastAsiaTheme="minorEastAsia" w:cs="Arial"/>
                <w:b/>
                <w:bCs/>
                <w:szCs w:val="18"/>
              </w:rPr>
              <w:t>: 61 respondents</w:t>
            </w:r>
          </w:p>
        </w:tc>
        <w:tc>
          <w:tcPr>
            <w:tcW w:w="833" w:type="pct"/>
          </w:tcPr>
          <w:p w14:paraId="080D22C6" w14:textId="7AB7C2D7" w:rsidR="00417AD3" w:rsidRPr="006F5F45" w:rsidRDefault="00417AD3" w:rsidP="00E371E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10 (16.</w:t>
            </w:r>
            <w:r w:rsidR="00D7759F" w:rsidRPr="006F5F45">
              <w:rPr>
                <w:rFonts w:eastAsiaTheme="minorEastAsia" w:cs="Arial"/>
                <w:szCs w:val="18"/>
              </w:rPr>
              <w:t>4</w:t>
            </w:r>
            <w:r w:rsidRPr="006F5F45">
              <w:rPr>
                <w:rFonts w:eastAsiaTheme="minorEastAsia" w:cs="Arial"/>
                <w:szCs w:val="18"/>
              </w:rPr>
              <w:t>%)</w:t>
            </w:r>
          </w:p>
        </w:tc>
        <w:tc>
          <w:tcPr>
            <w:tcW w:w="833" w:type="pct"/>
          </w:tcPr>
          <w:p w14:paraId="7AFBAF10" w14:textId="4471FD76" w:rsidR="00417AD3" w:rsidRPr="006F5F45" w:rsidRDefault="00417AD3" w:rsidP="00E371E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9 (14.</w:t>
            </w:r>
            <w:r w:rsidR="00D7759F" w:rsidRPr="006F5F45">
              <w:rPr>
                <w:rFonts w:eastAsiaTheme="minorEastAsia" w:cs="Arial"/>
                <w:szCs w:val="18"/>
              </w:rPr>
              <w:t>8</w:t>
            </w:r>
            <w:r w:rsidRPr="006F5F45">
              <w:rPr>
                <w:rFonts w:eastAsiaTheme="minorEastAsia" w:cs="Arial"/>
                <w:szCs w:val="18"/>
              </w:rPr>
              <w:t>%)</w:t>
            </w:r>
          </w:p>
        </w:tc>
        <w:tc>
          <w:tcPr>
            <w:tcW w:w="833" w:type="pct"/>
          </w:tcPr>
          <w:p w14:paraId="2477EE4D" w14:textId="245FB34E" w:rsidR="00417AD3" w:rsidRPr="006F5F45" w:rsidRDefault="00417AD3" w:rsidP="00E371E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10 (16.</w:t>
            </w:r>
            <w:r w:rsidR="00D7759F" w:rsidRPr="006F5F45">
              <w:rPr>
                <w:rFonts w:eastAsiaTheme="minorEastAsia" w:cs="Arial"/>
                <w:szCs w:val="18"/>
              </w:rPr>
              <w:t>4</w:t>
            </w:r>
            <w:r w:rsidRPr="006F5F45">
              <w:rPr>
                <w:rFonts w:eastAsiaTheme="minorEastAsia" w:cs="Arial"/>
                <w:szCs w:val="18"/>
              </w:rPr>
              <w:t>%)</w:t>
            </w:r>
          </w:p>
        </w:tc>
        <w:tc>
          <w:tcPr>
            <w:tcW w:w="833" w:type="pct"/>
          </w:tcPr>
          <w:p w14:paraId="27FDD29F" w14:textId="3E13E9EB" w:rsidR="00417AD3" w:rsidRPr="006F5F45" w:rsidRDefault="00417AD3" w:rsidP="00E371E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14 (2</w:t>
            </w:r>
            <w:r w:rsidR="00D7759F" w:rsidRPr="006F5F45">
              <w:rPr>
                <w:rFonts w:eastAsiaTheme="minorEastAsia" w:cs="Arial"/>
                <w:szCs w:val="18"/>
              </w:rPr>
              <w:t>3.0</w:t>
            </w:r>
            <w:r w:rsidRPr="006F5F45">
              <w:rPr>
                <w:rFonts w:eastAsiaTheme="minorEastAsia" w:cs="Arial"/>
                <w:szCs w:val="18"/>
              </w:rPr>
              <w:t>%)</w:t>
            </w:r>
          </w:p>
        </w:tc>
        <w:tc>
          <w:tcPr>
            <w:tcW w:w="833" w:type="pct"/>
          </w:tcPr>
          <w:p w14:paraId="4F85DEA6" w14:textId="080AE4FE" w:rsidR="00417AD3" w:rsidRPr="006F5F45" w:rsidRDefault="00417AD3" w:rsidP="00E371E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18 (29.5%)</w:t>
            </w:r>
          </w:p>
        </w:tc>
      </w:tr>
    </w:tbl>
    <w:p w14:paraId="1CB3689E" w14:textId="4CECA958" w:rsidR="00BF4D99" w:rsidRDefault="00157845" w:rsidP="00E371E5">
      <w:pPr>
        <w:pStyle w:val="Caption-Source"/>
        <w:rPr>
          <w:rFonts w:ascii="Arial" w:hAnsi="Arial" w:cs="Arial"/>
          <w:b/>
          <w:bCs/>
          <w:szCs w:val="20"/>
        </w:rPr>
      </w:pPr>
      <w:r w:rsidRPr="00032942">
        <w:t xml:space="preserve">Source: </w:t>
      </w:r>
      <w:r w:rsidR="00435DC4">
        <w:t>Independent reviewer</w:t>
      </w:r>
      <w:r w:rsidR="00584D02">
        <w:t xml:space="preserve"> (</w:t>
      </w:r>
      <w:r w:rsidRPr="00032942">
        <w:t>2025</w:t>
      </w:r>
      <w:r w:rsidR="00584D02">
        <w:t>)</w:t>
      </w:r>
    </w:p>
    <w:p w14:paraId="11CB936A" w14:textId="33FFB2CE" w:rsidR="00E371E5" w:rsidRDefault="00E371E5" w:rsidP="00E371E5">
      <w:pPr>
        <w:pStyle w:val="Caption"/>
      </w:pPr>
      <w:bookmarkStart w:id="237" w:name="_Toc207348629"/>
      <w:r>
        <w:t xml:space="preserve">Table </w:t>
      </w:r>
      <w:r w:rsidR="00E6799D">
        <w:fldChar w:fldCharType="begin"/>
      </w:r>
      <w:r w:rsidR="00E6799D">
        <w:instrText xml:space="preserve"> SEQ Table \* ARABIC </w:instrText>
      </w:r>
      <w:r w:rsidR="00E6799D">
        <w:fldChar w:fldCharType="separate"/>
      </w:r>
      <w:r w:rsidR="00E6799D">
        <w:rPr>
          <w:noProof/>
        </w:rPr>
        <w:t>64</w:t>
      </w:r>
      <w:r w:rsidR="00E6799D">
        <w:rPr>
          <w:noProof/>
        </w:rPr>
        <w:fldChar w:fldCharType="end"/>
      </w:r>
      <w:r>
        <w:t xml:space="preserve">: </w:t>
      </w:r>
      <w:r w:rsidRPr="00E348D1">
        <w:t xml:space="preserve">Responses by </w:t>
      </w:r>
      <w:r>
        <w:t>prosthesis type</w:t>
      </w:r>
      <w:r w:rsidRPr="00E348D1">
        <w:t xml:space="preserve"> to Statement 4</w:t>
      </w:r>
      <w:bookmarkEnd w:id="237"/>
    </w:p>
    <w:tbl>
      <w:tblPr>
        <w:tblStyle w:val="KPMGTable"/>
        <w:tblW w:w="5000" w:type="pct"/>
        <w:tblLook w:val="04A0" w:firstRow="1" w:lastRow="0" w:firstColumn="1" w:lastColumn="0" w:noHBand="0" w:noVBand="1"/>
      </w:tblPr>
      <w:tblGrid>
        <w:gridCol w:w="1701"/>
        <w:gridCol w:w="1701"/>
        <w:gridCol w:w="1701"/>
        <w:gridCol w:w="1701"/>
        <w:gridCol w:w="1700"/>
        <w:gridCol w:w="1700"/>
      </w:tblGrid>
      <w:tr w:rsidR="00AD6F37" w:rsidRPr="00386CBC" w14:paraId="3B57001C"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833" w:type="pct"/>
          </w:tcPr>
          <w:p w14:paraId="045A43A1" w14:textId="77777777" w:rsidR="00417AD3" w:rsidRPr="007B154A" w:rsidRDefault="00417AD3" w:rsidP="00E371E5">
            <w:pPr>
              <w:pStyle w:val="TableHeading"/>
              <w:rPr>
                <w:b w:val="0"/>
                <w:color w:val="FFFFFF" w:themeColor="background1"/>
                <w:szCs w:val="20"/>
              </w:rPr>
            </w:pPr>
            <w:r>
              <w:t>Response</w:t>
            </w:r>
          </w:p>
        </w:tc>
        <w:tc>
          <w:tcPr>
            <w:tcW w:w="833" w:type="pct"/>
          </w:tcPr>
          <w:p w14:paraId="15E11E9B" w14:textId="77777777" w:rsidR="00417AD3" w:rsidRDefault="00417AD3" w:rsidP="00E371E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disagree</w:t>
            </w:r>
          </w:p>
        </w:tc>
        <w:tc>
          <w:tcPr>
            <w:tcW w:w="833" w:type="pct"/>
          </w:tcPr>
          <w:p w14:paraId="785FCCBD" w14:textId="77777777" w:rsidR="00417AD3" w:rsidRDefault="00417AD3" w:rsidP="00E371E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disagree</w:t>
            </w:r>
          </w:p>
        </w:tc>
        <w:tc>
          <w:tcPr>
            <w:tcW w:w="833" w:type="pct"/>
          </w:tcPr>
          <w:p w14:paraId="0E3E63DA" w14:textId="77777777" w:rsidR="00417AD3" w:rsidRDefault="00417AD3" w:rsidP="00E371E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Neither agree nor disagree</w:t>
            </w:r>
          </w:p>
        </w:tc>
        <w:tc>
          <w:tcPr>
            <w:tcW w:w="833" w:type="pct"/>
          </w:tcPr>
          <w:p w14:paraId="0A8958F9" w14:textId="77777777" w:rsidR="00417AD3" w:rsidRDefault="00417AD3" w:rsidP="00E371E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agree</w:t>
            </w:r>
          </w:p>
        </w:tc>
        <w:tc>
          <w:tcPr>
            <w:tcW w:w="833" w:type="pct"/>
          </w:tcPr>
          <w:p w14:paraId="5226F377" w14:textId="77777777" w:rsidR="00417AD3" w:rsidRDefault="00417AD3" w:rsidP="00E371E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agree</w:t>
            </w:r>
          </w:p>
        </w:tc>
      </w:tr>
      <w:tr w:rsidR="002E5B6F" w:rsidRPr="006D20D0" w14:paraId="43368595" w14:textId="77777777" w:rsidTr="00E371E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13AC10E2" w14:textId="77777777" w:rsidR="00417AD3" w:rsidRPr="00E90673" w:rsidRDefault="00417AD3" w:rsidP="00E371E5">
            <w:pPr>
              <w:pStyle w:val="TableText"/>
            </w:pPr>
            <w:r>
              <w:t>Facial prosthesis</w:t>
            </w:r>
          </w:p>
        </w:tc>
        <w:tc>
          <w:tcPr>
            <w:tcW w:w="833" w:type="pct"/>
          </w:tcPr>
          <w:p w14:paraId="4B10785B" w14:textId="0D59641C" w:rsidR="00417AD3" w:rsidRPr="00AB1493" w:rsidRDefault="00883D08" w:rsidP="00E371E5">
            <w:pPr>
              <w:pStyle w:val="TableText"/>
              <w:cnfStyle w:val="000000000000" w:firstRow="0" w:lastRow="0" w:firstColumn="0" w:lastColumn="0" w:oddVBand="0" w:evenVBand="0" w:oddHBand="0" w:evenHBand="0" w:firstRowFirstColumn="0" w:firstRowLastColumn="0" w:lastRowFirstColumn="0" w:lastRowLastColumn="0"/>
            </w:pPr>
            <w:r>
              <w:t>4</w:t>
            </w:r>
            <w:r w:rsidR="00417AD3">
              <w:t xml:space="preserve"> (</w:t>
            </w:r>
            <w:r w:rsidR="007F62EE">
              <w:t>10.3</w:t>
            </w:r>
            <w:r w:rsidR="00417AD3" w:rsidRPr="00AB1493">
              <w:t>%</w:t>
            </w:r>
            <w:r w:rsidR="00417AD3">
              <w:t>)</w:t>
            </w:r>
          </w:p>
        </w:tc>
        <w:tc>
          <w:tcPr>
            <w:tcW w:w="833" w:type="pct"/>
          </w:tcPr>
          <w:p w14:paraId="51E6151F" w14:textId="381E5243" w:rsidR="00417AD3" w:rsidRPr="00AB1493" w:rsidRDefault="00883D08" w:rsidP="00E371E5">
            <w:pPr>
              <w:pStyle w:val="TableText"/>
              <w:cnfStyle w:val="000000000000" w:firstRow="0" w:lastRow="0" w:firstColumn="0" w:lastColumn="0" w:oddVBand="0" w:evenVBand="0" w:oddHBand="0" w:evenHBand="0" w:firstRowFirstColumn="0" w:firstRowLastColumn="0" w:lastRowFirstColumn="0" w:lastRowLastColumn="0"/>
            </w:pPr>
            <w:r>
              <w:t xml:space="preserve">4 </w:t>
            </w:r>
            <w:r w:rsidR="00417AD3">
              <w:t>(</w:t>
            </w:r>
            <w:r w:rsidR="007F62EE">
              <w:t>10.3</w:t>
            </w:r>
            <w:r w:rsidR="00417AD3" w:rsidRPr="00AB1493">
              <w:t>%</w:t>
            </w:r>
            <w:r w:rsidR="00417AD3">
              <w:t>)</w:t>
            </w:r>
          </w:p>
        </w:tc>
        <w:tc>
          <w:tcPr>
            <w:tcW w:w="833" w:type="pct"/>
          </w:tcPr>
          <w:p w14:paraId="02C52CD8" w14:textId="581E554C" w:rsidR="00417AD3" w:rsidRPr="00AB1493" w:rsidRDefault="00883D08" w:rsidP="00E371E5">
            <w:pPr>
              <w:pStyle w:val="TableText"/>
              <w:cnfStyle w:val="000000000000" w:firstRow="0" w:lastRow="0" w:firstColumn="0" w:lastColumn="0" w:oddVBand="0" w:evenVBand="0" w:oddHBand="0" w:evenHBand="0" w:firstRowFirstColumn="0" w:firstRowLastColumn="0" w:lastRowFirstColumn="0" w:lastRowLastColumn="0"/>
            </w:pPr>
            <w:r>
              <w:t>4</w:t>
            </w:r>
            <w:r w:rsidR="00417AD3">
              <w:t xml:space="preserve"> (</w:t>
            </w:r>
            <w:r w:rsidR="007F62EE">
              <w:t>10.</w:t>
            </w:r>
            <w:r w:rsidR="00417AD3">
              <w:t>3</w:t>
            </w:r>
            <w:r w:rsidR="00417AD3" w:rsidRPr="00AB1493">
              <w:t>%</w:t>
            </w:r>
            <w:r w:rsidR="00417AD3">
              <w:t>)</w:t>
            </w:r>
          </w:p>
        </w:tc>
        <w:tc>
          <w:tcPr>
            <w:tcW w:w="833" w:type="pct"/>
          </w:tcPr>
          <w:p w14:paraId="61560121" w14:textId="3BF72565" w:rsidR="00417AD3" w:rsidRPr="00AB1493" w:rsidRDefault="00883D08" w:rsidP="00E371E5">
            <w:pPr>
              <w:pStyle w:val="TableText"/>
              <w:cnfStyle w:val="000000000000" w:firstRow="0" w:lastRow="0" w:firstColumn="0" w:lastColumn="0" w:oddVBand="0" w:evenVBand="0" w:oddHBand="0" w:evenHBand="0" w:firstRowFirstColumn="0" w:firstRowLastColumn="0" w:lastRowFirstColumn="0" w:lastRowLastColumn="0"/>
            </w:pPr>
            <w:r>
              <w:t>10</w:t>
            </w:r>
            <w:r w:rsidR="00417AD3">
              <w:t xml:space="preserve"> (</w:t>
            </w:r>
            <w:r w:rsidR="00417AD3" w:rsidRPr="00AB1493">
              <w:t>2</w:t>
            </w:r>
            <w:r w:rsidR="007F62EE">
              <w:t>5.6</w:t>
            </w:r>
            <w:r w:rsidR="00417AD3" w:rsidRPr="00AB1493">
              <w:t>%</w:t>
            </w:r>
            <w:r w:rsidR="00417AD3">
              <w:t>)</w:t>
            </w:r>
          </w:p>
        </w:tc>
        <w:tc>
          <w:tcPr>
            <w:tcW w:w="833" w:type="pct"/>
          </w:tcPr>
          <w:p w14:paraId="3B7644B4" w14:textId="30B9D71E" w:rsidR="00417AD3" w:rsidRPr="00AB1493" w:rsidRDefault="00417AD3" w:rsidP="00E371E5">
            <w:pPr>
              <w:pStyle w:val="TableText"/>
              <w:cnfStyle w:val="000000000000" w:firstRow="0" w:lastRow="0" w:firstColumn="0" w:lastColumn="0" w:oddVBand="0" w:evenVBand="0" w:oddHBand="0" w:evenHBand="0" w:firstRowFirstColumn="0" w:firstRowLastColumn="0" w:lastRowFirstColumn="0" w:lastRowLastColumn="0"/>
            </w:pPr>
            <w:r>
              <w:t>1</w:t>
            </w:r>
            <w:r w:rsidR="00883D08">
              <w:t>7</w:t>
            </w:r>
            <w:r>
              <w:t xml:space="preserve"> (</w:t>
            </w:r>
            <w:r w:rsidRPr="00AB1493">
              <w:t>4</w:t>
            </w:r>
            <w:r w:rsidR="00F03AD1">
              <w:t>3.6</w:t>
            </w:r>
            <w:r w:rsidRPr="00AB1493">
              <w:t>%</w:t>
            </w:r>
            <w:r>
              <w:t>)</w:t>
            </w:r>
          </w:p>
        </w:tc>
      </w:tr>
      <w:tr w:rsidR="002E5B6F" w:rsidRPr="009C1931" w14:paraId="54E9FE15" w14:textId="77777777" w:rsidTr="00E371E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1DAF76F4" w14:textId="77777777" w:rsidR="00417AD3" w:rsidRPr="005C4C25" w:rsidRDefault="00417AD3" w:rsidP="00E371E5">
            <w:pPr>
              <w:pStyle w:val="TableText"/>
            </w:pPr>
            <w:r w:rsidRPr="005C4C25">
              <w:t>An artificial breast worn in the bra</w:t>
            </w:r>
          </w:p>
        </w:tc>
        <w:tc>
          <w:tcPr>
            <w:tcW w:w="833" w:type="pct"/>
          </w:tcPr>
          <w:p w14:paraId="6F732F9A" w14:textId="7B8A5CA3" w:rsidR="00417AD3" w:rsidRPr="00AB1493" w:rsidRDefault="00417AD3" w:rsidP="00E371E5">
            <w:pPr>
              <w:pStyle w:val="TableText"/>
              <w:cnfStyle w:val="000000000000" w:firstRow="0" w:lastRow="0" w:firstColumn="0" w:lastColumn="0" w:oddVBand="0" w:evenVBand="0" w:oddHBand="0" w:evenHBand="0" w:firstRowFirstColumn="0" w:firstRowLastColumn="0" w:lastRowFirstColumn="0" w:lastRowLastColumn="0"/>
            </w:pPr>
            <w:r>
              <w:t>1 (</w:t>
            </w:r>
            <w:r w:rsidRPr="00AB1493">
              <w:t>33.3%</w:t>
            </w:r>
            <w:r>
              <w:t>)</w:t>
            </w:r>
          </w:p>
        </w:tc>
        <w:tc>
          <w:tcPr>
            <w:tcW w:w="833" w:type="pct"/>
          </w:tcPr>
          <w:p w14:paraId="30F6134B" w14:textId="0D4B2D2B" w:rsidR="00417AD3" w:rsidRPr="00AB1493" w:rsidRDefault="00417AD3" w:rsidP="00E371E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6B4EF0E5" w14:textId="59CB683D" w:rsidR="00417AD3" w:rsidRPr="00AB1493" w:rsidRDefault="00417AD3" w:rsidP="00E371E5">
            <w:pPr>
              <w:pStyle w:val="TableText"/>
              <w:cnfStyle w:val="000000000000" w:firstRow="0" w:lastRow="0" w:firstColumn="0" w:lastColumn="0" w:oddVBand="0" w:evenVBand="0" w:oddHBand="0" w:evenHBand="0" w:firstRowFirstColumn="0" w:firstRowLastColumn="0" w:lastRowFirstColumn="0" w:lastRowLastColumn="0"/>
            </w:pPr>
            <w:r>
              <w:t>1 (</w:t>
            </w:r>
            <w:r w:rsidRPr="00AB1493">
              <w:t>33.3%</w:t>
            </w:r>
            <w:r>
              <w:t>)</w:t>
            </w:r>
          </w:p>
        </w:tc>
        <w:tc>
          <w:tcPr>
            <w:tcW w:w="833" w:type="pct"/>
          </w:tcPr>
          <w:p w14:paraId="4E7C7A6D" w14:textId="72FF4ECB" w:rsidR="00417AD3" w:rsidRPr="00AB1493" w:rsidRDefault="00417AD3" w:rsidP="00E371E5">
            <w:pPr>
              <w:pStyle w:val="TableText"/>
              <w:cnfStyle w:val="000000000000" w:firstRow="0" w:lastRow="0" w:firstColumn="0" w:lastColumn="0" w:oddVBand="0" w:evenVBand="0" w:oddHBand="0" w:evenHBand="0" w:firstRowFirstColumn="0" w:firstRowLastColumn="0" w:lastRowFirstColumn="0" w:lastRowLastColumn="0"/>
            </w:pPr>
            <w:r>
              <w:t>1 (</w:t>
            </w:r>
            <w:r w:rsidRPr="00AB1493">
              <w:t>33.3%</w:t>
            </w:r>
            <w:r>
              <w:t>)</w:t>
            </w:r>
          </w:p>
        </w:tc>
        <w:tc>
          <w:tcPr>
            <w:tcW w:w="833" w:type="pct"/>
          </w:tcPr>
          <w:p w14:paraId="18717D8B" w14:textId="34C9D72C" w:rsidR="00417AD3" w:rsidRPr="00AB1493" w:rsidRDefault="00417AD3" w:rsidP="00E371E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r>
      <w:tr w:rsidR="002E5B6F" w:rsidRPr="009C1931" w14:paraId="5FCBB5DB" w14:textId="77777777" w:rsidTr="00E371E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4D8F7FA4" w14:textId="77777777" w:rsidR="00417AD3" w:rsidRPr="005C4C25" w:rsidRDefault="00417AD3" w:rsidP="00E371E5">
            <w:pPr>
              <w:pStyle w:val="TableText"/>
            </w:pPr>
            <w:r w:rsidRPr="005C4C25">
              <w:t>Voice prostheses</w:t>
            </w:r>
          </w:p>
        </w:tc>
        <w:tc>
          <w:tcPr>
            <w:tcW w:w="833" w:type="pct"/>
          </w:tcPr>
          <w:p w14:paraId="15209D75" w14:textId="3AEA9FEE" w:rsidR="00417AD3" w:rsidRPr="00AB1493" w:rsidRDefault="00417AD3" w:rsidP="00E371E5">
            <w:pPr>
              <w:pStyle w:val="TableText"/>
              <w:cnfStyle w:val="000000000000" w:firstRow="0" w:lastRow="0" w:firstColumn="0" w:lastColumn="0" w:oddVBand="0" w:evenVBand="0" w:oddHBand="0" w:evenHBand="0" w:firstRowFirstColumn="0" w:firstRowLastColumn="0" w:lastRowFirstColumn="0" w:lastRowLastColumn="0"/>
            </w:pPr>
            <w:r>
              <w:t>5 (</w:t>
            </w:r>
            <w:r w:rsidRPr="00AB1493">
              <w:t>38.</w:t>
            </w:r>
            <w:r w:rsidR="00D7759F">
              <w:t>5</w:t>
            </w:r>
            <w:r w:rsidRPr="00AB1493">
              <w:t>%</w:t>
            </w:r>
            <w:r>
              <w:t>)</w:t>
            </w:r>
          </w:p>
        </w:tc>
        <w:tc>
          <w:tcPr>
            <w:tcW w:w="833" w:type="pct"/>
          </w:tcPr>
          <w:p w14:paraId="1F45540B" w14:textId="50F83A9C" w:rsidR="00417AD3" w:rsidRPr="00AB1493" w:rsidRDefault="00417AD3" w:rsidP="00E371E5">
            <w:pPr>
              <w:pStyle w:val="TableText"/>
              <w:cnfStyle w:val="000000000000" w:firstRow="0" w:lastRow="0" w:firstColumn="0" w:lastColumn="0" w:oddVBand="0" w:evenVBand="0" w:oddHBand="0" w:evenHBand="0" w:firstRowFirstColumn="0" w:firstRowLastColumn="0" w:lastRowFirstColumn="0" w:lastRowLastColumn="0"/>
            </w:pPr>
            <w:r>
              <w:t>3 (</w:t>
            </w:r>
            <w:r w:rsidRPr="00AB1493">
              <w:t>23.</w:t>
            </w:r>
            <w:r w:rsidR="00D7759F">
              <w:t>1</w:t>
            </w:r>
            <w:r w:rsidRPr="00AB1493">
              <w:t>%</w:t>
            </w:r>
            <w:r>
              <w:t>)</w:t>
            </w:r>
          </w:p>
        </w:tc>
        <w:tc>
          <w:tcPr>
            <w:tcW w:w="833" w:type="pct"/>
          </w:tcPr>
          <w:p w14:paraId="41B5E8DC" w14:textId="1F9781F9" w:rsidR="00417AD3" w:rsidRPr="00AB1493" w:rsidRDefault="00417AD3" w:rsidP="00E371E5">
            <w:pPr>
              <w:pStyle w:val="TableText"/>
              <w:cnfStyle w:val="000000000000" w:firstRow="0" w:lastRow="0" w:firstColumn="0" w:lastColumn="0" w:oddVBand="0" w:evenVBand="0" w:oddHBand="0" w:evenHBand="0" w:firstRowFirstColumn="0" w:firstRowLastColumn="0" w:lastRowFirstColumn="0" w:lastRowLastColumn="0"/>
            </w:pPr>
            <w:r>
              <w:t>3 (</w:t>
            </w:r>
            <w:r w:rsidRPr="00AB1493">
              <w:t>23.</w:t>
            </w:r>
            <w:r w:rsidR="00D7759F">
              <w:t>1</w:t>
            </w:r>
            <w:r w:rsidRPr="00AB1493">
              <w:t>%</w:t>
            </w:r>
            <w:r>
              <w:t>)</w:t>
            </w:r>
          </w:p>
        </w:tc>
        <w:tc>
          <w:tcPr>
            <w:tcW w:w="833" w:type="pct"/>
          </w:tcPr>
          <w:p w14:paraId="7AB328F8" w14:textId="6C500B5F" w:rsidR="00417AD3" w:rsidRPr="00AB1493" w:rsidRDefault="00417AD3" w:rsidP="00E371E5">
            <w:pPr>
              <w:pStyle w:val="TableText"/>
              <w:cnfStyle w:val="000000000000" w:firstRow="0" w:lastRow="0" w:firstColumn="0" w:lastColumn="0" w:oddVBand="0" w:evenVBand="0" w:oddHBand="0" w:evenHBand="0" w:firstRowFirstColumn="0" w:firstRowLastColumn="0" w:lastRowFirstColumn="0" w:lastRowLastColumn="0"/>
            </w:pPr>
            <w:r>
              <w:t>2 (</w:t>
            </w:r>
            <w:r w:rsidRPr="00AB1493">
              <w:t>15.</w:t>
            </w:r>
            <w:r w:rsidR="00D7759F">
              <w:t>4</w:t>
            </w:r>
            <w:r w:rsidRPr="00AB1493">
              <w:t>%</w:t>
            </w:r>
            <w:r>
              <w:t>)</w:t>
            </w:r>
          </w:p>
        </w:tc>
        <w:tc>
          <w:tcPr>
            <w:tcW w:w="833" w:type="pct"/>
          </w:tcPr>
          <w:p w14:paraId="4637A542" w14:textId="3126641F" w:rsidR="00417AD3" w:rsidRPr="00AB1493" w:rsidRDefault="00417AD3" w:rsidP="00E371E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r>
      <w:tr w:rsidR="002E5B6F" w14:paraId="76B88C9E" w14:textId="77777777" w:rsidTr="00E371E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250C8D71" w14:textId="77777777" w:rsidR="00417AD3" w:rsidRPr="005C4C25" w:rsidRDefault="00417AD3" w:rsidP="00E371E5">
            <w:pPr>
              <w:pStyle w:val="TableText"/>
            </w:pPr>
            <w:r w:rsidRPr="005C4C25">
              <w:t>Dental prostheses</w:t>
            </w:r>
          </w:p>
        </w:tc>
        <w:tc>
          <w:tcPr>
            <w:tcW w:w="833" w:type="pct"/>
          </w:tcPr>
          <w:p w14:paraId="6D9AFDB1" w14:textId="046B8252" w:rsidR="00417AD3" w:rsidRPr="00AB1493" w:rsidRDefault="00D7759F" w:rsidP="00E371E5">
            <w:pPr>
              <w:pStyle w:val="TableText"/>
              <w:cnfStyle w:val="000000000000" w:firstRow="0" w:lastRow="0" w:firstColumn="0" w:lastColumn="0" w:oddVBand="0" w:evenVBand="0" w:oddHBand="0" w:evenHBand="0" w:firstRowFirstColumn="0" w:firstRowLastColumn="0" w:lastRowFirstColumn="0" w:lastRowLastColumn="0"/>
            </w:pPr>
            <w:r>
              <w:t>0 (</w:t>
            </w:r>
            <w:r w:rsidR="00417AD3" w:rsidRPr="00AB1493">
              <w:t>0.0%</w:t>
            </w:r>
            <w:r>
              <w:t>)</w:t>
            </w:r>
          </w:p>
        </w:tc>
        <w:tc>
          <w:tcPr>
            <w:tcW w:w="833" w:type="pct"/>
          </w:tcPr>
          <w:p w14:paraId="6E0360BD" w14:textId="5DED60AA" w:rsidR="00417AD3" w:rsidRPr="00AB1493" w:rsidRDefault="00417AD3" w:rsidP="00E371E5">
            <w:pPr>
              <w:pStyle w:val="TableText"/>
              <w:cnfStyle w:val="000000000000" w:firstRow="0" w:lastRow="0" w:firstColumn="0" w:lastColumn="0" w:oddVBand="0" w:evenVBand="0" w:oddHBand="0" w:evenHBand="0" w:firstRowFirstColumn="0" w:firstRowLastColumn="0" w:lastRowFirstColumn="0" w:lastRowLastColumn="0"/>
            </w:pPr>
            <w:r>
              <w:t>3 (</w:t>
            </w:r>
            <w:r w:rsidRPr="00AB1493">
              <w:t>33.3%</w:t>
            </w:r>
            <w:r>
              <w:t>)</w:t>
            </w:r>
          </w:p>
        </w:tc>
        <w:tc>
          <w:tcPr>
            <w:tcW w:w="833" w:type="pct"/>
          </w:tcPr>
          <w:p w14:paraId="12A3332A" w14:textId="1261EA27" w:rsidR="00417AD3" w:rsidRPr="00AB1493" w:rsidRDefault="00417AD3" w:rsidP="00E371E5">
            <w:pPr>
              <w:pStyle w:val="TableText"/>
              <w:cnfStyle w:val="000000000000" w:firstRow="0" w:lastRow="0" w:firstColumn="0" w:lastColumn="0" w:oddVBand="0" w:evenVBand="0" w:oddHBand="0" w:evenHBand="0" w:firstRowFirstColumn="0" w:firstRowLastColumn="0" w:lastRowFirstColumn="0" w:lastRowLastColumn="0"/>
            </w:pPr>
            <w:r>
              <w:t>2 (</w:t>
            </w:r>
            <w:r w:rsidRPr="00AB1493">
              <w:t>22.2%</w:t>
            </w:r>
            <w:r>
              <w:t>)</w:t>
            </w:r>
          </w:p>
        </w:tc>
        <w:tc>
          <w:tcPr>
            <w:tcW w:w="833" w:type="pct"/>
          </w:tcPr>
          <w:p w14:paraId="19EE9984" w14:textId="55D126A8" w:rsidR="00417AD3" w:rsidRPr="00AB1493" w:rsidRDefault="00417AD3" w:rsidP="00E371E5">
            <w:pPr>
              <w:pStyle w:val="TableText"/>
              <w:cnfStyle w:val="000000000000" w:firstRow="0" w:lastRow="0" w:firstColumn="0" w:lastColumn="0" w:oddVBand="0" w:evenVBand="0" w:oddHBand="0" w:evenHBand="0" w:firstRowFirstColumn="0" w:firstRowLastColumn="0" w:lastRowFirstColumn="0" w:lastRowLastColumn="0"/>
            </w:pPr>
            <w:r>
              <w:t>1 (</w:t>
            </w:r>
            <w:r w:rsidRPr="00AB1493">
              <w:t>11.1%</w:t>
            </w:r>
            <w:r>
              <w:t>)</w:t>
            </w:r>
          </w:p>
        </w:tc>
        <w:tc>
          <w:tcPr>
            <w:tcW w:w="833" w:type="pct"/>
          </w:tcPr>
          <w:p w14:paraId="71842CD3" w14:textId="28DBC9A9" w:rsidR="00417AD3" w:rsidRPr="00AB1493" w:rsidRDefault="00417AD3" w:rsidP="00E371E5">
            <w:pPr>
              <w:pStyle w:val="TableText"/>
              <w:cnfStyle w:val="000000000000" w:firstRow="0" w:lastRow="0" w:firstColumn="0" w:lastColumn="0" w:oddVBand="0" w:evenVBand="0" w:oddHBand="0" w:evenHBand="0" w:firstRowFirstColumn="0" w:firstRowLastColumn="0" w:lastRowFirstColumn="0" w:lastRowLastColumn="0"/>
            </w:pPr>
            <w:r>
              <w:t>3 (</w:t>
            </w:r>
            <w:r w:rsidRPr="00AB1493">
              <w:t>33.3%</w:t>
            </w:r>
            <w:r>
              <w:t>)</w:t>
            </w:r>
          </w:p>
        </w:tc>
      </w:tr>
      <w:tr w:rsidR="002E5B6F" w14:paraId="1D37220C" w14:textId="77777777" w:rsidTr="00E371E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20F76DE1" w14:textId="77777777" w:rsidR="00417AD3" w:rsidRPr="005C4C25" w:rsidRDefault="00417AD3" w:rsidP="00E371E5">
            <w:pPr>
              <w:pStyle w:val="TableText"/>
            </w:pPr>
            <w:r>
              <w:t>Fat grafting</w:t>
            </w:r>
          </w:p>
        </w:tc>
        <w:tc>
          <w:tcPr>
            <w:tcW w:w="833" w:type="pct"/>
          </w:tcPr>
          <w:p w14:paraId="4F3F1A8B" w14:textId="2B73389D" w:rsidR="00417AD3" w:rsidRPr="00AB1493" w:rsidRDefault="00417AD3" w:rsidP="00E371E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42EA1D1D" w14:textId="76A24C78" w:rsidR="00417AD3" w:rsidRPr="00AB1493" w:rsidRDefault="00417AD3" w:rsidP="00E371E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2A6BBA7A" w14:textId="51609297" w:rsidR="00417AD3" w:rsidRPr="00AB1493" w:rsidRDefault="00417AD3" w:rsidP="00E371E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01DDA51A" w14:textId="53C4F1A4" w:rsidR="00417AD3" w:rsidRPr="00AB1493" w:rsidRDefault="00417AD3" w:rsidP="00E371E5">
            <w:pPr>
              <w:pStyle w:val="TableText"/>
              <w:cnfStyle w:val="000000000000" w:firstRow="0" w:lastRow="0" w:firstColumn="0" w:lastColumn="0" w:oddVBand="0" w:evenVBand="0" w:oddHBand="0" w:evenHBand="0" w:firstRowFirstColumn="0" w:firstRowLastColumn="0" w:lastRowFirstColumn="0" w:lastRowLastColumn="0"/>
            </w:pPr>
            <w:r>
              <w:t>1 (</w:t>
            </w:r>
            <w:r w:rsidRPr="00AB1493">
              <w:t>100.0%</w:t>
            </w:r>
            <w:r>
              <w:t>)</w:t>
            </w:r>
          </w:p>
        </w:tc>
        <w:tc>
          <w:tcPr>
            <w:tcW w:w="833" w:type="pct"/>
          </w:tcPr>
          <w:p w14:paraId="2F139490" w14:textId="47AB7186" w:rsidR="00417AD3" w:rsidRPr="00AB1493" w:rsidRDefault="00417AD3" w:rsidP="00E371E5">
            <w:pPr>
              <w:pStyle w:val="TableText"/>
              <w:cnfStyle w:val="000000000000" w:firstRow="0" w:lastRow="0" w:firstColumn="0" w:lastColumn="0" w:oddVBand="0" w:evenVBand="0" w:oddHBand="0" w:evenHBand="0" w:firstRowFirstColumn="0" w:firstRowLastColumn="0" w:lastRowFirstColumn="0" w:lastRowLastColumn="0"/>
            </w:pPr>
            <w:r>
              <w:t>0</w:t>
            </w:r>
            <w:r w:rsidR="00D7759F">
              <w:t xml:space="preserve"> (0.0%)</w:t>
            </w:r>
          </w:p>
        </w:tc>
      </w:tr>
      <w:tr w:rsidR="002E5B6F" w:rsidRPr="009C1931" w14:paraId="2A29888F" w14:textId="77777777" w:rsidTr="00E371E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6721E6A5" w14:textId="77777777" w:rsidR="00417AD3" w:rsidRPr="00C33FD2" w:rsidRDefault="00417AD3" w:rsidP="00E371E5">
            <w:pPr>
              <w:pStyle w:val="Tabletextbold"/>
              <w:rPr>
                <w:rFonts w:eastAsiaTheme="minorEastAsia" w:cs="Arial"/>
                <w:b/>
                <w:bCs/>
                <w:szCs w:val="18"/>
              </w:rPr>
            </w:pPr>
            <w:r w:rsidRPr="00C33FD2">
              <w:rPr>
                <w:b/>
                <w:bCs/>
              </w:rPr>
              <w:t>Total</w:t>
            </w:r>
            <w:r w:rsidRPr="00C33FD2">
              <w:rPr>
                <w:rFonts w:eastAsiaTheme="minorEastAsia" w:cs="Arial"/>
                <w:b/>
                <w:bCs/>
                <w:szCs w:val="18"/>
              </w:rPr>
              <w:t>: 65 respondents</w:t>
            </w:r>
          </w:p>
        </w:tc>
        <w:tc>
          <w:tcPr>
            <w:tcW w:w="833" w:type="pct"/>
          </w:tcPr>
          <w:p w14:paraId="1A9A424D" w14:textId="2B0413A8" w:rsidR="00417AD3" w:rsidRPr="006F5F45" w:rsidRDefault="00417AD3" w:rsidP="00E371E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10 (15.</w:t>
            </w:r>
            <w:r w:rsidR="00D7759F" w:rsidRPr="006F5F45">
              <w:rPr>
                <w:szCs w:val="20"/>
              </w:rPr>
              <w:t>4</w:t>
            </w:r>
            <w:r w:rsidRPr="006F5F45">
              <w:rPr>
                <w:szCs w:val="20"/>
              </w:rPr>
              <w:t>%)</w:t>
            </w:r>
          </w:p>
        </w:tc>
        <w:tc>
          <w:tcPr>
            <w:tcW w:w="833" w:type="pct"/>
          </w:tcPr>
          <w:p w14:paraId="2AEE4F34" w14:textId="59C088A6" w:rsidR="00417AD3" w:rsidRPr="006F5F45" w:rsidRDefault="00417AD3" w:rsidP="00E371E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10 (15.</w:t>
            </w:r>
            <w:r w:rsidR="00D7759F" w:rsidRPr="006F5F45">
              <w:rPr>
                <w:szCs w:val="20"/>
              </w:rPr>
              <w:t>4</w:t>
            </w:r>
            <w:r w:rsidRPr="006F5F45">
              <w:rPr>
                <w:szCs w:val="20"/>
              </w:rPr>
              <w:t>%)</w:t>
            </w:r>
          </w:p>
        </w:tc>
        <w:tc>
          <w:tcPr>
            <w:tcW w:w="833" w:type="pct"/>
          </w:tcPr>
          <w:p w14:paraId="13613F75" w14:textId="30649535" w:rsidR="00417AD3" w:rsidRPr="006F5F45" w:rsidRDefault="00417AD3" w:rsidP="00E371E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10 (15.</w:t>
            </w:r>
            <w:r w:rsidR="00D7759F" w:rsidRPr="006F5F45">
              <w:rPr>
                <w:szCs w:val="20"/>
              </w:rPr>
              <w:t>4</w:t>
            </w:r>
            <w:r w:rsidRPr="006F5F45">
              <w:rPr>
                <w:szCs w:val="20"/>
              </w:rPr>
              <w:t>%)</w:t>
            </w:r>
          </w:p>
        </w:tc>
        <w:tc>
          <w:tcPr>
            <w:tcW w:w="833" w:type="pct"/>
          </w:tcPr>
          <w:p w14:paraId="14CC1C83" w14:textId="1998E9D2" w:rsidR="00417AD3" w:rsidRPr="006F5F45" w:rsidRDefault="00417AD3" w:rsidP="00E371E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15 (23.</w:t>
            </w:r>
            <w:r w:rsidR="00D7759F" w:rsidRPr="006F5F45">
              <w:rPr>
                <w:szCs w:val="20"/>
              </w:rPr>
              <w:t>1</w:t>
            </w:r>
            <w:r w:rsidRPr="006F5F45">
              <w:rPr>
                <w:szCs w:val="20"/>
              </w:rPr>
              <w:t>%)</w:t>
            </w:r>
          </w:p>
        </w:tc>
        <w:tc>
          <w:tcPr>
            <w:tcW w:w="833" w:type="pct"/>
          </w:tcPr>
          <w:p w14:paraId="756E791F" w14:textId="0CBB26BC" w:rsidR="00417AD3" w:rsidRPr="006F5F45" w:rsidRDefault="00417AD3" w:rsidP="00E371E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20 (30.</w:t>
            </w:r>
            <w:r w:rsidR="00D7759F" w:rsidRPr="006F5F45">
              <w:rPr>
                <w:szCs w:val="20"/>
              </w:rPr>
              <w:t>8</w:t>
            </w:r>
            <w:r w:rsidRPr="006F5F45">
              <w:rPr>
                <w:szCs w:val="20"/>
              </w:rPr>
              <w:t>%)</w:t>
            </w:r>
          </w:p>
        </w:tc>
      </w:tr>
    </w:tbl>
    <w:p w14:paraId="5396D1F0" w14:textId="630A85F5" w:rsidR="00157845" w:rsidRDefault="00157845" w:rsidP="00E371E5">
      <w:pPr>
        <w:pStyle w:val="Caption-Source"/>
        <w:rPr>
          <w:rFonts w:ascii="Arial" w:eastAsiaTheme="minorEastAsia" w:hAnsi="Arial" w:cs="Arial"/>
          <w:i/>
          <w:color w:val="auto"/>
        </w:rPr>
      </w:pPr>
      <w:r w:rsidRPr="00032942">
        <w:t xml:space="preserve">Source: </w:t>
      </w:r>
      <w:r w:rsidR="00604AA5">
        <w:t>Independent reviewer</w:t>
      </w:r>
      <w:r w:rsidR="00604AA5" w:rsidRPr="00CD3106">
        <w:t xml:space="preserve"> </w:t>
      </w:r>
      <w:r w:rsidR="00584D02" w:rsidRPr="00C76D17">
        <w:t>(</w:t>
      </w:r>
      <w:r w:rsidRPr="00C76D17">
        <w:t>2025</w:t>
      </w:r>
      <w:r w:rsidR="00584D02" w:rsidRPr="00C76D17">
        <w:t>)</w:t>
      </w:r>
    </w:p>
    <w:p w14:paraId="7E89622C" w14:textId="77777777" w:rsidR="00C33FD2" w:rsidRPr="0042443F" w:rsidRDefault="00C33FD2" w:rsidP="00A10684">
      <w:pPr>
        <w:rPr>
          <w:rStyle w:val="Strong"/>
        </w:rPr>
      </w:pPr>
      <w:r w:rsidRPr="0042443F">
        <w:rPr>
          <w:rStyle w:val="Strong"/>
        </w:rPr>
        <w:br w:type="page"/>
      </w:r>
    </w:p>
    <w:p w14:paraId="6AC9AB41" w14:textId="07647CEB" w:rsidR="00EA68B2" w:rsidRPr="0042443F" w:rsidRDefault="00E371E5" w:rsidP="00E371E5">
      <w:pPr>
        <w:spacing w:before="0" w:after="160" w:line="259" w:lineRule="auto"/>
        <w:rPr>
          <w:rStyle w:val="Strong"/>
        </w:rPr>
      </w:pPr>
      <w:r w:rsidRPr="0042443F">
        <w:rPr>
          <w:rStyle w:val="Strong"/>
        </w:rPr>
        <w:t xml:space="preserve">Statement 5: </w:t>
      </w:r>
      <w:r w:rsidR="00EA68B2" w:rsidRPr="0042443F">
        <w:rPr>
          <w:rStyle w:val="Strong"/>
        </w:rPr>
        <w:t xml:space="preserve">I had to travel a significant distance (e.g. to another city or town) to access a prosthesis </w:t>
      </w:r>
    </w:p>
    <w:p w14:paraId="21836FBA" w14:textId="579CA7E9" w:rsidR="00E371E5" w:rsidRDefault="00E371E5" w:rsidP="00E371E5">
      <w:pPr>
        <w:pStyle w:val="Caption"/>
      </w:pPr>
      <w:bookmarkStart w:id="238" w:name="_Toc207348630"/>
      <w:r>
        <w:t xml:space="preserve">Table </w:t>
      </w:r>
      <w:r w:rsidR="00E6799D">
        <w:fldChar w:fldCharType="begin"/>
      </w:r>
      <w:r w:rsidR="00E6799D">
        <w:instrText xml:space="preserve"> SEQ Table \* ARABIC </w:instrText>
      </w:r>
      <w:r w:rsidR="00E6799D">
        <w:fldChar w:fldCharType="separate"/>
      </w:r>
      <w:r w:rsidR="00E6799D">
        <w:rPr>
          <w:noProof/>
        </w:rPr>
        <w:t>65</w:t>
      </w:r>
      <w:r w:rsidR="00E6799D">
        <w:rPr>
          <w:noProof/>
        </w:rPr>
        <w:fldChar w:fldCharType="end"/>
      </w:r>
      <w:r>
        <w:t xml:space="preserve">: </w:t>
      </w:r>
      <w:r w:rsidRPr="00A63528">
        <w:t xml:space="preserve">Responses by </w:t>
      </w:r>
      <w:r>
        <w:t>jurisdiction</w:t>
      </w:r>
      <w:r w:rsidRPr="00A63528">
        <w:t xml:space="preserve"> to Statement </w:t>
      </w:r>
      <w:r>
        <w:t>5</w:t>
      </w:r>
      <w:bookmarkEnd w:id="238"/>
    </w:p>
    <w:tbl>
      <w:tblPr>
        <w:tblStyle w:val="KPMGTable"/>
        <w:tblW w:w="5000" w:type="pct"/>
        <w:tblLook w:val="04A0" w:firstRow="1" w:lastRow="0" w:firstColumn="1" w:lastColumn="0" w:noHBand="0" w:noVBand="1"/>
      </w:tblPr>
      <w:tblGrid>
        <w:gridCol w:w="1701"/>
        <w:gridCol w:w="1701"/>
        <w:gridCol w:w="1701"/>
        <w:gridCol w:w="1701"/>
        <w:gridCol w:w="1700"/>
        <w:gridCol w:w="1700"/>
      </w:tblGrid>
      <w:tr w:rsidR="00AD6F37" w:rsidRPr="00501302" w14:paraId="540A822D"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833" w:type="pct"/>
          </w:tcPr>
          <w:p w14:paraId="4BA839A9" w14:textId="77777777" w:rsidR="00417AD3" w:rsidRPr="007B154A" w:rsidRDefault="00417AD3" w:rsidP="00E371E5">
            <w:pPr>
              <w:pStyle w:val="TableHeading"/>
              <w:rPr>
                <w:b w:val="0"/>
                <w:color w:val="FFFFFF" w:themeColor="background1"/>
                <w:szCs w:val="20"/>
              </w:rPr>
            </w:pPr>
            <w:r>
              <w:t>Response</w:t>
            </w:r>
          </w:p>
        </w:tc>
        <w:tc>
          <w:tcPr>
            <w:tcW w:w="833" w:type="pct"/>
          </w:tcPr>
          <w:p w14:paraId="0FB8E289" w14:textId="77777777" w:rsidR="00417AD3" w:rsidRDefault="00417AD3" w:rsidP="00E371E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disagree</w:t>
            </w:r>
          </w:p>
        </w:tc>
        <w:tc>
          <w:tcPr>
            <w:tcW w:w="833" w:type="pct"/>
          </w:tcPr>
          <w:p w14:paraId="42D768F4" w14:textId="77777777" w:rsidR="00417AD3" w:rsidRDefault="00417AD3" w:rsidP="00E371E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disagree</w:t>
            </w:r>
          </w:p>
        </w:tc>
        <w:tc>
          <w:tcPr>
            <w:tcW w:w="833" w:type="pct"/>
          </w:tcPr>
          <w:p w14:paraId="5CE2218B" w14:textId="77777777" w:rsidR="00417AD3" w:rsidRDefault="00417AD3" w:rsidP="00E371E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Neither agree nor disagree</w:t>
            </w:r>
          </w:p>
        </w:tc>
        <w:tc>
          <w:tcPr>
            <w:tcW w:w="833" w:type="pct"/>
          </w:tcPr>
          <w:p w14:paraId="6A2DC795" w14:textId="77777777" w:rsidR="00417AD3" w:rsidRDefault="00417AD3" w:rsidP="00E371E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agree</w:t>
            </w:r>
          </w:p>
        </w:tc>
        <w:tc>
          <w:tcPr>
            <w:tcW w:w="833" w:type="pct"/>
          </w:tcPr>
          <w:p w14:paraId="794E8328" w14:textId="77777777" w:rsidR="00417AD3" w:rsidRDefault="00417AD3" w:rsidP="00E371E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agree</w:t>
            </w:r>
          </w:p>
        </w:tc>
      </w:tr>
      <w:tr w:rsidR="002E5B6F" w:rsidRPr="00DE530D" w14:paraId="6C348D13" w14:textId="77777777" w:rsidTr="00E371E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3230E0E0" w14:textId="77777777" w:rsidR="00417AD3" w:rsidRPr="00E90673" w:rsidRDefault="00417AD3" w:rsidP="00E371E5">
            <w:pPr>
              <w:pStyle w:val="TableText"/>
            </w:pPr>
            <w:r>
              <w:t>New South Wales</w:t>
            </w:r>
          </w:p>
        </w:tc>
        <w:tc>
          <w:tcPr>
            <w:tcW w:w="833" w:type="pct"/>
          </w:tcPr>
          <w:p w14:paraId="182FB3C4" w14:textId="218893BB" w:rsidR="00417AD3" w:rsidRPr="00AA253C" w:rsidRDefault="00417AD3" w:rsidP="00E371E5">
            <w:pPr>
              <w:pStyle w:val="TableText"/>
              <w:cnfStyle w:val="000000000000" w:firstRow="0" w:lastRow="0" w:firstColumn="0" w:lastColumn="0" w:oddVBand="0" w:evenVBand="0" w:oddHBand="0" w:evenHBand="0" w:firstRowFirstColumn="0" w:firstRowLastColumn="0" w:lastRowFirstColumn="0" w:lastRowLastColumn="0"/>
            </w:pPr>
            <w:r>
              <w:t>10 (</w:t>
            </w:r>
            <w:r w:rsidRPr="00AA253C">
              <w:t>27.8%</w:t>
            </w:r>
            <w:r>
              <w:t>)</w:t>
            </w:r>
          </w:p>
        </w:tc>
        <w:tc>
          <w:tcPr>
            <w:tcW w:w="833" w:type="pct"/>
          </w:tcPr>
          <w:p w14:paraId="79101721" w14:textId="083AC39B" w:rsidR="00417AD3" w:rsidRPr="00AA253C" w:rsidRDefault="00417AD3" w:rsidP="00E371E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79543E47" w14:textId="01005EDB" w:rsidR="00417AD3" w:rsidRPr="00AA253C" w:rsidRDefault="00417AD3" w:rsidP="00E371E5">
            <w:pPr>
              <w:pStyle w:val="TableText"/>
              <w:cnfStyle w:val="000000000000" w:firstRow="0" w:lastRow="0" w:firstColumn="0" w:lastColumn="0" w:oddVBand="0" w:evenVBand="0" w:oddHBand="0" w:evenHBand="0" w:firstRowFirstColumn="0" w:firstRowLastColumn="0" w:lastRowFirstColumn="0" w:lastRowLastColumn="0"/>
            </w:pPr>
            <w:r>
              <w:t>8 (22.2%)</w:t>
            </w:r>
          </w:p>
        </w:tc>
        <w:tc>
          <w:tcPr>
            <w:tcW w:w="833" w:type="pct"/>
          </w:tcPr>
          <w:p w14:paraId="2FE61C36" w14:textId="67FA44D0" w:rsidR="00417AD3" w:rsidRPr="00AA253C" w:rsidRDefault="00417AD3" w:rsidP="00E371E5">
            <w:pPr>
              <w:pStyle w:val="TableText"/>
              <w:cnfStyle w:val="000000000000" w:firstRow="0" w:lastRow="0" w:firstColumn="0" w:lastColumn="0" w:oddVBand="0" w:evenVBand="0" w:oddHBand="0" w:evenHBand="0" w:firstRowFirstColumn="0" w:firstRowLastColumn="0" w:lastRowFirstColumn="0" w:lastRowLastColumn="0"/>
            </w:pPr>
            <w:r>
              <w:t>6 (</w:t>
            </w:r>
            <w:r w:rsidRPr="00AA253C">
              <w:t>16.7%</w:t>
            </w:r>
            <w:r>
              <w:t>)</w:t>
            </w:r>
          </w:p>
        </w:tc>
        <w:tc>
          <w:tcPr>
            <w:tcW w:w="833" w:type="pct"/>
          </w:tcPr>
          <w:p w14:paraId="29D5052E" w14:textId="663D0820" w:rsidR="00417AD3" w:rsidRPr="00AA253C" w:rsidRDefault="00417AD3" w:rsidP="00E371E5">
            <w:pPr>
              <w:pStyle w:val="TableText"/>
              <w:cnfStyle w:val="000000000000" w:firstRow="0" w:lastRow="0" w:firstColumn="0" w:lastColumn="0" w:oddVBand="0" w:evenVBand="0" w:oddHBand="0" w:evenHBand="0" w:firstRowFirstColumn="0" w:firstRowLastColumn="0" w:lastRowFirstColumn="0" w:lastRowLastColumn="0"/>
            </w:pPr>
            <w:r>
              <w:t>12 (</w:t>
            </w:r>
            <w:r w:rsidRPr="00AA253C">
              <w:t>33.3%</w:t>
            </w:r>
            <w:r>
              <w:t>)</w:t>
            </w:r>
          </w:p>
        </w:tc>
      </w:tr>
      <w:tr w:rsidR="002E5B6F" w:rsidRPr="00DE530D" w14:paraId="696D6F6A" w14:textId="77777777" w:rsidTr="00E371E5">
        <w:trPr>
          <w:trHeight w:val="321"/>
        </w:trPr>
        <w:tc>
          <w:tcPr>
            <w:cnfStyle w:val="001000000000" w:firstRow="0" w:lastRow="0" w:firstColumn="1" w:lastColumn="0" w:oddVBand="0" w:evenVBand="0" w:oddHBand="0" w:evenHBand="0" w:firstRowFirstColumn="0" w:firstRowLastColumn="0" w:lastRowFirstColumn="0" w:lastRowLastColumn="0"/>
            <w:tcW w:w="833" w:type="pct"/>
          </w:tcPr>
          <w:p w14:paraId="37150A2A" w14:textId="77777777" w:rsidR="00417AD3" w:rsidRPr="006D20D0" w:rsidRDefault="00417AD3" w:rsidP="00E371E5">
            <w:pPr>
              <w:pStyle w:val="TableText"/>
              <w:rPr>
                <w:szCs w:val="18"/>
              </w:rPr>
            </w:pPr>
            <w:r>
              <w:rPr>
                <w:szCs w:val="18"/>
              </w:rPr>
              <w:t>Victoria</w:t>
            </w:r>
          </w:p>
        </w:tc>
        <w:tc>
          <w:tcPr>
            <w:tcW w:w="833" w:type="pct"/>
          </w:tcPr>
          <w:p w14:paraId="3D33B544" w14:textId="24CCEEC9" w:rsidR="00417AD3" w:rsidRPr="00AA253C" w:rsidRDefault="00417AD3" w:rsidP="00E371E5">
            <w:pPr>
              <w:pStyle w:val="TableText"/>
              <w:cnfStyle w:val="000000000000" w:firstRow="0" w:lastRow="0" w:firstColumn="0" w:lastColumn="0" w:oddVBand="0" w:evenVBand="0" w:oddHBand="0" w:evenHBand="0" w:firstRowFirstColumn="0" w:firstRowLastColumn="0" w:lastRowFirstColumn="0" w:lastRowLastColumn="0"/>
            </w:pPr>
            <w:r>
              <w:t>3 (</w:t>
            </w:r>
            <w:r w:rsidRPr="00AA253C">
              <w:t>50.0%</w:t>
            </w:r>
            <w:r>
              <w:t>)</w:t>
            </w:r>
          </w:p>
        </w:tc>
        <w:tc>
          <w:tcPr>
            <w:tcW w:w="833" w:type="pct"/>
          </w:tcPr>
          <w:p w14:paraId="03BDBA8A" w14:textId="516EBAD2" w:rsidR="00417AD3" w:rsidRPr="00AA253C" w:rsidRDefault="00417AD3" w:rsidP="00E371E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20A9E287" w14:textId="06439D54" w:rsidR="00417AD3" w:rsidRPr="00AA253C" w:rsidRDefault="00417AD3" w:rsidP="00E371E5">
            <w:pPr>
              <w:pStyle w:val="TableText"/>
              <w:cnfStyle w:val="000000000000" w:firstRow="0" w:lastRow="0" w:firstColumn="0" w:lastColumn="0" w:oddVBand="0" w:evenVBand="0" w:oddHBand="0" w:evenHBand="0" w:firstRowFirstColumn="0" w:firstRowLastColumn="0" w:lastRowFirstColumn="0" w:lastRowLastColumn="0"/>
            </w:pPr>
            <w:r>
              <w:t>2 (</w:t>
            </w:r>
            <w:r w:rsidRPr="00AA253C">
              <w:t>33.3%</w:t>
            </w:r>
            <w:r>
              <w:t>)</w:t>
            </w:r>
          </w:p>
        </w:tc>
        <w:tc>
          <w:tcPr>
            <w:tcW w:w="833" w:type="pct"/>
          </w:tcPr>
          <w:p w14:paraId="306416D5" w14:textId="072ECE4F" w:rsidR="00417AD3" w:rsidRPr="00AA253C" w:rsidRDefault="00417AD3" w:rsidP="00E371E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0ACCAF4A" w14:textId="608A8F2A" w:rsidR="00417AD3" w:rsidRPr="00AA253C" w:rsidRDefault="00417AD3" w:rsidP="00E371E5">
            <w:pPr>
              <w:pStyle w:val="TableText"/>
              <w:cnfStyle w:val="000000000000" w:firstRow="0" w:lastRow="0" w:firstColumn="0" w:lastColumn="0" w:oddVBand="0" w:evenVBand="0" w:oddHBand="0" w:evenHBand="0" w:firstRowFirstColumn="0" w:firstRowLastColumn="0" w:lastRowFirstColumn="0" w:lastRowLastColumn="0"/>
            </w:pPr>
            <w:r>
              <w:t>1 (</w:t>
            </w:r>
            <w:r w:rsidRPr="00AA253C">
              <w:t>16.</w:t>
            </w:r>
            <w:r w:rsidR="005A6ADF">
              <w:t>7</w:t>
            </w:r>
            <w:r w:rsidRPr="00AA253C">
              <w:t>%</w:t>
            </w:r>
            <w:r>
              <w:t>)</w:t>
            </w:r>
          </w:p>
        </w:tc>
      </w:tr>
      <w:tr w:rsidR="002E5B6F" w:rsidRPr="00DE530D" w14:paraId="537A046B" w14:textId="77777777" w:rsidTr="00E371E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265824EE" w14:textId="77777777" w:rsidR="00417AD3" w:rsidRPr="00E90673" w:rsidRDefault="00417AD3" w:rsidP="00E371E5">
            <w:pPr>
              <w:pStyle w:val="TableText"/>
            </w:pPr>
            <w:r>
              <w:t>Queensland</w:t>
            </w:r>
          </w:p>
        </w:tc>
        <w:tc>
          <w:tcPr>
            <w:tcW w:w="833" w:type="pct"/>
          </w:tcPr>
          <w:p w14:paraId="1E8D75C3" w14:textId="2391989A" w:rsidR="00417AD3" w:rsidRPr="00AA253C" w:rsidRDefault="00417AD3" w:rsidP="00E371E5">
            <w:pPr>
              <w:pStyle w:val="TableText"/>
              <w:cnfStyle w:val="000000000000" w:firstRow="0" w:lastRow="0" w:firstColumn="0" w:lastColumn="0" w:oddVBand="0" w:evenVBand="0" w:oddHBand="0" w:evenHBand="0" w:firstRowFirstColumn="0" w:firstRowLastColumn="0" w:lastRowFirstColumn="0" w:lastRowLastColumn="0"/>
            </w:pPr>
            <w:r>
              <w:t>4 (</w:t>
            </w:r>
            <w:r w:rsidRPr="00AA253C">
              <w:t>28.</w:t>
            </w:r>
            <w:r w:rsidR="00617A35">
              <w:t>6</w:t>
            </w:r>
            <w:r w:rsidRPr="00AA253C">
              <w:t>%</w:t>
            </w:r>
            <w:r>
              <w:t>)</w:t>
            </w:r>
          </w:p>
        </w:tc>
        <w:tc>
          <w:tcPr>
            <w:tcW w:w="833" w:type="pct"/>
          </w:tcPr>
          <w:p w14:paraId="33EB6F44" w14:textId="2001E165" w:rsidR="00417AD3" w:rsidRPr="00AA253C" w:rsidRDefault="00417AD3" w:rsidP="00E371E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6A184ABC" w14:textId="28FD2AF3" w:rsidR="00417AD3" w:rsidRPr="00AA253C" w:rsidRDefault="00417AD3" w:rsidP="00E371E5">
            <w:pPr>
              <w:pStyle w:val="TableText"/>
              <w:cnfStyle w:val="000000000000" w:firstRow="0" w:lastRow="0" w:firstColumn="0" w:lastColumn="0" w:oddVBand="0" w:evenVBand="0" w:oddHBand="0" w:evenHBand="0" w:firstRowFirstColumn="0" w:firstRowLastColumn="0" w:lastRowFirstColumn="0" w:lastRowLastColumn="0"/>
            </w:pPr>
            <w:r>
              <w:t>3 (</w:t>
            </w:r>
            <w:r w:rsidRPr="00AA253C">
              <w:t>21.4%</w:t>
            </w:r>
            <w:r>
              <w:t>)</w:t>
            </w:r>
          </w:p>
        </w:tc>
        <w:tc>
          <w:tcPr>
            <w:tcW w:w="833" w:type="pct"/>
          </w:tcPr>
          <w:p w14:paraId="40F7EFA1" w14:textId="29AD7202" w:rsidR="00417AD3" w:rsidRPr="00AA253C" w:rsidRDefault="00417AD3" w:rsidP="00E371E5">
            <w:pPr>
              <w:pStyle w:val="TableText"/>
              <w:cnfStyle w:val="000000000000" w:firstRow="0" w:lastRow="0" w:firstColumn="0" w:lastColumn="0" w:oddVBand="0" w:evenVBand="0" w:oddHBand="0" w:evenHBand="0" w:firstRowFirstColumn="0" w:firstRowLastColumn="0" w:lastRowFirstColumn="0" w:lastRowLastColumn="0"/>
            </w:pPr>
            <w:r>
              <w:t>1 (</w:t>
            </w:r>
            <w:r w:rsidRPr="00AA253C">
              <w:t>7.1%</w:t>
            </w:r>
            <w:r>
              <w:t>)</w:t>
            </w:r>
          </w:p>
        </w:tc>
        <w:tc>
          <w:tcPr>
            <w:tcW w:w="833" w:type="pct"/>
          </w:tcPr>
          <w:p w14:paraId="02B0CB75" w14:textId="098EE0AF" w:rsidR="00417AD3" w:rsidRPr="00AA253C" w:rsidRDefault="00417AD3" w:rsidP="00E371E5">
            <w:pPr>
              <w:pStyle w:val="TableText"/>
              <w:cnfStyle w:val="000000000000" w:firstRow="0" w:lastRow="0" w:firstColumn="0" w:lastColumn="0" w:oddVBand="0" w:evenVBand="0" w:oddHBand="0" w:evenHBand="0" w:firstRowFirstColumn="0" w:firstRowLastColumn="0" w:lastRowFirstColumn="0" w:lastRowLastColumn="0"/>
            </w:pPr>
            <w:r>
              <w:t>6 (</w:t>
            </w:r>
            <w:r w:rsidRPr="00AA253C">
              <w:t>42.</w:t>
            </w:r>
            <w:r w:rsidR="005A6ADF">
              <w:t>9</w:t>
            </w:r>
            <w:r w:rsidRPr="00AA253C">
              <w:t>%</w:t>
            </w:r>
            <w:r>
              <w:t>)</w:t>
            </w:r>
          </w:p>
        </w:tc>
      </w:tr>
      <w:tr w:rsidR="002E5B6F" w:rsidRPr="00DE530D" w14:paraId="4C3E9195" w14:textId="77777777" w:rsidTr="00E371E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0B087091" w14:textId="77777777" w:rsidR="00417AD3" w:rsidRPr="006D20D0" w:rsidRDefault="00417AD3" w:rsidP="00E371E5">
            <w:pPr>
              <w:pStyle w:val="TableText"/>
              <w:rPr>
                <w:szCs w:val="18"/>
              </w:rPr>
            </w:pPr>
            <w:r>
              <w:rPr>
                <w:szCs w:val="18"/>
              </w:rPr>
              <w:t xml:space="preserve">South Australia </w:t>
            </w:r>
          </w:p>
        </w:tc>
        <w:tc>
          <w:tcPr>
            <w:tcW w:w="833" w:type="pct"/>
          </w:tcPr>
          <w:p w14:paraId="5DD3202C" w14:textId="23981EF8" w:rsidR="00417AD3" w:rsidRPr="00AA253C" w:rsidRDefault="00417AD3" w:rsidP="00E371E5">
            <w:pPr>
              <w:pStyle w:val="TableText"/>
              <w:cnfStyle w:val="000000000000" w:firstRow="0" w:lastRow="0" w:firstColumn="0" w:lastColumn="0" w:oddVBand="0" w:evenVBand="0" w:oddHBand="0" w:evenHBand="0" w:firstRowFirstColumn="0" w:firstRowLastColumn="0" w:lastRowFirstColumn="0" w:lastRowLastColumn="0"/>
            </w:pPr>
            <w:r>
              <w:t>2 (</w:t>
            </w:r>
            <w:r w:rsidRPr="00AA253C">
              <w:t>50.0%</w:t>
            </w:r>
            <w:r>
              <w:t>)</w:t>
            </w:r>
          </w:p>
        </w:tc>
        <w:tc>
          <w:tcPr>
            <w:tcW w:w="833" w:type="pct"/>
          </w:tcPr>
          <w:p w14:paraId="07862C5A" w14:textId="0330AC6C" w:rsidR="00417AD3" w:rsidRPr="00AA253C" w:rsidRDefault="00417AD3" w:rsidP="00E371E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41602F8B" w14:textId="13657CD4" w:rsidR="00417AD3" w:rsidRPr="00AA253C" w:rsidRDefault="00417AD3" w:rsidP="00E371E5">
            <w:pPr>
              <w:pStyle w:val="TableText"/>
              <w:cnfStyle w:val="000000000000" w:firstRow="0" w:lastRow="0" w:firstColumn="0" w:lastColumn="0" w:oddVBand="0" w:evenVBand="0" w:oddHBand="0" w:evenHBand="0" w:firstRowFirstColumn="0" w:firstRowLastColumn="0" w:lastRowFirstColumn="0" w:lastRowLastColumn="0"/>
            </w:pPr>
            <w:r>
              <w:t>1 (</w:t>
            </w:r>
            <w:r w:rsidRPr="00AA253C">
              <w:t>25.0%</w:t>
            </w:r>
            <w:r>
              <w:t>)</w:t>
            </w:r>
          </w:p>
        </w:tc>
        <w:tc>
          <w:tcPr>
            <w:tcW w:w="833" w:type="pct"/>
          </w:tcPr>
          <w:p w14:paraId="220CBFD7" w14:textId="7DFB913D" w:rsidR="00417AD3" w:rsidRPr="00AA253C" w:rsidRDefault="00417AD3" w:rsidP="00E371E5">
            <w:pPr>
              <w:pStyle w:val="TableText"/>
              <w:cnfStyle w:val="000000000000" w:firstRow="0" w:lastRow="0" w:firstColumn="0" w:lastColumn="0" w:oddVBand="0" w:evenVBand="0" w:oddHBand="0" w:evenHBand="0" w:firstRowFirstColumn="0" w:firstRowLastColumn="0" w:lastRowFirstColumn="0" w:lastRowLastColumn="0"/>
            </w:pPr>
            <w:r>
              <w:t>1 (</w:t>
            </w:r>
            <w:r w:rsidRPr="00AA253C">
              <w:t>25.0%</w:t>
            </w:r>
            <w:r>
              <w:t>)</w:t>
            </w:r>
          </w:p>
        </w:tc>
        <w:tc>
          <w:tcPr>
            <w:tcW w:w="833" w:type="pct"/>
          </w:tcPr>
          <w:p w14:paraId="5E285480" w14:textId="494E4029" w:rsidR="00417AD3" w:rsidRPr="00AA253C" w:rsidRDefault="00417AD3" w:rsidP="00E371E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r>
      <w:tr w:rsidR="002E5B6F" w:rsidRPr="00DE530D" w14:paraId="0FC27292" w14:textId="77777777" w:rsidTr="00E371E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1763EE3A" w14:textId="77777777" w:rsidR="00417AD3" w:rsidRDefault="00417AD3" w:rsidP="00E371E5">
            <w:pPr>
              <w:pStyle w:val="TableText"/>
              <w:rPr>
                <w:szCs w:val="18"/>
              </w:rPr>
            </w:pPr>
            <w:r>
              <w:rPr>
                <w:szCs w:val="18"/>
              </w:rPr>
              <w:t>Tasmania</w:t>
            </w:r>
          </w:p>
        </w:tc>
        <w:tc>
          <w:tcPr>
            <w:tcW w:w="833" w:type="pct"/>
          </w:tcPr>
          <w:p w14:paraId="6FB6EC87" w14:textId="1DE8CD76" w:rsidR="00417AD3" w:rsidRDefault="00417AD3" w:rsidP="00E371E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c>
          <w:tcPr>
            <w:tcW w:w="833" w:type="pct"/>
          </w:tcPr>
          <w:p w14:paraId="579CDF7E" w14:textId="7D535EB5" w:rsidR="00417AD3" w:rsidRDefault="00417AD3" w:rsidP="00E371E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c>
          <w:tcPr>
            <w:tcW w:w="833" w:type="pct"/>
          </w:tcPr>
          <w:p w14:paraId="3836C6B5" w14:textId="77777777" w:rsidR="00417AD3" w:rsidRDefault="00417AD3" w:rsidP="00E371E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(0.00%)</w:t>
            </w:r>
          </w:p>
        </w:tc>
        <w:tc>
          <w:tcPr>
            <w:tcW w:w="833" w:type="pct"/>
          </w:tcPr>
          <w:p w14:paraId="2871D0BE" w14:textId="36FFBB2F" w:rsidR="00417AD3" w:rsidRDefault="00417AD3" w:rsidP="00E371E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c>
          <w:tcPr>
            <w:tcW w:w="833" w:type="pct"/>
          </w:tcPr>
          <w:p w14:paraId="3161CB56" w14:textId="59957FE3" w:rsidR="00417AD3" w:rsidRDefault="00417AD3" w:rsidP="00E371E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 (100</w:t>
            </w:r>
            <w:r w:rsidR="005A6ADF">
              <w:rPr>
                <w:szCs w:val="18"/>
              </w:rPr>
              <w:t>.0</w:t>
            </w:r>
            <w:r>
              <w:rPr>
                <w:szCs w:val="18"/>
              </w:rPr>
              <w:t>%)</w:t>
            </w:r>
          </w:p>
        </w:tc>
      </w:tr>
      <w:tr w:rsidR="002E5B6F" w:rsidRPr="00501302" w14:paraId="53EAECC4" w14:textId="77777777" w:rsidTr="00E371E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31B1F3BA" w14:textId="77777777" w:rsidR="00417AD3" w:rsidRPr="00C33FD2" w:rsidRDefault="00417AD3" w:rsidP="00E371E5">
            <w:pPr>
              <w:pStyle w:val="Tabletextbold"/>
              <w:rPr>
                <w:rFonts w:eastAsiaTheme="minorEastAsia" w:cs="Arial"/>
                <w:b/>
                <w:bCs/>
                <w:szCs w:val="18"/>
              </w:rPr>
            </w:pPr>
            <w:r w:rsidRPr="00C33FD2">
              <w:rPr>
                <w:b/>
                <w:bCs/>
              </w:rPr>
              <w:t>Total</w:t>
            </w:r>
            <w:r w:rsidRPr="00C33FD2">
              <w:rPr>
                <w:rFonts w:eastAsiaTheme="minorEastAsia" w:cs="Arial"/>
                <w:b/>
                <w:bCs/>
                <w:szCs w:val="18"/>
              </w:rPr>
              <w:t>: 61 respondents</w:t>
            </w:r>
          </w:p>
        </w:tc>
        <w:tc>
          <w:tcPr>
            <w:tcW w:w="833" w:type="pct"/>
          </w:tcPr>
          <w:p w14:paraId="12DFF240" w14:textId="01327839" w:rsidR="00417AD3" w:rsidRPr="006F5F45" w:rsidRDefault="00417AD3" w:rsidP="00E371E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19 (31.</w:t>
            </w:r>
            <w:r w:rsidR="00617A35" w:rsidRPr="006F5F45">
              <w:rPr>
                <w:rFonts w:eastAsiaTheme="minorEastAsia" w:cs="Arial"/>
                <w:szCs w:val="18"/>
              </w:rPr>
              <w:t>2</w:t>
            </w:r>
            <w:r w:rsidRPr="006F5F45">
              <w:rPr>
                <w:rFonts w:eastAsiaTheme="minorEastAsia" w:cs="Arial"/>
                <w:szCs w:val="18"/>
              </w:rPr>
              <w:t>%)</w:t>
            </w:r>
          </w:p>
        </w:tc>
        <w:tc>
          <w:tcPr>
            <w:tcW w:w="833" w:type="pct"/>
          </w:tcPr>
          <w:p w14:paraId="345D4643" w14:textId="02653DCC" w:rsidR="00417AD3" w:rsidRPr="006F5F45" w:rsidRDefault="00417AD3" w:rsidP="00E371E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0 (0.0%)</w:t>
            </w:r>
          </w:p>
        </w:tc>
        <w:tc>
          <w:tcPr>
            <w:tcW w:w="833" w:type="pct"/>
          </w:tcPr>
          <w:p w14:paraId="795D36FA" w14:textId="1FFA7F81" w:rsidR="00417AD3" w:rsidRPr="006F5F45" w:rsidRDefault="00417AD3" w:rsidP="00E371E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14 (2</w:t>
            </w:r>
            <w:r w:rsidR="005A6ADF" w:rsidRPr="006F5F45">
              <w:rPr>
                <w:rFonts w:eastAsiaTheme="minorEastAsia" w:cs="Arial"/>
                <w:szCs w:val="18"/>
              </w:rPr>
              <w:t>3.0</w:t>
            </w:r>
            <w:r w:rsidRPr="006F5F45">
              <w:rPr>
                <w:rFonts w:eastAsiaTheme="minorEastAsia" w:cs="Arial"/>
                <w:szCs w:val="18"/>
              </w:rPr>
              <w:t>%)</w:t>
            </w:r>
          </w:p>
        </w:tc>
        <w:tc>
          <w:tcPr>
            <w:tcW w:w="833" w:type="pct"/>
          </w:tcPr>
          <w:p w14:paraId="08130F55" w14:textId="0BBCD4D1" w:rsidR="00417AD3" w:rsidRPr="006F5F45" w:rsidRDefault="00417AD3" w:rsidP="00E371E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8 (13.1%)</w:t>
            </w:r>
          </w:p>
        </w:tc>
        <w:tc>
          <w:tcPr>
            <w:tcW w:w="833" w:type="pct"/>
          </w:tcPr>
          <w:p w14:paraId="5E3FE2C1" w14:textId="428FE222" w:rsidR="00417AD3" w:rsidRPr="006F5F45" w:rsidRDefault="00417AD3" w:rsidP="00E371E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20 (32.</w:t>
            </w:r>
            <w:r w:rsidR="005A6ADF" w:rsidRPr="006F5F45">
              <w:rPr>
                <w:rFonts w:eastAsiaTheme="minorEastAsia" w:cs="Arial"/>
                <w:szCs w:val="18"/>
              </w:rPr>
              <w:t>8</w:t>
            </w:r>
            <w:r w:rsidRPr="006F5F45">
              <w:rPr>
                <w:rFonts w:eastAsiaTheme="minorEastAsia" w:cs="Arial"/>
                <w:szCs w:val="18"/>
              </w:rPr>
              <w:t>%)</w:t>
            </w:r>
          </w:p>
        </w:tc>
      </w:tr>
    </w:tbl>
    <w:p w14:paraId="338F2F7C" w14:textId="20AA92C5" w:rsidR="00EA68B2" w:rsidRPr="00C76D17" w:rsidRDefault="00EA68B2" w:rsidP="00E371E5">
      <w:pPr>
        <w:pStyle w:val="Caption-Source"/>
      </w:pPr>
      <w:r w:rsidRPr="00C76D17">
        <w:t xml:space="preserve">Source: </w:t>
      </w:r>
      <w:r w:rsidR="00604AA5">
        <w:t>Independent reviewer</w:t>
      </w:r>
      <w:r w:rsidR="00604AA5" w:rsidRPr="00CD3106">
        <w:t xml:space="preserve"> </w:t>
      </w:r>
      <w:r w:rsidR="00584D02" w:rsidRPr="00C76D17">
        <w:t>(</w:t>
      </w:r>
      <w:r w:rsidRPr="00C76D17">
        <w:t>2025</w:t>
      </w:r>
      <w:r w:rsidR="00584D02" w:rsidRPr="00C76D17">
        <w:t>)</w:t>
      </w:r>
    </w:p>
    <w:p w14:paraId="4420AE02" w14:textId="29E0D5F7" w:rsidR="00E371E5" w:rsidRDefault="00E371E5" w:rsidP="00E371E5">
      <w:pPr>
        <w:pStyle w:val="Caption"/>
      </w:pPr>
      <w:bookmarkStart w:id="239" w:name="_Toc207348631"/>
      <w:r>
        <w:t xml:space="preserve">Table </w:t>
      </w:r>
      <w:r w:rsidR="00E6799D">
        <w:fldChar w:fldCharType="begin"/>
      </w:r>
      <w:r w:rsidR="00E6799D">
        <w:instrText xml:space="preserve"> SEQ Table \* ARABIC </w:instrText>
      </w:r>
      <w:r w:rsidR="00E6799D">
        <w:fldChar w:fldCharType="separate"/>
      </w:r>
      <w:r w:rsidR="00E6799D">
        <w:rPr>
          <w:noProof/>
        </w:rPr>
        <w:t>66</w:t>
      </w:r>
      <w:r w:rsidR="00E6799D">
        <w:rPr>
          <w:noProof/>
        </w:rPr>
        <w:fldChar w:fldCharType="end"/>
      </w:r>
      <w:r>
        <w:t xml:space="preserve">: </w:t>
      </w:r>
      <w:r w:rsidRPr="0006789B">
        <w:t xml:space="preserve">Responses by </w:t>
      </w:r>
      <w:r>
        <w:t>remoteness</w:t>
      </w:r>
      <w:r w:rsidRPr="0006789B">
        <w:t xml:space="preserve"> to Statement 5</w:t>
      </w:r>
      <w:bookmarkEnd w:id="239"/>
    </w:p>
    <w:tbl>
      <w:tblPr>
        <w:tblStyle w:val="KPMGTable"/>
        <w:tblW w:w="5000" w:type="pct"/>
        <w:tblLook w:val="04A0" w:firstRow="1" w:lastRow="0" w:firstColumn="1" w:lastColumn="0" w:noHBand="0" w:noVBand="1"/>
      </w:tblPr>
      <w:tblGrid>
        <w:gridCol w:w="1701"/>
        <w:gridCol w:w="1701"/>
        <w:gridCol w:w="1701"/>
        <w:gridCol w:w="1701"/>
        <w:gridCol w:w="1700"/>
        <w:gridCol w:w="1700"/>
      </w:tblGrid>
      <w:tr w:rsidR="00AD6F37" w:rsidRPr="00386CBC" w14:paraId="7B14241C"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833" w:type="pct"/>
          </w:tcPr>
          <w:p w14:paraId="32CFCE0A" w14:textId="77777777" w:rsidR="00417AD3" w:rsidRPr="007B154A" w:rsidRDefault="00417AD3" w:rsidP="00E371E5">
            <w:pPr>
              <w:pStyle w:val="TableHeading"/>
              <w:rPr>
                <w:b w:val="0"/>
                <w:color w:val="FFFFFF" w:themeColor="background1"/>
                <w:szCs w:val="20"/>
              </w:rPr>
            </w:pPr>
            <w:r>
              <w:t>Response</w:t>
            </w:r>
          </w:p>
        </w:tc>
        <w:tc>
          <w:tcPr>
            <w:tcW w:w="833" w:type="pct"/>
          </w:tcPr>
          <w:p w14:paraId="69202CFF" w14:textId="77777777" w:rsidR="00417AD3" w:rsidRDefault="00417AD3" w:rsidP="00E371E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disagree</w:t>
            </w:r>
          </w:p>
        </w:tc>
        <w:tc>
          <w:tcPr>
            <w:tcW w:w="833" w:type="pct"/>
          </w:tcPr>
          <w:p w14:paraId="126B2AE6" w14:textId="77777777" w:rsidR="00417AD3" w:rsidRDefault="00417AD3" w:rsidP="00E371E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disagree</w:t>
            </w:r>
          </w:p>
        </w:tc>
        <w:tc>
          <w:tcPr>
            <w:tcW w:w="833" w:type="pct"/>
          </w:tcPr>
          <w:p w14:paraId="3459817D" w14:textId="77777777" w:rsidR="00417AD3" w:rsidRDefault="00417AD3" w:rsidP="00E371E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Neither agree nor disagree</w:t>
            </w:r>
          </w:p>
        </w:tc>
        <w:tc>
          <w:tcPr>
            <w:tcW w:w="833" w:type="pct"/>
          </w:tcPr>
          <w:p w14:paraId="68C95A45" w14:textId="77777777" w:rsidR="00417AD3" w:rsidRDefault="00417AD3" w:rsidP="00E371E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agree</w:t>
            </w:r>
          </w:p>
        </w:tc>
        <w:tc>
          <w:tcPr>
            <w:tcW w:w="833" w:type="pct"/>
          </w:tcPr>
          <w:p w14:paraId="0F98FC4F" w14:textId="77777777" w:rsidR="00417AD3" w:rsidRDefault="00417AD3" w:rsidP="00E371E5">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agree</w:t>
            </w:r>
          </w:p>
        </w:tc>
      </w:tr>
      <w:tr w:rsidR="002E5B6F" w:rsidRPr="006D20D0" w14:paraId="7A5185CB" w14:textId="77777777" w:rsidTr="00E371E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4EBA35F7" w14:textId="77777777" w:rsidR="00417AD3" w:rsidRPr="00E90673" w:rsidRDefault="00417AD3" w:rsidP="00E371E5">
            <w:pPr>
              <w:pStyle w:val="TableText"/>
            </w:pPr>
            <w:r>
              <w:t>Metropolitan area</w:t>
            </w:r>
          </w:p>
        </w:tc>
        <w:tc>
          <w:tcPr>
            <w:tcW w:w="833" w:type="pct"/>
          </w:tcPr>
          <w:p w14:paraId="58B51EDE" w14:textId="1766CC60" w:rsidR="00417AD3" w:rsidRPr="004125A6" w:rsidRDefault="00417AD3" w:rsidP="00E371E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14 (</w:t>
            </w:r>
            <w:r w:rsidRPr="004125A6">
              <w:rPr>
                <w:szCs w:val="18"/>
              </w:rPr>
              <w:t>43.</w:t>
            </w:r>
            <w:r w:rsidR="005A6ADF">
              <w:rPr>
                <w:szCs w:val="18"/>
              </w:rPr>
              <w:t>8</w:t>
            </w:r>
            <w:r w:rsidRPr="004125A6">
              <w:rPr>
                <w:szCs w:val="18"/>
              </w:rPr>
              <w:t>%</w:t>
            </w:r>
            <w:r>
              <w:rPr>
                <w:szCs w:val="18"/>
              </w:rPr>
              <w:t>)</w:t>
            </w:r>
          </w:p>
        </w:tc>
        <w:tc>
          <w:tcPr>
            <w:tcW w:w="833" w:type="pct"/>
          </w:tcPr>
          <w:p w14:paraId="376E1832" w14:textId="164DB889" w:rsidR="00417AD3" w:rsidRPr="004125A6" w:rsidRDefault="00417AD3" w:rsidP="00E371E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c>
          <w:tcPr>
            <w:tcW w:w="833" w:type="pct"/>
          </w:tcPr>
          <w:p w14:paraId="15A2FF12" w14:textId="1533FD44" w:rsidR="00417AD3" w:rsidRPr="004125A6" w:rsidRDefault="00417AD3" w:rsidP="00E371E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12 (</w:t>
            </w:r>
            <w:r w:rsidRPr="004125A6">
              <w:rPr>
                <w:szCs w:val="18"/>
              </w:rPr>
              <w:t>37.5%</w:t>
            </w:r>
            <w:r>
              <w:rPr>
                <w:szCs w:val="18"/>
              </w:rPr>
              <w:t>)</w:t>
            </w:r>
          </w:p>
        </w:tc>
        <w:tc>
          <w:tcPr>
            <w:tcW w:w="833" w:type="pct"/>
          </w:tcPr>
          <w:p w14:paraId="29202544" w14:textId="02204AB5" w:rsidR="00417AD3" w:rsidRPr="004125A6" w:rsidRDefault="00417AD3" w:rsidP="00E371E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3 (</w:t>
            </w:r>
            <w:r w:rsidRPr="004125A6">
              <w:rPr>
                <w:szCs w:val="18"/>
              </w:rPr>
              <w:t>9.</w:t>
            </w:r>
            <w:r w:rsidR="005A6ADF">
              <w:rPr>
                <w:szCs w:val="18"/>
              </w:rPr>
              <w:t>4</w:t>
            </w:r>
            <w:r w:rsidRPr="004125A6">
              <w:rPr>
                <w:szCs w:val="18"/>
              </w:rPr>
              <w:t>%</w:t>
            </w:r>
            <w:r>
              <w:rPr>
                <w:szCs w:val="18"/>
              </w:rPr>
              <w:t>)</w:t>
            </w:r>
          </w:p>
        </w:tc>
        <w:tc>
          <w:tcPr>
            <w:tcW w:w="833" w:type="pct"/>
          </w:tcPr>
          <w:p w14:paraId="51425F5E" w14:textId="29DD19E5" w:rsidR="00417AD3" w:rsidRPr="004125A6" w:rsidRDefault="00417AD3" w:rsidP="00E371E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3 (</w:t>
            </w:r>
            <w:r w:rsidRPr="004125A6">
              <w:rPr>
                <w:szCs w:val="18"/>
              </w:rPr>
              <w:t>9.</w:t>
            </w:r>
            <w:r w:rsidR="005A6ADF">
              <w:rPr>
                <w:szCs w:val="18"/>
              </w:rPr>
              <w:t>4</w:t>
            </w:r>
            <w:r w:rsidRPr="004125A6">
              <w:rPr>
                <w:szCs w:val="18"/>
              </w:rPr>
              <w:t>%</w:t>
            </w:r>
            <w:r>
              <w:rPr>
                <w:szCs w:val="18"/>
              </w:rPr>
              <w:t>)</w:t>
            </w:r>
          </w:p>
        </w:tc>
      </w:tr>
      <w:tr w:rsidR="002E5B6F" w:rsidRPr="009C1931" w14:paraId="695F7DC3" w14:textId="77777777" w:rsidTr="00E371E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2486A520" w14:textId="77777777" w:rsidR="00417AD3" w:rsidRPr="006D20D0" w:rsidRDefault="00417AD3" w:rsidP="00E371E5">
            <w:pPr>
              <w:pStyle w:val="TableText"/>
              <w:rPr>
                <w:szCs w:val="18"/>
              </w:rPr>
            </w:pPr>
            <w:r>
              <w:rPr>
                <w:szCs w:val="18"/>
              </w:rPr>
              <w:t>Regional centre</w:t>
            </w:r>
          </w:p>
        </w:tc>
        <w:tc>
          <w:tcPr>
            <w:tcW w:w="833" w:type="pct"/>
          </w:tcPr>
          <w:p w14:paraId="5C797126" w14:textId="5EDF7AA8" w:rsidR="00417AD3" w:rsidRPr="004125A6" w:rsidRDefault="00417AD3" w:rsidP="00E371E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3 (</w:t>
            </w:r>
            <w:r w:rsidRPr="004125A6">
              <w:rPr>
                <w:szCs w:val="18"/>
              </w:rPr>
              <w:t>15.</w:t>
            </w:r>
            <w:r w:rsidR="005A6ADF">
              <w:rPr>
                <w:szCs w:val="18"/>
              </w:rPr>
              <w:t>8</w:t>
            </w:r>
            <w:r w:rsidRPr="004125A6">
              <w:rPr>
                <w:szCs w:val="18"/>
              </w:rPr>
              <w:t>%</w:t>
            </w:r>
            <w:r>
              <w:rPr>
                <w:szCs w:val="18"/>
              </w:rPr>
              <w:t>)</w:t>
            </w:r>
          </w:p>
        </w:tc>
        <w:tc>
          <w:tcPr>
            <w:tcW w:w="833" w:type="pct"/>
          </w:tcPr>
          <w:p w14:paraId="39F6A54F" w14:textId="3EAD266D" w:rsidR="00417AD3" w:rsidRPr="004125A6" w:rsidRDefault="00417AD3" w:rsidP="00E371E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c>
          <w:tcPr>
            <w:tcW w:w="833" w:type="pct"/>
          </w:tcPr>
          <w:p w14:paraId="46308DC2" w14:textId="0687E6BC" w:rsidR="00417AD3" w:rsidRPr="004125A6" w:rsidRDefault="00417AD3" w:rsidP="00E371E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c>
          <w:tcPr>
            <w:tcW w:w="833" w:type="pct"/>
          </w:tcPr>
          <w:p w14:paraId="4FBB1EF2" w14:textId="558ACC33" w:rsidR="00417AD3" w:rsidRPr="004125A6" w:rsidRDefault="00417AD3" w:rsidP="00E371E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4 (</w:t>
            </w:r>
            <w:r w:rsidRPr="004125A6">
              <w:rPr>
                <w:szCs w:val="18"/>
              </w:rPr>
              <w:t>21.</w:t>
            </w:r>
            <w:r w:rsidR="005A6ADF">
              <w:rPr>
                <w:szCs w:val="18"/>
              </w:rPr>
              <w:t>1</w:t>
            </w:r>
            <w:r w:rsidRPr="004125A6">
              <w:rPr>
                <w:szCs w:val="18"/>
              </w:rPr>
              <w:t>%</w:t>
            </w:r>
            <w:r>
              <w:rPr>
                <w:szCs w:val="18"/>
              </w:rPr>
              <w:t>)</w:t>
            </w:r>
          </w:p>
        </w:tc>
        <w:tc>
          <w:tcPr>
            <w:tcW w:w="833" w:type="pct"/>
          </w:tcPr>
          <w:p w14:paraId="589F1117" w14:textId="4432C6CF" w:rsidR="00417AD3" w:rsidRPr="004125A6" w:rsidRDefault="00417AD3" w:rsidP="00E371E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12 (</w:t>
            </w:r>
            <w:r w:rsidRPr="004125A6">
              <w:rPr>
                <w:szCs w:val="18"/>
              </w:rPr>
              <w:t>63.</w:t>
            </w:r>
            <w:r w:rsidR="005A6ADF">
              <w:rPr>
                <w:szCs w:val="18"/>
              </w:rPr>
              <w:t>2</w:t>
            </w:r>
            <w:r w:rsidRPr="004125A6">
              <w:rPr>
                <w:szCs w:val="18"/>
              </w:rPr>
              <w:t>%</w:t>
            </w:r>
            <w:r>
              <w:rPr>
                <w:szCs w:val="18"/>
              </w:rPr>
              <w:t>)</w:t>
            </w:r>
          </w:p>
        </w:tc>
      </w:tr>
      <w:tr w:rsidR="002E5B6F" w:rsidRPr="009C1931" w14:paraId="74A0FCED" w14:textId="77777777" w:rsidTr="00E371E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0F689CF3" w14:textId="77777777" w:rsidR="00417AD3" w:rsidRDefault="00417AD3" w:rsidP="00E371E5">
            <w:pPr>
              <w:pStyle w:val="TableText"/>
            </w:pPr>
            <w:r>
              <w:rPr>
                <w:szCs w:val="18"/>
              </w:rPr>
              <w:t>Rural area</w:t>
            </w:r>
          </w:p>
        </w:tc>
        <w:tc>
          <w:tcPr>
            <w:tcW w:w="833" w:type="pct"/>
          </w:tcPr>
          <w:p w14:paraId="3B59DA76" w14:textId="3E71780A" w:rsidR="00417AD3" w:rsidRPr="004125A6" w:rsidRDefault="00417AD3" w:rsidP="00E371E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2 (</w:t>
            </w:r>
            <w:r w:rsidRPr="004125A6">
              <w:rPr>
                <w:szCs w:val="18"/>
              </w:rPr>
              <w:t>22.2%</w:t>
            </w:r>
            <w:r>
              <w:rPr>
                <w:szCs w:val="18"/>
              </w:rPr>
              <w:t>)</w:t>
            </w:r>
          </w:p>
        </w:tc>
        <w:tc>
          <w:tcPr>
            <w:tcW w:w="833" w:type="pct"/>
          </w:tcPr>
          <w:p w14:paraId="011EC5F3" w14:textId="26AEA671" w:rsidR="00417AD3" w:rsidRPr="004125A6" w:rsidRDefault="00417AD3" w:rsidP="00E371E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(0.0%)</w:t>
            </w:r>
          </w:p>
        </w:tc>
        <w:tc>
          <w:tcPr>
            <w:tcW w:w="833" w:type="pct"/>
          </w:tcPr>
          <w:p w14:paraId="149CB008" w14:textId="26AB6349" w:rsidR="00417AD3" w:rsidRPr="004125A6" w:rsidRDefault="00417AD3" w:rsidP="00E371E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2 (</w:t>
            </w:r>
            <w:r w:rsidRPr="004125A6">
              <w:rPr>
                <w:szCs w:val="18"/>
              </w:rPr>
              <w:t>22.2%</w:t>
            </w:r>
            <w:r>
              <w:rPr>
                <w:szCs w:val="18"/>
              </w:rPr>
              <w:t>)</w:t>
            </w:r>
          </w:p>
        </w:tc>
        <w:tc>
          <w:tcPr>
            <w:tcW w:w="833" w:type="pct"/>
          </w:tcPr>
          <w:p w14:paraId="5A19D196" w14:textId="48C8A4C8" w:rsidR="00417AD3" w:rsidRPr="004125A6" w:rsidRDefault="00417AD3" w:rsidP="00E371E5">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 (</w:t>
            </w:r>
            <w:r w:rsidRPr="004125A6">
              <w:rPr>
                <w:szCs w:val="18"/>
              </w:rPr>
              <w:t>11.1%</w:t>
            </w:r>
            <w:r>
              <w:rPr>
                <w:szCs w:val="18"/>
              </w:rPr>
              <w:t>)</w:t>
            </w:r>
          </w:p>
        </w:tc>
        <w:tc>
          <w:tcPr>
            <w:tcW w:w="833" w:type="pct"/>
          </w:tcPr>
          <w:p w14:paraId="2B8A530E" w14:textId="6B01CD8F" w:rsidR="00417AD3" w:rsidRPr="004125A6" w:rsidRDefault="00417AD3" w:rsidP="00E371E5">
            <w:pPr>
              <w:pStyle w:val="TableText"/>
              <w:cnfStyle w:val="000000000000" w:firstRow="0" w:lastRow="0" w:firstColumn="0" w:lastColumn="0" w:oddVBand="0" w:evenVBand="0" w:oddHBand="0" w:evenHBand="0" w:firstRowFirstColumn="0" w:firstRowLastColumn="0" w:lastRowFirstColumn="0" w:lastRowLastColumn="0"/>
              <w:rPr>
                <w:szCs w:val="18"/>
              </w:rPr>
            </w:pPr>
            <w:r w:rsidRPr="004125A6">
              <w:rPr>
                <w:szCs w:val="18"/>
              </w:rPr>
              <w:t>4</w:t>
            </w:r>
            <w:r>
              <w:rPr>
                <w:szCs w:val="18"/>
              </w:rPr>
              <w:t xml:space="preserve"> (4</w:t>
            </w:r>
            <w:r w:rsidRPr="004125A6">
              <w:rPr>
                <w:szCs w:val="18"/>
              </w:rPr>
              <w:t>4.4%</w:t>
            </w:r>
            <w:r>
              <w:rPr>
                <w:szCs w:val="18"/>
              </w:rPr>
              <w:t>)</w:t>
            </w:r>
          </w:p>
        </w:tc>
      </w:tr>
      <w:tr w:rsidR="002E5B6F" w:rsidRPr="009C1931" w14:paraId="4BA49447" w14:textId="77777777" w:rsidTr="00E371E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5F13FCD1" w14:textId="77777777" w:rsidR="00417AD3" w:rsidRPr="00E90673" w:rsidRDefault="00417AD3" w:rsidP="00E371E5">
            <w:pPr>
              <w:pStyle w:val="TableText"/>
            </w:pPr>
            <w:r>
              <w:t>Remote community</w:t>
            </w:r>
          </w:p>
        </w:tc>
        <w:tc>
          <w:tcPr>
            <w:tcW w:w="833" w:type="pct"/>
          </w:tcPr>
          <w:p w14:paraId="1CD6CD59" w14:textId="2216FEE3" w:rsidR="00417AD3" w:rsidRDefault="00417AD3" w:rsidP="00E371E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779086A0" w14:textId="32D84117" w:rsidR="00417AD3" w:rsidRDefault="00417AD3" w:rsidP="00E371E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7E89AA46" w14:textId="180CA8B6" w:rsidR="00417AD3" w:rsidRDefault="00417AD3" w:rsidP="00E371E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02562CE7" w14:textId="546667D8" w:rsidR="00417AD3" w:rsidRDefault="00417AD3" w:rsidP="00E371E5">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3F055BEE" w14:textId="5F01D109" w:rsidR="00417AD3" w:rsidRDefault="00417AD3" w:rsidP="00E371E5">
            <w:pPr>
              <w:pStyle w:val="TableText"/>
              <w:cnfStyle w:val="000000000000" w:firstRow="0" w:lastRow="0" w:firstColumn="0" w:lastColumn="0" w:oddVBand="0" w:evenVBand="0" w:oddHBand="0" w:evenHBand="0" w:firstRowFirstColumn="0" w:firstRowLastColumn="0" w:lastRowFirstColumn="0" w:lastRowLastColumn="0"/>
            </w:pPr>
            <w:r>
              <w:rPr>
                <w:szCs w:val="18"/>
              </w:rPr>
              <w:t>1 (100</w:t>
            </w:r>
            <w:r w:rsidR="005A6ADF">
              <w:rPr>
                <w:szCs w:val="18"/>
              </w:rPr>
              <w:t>.0</w:t>
            </w:r>
            <w:r>
              <w:rPr>
                <w:szCs w:val="18"/>
              </w:rPr>
              <w:t>%)</w:t>
            </w:r>
          </w:p>
        </w:tc>
      </w:tr>
      <w:tr w:rsidR="002E5B6F" w:rsidRPr="009C1931" w14:paraId="3D133D24" w14:textId="77777777" w:rsidTr="00E371E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03D937F8" w14:textId="77777777" w:rsidR="00417AD3" w:rsidRPr="00C33FD2" w:rsidRDefault="00417AD3" w:rsidP="00E371E5">
            <w:pPr>
              <w:pStyle w:val="Tabletextbold"/>
              <w:rPr>
                <w:rFonts w:eastAsiaTheme="minorEastAsia" w:cs="Arial"/>
                <w:b/>
                <w:bCs/>
                <w:szCs w:val="18"/>
              </w:rPr>
            </w:pPr>
            <w:r w:rsidRPr="00C33FD2">
              <w:rPr>
                <w:b/>
                <w:bCs/>
              </w:rPr>
              <w:t>Total</w:t>
            </w:r>
            <w:r w:rsidRPr="00C33FD2">
              <w:rPr>
                <w:rFonts w:eastAsiaTheme="minorEastAsia" w:cs="Arial"/>
                <w:b/>
                <w:bCs/>
                <w:szCs w:val="18"/>
              </w:rPr>
              <w:t>: 61 respondents</w:t>
            </w:r>
          </w:p>
        </w:tc>
        <w:tc>
          <w:tcPr>
            <w:tcW w:w="833" w:type="pct"/>
          </w:tcPr>
          <w:p w14:paraId="3F44E635" w14:textId="6E5D8F42" w:rsidR="00417AD3" w:rsidRPr="006F5F45" w:rsidRDefault="00417AD3" w:rsidP="00E371E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19 (31.</w:t>
            </w:r>
            <w:r w:rsidR="005A6ADF" w:rsidRPr="006F5F45">
              <w:rPr>
                <w:rFonts w:eastAsiaTheme="minorEastAsia" w:cs="Arial"/>
                <w:szCs w:val="18"/>
              </w:rPr>
              <w:t>2</w:t>
            </w:r>
            <w:r w:rsidRPr="006F5F45">
              <w:rPr>
                <w:rFonts w:eastAsiaTheme="minorEastAsia" w:cs="Arial"/>
                <w:szCs w:val="18"/>
              </w:rPr>
              <w:t>%)</w:t>
            </w:r>
          </w:p>
        </w:tc>
        <w:tc>
          <w:tcPr>
            <w:tcW w:w="833" w:type="pct"/>
          </w:tcPr>
          <w:p w14:paraId="5140532C" w14:textId="2D45DEB5" w:rsidR="00417AD3" w:rsidRPr="006F5F45" w:rsidRDefault="00417AD3" w:rsidP="00E371E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0 (0.0%)</w:t>
            </w:r>
          </w:p>
        </w:tc>
        <w:tc>
          <w:tcPr>
            <w:tcW w:w="833" w:type="pct"/>
          </w:tcPr>
          <w:p w14:paraId="2BC3A99C" w14:textId="38CE8275" w:rsidR="00417AD3" w:rsidRPr="006F5F45" w:rsidRDefault="00417AD3" w:rsidP="00E371E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14 (2</w:t>
            </w:r>
            <w:r w:rsidR="005A6ADF" w:rsidRPr="006F5F45">
              <w:rPr>
                <w:rFonts w:eastAsiaTheme="minorEastAsia" w:cs="Arial"/>
                <w:szCs w:val="18"/>
              </w:rPr>
              <w:t>3.0</w:t>
            </w:r>
            <w:r w:rsidRPr="006F5F45">
              <w:rPr>
                <w:rFonts w:eastAsiaTheme="minorEastAsia" w:cs="Arial"/>
                <w:szCs w:val="18"/>
              </w:rPr>
              <w:t>%)</w:t>
            </w:r>
          </w:p>
        </w:tc>
        <w:tc>
          <w:tcPr>
            <w:tcW w:w="833" w:type="pct"/>
          </w:tcPr>
          <w:p w14:paraId="0C4E8B5C" w14:textId="77AAA57A" w:rsidR="00417AD3" w:rsidRPr="006F5F45" w:rsidRDefault="00417AD3" w:rsidP="00E371E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8 (13.1%)</w:t>
            </w:r>
          </w:p>
        </w:tc>
        <w:tc>
          <w:tcPr>
            <w:tcW w:w="833" w:type="pct"/>
          </w:tcPr>
          <w:p w14:paraId="3C44F90D" w14:textId="0D7AF821" w:rsidR="00417AD3" w:rsidRPr="006F5F45" w:rsidRDefault="00417AD3" w:rsidP="00E371E5">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20 (32.</w:t>
            </w:r>
            <w:r w:rsidR="00F544AC" w:rsidRPr="006F5F45">
              <w:rPr>
                <w:rFonts w:eastAsiaTheme="minorEastAsia" w:cs="Arial"/>
                <w:szCs w:val="18"/>
              </w:rPr>
              <w:t>8</w:t>
            </w:r>
            <w:r w:rsidRPr="006F5F45">
              <w:rPr>
                <w:rFonts w:eastAsiaTheme="minorEastAsia" w:cs="Arial"/>
                <w:szCs w:val="18"/>
              </w:rPr>
              <w:t>%)</w:t>
            </w:r>
          </w:p>
        </w:tc>
      </w:tr>
    </w:tbl>
    <w:p w14:paraId="4EDEA373" w14:textId="29697593" w:rsidR="00EA68B2" w:rsidRPr="00C76D17" w:rsidRDefault="00EA68B2" w:rsidP="00C76D17">
      <w:pPr>
        <w:pStyle w:val="Caption-Source"/>
      </w:pPr>
      <w:r w:rsidRPr="00C76D17">
        <w:t xml:space="preserve">Source: </w:t>
      </w:r>
      <w:r w:rsidR="00435DC4" w:rsidRPr="00C76D17">
        <w:t>Independent reviewer</w:t>
      </w:r>
      <w:r w:rsidR="00584D02" w:rsidRPr="00C76D17">
        <w:t xml:space="preserve"> (</w:t>
      </w:r>
      <w:r w:rsidRPr="00C76D17">
        <w:t>2025</w:t>
      </w:r>
      <w:r w:rsidR="00584D02" w:rsidRPr="00C76D17">
        <w:t>)</w:t>
      </w:r>
    </w:p>
    <w:p w14:paraId="2D0C93C1" w14:textId="322917CF" w:rsidR="00126CA5" w:rsidRDefault="00126CA5" w:rsidP="00126CA5">
      <w:pPr>
        <w:pStyle w:val="Caption"/>
      </w:pPr>
      <w:bookmarkStart w:id="240" w:name="_Toc207348632"/>
      <w:r>
        <w:t xml:space="preserve">Table </w:t>
      </w:r>
      <w:r w:rsidR="00E6799D">
        <w:fldChar w:fldCharType="begin"/>
      </w:r>
      <w:r w:rsidR="00E6799D">
        <w:instrText xml:space="preserve"> SEQ Table \* ARABIC </w:instrText>
      </w:r>
      <w:r w:rsidR="00E6799D">
        <w:fldChar w:fldCharType="separate"/>
      </w:r>
      <w:r w:rsidR="00E6799D">
        <w:rPr>
          <w:noProof/>
        </w:rPr>
        <w:t>67</w:t>
      </w:r>
      <w:r w:rsidR="00E6799D">
        <w:rPr>
          <w:noProof/>
        </w:rPr>
        <w:fldChar w:fldCharType="end"/>
      </w:r>
      <w:r>
        <w:t xml:space="preserve">: </w:t>
      </w:r>
      <w:r w:rsidRPr="004232D1">
        <w:t xml:space="preserve">Responses by </w:t>
      </w:r>
      <w:r>
        <w:t>prosthesis type</w:t>
      </w:r>
      <w:r w:rsidRPr="004232D1">
        <w:t xml:space="preserve"> to Statement 5</w:t>
      </w:r>
      <w:bookmarkEnd w:id="240"/>
    </w:p>
    <w:tbl>
      <w:tblPr>
        <w:tblStyle w:val="KPMGTable"/>
        <w:tblW w:w="5000" w:type="pct"/>
        <w:tblLook w:val="04A0" w:firstRow="1" w:lastRow="0" w:firstColumn="1" w:lastColumn="0" w:noHBand="0" w:noVBand="1"/>
      </w:tblPr>
      <w:tblGrid>
        <w:gridCol w:w="1701"/>
        <w:gridCol w:w="1701"/>
        <w:gridCol w:w="1701"/>
        <w:gridCol w:w="1701"/>
        <w:gridCol w:w="1700"/>
        <w:gridCol w:w="1700"/>
      </w:tblGrid>
      <w:tr w:rsidR="00AD6F37" w:rsidRPr="00386CBC" w14:paraId="15878BB9"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833" w:type="pct"/>
          </w:tcPr>
          <w:p w14:paraId="19DF8774" w14:textId="77777777" w:rsidR="00417AD3" w:rsidRPr="007B154A" w:rsidRDefault="00417AD3" w:rsidP="007A70DD">
            <w:pPr>
              <w:pStyle w:val="TableHeading"/>
              <w:rPr>
                <w:b w:val="0"/>
                <w:color w:val="FFFFFF" w:themeColor="background1"/>
                <w:szCs w:val="20"/>
              </w:rPr>
            </w:pPr>
            <w:r>
              <w:t>Response</w:t>
            </w:r>
          </w:p>
        </w:tc>
        <w:tc>
          <w:tcPr>
            <w:tcW w:w="833" w:type="pct"/>
          </w:tcPr>
          <w:p w14:paraId="2F5C227E" w14:textId="77777777" w:rsidR="00417AD3" w:rsidRDefault="00417AD3" w:rsidP="007A70DD">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disagree</w:t>
            </w:r>
          </w:p>
        </w:tc>
        <w:tc>
          <w:tcPr>
            <w:tcW w:w="833" w:type="pct"/>
          </w:tcPr>
          <w:p w14:paraId="7CA3FBD5" w14:textId="77777777" w:rsidR="00417AD3" w:rsidRDefault="00417AD3" w:rsidP="007A70DD">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disagree</w:t>
            </w:r>
          </w:p>
        </w:tc>
        <w:tc>
          <w:tcPr>
            <w:tcW w:w="833" w:type="pct"/>
          </w:tcPr>
          <w:p w14:paraId="3A012632" w14:textId="77777777" w:rsidR="00417AD3" w:rsidRDefault="00417AD3" w:rsidP="007A70DD">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Neither agree nor disagree</w:t>
            </w:r>
          </w:p>
        </w:tc>
        <w:tc>
          <w:tcPr>
            <w:tcW w:w="833" w:type="pct"/>
          </w:tcPr>
          <w:p w14:paraId="592323E7" w14:textId="77777777" w:rsidR="00417AD3" w:rsidRDefault="00417AD3" w:rsidP="007A70DD">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agree</w:t>
            </w:r>
          </w:p>
        </w:tc>
        <w:tc>
          <w:tcPr>
            <w:tcW w:w="833" w:type="pct"/>
          </w:tcPr>
          <w:p w14:paraId="342549A8" w14:textId="77777777" w:rsidR="00417AD3" w:rsidRDefault="00417AD3" w:rsidP="007A70DD">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agree</w:t>
            </w:r>
          </w:p>
        </w:tc>
      </w:tr>
      <w:tr w:rsidR="002E5B6F" w:rsidRPr="006D20D0" w14:paraId="02991DEE" w14:textId="77777777" w:rsidTr="00126CA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0C07FBF2" w14:textId="77777777" w:rsidR="00417AD3" w:rsidRPr="00E90673" w:rsidRDefault="00417AD3" w:rsidP="007A70DD">
            <w:pPr>
              <w:pStyle w:val="TableText"/>
            </w:pPr>
            <w:r>
              <w:t>Facial prosthesis</w:t>
            </w:r>
          </w:p>
        </w:tc>
        <w:tc>
          <w:tcPr>
            <w:tcW w:w="833" w:type="pct"/>
          </w:tcPr>
          <w:p w14:paraId="29592E2F" w14:textId="30E04F16" w:rsidR="00417AD3" w:rsidRPr="0076696C" w:rsidRDefault="00F544AC" w:rsidP="007A70DD">
            <w:pPr>
              <w:pStyle w:val="TableText"/>
              <w:cnfStyle w:val="000000000000" w:firstRow="0" w:lastRow="0" w:firstColumn="0" w:lastColumn="0" w:oddVBand="0" w:evenVBand="0" w:oddHBand="0" w:evenHBand="0" w:firstRowFirstColumn="0" w:firstRowLastColumn="0" w:lastRowFirstColumn="0" w:lastRowLastColumn="0"/>
              <w:rPr>
                <w:szCs w:val="18"/>
              </w:rPr>
            </w:pPr>
            <w:r w:rsidRPr="0076696C">
              <w:rPr>
                <w:szCs w:val="18"/>
              </w:rPr>
              <w:t>9</w:t>
            </w:r>
            <w:r>
              <w:rPr>
                <w:szCs w:val="18"/>
              </w:rPr>
              <w:t xml:space="preserve"> (</w:t>
            </w:r>
            <w:r w:rsidR="00660F23">
              <w:rPr>
                <w:szCs w:val="18"/>
              </w:rPr>
              <w:t>23.1</w:t>
            </w:r>
            <w:r w:rsidR="00417AD3" w:rsidRPr="0076696C">
              <w:rPr>
                <w:szCs w:val="18"/>
              </w:rPr>
              <w:t>%</w:t>
            </w:r>
            <w:r w:rsidR="00417AD3">
              <w:rPr>
                <w:szCs w:val="18"/>
              </w:rPr>
              <w:t>)</w:t>
            </w:r>
          </w:p>
        </w:tc>
        <w:tc>
          <w:tcPr>
            <w:tcW w:w="833" w:type="pct"/>
          </w:tcPr>
          <w:p w14:paraId="5D4D8E8C" w14:textId="11670B65" w:rsidR="00417AD3" w:rsidRPr="0076696C" w:rsidRDefault="00417AD3" w:rsidP="007A70DD">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w:t>
            </w:r>
            <w:r w:rsidR="00F544AC">
              <w:rPr>
                <w:szCs w:val="18"/>
              </w:rPr>
              <w:t>0</w:t>
            </w:r>
            <w:r>
              <w:rPr>
                <w:szCs w:val="18"/>
              </w:rPr>
              <w:t>%)</w:t>
            </w:r>
          </w:p>
        </w:tc>
        <w:tc>
          <w:tcPr>
            <w:tcW w:w="833" w:type="pct"/>
          </w:tcPr>
          <w:p w14:paraId="03628A06" w14:textId="3BED399F" w:rsidR="00417AD3" w:rsidRPr="0076696C" w:rsidRDefault="00F03AD1" w:rsidP="007A70DD">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8</w:t>
            </w:r>
            <w:r w:rsidR="00F544AC">
              <w:rPr>
                <w:szCs w:val="18"/>
              </w:rPr>
              <w:t xml:space="preserve"> (</w:t>
            </w:r>
            <w:r w:rsidR="00F544AC" w:rsidRPr="0076696C">
              <w:rPr>
                <w:szCs w:val="18"/>
              </w:rPr>
              <w:t>2</w:t>
            </w:r>
            <w:r w:rsidR="00660F23">
              <w:rPr>
                <w:szCs w:val="18"/>
              </w:rPr>
              <w:t>0.5</w:t>
            </w:r>
            <w:r w:rsidR="00F544AC" w:rsidRPr="0076696C">
              <w:rPr>
                <w:szCs w:val="18"/>
              </w:rPr>
              <w:t>%</w:t>
            </w:r>
            <w:r w:rsidR="00F544AC">
              <w:rPr>
                <w:szCs w:val="18"/>
              </w:rPr>
              <w:t>)</w:t>
            </w:r>
          </w:p>
        </w:tc>
        <w:tc>
          <w:tcPr>
            <w:tcW w:w="833" w:type="pct"/>
          </w:tcPr>
          <w:p w14:paraId="7655B0A3" w14:textId="42D05769" w:rsidR="00417AD3" w:rsidRPr="0076696C" w:rsidRDefault="00F03AD1" w:rsidP="007A70DD">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6</w:t>
            </w:r>
            <w:r w:rsidR="00F544AC">
              <w:rPr>
                <w:szCs w:val="18"/>
              </w:rPr>
              <w:t xml:space="preserve"> (</w:t>
            </w:r>
            <w:r w:rsidR="00F544AC" w:rsidRPr="0076696C">
              <w:rPr>
                <w:szCs w:val="18"/>
              </w:rPr>
              <w:t>1</w:t>
            </w:r>
            <w:r w:rsidR="00660F23">
              <w:rPr>
                <w:szCs w:val="18"/>
              </w:rPr>
              <w:t>5.4</w:t>
            </w:r>
            <w:r w:rsidR="00F544AC" w:rsidRPr="0076696C">
              <w:rPr>
                <w:szCs w:val="18"/>
              </w:rPr>
              <w:t>%</w:t>
            </w:r>
            <w:r w:rsidR="00F544AC">
              <w:rPr>
                <w:szCs w:val="18"/>
              </w:rPr>
              <w:t>)</w:t>
            </w:r>
          </w:p>
        </w:tc>
        <w:tc>
          <w:tcPr>
            <w:tcW w:w="833" w:type="pct"/>
          </w:tcPr>
          <w:p w14:paraId="506660B7" w14:textId="299272E0" w:rsidR="00417AD3" w:rsidRPr="0076696C" w:rsidRDefault="00F544AC" w:rsidP="007A70DD">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w:t>
            </w:r>
            <w:r w:rsidR="00F03AD1">
              <w:rPr>
                <w:szCs w:val="18"/>
              </w:rPr>
              <w:t>6</w:t>
            </w:r>
            <w:r w:rsidR="00660F23">
              <w:rPr>
                <w:szCs w:val="18"/>
              </w:rPr>
              <w:t xml:space="preserve"> </w:t>
            </w:r>
            <w:r>
              <w:rPr>
                <w:szCs w:val="18"/>
              </w:rPr>
              <w:t>(</w:t>
            </w:r>
            <w:r w:rsidRPr="0076696C">
              <w:rPr>
                <w:szCs w:val="18"/>
              </w:rPr>
              <w:t>4</w:t>
            </w:r>
            <w:r w:rsidR="00660F23">
              <w:rPr>
                <w:szCs w:val="18"/>
              </w:rPr>
              <w:t>1.</w:t>
            </w:r>
            <w:r w:rsidR="00F453FC">
              <w:rPr>
                <w:szCs w:val="18"/>
              </w:rPr>
              <w:t>0</w:t>
            </w:r>
            <w:r w:rsidRPr="0076696C">
              <w:rPr>
                <w:szCs w:val="18"/>
              </w:rPr>
              <w:t>%</w:t>
            </w:r>
            <w:r>
              <w:rPr>
                <w:szCs w:val="18"/>
              </w:rPr>
              <w:t>)</w:t>
            </w:r>
          </w:p>
        </w:tc>
      </w:tr>
      <w:tr w:rsidR="002E5B6F" w:rsidRPr="009C1931" w14:paraId="3A5A3F07" w14:textId="77777777" w:rsidTr="00126CA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471DF7F2" w14:textId="77777777" w:rsidR="00417AD3" w:rsidRPr="005C4C25" w:rsidRDefault="00417AD3" w:rsidP="007A70DD">
            <w:pPr>
              <w:pStyle w:val="TableText"/>
            </w:pPr>
            <w:r w:rsidRPr="005C4C25">
              <w:t>An artificial breast worn in the bra</w:t>
            </w:r>
          </w:p>
        </w:tc>
        <w:tc>
          <w:tcPr>
            <w:tcW w:w="833" w:type="pct"/>
          </w:tcPr>
          <w:p w14:paraId="63BDD981" w14:textId="725E1677" w:rsidR="00417AD3" w:rsidRPr="0076696C" w:rsidRDefault="00417AD3" w:rsidP="007A70DD">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2 (</w:t>
            </w:r>
            <w:r w:rsidRPr="0076696C">
              <w:rPr>
                <w:szCs w:val="18"/>
              </w:rPr>
              <w:t>66.</w:t>
            </w:r>
            <w:r w:rsidR="00F544AC" w:rsidRPr="0076696C">
              <w:rPr>
                <w:szCs w:val="18"/>
              </w:rPr>
              <w:t>7</w:t>
            </w:r>
            <w:r w:rsidRPr="0076696C">
              <w:rPr>
                <w:szCs w:val="18"/>
              </w:rPr>
              <w:t>%</w:t>
            </w:r>
            <w:r>
              <w:rPr>
                <w:szCs w:val="18"/>
              </w:rPr>
              <w:t>)</w:t>
            </w:r>
          </w:p>
        </w:tc>
        <w:tc>
          <w:tcPr>
            <w:tcW w:w="833" w:type="pct"/>
          </w:tcPr>
          <w:p w14:paraId="054E0B80" w14:textId="0A6A683C" w:rsidR="00417AD3" w:rsidRPr="0076696C" w:rsidRDefault="00417AD3" w:rsidP="007A70DD">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w:t>
            </w:r>
            <w:r w:rsidR="00F544AC">
              <w:rPr>
                <w:szCs w:val="18"/>
              </w:rPr>
              <w:t>0</w:t>
            </w:r>
            <w:r>
              <w:rPr>
                <w:szCs w:val="18"/>
              </w:rPr>
              <w:t>%)</w:t>
            </w:r>
          </w:p>
        </w:tc>
        <w:tc>
          <w:tcPr>
            <w:tcW w:w="833" w:type="pct"/>
          </w:tcPr>
          <w:p w14:paraId="1E1BD49D" w14:textId="0DEF0516" w:rsidR="00417AD3" w:rsidRPr="0076696C" w:rsidRDefault="00417AD3" w:rsidP="007A70DD">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w:t>
            </w:r>
            <w:r w:rsidR="00F544AC">
              <w:rPr>
                <w:szCs w:val="18"/>
              </w:rPr>
              <w:t>0</w:t>
            </w:r>
            <w:r>
              <w:rPr>
                <w:szCs w:val="18"/>
              </w:rPr>
              <w:t>%)</w:t>
            </w:r>
          </w:p>
        </w:tc>
        <w:tc>
          <w:tcPr>
            <w:tcW w:w="833" w:type="pct"/>
          </w:tcPr>
          <w:p w14:paraId="2CB85DD5" w14:textId="36141E25" w:rsidR="00417AD3" w:rsidRPr="0076696C" w:rsidRDefault="00417AD3" w:rsidP="007A70DD">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w:t>
            </w:r>
            <w:r w:rsidR="00F544AC">
              <w:rPr>
                <w:szCs w:val="18"/>
              </w:rPr>
              <w:t>0</w:t>
            </w:r>
            <w:r>
              <w:rPr>
                <w:szCs w:val="18"/>
              </w:rPr>
              <w:t>%)</w:t>
            </w:r>
          </w:p>
        </w:tc>
        <w:tc>
          <w:tcPr>
            <w:tcW w:w="833" w:type="pct"/>
          </w:tcPr>
          <w:p w14:paraId="37F48334" w14:textId="4D92F019" w:rsidR="00417AD3" w:rsidRPr="0076696C" w:rsidRDefault="00417AD3" w:rsidP="007A70DD">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 (</w:t>
            </w:r>
            <w:r w:rsidRPr="0076696C">
              <w:rPr>
                <w:szCs w:val="18"/>
              </w:rPr>
              <w:t>33.</w:t>
            </w:r>
            <w:r w:rsidR="00F544AC" w:rsidRPr="0076696C">
              <w:rPr>
                <w:szCs w:val="18"/>
              </w:rPr>
              <w:t>3</w:t>
            </w:r>
            <w:r w:rsidRPr="0076696C">
              <w:rPr>
                <w:szCs w:val="18"/>
              </w:rPr>
              <w:t>%</w:t>
            </w:r>
            <w:r>
              <w:rPr>
                <w:szCs w:val="18"/>
              </w:rPr>
              <w:t>)</w:t>
            </w:r>
          </w:p>
        </w:tc>
      </w:tr>
      <w:tr w:rsidR="002E5B6F" w:rsidRPr="009C1931" w14:paraId="1529181F" w14:textId="77777777" w:rsidTr="00126CA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5C2A9C22" w14:textId="77777777" w:rsidR="00417AD3" w:rsidRPr="005C4C25" w:rsidRDefault="00417AD3" w:rsidP="007A70DD">
            <w:pPr>
              <w:pStyle w:val="TableText"/>
            </w:pPr>
            <w:r w:rsidRPr="005C4C25">
              <w:t>Voice prostheses</w:t>
            </w:r>
          </w:p>
        </w:tc>
        <w:tc>
          <w:tcPr>
            <w:tcW w:w="833" w:type="pct"/>
          </w:tcPr>
          <w:p w14:paraId="69B4ABE6" w14:textId="78729F06" w:rsidR="00417AD3" w:rsidRPr="0076696C" w:rsidRDefault="00417AD3" w:rsidP="007A70DD">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7 (</w:t>
            </w:r>
            <w:r w:rsidRPr="0076696C">
              <w:rPr>
                <w:szCs w:val="18"/>
              </w:rPr>
              <w:t>53.</w:t>
            </w:r>
            <w:r w:rsidR="00F544AC">
              <w:rPr>
                <w:szCs w:val="18"/>
              </w:rPr>
              <w:t>9</w:t>
            </w:r>
            <w:r w:rsidRPr="0076696C">
              <w:rPr>
                <w:szCs w:val="18"/>
              </w:rPr>
              <w:t>%</w:t>
            </w:r>
            <w:r>
              <w:rPr>
                <w:szCs w:val="18"/>
              </w:rPr>
              <w:t>)</w:t>
            </w:r>
          </w:p>
        </w:tc>
        <w:tc>
          <w:tcPr>
            <w:tcW w:w="833" w:type="pct"/>
          </w:tcPr>
          <w:p w14:paraId="533397CE" w14:textId="76C8E6B4" w:rsidR="00417AD3" w:rsidRPr="0076696C" w:rsidRDefault="00417AD3" w:rsidP="007A70DD">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w:t>
            </w:r>
            <w:r w:rsidR="00F544AC">
              <w:rPr>
                <w:szCs w:val="18"/>
              </w:rPr>
              <w:t>0</w:t>
            </w:r>
            <w:r>
              <w:rPr>
                <w:szCs w:val="18"/>
              </w:rPr>
              <w:t>%)</w:t>
            </w:r>
          </w:p>
        </w:tc>
        <w:tc>
          <w:tcPr>
            <w:tcW w:w="833" w:type="pct"/>
          </w:tcPr>
          <w:p w14:paraId="7D53A056" w14:textId="5117E729" w:rsidR="00417AD3" w:rsidRPr="0076696C" w:rsidRDefault="00417AD3" w:rsidP="007A70DD">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3 (</w:t>
            </w:r>
            <w:r w:rsidRPr="0076696C">
              <w:rPr>
                <w:szCs w:val="18"/>
              </w:rPr>
              <w:t>23.</w:t>
            </w:r>
            <w:r w:rsidR="00F544AC">
              <w:rPr>
                <w:szCs w:val="18"/>
              </w:rPr>
              <w:t>1</w:t>
            </w:r>
            <w:r w:rsidRPr="0076696C">
              <w:rPr>
                <w:szCs w:val="18"/>
              </w:rPr>
              <w:t>%</w:t>
            </w:r>
            <w:r>
              <w:rPr>
                <w:szCs w:val="18"/>
              </w:rPr>
              <w:t>)</w:t>
            </w:r>
          </w:p>
        </w:tc>
        <w:tc>
          <w:tcPr>
            <w:tcW w:w="833" w:type="pct"/>
          </w:tcPr>
          <w:p w14:paraId="0C3AEFAB" w14:textId="2E76CD27" w:rsidR="00417AD3" w:rsidRPr="0076696C" w:rsidRDefault="00417AD3" w:rsidP="007A70DD">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 (</w:t>
            </w:r>
            <w:r w:rsidRPr="0076696C">
              <w:rPr>
                <w:szCs w:val="18"/>
              </w:rPr>
              <w:t>7.</w:t>
            </w:r>
            <w:r w:rsidR="00F544AC">
              <w:rPr>
                <w:szCs w:val="18"/>
              </w:rPr>
              <w:t>7</w:t>
            </w:r>
            <w:r w:rsidRPr="0076696C">
              <w:rPr>
                <w:szCs w:val="18"/>
              </w:rPr>
              <w:t>%</w:t>
            </w:r>
            <w:r>
              <w:rPr>
                <w:szCs w:val="18"/>
              </w:rPr>
              <w:t>)</w:t>
            </w:r>
          </w:p>
        </w:tc>
        <w:tc>
          <w:tcPr>
            <w:tcW w:w="833" w:type="pct"/>
          </w:tcPr>
          <w:p w14:paraId="4C09204D" w14:textId="507916CF" w:rsidR="00417AD3" w:rsidRPr="0076696C" w:rsidRDefault="00417AD3" w:rsidP="007A70DD">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2 (</w:t>
            </w:r>
            <w:r w:rsidRPr="0076696C">
              <w:rPr>
                <w:szCs w:val="18"/>
              </w:rPr>
              <w:t>15.</w:t>
            </w:r>
            <w:r w:rsidR="00F544AC">
              <w:rPr>
                <w:szCs w:val="18"/>
              </w:rPr>
              <w:t>4</w:t>
            </w:r>
            <w:r w:rsidRPr="0076696C">
              <w:rPr>
                <w:szCs w:val="18"/>
              </w:rPr>
              <w:t>%</w:t>
            </w:r>
            <w:r>
              <w:rPr>
                <w:szCs w:val="18"/>
              </w:rPr>
              <w:t>)</w:t>
            </w:r>
          </w:p>
        </w:tc>
      </w:tr>
      <w:tr w:rsidR="002E5B6F" w14:paraId="6C12BBA1" w14:textId="77777777" w:rsidTr="00126CA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648F112F" w14:textId="77777777" w:rsidR="00417AD3" w:rsidRPr="005C4C25" w:rsidRDefault="00417AD3" w:rsidP="007A70DD">
            <w:pPr>
              <w:pStyle w:val="TableText"/>
            </w:pPr>
            <w:r w:rsidRPr="005C4C25">
              <w:t>Dental prostheses</w:t>
            </w:r>
          </w:p>
        </w:tc>
        <w:tc>
          <w:tcPr>
            <w:tcW w:w="833" w:type="pct"/>
          </w:tcPr>
          <w:p w14:paraId="5F93338E" w14:textId="604BA808" w:rsidR="00417AD3" w:rsidRPr="0076696C" w:rsidRDefault="00417AD3" w:rsidP="007A70DD">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4 (</w:t>
            </w:r>
            <w:r w:rsidRPr="0076696C">
              <w:rPr>
                <w:szCs w:val="18"/>
              </w:rPr>
              <w:t>44.</w:t>
            </w:r>
            <w:r w:rsidR="00F544AC" w:rsidRPr="0076696C">
              <w:rPr>
                <w:szCs w:val="18"/>
              </w:rPr>
              <w:t>4</w:t>
            </w:r>
            <w:r w:rsidRPr="0076696C">
              <w:rPr>
                <w:szCs w:val="18"/>
              </w:rPr>
              <w:t>%</w:t>
            </w:r>
            <w:r>
              <w:rPr>
                <w:szCs w:val="18"/>
              </w:rPr>
              <w:t>)</w:t>
            </w:r>
          </w:p>
        </w:tc>
        <w:tc>
          <w:tcPr>
            <w:tcW w:w="833" w:type="pct"/>
          </w:tcPr>
          <w:p w14:paraId="2D2DB59D" w14:textId="15E4D2A8" w:rsidR="00417AD3" w:rsidRPr="0076696C" w:rsidRDefault="00417AD3" w:rsidP="007A70DD">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w:t>
            </w:r>
            <w:r w:rsidR="00F544AC">
              <w:rPr>
                <w:szCs w:val="18"/>
              </w:rPr>
              <w:t>0</w:t>
            </w:r>
            <w:r>
              <w:rPr>
                <w:szCs w:val="18"/>
              </w:rPr>
              <w:t>%)</w:t>
            </w:r>
          </w:p>
        </w:tc>
        <w:tc>
          <w:tcPr>
            <w:tcW w:w="833" w:type="pct"/>
          </w:tcPr>
          <w:p w14:paraId="4D9D1882" w14:textId="1D0BFA4C" w:rsidR="00417AD3" w:rsidRPr="0076696C" w:rsidRDefault="00417AD3" w:rsidP="007A70DD">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3 (</w:t>
            </w:r>
            <w:r w:rsidRPr="0076696C">
              <w:rPr>
                <w:szCs w:val="18"/>
              </w:rPr>
              <w:t>33.</w:t>
            </w:r>
            <w:r w:rsidR="00F544AC" w:rsidRPr="0076696C">
              <w:rPr>
                <w:szCs w:val="18"/>
              </w:rPr>
              <w:t>3</w:t>
            </w:r>
            <w:r w:rsidRPr="0076696C">
              <w:rPr>
                <w:szCs w:val="18"/>
              </w:rPr>
              <w:t>%</w:t>
            </w:r>
            <w:r>
              <w:rPr>
                <w:szCs w:val="18"/>
              </w:rPr>
              <w:t>)</w:t>
            </w:r>
          </w:p>
        </w:tc>
        <w:tc>
          <w:tcPr>
            <w:tcW w:w="833" w:type="pct"/>
          </w:tcPr>
          <w:p w14:paraId="1EC21037" w14:textId="1EA90E3D" w:rsidR="00417AD3" w:rsidRPr="0076696C" w:rsidRDefault="00417AD3" w:rsidP="007A70DD">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 (</w:t>
            </w:r>
            <w:r w:rsidRPr="0076696C">
              <w:rPr>
                <w:szCs w:val="18"/>
              </w:rPr>
              <w:t>11.</w:t>
            </w:r>
            <w:r w:rsidR="00F544AC" w:rsidRPr="0076696C">
              <w:rPr>
                <w:szCs w:val="18"/>
              </w:rPr>
              <w:t>1</w:t>
            </w:r>
            <w:r w:rsidRPr="0076696C">
              <w:rPr>
                <w:szCs w:val="18"/>
              </w:rPr>
              <w:t>%</w:t>
            </w:r>
            <w:r>
              <w:rPr>
                <w:szCs w:val="18"/>
              </w:rPr>
              <w:t>)</w:t>
            </w:r>
          </w:p>
        </w:tc>
        <w:tc>
          <w:tcPr>
            <w:tcW w:w="833" w:type="pct"/>
          </w:tcPr>
          <w:p w14:paraId="15F4D16B" w14:textId="506CDDF0" w:rsidR="00417AD3" w:rsidRPr="0076696C" w:rsidRDefault="00417AD3" w:rsidP="007A70DD">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 (</w:t>
            </w:r>
            <w:r w:rsidRPr="0076696C">
              <w:rPr>
                <w:szCs w:val="18"/>
              </w:rPr>
              <w:t>11.</w:t>
            </w:r>
            <w:r w:rsidR="00F544AC" w:rsidRPr="0076696C">
              <w:rPr>
                <w:szCs w:val="18"/>
              </w:rPr>
              <w:t>1</w:t>
            </w:r>
            <w:r w:rsidRPr="0076696C">
              <w:rPr>
                <w:szCs w:val="18"/>
              </w:rPr>
              <w:t>%</w:t>
            </w:r>
            <w:r>
              <w:rPr>
                <w:szCs w:val="18"/>
              </w:rPr>
              <w:t>)</w:t>
            </w:r>
          </w:p>
        </w:tc>
      </w:tr>
      <w:tr w:rsidR="002E5B6F" w14:paraId="713E49A5" w14:textId="77777777" w:rsidTr="00126CA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25B4ED73" w14:textId="77777777" w:rsidR="00417AD3" w:rsidRPr="005C4C25" w:rsidRDefault="00417AD3" w:rsidP="007A70DD">
            <w:pPr>
              <w:pStyle w:val="TableText"/>
            </w:pPr>
            <w:r>
              <w:t>Fat grafting</w:t>
            </w:r>
          </w:p>
        </w:tc>
        <w:tc>
          <w:tcPr>
            <w:tcW w:w="833" w:type="pct"/>
          </w:tcPr>
          <w:p w14:paraId="2906263A" w14:textId="517A28AD" w:rsidR="00417AD3" w:rsidRPr="0076696C" w:rsidRDefault="00417AD3" w:rsidP="007A70DD">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w:t>
            </w:r>
            <w:r w:rsidR="00F544AC">
              <w:rPr>
                <w:szCs w:val="18"/>
              </w:rPr>
              <w:t>0</w:t>
            </w:r>
            <w:r>
              <w:rPr>
                <w:szCs w:val="18"/>
              </w:rPr>
              <w:t>%)</w:t>
            </w:r>
          </w:p>
        </w:tc>
        <w:tc>
          <w:tcPr>
            <w:tcW w:w="833" w:type="pct"/>
          </w:tcPr>
          <w:p w14:paraId="6BF5438D" w14:textId="67A70E6F" w:rsidR="00417AD3" w:rsidRPr="0076696C" w:rsidRDefault="00417AD3" w:rsidP="007A70DD">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w:t>
            </w:r>
            <w:r w:rsidR="00F544AC">
              <w:rPr>
                <w:szCs w:val="18"/>
              </w:rPr>
              <w:t>0</w:t>
            </w:r>
            <w:r>
              <w:rPr>
                <w:szCs w:val="18"/>
              </w:rPr>
              <w:t>%)</w:t>
            </w:r>
          </w:p>
        </w:tc>
        <w:tc>
          <w:tcPr>
            <w:tcW w:w="833" w:type="pct"/>
          </w:tcPr>
          <w:p w14:paraId="3B2D792D" w14:textId="6F8DE663" w:rsidR="00417AD3" w:rsidRPr="0076696C" w:rsidRDefault="00417AD3" w:rsidP="007A70DD">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 (100.</w:t>
            </w:r>
            <w:r w:rsidR="00F544AC">
              <w:rPr>
                <w:szCs w:val="18"/>
              </w:rPr>
              <w:t>0</w:t>
            </w:r>
            <w:r>
              <w:rPr>
                <w:szCs w:val="18"/>
              </w:rPr>
              <w:t>%)</w:t>
            </w:r>
          </w:p>
        </w:tc>
        <w:tc>
          <w:tcPr>
            <w:tcW w:w="833" w:type="pct"/>
          </w:tcPr>
          <w:p w14:paraId="5A8E7E0D" w14:textId="5693EF0F" w:rsidR="00417AD3" w:rsidRPr="0076696C" w:rsidRDefault="00417AD3" w:rsidP="007A70DD">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w:t>
            </w:r>
            <w:r w:rsidR="00F544AC">
              <w:rPr>
                <w:szCs w:val="18"/>
              </w:rPr>
              <w:t>0</w:t>
            </w:r>
            <w:r>
              <w:rPr>
                <w:szCs w:val="18"/>
              </w:rPr>
              <w:t>%)</w:t>
            </w:r>
          </w:p>
        </w:tc>
        <w:tc>
          <w:tcPr>
            <w:tcW w:w="833" w:type="pct"/>
          </w:tcPr>
          <w:p w14:paraId="2786963C" w14:textId="7B8B18C0" w:rsidR="00417AD3" w:rsidRPr="0076696C" w:rsidRDefault="00417AD3" w:rsidP="007A70DD">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w:t>
            </w:r>
            <w:r w:rsidR="00F544AC">
              <w:rPr>
                <w:szCs w:val="18"/>
              </w:rPr>
              <w:t>0</w:t>
            </w:r>
            <w:r>
              <w:rPr>
                <w:szCs w:val="18"/>
              </w:rPr>
              <w:t>%)</w:t>
            </w:r>
          </w:p>
        </w:tc>
      </w:tr>
      <w:tr w:rsidR="002E5B6F" w:rsidRPr="009C1931" w14:paraId="7DE81A76" w14:textId="77777777" w:rsidTr="00126CA5">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7D9C3493" w14:textId="77777777" w:rsidR="00417AD3" w:rsidRPr="00C33FD2" w:rsidRDefault="00417AD3" w:rsidP="007A70DD">
            <w:pPr>
              <w:pStyle w:val="Tabletextbold"/>
              <w:rPr>
                <w:rFonts w:eastAsiaTheme="minorEastAsia" w:cs="Arial"/>
                <w:b/>
                <w:bCs/>
                <w:szCs w:val="18"/>
              </w:rPr>
            </w:pPr>
            <w:r w:rsidRPr="00C33FD2">
              <w:rPr>
                <w:b/>
                <w:bCs/>
              </w:rPr>
              <w:t>Total</w:t>
            </w:r>
            <w:r w:rsidRPr="00C33FD2">
              <w:rPr>
                <w:rFonts w:eastAsiaTheme="minorEastAsia" w:cs="Arial"/>
                <w:b/>
                <w:bCs/>
                <w:szCs w:val="18"/>
              </w:rPr>
              <w:t>: 65 respondents</w:t>
            </w:r>
          </w:p>
        </w:tc>
        <w:tc>
          <w:tcPr>
            <w:tcW w:w="833" w:type="pct"/>
          </w:tcPr>
          <w:p w14:paraId="6C99F27F" w14:textId="487D3144" w:rsidR="00417AD3" w:rsidRPr="006F5F45" w:rsidRDefault="00417AD3" w:rsidP="007A70DD">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22 (33.</w:t>
            </w:r>
            <w:r w:rsidR="00F544AC" w:rsidRPr="006F5F45">
              <w:rPr>
                <w:rFonts w:eastAsiaTheme="minorEastAsia" w:cs="Arial"/>
                <w:szCs w:val="18"/>
              </w:rPr>
              <w:t>9</w:t>
            </w:r>
            <w:r w:rsidRPr="006F5F45">
              <w:rPr>
                <w:rFonts w:eastAsiaTheme="minorEastAsia" w:cs="Arial"/>
                <w:szCs w:val="18"/>
              </w:rPr>
              <w:t>%)</w:t>
            </w:r>
          </w:p>
        </w:tc>
        <w:tc>
          <w:tcPr>
            <w:tcW w:w="833" w:type="pct"/>
          </w:tcPr>
          <w:p w14:paraId="68F8DF28" w14:textId="6A946B41" w:rsidR="00417AD3" w:rsidRPr="006F5F45" w:rsidRDefault="00417AD3" w:rsidP="007A70DD">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0 (0.0%)</w:t>
            </w:r>
          </w:p>
        </w:tc>
        <w:tc>
          <w:tcPr>
            <w:tcW w:w="833" w:type="pct"/>
          </w:tcPr>
          <w:p w14:paraId="2E95E676" w14:textId="1078717A" w:rsidR="00417AD3" w:rsidRPr="006F5F45" w:rsidRDefault="00417AD3" w:rsidP="007A70DD">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15 (23.</w:t>
            </w:r>
            <w:r w:rsidR="00F544AC" w:rsidRPr="006F5F45">
              <w:rPr>
                <w:rFonts w:eastAsiaTheme="minorEastAsia" w:cs="Arial"/>
                <w:szCs w:val="18"/>
              </w:rPr>
              <w:t>1</w:t>
            </w:r>
            <w:r w:rsidRPr="006F5F45">
              <w:rPr>
                <w:rFonts w:eastAsiaTheme="minorEastAsia" w:cs="Arial"/>
                <w:szCs w:val="18"/>
              </w:rPr>
              <w:t>%)</w:t>
            </w:r>
          </w:p>
        </w:tc>
        <w:tc>
          <w:tcPr>
            <w:tcW w:w="833" w:type="pct"/>
          </w:tcPr>
          <w:p w14:paraId="47B70A0B" w14:textId="314254C7" w:rsidR="00417AD3" w:rsidRPr="006F5F45" w:rsidRDefault="00417AD3" w:rsidP="007A70DD">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8 (</w:t>
            </w:r>
            <w:proofErr w:type="gramStart"/>
            <w:r w:rsidRPr="006F5F45">
              <w:t>12.%</w:t>
            </w:r>
            <w:proofErr w:type="gramEnd"/>
            <w:r w:rsidRPr="006F5F45">
              <w:t>)</w:t>
            </w:r>
          </w:p>
        </w:tc>
        <w:tc>
          <w:tcPr>
            <w:tcW w:w="833" w:type="pct"/>
          </w:tcPr>
          <w:p w14:paraId="54092548" w14:textId="7BF0C228" w:rsidR="00417AD3" w:rsidRPr="006F5F45" w:rsidRDefault="00417AD3" w:rsidP="007A70DD">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18"/>
              </w:rPr>
            </w:pPr>
            <w:r w:rsidRPr="006F5F45">
              <w:t>20 (30.</w:t>
            </w:r>
            <w:r w:rsidR="00F544AC" w:rsidRPr="006F5F45">
              <w:rPr>
                <w:rFonts w:eastAsiaTheme="minorEastAsia" w:cs="Arial"/>
                <w:szCs w:val="18"/>
              </w:rPr>
              <w:t>8</w:t>
            </w:r>
            <w:r w:rsidRPr="006F5F45">
              <w:rPr>
                <w:rFonts w:eastAsiaTheme="minorEastAsia" w:cs="Arial"/>
                <w:szCs w:val="18"/>
              </w:rPr>
              <w:t>%)</w:t>
            </w:r>
          </w:p>
        </w:tc>
      </w:tr>
    </w:tbl>
    <w:p w14:paraId="79AA3788" w14:textId="74837E18" w:rsidR="00EA68B2" w:rsidRDefault="00EA68B2" w:rsidP="007A70DD">
      <w:pPr>
        <w:pStyle w:val="Caption-Source"/>
        <w:rPr>
          <w:rFonts w:ascii="Arial" w:eastAsiaTheme="minorEastAsia" w:hAnsi="Arial" w:cs="Arial"/>
          <w:i/>
          <w:color w:val="auto"/>
        </w:rPr>
      </w:pPr>
      <w:r w:rsidRPr="00032942">
        <w:t>Sourc</w:t>
      </w:r>
      <w:r w:rsidRPr="00C76D17">
        <w:t xml:space="preserve">e: </w:t>
      </w:r>
      <w:r w:rsidR="00604AA5">
        <w:t>Independent reviewer</w:t>
      </w:r>
      <w:r w:rsidR="00604AA5" w:rsidRPr="00CD3106">
        <w:t xml:space="preserve"> </w:t>
      </w:r>
      <w:r w:rsidR="00584D02" w:rsidRPr="00C76D17">
        <w:t>(</w:t>
      </w:r>
      <w:r w:rsidRPr="00C76D17">
        <w:t>2025</w:t>
      </w:r>
      <w:r w:rsidR="00584D02" w:rsidRPr="00C76D17">
        <w:t>)</w:t>
      </w:r>
    </w:p>
    <w:p w14:paraId="710335B7" w14:textId="77777777" w:rsidR="00C33FD2" w:rsidRDefault="00C33FD2" w:rsidP="00A10684">
      <w:r>
        <w:br w:type="page"/>
      </w:r>
    </w:p>
    <w:p w14:paraId="1FE27E2F" w14:textId="75AFD532" w:rsidR="00417AD3" w:rsidRPr="00CA7A25" w:rsidRDefault="007A70DD" w:rsidP="007A70DD">
      <w:pPr>
        <w:spacing w:before="0" w:after="160" w:line="259" w:lineRule="auto"/>
        <w:rPr>
          <w:rFonts w:ascii="Arial" w:hAnsi="Arial" w:cs="Arial"/>
          <w:b/>
          <w:bCs/>
          <w:szCs w:val="20"/>
        </w:rPr>
      </w:pPr>
      <w:r>
        <w:rPr>
          <w:rFonts w:ascii="Arial" w:hAnsi="Arial" w:cs="Arial"/>
          <w:b/>
          <w:bCs/>
          <w:szCs w:val="20"/>
        </w:rPr>
        <w:t xml:space="preserve">Statement 6: </w:t>
      </w:r>
      <w:r w:rsidR="00417AD3">
        <w:rPr>
          <w:rFonts w:ascii="Arial" w:hAnsi="Arial" w:cs="Arial"/>
          <w:b/>
          <w:bCs/>
          <w:szCs w:val="20"/>
        </w:rPr>
        <w:t>My prosthesis has improved my quality of life</w:t>
      </w:r>
    </w:p>
    <w:p w14:paraId="4156ADE5" w14:textId="65600873" w:rsidR="00491B02" w:rsidRDefault="00491B02" w:rsidP="00491B02">
      <w:pPr>
        <w:pStyle w:val="Caption"/>
      </w:pPr>
      <w:bookmarkStart w:id="241" w:name="_Toc207348633"/>
      <w:r>
        <w:t xml:space="preserve">Table </w:t>
      </w:r>
      <w:r w:rsidR="00E6799D">
        <w:fldChar w:fldCharType="begin"/>
      </w:r>
      <w:r w:rsidR="00E6799D">
        <w:instrText xml:space="preserve"> SEQ Table \* ARABIC </w:instrText>
      </w:r>
      <w:r w:rsidR="00E6799D">
        <w:fldChar w:fldCharType="separate"/>
      </w:r>
      <w:r w:rsidR="00E6799D">
        <w:rPr>
          <w:noProof/>
        </w:rPr>
        <w:t>68</w:t>
      </w:r>
      <w:r w:rsidR="00E6799D">
        <w:rPr>
          <w:noProof/>
        </w:rPr>
        <w:fldChar w:fldCharType="end"/>
      </w:r>
      <w:r>
        <w:t>:</w:t>
      </w:r>
      <w:r w:rsidRPr="0072274F">
        <w:t xml:space="preserve">Responses by </w:t>
      </w:r>
      <w:r>
        <w:t>jurisdiction</w:t>
      </w:r>
      <w:r w:rsidRPr="0072274F">
        <w:t xml:space="preserve"> to Statement </w:t>
      </w:r>
      <w:r>
        <w:t>6</w:t>
      </w:r>
      <w:bookmarkEnd w:id="241"/>
    </w:p>
    <w:tbl>
      <w:tblPr>
        <w:tblStyle w:val="KPMGTable"/>
        <w:tblW w:w="5000" w:type="pct"/>
        <w:tblLook w:val="04A0" w:firstRow="1" w:lastRow="0" w:firstColumn="1" w:lastColumn="0" w:noHBand="0" w:noVBand="1"/>
      </w:tblPr>
      <w:tblGrid>
        <w:gridCol w:w="1701"/>
        <w:gridCol w:w="1701"/>
        <w:gridCol w:w="1701"/>
        <w:gridCol w:w="1701"/>
        <w:gridCol w:w="1700"/>
        <w:gridCol w:w="1700"/>
      </w:tblGrid>
      <w:tr w:rsidR="00AD6F37" w:rsidRPr="00501302" w14:paraId="532B3BAC"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833" w:type="pct"/>
          </w:tcPr>
          <w:p w14:paraId="24C3DFB6" w14:textId="77777777" w:rsidR="00417AD3" w:rsidRPr="007B154A" w:rsidRDefault="00417AD3" w:rsidP="00491B02">
            <w:pPr>
              <w:pStyle w:val="TableHeading"/>
              <w:rPr>
                <w:b w:val="0"/>
                <w:color w:val="FFFFFF" w:themeColor="background1"/>
                <w:szCs w:val="20"/>
              </w:rPr>
            </w:pPr>
            <w:r>
              <w:t>Response</w:t>
            </w:r>
          </w:p>
        </w:tc>
        <w:tc>
          <w:tcPr>
            <w:tcW w:w="833" w:type="pct"/>
          </w:tcPr>
          <w:p w14:paraId="096A0D75" w14:textId="77777777" w:rsidR="00417AD3" w:rsidRDefault="00417AD3" w:rsidP="00491B0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disagree</w:t>
            </w:r>
          </w:p>
        </w:tc>
        <w:tc>
          <w:tcPr>
            <w:tcW w:w="833" w:type="pct"/>
          </w:tcPr>
          <w:p w14:paraId="4492E7CB" w14:textId="77777777" w:rsidR="00417AD3" w:rsidRDefault="00417AD3" w:rsidP="00491B0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disagree</w:t>
            </w:r>
          </w:p>
        </w:tc>
        <w:tc>
          <w:tcPr>
            <w:tcW w:w="833" w:type="pct"/>
          </w:tcPr>
          <w:p w14:paraId="52D3299E" w14:textId="77777777" w:rsidR="00417AD3" w:rsidRDefault="00417AD3" w:rsidP="00491B0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Neither agree nor disagree</w:t>
            </w:r>
          </w:p>
        </w:tc>
        <w:tc>
          <w:tcPr>
            <w:tcW w:w="833" w:type="pct"/>
          </w:tcPr>
          <w:p w14:paraId="09F06832" w14:textId="77777777" w:rsidR="00417AD3" w:rsidRDefault="00417AD3" w:rsidP="00491B0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agree</w:t>
            </w:r>
          </w:p>
        </w:tc>
        <w:tc>
          <w:tcPr>
            <w:tcW w:w="833" w:type="pct"/>
          </w:tcPr>
          <w:p w14:paraId="66D9F8D0" w14:textId="77777777" w:rsidR="00417AD3" w:rsidRDefault="00417AD3" w:rsidP="00491B0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agree</w:t>
            </w:r>
          </w:p>
        </w:tc>
      </w:tr>
      <w:tr w:rsidR="002E5B6F" w:rsidRPr="00DE530D" w14:paraId="21C944CA" w14:textId="77777777" w:rsidTr="00491B0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3C9D15D8" w14:textId="77777777" w:rsidR="00417AD3" w:rsidRPr="00E90673" w:rsidRDefault="00417AD3" w:rsidP="00491B02">
            <w:pPr>
              <w:pStyle w:val="TableText"/>
            </w:pPr>
            <w:r>
              <w:t>New South Wales</w:t>
            </w:r>
          </w:p>
        </w:tc>
        <w:tc>
          <w:tcPr>
            <w:tcW w:w="833" w:type="pct"/>
          </w:tcPr>
          <w:p w14:paraId="715BC992" w14:textId="5E557C07" w:rsidR="00417AD3" w:rsidRPr="00D079CE" w:rsidRDefault="00417AD3" w:rsidP="00491B02">
            <w:pPr>
              <w:pStyle w:val="TableText"/>
              <w:cnfStyle w:val="000000000000" w:firstRow="0" w:lastRow="0" w:firstColumn="0" w:lastColumn="0" w:oddVBand="0" w:evenVBand="0" w:oddHBand="0" w:evenHBand="0" w:firstRowFirstColumn="0" w:firstRowLastColumn="0" w:lastRowFirstColumn="0" w:lastRowLastColumn="0"/>
            </w:pPr>
            <w:r>
              <w:t>2 (</w:t>
            </w:r>
            <w:r w:rsidRPr="00D079CE">
              <w:t>5.6%</w:t>
            </w:r>
            <w:r>
              <w:t>)</w:t>
            </w:r>
          </w:p>
        </w:tc>
        <w:tc>
          <w:tcPr>
            <w:tcW w:w="833" w:type="pct"/>
          </w:tcPr>
          <w:p w14:paraId="6950D887" w14:textId="0F5EE0AB" w:rsidR="00417AD3" w:rsidRPr="00D079CE" w:rsidRDefault="00417AD3" w:rsidP="00491B02">
            <w:pPr>
              <w:pStyle w:val="TableText"/>
              <w:cnfStyle w:val="000000000000" w:firstRow="0" w:lastRow="0" w:firstColumn="0" w:lastColumn="0" w:oddVBand="0" w:evenVBand="0" w:oddHBand="0" w:evenHBand="0" w:firstRowFirstColumn="0" w:firstRowLastColumn="0" w:lastRowFirstColumn="0" w:lastRowLastColumn="0"/>
            </w:pPr>
            <w:r>
              <w:t>1 (</w:t>
            </w:r>
            <w:r w:rsidRPr="00D079CE">
              <w:t>2.</w:t>
            </w:r>
            <w:r w:rsidR="00F544AC">
              <w:t>8</w:t>
            </w:r>
            <w:r w:rsidRPr="00D079CE">
              <w:t>%</w:t>
            </w:r>
            <w:r>
              <w:t>)</w:t>
            </w:r>
          </w:p>
        </w:tc>
        <w:tc>
          <w:tcPr>
            <w:tcW w:w="833" w:type="pct"/>
          </w:tcPr>
          <w:p w14:paraId="5D8FA1DC" w14:textId="6C73070B" w:rsidR="00417AD3" w:rsidRPr="00D079CE" w:rsidRDefault="00417AD3" w:rsidP="00491B02">
            <w:pPr>
              <w:pStyle w:val="TableText"/>
              <w:cnfStyle w:val="000000000000" w:firstRow="0" w:lastRow="0" w:firstColumn="0" w:lastColumn="0" w:oddVBand="0" w:evenVBand="0" w:oddHBand="0" w:evenHBand="0" w:firstRowFirstColumn="0" w:firstRowLastColumn="0" w:lastRowFirstColumn="0" w:lastRowLastColumn="0"/>
            </w:pPr>
            <w:r>
              <w:t>3 (</w:t>
            </w:r>
            <w:r w:rsidRPr="00D079CE">
              <w:t>8.3%</w:t>
            </w:r>
            <w:r>
              <w:t>)</w:t>
            </w:r>
          </w:p>
        </w:tc>
        <w:tc>
          <w:tcPr>
            <w:tcW w:w="833" w:type="pct"/>
          </w:tcPr>
          <w:p w14:paraId="6A41678F" w14:textId="1F21A482" w:rsidR="00417AD3" w:rsidRPr="00D079CE" w:rsidRDefault="00417AD3" w:rsidP="00491B02">
            <w:pPr>
              <w:pStyle w:val="TableText"/>
              <w:cnfStyle w:val="000000000000" w:firstRow="0" w:lastRow="0" w:firstColumn="0" w:lastColumn="0" w:oddVBand="0" w:evenVBand="0" w:oddHBand="0" w:evenHBand="0" w:firstRowFirstColumn="0" w:firstRowLastColumn="0" w:lastRowFirstColumn="0" w:lastRowLastColumn="0"/>
            </w:pPr>
            <w:r>
              <w:t>5 (</w:t>
            </w:r>
            <w:r w:rsidRPr="00D079CE">
              <w:t>13.9%</w:t>
            </w:r>
            <w:r>
              <w:t>)</w:t>
            </w:r>
          </w:p>
        </w:tc>
        <w:tc>
          <w:tcPr>
            <w:tcW w:w="833" w:type="pct"/>
          </w:tcPr>
          <w:p w14:paraId="6A2ED5B4" w14:textId="10814760" w:rsidR="00417AD3" w:rsidRPr="00D079CE" w:rsidRDefault="00417AD3" w:rsidP="00491B02">
            <w:pPr>
              <w:pStyle w:val="TableText"/>
              <w:cnfStyle w:val="000000000000" w:firstRow="0" w:lastRow="0" w:firstColumn="0" w:lastColumn="0" w:oddVBand="0" w:evenVBand="0" w:oddHBand="0" w:evenHBand="0" w:firstRowFirstColumn="0" w:firstRowLastColumn="0" w:lastRowFirstColumn="0" w:lastRowLastColumn="0"/>
            </w:pPr>
            <w:r>
              <w:t>25 (</w:t>
            </w:r>
            <w:r w:rsidRPr="00D079CE">
              <w:t>69.4%</w:t>
            </w:r>
            <w:r>
              <w:t>)</w:t>
            </w:r>
          </w:p>
        </w:tc>
      </w:tr>
      <w:tr w:rsidR="002E5B6F" w:rsidRPr="00DE530D" w14:paraId="1397F341" w14:textId="77777777" w:rsidTr="00491B0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4160D086" w14:textId="77777777" w:rsidR="00417AD3" w:rsidRPr="006D20D0" w:rsidRDefault="00417AD3" w:rsidP="00491B02">
            <w:pPr>
              <w:pStyle w:val="TableText"/>
              <w:rPr>
                <w:szCs w:val="18"/>
              </w:rPr>
            </w:pPr>
            <w:r>
              <w:rPr>
                <w:szCs w:val="18"/>
              </w:rPr>
              <w:t>Victoria</w:t>
            </w:r>
          </w:p>
        </w:tc>
        <w:tc>
          <w:tcPr>
            <w:tcW w:w="833" w:type="pct"/>
          </w:tcPr>
          <w:p w14:paraId="3A2C8809" w14:textId="52FB9199" w:rsidR="00417AD3" w:rsidRPr="00D079CE"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Pr>
                <w:szCs w:val="18"/>
              </w:rPr>
              <w:t>0 (0.</w:t>
            </w:r>
            <w:r w:rsidR="00F544AC">
              <w:rPr>
                <w:szCs w:val="18"/>
              </w:rPr>
              <w:t>0</w:t>
            </w:r>
            <w:r>
              <w:rPr>
                <w:szCs w:val="18"/>
              </w:rPr>
              <w:t>%)</w:t>
            </w:r>
          </w:p>
        </w:tc>
        <w:tc>
          <w:tcPr>
            <w:tcW w:w="833" w:type="pct"/>
          </w:tcPr>
          <w:p w14:paraId="596B9590" w14:textId="1FA4DC29" w:rsidR="00417AD3" w:rsidRPr="00D079CE"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Pr>
                <w:szCs w:val="18"/>
              </w:rPr>
              <w:t>0 (0.</w:t>
            </w:r>
            <w:r w:rsidR="00F544AC">
              <w:rPr>
                <w:szCs w:val="18"/>
              </w:rPr>
              <w:t>0</w:t>
            </w:r>
            <w:r>
              <w:rPr>
                <w:szCs w:val="18"/>
              </w:rPr>
              <w:t>%)</w:t>
            </w:r>
          </w:p>
        </w:tc>
        <w:tc>
          <w:tcPr>
            <w:tcW w:w="833" w:type="pct"/>
          </w:tcPr>
          <w:p w14:paraId="0F559C6B" w14:textId="13E21C26" w:rsidR="00417AD3" w:rsidRPr="00D079CE"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Pr>
                <w:szCs w:val="18"/>
              </w:rPr>
              <w:t>0 (0.</w:t>
            </w:r>
            <w:r w:rsidR="00F544AC">
              <w:rPr>
                <w:szCs w:val="18"/>
              </w:rPr>
              <w:t>0</w:t>
            </w:r>
            <w:r>
              <w:rPr>
                <w:szCs w:val="18"/>
              </w:rPr>
              <w:t>%)</w:t>
            </w:r>
          </w:p>
        </w:tc>
        <w:tc>
          <w:tcPr>
            <w:tcW w:w="833" w:type="pct"/>
          </w:tcPr>
          <w:p w14:paraId="625E65F3" w14:textId="68B0DA27" w:rsidR="00417AD3" w:rsidRPr="00D079CE"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Pr>
                <w:szCs w:val="18"/>
              </w:rPr>
              <w:t>0 (0.</w:t>
            </w:r>
            <w:r w:rsidR="00F544AC">
              <w:rPr>
                <w:szCs w:val="18"/>
              </w:rPr>
              <w:t>0</w:t>
            </w:r>
            <w:r>
              <w:rPr>
                <w:szCs w:val="18"/>
              </w:rPr>
              <w:t>%)</w:t>
            </w:r>
          </w:p>
        </w:tc>
        <w:tc>
          <w:tcPr>
            <w:tcW w:w="833" w:type="pct"/>
          </w:tcPr>
          <w:p w14:paraId="5A79F424" w14:textId="4A9BD596" w:rsidR="00417AD3" w:rsidRPr="00D079CE"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Pr>
                <w:szCs w:val="18"/>
              </w:rPr>
              <w:t>6 (100.</w:t>
            </w:r>
            <w:r w:rsidR="00F544AC">
              <w:rPr>
                <w:szCs w:val="18"/>
              </w:rPr>
              <w:t>0</w:t>
            </w:r>
            <w:r>
              <w:rPr>
                <w:szCs w:val="18"/>
              </w:rPr>
              <w:t>%)</w:t>
            </w:r>
          </w:p>
        </w:tc>
      </w:tr>
      <w:tr w:rsidR="002E5B6F" w:rsidRPr="00DE530D" w14:paraId="584590EB" w14:textId="77777777" w:rsidTr="00491B0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475BC6DA" w14:textId="77777777" w:rsidR="00417AD3" w:rsidRPr="00E90673" w:rsidRDefault="00417AD3" w:rsidP="00491B02">
            <w:pPr>
              <w:pStyle w:val="TableText"/>
            </w:pPr>
            <w:r>
              <w:t>Queensland</w:t>
            </w:r>
          </w:p>
        </w:tc>
        <w:tc>
          <w:tcPr>
            <w:tcW w:w="833" w:type="pct"/>
          </w:tcPr>
          <w:p w14:paraId="26E8628D" w14:textId="58C1F330" w:rsidR="00417AD3" w:rsidRPr="00D079CE"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Pr>
                <w:szCs w:val="18"/>
              </w:rPr>
              <w:t>0 (0.</w:t>
            </w:r>
            <w:r w:rsidR="00F544AC">
              <w:rPr>
                <w:szCs w:val="18"/>
              </w:rPr>
              <w:t>0</w:t>
            </w:r>
            <w:r>
              <w:rPr>
                <w:szCs w:val="18"/>
              </w:rPr>
              <w:t>%)</w:t>
            </w:r>
          </w:p>
        </w:tc>
        <w:tc>
          <w:tcPr>
            <w:tcW w:w="833" w:type="pct"/>
          </w:tcPr>
          <w:p w14:paraId="3C198E65" w14:textId="733E9B62" w:rsidR="00417AD3" w:rsidRPr="00D079CE"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Pr>
                <w:szCs w:val="18"/>
              </w:rPr>
              <w:t>0 (0.</w:t>
            </w:r>
            <w:r w:rsidR="00F544AC">
              <w:rPr>
                <w:szCs w:val="18"/>
              </w:rPr>
              <w:t>0</w:t>
            </w:r>
            <w:r>
              <w:rPr>
                <w:szCs w:val="18"/>
              </w:rPr>
              <w:t>%)</w:t>
            </w:r>
          </w:p>
        </w:tc>
        <w:tc>
          <w:tcPr>
            <w:tcW w:w="833" w:type="pct"/>
          </w:tcPr>
          <w:p w14:paraId="3B7883FF" w14:textId="645E87B0" w:rsidR="00417AD3" w:rsidRPr="00D079CE" w:rsidRDefault="00417AD3" w:rsidP="00491B02">
            <w:pPr>
              <w:pStyle w:val="TableText"/>
              <w:cnfStyle w:val="000000000000" w:firstRow="0" w:lastRow="0" w:firstColumn="0" w:lastColumn="0" w:oddVBand="0" w:evenVBand="0" w:oddHBand="0" w:evenHBand="0" w:firstRowFirstColumn="0" w:firstRowLastColumn="0" w:lastRowFirstColumn="0" w:lastRowLastColumn="0"/>
            </w:pPr>
            <w:r>
              <w:t>1 (</w:t>
            </w:r>
            <w:r w:rsidRPr="00D079CE">
              <w:t>7.</w:t>
            </w:r>
            <w:r w:rsidR="00F544AC" w:rsidRPr="00D079CE">
              <w:t>1</w:t>
            </w:r>
            <w:r w:rsidRPr="00D079CE">
              <w:t>%</w:t>
            </w:r>
            <w:r>
              <w:t>)</w:t>
            </w:r>
          </w:p>
        </w:tc>
        <w:tc>
          <w:tcPr>
            <w:tcW w:w="833" w:type="pct"/>
          </w:tcPr>
          <w:p w14:paraId="196C962C" w14:textId="6C67B894" w:rsidR="00417AD3" w:rsidRPr="00D079CE" w:rsidRDefault="00417AD3" w:rsidP="00491B02">
            <w:pPr>
              <w:pStyle w:val="TableText"/>
              <w:cnfStyle w:val="000000000000" w:firstRow="0" w:lastRow="0" w:firstColumn="0" w:lastColumn="0" w:oddVBand="0" w:evenVBand="0" w:oddHBand="0" w:evenHBand="0" w:firstRowFirstColumn="0" w:firstRowLastColumn="0" w:lastRowFirstColumn="0" w:lastRowLastColumn="0"/>
            </w:pPr>
            <w:r>
              <w:t>2 (</w:t>
            </w:r>
            <w:r w:rsidRPr="00D079CE">
              <w:t>14.</w:t>
            </w:r>
            <w:r w:rsidR="00F544AC">
              <w:t>3</w:t>
            </w:r>
            <w:r w:rsidRPr="00D079CE">
              <w:t>%</w:t>
            </w:r>
            <w:r>
              <w:t>)</w:t>
            </w:r>
          </w:p>
        </w:tc>
        <w:tc>
          <w:tcPr>
            <w:tcW w:w="833" w:type="pct"/>
          </w:tcPr>
          <w:p w14:paraId="75C9C2DD" w14:textId="02A7C287" w:rsidR="00417AD3" w:rsidRPr="00D079CE" w:rsidRDefault="00417AD3" w:rsidP="00491B02">
            <w:pPr>
              <w:pStyle w:val="TableText"/>
              <w:cnfStyle w:val="000000000000" w:firstRow="0" w:lastRow="0" w:firstColumn="0" w:lastColumn="0" w:oddVBand="0" w:evenVBand="0" w:oddHBand="0" w:evenHBand="0" w:firstRowFirstColumn="0" w:firstRowLastColumn="0" w:lastRowFirstColumn="0" w:lastRowLastColumn="0"/>
            </w:pPr>
            <w:r>
              <w:t>11 (</w:t>
            </w:r>
            <w:r w:rsidRPr="00D079CE">
              <w:t>78.</w:t>
            </w:r>
            <w:r w:rsidR="00F544AC">
              <w:t>6</w:t>
            </w:r>
            <w:r w:rsidRPr="00D079CE">
              <w:t>%</w:t>
            </w:r>
            <w:r>
              <w:t>)</w:t>
            </w:r>
          </w:p>
        </w:tc>
      </w:tr>
      <w:tr w:rsidR="002E5B6F" w:rsidRPr="00DE530D" w14:paraId="3B703879" w14:textId="77777777" w:rsidTr="00491B0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7FD5724A" w14:textId="77777777" w:rsidR="00417AD3" w:rsidRPr="006D20D0" w:rsidRDefault="00417AD3" w:rsidP="00491B02">
            <w:pPr>
              <w:pStyle w:val="TableText"/>
              <w:rPr>
                <w:szCs w:val="18"/>
              </w:rPr>
            </w:pPr>
            <w:r>
              <w:rPr>
                <w:szCs w:val="18"/>
              </w:rPr>
              <w:t xml:space="preserve">South Australia </w:t>
            </w:r>
          </w:p>
        </w:tc>
        <w:tc>
          <w:tcPr>
            <w:tcW w:w="833" w:type="pct"/>
          </w:tcPr>
          <w:p w14:paraId="3A8E88CE" w14:textId="1A3FCD7E" w:rsidR="00417AD3" w:rsidRPr="00D079CE"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Pr>
                <w:szCs w:val="18"/>
              </w:rPr>
              <w:t>0 (0.</w:t>
            </w:r>
            <w:r w:rsidR="00F544AC">
              <w:rPr>
                <w:szCs w:val="18"/>
              </w:rPr>
              <w:t>0</w:t>
            </w:r>
            <w:r>
              <w:rPr>
                <w:szCs w:val="18"/>
              </w:rPr>
              <w:t>%)</w:t>
            </w:r>
          </w:p>
        </w:tc>
        <w:tc>
          <w:tcPr>
            <w:tcW w:w="833" w:type="pct"/>
          </w:tcPr>
          <w:p w14:paraId="09230D7F" w14:textId="686C465C" w:rsidR="00417AD3" w:rsidRPr="00D079CE"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Pr>
                <w:szCs w:val="18"/>
              </w:rPr>
              <w:t>0 (0.</w:t>
            </w:r>
            <w:r w:rsidR="00F544AC">
              <w:rPr>
                <w:szCs w:val="18"/>
              </w:rPr>
              <w:t>0</w:t>
            </w:r>
            <w:r>
              <w:rPr>
                <w:szCs w:val="18"/>
              </w:rPr>
              <w:t>%)</w:t>
            </w:r>
          </w:p>
        </w:tc>
        <w:tc>
          <w:tcPr>
            <w:tcW w:w="833" w:type="pct"/>
          </w:tcPr>
          <w:p w14:paraId="20C97FA1" w14:textId="19885962" w:rsidR="00417AD3" w:rsidRPr="00D079CE"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Pr>
                <w:szCs w:val="18"/>
              </w:rPr>
              <w:t>0 (0.</w:t>
            </w:r>
            <w:r w:rsidR="00F544AC">
              <w:rPr>
                <w:szCs w:val="18"/>
              </w:rPr>
              <w:t>0</w:t>
            </w:r>
            <w:r>
              <w:rPr>
                <w:szCs w:val="18"/>
              </w:rPr>
              <w:t>%)</w:t>
            </w:r>
          </w:p>
        </w:tc>
        <w:tc>
          <w:tcPr>
            <w:tcW w:w="833" w:type="pct"/>
          </w:tcPr>
          <w:p w14:paraId="6D3209B2" w14:textId="62210225" w:rsidR="00417AD3" w:rsidRPr="00D079CE"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Pr>
                <w:szCs w:val="18"/>
              </w:rPr>
              <w:t>0 (0.</w:t>
            </w:r>
            <w:r w:rsidR="00F544AC">
              <w:rPr>
                <w:szCs w:val="18"/>
              </w:rPr>
              <w:t>0</w:t>
            </w:r>
            <w:r>
              <w:rPr>
                <w:szCs w:val="18"/>
              </w:rPr>
              <w:t>%)</w:t>
            </w:r>
          </w:p>
        </w:tc>
        <w:tc>
          <w:tcPr>
            <w:tcW w:w="833" w:type="pct"/>
          </w:tcPr>
          <w:p w14:paraId="33AAD312" w14:textId="78DE6A3D" w:rsidR="00417AD3" w:rsidRPr="00D079CE"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Pr>
                <w:szCs w:val="18"/>
              </w:rPr>
              <w:t>4 (100.</w:t>
            </w:r>
            <w:r w:rsidR="00F544AC">
              <w:rPr>
                <w:szCs w:val="18"/>
              </w:rPr>
              <w:t>0</w:t>
            </w:r>
            <w:r>
              <w:rPr>
                <w:szCs w:val="18"/>
              </w:rPr>
              <w:t>%)</w:t>
            </w:r>
          </w:p>
        </w:tc>
      </w:tr>
      <w:tr w:rsidR="002E5B6F" w:rsidRPr="00DE530D" w14:paraId="71EFAC06" w14:textId="77777777" w:rsidTr="00491B0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5B33591D" w14:textId="77777777" w:rsidR="00417AD3" w:rsidRDefault="00417AD3" w:rsidP="00491B02">
            <w:pPr>
              <w:pStyle w:val="TableText"/>
              <w:rPr>
                <w:szCs w:val="18"/>
              </w:rPr>
            </w:pPr>
            <w:r>
              <w:rPr>
                <w:szCs w:val="18"/>
              </w:rPr>
              <w:t>Tasmania</w:t>
            </w:r>
          </w:p>
        </w:tc>
        <w:tc>
          <w:tcPr>
            <w:tcW w:w="833" w:type="pct"/>
          </w:tcPr>
          <w:p w14:paraId="5BEEA199" w14:textId="4F71DB2C" w:rsidR="00417AD3" w:rsidRDefault="00417AD3" w:rsidP="00491B02">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w:t>
            </w:r>
            <w:r w:rsidR="00F544AC">
              <w:rPr>
                <w:szCs w:val="18"/>
              </w:rPr>
              <w:t>0</w:t>
            </w:r>
            <w:r>
              <w:rPr>
                <w:szCs w:val="18"/>
              </w:rPr>
              <w:t>%)</w:t>
            </w:r>
          </w:p>
        </w:tc>
        <w:tc>
          <w:tcPr>
            <w:tcW w:w="833" w:type="pct"/>
          </w:tcPr>
          <w:p w14:paraId="6CBA5248" w14:textId="103C56C8" w:rsidR="00417AD3" w:rsidRDefault="00417AD3" w:rsidP="00491B02">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w:t>
            </w:r>
            <w:r w:rsidR="00F544AC">
              <w:rPr>
                <w:szCs w:val="18"/>
              </w:rPr>
              <w:t>0</w:t>
            </w:r>
            <w:r>
              <w:rPr>
                <w:szCs w:val="18"/>
              </w:rPr>
              <w:t>%)</w:t>
            </w:r>
          </w:p>
        </w:tc>
        <w:tc>
          <w:tcPr>
            <w:tcW w:w="833" w:type="pct"/>
          </w:tcPr>
          <w:p w14:paraId="42F37CFB" w14:textId="1ED9D467" w:rsidR="00417AD3" w:rsidRDefault="00417AD3" w:rsidP="00491B02">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w:t>
            </w:r>
            <w:r w:rsidR="00F544AC">
              <w:rPr>
                <w:szCs w:val="18"/>
              </w:rPr>
              <w:t>0</w:t>
            </w:r>
            <w:r>
              <w:rPr>
                <w:szCs w:val="18"/>
              </w:rPr>
              <w:t>%)</w:t>
            </w:r>
          </w:p>
        </w:tc>
        <w:tc>
          <w:tcPr>
            <w:tcW w:w="833" w:type="pct"/>
          </w:tcPr>
          <w:p w14:paraId="120E8785" w14:textId="275C335D" w:rsidR="00417AD3" w:rsidRDefault="00417AD3" w:rsidP="00491B02">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 (0.</w:t>
            </w:r>
            <w:r w:rsidR="00F544AC">
              <w:rPr>
                <w:szCs w:val="18"/>
              </w:rPr>
              <w:t>0</w:t>
            </w:r>
            <w:r>
              <w:rPr>
                <w:szCs w:val="18"/>
              </w:rPr>
              <w:t>%)</w:t>
            </w:r>
          </w:p>
        </w:tc>
        <w:tc>
          <w:tcPr>
            <w:tcW w:w="833" w:type="pct"/>
          </w:tcPr>
          <w:p w14:paraId="5271C717" w14:textId="079EA505" w:rsidR="00417AD3" w:rsidRDefault="00417AD3" w:rsidP="00491B02">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 (100.</w:t>
            </w:r>
            <w:r w:rsidR="00F544AC">
              <w:rPr>
                <w:szCs w:val="18"/>
              </w:rPr>
              <w:t>0</w:t>
            </w:r>
            <w:r>
              <w:rPr>
                <w:szCs w:val="18"/>
              </w:rPr>
              <w:t>%)</w:t>
            </w:r>
          </w:p>
        </w:tc>
      </w:tr>
      <w:tr w:rsidR="002E5B6F" w:rsidRPr="00501302" w14:paraId="4045CB21" w14:textId="77777777" w:rsidTr="00491B0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12A746E3" w14:textId="77777777" w:rsidR="00417AD3" w:rsidRPr="00C33FD2" w:rsidRDefault="00417AD3" w:rsidP="00491B02">
            <w:pPr>
              <w:pStyle w:val="Tabletextbold"/>
              <w:rPr>
                <w:rFonts w:eastAsiaTheme="minorEastAsia" w:cs="Arial"/>
                <w:b/>
                <w:bCs/>
                <w:szCs w:val="18"/>
              </w:rPr>
            </w:pPr>
            <w:r w:rsidRPr="00C33FD2">
              <w:rPr>
                <w:b/>
                <w:bCs/>
              </w:rPr>
              <w:t>Total</w:t>
            </w:r>
            <w:r w:rsidRPr="00C33FD2">
              <w:rPr>
                <w:rFonts w:eastAsiaTheme="minorEastAsia" w:cs="Arial"/>
                <w:b/>
                <w:bCs/>
                <w:szCs w:val="18"/>
              </w:rPr>
              <w:t>: 61 respondents</w:t>
            </w:r>
          </w:p>
        </w:tc>
        <w:tc>
          <w:tcPr>
            <w:tcW w:w="833" w:type="pct"/>
          </w:tcPr>
          <w:p w14:paraId="36572ABD" w14:textId="45DC70B3" w:rsidR="00417AD3" w:rsidRPr="006F5F45" w:rsidRDefault="00417AD3" w:rsidP="00491B02">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2 (</w:t>
            </w:r>
            <w:r w:rsidRPr="006F5F45">
              <w:rPr>
                <w:szCs w:val="20"/>
              </w:rPr>
              <w:t>3.</w:t>
            </w:r>
            <w:r w:rsidR="00F544AC" w:rsidRPr="006F5F45">
              <w:rPr>
                <w:szCs w:val="20"/>
              </w:rPr>
              <w:t>3</w:t>
            </w:r>
            <w:r w:rsidRPr="006F5F45">
              <w:rPr>
                <w:szCs w:val="20"/>
              </w:rPr>
              <w:t>%)</w:t>
            </w:r>
          </w:p>
        </w:tc>
        <w:tc>
          <w:tcPr>
            <w:tcW w:w="833" w:type="pct"/>
          </w:tcPr>
          <w:p w14:paraId="490F57F2" w14:textId="66372428" w:rsidR="00417AD3" w:rsidRPr="006F5F45" w:rsidRDefault="00417AD3" w:rsidP="00491B02">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1 (</w:t>
            </w:r>
            <w:r w:rsidRPr="006F5F45">
              <w:rPr>
                <w:szCs w:val="20"/>
              </w:rPr>
              <w:t>1.6%)</w:t>
            </w:r>
          </w:p>
        </w:tc>
        <w:tc>
          <w:tcPr>
            <w:tcW w:w="833" w:type="pct"/>
          </w:tcPr>
          <w:p w14:paraId="6CADBD19" w14:textId="0F67E0A4" w:rsidR="00417AD3" w:rsidRPr="006F5F45" w:rsidRDefault="00417AD3" w:rsidP="00491B02">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4 (</w:t>
            </w:r>
            <w:r w:rsidRPr="006F5F45">
              <w:rPr>
                <w:szCs w:val="20"/>
              </w:rPr>
              <w:t>6.</w:t>
            </w:r>
            <w:r w:rsidR="00F544AC" w:rsidRPr="006F5F45">
              <w:rPr>
                <w:szCs w:val="20"/>
              </w:rPr>
              <w:t>6</w:t>
            </w:r>
            <w:r w:rsidRPr="006F5F45">
              <w:rPr>
                <w:szCs w:val="20"/>
              </w:rPr>
              <w:t>%)</w:t>
            </w:r>
          </w:p>
        </w:tc>
        <w:tc>
          <w:tcPr>
            <w:tcW w:w="833" w:type="pct"/>
          </w:tcPr>
          <w:p w14:paraId="603C4E48" w14:textId="2FA60E59" w:rsidR="00417AD3" w:rsidRPr="006F5F45" w:rsidRDefault="00417AD3" w:rsidP="00491B02">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7 (</w:t>
            </w:r>
            <w:r w:rsidRPr="006F5F45">
              <w:rPr>
                <w:szCs w:val="20"/>
              </w:rPr>
              <w:t>11.</w:t>
            </w:r>
            <w:r w:rsidR="00F544AC" w:rsidRPr="006F5F45">
              <w:rPr>
                <w:szCs w:val="20"/>
              </w:rPr>
              <w:t>5</w:t>
            </w:r>
            <w:r w:rsidRPr="006F5F45">
              <w:rPr>
                <w:szCs w:val="20"/>
              </w:rPr>
              <w:t>%)</w:t>
            </w:r>
          </w:p>
        </w:tc>
        <w:tc>
          <w:tcPr>
            <w:tcW w:w="833" w:type="pct"/>
          </w:tcPr>
          <w:p w14:paraId="04941712" w14:textId="6C2D68C9" w:rsidR="00417AD3" w:rsidRPr="006F5F45" w:rsidRDefault="00417AD3" w:rsidP="00491B02">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47 (</w:t>
            </w:r>
            <w:r w:rsidRPr="006F5F45">
              <w:rPr>
                <w:szCs w:val="20"/>
              </w:rPr>
              <w:t>77.0%)</w:t>
            </w:r>
          </w:p>
        </w:tc>
      </w:tr>
    </w:tbl>
    <w:p w14:paraId="508E96AA" w14:textId="6F89A31E" w:rsidR="00417AD3" w:rsidRDefault="00417AD3" w:rsidP="00491B02">
      <w:pPr>
        <w:pStyle w:val="Caption-Source"/>
        <w:rPr>
          <w:rFonts w:ascii="Arial" w:eastAsiaTheme="minorEastAsia" w:hAnsi="Arial" w:cs="Arial"/>
          <w:i/>
          <w:color w:val="auto"/>
        </w:rPr>
      </w:pPr>
      <w:r w:rsidRPr="00032942">
        <w:t xml:space="preserve">Source: </w:t>
      </w:r>
      <w:r w:rsidR="00604AA5">
        <w:t>Independent reviewer</w:t>
      </w:r>
      <w:r w:rsidR="00584D02" w:rsidRPr="00C76D17">
        <w:t xml:space="preserve"> (</w:t>
      </w:r>
      <w:r w:rsidRPr="00C76D17">
        <w:t>2025</w:t>
      </w:r>
      <w:r w:rsidR="00584D02" w:rsidRPr="00C76D17">
        <w:t>)</w:t>
      </w:r>
    </w:p>
    <w:p w14:paraId="1CEAE8ED" w14:textId="2CAC0287" w:rsidR="00491B02" w:rsidRDefault="00491B02" w:rsidP="00491B02">
      <w:pPr>
        <w:pStyle w:val="Caption"/>
      </w:pPr>
      <w:bookmarkStart w:id="242" w:name="_Toc207348634"/>
      <w:r>
        <w:t xml:space="preserve">Table </w:t>
      </w:r>
      <w:r w:rsidR="00E6799D">
        <w:fldChar w:fldCharType="begin"/>
      </w:r>
      <w:r w:rsidR="00E6799D">
        <w:instrText xml:space="preserve"> SEQ Table \* ARABIC </w:instrText>
      </w:r>
      <w:r w:rsidR="00E6799D">
        <w:fldChar w:fldCharType="separate"/>
      </w:r>
      <w:r w:rsidR="00E6799D">
        <w:rPr>
          <w:noProof/>
        </w:rPr>
        <w:t>69</w:t>
      </w:r>
      <w:r w:rsidR="00E6799D">
        <w:rPr>
          <w:noProof/>
        </w:rPr>
        <w:fldChar w:fldCharType="end"/>
      </w:r>
      <w:r>
        <w:t>:</w:t>
      </w:r>
      <w:r w:rsidRPr="00534F94">
        <w:t xml:space="preserve">Responses by </w:t>
      </w:r>
      <w:r>
        <w:t>remoteness</w:t>
      </w:r>
      <w:r w:rsidRPr="00534F94">
        <w:t xml:space="preserve"> to Statement 6</w:t>
      </w:r>
      <w:bookmarkEnd w:id="242"/>
    </w:p>
    <w:tbl>
      <w:tblPr>
        <w:tblStyle w:val="KPMGTable"/>
        <w:tblW w:w="5000" w:type="pct"/>
        <w:tblLook w:val="04A0" w:firstRow="1" w:lastRow="0" w:firstColumn="1" w:lastColumn="0" w:noHBand="0" w:noVBand="1"/>
      </w:tblPr>
      <w:tblGrid>
        <w:gridCol w:w="1701"/>
        <w:gridCol w:w="1701"/>
        <w:gridCol w:w="1701"/>
        <w:gridCol w:w="1701"/>
        <w:gridCol w:w="1700"/>
        <w:gridCol w:w="1700"/>
      </w:tblGrid>
      <w:tr w:rsidR="00AD6F37" w:rsidRPr="00386CBC" w14:paraId="55DFA7AE" w14:textId="77777777" w:rsidTr="00A10684">
        <w:trPr>
          <w:cnfStyle w:val="100000000000" w:firstRow="1" w:lastRow="0" w:firstColumn="0" w:lastColumn="0" w:oddVBand="0" w:evenVBand="0" w:oddHBand="0" w:evenHBand="0" w:firstRowFirstColumn="0" w:firstRowLastColumn="0" w:lastRowFirstColumn="0" w:lastRowLastColumn="0"/>
          <w:trHeight w:val="518"/>
          <w:tblHeader/>
        </w:trPr>
        <w:tc>
          <w:tcPr>
            <w:cnfStyle w:val="001000000000" w:firstRow="0" w:lastRow="0" w:firstColumn="1" w:lastColumn="0" w:oddVBand="0" w:evenVBand="0" w:oddHBand="0" w:evenHBand="0" w:firstRowFirstColumn="0" w:firstRowLastColumn="0" w:lastRowFirstColumn="0" w:lastRowLastColumn="0"/>
            <w:tcW w:w="833" w:type="pct"/>
          </w:tcPr>
          <w:p w14:paraId="19DF6C0E" w14:textId="77777777" w:rsidR="00417AD3" w:rsidRPr="007B154A" w:rsidRDefault="00417AD3" w:rsidP="00491B02">
            <w:pPr>
              <w:pStyle w:val="TableHeading"/>
              <w:rPr>
                <w:b w:val="0"/>
                <w:color w:val="FFFFFF" w:themeColor="background1"/>
                <w:szCs w:val="20"/>
              </w:rPr>
            </w:pPr>
            <w:r>
              <w:t>Response</w:t>
            </w:r>
          </w:p>
        </w:tc>
        <w:tc>
          <w:tcPr>
            <w:tcW w:w="833" w:type="pct"/>
          </w:tcPr>
          <w:p w14:paraId="2B4111C8" w14:textId="77777777" w:rsidR="00417AD3" w:rsidRDefault="00417AD3" w:rsidP="00491B0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disagree</w:t>
            </w:r>
          </w:p>
        </w:tc>
        <w:tc>
          <w:tcPr>
            <w:tcW w:w="833" w:type="pct"/>
          </w:tcPr>
          <w:p w14:paraId="7A53DE13" w14:textId="77777777" w:rsidR="00417AD3" w:rsidRDefault="00417AD3" w:rsidP="00491B0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disagree</w:t>
            </w:r>
          </w:p>
        </w:tc>
        <w:tc>
          <w:tcPr>
            <w:tcW w:w="833" w:type="pct"/>
          </w:tcPr>
          <w:p w14:paraId="7E7B767C" w14:textId="77777777" w:rsidR="00417AD3" w:rsidRDefault="00417AD3" w:rsidP="00491B0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Neither agree nor disagree</w:t>
            </w:r>
          </w:p>
        </w:tc>
        <w:tc>
          <w:tcPr>
            <w:tcW w:w="833" w:type="pct"/>
          </w:tcPr>
          <w:p w14:paraId="617D6F5A" w14:textId="77777777" w:rsidR="00417AD3" w:rsidRDefault="00417AD3" w:rsidP="00491B0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agree</w:t>
            </w:r>
          </w:p>
        </w:tc>
        <w:tc>
          <w:tcPr>
            <w:tcW w:w="833" w:type="pct"/>
          </w:tcPr>
          <w:p w14:paraId="2425B6B9" w14:textId="77777777" w:rsidR="00417AD3" w:rsidRDefault="00417AD3" w:rsidP="00491B0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agree</w:t>
            </w:r>
          </w:p>
        </w:tc>
      </w:tr>
      <w:tr w:rsidR="002E5B6F" w:rsidRPr="006D20D0" w14:paraId="31811EEF" w14:textId="77777777" w:rsidTr="00491B0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00309B33" w14:textId="77777777" w:rsidR="00417AD3" w:rsidRPr="00E90673" w:rsidRDefault="00417AD3" w:rsidP="00491B02">
            <w:pPr>
              <w:pStyle w:val="TableText"/>
            </w:pPr>
            <w:r>
              <w:t>Metropolitan area</w:t>
            </w:r>
          </w:p>
        </w:tc>
        <w:tc>
          <w:tcPr>
            <w:tcW w:w="833" w:type="pct"/>
          </w:tcPr>
          <w:p w14:paraId="63BEB6F6" w14:textId="2519DB29"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t>1 (</w:t>
            </w:r>
            <w:r w:rsidRPr="001F793D">
              <w:t>3.1%</w:t>
            </w:r>
            <w:r>
              <w:t>)</w:t>
            </w:r>
          </w:p>
        </w:tc>
        <w:tc>
          <w:tcPr>
            <w:tcW w:w="833" w:type="pct"/>
          </w:tcPr>
          <w:p w14:paraId="267DE77E" w14:textId="51E8C705"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472692C2" w14:textId="7D363DDB"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t>2 (</w:t>
            </w:r>
            <w:r w:rsidRPr="001F793D">
              <w:t>6.</w:t>
            </w:r>
            <w:r w:rsidR="00F544AC">
              <w:t>3</w:t>
            </w:r>
            <w:r w:rsidRPr="001F793D">
              <w:t>%</w:t>
            </w:r>
            <w:r>
              <w:t>)</w:t>
            </w:r>
          </w:p>
        </w:tc>
        <w:tc>
          <w:tcPr>
            <w:tcW w:w="833" w:type="pct"/>
          </w:tcPr>
          <w:p w14:paraId="2DD8E8FB" w14:textId="7BC94375"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t>2 (</w:t>
            </w:r>
            <w:r w:rsidRPr="001F793D">
              <w:t>6.</w:t>
            </w:r>
            <w:r w:rsidR="00F544AC">
              <w:t>3</w:t>
            </w:r>
            <w:r w:rsidRPr="001F793D">
              <w:t>%</w:t>
            </w:r>
            <w:r>
              <w:t>)</w:t>
            </w:r>
          </w:p>
        </w:tc>
        <w:tc>
          <w:tcPr>
            <w:tcW w:w="833" w:type="pct"/>
          </w:tcPr>
          <w:p w14:paraId="756EAA1D" w14:textId="7DED9DBD"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t>27 (</w:t>
            </w:r>
            <w:r w:rsidRPr="001F793D">
              <w:t>84.</w:t>
            </w:r>
            <w:r w:rsidR="00F544AC">
              <w:t>4</w:t>
            </w:r>
            <w:r w:rsidRPr="001F793D">
              <w:t>%</w:t>
            </w:r>
            <w:r>
              <w:t>)</w:t>
            </w:r>
          </w:p>
        </w:tc>
      </w:tr>
      <w:tr w:rsidR="002E5B6F" w:rsidRPr="009C1931" w14:paraId="4ACA45C2" w14:textId="77777777" w:rsidTr="00491B0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418C8F2A" w14:textId="77777777" w:rsidR="00417AD3" w:rsidRPr="006D20D0" w:rsidRDefault="00417AD3" w:rsidP="00491B02">
            <w:pPr>
              <w:pStyle w:val="TableText"/>
              <w:rPr>
                <w:szCs w:val="18"/>
              </w:rPr>
            </w:pPr>
            <w:r>
              <w:rPr>
                <w:szCs w:val="18"/>
              </w:rPr>
              <w:t>Regional centre</w:t>
            </w:r>
          </w:p>
        </w:tc>
        <w:tc>
          <w:tcPr>
            <w:tcW w:w="833" w:type="pct"/>
          </w:tcPr>
          <w:p w14:paraId="485D1E04" w14:textId="55DCAB00"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t>1 (</w:t>
            </w:r>
            <w:r w:rsidRPr="001F793D">
              <w:t>5.</w:t>
            </w:r>
            <w:r w:rsidR="00F544AC">
              <w:t>3</w:t>
            </w:r>
            <w:r w:rsidRPr="001F793D">
              <w:t>%</w:t>
            </w:r>
            <w:r>
              <w:t>)</w:t>
            </w:r>
          </w:p>
        </w:tc>
        <w:tc>
          <w:tcPr>
            <w:tcW w:w="833" w:type="pct"/>
          </w:tcPr>
          <w:p w14:paraId="37555E8A" w14:textId="6A27F4C3"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61189ADD" w14:textId="24F001A8"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07F9FC1C" w14:textId="3F8AE917"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t>4 (</w:t>
            </w:r>
            <w:r w:rsidRPr="001F793D">
              <w:t>21.</w:t>
            </w:r>
            <w:r w:rsidR="00F544AC">
              <w:t>0</w:t>
            </w:r>
            <w:r w:rsidRPr="001F793D">
              <w:t>%</w:t>
            </w:r>
            <w:r>
              <w:t>)</w:t>
            </w:r>
          </w:p>
        </w:tc>
        <w:tc>
          <w:tcPr>
            <w:tcW w:w="833" w:type="pct"/>
          </w:tcPr>
          <w:p w14:paraId="1C498043" w14:textId="3366CBF7"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t>14 (</w:t>
            </w:r>
            <w:r w:rsidRPr="001F793D">
              <w:t>73.</w:t>
            </w:r>
            <w:r w:rsidR="00F544AC">
              <w:t>7</w:t>
            </w:r>
            <w:r w:rsidRPr="001F793D">
              <w:t>%</w:t>
            </w:r>
            <w:r>
              <w:t>)</w:t>
            </w:r>
          </w:p>
        </w:tc>
      </w:tr>
      <w:tr w:rsidR="002E5B6F" w:rsidRPr="009C1931" w14:paraId="5B985866" w14:textId="77777777" w:rsidTr="00491B0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4CE2FEE3" w14:textId="77777777" w:rsidR="00417AD3" w:rsidRDefault="00417AD3" w:rsidP="00491B02">
            <w:pPr>
              <w:pStyle w:val="TableText"/>
            </w:pPr>
            <w:r>
              <w:rPr>
                <w:szCs w:val="18"/>
              </w:rPr>
              <w:t>Rural area</w:t>
            </w:r>
          </w:p>
        </w:tc>
        <w:tc>
          <w:tcPr>
            <w:tcW w:w="833" w:type="pct"/>
          </w:tcPr>
          <w:p w14:paraId="3B593B62" w14:textId="0D98F0FA"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6947EE2C" w14:textId="19E5D6E7"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t>1 (</w:t>
            </w:r>
            <w:r w:rsidRPr="001F793D">
              <w:t>11.1%</w:t>
            </w:r>
            <w:r>
              <w:t>)</w:t>
            </w:r>
          </w:p>
        </w:tc>
        <w:tc>
          <w:tcPr>
            <w:tcW w:w="833" w:type="pct"/>
          </w:tcPr>
          <w:p w14:paraId="07890A72" w14:textId="267C50B1"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t>1 (</w:t>
            </w:r>
            <w:r w:rsidRPr="001F793D">
              <w:t>11.1%</w:t>
            </w:r>
            <w:r>
              <w:t>)</w:t>
            </w:r>
          </w:p>
        </w:tc>
        <w:tc>
          <w:tcPr>
            <w:tcW w:w="833" w:type="pct"/>
          </w:tcPr>
          <w:p w14:paraId="2F625F94" w14:textId="4F1CF8C3"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t>1 (</w:t>
            </w:r>
            <w:r w:rsidRPr="001F793D">
              <w:t>11.1%</w:t>
            </w:r>
            <w:r>
              <w:t xml:space="preserve">) </w:t>
            </w:r>
          </w:p>
        </w:tc>
        <w:tc>
          <w:tcPr>
            <w:tcW w:w="833" w:type="pct"/>
          </w:tcPr>
          <w:p w14:paraId="6BF97207" w14:textId="17F1845A"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t>6 (</w:t>
            </w:r>
            <w:r w:rsidRPr="001F793D">
              <w:t>66.</w:t>
            </w:r>
            <w:r w:rsidR="00F544AC">
              <w:t>7</w:t>
            </w:r>
            <w:r w:rsidRPr="001F793D">
              <w:t>%</w:t>
            </w:r>
            <w:r>
              <w:t>)</w:t>
            </w:r>
          </w:p>
        </w:tc>
      </w:tr>
      <w:tr w:rsidR="002E5B6F" w:rsidRPr="009C1931" w14:paraId="24357944" w14:textId="77777777" w:rsidTr="00491B0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7E842395" w14:textId="77777777" w:rsidR="00417AD3" w:rsidRPr="00E90673" w:rsidRDefault="00417AD3" w:rsidP="00491B02">
            <w:pPr>
              <w:pStyle w:val="TableText"/>
            </w:pPr>
            <w:r>
              <w:t>Remote community</w:t>
            </w:r>
          </w:p>
        </w:tc>
        <w:tc>
          <w:tcPr>
            <w:tcW w:w="833" w:type="pct"/>
          </w:tcPr>
          <w:p w14:paraId="2E5605DD" w14:textId="3F614F5B"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352BB724" w14:textId="21720B46"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691DC155" w14:textId="0A3054CB"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t>1 (</w:t>
            </w:r>
            <w:r w:rsidRPr="001F793D">
              <w:t>100.0%</w:t>
            </w:r>
            <w:r>
              <w:t>)</w:t>
            </w:r>
          </w:p>
        </w:tc>
        <w:tc>
          <w:tcPr>
            <w:tcW w:w="833" w:type="pct"/>
          </w:tcPr>
          <w:p w14:paraId="358ED13E" w14:textId="25802FC7"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42FDF890" w14:textId="276F352E"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r>
      <w:tr w:rsidR="002E5B6F" w:rsidRPr="009C1931" w14:paraId="3AB208D5" w14:textId="77777777" w:rsidTr="00491B0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3279EE16" w14:textId="77777777" w:rsidR="00417AD3" w:rsidRPr="00C33FD2" w:rsidRDefault="00417AD3" w:rsidP="00491B02">
            <w:pPr>
              <w:pStyle w:val="Tabletextbold"/>
              <w:rPr>
                <w:rFonts w:eastAsiaTheme="minorEastAsia" w:cs="Arial"/>
                <w:b/>
                <w:bCs/>
                <w:szCs w:val="18"/>
              </w:rPr>
            </w:pPr>
            <w:r w:rsidRPr="00C33FD2">
              <w:rPr>
                <w:b/>
                <w:bCs/>
              </w:rPr>
              <w:t>Total</w:t>
            </w:r>
            <w:r w:rsidRPr="00C33FD2">
              <w:rPr>
                <w:rFonts w:eastAsiaTheme="minorEastAsia" w:cs="Arial"/>
                <w:b/>
                <w:bCs/>
                <w:szCs w:val="18"/>
              </w:rPr>
              <w:t>: 61 respondents</w:t>
            </w:r>
          </w:p>
        </w:tc>
        <w:tc>
          <w:tcPr>
            <w:tcW w:w="833" w:type="pct"/>
          </w:tcPr>
          <w:p w14:paraId="0AAF874E" w14:textId="3CBDA17B" w:rsidR="00417AD3" w:rsidRPr="006F5F45" w:rsidRDefault="00417AD3" w:rsidP="00491B02">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2 (3.</w:t>
            </w:r>
            <w:r w:rsidR="00F544AC" w:rsidRPr="006F5F45">
              <w:rPr>
                <w:szCs w:val="20"/>
              </w:rPr>
              <w:t>3</w:t>
            </w:r>
            <w:r w:rsidRPr="006F5F45">
              <w:rPr>
                <w:szCs w:val="20"/>
              </w:rPr>
              <w:t>%)</w:t>
            </w:r>
          </w:p>
        </w:tc>
        <w:tc>
          <w:tcPr>
            <w:tcW w:w="833" w:type="pct"/>
          </w:tcPr>
          <w:p w14:paraId="0AE66F7D" w14:textId="2F274E7A" w:rsidR="00417AD3" w:rsidRPr="006F5F45" w:rsidRDefault="00417AD3" w:rsidP="00491B02">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1 (1.6%)</w:t>
            </w:r>
          </w:p>
        </w:tc>
        <w:tc>
          <w:tcPr>
            <w:tcW w:w="833" w:type="pct"/>
          </w:tcPr>
          <w:p w14:paraId="454FD212" w14:textId="4A99324B" w:rsidR="00417AD3" w:rsidRPr="006F5F45" w:rsidRDefault="00417AD3" w:rsidP="00491B02">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4 (6.</w:t>
            </w:r>
            <w:r w:rsidR="00F544AC" w:rsidRPr="006F5F45">
              <w:rPr>
                <w:szCs w:val="20"/>
              </w:rPr>
              <w:t>6</w:t>
            </w:r>
            <w:r w:rsidRPr="006F5F45">
              <w:rPr>
                <w:szCs w:val="20"/>
              </w:rPr>
              <w:t>%)</w:t>
            </w:r>
          </w:p>
        </w:tc>
        <w:tc>
          <w:tcPr>
            <w:tcW w:w="833" w:type="pct"/>
          </w:tcPr>
          <w:p w14:paraId="223AD734" w14:textId="68B54EC9" w:rsidR="00417AD3" w:rsidRPr="006F5F45" w:rsidRDefault="00417AD3" w:rsidP="00491B02">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 xml:space="preserve">7 </w:t>
            </w:r>
            <w:r w:rsidRPr="006F5F45">
              <w:rPr>
                <w:szCs w:val="20"/>
              </w:rPr>
              <w:t>(11.</w:t>
            </w:r>
            <w:r w:rsidR="00F544AC" w:rsidRPr="006F5F45">
              <w:rPr>
                <w:szCs w:val="20"/>
              </w:rPr>
              <w:t>5</w:t>
            </w:r>
            <w:r w:rsidRPr="006F5F45">
              <w:rPr>
                <w:szCs w:val="20"/>
              </w:rPr>
              <w:t>%)</w:t>
            </w:r>
          </w:p>
        </w:tc>
        <w:tc>
          <w:tcPr>
            <w:tcW w:w="833" w:type="pct"/>
          </w:tcPr>
          <w:p w14:paraId="465EB77D" w14:textId="7058004C" w:rsidR="00417AD3" w:rsidRPr="006F5F45" w:rsidRDefault="00417AD3" w:rsidP="00491B02">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47 (77.0%)</w:t>
            </w:r>
          </w:p>
        </w:tc>
      </w:tr>
    </w:tbl>
    <w:p w14:paraId="5B09A5B9" w14:textId="0F2B5C2D" w:rsidR="00417AD3" w:rsidRDefault="00417AD3" w:rsidP="00491B02">
      <w:pPr>
        <w:pStyle w:val="Caption-Source"/>
        <w:rPr>
          <w:rFonts w:ascii="Arial" w:eastAsiaTheme="minorEastAsia" w:hAnsi="Arial" w:cs="Arial"/>
          <w:i/>
          <w:color w:val="auto"/>
        </w:rPr>
      </w:pPr>
      <w:r w:rsidRPr="00032942">
        <w:t xml:space="preserve">Source: </w:t>
      </w:r>
      <w:r w:rsidR="00604AA5">
        <w:t>Independent reviewer</w:t>
      </w:r>
      <w:r w:rsidR="00584D02" w:rsidRPr="00C76D17">
        <w:t xml:space="preserve"> (</w:t>
      </w:r>
      <w:r w:rsidRPr="00C76D17">
        <w:t>2025</w:t>
      </w:r>
      <w:r w:rsidR="00584D02" w:rsidRPr="00C76D17">
        <w:t>)</w:t>
      </w:r>
    </w:p>
    <w:p w14:paraId="34C7C6A6" w14:textId="2414324B" w:rsidR="00491B02" w:rsidRDefault="00491B02" w:rsidP="00491B02">
      <w:pPr>
        <w:pStyle w:val="Caption"/>
      </w:pPr>
      <w:bookmarkStart w:id="243" w:name="_Toc207348635"/>
      <w:r>
        <w:t xml:space="preserve">Table </w:t>
      </w:r>
      <w:r w:rsidR="00E6799D">
        <w:fldChar w:fldCharType="begin"/>
      </w:r>
      <w:r w:rsidR="00E6799D">
        <w:instrText xml:space="preserve"> SEQ Table \* ARABIC </w:instrText>
      </w:r>
      <w:r w:rsidR="00E6799D">
        <w:fldChar w:fldCharType="separate"/>
      </w:r>
      <w:r w:rsidR="00E6799D">
        <w:rPr>
          <w:noProof/>
        </w:rPr>
        <w:t>70</w:t>
      </w:r>
      <w:r w:rsidR="00E6799D">
        <w:rPr>
          <w:noProof/>
        </w:rPr>
        <w:fldChar w:fldCharType="end"/>
      </w:r>
      <w:r>
        <w:t xml:space="preserve">: </w:t>
      </w:r>
      <w:r w:rsidRPr="004F4C32">
        <w:t xml:space="preserve">Responses by </w:t>
      </w:r>
      <w:r>
        <w:t>prosthesis type</w:t>
      </w:r>
      <w:r w:rsidRPr="004F4C32">
        <w:t xml:space="preserve"> to Statement 6</w:t>
      </w:r>
      <w:bookmarkEnd w:id="243"/>
    </w:p>
    <w:tbl>
      <w:tblPr>
        <w:tblStyle w:val="KPMGTable"/>
        <w:tblW w:w="5000" w:type="pct"/>
        <w:tblLook w:val="04A0" w:firstRow="1" w:lastRow="0" w:firstColumn="1" w:lastColumn="0" w:noHBand="0" w:noVBand="1"/>
      </w:tblPr>
      <w:tblGrid>
        <w:gridCol w:w="1701"/>
        <w:gridCol w:w="1701"/>
        <w:gridCol w:w="1701"/>
        <w:gridCol w:w="1701"/>
        <w:gridCol w:w="1700"/>
        <w:gridCol w:w="1700"/>
      </w:tblGrid>
      <w:tr w:rsidR="00AD6F37" w:rsidRPr="00386CBC" w14:paraId="557910CE"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833" w:type="pct"/>
          </w:tcPr>
          <w:p w14:paraId="369688C7" w14:textId="77777777" w:rsidR="00417AD3" w:rsidRPr="007B154A" w:rsidRDefault="00417AD3" w:rsidP="00491B02">
            <w:pPr>
              <w:pStyle w:val="TableHeading"/>
              <w:rPr>
                <w:b w:val="0"/>
                <w:color w:val="FFFFFF" w:themeColor="background1"/>
                <w:szCs w:val="20"/>
              </w:rPr>
            </w:pPr>
            <w:r>
              <w:t>Response</w:t>
            </w:r>
          </w:p>
        </w:tc>
        <w:tc>
          <w:tcPr>
            <w:tcW w:w="833" w:type="pct"/>
          </w:tcPr>
          <w:p w14:paraId="480A096B" w14:textId="77777777" w:rsidR="00417AD3" w:rsidRDefault="00417AD3" w:rsidP="00491B0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disagree</w:t>
            </w:r>
          </w:p>
        </w:tc>
        <w:tc>
          <w:tcPr>
            <w:tcW w:w="833" w:type="pct"/>
          </w:tcPr>
          <w:p w14:paraId="44182084" w14:textId="77777777" w:rsidR="00417AD3" w:rsidRDefault="00417AD3" w:rsidP="00491B0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disagree</w:t>
            </w:r>
          </w:p>
        </w:tc>
        <w:tc>
          <w:tcPr>
            <w:tcW w:w="833" w:type="pct"/>
          </w:tcPr>
          <w:p w14:paraId="6CA44F34" w14:textId="77777777" w:rsidR="00417AD3" w:rsidRDefault="00417AD3" w:rsidP="00491B0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Neither agree nor disagree</w:t>
            </w:r>
          </w:p>
        </w:tc>
        <w:tc>
          <w:tcPr>
            <w:tcW w:w="833" w:type="pct"/>
          </w:tcPr>
          <w:p w14:paraId="767F6344" w14:textId="77777777" w:rsidR="00417AD3" w:rsidRDefault="00417AD3" w:rsidP="00491B0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agree</w:t>
            </w:r>
          </w:p>
        </w:tc>
        <w:tc>
          <w:tcPr>
            <w:tcW w:w="833" w:type="pct"/>
          </w:tcPr>
          <w:p w14:paraId="10101EC4" w14:textId="77777777" w:rsidR="00417AD3" w:rsidRDefault="00417AD3" w:rsidP="00491B0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agree</w:t>
            </w:r>
          </w:p>
        </w:tc>
      </w:tr>
      <w:tr w:rsidR="002E5B6F" w:rsidRPr="006D20D0" w14:paraId="5051C6EB" w14:textId="77777777" w:rsidTr="00491B0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2086933E" w14:textId="77777777" w:rsidR="00417AD3" w:rsidRPr="00E90673" w:rsidRDefault="00417AD3" w:rsidP="00491B02">
            <w:pPr>
              <w:pStyle w:val="TableText"/>
            </w:pPr>
            <w:r>
              <w:t>Facial prosthesis</w:t>
            </w:r>
          </w:p>
        </w:tc>
        <w:tc>
          <w:tcPr>
            <w:tcW w:w="833" w:type="pct"/>
          </w:tcPr>
          <w:p w14:paraId="65CB7448" w14:textId="7F8BF8C6" w:rsidR="00417AD3" w:rsidRPr="001F793D" w:rsidRDefault="00F453FC" w:rsidP="00491B02">
            <w:pPr>
              <w:pStyle w:val="TableText"/>
              <w:cnfStyle w:val="000000000000" w:firstRow="0" w:lastRow="0" w:firstColumn="0" w:lastColumn="0" w:oddVBand="0" w:evenVBand="0" w:oddHBand="0" w:evenHBand="0" w:firstRowFirstColumn="0" w:firstRowLastColumn="0" w:lastRowFirstColumn="0" w:lastRowLastColumn="0"/>
            </w:pPr>
            <w:r>
              <w:t>2</w:t>
            </w:r>
            <w:r w:rsidR="00F544AC">
              <w:t xml:space="preserve"> (</w:t>
            </w:r>
            <w:r>
              <w:t>5.</w:t>
            </w:r>
            <w:r w:rsidR="00417AD3">
              <w:t>1</w:t>
            </w:r>
            <w:r w:rsidR="00417AD3" w:rsidRPr="001F793D">
              <w:t>%</w:t>
            </w:r>
            <w:r w:rsidR="00417AD3">
              <w:t>)</w:t>
            </w:r>
          </w:p>
        </w:tc>
        <w:tc>
          <w:tcPr>
            <w:tcW w:w="833" w:type="pct"/>
          </w:tcPr>
          <w:p w14:paraId="4938E84A" w14:textId="7DC62661"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Pr>
                <w:szCs w:val="18"/>
              </w:rPr>
              <w:t>0 (0.</w:t>
            </w:r>
            <w:r w:rsidR="00F544AC">
              <w:rPr>
                <w:szCs w:val="18"/>
              </w:rPr>
              <w:t>0</w:t>
            </w:r>
            <w:r>
              <w:rPr>
                <w:szCs w:val="18"/>
              </w:rPr>
              <w:t>%)</w:t>
            </w:r>
          </w:p>
        </w:tc>
        <w:tc>
          <w:tcPr>
            <w:tcW w:w="833" w:type="pct"/>
          </w:tcPr>
          <w:p w14:paraId="27343B92" w14:textId="3B0FEF7B"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t>1 (</w:t>
            </w:r>
            <w:r w:rsidR="00F544AC" w:rsidRPr="001F793D">
              <w:t>2</w:t>
            </w:r>
            <w:r w:rsidR="00E8241B">
              <w:t>.6</w:t>
            </w:r>
            <w:r w:rsidRPr="001F793D">
              <w:t>%</w:t>
            </w:r>
            <w:r>
              <w:t>)</w:t>
            </w:r>
          </w:p>
        </w:tc>
        <w:tc>
          <w:tcPr>
            <w:tcW w:w="833" w:type="pct"/>
          </w:tcPr>
          <w:p w14:paraId="19DE1DF8" w14:textId="4A08D699" w:rsidR="00417AD3" w:rsidRPr="001F793D" w:rsidRDefault="00F453FC" w:rsidP="00491B02">
            <w:pPr>
              <w:pStyle w:val="TableText"/>
              <w:cnfStyle w:val="000000000000" w:firstRow="0" w:lastRow="0" w:firstColumn="0" w:lastColumn="0" w:oddVBand="0" w:evenVBand="0" w:oddHBand="0" w:evenHBand="0" w:firstRowFirstColumn="0" w:firstRowLastColumn="0" w:lastRowFirstColumn="0" w:lastRowLastColumn="0"/>
            </w:pPr>
            <w:r>
              <w:t>4</w:t>
            </w:r>
            <w:r w:rsidR="00F544AC">
              <w:t xml:space="preserve"> (</w:t>
            </w:r>
            <w:r w:rsidR="00E8241B">
              <w:t>10.3</w:t>
            </w:r>
            <w:r w:rsidR="00F544AC" w:rsidRPr="001F793D">
              <w:t>%</w:t>
            </w:r>
            <w:r w:rsidR="00F544AC">
              <w:t>)</w:t>
            </w:r>
          </w:p>
        </w:tc>
        <w:tc>
          <w:tcPr>
            <w:tcW w:w="833" w:type="pct"/>
          </w:tcPr>
          <w:p w14:paraId="793062F8" w14:textId="2800C583" w:rsidR="00417AD3" w:rsidRPr="001F793D" w:rsidRDefault="00F453FC" w:rsidP="00491B02">
            <w:pPr>
              <w:pStyle w:val="TableText"/>
              <w:cnfStyle w:val="000000000000" w:firstRow="0" w:lastRow="0" w:firstColumn="0" w:lastColumn="0" w:oddVBand="0" w:evenVBand="0" w:oddHBand="0" w:evenHBand="0" w:firstRowFirstColumn="0" w:firstRowLastColumn="0" w:lastRowFirstColumn="0" w:lastRowLastColumn="0"/>
            </w:pPr>
            <w:r>
              <w:t>32</w:t>
            </w:r>
            <w:r w:rsidR="00F544AC">
              <w:t xml:space="preserve"> (</w:t>
            </w:r>
            <w:r w:rsidR="00F544AC" w:rsidRPr="001F793D">
              <w:t>8</w:t>
            </w:r>
            <w:r w:rsidR="009E34A4">
              <w:t>2</w:t>
            </w:r>
            <w:r w:rsidR="00417AD3" w:rsidRPr="001F793D">
              <w:t>.</w:t>
            </w:r>
            <w:r w:rsidR="00F544AC" w:rsidRPr="001F793D">
              <w:t>1</w:t>
            </w:r>
            <w:r w:rsidR="00417AD3" w:rsidRPr="001F793D">
              <w:t>%</w:t>
            </w:r>
            <w:r w:rsidR="00417AD3">
              <w:t>)</w:t>
            </w:r>
          </w:p>
        </w:tc>
      </w:tr>
      <w:tr w:rsidR="002E5B6F" w:rsidRPr="009C1931" w14:paraId="215562C7" w14:textId="77777777" w:rsidTr="00491B0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6C4904E7" w14:textId="77777777" w:rsidR="00417AD3" w:rsidRPr="005C4C25" w:rsidRDefault="00417AD3" w:rsidP="00491B02">
            <w:pPr>
              <w:pStyle w:val="TableText"/>
            </w:pPr>
            <w:r w:rsidRPr="005C4C25">
              <w:t>An artificial breast worn in the bra</w:t>
            </w:r>
          </w:p>
        </w:tc>
        <w:tc>
          <w:tcPr>
            <w:tcW w:w="833" w:type="pct"/>
          </w:tcPr>
          <w:p w14:paraId="484E0276" w14:textId="3C8A6E7D"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Pr>
                <w:szCs w:val="18"/>
              </w:rPr>
              <w:t>0 (0.</w:t>
            </w:r>
            <w:r w:rsidR="00F544AC">
              <w:rPr>
                <w:szCs w:val="18"/>
              </w:rPr>
              <w:t>0</w:t>
            </w:r>
            <w:r>
              <w:rPr>
                <w:szCs w:val="18"/>
              </w:rPr>
              <w:t>%)</w:t>
            </w:r>
          </w:p>
        </w:tc>
        <w:tc>
          <w:tcPr>
            <w:tcW w:w="833" w:type="pct"/>
          </w:tcPr>
          <w:p w14:paraId="73C13C1C" w14:textId="6BE320BA"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Pr>
                <w:szCs w:val="18"/>
              </w:rPr>
              <w:t>0 (0.</w:t>
            </w:r>
            <w:r w:rsidR="00F544AC">
              <w:rPr>
                <w:szCs w:val="18"/>
              </w:rPr>
              <w:t>0</w:t>
            </w:r>
            <w:r>
              <w:rPr>
                <w:szCs w:val="18"/>
              </w:rPr>
              <w:t>%)</w:t>
            </w:r>
          </w:p>
        </w:tc>
        <w:tc>
          <w:tcPr>
            <w:tcW w:w="833" w:type="pct"/>
          </w:tcPr>
          <w:p w14:paraId="572BF6CE" w14:textId="069E7D3F"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Pr>
                <w:szCs w:val="18"/>
              </w:rPr>
              <w:t>0 (0.</w:t>
            </w:r>
            <w:r w:rsidR="00F544AC">
              <w:rPr>
                <w:szCs w:val="18"/>
              </w:rPr>
              <w:t>0</w:t>
            </w:r>
            <w:r>
              <w:rPr>
                <w:szCs w:val="18"/>
              </w:rPr>
              <w:t>%)</w:t>
            </w:r>
          </w:p>
        </w:tc>
        <w:tc>
          <w:tcPr>
            <w:tcW w:w="833" w:type="pct"/>
          </w:tcPr>
          <w:p w14:paraId="4CA827C2" w14:textId="26F386EA"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Pr>
                <w:szCs w:val="18"/>
              </w:rPr>
              <w:t>0 (0.</w:t>
            </w:r>
            <w:r w:rsidR="00F544AC">
              <w:rPr>
                <w:szCs w:val="18"/>
              </w:rPr>
              <w:t>0</w:t>
            </w:r>
            <w:r>
              <w:rPr>
                <w:szCs w:val="18"/>
              </w:rPr>
              <w:t>%)</w:t>
            </w:r>
          </w:p>
        </w:tc>
        <w:tc>
          <w:tcPr>
            <w:tcW w:w="833" w:type="pct"/>
          </w:tcPr>
          <w:p w14:paraId="6A0A1F08" w14:textId="107CE03C"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t>3 (</w:t>
            </w:r>
            <w:r w:rsidRPr="001F793D">
              <w:t>100.</w:t>
            </w:r>
            <w:r w:rsidR="00F544AC" w:rsidRPr="001F793D">
              <w:t>0</w:t>
            </w:r>
            <w:r w:rsidRPr="001F793D">
              <w:t>%</w:t>
            </w:r>
            <w:r>
              <w:t>)</w:t>
            </w:r>
          </w:p>
        </w:tc>
      </w:tr>
      <w:tr w:rsidR="002E5B6F" w:rsidRPr="009C1931" w14:paraId="3ECA0350" w14:textId="77777777" w:rsidTr="00491B0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668E1457" w14:textId="77777777" w:rsidR="00417AD3" w:rsidRPr="005C4C25" w:rsidRDefault="00417AD3" w:rsidP="00491B02">
            <w:pPr>
              <w:pStyle w:val="TableText"/>
            </w:pPr>
            <w:r w:rsidRPr="005C4C25">
              <w:t>Voice prostheses</w:t>
            </w:r>
          </w:p>
        </w:tc>
        <w:tc>
          <w:tcPr>
            <w:tcW w:w="833" w:type="pct"/>
          </w:tcPr>
          <w:p w14:paraId="73AF4D6E" w14:textId="166A5ED7"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t>1 (</w:t>
            </w:r>
            <w:r w:rsidRPr="001F793D">
              <w:t>7.</w:t>
            </w:r>
            <w:r w:rsidR="00F544AC">
              <w:t>7</w:t>
            </w:r>
            <w:r w:rsidRPr="001F793D">
              <w:t>%</w:t>
            </w:r>
            <w:r>
              <w:t>)</w:t>
            </w:r>
          </w:p>
        </w:tc>
        <w:tc>
          <w:tcPr>
            <w:tcW w:w="833" w:type="pct"/>
          </w:tcPr>
          <w:p w14:paraId="273A7085" w14:textId="1FC6EACE"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Pr>
                <w:szCs w:val="18"/>
              </w:rPr>
              <w:t>0 (0.</w:t>
            </w:r>
            <w:r w:rsidR="00F544AC">
              <w:rPr>
                <w:szCs w:val="18"/>
              </w:rPr>
              <w:t>0</w:t>
            </w:r>
            <w:r>
              <w:rPr>
                <w:szCs w:val="18"/>
              </w:rPr>
              <w:t>%)</w:t>
            </w:r>
          </w:p>
        </w:tc>
        <w:tc>
          <w:tcPr>
            <w:tcW w:w="833" w:type="pct"/>
          </w:tcPr>
          <w:p w14:paraId="07FB6607" w14:textId="68D4E8CF"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Pr>
                <w:szCs w:val="18"/>
              </w:rPr>
              <w:t>0 (0.</w:t>
            </w:r>
            <w:r w:rsidR="00F544AC">
              <w:rPr>
                <w:szCs w:val="18"/>
              </w:rPr>
              <w:t>0</w:t>
            </w:r>
            <w:r>
              <w:rPr>
                <w:szCs w:val="18"/>
              </w:rPr>
              <w:t>%)</w:t>
            </w:r>
          </w:p>
        </w:tc>
        <w:tc>
          <w:tcPr>
            <w:tcW w:w="833" w:type="pct"/>
          </w:tcPr>
          <w:p w14:paraId="5285C780" w14:textId="31463A4B"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t>2 (</w:t>
            </w:r>
            <w:r w:rsidRPr="001F793D">
              <w:t>15.</w:t>
            </w:r>
            <w:r w:rsidR="00F544AC">
              <w:t>4</w:t>
            </w:r>
            <w:r w:rsidRPr="001F793D">
              <w:t>%</w:t>
            </w:r>
            <w:r>
              <w:t>)</w:t>
            </w:r>
          </w:p>
        </w:tc>
        <w:tc>
          <w:tcPr>
            <w:tcW w:w="833" w:type="pct"/>
          </w:tcPr>
          <w:p w14:paraId="714352BD" w14:textId="711CF465"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t>5 (</w:t>
            </w:r>
            <w:r w:rsidRPr="001F793D">
              <w:t>76.</w:t>
            </w:r>
            <w:r w:rsidR="00F544AC" w:rsidRPr="001F793D">
              <w:t>9</w:t>
            </w:r>
            <w:r w:rsidRPr="001F793D">
              <w:t>%</w:t>
            </w:r>
            <w:r>
              <w:t>)</w:t>
            </w:r>
          </w:p>
        </w:tc>
      </w:tr>
      <w:tr w:rsidR="002E5B6F" w14:paraId="2D34E811" w14:textId="77777777" w:rsidTr="00491B0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66EDE834" w14:textId="77777777" w:rsidR="00417AD3" w:rsidRPr="005C4C25" w:rsidRDefault="00417AD3" w:rsidP="00491B02">
            <w:pPr>
              <w:pStyle w:val="TableText"/>
            </w:pPr>
            <w:r w:rsidRPr="005C4C25">
              <w:t>Dental prostheses</w:t>
            </w:r>
          </w:p>
        </w:tc>
        <w:tc>
          <w:tcPr>
            <w:tcW w:w="833" w:type="pct"/>
          </w:tcPr>
          <w:p w14:paraId="4FF2126B" w14:textId="09C51F72"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14B9728F" w14:textId="689FC4B8"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t>1 (</w:t>
            </w:r>
            <w:r w:rsidRPr="001F793D">
              <w:t>11.1%</w:t>
            </w:r>
            <w:r>
              <w:t>)</w:t>
            </w:r>
          </w:p>
        </w:tc>
        <w:tc>
          <w:tcPr>
            <w:tcW w:w="833" w:type="pct"/>
          </w:tcPr>
          <w:p w14:paraId="296C89B4" w14:textId="7AE9A82D"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t>3 (</w:t>
            </w:r>
            <w:r w:rsidRPr="001F793D">
              <w:t>33.3%</w:t>
            </w:r>
            <w:r>
              <w:t>)</w:t>
            </w:r>
          </w:p>
        </w:tc>
        <w:tc>
          <w:tcPr>
            <w:tcW w:w="833" w:type="pct"/>
          </w:tcPr>
          <w:p w14:paraId="43EB893E" w14:textId="6E37221D"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t>2 (</w:t>
            </w:r>
            <w:r w:rsidRPr="001F793D">
              <w:t>22.2%</w:t>
            </w:r>
            <w:r>
              <w:t>)</w:t>
            </w:r>
          </w:p>
        </w:tc>
        <w:tc>
          <w:tcPr>
            <w:tcW w:w="833" w:type="pct"/>
          </w:tcPr>
          <w:p w14:paraId="3DFCFAF9" w14:textId="7ED8C744"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t>3 (</w:t>
            </w:r>
            <w:r w:rsidRPr="001F793D">
              <w:t>33.3%</w:t>
            </w:r>
            <w:r>
              <w:t>)</w:t>
            </w:r>
          </w:p>
        </w:tc>
      </w:tr>
      <w:tr w:rsidR="002E5B6F" w14:paraId="109BF268" w14:textId="77777777" w:rsidTr="00491B0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61B7A433" w14:textId="77777777" w:rsidR="00417AD3" w:rsidRPr="005C4C25" w:rsidRDefault="00417AD3" w:rsidP="00491B02">
            <w:pPr>
              <w:pStyle w:val="TableText"/>
            </w:pPr>
            <w:r>
              <w:t>Fat grafting</w:t>
            </w:r>
          </w:p>
        </w:tc>
        <w:tc>
          <w:tcPr>
            <w:tcW w:w="833" w:type="pct"/>
          </w:tcPr>
          <w:p w14:paraId="5D231211" w14:textId="6A541AE0"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2578F257" w14:textId="544AC7CB"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2BF5B71E" w14:textId="77777777"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Pr>
                <w:szCs w:val="18"/>
              </w:rPr>
              <w:t>0 (0.00%)</w:t>
            </w:r>
          </w:p>
        </w:tc>
        <w:tc>
          <w:tcPr>
            <w:tcW w:w="833" w:type="pct"/>
          </w:tcPr>
          <w:p w14:paraId="0C7EC6A1" w14:textId="5424AEB1"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7696C1F6" w14:textId="5D617037" w:rsidR="00417AD3" w:rsidRPr="001F793D" w:rsidRDefault="00417AD3" w:rsidP="00491B02">
            <w:pPr>
              <w:pStyle w:val="TableText"/>
              <w:cnfStyle w:val="000000000000" w:firstRow="0" w:lastRow="0" w:firstColumn="0" w:lastColumn="0" w:oddVBand="0" w:evenVBand="0" w:oddHBand="0" w:evenHBand="0" w:firstRowFirstColumn="0" w:firstRowLastColumn="0" w:lastRowFirstColumn="0" w:lastRowLastColumn="0"/>
            </w:pPr>
            <w:r w:rsidRPr="001F793D">
              <w:t>1</w:t>
            </w:r>
            <w:r>
              <w:t xml:space="preserve"> (1</w:t>
            </w:r>
            <w:r w:rsidRPr="001F793D">
              <w:t>00.0%</w:t>
            </w:r>
            <w:r>
              <w:t>)</w:t>
            </w:r>
          </w:p>
        </w:tc>
      </w:tr>
      <w:tr w:rsidR="002E5B6F" w:rsidRPr="009C1931" w14:paraId="048E88F3" w14:textId="77777777" w:rsidTr="00491B0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49AF32F5" w14:textId="77777777" w:rsidR="00417AD3" w:rsidRPr="00C33FD2" w:rsidRDefault="00417AD3" w:rsidP="00491B02">
            <w:pPr>
              <w:pStyle w:val="Tabletextbold"/>
              <w:rPr>
                <w:rFonts w:eastAsiaTheme="minorEastAsia" w:cs="Arial"/>
                <w:b/>
                <w:bCs/>
                <w:szCs w:val="18"/>
              </w:rPr>
            </w:pPr>
            <w:r w:rsidRPr="00C33FD2">
              <w:rPr>
                <w:b/>
                <w:bCs/>
              </w:rPr>
              <w:t>Total</w:t>
            </w:r>
            <w:r w:rsidRPr="00C33FD2">
              <w:rPr>
                <w:rFonts w:eastAsiaTheme="minorEastAsia" w:cs="Arial"/>
                <w:b/>
                <w:bCs/>
                <w:szCs w:val="18"/>
              </w:rPr>
              <w:t>: 65 respondents</w:t>
            </w:r>
          </w:p>
        </w:tc>
        <w:tc>
          <w:tcPr>
            <w:tcW w:w="833" w:type="pct"/>
          </w:tcPr>
          <w:p w14:paraId="6142BD2A" w14:textId="3797E1A3" w:rsidR="00417AD3" w:rsidRPr="006F5F45" w:rsidRDefault="00417AD3" w:rsidP="00491B02">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3 (4.6%)</w:t>
            </w:r>
          </w:p>
        </w:tc>
        <w:tc>
          <w:tcPr>
            <w:tcW w:w="833" w:type="pct"/>
          </w:tcPr>
          <w:p w14:paraId="585FDE21" w14:textId="2703A0DD" w:rsidR="00417AD3" w:rsidRPr="006F5F45" w:rsidRDefault="00417AD3" w:rsidP="00491B02">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1 (1.</w:t>
            </w:r>
            <w:r w:rsidR="00F544AC" w:rsidRPr="006F5F45">
              <w:rPr>
                <w:szCs w:val="20"/>
              </w:rPr>
              <w:t>5</w:t>
            </w:r>
            <w:r w:rsidRPr="006F5F45">
              <w:rPr>
                <w:szCs w:val="20"/>
              </w:rPr>
              <w:t>%)</w:t>
            </w:r>
          </w:p>
        </w:tc>
        <w:tc>
          <w:tcPr>
            <w:tcW w:w="833" w:type="pct"/>
          </w:tcPr>
          <w:p w14:paraId="70D98B13" w14:textId="23D3ECE6" w:rsidR="00417AD3" w:rsidRPr="006F5F45" w:rsidRDefault="00417AD3" w:rsidP="00491B02">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4 (6.</w:t>
            </w:r>
            <w:r w:rsidR="00F544AC" w:rsidRPr="006F5F45">
              <w:rPr>
                <w:szCs w:val="20"/>
              </w:rPr>
              <w:t>2</w:t>
            </w:r>
            <w:r w:rsidRPr="006F5F45">
              <w:rPr>
                <w:szCs w:val="20"/>
              </w:rPr>
              <w:t>%)</w:t>
            </w:r>
          </w:p>
        </w:tc>
        <w:tc>
          <w:tcPr>
            <w:tcW w:w="833" w:type="pct"/>
          </w:tcPr>
          <w:p w14:paraId="64B9581A" w14:textId="1E4E9565" w:rsidR="00417AD3" w:rsidRPr="006F5F45" w:rsidRDefault="00417AD3" w:rsidP="00491B02">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8 (12.3%)</w:t>
            </w:r>
          </w:p>
        </w:tc>
        <w:tc>
          <w:tcPr>
            <w:tcW w:w="833" w:type="pct"/>
          </w:tcPr>
          <w:p w14:paraId="3575D58E" w14:textId="3DDF718A" w:rsidR="00417AD3" w:rsidRPr="006F5F45" w:rsidRDefault="00417AD3" w:rsidP="00491B02">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49 (75.</w:t>
            </w:r>
            <w:r w:rsidR="00F544AC" w:rsidRPr="006F5F45">
              <w:rPr>
                <w:szCs w:val="20"/>
              </w:rPr>
              <w:t>4</w:t>
            </w:r>
            <w:r w:rsidRPr="006F5F45">
              <w:rPr>
                <w:szCs w:val="20"/>
              </w:rPr>
              <w:t>%)</w:t>
            </w:r>
          </w:p>
        </w:tc>
      </w:tr>
    </w:tbl>
    <w:p w14:paraId="6B287604" w14:textId="607B9BCF" w:rsidR="00417AD3" w:rsidRPr="00C76D17" w:rsidRDefault="00417AD3" w:rsidP="00491B02">
      <w:pPr>
        <w:pStyle w:val="Caption-Source"/>
      </w:pPr>
      <w:r w:rsidRPr="00032942">
        <w:t xml:space="preserve">Source: </w:t>
      </w:r>
      <w:r w:rsidR="00604AA5">
        <w:t>Independent reviewer</w:t>
      </w:r>
      <w:r w:rsidR="00584D02" w:rsidRPr="00C76D17">
        <w:t xml:space="preserve"> (</w:t>
      </w:r>
      <w:r w:rsidRPr="00C76D17">
        <w:t>2025</w:t>
      </w:r>
      <w:r w:rsidR="00584D02" w:rsidRPr="00C76D17">
        <w:t>)</w:t>
      </w:r>
    </w:p>
    <w:p w14:paraId="0155C7C3" w14:textId="77777777" w:rsidR="00C33FD2" w:rsidRPr="00A10684" w:rsidRDefault="00C33FD2" w:rsidP="00A10684">
      <w:r w:rsidRPr="00A10684">
        <w:br w:type="page"/>
      </w:r>
    </w:p>
    <w:p w14:paraId="0A4469F2" w14:textId="755D0686" w:rsidR="00417AD3" w:rsidRPr="0042443F" w:rsidRDefault="0044482E" w:rsidP="0044482E">
      <w:pPr>
        <w:spacing w:before="0" w:after="160" w:line="259" w:lineRule="auto"/>
        <w:rPr>
          <w:rStyle w:val="Strong"/>
        </w:rPr>
      </w:pPr>
      <w:r w:rsidRPr="0042443F">
        <w:rPr>
          <w:rStyle w:val="Strong"/>
        </w:rPr>
        <w:t xml:space="preserve">Statement 7: </w:t>
      </w:r>
      <w:r w:rsidR="00417AD3" w:rsidRPr="0042443F">
        <w:rPr>
          <w:rStyle w:val="Strong"/>
        </w:rPr>
        <w:t>My prosthesis has improved my daily functioning</w:t>
      </w:r>
    </w:p>
    <w:p w14:paraId="025AFC24" w14:textId="698247A0" w:rsidR="0044482E" w:rsidRDefault="0044482E" w:rsidP="0044482E">
      <w:pPr>
        <w:pStyle w:val="Caption"/>
      </w:pPr>
      <w:bookmarkStart w:id="244" w:name="_Toc207348636"/>
      <w:r>
        <w:t xml:space="preserve">Table </w:t>
      </w:r>
      <w:r w:rsidR="00E6799D">
        <w:fldChar w:fldCharType="begin"/>
      </w:r>
      <w:r w:rsidR="00E6799D">
        <w:instrText xml:space="preserve"> SEQ Table \* ARABIC </w:instrText>
      </w:r>
      <w:r w:rsidR="00E6799D">
        <w:fldChar w:fldCharType="separate"/>
      </w:r>
      <w:r w:rsidR="00E6799D">
        <w:rPr>
          <w:noProof/>
        </w:rPr>
        <w:t>71</w:t>
      </w:r>
      <w:r w:rsidR="00E6799D">
        <w:rPr>
          <w:noProof/>
        </w:rPr>
        <w:fldChar w:fldCharType="end"/>
      </w:r>
      <w:r>
        <w:t xml:space="preserve">: </w:t>
      </w:r>
      <w:r w:rsidRPr="00940C12">
        <w:t xml:space="preserve">Responses by </w:t>
      </w:r>
      <w:r>
        <w:t>jurisdiction</w:t>
      </w:r>
      <w:r w:rsidRPr="00940C12">
        <w:t xml:space="preserve"> to Statement </w:t>
      </w:r>
      <w:r>
        <w:t>7</w:t>
      </w:r>
      <w:bookmarkEnd w:id="244"/>
    </w:p>
    <w:tbl>
      <w:tblPr>
        <w:tblStyle w:val="KPMGTable"/>
        <w:tblW w:w="5000" w:type="pct"/>
        <w:tblLook w:val="04A0" w:firstRow="1" w:lastRow="0" w:firstColumn="1" w:lastColumn="0" w:noHBand="0" w:noVBand="1"/>
      </w:tblPr>
      <w:tblGrid>
        <w:gridCol w:w="1701"/>
        <w:gridCol w:w="1701"/>
        <w:gridCol w:w="1701"/>
        <w:gridCol w:w="1701"/>
        <w:gridCol w:w="1700"/>
        <w:gridCol w:w="1700"/>
      </w:tblGrid>
      <w:tr w:rsidR="00AD6F37" w:rsidRPr="00501302" w14:paraId="3FDC05E4"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833" w:type="pct"/>
          </w:tcPr>
          <w:p w14:paraId="2BEFD5CA" w14:textId="77777777" w:rsidR="00417AD3" w:rsidRPr="007B154A" w:rsidRDefault="00417AD3" w:rsidP="0044482E">
            <w:pPr>
              <w:pStyle w:val="TableHeading"/>
              <w:rPr>
                <w:b w:val="0"/>
                <w:color w:val="FFFFFF" w:themeColor="background1"/>
                <w:szCs w:val="20"/>
              </w:rPr>
            </w:pPr>
            <w:r>
              <w:t>Response</w:t>
            </w:r>
          </w:p>
        </w:tc>
        <w:tc>
          <w:tcPr>
            <w:tcW w:w="833" w:type="pct"/>
          </w:tcPr>
          <w:p w14:paraId="2AE97CED" w14:textId="77777777" w:rsidR="00417AD3" w:rsidRDefault="00417AD3" w:rsidP="0044482E">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disagree</w:t>
            </w:r>
          </w:p>
        </w:tc>
        <w:tc>
          <w:tcPr>
            <w:tcW w:w="833" w:type="pct"/>
          </w:tcPr>
          <w:p w14:paraId="5A6A6211" w14:textId="77777777" w:rsidR="00417AD3" w:rsidRDefault="00417AD3" w:rsidP="0044482E">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disagree</w:t>
            </w:r>
          </w:p>
        </w:tc>
        <w:tc>
          <w:tcPr>
            <w:tcW w:w="833" w:type="pct"/>
          </w:tcPr>
          <w:p w14:paraId="3E411B70" w14:textId="77777777" w:rsidR="00417AD3" w:rsidRDefault="00417AD3" w:rsidP="0044482E">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Neither agree nor disagree</w:t>
            </w:r>
          </w:p>
        </w:tc>
        <w:tc>
          <w:tcPr>
            <w:tcW w:w="833" w:type="pct"/>
          </w:tcPr>
          <w:p w14:paraId="62C67BCA" w14:textId="77777777" w:rsidR="00417AD3" w:rsidRDefault="00417AD3" w:rsidP="0044482E">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agree</w:t>
            </w:r>
          </w:p>
        </w:tc>
        <w:tc>
          <w:tcPr>
            <w:tcW w:w="833" w:type="pct"/>
          </w:tcPr>
          <w:p w14:paraId="7387E7FF" w14:textId="77777777" w:rsidR="00417AD3" w:rsidRDefault="00417AD3" w:rsidP="0044482E">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agree</w:t>
            </w:r>
          </w:p>
        </w:tc>
      </w:tr>
      <w:tr w:rsidR="002E5B6F" w:rsidRPr="00DE530D" w14:paraId="05849347"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76DAD72A" w14:textId="77777777" w:rsidR="00417AD3" w:rsidRPr="00E90673" w:rsidRDefault="00417AD3" w:rsidP="0044482E">
            <w:pPr>
              <w:pStyle w:val="TableText"/>
            </w:pPr>
            <w:r>
              <w:t>New South Wales</w:t>
            </w:r>
          </w:p>
        </w:tc>
        <w:tc>
          <w:tcPr>
            <w:tcW w:w="833" w:type="pct"/>
          </w:tcPr>
          <w:p w14:paraId="447D5035" w14:textId="1967D669" w:rsidR="00417AD3" w:rsidRPr="001F793D"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2 (</w:t>
            </w:r>
            <w:r w:rsidRPr="001F793D">
              <w:t>5.6%</w:t>
            </w:r>
            <w:r>
              <w:t>)</w:t>
            </w:r>
          </w:p>
        </w:tc>
        <w:tc>
          <w:tcPr>
            <w:tcW w:w="833" w:type="pct"/>
          </w:tcPr>
          <w:p w14:paraId="167AD51A" w14:textId="1A72C8A9" w:rsidR="00417AD3" w:rsidRPr="001F793D"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 (</w:t>
            </w:r>
            <w:r w:rsidRPr="001F793D">
              <w:t>2.8%</w:t>
            </w:r>
            <w:r>
              <w:t>)</w:t>
            </w:r>
          </w:p>
        </w:tc>
        <w:tc>
          <w:tcPr>
            <w:tcW w:w="833" w:type="pct"/>
          </w:tcPr>
          <w:p w14:paraId="014E03BE" w14:textId="77777777" w:rsidR="00417AD3" w:rsidRPr="001F793D"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5 (</w:t>
            </w:r>
            <w:r w:rsidRPr="001F793D">
              <w:t>13.89%</w:t>
            </w:r>
            <w:r>
              <w:t>)</w:t>
            </w:r>
          </w:p>
        </w:tc>
        <w:tc>
          <w:tcPr>
            <w:tcW w:w="833" w:type="pct"/>
          </w:tcPr>
          <w:p w14:paraId="28F23377" w14:textId="23B6AF02" w:rsidR="00417AD3" w:rsidRPr="001F793D"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5 (</w:t>
            </w:r>
            <w:r w:rsidRPr="001F793D">
              <w:t>13.9%</w:t>
            </w:r>
            <w:r>
              <w:t>)</w:t>
            </w:r>
          </w:p>
        </w:tc>
        <w:tc>
          <w:tcPr>
            <w:tcW w:w="833" w:type="pct"/>
          </w:tcPr>
          <w:p w14:paraId="6EAD32D9" w14:textId="06D62139" w:rsidR="00417AD3" w:rsidRPr="001F793D"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23 (</w:t>
            </w:r>
            <w:r w:rsidRPr="001F793D">
              <w:t>63.9%</w:t>
            </w:r>
            <w:r>
              <w:t>)</w:t>
            </w:r>
          </w:p>
        </w:tc>
      </w:tr>
      <w:tr w:rsidR="002E5B6F" w:rsidRPr="00DE530D" w14:paraId="0BC88C51"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4A12BDF8" w14:textId="77777777" w:rsidR="00417AD3" w:rsidRPr="006D20D0" w:rsidRDefault="00417AD3" w:rsidP="0044482E">
            <w:pPr>
              <w:pStyle w:val="TableText"/>
              <w:rPr>
                <w:szCs w:val="18"/>
              </w:rPr>
            </w:pPr>
            <w:r>
              <w:rPr>
                <w:szCs w:val="18"/>
              </w:rPr>
              <w:t>Victoria</w:t>
            </w:r>
          </w:p>
        </w:tc>
        <w:tc>
          <w:tcPr>
            <w:tcW w:w="833" w:type="pct"/>
          </w:tcPr>
          <w:p w14:paraId="4C0EAF41" w14:textId="72B2FE18" w:rsidR="00417AD3" w:rsidRPr="001F793D"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w:t>
            </w:r>
            <w:r w:rsidR="00F544AC">
              <w:rPr>
                <w:szCs w:val="18"/>
              </w:rPr>
              <w:t>0</w:t>
            </w:r>
            <w:r>
              <w:rPr>
                <w:szCs w:val="18"/>
              </w:rPr>
              <w:t>%)</w:t>
            </w:r>
          </w:p>
        </w:tc>
        <w:tc>
          <w:tcPr>
            <w:tcW w:w="833" w:type="pct"/>
          </w:tcPr>
          <w:p w14:paraId="6A663A7C" w14:textId="0BBADB11" w:rsidR="00417AD3" w:rsidRPr="001F793D"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w:t>
            </w:r>
            <w:r w:rsidR="00F544AC">
              <w:rPr>
                <w:szCs w:val="18"/>
              </w:rPr>
              <w:t>0</w:t>
            </w:r>
            <w:r>
              <w:rPr>
                <w:szCs w:val="18"/>
              </w:rPr>
              <w:t>%)</w:t>
            </w:r>
          </w:p>
        </w:tc>
        <w:tc>
          <w:tcPr>
            <w:tcW w:w="833" w:type="pct"/>
          </w:tcPr>
          <w:p w14:paraId="6EDE9A22" w14:textId="0337DA34" w:rsidR="00417AD3" w:rsidRPr="001F793D"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w:t>
            </w:r>
            <w:r w:rsidR="00F544AC">
              <w:rPr>
                <w:szCs w:val="18"/>
              </w:rPr>
              <w:t>0</w:t>
            </w:r>
            <w:r>
              <w:rPr>
                <w:szCs w:val="18"/>
              </w:rPr>
              <w:t>%)</w:t>
            </w:r>
          </w:p>
        </w:tc>
        <w:tc>
          <w:tcPr>
            <w:tcW w:w="833" w:type="pct"/>
          </w:tcPr>
          <w:p w14:paraId="6CCC0A8D" w14:textId="60BBE7C1" w:rsidR="00417AD3" w:rsidRPr="001F793D"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w:t>
            </w:r>
            <w:r w:rsidR="00F544AC">
              <w:rPr>
                <w:szCs w:val="18"/>
              </w:rPr>
              <w:t>0</w:t>
            </w:r>
            <w:r>
              <w:rPr>
                <w:szCs w:val="18"/>
              </w:rPr>
              <w:t>%)</w:t>
            </w:r>
          </w:p>
        </w:tc>
        <w:tc>
          <w:tcPr>
            <w:tcW w:w="833" w:type="pct"/>
          </w:tcPr>
          <w:p w14:paraId="6ABDBB55" w14:textId="5FC52AD9" w:rsidR="00417AD3" w:rsidRPr="001F793D"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6 (</w:t>
            </w:r>
            <w:r w:rsidRPr="001F793D">
              <w:t>100.</w:t>
            </w:r>
            <w:r w:rsidR="00F544AC" w:rsidRPr="001F793D">
              <w:t>0</w:t>
            </w:r>
            <w:r w:rsidRPr="001F793D">
              <w:t>%</w:t>
            </w:r>
            <w:r>
              <w:t>)</w:t>
            </w:r>
          </w:p>
        </w:tc>
      </w:tr>
      <w:tr w:rsidR="002E5B6F" w:rsidRPr="00DE530D" w14:paraId="540A5EBB"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27BBAA23" w14:textId="77777777" w:rsidR="00417AD3" w:rsidRPr="00E90673" w:rsidRDefault="00417AD3" w:rsidP="0044482E">
            <w:pPr>
              <w:pStyle w:val="TableText"/>
            </w:pPr>
            <w:r>
              <w:t>Queensland</w:t>
            </w:r>
          </w:p>
        </w:tc>
        <w:tc>
          <w:tcPr>
            <w:tcW w:w="833" w:type="pct"/>
          </w:tcPr>
          <w:p w14:paraId="657AC8B8" w14:textId="1CD115BE" w:rsidR="00417AD3" w:rsidRPr="001F793D"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w:t>
            </w:r>
            <w:r w:rsidR="00F544AC">
              <w:rPr>
                <w:szCs w:val="18"/>
              </w:rPr>
              <w:t>0</w:t>
            </w:r>
            <w:r>
              <w:rPr>
                <w:szCs w:val="18"/>
              </w:rPr>
              <w:t>%)</w:t>
            </w:r>
          </w:p>
        </w:tc>
        <w:tc>
          <w:tcPr>
            <w:tcW w:w="833" w:type="pct"/>
          </w:tcPr>
          <w:p w14:paraId="32732A0A" w14:textId="4088B8B0" w:rsidR="00417AD3" w:rsidRPr="001F793D"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 (</w:t>
            </w:r>
            <w:r w:rsidRPr="001F793D">
              <w:t>7.</w:t>
            </w:r>
            <w:r w:rsidR="00F544AC" w:rsidRPr="001F793D">
              <w:t>1</w:t>
            </w:r>
            <w:r w:rsidRPr="001F793D">
              <w:t>%</w:t>
            </w:r>
            <w:r>
              <w:t>)</w:t>
            </w:r>
          </w:p>
        </w:tc>
        <w:tc>
          <w:tcPr>
            <w:tcW w:w="833" w:type="pct"/>
          </w:tcPr>
          <w:p w14:paraId="07208A64" w14:textId="1B9D9531" w:rsidR="00417AD3" w:rsidRPr="001F793D"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2 (</w:t>
            </w:r>
            <w:r w:rsidRPr="001F793D">
              <w:t>14.</w:t>
            </w:r>
            <w:r w:rsidR="00F544AC">
              <w:t>3</w:t>
            </w:r>
            <w:r w:rsidRPr="001F793D">
              <w:t>%</w:t>
            </w:r>
            <w:r>
              <w:t>)</w:t>
            </w:r>
          </w:p>
        </w:tc>
        <w:tc>
          <w:tcPr>
            <w:tcW w:w="833" w:type="pct"/>
          </w:tcPr>
          <w:p w14:paraId="0669E01E" w14:textId="36592B18" w:rsidR="00417AD3" w:rsidRPr="001F793D"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2 (</w:t>
            </w:r>
            <w:r w:rsidRPr="001F793D">
              <w:t>14.</w:t>
            </w:r>
            <w:r w:rsidR="00F544AC">
              <w:t>3</w:t>
            </w:r>
            <w:r w:rsidRPr="001F793D">
              <w:t>%</w:t>
            </w:r>
            <w:r>
              <w:t>)</w:t>
            </w:r>
          </w:p>
        </w:tc>
        <w:tc>
          <w:tcPr>
            <w:tcW w:w="833" w:type="pct"/>
          </w:tcPr>
          <w:p w14:paraId="26C7A4CF" w14:textId="7804CF50" w:rsidR="00417AD3" w:rsidRPr="001F793D"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9 (</w:t>
            </w:r>
            <w:r w:rsidRPr="001F793D">
              <w:t>64.</w:t>
            </w:r>
            <w:r w:rsidR="00F544AC">
              <w:t>3</w:t>
            </w:r>
            <w:r w:rsidRPr="001F793D">
              <w:t>%</w:t>
            </w:r>
            <w:r>
              <w:t>)</w:t>
            </w:r>
          </w:p>
        </w:tc>
      </w:tr>
      <w:tr w:rsidR="002E5B6F" w:rsidRPr="00DE530D" w14:paraId="21B3A538"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2CE11B5A" w14:textId="77777777" w:rsidR="00417AD3" w:rsidRPr="006D20D0" w:rsidRDefault="00417AD3" w:rsidP="0044482E">
            <w:pPr>
              <w:pStyle w:val="TableText"/>
              <w:rPr>
                <w:szCs w:val="18"/>
              </w:rPr>
            </w:pPr>
            <w:r>
              <w:rPr>
                <w:szCs w:val="18"/>
              </w:rPr>
              <w:t xml:space="preserve">South Australia </w:t>
            </w:r>
          </w:p>
        </w:tc>
        <w:tc>
          <w:tcPr>
            <w:tcW w:w="833" w:type="pct"/>
          </w:tcPr>
          <w:p w14:paraId="52E3295B" w14:textId="3F7DBFB2" w:rsidR="00417AD3" w:rsidRPr="001F793D"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w:t>
            </w:r>
            <w:r w:rsidR="00F544AC">
              <w:rPr>
                <w:szCs w:val="18"/>
              </w:rPr>
              <w:t>0</w:t>
            </w:r>
            <w:r>
              <w:rPr>
                <w:szCs w:val="18"/>
              </w:rPr>
              <w:t>%)</w:t>
            </w:r>
          </w:p>
        </w:tc>
        <w:tc>
          <w:tcPr>
            <w:tcW w:w="833" w:type="pct"/>
          </w:tcPr>
          <w:p w14:paraId="6FB663D8" w14:textId="582201BE" w:rsidR="00417AD3" w:rsidRPr="001F793D"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 (</w:t>
            </w:r>
            <w:r w:rsidRPr="001F793D">
              <w:t>25.</w:t>
            </w:r>
            <w:r w:rsidR="00F544AC" w:rsidRPr="001F793D">
              <w:t>0</w:t>
            </w:r>
            <w:r w:rsidRPr="001F793D">
              <w:t>%</w:t>
            </w:r>
            <w:r>
              <w:t>)</w:t>
            </w:r>
          </w:p>
        </w:tc>
        <w:tc>
          <w:tcPr>
            <w:tcW w:w="833" w:type="pct"/>
          </w:tcPr>
          <w:p w14:paraId="432142DD" w14:textId="07713A24" w:rsidR="00417AD3" w:rsidRPr="001F793D"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w:t>
            </w:r>
            <w:r w:rsidR="00F544AC">
              <w:rPr>
                <w:szCs w:val="18"/>
              </w:rPr>
              <w:t>0</w:t>
            </w:r>
            <w:r>
              <w:rPr>
                <w:szCs w:val="18"/>
              </w:rPr>
              <w:t>%)</w:t>
            </w:r>
          </w:p>
        </w:tc>
        <w:tc>
          <w:tcPr>
            <w:tcW w:w="833" w:type="pct"/>
          </w:tcPr>
          <w:p w14:paraId="6E0EF99D" w14:textId="15D7124F" w:rsidR="00417AD3" w:rsidRPr="001F793D"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w:t>
            </w:r>
            <w:r w:rsidR="00F544AC">
              <w:rPr>
                <w:szCs w:val="18"/>
              </w:rPr>
              <w:t>0</w:t>
            </w:r>
            <w:r>
              <w:rPr>
                <w:szCs w:val="18"/>
              </w:rPr>
              <w:t>%)</w:t>
            </w:r>
          </w:p>
        </w:tc>
        <w:tc>
          <w:tcPr>
            <w:tcW w:w="833" w:type="pct"/>
          </w:tcPr>
          <w:p w14:paraId="4F8AFA5D" w14:textId="6B9222A0" w:rsidR="00417AD3" w:rsidRPr="001F793D"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3 (</w:t>
            </w:r>
            <w:r w:rsidRPr="001F793D">
              <w:t>75.</w:t>
            </w:r>
            <w:r w:rsidR="00F544AC" w:rsidRPr="001F793D">
              <w:t>0</w:t>
            </w:r>
            <w:r w:rsidRPr="001F793D">
              <w:t>%</w:t>
            </w:r>
            <w:r>
              <w:t>)</w:t>
            </w:r>
          </w:p>
        </w:tc>
      </w:tr>
      <w:tr w:rsidR="002E5B6F" w:rsidRPr="00DE530D" w14:paraId="028E876F"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03D60A3F" w14:textId="77777777" w:rsidR="00417AD3" w:rsidRDefault="00417AD3" w:rsidP="0044482E">
            <w:pPr>
              <w:pStyle w:val="TableText"/>
              <w:rPr>
                <w:szCs w:val="18"/>
              </w:rPr>
            </w:pPr>
            <w:r>
              <w:rPr>
                <w:szCs w:val="18"/>
              </w:rPr>
              <w:t>Tasmania</w:t>
            </w:r>
          </w:p>
        </w:tc>
        <w:tc>
          <w:tcPr>
            <w:tcW w:w="833" w:type="pct"/>
          </w:tcPr>
          <w:p w14:paraId="4553CF81" w14:textId="061DF70D" w:rsidR="00417AD3" w:rsidRPr="001F793D"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w:t>
            </w:r>
            <w:r w:rsidR="00F544AC">
              <w:rPr>
                <w:szCs w:val="18"/>
              </w:rPr>
              <w:t>0</w:t>
            </w:r>
            <w:r>
              <w:rPr>
                <w:szCs w:val="18"/>
              </w:rPr>
              <w:t>%)</w:t>
            </w:r>
          </w:p>
        </w:tc>
        <w:tc>
          <w:tcPr>
            <w:tcW w:w="833" w:type="pct"/>
          </w:tcPr>
          <w:p w14:paraId="3B4C5FAE" w14:textId="2BA9ACA4" w:rsidR="00417AD3" w:rsidRPr="001F793D"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w:t>
            </w:r>
            <w:r w:rsidR="00F544AC">
              <w:rPr>
                <w:szCs w:val="18"/>
              </w:rPr>
              <w:t>0</w:t>
            </w:r>
            <w:r>
              <w:rPr>
                <w:szCs w:val="18"/>
              </w:rPr>
              <w:t>%)</w:t>
            </w:r>
          </w:p>
        </w:tc>
        <w:tc>
          <w:tcPr>
            <w:tcW w:w="833" w:type="pct"/>
          </w:tcPr>
          <w:p w14:paraId="7BFF6B8D" w14:textId="1DD0398B" w:rsidR="00417AD3" w:rsidRPr="001F793D"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w:t>
            </w:r>
            <w:r w:rsidR="00F544AC">
              <w:rPr>
                <w:szCs w:val="18"/>
              </w:rPr>
              <w:t>0</w:t>
            </w:r>
            <w:r>
              <w:rPr>
                <w:szCs w:val="18"/>
              </w:rPr>
              <w:t>%)</w:t>
            </w:r>
          </w:p>
        </w:tc>
        <w:tc>
          <w:tcPr>
            <w:tcW w:w="833" w:type="pct"/>
          </w:tcPr>
          <w:p w14:paraId="10CDFC28" w14:textId="76E62B53" w:rsidR="00417AD3" w:rsidRPr="001F793D"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w:t>
            </w:r>
            <w:r w:rsidR="00F544AC">
              <w:rPr>
                <w:szCs w:val="18"/>
              </w:rPr>
              <w:t>0</w:t>
            </w:r>
            <w:r>
              <w:rPr>
                <w:szCs w:val="18"/>
              </w:rPr>
              <w:t>%)</w:t>
            </w:r>
          </w:p>
        </w:tc>
        <w:tc>
          <w:tcPr>
            <w:tcW w:w="833" w:type="pct"/>
          </w:tcPr>
          <w:p w14:paraId="494F4ECA" w14:textId="604749FC" w:rsidR="00417AD3" w:rsidRPr="001F793D"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 (</w:t>
            </w:r>
            <w:r w:rsidRPr="001F793D">
              <w:t>100.</w:t>
            </w:r>
            <w:r w:rsidR="00F544AC" w:rsidRPr="001F793D">
              <w:t>0</w:t>
            </w:r>
            <w:r w:rsidRPr="001F793D">
              <w:t>%</w:t>
            </w:r>
            <w:r>
              <w:t>)</w:t>
            </w:r>
          </w:p>
        </w:tc>
      </w:tr>
      <w:tr w:rsidR="002E5B6F" w:rsidRPr="00501302" w14:paraId="760FCCC0"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30EE5DF4" w14:textId="77777777" w:rsidR="00417AD3" w:rsidRPr="00C33FD2" w:rsidRDefault="00417AD3" w:rsidP="0044482E">
            <w:pPr>
              <w:pStyle w:val="Tabletextbold"/>
              <w:rPr>
                <w:rFonts w:eastAsiaTheme="minorEastAsia" w:cs="Arial"/>
                <w:b/>
                <w:bCs/>
                <w:szCs w:val="18"/>
              </w:rPr>
            </w:pPr>
            <w:r w:rsidRPr="00C33FD2">
              <w:rPr>
                <w:b/>
                <w:bCs/>
              </w:rPr>
              <w:t>Total</w:t>
            </w:r>
            <w:r w:rsidRPr="00C33FD2">
              <w:rPr>
                <w:rFonts w:eastAsiaTheme="minorEastAsia" w:cs="Arial"/>
                <w:b/>
                <w:bCs/>
                <w:szCs w:val="18"/>
              </w:rPr>
              <w:t>: 61 respondents</w:t>
            </w:r>
          </w:p>
        </w:tc>
        <w:tc>
          <w:tcPr>
            <w:tcW w:w="833" w:type="pct"/>
          </w:tcPr>
          <w:p w14:paraId="43972F10" w14:textId="7444BAB0" w:rsidR="00417AD3" w:rsidRPr="006F5F45" w:rsidRDefault="00417AD3" w:rsidP="0044482E">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2 (3.</w:t>
            </w:r>
            <w:r w:rsidR="00F544AC" w:rsidRPr="006F5F45">
              <w:rPr>
                <w:szCs w:val="20"/>
              </w:rPr>
              <w:t>3</w:t>
            </w:r>
            <w:r w:rsidRPr="006F5F45">
              <w:rPr>
                <w:szCs w:val="20"/>
              </w:rPr>
              <w:t>%)</w:t>
            </w:r>
          </w:p>
        </w:tc>
        <w:tc>
          <w:tcPr>
            <w:tcW w:w="833" w:type="pct"/>
          </w:tcPr>
          <w:p w14:paraId="19F545FE" w14:textId="65F50118" w:rsidR="00417AD3" w:rsidRPr="006F5F45" w:rsidRDefault="00417AD3" w:rsidP="0044482E">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3 (</w:t>
            </w:r>
            <w:proofErr w:type="gramStart"/>
            <w:r w:rsidRPr="006F5F45">
              <w:t>4.%</w:t>
            </w:r>
            <w:proofErr w:type="gramEnd"/>
            <w:r w:rsidRPr="006F5F45">
              <w:t>)</w:t>
            </w:r>
          </w:p>
        </w:tc>
        <w:tc>
          <w:tcPr>
            <w:tcW w:w="833" w:type="pct"/>
          </w:tcPr>
          <w:p w14:paraId="718AD831" w14:textId="4ECE706D" w:rsidR="00417AD3" w:rsidRPr="006F5F45" w:rsidRDefault="00417AD3" w:rsidP="0044482E">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7 (</w:t>
            </w:r>
            <w:proofErr w:type="gramStart"/>
            <w:r w:rsidRPr="006F5F45">
              <w:t>11.%</w:t>
            </w:r>
            <w:proofErr w:type="gramEnd"/>
            <w:r w:rsidRPr="006F5F45">
              <w:t>)</w:t>
            </w:r>
          </w:p>
        </w:tc>
        <w:tc>
          <w:tcPr>
            <w:tcW w:w="833" w:type="pct"/>
          </w:tcPr>
          <w:p w14:paraId="7694D578" w14:textId="20A57715" w:rsidR="00417AD3" w:rsidRPr="006F5F45" w:rsidRDefault="00417AD3" w:rsidP="0044482E">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7 (11.</w:t>
            </w:r>
            <w:r w:rsidR="00F544AC" w:rsidRPr="006F5F45">
              <w:rPr>
                <w:szCs w:val="20"/>
              </w:rPr>
              <w:t>5</w:t>
            </w:r>
            <w:r w:rsidRPr="006F5F45">
              <w:rPr>
                <w:szCs w:val="20"/>
              </w:rPr>
              <w:t>%)</w:t>
            </w:r>
          </w:p>
        </w:tc>
        <w:tc>
          <w:tcPr>
            <w:tcW w:w="833" w:type="pct"/>
          </w:tcPr>
          <w:p w14:paraId="46CE5E98" w14:textId="05EB7D0E" w:rsidR="00417AD3" w:rsidRPr="006F5F45" w:rsidRDefault="00417AD3" w:rsidP="0044482E">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42 (68.</w:t>
            </w:r>
            <w:r w:rsidR="00F544AC" w:rsidRPr="006F5F45">
              <w:rPr>
                <w:szCs w:val="20"/>
              </w:rPr>
              <w:t>9</w:t>
            </w:r>
            <w:r w:rsidRPr="006F5F45">
              <w:rPr>
                <w:szCs w:val="20"/>
              </w:rPr>
              <w:t>%)</w:t>
            </w:r>
          </w:p>
        </w:tc>
      </w:tr>
    </w:tbl>
    <w:p w14:paraId="572ED24B" w14:textId="6B60D8A1" w:rsidR="00417AD3" w:rsidRPr="00C76D17" w:rsidRDefault="00417AD3" w:rsidP="0044482E">
      <w:pPr>
        <w:pStyle w:val="Caption-Source"/>
      </w:pPr>
      <w:r w:rsidRPr="00032942">
        <w:t xml:space="preserve">Source: </w:t>
      </w:r>
      <w:r w:rsidR="00604AA5">
        <w:t>Independent reviewer</w:t>
      </w:r>
      <w:r w:rsidR="00584D02" w:rsidRPr="00C76D17">
        <w:t xml:space="preserve"> (</w:t>
      </w:r>
      <w:r w:rsidRPr="00C76D17">
        <w:t>2025</w:t>
      </w:r>
      <w:r w:rsidR="00584D02" w:rsidRPr="00C76D17">
        <w:t>)</w:t>
      </w:r>
    </w:p>
    <w:p w14:paraId="5CC4A2A9" w14:textId="0BC2C820" w:rsidR="0044482E" w:rsidRDefault="0044482E" w:rsidP="0044482E">
      <w:pPr>
        <w:pStyle w:val="Caption"/>
      </w:pPr>
      <w:bookmarkStart w:id="245" w:name="_Toc207348637"/>
      <w:r>
        <w:t xml:space="preserve">Table </w:t>
      </w:r>
      <w:r w:rsidR="00E6799D">
        <w:fldChar w:fldCharType="begin"/>
      </w:r>
      <w:r w:rsidR="00E6799D">
        <w:instrText xml:space="preserve"> SEQ Table \* ARABIC </w:instrText>
      </w:r>
      <w:r w:rsidR="00E6799D">
        <w:fldChar w:fldCharType="separate"/>
      </w:r>
      <w:r w:rsidR="00E6799D">
        <w:rPr>
          <w:noProof/>
        </w:rPr>
        <w:t>72</w:t>
      </w:r>
      <w:r w:rsidR="00E6799D">
        <w:rPr>
          <w:noProof/>
        </w:rPr>
        <w:fldChar w:fldCharType="end"/>
      </w:r>
      <w:r>
        <w:t xml:space="preserve">: </w:t>
      </w:r>
      <w:r w:rsidRPr="005B149E">
        <w:t xml:space="preserve">Responses by </w:t>
      </w:r>
      <w:r>
        <w:t>remoteness</w:t>
      </w:r>
      <w:r w:rsidRPr="005B149E">
        <w:t xml:space="preserve"> to Statement 7</w:t>
      </w:r>
      <w:bookmarkEnd w:id="245"/>
    </w:p>
    <w:tbl>
      <w:tblPr>
        <w:tblStyle w:val="KPMGTable"/>
        <w:tblW w:w="5000" w:type="pct"/>
        <w:tblLook w:val="04A0" w:firstRow="1" w:lastRow="0" w:firstColumn="1" w:lastColumn="0" w:noHBand="0" w:noVBand="1"/>
      </w:tblPr>
      <w:tblGrid>
        <w:gridCol w:w="1701"/>
        <w:gridCol w:w="1701"/>
        <w:gridCol w:w="1701"/>
        <w:gridCol w:w="1701"/>
        <w:gridCol w:w="1700"/>
        <w:gridCol w:w="1700"/>
      </w:tblGrid>
      <w:tr w:rsidR="00AD6F37" w:rsidRPr="00386CBC" w14:paraId="5BBC5948"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833" w:type="pct"/>
          </w:tcPr>
          <w:p w14:paraId="380A660C" w14:textId="77777777" w:rsidR="00417AD3" w:rsidRPr="007B154A" w:rsidRDefault="00417AD3" w:rsidP="0044482E">
            <w:pPr>
              <w:pStyle w:val="TableHeading"/>
              <w:rPr>
                <w:b w:val="0"/>
                <w:color w:val="FFFFFF" w:themeColor="background1"/>
                <w:szCs w:val="20"/>
              </w:rPr>
            </w:pPr>
            <w:r>
              <w:t>Response</w:t>
            </w:r>
          </w:p>
        </w:tc>
        <w:tc>
          <w:tcPr>
            <w:tcW w:w="833" w:type="pct"/>
          </w:tcPr>
          <w:p w14:paraId="01F99EC6" w14:textId="77777777" w:rsidR="00417AD3" w:rsidRDefault="00417AD3" w:rsidP="0044482E">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disagree</w:t>
            </w:r>
          </w:p>
        </w:tc>
        <w:tc>
          <w:tcPr>
            <w:tcW w:w="833" w:type="pct"/>
          </w:tcPr>
          <w:p w14:paraId="604CBF2F" w14:textId="77777777" w:rsidR="00417AD3" w:rsidRDefault="00417AD3" w:rsidP="0044482E">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disagree</w:t>
            </w:r>
          </w:p>
        </w:tc>
        <w:tc>
          <w:tcPr>
            <w:tcW w:w="833" w:type="pct"/>
          </w:tcPr>
          <w:p w14:paraId="7B4F6330" w14:textId="77777777" w:rsidR="00417AD3" w:rsidRDefault="00417AD3" w:rsidP="0044482E">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Neither agree nor disagree</w:t>
            </w:r>
          </w:p>
        </w:tc>
        <w:tc>
          <w:tcPr>
            <w:tcW w:w="833" w:type="pct"/>
          </w:tcPr>
          <w:p w14:paraId="2F9D159C" w14:textId="77777777" w:rsidR="00417AD3" w:rsidRDefault="00417AD3" w:rsidP="0044482E">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agree</w:t>
            </w:r>
          </w:p>
        </w:tc>
        <w:tc>
          <w:tcPr>
            <w:tcW w:w="833" w:type="pct"/>
          </w:tcPr>
          <w:p w14:paraId="3852CE2D" w14:textId="77777777" w:rsidR="00417AD3" w:rsidRDefault="00417AD3" w:rsidP="0044482E">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agree</w:t>
            </w:r>
          </w:p>
        </w:tc>
      </w:tr>
      <w:tr w:rsidR="002E5B6F" w:rsidRPr="006D20D0" w14:paraId="039CE201"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63B9FD30" w14:textId="77777777" w:rsidR="00417AD3" w:rsidRPr="00E90673" w:rsidRDefault="00417AD3" w:rsidP="0044482E">
            <w:pPr>
              <w:pStyle w:val="TableText"/>
            </w:pPr>
            <w:r>
              <w:t>Metropolitan area</w:t>
            </w:r>
          </w:p>
        </w:tc>
        <w:tc>
          <w:tcPr>
            <w:tcW w:w="833" w:type="pct"/>
          </w:tcPr>
          <w:p w14:paraId="71331910" w14:textId="3629321E"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 (</w:t>
            </w:r>
            <w:r w:rsidRPr="00233F70">
              <w:t>3.1%</w:t>
            </w:r>
            <w:r>
              <w:t xml:space="preserve">) </w:t>
            </w:r>
          </w:p>
        </w:tc>
        <w:tc>
          <w:tcPr>
            <w:tcW w:w="833" w:type="pct"/>
          </w:tcPr>
          <w:p w14:paraId="505579F7" w14:textId="3D602492"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2 (</w:t>
            </w:r>
            <w:r w:rsidRPr="00233F70">
              <w:t>6.</w:t>
            </w:r>
            <w:r w:rsidR="00F544AC">
              <w:t>3</w:t>
            </w:r>
            <w:r w:rsidRPr="00233F70">
              <w:t>%</w:t>
            </w:r>
            <w:r>
              <w:t>)</w:t>
            </w:r>
          </w:p>
        </w:tc>
        <w:tc>
          <w:tcPr>
            <w:tcW w:w="833" w:type="pct"/>
          </w:tcPr>
          <w:p w14:paraId="7A34DC02" w14:textId="040D85CF"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4 (</w:t>
            </w:r>
            <w:r w:rsidRPr="00233F70">
              <w:t>12.5%</w:t>
            </w:r>
            <w:r>
              <w:t>)</w:t>
            </w:r>
          </w:p>
        </w:tc>
        <w:tc>
          <w:tcPr>
            <w:tcW w:w="833" w:type="pct"/>
          </w:tcPr>
          <w:p w14:paraId="58E92C6A" w14:textId="60E99BBE"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2 (</w:t>
            </w:r>
            <w:r w:rsidRPr="00233F70">
              <w:t>6.</w:t>
            </w:r>
            <w:r w:rsidR="0094743E">
              <w:t>3</w:t>
            </w:r>
            <w:r w:rsidRPr="00233F70">
              <w:t>%</w:t>
            </w:r>
            <w:r>
              <w:t>)</w:t>
            </w:r>
          </w:p>
        </w:tc>
        <w:tc>
          <w:tcPr>
            <w:tcW w:w="833" w:type="pct"/>
          </w:tcPr>
          <w:p w14:paraId="0459C9BC" w14:textId="7189FB78"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23 (</w:t>
            </w:r>
            <w:r w:rsidRPr="00233F70">
              <w:t>71.</w:t>
            </w:r>
            <w:r w:rsidR="0094743E">
              <w:t>9</w:t>
            </w:r>
            <w:r w:rsidRPr="00233F70">
              <w:t>%</w:t>
            </w:r>
            <w:r>
              <w:t>)</w:t>
            </w:r>
          </w:p>
        </w:tc>
      </w:tr>
      <w:tr w:rsidR="002E5B6F" w:rsidRPr="009C1931" w14:paraId="50240D7E"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3496F663" w14:textId="77777777" w:rsidR="00417AD3" w:rsidRPr="006D20D0" w:rsidRDefault="00417AD3" w:rsidP="0044482E">
            <w:pPr>
              <w:pStyle w:val="TableText"/>
              <w:rPr>
                <w:szCs w:val="18"/>
              </w:rPr>
            </w:pPr>
            <w:r>
              <w:rPr>
                <w:szCs w:val="18"/>
              </w:rPr>
              <w:t>Regional centre</w:t>
            </w:r>
          </w:p>
        </w:tc>
        <w:tc>
          <w:tcPr>
            <w:tcW w:w="833" w:type="pct"/>
          </w:tcPr>
          <w:p w14:paraId="1E770C62" w14:textId="64CD5E15"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 (</w:t>
            </w:r>
            <w:r w:rsidRPr="00233F70">
              <w:t>5.</w:t>
            </w:r>
            <w:r w:rsidR="00F544AC">
              <w:t>3</w:t>
            </w:r>
            <w:r w:rsidRPr="00233F70">
              <w:t>%</w:t>
            </w:r>
            <w:r>
              <w:t>)</w:t>
            </w:r>
          </w:p>
        </w:tc>
        <w:tc>
          <w:tcPr>
            <w:tcW w:w="833" w:type="pct"/>
          </w:tcPr>
          <w:p w14:paraId="5822CBF7" w14:textId="2C67C058"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49F79DB1" w14:textId="15D30375"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3B697CC6" w14:textId="1321BAF7"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4 (</w:t>
            </w:r>
            <w:r w:rsidRPr="00233F70">
              <w:t>21.</w:t>
            </w:r>
            <w:r w:rsidR="0094743E">
              <w:t>1</w:t>
            </w:r>
            <w:r w:rsidRPr="00233F70">
              <w:t>%</w:t>
            </w:r>
            <w:r>
              <w:t>)</w:t>
            </w:r>
          </w:p>
        </w:tc>
        <w:tc>
          <w:tcPr>
            <w:tcW w:w="833" w:type="pct"/>
          </w:tcPr>
          <w:p w14:paraId="58E479DE" w14:textId="33E384BF"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14 (</w:t>
            </w:r>
            <w:r w:rsidRPr="00233F70">
              <w:t>73.</w:t>
            </w:r>
            <w:r w:rsidR="0094743E">
              <w:t>7</w:t>
            </w:r>
            <w:r w:rsidRPr="00233F70">
              <w:t>%</w:t>
            </w:r>
            <w:r>
              <w:t>)</w:t>
            </w:r>
          </w:p>
        </w:tc>
      </w:tr>
      <w:tr w:rsidR="002E5B6F" w:rsidRPr="009C1931" w14:paraId="4BC9B9B4"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12267E6E" w14:textId="77777777" w:rsidR="00417AD3" w:rsidRDefault="00417AD3" w:rsidP="0044482E">
            <w:pPr>
              <w:pStyle w:val="TableText"/>
            </w:pPr>
            <w:r>
              <w:rPr>
                <w:szCs w:val="18"/>
              </w:rPr>
              <w:t>Rural area</w:t>
            </w:r>
          </w:p>
        </w:tc>
        <w:tc>
          <w:tcPr>
            <w:tcW w:w="833" w:type="pct"/>
          </w:tcPr>
          <w:p w14:paraId="69CD0BC3" w14:textId="359F464A"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7A4934D1" w14:textId="234AB880"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 (</w:t>
            </w:r>
            <w:r w:rsidRPr="00233F70">
              <w:t>11.1%</w:t>
            </w:r>
            <w:r>
              <w:t>)</w:t>
            </w:r>
          </w:p>
        </w:tc>
        <w:tc>
          <w:tcPr>
            <w:tcW w:w="833" w:type="pct"/>
          </w:tcPr>
          <w:p w14:paraId="657C353A" w14:textId="5B386E41"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2 (</w:t>
            </w:r>
            <w:r w:rsidRPr="00233F70">
              <w:t>22.2%</w:t>
            </w:r>
            <w:r>
              <w:t>)</w:t>
            </w:r>
          </w:p>
        </w:tc>
        <w:tc>
          <w:tcPr>
            <w:tcW w:w="833" w:type="pct"/>
          </w:tcPr>
          <w:p w14:paraId="6912E349" w14:textId="100E4863"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 (</w:t>
            </w:r>
            <w:r w:rsidRPr="00233F70">
              <w:t>11.1%</w:t>
            </w:r>
            <w:r>
              <w:t>)</w:t>
            </w:r>
          </w:p>
        </w:tc>
        <w:tc>
          <w:tcPr>
            <w:tcW w:w="833" w:type="pct"/>
          </w:tcPr>
          <w:p w14:paraId="14A652F8" w14:textId="7070CD9A"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5 (</w:t>
            </w:r>
            <w:r w:rsidRPr="00233F70">
              <w:t>55.</w:t>
            </w:r>
            <w:r w:rsidR="0094743E">
              <w:t>6</w:t>
            </w:r>
            <w:r w:rsidRPr="00233F70">
              <w:t>%</w:t>
            </w:r>
            <w:r>
              <w:t>)</w:t>
            </w:r>
          </w:p>
        </w:tc>
      </w:tr>
      <w:tr w:rsidR="002E5B6F" w:rsidRPr="009C1931" w14:paraId="5A48DBAA"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14E5FE6B" w14:textId="77777777" w:rsidR="00417AD3" w:rsidRPr="00E90673" w:rsidRDefault="00417AD3" w:rsidP="0044482E">
            <w:pPr>
              <w:pStyle w:val="TableText"/>
            </w:pPr>
            <w:r>
              <w:t>Remote community</w:t>
            </w:r>
          </w:p>
        </w:tc>
        <w:tc>
          <w:tcPr>
            <w:tcW w:w="833" w:type="pct"/>
          </w:tcPr>
          <w:p w14:paraId="565E020C" w14:textId="3A58459F"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6F816285" w14:textId="0494D9C0"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51AD7230" w14:textId="1EEA89C8"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 (</w:t>
            </w:r>
            <w:r w:rsidRPr="00233F70">
              <w:t>100.0%</w:t>
            </w:r>
            <w:r>
              <w:t>)</w:t>
            </w:r>
          </w:p>
        </w:tc>
        <w:tc>
          <w:tcPr>
            <w:tcW w:w="833" w:type="pct"/>
          </w:tcPr>
          <w:p w14:paraId="06028E9B" w14:textId="0EFBA95A"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2B258AC1" w14:textId="328C83A2"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r>
      <w:tr w:rsidR="002E5B6F" w:rsidRPr="009C1931" w14:paraId="3974B909"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381FE286" w14:textId="77777777" w:rsidR="00417AD3" w:rsidRPr="00C33FD2" w:rsidRDefault="00417AD3" w:rsidP="0044482E">
            <w:pPr>
              <w:pStyle w:val="Tabletextbold"/>
              <w:rPr>
                <w:rFonts w:eastAsiaTheme="minorEastAsia" w:cs="Arial"/>
                <w:b/>
                <w:bCs/>
                <w:szCs w:val="18"/>
              </w:rPr>
            </w:pPr>
            <w:r w:rsidRPr="00C33FD2">
              <w:rPr>
                <w:b/>
                <w:bCs/>
              </w:rPr>
              <w:t>Total</w:t>
            </w:r>
            <w:r w:rsidRPr="00C33FD2">
              <w:rPr>
                <w:rFonts w:eastAsiaTheme="minorEastAsia" w:cs="Arial"/>
                <w:b/>
                <w:bCs/>
                <w:szCs w:val="18"/>
              </w:rPr>
              <w:t>: 61 respondents</w:t>
            </w:r>
          </w:p>
        </w:tc>
        <w:tc>
          <w:tcPr>
            <w:tcW w:w="833" w:type="pct"/>
          </w:tcPr>
          <w:p w14:paraId="3A41F962" w14:textId="7185A949" w:rsidR="00417AD3" w:rsidRPr="006F5F45" w:rsidRDefault="00417AD3" w:rsidP="0044482E">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2 (</w:t>
            </w:r>
            <w:r w:rsidRPr="006F5F45">
              <w:rPr>
                <w:szCs w:val="20"/>
              </w:rPr>
              <w:t>3.</w:t>
            </w:r>
            <w:r w:rsidR="00F544AC" w:rsidRPr="006F5F45">
              <w:rPr>
                <w:szCs w:val="20"/>
              </w:rPr>
              <w:t>3</w:t>
            </w:r>
            <w:r w:rsidRPr="006F5F45">
              <w:rPr>
                <w:szCs w:val="20"/>
              </w:rPr>
              <w:t>%)</w:t>
            </w:r>
          </w:p>
        </w:tc>
        <w:tc>
          <w:tcPr>
            <w:tcW w:w="833" w:type="pct"/>
          </w:tcPr>
          <w:p w14:paraId="1009021E" w14:textId="5D7246A8" w:rsidR="00417AD3" w:rsidRPr="006F5F45" w:rsidRDefault="00417AD3" w:rsidP="0044482E">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3 (</w:t>
            </w:r>
            <w:r w:rsidRPr="006F5F45">
              <w:rPr>
                <w:szCs w:val="20"/>
              </w:rPr>
              <w:t>4.9%)</w:t>
            </w:r>
          </w:p>
        </w:tc>
        <w:tc>
          <w:tcPr>
            <w:tcW w:w="833" w:type="pct"/>
          </w:tcPr>
          <w:p w14:paraId="44A2E063" w14:textId="144544EF" w:rsidR="00417AD3" w:rsidRPr="006F5F45" w:rsidRDefault="00417AD3" w:rsidP="0044482E">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7 (</w:t>
            </w:r>
            <w:r w:rsidRPr="006F5F45">
              <w:rPr>
                <w:szCs w:val="20"/>
              </w:rPr>
              <w:t>11.</w:t>
            </w:r>
            <w:r w:rsidR="00F544AC" w:rsidRPr="006F5F45">
              <w:rPr>
                <w:szCs w:val="20"/>
              </w:rPr>
              <w:t>5</w:t>
            </w:r>
            <w:r w:rsidRPr="006F5F45">
              <w:rPr>
                <w:szCs w:val="20"/>
              </w:rPr>
              <w:t>%)</w:t>
            </w:r>
          </w:p>
        </w:tc>
        <w:tc>
          <w:tcPr>
            <w:tcW w:w="833" w:type="pct"/>
          </w:tcPr>
          <w:p w14:paraId="3787053D" w14:textId="6BA924E8" w:rsidR="00417AD3" w:rsidRPr="006F5F45" w:rsidRDefault="00417AD3" w:rsidP="0044482E">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7 (</w:t>
            </w:r>
            <w:r w:rsidRPr="006F5F45">
              <w:rPr>
                <w:szCs w:val="20"/>
              </w:rPr>
              <w:t>11.</w:t>
            </w:r>
            <w:r w:rsidR="0094743E" w:rsidRPr="006F5F45">
              <w:rPr>
                <w:szCs w:val="20"/>
              </w:rPr>
              <w:t>5</w:t>
            </w:r>
            <w:r w:rsidRPr="006F5F45">
              <w:rPr>
                <w:szCs w:val="20"/>
              </w:rPr>
              <w:t>%)</w:t>
            </w:r>
          </w:p>
        </w:tc>
        <w:tc>
          <w:tcPr>
            <w:tcW w:w="833" w:type="pct"/>
          </w:tcPr>
          <w:p w14:paraId="51E0D5BE" w14:textId="1CA7E398" w:rsidR="00417AD3" w:rsidRPr="006F5F45" w:rsidRDefault="00417AD3" w:rsidP="0044482E">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42 (</w:t>
            </w:r>
            <w:r w:rsidRPr="006F5F45">
              <w:rPr>
                <w:szCs w:val="20"/>
              </w:rPr>
              <w:t>68.</w:t>
            </w:r>
            <w:r w:rsidR="0094743E" w:rsidRPr="006F5F45">
              <w:rPr>
                <w:szCs w:val="20"/>
              </w:rPr>
              <w:t>9</w:t>
            </w:r>
            <w:r w:rsidRPr="006F5F45">
              <w:rPr>
                <w:szCs w:val="20"/>
              </w:rPr>
              <w:t>%)</w:t>
            </w:r>
          </w:p>
        </w:tc>
      </w:tr>
    </w:tbl>
    <w:p w14:paraId="4DEB4E08" w14:textId="596B0C61" w:rsidR="00417AD3" w:rsidRPr="00C76D17" w:rsidRDefault="00417AD3" w:rsidP="0044482E">
      <w:pPr>
        <w:pStyle w:val="Caption-Source"/>
      </w:pPr>
      <w:r w:rsidRPr="00032942">
        <w:t xml:space="preserve">Source: </w:t>
      </w:r>
      <w:r w:rsidR="00604AA5">
        <w:t>Independent reviewer</w:t>
      </w:r>
      <w:r w:rsidR="00584D02" w:rsidRPr="00C76D17">
        <w:t xml:space="preserve"> (</w:t>
      </w:r>
      <w:r w:rsidRPr="00C76D17">
        <w:t>2025</w:t>
      </w:r>
      <w:r w:rsidR="00584D02" w:rsidRPr="00C76D17">
        <w:t>)</w:t>
      </w:r>
    </w:p>
    <w:p w14:paraId="4C7C08AD" w14:textId="1166D80D" w:rsidR="0044482E" w:rsidRDefault="0044482E" w:rsidP="0044482E">
      <w:pPr>
        <w:pStyle w:val="Caption"/>
      </w:pPr>
      <w:bookmarkStart w:id="246" w:name="_Toc207348638"/>
      <w:r>
        <w:t xml:space="preserve">Table </w:t>
      </w:r>
      <w:r w:rsidR="00E6799D">
        <w:fldChar w:fldCharType="begin"/>
      </w:r>
      <w:r w:rsidR="00E6799D">
        <w:instrText xml:space="preserve"> SEQ Table \* ARABIC </w:instrText>
      </w:r>
      <w:r w:rsidR="00E6799D">
        <w:fldChar w:fldCharType="separate"/>
      </w:r>
      <w:r w:rsidR="00E6799D">
        <w:rPr>
          <w:noProof/>
        </w:rPr>
        <w:t>73</w:t>
      </w:r>
      <w:r w:rsidR="00E6799D">
        <w:rPr>
          <w:noProof/>
        </w:rPr>
        <w:fldChar w:fldCharType="end"/>
      </w:r>
      <w:r>
        <w:t xml:space="preserve">: </w:t>
      </w:r>
      <w:r w:rsidRPr="00946985">
        <w:t xml:space="preserve">Responses by </w:t>
      </w:r>
      <w:r>
        <w:t>prosthesis type</w:t>
      </w:r>
      <w:r w:rsidRPr="00946985">
        <w:t xml:space="preserve"> to Statement 7</w:t>
      </w:r>
      <w:bookmarkEnd w:id="246"/>
    </w:p>
    <w:tbl>
      <w:tblPr>
        <w:tblStyle w:val="KPMGTable"/>
        <w:tblW w:w="5000" w:type="pct"/>
        <w:tblLook w:val="04A0" w:firstRow="1" w:lastRow="0" w:firstColumn="1" w:lastColumn="0" w:noHBand="0" w:noVBand="1"/>
      </w:tblPr>
      <w:tblGrid>
        <w:gridCol w:w="1701"/>
        <w:gridCol w:w="1701"/>
        <w:gridCol w:w="1701"/>
        <w:gridCol w:w="1701"/>
        <w:gridCol w:w="1700"/>
        <w:gridCol w:w="1700"/>
      </w:tblGrid>
      <w:tr w:rsidR="00AD6F37" w:rsidRPr="00386CBC" w14:paraId="06627C65"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833" w:type="pct"/>
          </w:tcPr>
          <w:p w14:paraId="20B204E9" w14:textId="77777777" w:rsidR="00417AD3" w:rsidRPr="007B154A" w:rsidRDefault="00417AD3" w:rsidP="0044482E">
            <w:pPr>
              <w:pStyle w:val="TableHeading"/>
              <w:rPr>
                <w:b w:val="0"/>
                <w:color w:val="FFFFFF" w:themeColor="background1"/>
                <w:szCs w:val="20"/>
              </w:rPr>
            </w:pPr>
            <w:r>
              <w:t>Response</w:t>
            </w:r>
          </w:p>
        </w:tc>
        <w:tc>
          <w:tcPr>
            <w:tcW w:w="833" w:type="pct"/>
          </w:tcPr>
          <w:p w14:paraId="68731D95" w14:textId="77777777" w:rsidR="00417AD3" w:rsidRPr="006F5F45" w:rsidRDefault="00417AD3" w:rsidP="0044482E">
            <w:pPr>
              <w:pStyle w:val="TableHeading"/>
              <w:cnfStyle w:val="100000000000" w:firstRow="1" w:lastRow="0" w:firstColumn="0" w:lastColumn="0" w:oddVBand="0" w:evenVBand="0" w:oddHBand="0" w:evenHBand="0" w:firstRowFirstColumn="0" w:firstRowLastColumn="0" w:lastRowFirstColumn="0" w:lastRowLastColumn="0"/>
              <w:rPr>
                <w:color w:val="FFFFFF" w:themeColor="background1"/>
                <w:szCs w:val="20"/>
              </w:rPr>
            </w:pPr>
            <w:r w:rsidRPr="006F5F45">
              <w:t>Strongly disagree</w:t>
            </w:r>
          </w:p>
        </w:tc>
        <w:tc>
          <w:tcPr>
            <w:tcW w:w="833" w:type="pct"/>
          </w:tcPr>
          <w:p w14:paraId="2342CD26" w14:textId="77777777" w:rsidR="00417AD3" w:rsidRPr="006F5F45" w:rsidRDefault="00417AD3" w:rsidP="0044482E">
            <w:pPr>
              <w:pStyle w:val="TableHeading"/>
              <w:cnfStyle w:val="100000000000" w:firstRow="1" w:lastRow="0" w:firstColumn="0" w:lastColumn="0" w:oddVBand="0" w:evenVBand="0" w:oddHBand="0" w:evenHBand="0" w:firstRowFirstColumn="0" w:firstRowLastColumn="0" w:lastRowFirstColumn="0" w:lastRowLastColumn="0"/>
              <w:rPr>
                <w:color w:val="FFFFFF" w:themeColor="background1"/>
                <w:szCs w:val="20"/>
              </w:rPr>
            </w:pPr>
            <w:r w:rsidRPr="006F5F45">
              <w:t>Somewhat disagree</w:t>
            </w:r>
          </w:p>
        </w:tc>
        <w:tc>
          <w:tcPr>
            <w:tcW w:w="833" w:type="pct"/>
          </w:tcPr>
          <w:p w14:paraId="54C4F37C" w14:textId="77777777" w:rsidR="00417AD3" w:rsidRPr="006F5F45" w:rsidRDefault="00417AD3" w:rsidP="0044482E">
            <w:pPr>
              <w:pStyle w:val="TableHeading"/>
              <w:cnfStyle w:val="100000000000" w:firstRow="1" w:lastRow="0" w:firstColumn="0" w:lastColumn="0" w:oddVBand="0" w:evenVBand="0" w:oddHBand="0" w:evenHBand="0" w:firstRowFirstColumn="0" w:firstRowLastColumn="0" w:lastRowFirstColumn="0" w:lastRowLastColumn="0"/>
              <w:rPr>
                <w:szCs w:val="20"/>
              </w:rPr>
            </w:pPr>
            <w:r w:rsidRPr="006F5F45">
              <w:t xml:space="preserve">Neither agree nor </w:t>
            </w:r>
            <w:r w:rsidRPr="006F5F45">
              <w:rPr>
                <w:szCs w:val="20"/>
              </w:rPr>
              <w:t>disagree</w:t>
            </w:r>
          </w:p>
        </w:tc>
        <w:tc>
          <w:tcPr>
            <w:tcW w:w="833" w:type="pct"/>
          </w:tcPr>
          <w:p w14:paraId="22BDBD3B" w14:textId="77777777" w:rsidR="00417AD3" w:rsidRPr="006F5F45" w:rsidRDefault="00417AD3" w:rsidP="0044482E">
            <w:pPr>
              <w:pStyle w:val="TableHeading"/>
              <w:cnfStyle w:val="100000000000" w:firstRow="1" w:lastRow="0" w:firstColumn="0" w:lastColumn="0" w:oddVBand="0" w:evenVBand="0" w:oddHBand="0" w:evenHBand="0" w:firstRowFirstColumn="0" w:firstRowLastColumn="0" w:lastRowFirstColumn="0" w:lastRowLastColumn="0"/>
              <w:rPr>
                <w:color w:val="FFFFFF" w:themeColor="background1"/>
                <w:szCs w:val="20"/>
              </w:rPr>
            </w:pPr>
            <w:r w:rsidRPr="006F5F45">
              <w:t>Somewhat agree</w:t>
            </w:r>
          </w:p>
        </w:tc>
        <w:tc>
          <w:tcPr>
            <w:tcW w:w="833" w:type="pct"/>
          </w:tcPr>
          <w:p w14:paraId="64114A76" w14:textId="77777777" w:rsidR="00417AD3" w:rsidRPr="006F5F45" w:rsidRDefault="00417AD3" w:rsidP="0044482E">
            <w:pPr>
              <w:pStyle w:val="TableHeading"/>
              <w:cnfStyle w:val="100000000000" w:firstRow="1" w:lastRow="0" w:firstColumn="0" w:lastColumn="0" w:oddVBand="0" w:evenVBand="0" w:oddHBand="0" w:evenHBand="0" w:firstRowFirstColumn="0" w:firstRowLastColumn="0" w:lastRowFirstColumn="0" w:lastRowLastColumn="0"/>
              <w:rPr>
                <w:color w:val="FFFFFF" w:themeColor="background1"/>
                <w:szCs w:val="20"/>
              </w:rPr>
            </w:pPr>
            <w:r w:rsidRPr="006F5F45">
              <w:t>Strongly agree</w:t>
            </w:r>
          </w:p>
        </w:tc>
      </w:tr>
      <w:tr w:rsidR="002E5B6F" w:rsidRPr="006D20D0" w14:paraId="48E4331B"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0B4AD4E9" w14:textId="77777777" w:rsidR="00417AD3" w:rsidRPr="00E90673" w:rsidRDefault="00417AD3" w:rsidP="0044482E">
            <w:pPr>
              <w:pStyle w:val="TableText"/>
            </w:pPr>
            <w:r>
              <w:t>Facial prosthesis</w:t>
            </w:r>
          </w:p>
        </w:tc>
        <w:tc>
          <w:tcPr>
            <w:tcW w:w="833" w:type="pct"/>
          </w:tcPr>
          <w:p w14:paraId="50D6942F" w14:textId="53C4AF93" w:rsidR="00417AD3" w:rsidRPr="00233F70" w:rsidRDefault="009E34A4" w:rsidP="0044482E">
            <w:pPr>
              <w:pStyle w:val="TableText"/>
              <w:cnfStyle w:val="000000000000" w:firstRow="0" w:lastRow="0" w:firstColumn="0" w:lastColumn="0" w:oddVBand="0" w:evenVBand="0" w:oddHBand="0" w:evenHBand="0" w:firstRowFirstColumn="0" w:firstRowLastColumn="0" w:lastRowFirstColumn="0" w:lastRowLastColumn="0"/>
            </w:pPr>
            <w:r>
              <w:t>2</w:t>
            </w:r>
            <w:r w:rsidR="00417AD3">
              <w:t xml:space="preserve"> (</w:t>
            </w:r>
            <w:r>
              <w:t>5.</w:t>
            </w:r>
            <w:r w:rsidR="00417AD3">
              <w:t>1</w:t>
            </w:r>
            <w:r w:rsidR="00417AD3" w:rsidRPr="00233F70">
              <w:t>%</w:t>
            </w:r>
            <w:r w:rsidR="00417AD3">
              <w:t>)</w:t>
            </w:r>
          </w:p>
        </w:tc>
        <w:tc>
          <w:tcPr>
            <w:tcW w:w="833" w:type="pct"/>
          </w:tcPr>
          <w:p w14:paraId="52FFA8FD" w14:textId="23DB3C47" w:rsidR="00417AD3" w:rsidRPr="00233F70" w:rsidRDefault="009E34A4"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1</w:t>
            </w:r>
            <w:r w:rsidR="00417AD3">
              <w:rPr>
                <w:szCs w:val="18"/>
              </w:rPr>
              <w:t xml:space="preserve"> (</w:t>
            </w:r>
            <w:r w:rsidR="003D0FCB">
              <w:rPr>
                <w:szCs w:val="18"/>
              </w:rPr>
              <w:t>2.6</w:t>
            </w:r>
            <w:r w:rsidR="00417AD3">
              <w:rPr>
                <w:szCs w:val="18"/>
              </w:rPr>
              <w:t>%)</w:t>
            </w:r>
          </w:p>
        </w:tc>
        <w:tc>
          <w:tcPr>
            <w:tcW w:w="833" w:type="pct"/>
          </w:tcPr>
          <w:p w14:paraId="3502CA8D" w14:textId="348D0A54" w:rsidR="00417AD3" w:rsidRPr="00233F70" w:rsidRDefault="009E34A4" w:rsidP="0044482E">
            <w:pPr>
              <w:pStyle w:val="TableText"/>
              <w:cnfStyle w:val="000000000000" w:firstRow="0" w:lastRow="0" w:firstColumn="0" w:lastColumn="0" w:oddVBand="0" w:evenVBand="0" w:oddHBand="0" w:evenHBand="0" w:firstRowFirstColumn="0" w:firstRowLastColumn="0" w:lastRowFirstColumn="0" w:lastRowLastColumn="0"/>
            </w:pPr>
            <w:r>
              <w:t>5</w:t>
            </w:r>
            <w:r w:rsidR="00417AD3">
              <w:t xml:space="preserve"> (</w:t>
            </w:r>
            <w:r w:rsidR="00417AD3" w:rsidRPr="00233F70">
              <w:t>12.</w:t>
            </w:r>
            <w:r w:rsidR="003D0FCB">
              <w:t>8</w:t>
            </w:r>
            <w:r w:rsidR="00417AD3" w:rsidRPr="00233F70">
              <w:t>%</w:t>
            </w:r>
            <w:r w:rsidR="00417AD3">
              <w:t>)</w:t>
            </w:r>
          </w:p>
        </w:tc>
        <w:tc>
          <w:tcPr>
            <w:tcW w:w="833" w:type="pct"/>
          </w:tcPr>
          <w:p w14:paraId="4721587E" w14:textId="0617383F" w:rsidR="00417AD3" w:rsidRPr="00233F70" w:rsidRDefault="009E34A4" w:rsidP="0044482E">
            <w:pPr>
              <w:pStyle w:val="TableText"/>
              <w:cnfStyle w:val="000000000000" w:firstRow="0" w:lastRow="0" w:firstColumn="0" w:lastColumn="0" w:oddVBand="0" w:evenVBand="0" w:oddHBand="0" w:evenHBand="0" w:firstRowFirstColumn="0" w:firstRowLastColumn="0" w:lastRowFirstColumn="0" w:lastRowLastColumn="0"/>
            </w:pPr>
            <w:r>
              <w:t>3</w:t>
            </w:r>
            <w:r w:rsidR="00417AD3">
              <w:t xml:space="preserve"> (</w:t>
            </w:r>
            <w:r w:rsidR="003D0FCB">
              <w:t>7.7</w:t>
            </w:r>
            <w:r w:rsidR="00417AD3" w:rsidRPr="00233F70">
              <w:t>%</w:t>
            </w:r>
            <w:r w:rsidR="00417AD3">
              <w:t>)</w:t>
            </w:r>
          </w:p>
        </w:tc>
        <w:tc>
          <w:tcPr>
            <w:tcW w:w="833" w:type="pct"/>
          </w:tcPr>
          <w:p w14:paraId="654CA85F" w14:textId="3CE917F7" w:rsidR="00417AD3" w:rsidRPr="00233F70" w:rsidRDefault="009E34A4" w:rsidP="0044482E">
            <w:pPr>
              <w:pStyle w:val="TableText"/>
              <w:cnfStyle w:val="000000000000" w:firstRow="0" w:lastRow="0" w:firstColumn="0" w:lastColumn="0" w:oddVBand="0" w:evenVBand="0" w:oddHBand="0" w:evenHBand="0" w:firstRowFirstColumn="0" w:firstRowLastColumn="0" w:lastRowFirstColumn="0" w:lastRowLastColumn="0"/>
            </w:pPr>
            <w:r>
              <w:t xml:space="preserve">28 </w:t>
            </w:r>
            <w:r w:rsidR="00417AD3">
              <w:t>(</w:t>
            </w:r>
            <w:r w:rsidR="00417AD3" w:rsidRPr="00233F70">
              <w:t>7</w:t>
            </w:r>
            <w:r w:rsidR="00EC1D82">
              <w:t>1.8</w:t>
            </w:r>
            <w:r w:rsidR="00417AD3" w:rsidRPr="00233F70">
              <w:t>%</w:t>
            </w:r>
            <w:r w:rsidR="00417AD3">
              <w:t>)</w:t>
            </w:r>
          </w:p>
        </w:tc>
      </w:tr>
      <w:tr w:rsidR="002E5B6F" w:rsidRPr="009C1931" w14:paraId="163F1B1A"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7589708A" w14:textId="77777777" w:rsidR="00417AD3" w:rsidRPr="005C4C25" w:rsidRDefault="00417AD3" w:rsidP="0044482E">
            <w:pPr>
              <w:pStyle w:val="TableText"/>
            </w:pPr>
            <w:r w:rsidRPr="005C4C25">
              <w:t>An artificial breast worn in the bra</w:t>
            </w:r>
          </w:p>
        </w:tc>
        <w:tc>
          <w:tcPr>
            <w:tcW w:w="833" w:type="pct"/>
          </w:tcPr>
          <w:p w14:paraId="34AF6741" w14:textId="0C3B5812"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4818EBAD" w14:textId="21D62694"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 (</w:t>
            </w:r>
            <w:r w:rsidRPr="00233F70">
              <w:t>33.3%</w:t>
            </w:r>
            <w:r>
              <w:t>)</w:t>
            </w:r>
          </w:p>
        </w:tc>
        <w:tc>
          <w:tcPr>
            <w:tcW w:w="833" w:type="pct"/>
          </w:tcPr>
          <w:p w14:paraId="7F161520" w14:textId="25C68EB6"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 (</w:t>
            </w:r>
            <w:r w:rsidRPr="00233F70">
              <w:t>33.3%</w:t>
            </w:r>
            <w:r>
              <w:t>)</w:t>
            </w:r>
          </w:p>
        </w:tc>
        <w:tc>
          <w:tcPr>
            <w:tcW w:w="833" w:type="pct"/>
          </w:tcPr>
          <w:p w14:paraId="0D355F32" w14:textId="36A8F9B1"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5391AA4D" w14:textId="5D646339"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 (</w:t>
            </w:r>
            <w:r w:rsidRPr="00233F70">
              <w:t>33.3%</w:t>
            </w:r>
            <w:r>
              <w:t>)</w:t>
            </w:r>
          </w:p>
        </w:tc>
      </w:tr>
      <w:tr w:rsidR="002E5B6F" w:rsidRPr="009C1931" w14:paraId="45589D59"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6D14AF25" w14:textId="77777777" w:rsidR="00417AD3" w:rsidRPr="005C4C25" w:rsidRDefault="00417AD3" w:rsidP="0044482E">
            <w:pPr>
              <w:pStyle w:val="TableText"/>
            </w:pPr>
            <w:r w:rsidRPr="005C4C25">
              <w:t>Voice prostheses</w:t>
            </w:r>
          </w:p>
        </w:tc>
        <w:tc>
          <w:tcPr>
            <w:tcW w:w="833" w:type="pct"/>
          </w:tcPr>
          <w:p w14:paraId="4D901341" w14:textId="6CF1B00E"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 (</w:t>
            </w:r>
            <w:r w:rsidRPr="00233F70">
              <w:t>7.</w:t>
            </w:r>
            <w:r w:rsidR="0094743E">
              <w:t>7</w:t>
            </w:r>
            <w:r w:rsidRPr="00233F70">
              <w:t>%</w:t>
            </w:r>
            <w:r>
              <w:t>)</w:t>
            </w:r>
          </w:p>
        </w:tc>
        <w:tc>
          <w:tcPr>
            <w:tcW w:w="833" w:type="pct"/>
          </w:tcPr>
          <w:p w14:paraId="2B3F8559" w14:textId="2C702BA2"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3EEB6DEA" w14:textId="1DBE7954"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68E487E4" w14:textId="2BED43AA"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2 (</w:t>
            </w:r>
            <w:r w:rsidRPr="00233F70">
              <w:t>15.</w:t>
            </w:r>
            <w:r w:rsidR="00407505">
              <w:t>4</w:t>
            </w:r>
            <w:r w:rsidRPr="00233F70">
              <w:t>%</w:t>
            </w:r>
            <w:r>
              <w:t>)</w:t>
            </w:r>
          </w:p>
        </w:tc>
        <w:tc>
          <w:tcPr>
            <w:tcW w:w="833" w:type="pct"/>
          </w:tcPr>
          <w:p w14:paraId="223E2686" w14:textId="6C1B01DE"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10 (</w:t>
            </w:r>
            <w:r w:rsidRPr="00233F70">
              <w:t>76.9%</w:t>
            </w:r>
            <w:r>
              <w:t>)</w:t>
            </w:r>
          </w:p>
        </w:tc>
      </w:tr>
      <w:tr w:rsidR="002E5B6F" w14:paraId="090F668C"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739941C9" w14:textId="77777777" w:rsidR="00417AD3" w:rsidRPr="005C4C25" w:rsidRDefault="00417AD3" w:rsidP="0044482E">
            <w:pPr>
              <w:pStyle w:val="TableText"/>
            </w:pPr>
            <w:r w:rsidRPr="005C4C25">
              <w:t>Dental prostheses</w:t>
            </w:r>
          </w:p>
        </w:tc>
        <w:tc>
          <w:tcPr>
            <w:tcW w:w="833" w:type="pct"/>
          </w:tcPr>
          <w:p w14:paraId="597DAFC8" w14:textId="0EFBF104"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45CD7DEC" w14:textId="6646AA7C"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2 (</w:t>
            </w:r>
            <w:r w:rsidRPr="00233F70">
              <w:t>22.2%</w:t>
            </w:r>
            <w:r>
              <w:t>)</w:t>
            </w:r>
          </w:p>
        </w:tc>
        <w:tc>
          <w:tcPr>
            <w:tcW w:w="833" w:type="pct"/>
          </w:tcPr>
          <w:p w14:paraId="7764A0A5" w14:textId="0D25A313"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3 (</w:t>
            </w:r>
            <w:r w:rsidRPr="00233F70">
              <w:t>33.3%</w:t>
            </w:r>
            <w:r>
              <w:t>)</w:t>
            </w:r>
          </w:p>
        </w:tc>
        <w:tc>
          <w:tcPr>
            <w:tcW w:w="833" w:type="pct"/>
          </w:tcPr>
          <w:p w14:paraId="6A73D8F1" w14:textId="48499C10"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2 (</w:t>
            </w:r>
            <w:r w:rsidRPr="00233F70">
              <w:t>22.2%</w:t>
            </w:r>
            <w:r>
              <w:t>)</w:t>
            </w:r>
          </w:p>
        </w:tc>
        <w:tc>
          <w:tcPr>
            <w:tcW w:w="833" w:type="pct"/>
          </w:tcPr>
          <w:p w14:paraId="79569141" w14:textId="6323853A"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2 (</w:t>
            </w:r>
            <w:r w:rsidRPr="00233F70">
              <w:t>22.2%</w:t>
            </w:r>
            <w:r>
              <w:t>)</w:t>
            </w:r>
          </w:p>
        </w:tc>
      </w:tr>
      <w:tr w:rsidR="002E5B6F" w14:paraId="7B566F3D"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2EDDCD1F" w14:textId="77777777" w:rsidR="00417AD3" w:rsidRPr="005C4C25" w:rsidRDefault="00417AD3" w:rsidP="0044482E">
            <w:pPr>
              <w:pStyle w:val="TableText"/>
            </w:pPr>
            <w:r>
              <w:t>Fat grafting</w:t>
            </w:r>
          </w:p>
        </w:tc>
        <w:tc>
          <w:tcPr>
            <w:tcW w:w="833" w:type="pct"/>
          </w:tcPr>
          <w:p w14:paraId="0E12E3F3" w14:textId="7259D787"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05BF91E9" w14:textId="40073F92"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214D46B4" w14:textId="77EDB54A"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2C9E1D91" w14:textId="4AF4DA58"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48E103AA" w14:textId="64BAEB58" w:rsidR="00417AD3" w:rsidRPr="00233F70"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 (</w:t>
            </w:r>
            <w:r w:rsidRPr="00233F70">
              <w:t>100.0%</w:t>
            </w:r>
            <w:r>
              <w:t>)</w:t>
            </w:r>
          </w:p>
        </w:tc>
      </w:tr>
      <w:tr w:rsidR="002E5B6F" w:rsidRPr="009C1931" w14:paraId="1E380431"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3DF6793C" w14:textId="77777777" w:rsidR="00417AD3" w:rsidRPr="00C33FD2" w:rsidRDefault="00417AD3" w:rsidP="0044482E">
            <w:pPr>
              <w:pStyle w:val="Tabletextbold"/>
              <w:rPr>
                <w:rFonts w:eastAsiaTheme="minorEastAsia" w:cs="Arial"/>
                <w:b/>
                <w:bCs/>
                <w:szCs w:val="18"/>
              </w:rPr>
            </w:pPr>
            <w:r w:rsidRPr="00C33FD2">
              <w:rPr>
                <w:b/>
                <w:bCs/>
              </w:rPr>
              <w:t>Total</w:t>
            </w:r>
            <w:r w:rsidRPr="00C33FD2">
              <w:rPr>
                <w:rFonts w:eastAsiaTheme="minorEastAsia" w:cs="Arial"/>
                <w:b/>
                <w:bCs/>
                <w:szCs w:val="18"/>
              </w:rPr>
              <w:t>: 65 respondents</w:t>
            </w:r>
          </w:p>
        </w:tc>
        <w:tc>
          <w:tcPr>
            <w:tcW w:w="833" w:type="pct"/>
          </w:tcPr>
          <w:p w14:paraId="3395D93A" w14:textId="7BAE5545" w:rsidR="00417AD3" w:rsidRPr="006F5F45" w:rsidRDefault="00417AD3" w:rsidP="0044482E">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3 (4.6%)</w:t>
            </w:r>
          </w:p>
        </w:tc>
        <w:tc>
          <w:tcPr>
            <w:tcW w:w="833" w:type="pct"/>
          </w:tcPr>
          <w:p w14:paraId="16BB452A" w14:textId="2A08EFDA" w:rsidR="00417AD3" w:rsidRPr="006F5F45" w:rsidRDefault="00417AD3" w:rsidP="0044482E">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4 (6.</w:t>
            </w:r>
            <w:r w:rsidR="0094743E" w:rsidRPr="006F5F45">
              <w:rPr>
                <w:szCs w:val="20"/>
              </w:rPr>
              <w:t>2</w:t>
            </w:r>
            <w:r w:rsidRPr="006F5F45">
              <w:rPr>
                <w:szCs w:val="20"/>
              </w:rPr>
              <w:t>%)</w:t>
            </w:r>
          </w:p>
        </w:tc>
        <w:tc>
          <w:tcPr>
            <w:tcW w:w="833" w:type="pct"/>
          </w:tcPr>
          <w:p w14:paraId="29590D7D" w14:textId="1763AE32" w:rsidR="00417AD3" w:rsidRPr="006F5F45" w:rsidRDefault="00417AD3" w:rsidP="0044482E">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9 (13.</w:t>
            </w:r>
            <w:r w:rsidR="00407505" w:rsidRPr="006F5F45">
              <w:rPr>
                <w:szCs w:val="20"/>
              </w:rPr>
              <w:t>9</w:t>
            </w:r>
            <w:r w:rsidRPr="006F5F45">
              <w:rPr>
                <w:szCs w:val="20"/>
              </w:rPr>
              <w:t>%)</w:t>
            </w:r>
          </w:p>
        </w:tc>
        <w:tc>
          <w:tcPr>
            <w:tcW w:w="833" w:type="pct"/>
          </w:tcPr>
          <w:p w14:paraId="586734D9" w14:textId="39D8EF06" w:rsidR="00417AD3" w:rsidRPr="006F5F45" w:rsidRDefault="00417AD3" w:rsidP="0044482E">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7 (10.</w:t>
            </w:r>
            <w:r w:rsidR="00407505" w:rsidRPr="006F5F45">
              <w:rPr>
                <w:szCs w:val="20"/>
              </w:rPr>
              <w:t>8</w:t>
            </w:r>
            <w:r w:rsidRPr="006F5F45">
              <w:rPr>
                <w:szCs w:val="20"/>
              </w:rPr>
              <w:t>%)</w:t>
            </w:r>
          </w:p>
        </w:tc>
        <w:tc>
          <w:tcPr>
            <w:tcW w:w="833" w:type="pct"/>
          </w:tcPr>
          <w:p w14:paraId="0A634AC4" w14:textId="71E370AC" w:rsidR="00417AD3" w:rsidRPr="006F5F45" w:rsidRDefault="00417AD3" w:rsidP="0044482E">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42 (64.6%)</w:t>
            </w:r>
          </w:p>
        </w:tc>
      </w:tr>
    </w:tbl>
    <w:p w14:paraId="66058E1C" w14:textId="6D03736C" w:rsidR="00417AD3" w:rsidRDefault="00417AD3" w:rsidP="0044482E">
      <w:pPr>
        <w:pStyle w:val="Caption-Source"/>
        <w:rPr>
          <w:rFonts w:ascii="Arial" w:eastAsiaTheme="minorEastAsia" w:hAnsi="Arial" w:cs="Arial"/>
          <w:i/>
          <w:color w:val="auto"/>
        </w:rPr>
      </w:pPr>
      <w:r w:rsidRPr="00032942">
        <w:t xml:space="preserve">Source: </w:t>
      </w:r>
      <w:r w:rsidR="00604AA5">
        <w:t>Independent reviewer</w:t>
      </w:r>
      <w:r w:rsidR="00584D02" w:rsidRPr="00C76D17">
        <w:t xml:space="preserve"> (</w:t>
      </w:r>
      <w:r w:rsidRPr="00C76D17">
        <w:t>2025</w:t>
      </w:r>
      <w:r w:rsidR="00584D02" w:rsidRPr="00C76D17">
        <w:t>)</w:t>
      </w:r>
    </w:p>
    <w:p w14:paraId="5EBF67FA" w14:textId="77777777" w:rsidR="00C33FD2" w:rsidRPr="00A10684" w:rsidRDefault="00C33FD2" w:rsidP="00A10684">
      <w:r w:rsidRPr="00A10684">
        <w:br w:type="page"/>
      </w:r>
    </w:p>
    <w:p w14:paraId="7E29BEDB" w14:textId="2542BEE2" w:rsidR="00417AD3" w:rsidRPr="0042443F" w:rsidRDefault="0044482E" w:rsidP="0044482E">
      <w:pPr>
        <w:spacing w:before="0" w:after="160" w:line="259" w:lineRule="auto"/>
        <w:rPr>
          <w:rStyle w:val="Strong"/>
        </w:rPr>
      </w:pPr>
      <w:r w:rsidRPr="0042443F">
        <w:rPr>
          <w:rStyle w:val="Strong"/>
        </w:rPr>
        <w:t xml:space="preserve">Statement 8: </w:t>
      </w:r>
      <w:r w:rsidR="00417AD3" w:rsidRPr="0042443F">
        <w:rPr>
          <w:rStyle w:val="Strong"/>
        </w:rPr>
        <w:t>My prosthesis has supported my emotional wellbeing</w:t>
      </w:r>
    </w:p>
    <w:p w14:paraId="64C57A3F" w14:textId="06607E16" w:rsidR="0044482E" w:rsidRDefault="0044482E" w:rsidP="0044482E">
      <w:pPr>
        <w:pStyle w:val="Caption"/>
      </w:pPr>
      <w:bookmarkStart w:id="247" w:name="_Toc207348639"/>
      <w:r>
        <w:t xml:space="preserve">Table </w:t>
      </w:r>
      <w:r w:rsidR="00E6799D">
        <w:fldChar w:fldCharType="begin"/>
      </w:r>
      <w:r w:rsidR="00E6799D">
        <w:instrText xml:space="preserve"> SEQ Table \* ARABIC </w:instrText>
      </w:r>
      <w:r w:rsidR="00E6799D">
        <w:fldChar w:fldCharType="separate"/>
      </w:r>
      <w:r w:rsidR="00E6799D">
        <w:rPr>
          <w:noProof/>
        </w:rPr>
        <w:t>74</w:t>
      </w:r>
      <w:r w:rsidR="00E6799D">
        <w:rPr>
          <w:noProof/>
        </w:rPr>
        <w:fldChar w:fldCharType="end"/>
      </w:r>
      <w:r>
        <w:t xml:space="preserve">: </w:t>
      </w:r>
      <w:r w:rsidRPr="00B45B78">
        <w:t xml:space="preserve">Responses by </w:t>
      </w:r>
      <w:r>
        <w:t>jurisdiction</w:t>
      </w:r>
      <w:r w:rsidRPr="00B45B78">
        <w:t xml:space="preserve"> to Statement </w:t>
      </w:r>
      <w:r>
        <w:t>8</w:t>
      </w:r>
      <w:bookmarkEnd w:id="247"/>
    </w:p>
    <w:tbl>
      <w:tblPr>
        <w:tblStyle w:val="KPMGTable"/>
        <w:tblW w:w="5000" w:type="pct"/>
        <w:tblLook w:val="04A0" w:firstRow="1" w:lastRow="0" w:firstColumn="1" w:lastColumn="0" w:noHBand="0" w:noVBand="1"/>
      </w:tblPr>
      <w:tblGrid>
        <w:gridCol w:w="1701"/>
        <w:gridCol w:w="1701"/>
        <w:gridCol w:w="1701"/>
        <w:gridCol w:w="1701"/>
        <w:gridCol w:w="1700"/>
        <w:gridCol w:w="1700"/>
      </w:tblGrid>
      <w:tr w:rsidR="00AD6F37" w:rsidRPr="00501302" w14:paraId="390DEFD5"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833" w:type="pct"/>
          </w:tcPr>
          <w:p w14:paraId="68433835" w14:textId="77777777" w:rsidR="00417AD3" w:rsidRPr="007B154A" w:rsidRDefault="00417AD3" w:rsidP="0044482E">
            <w:pPr>
              <w:pStyle w:val="TableHeading"/>
              <w:rPr>
                <w:b w:val="0"/>
                <w:color w:val="FFFFFF" w:themeColor="background1"/>
                <w:szCs w:val="20"/>
              </w:rPr>
            </w:pPr>
            <w:r>
              <w:t>Response</w:t>
            </w:r>
          </w:p>
        </w:tc>
        <w:tc>
          <w:tcPr>
            <w:tcW w:w="833" w:type="pct"/>
          </w:tcPr>
          <w:p w14:paraId="75D03B97" w14:textId="77777777" w:rsidR="00417AD3" w:rsidRDefault="00417AD3" w:rsidP="0044482E">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disagree</w:t>
            </w:r>
          </w:p>
        </w:tc>
        <w:tc>
          <w:tcPr>
            <w:tcW w:w="833" w:type="pct"/>
          </w:tcPr>
          <w:p w14:paraId="508B171A" w14:textId="77777777" w:rsidR="00417AD3" w:rsidRDefault="00417AD3" w:rsidP="0044482E">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disagree</w:t>
            </w:r>
          </w:p>
        </w:tc>
        <w:tc>
          <w:tcPr>
            <w:tcW w:w="833" w:type="pct"/>
          </w:tcPr>
          <w:p w14:paraId="0302150B" w14:textId="77777777" w:rsidR="00417AD3" w:rsidRDefault="00417AD3" w:rsidP="0044482E">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Neither agree nor disagree</w:t>
            </w:r>
          </w:p>
        </w:tc>
        <w:tc>
          <w:tcPr>
            <w:tcW w:w="833" w:type="pct"/>
          </w:tcPr>
          <w:p w14:paraId="01EDFD40" w14:textId="77777777" w:rsidR="00417AD3" w:rsidRDefault="00417AD3" w:rsidP="0044482E">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agree</w:t>
            </w:r>
          </w:p>
        </w:tc>
        <w:tc>
          <w:tcPr>
            <w:tcW w:w="833" w:type="pct"/>
          </w:tcPr>
          <w:p w14:paraId="221920D9" w14:textId="77777777" w:rsidR="00417AD3" w:rsidRDefault="00417AD3" w:rsidP="0044482E">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agree</w:t>
            </w:r>
          </w:p>
        </w:tc>
      </w:tr>
      <w:tr w:rsidR="002E5B6F" w:rsidRPr="00DE530D" w14:paraId="79C887E7"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66B689C1" w14:textId="77777777" w:rsidR="00417AD3" w:rsidRPr="00E90673" w:rsidRDefault="00417AD3" w:rsidP="0044482E">
            <w:pPr>
              <w:pStyle w:val="TableText"/>
            </w:pPr>
            <w:r>
              <w:t>New South Wales</w:t>
            </w:r>
          </w:p>
        </w:tc>
        <w:tc>
          <w:tcPr>
            <w:tcW w:w="833" w:type="pct"/>
          </w:tcPr>
          <w:p w14:paraId="03CFA6FB" w14:textId="3D66714B" w:rsidR="00417AD3" w:rsidRPr="00335799"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 (</w:t>
            </w:r>
            <w:r w:rsidRPr="00335799">
              <w:t>2.8%</w:t>
            </w:r>
            <w:r>
              <w:t>)</w:t>
            </w:r>
          </w:p>
        </w:tc>
        <w:tc>
          <w:tcPr>
            <w:tcW w:w="833" w:type="pct"/>
          </w:tcPr>
          <w:p w14:paraId="504593F2" w14:textId="03C4B469" w:rsidR="00417AD3" w:rsidRPr="00335799"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2 (</w:t>
            </w:r>
            <w:r w:rsidRPr="00335799">
              <w:t>5.6%</w:t>
            </w:r>
            <w:r>
              <w:t>)</w:t>
            </w:r>
          </w:p>
        </w:tc>
        <w:tc>
          <w:tcPr>
            <w:tcW w:w="833" w:type="pct"/>
          </w:tcPr>
          <w:p w14:paraId="18497D90" w14:textId="634C3CF4" w:rsidR="00417AD3" w:rsidRPr="00335799"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3 (</w:t>
            </w:r>
            <w:r w:rsidRPr="00335799">
              <w:t>8.3%</w:t>
            </w:r>
            <w:r>
              <w:t>)</w:t>
            </w:r>
          </w:p>
        </w:tc>
        <w:tc>
          <w:tcPr>
            <w:tcW w:w="833" w:type="pct"/>
          </w:tcPr>
          <w:p w14:paraId="5662BE33" w14:textId="668F1D3F" w:rsidR="00417AD3" w:rsidRPr="00335799"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5 (</w:t>
            </w:r>
            <w:r w:rsidRPr="00335799">
              <w:t>13.9%</w:t>
            </w:r>
            <w:r>
              <w:t>)</w:t>
            </w:r>
          </w:p>
        </w:tc>
        <w:tc>
          <w:tcPr>
            <w:tcW w:w="833" w:type="pct"/>
          </w:tcPr>
          <w:p w14:paraId="25278FE8" w14:textId="370D60C4" w:rsidR="00417AD3" w:rsidRPr="00335799"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25 (</w:t>
            </w:r>
            <w:r w:rsidRPr="00335799">
              <w:t>69.4%</w:t>
            </w:r>
            <w:r>
              <w:t>)</w:t>
            </w:r>
          </w:p>
        </w:tc>
      </w:tr>
      <w:tr w:rsidR="002E5B6F" w:rsidRPr="00DE530D" w14:paraId="012373B9"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1D1293D8" w14:textId="77777777" w:rsidR="00417AD3" w:rsidRPr="006D20D0" w:rsidRDefault="00417AD3" w:rsidP="0044482E">
            <w:pPr>
              <w:pStyle w:val="TableText"/>
              <w:rPr>
                <w:szCs w:val="18"/>
              </w:rPr>
            </w:pPr>
            <w:r>
              <w:rPr>
                <w:szCs w:val="18"/>
              </w:rPr>
              <w:t>Victoria</w:t>
            </w:r>
          </w:p>
        </w:tc>
        <w:tc>
          <w:tcPr>
            <w:tcW w:w="833" w:type="pct"/>
          </w:tcPr>
          <w:p w14:paraId="6CBE80BC" w14:textId="29C6E855" w:rsidR="00417AD3" w:rsidRPr="00335799"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635DA022" w14:textId="2C49DFD6" w:rsidR="00417AD3" w:rsidRPr="00335799"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19D531AA" w14:textId="7ECB3BF2" w:rsidR="00417AD3" w:rsidRPr="00335799"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22DEFD28" w14:textId="1B61ECE7" w:rsidR="00417AD3" w:rsidRPr="00335799"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 (</w:t>
            </w:r>
            <w:r w:rsidRPr="00335799">
              <w:t>16.7%</w:t>
            </w:r>
            <w:r>
              <w:t>)</w:t>
            </w:r>
          </w:p>
        </w:tc>
        <w:tc>
          <w:tcPr>
            <w:tcW w:w="833" w:type="pct"/>
          </w:tcPr>
          <w:p w14:paraId="5FA2BC6C" w14:textId="1746094F" w:rsidR="00417AD3" w:rsidRPr="00335799"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5 (</w:t>
            </w:r>
            <w:r w:rsidRPr="00335799">
              <w:t>83.3%</w:t>
            </w:r>
            <w:r>
              <w:t>)</w:t>
            </w:r>
          </w:p>
        </w:tc>
      </w:tr>
      <w:tr w:rsidR="002E5B6F" w:rsidRPr="00DE530D" w14:paraId="4FC301F8"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481B36AE" w14:textId="77777777" w:rsidR="00417AD3" w:rsidRPr="00E90673" w:rsidRDefault="00417AD3" w:rsidP="0044482E">
            <w:pPr>
              <w:pStyle w:val="TableText"/>
            </w:pPr>
            <w:r>
              <w:t>Queensland</w:t>
            </w:r>
          </w:p>
        </w:tc>
        <w:tc>
          <w:tcPr>
            <w:tcW w:w="833" w:type="pct"/>
          </w:tcPr>
          <w:p w14:paraId="570D8D13" w14:textId="4ECBC205" w:rsidR="00417AD3" w:rsidRPr="00335799"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3DE9EB5E" w14:textId="291CD75B" w:rsidR="00417AD3" w:rsidRPr="00335799"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 (</w:t>
            </w:r>
            <w:r w:rsidRPr="00335799">
              <w:t>7.1%</w:t>
            </w:r>
            <w:r>
              <w:t>)</w:t>
            </w:r>
          </w:p>
        </w:tc>
        <w:tc>
          <w:tcPr>
            <w:tcW w:w="833" w:type="pct"/>
          </w:tcPr>
          <w:p w14:paraId="51F74A57" w14:textId="55C7B4EA" w:rsidR="00417AD3" w:rsidRPr="00335799"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 (</w:t>
            </w:r>
            <w:r w:rsidRPr="00335799">
              <w:t>7.1%</w:t>
            </w:r>
            <w:r>
              <w:t>)</w:t>
            </w:r>
          </w:p>
        </w:tc>
        <w:tc>
          <w:tcPr>
            <w:tcW w:w="833" w:type="pct"/>
          </w:tcPr>
          <w:p w14:paraId="16EBD99A" w14:textId="16CA2CCB" w:rsidR="00417AD3" w:rsidRPr="00335799"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 (</w:t>
            </w:r>
            <w:r w:rsidRPr="00335799">
              <w:t>7.1%</w:t>
            </w:r>
            <w:r>
              <w:t>)</w:t>
            </w:r>
          </w:p>
        </w:tc>
        <w:tc>
          <w:tcPr>
            <w:tcW w:w="833" w:type="pct"/>
          </w:tcPr>
          <w:p w14:paraId="7107B54B" w14:textId="01938650" w:rsidR="00417AD3" w:rsidRPr="00335799"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11 (</w:t>
            </w:r>
            <w:r w:rsidRPr="00335799">
              <w:t>78.</w:t>
            </w:r>
            <w:r w:rsidR="00407505">
              <w:t>6</w:t>
            </w:r>
            <w:r w:rsidRPr="00335799">
              <w:t>%</w:t>
            </w:r>
            <w:r>
              <w:t>)</w:t>
            </w:r>
          </w:p>
        </w:tc>
      </w:tr>
      <w:tr w:rsidR="002E5B6F" w:rsidRPr="00DE530D" w14:paraId="73FEC988"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072F6D86" w14:textId="77777777" w:rsidR="00417AD3" w:rsidRPr="006D20D0" w:rsidRDefault="00417AD3" w:rsidP="0044482E">
            <w:pPr>
              <w:pStyle w:val="TableText"/>
              <w:rPr>
                <w:szCs w:val="18"/>
              </w:rPr>
            </w:pPr>
            <w:r>
              <w:rPr>
                <w:szCs w:val="18"/>
              </w:rPr>
              <w:t xml:space="preserve">South Australia </w:t>
            </w:r>
          </w:p>
        </w:tc>
        <w:tc>
          <w:tcPr>
            <w:tcW w:w="833" w:type="pct"/>
          </w:tcPr>
          <w:p w14:paraId="41896CC5" w14:textId="79DF1C0B" w:rsidR="00417AD3" w:rsidRPr="00335799"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501E9928" w14:textId="527E83E4" w:rsidR="00417AD3" w:rsidRPr="00335799"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40E67A55" w14:textId="6974548A" w:rsidR="00417AD3" w:rsidRPr="00335799"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64EFF0CF" w14:textId="6525172C" w:rsidR="00417AD3" w:rsidRPr="00335799"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 (</w:t>
            </w:r>
            <w:r w:rsidRPr="00335799">
              <w:t>25.0%</w:t>
            </w:r>
            <w:r>
              <w:t>)</w:t>
            </w:r>
          </w:p>
        </w:tc>
        <w:tc>
          <w:tcPr>
            <w:tcW w:w="833" w:type="pct"/>
          </w:tcPr>
          <w:p w14:paraId="63F61E8C" w14:textId="13946210" w:rsidR="00417AD3" w:rsidRPr="00335799"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3 (</w:t>
            </w:r>
            <w:r w:rsidRPr="00335799">
              <w:t>75.0%</w:t>
            </w:r>
            <w:r>
              <w:t>)</w:t>
            </w:r>
          </w:p>
        </w:tc>
      </w:tr>
      <w:tr w:rsidR="002E5B6F" w:rsidRPr="00DE530D" w14:paraId="7A58E3C0"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10865D19" w14:textId="77777777" w:rsidR="00417AD3" w:rsidRDefault="00417AD3" w:rsidP="0044482E">
            <w:pPr>
              <w:pStyle w:val="TableText"/>
              <w:rPr>
                <w:szCs w:val="18"/>
              </w:rPr>
            </w:pPr>
            <w:r>
              <w:rPr>
                <w:szCs w:val="18"/>
              </w:rPr>
              <w:t>Tasmania</w:t>
            </w:r>
          </w:p>
        </w:tc>
        <w:tc>
          <w:tcPr>
            <w:tcW w:w="833" w:type="pct"/>
          </w:tcPr>
          <w:p w14:paraId="0DAE30C6" w14:textId="7F43D737" w:rsidR="00417AD3" w:rsidRPr="00335799"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6E91C13E" w14:textId="5A96A6C1" w:rsidR="00417AD3" w:rsidRPr="00335799"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68AF52E5" w14:textId="2EDC22AD" w:rsidR="00417AD3" w:rsidRPr="00335799"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290C0045" w14:textId="5AF6F25C" w:rsidR="00417AD3" w:rsidRPr="00335799"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4C73322E" w14:textId="3E82BFBA" w:rsidR="00417AD3" w:rsidRPr="00335799"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 (</w:t>
            </w:r>
            <w:r w:rsidRPr="00335799">
              <w:t>100.0%</w:t>
            </w:r>
            <w:r>
              <w:t>)</w:t>
            </w:r>
          </w:p>
        </w:tc>
      </w:tr>
      <w:tr w:rsidR="002E5B6F" w:rsidRPr="00501302" w14:paraId="7B600EB4"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3F26432C" w14:textId="77777777" w:rsidR="00417AD3" w:rsidRPr="00C33FD2" w:rsidRDefault="00417AD3" w:rsidP="0044482E">
            <w:pPr>
              <w:pStyle w:val="Tabletextbold"/>
              <w:rPr>
                <w:rFonts w:eastAsiaTheme="minorEastAsia" w:cs="Arial"/>
                <w:b/>
                <w:bCs/>
                <w:szCs w:val="18"/>
              </w:rPr>
            </w:pPr>
            <w:r w:rsidRPr="00C33FD2">
              <w:rPr>
                <w:b/>
                <w:bCs/>
              </w:rPr>
              <w:t>Total</w:t>
            </w:r>
            <w:r w:rsidRPr="00C33FD2">
              <w:rPr>
                <w:rFonts w:eastAsiaTheme="minorEastAsia" w:cs="Arial"/>
                <w:b/>
                <w:bCs/>
                <w:szCs w:val="18"/>
              </w:rPr>
              <w:t>: 61 respondents</w:t>
            </w:r>
          </w:p>
        </w:tc>
        <w:tc>
          <w:tcPr>
            <w:tcW w:w="833" w:type="pct"/>
          </w:tcPr>
          <w:p w14:paraId="39EBC3BB" w14:textId="68A457AF" w:rsidR="00417AD3" w:rsidRPr="006F5F45" w:rsidRDefault="00417AD3" w:rsidP="0044482E">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1 (1.6%)</w:t>
            </w:r>
          </w:p>
        </w:tc>
        <w:tc>
          <w:tcPr>
            <w:tcW w:w="833" w:type="pct"/>
          </w:tcPr>
          <w:p w14:paraId="24C0A11F" w14:textId="60882DA7" w:rsidR="00417AD3" w:rsidRPr="006F5F45" w:rsidRDefault="00417AD3" w:rsidP="0044482E">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3 (4.9%)</w:t>
            </w:r>
          </w:p>
        </w:tc>
        <w:tc>
          <w:tcPr>
            <w:tcW w:w="833" w:type="pct"/>
          </w:tcPr>
          <w:p w14:paraId="0CF1E0FB" w14:textId="4E2B19F1" w:rsidR="00417AD3" w:rsidRPr="006F5F45" w:rsidRDefault="00417AD3" w:rsidP="0044482E">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4 (6.6%)</w:t>
            </w:r>
          </w:p>
        </w:tc>
        <w:tc>
          <w:tcPr>
            <w:tcW w:w="833" w:type="pct"/>
          </w:tcPr>
          <w:p w14:paraId="3650B1EF" w14:textId="4EBCAB88" w:rsidR="00417AD3" w:rsidRPr="006F5F45" w:rsidRDefault="00417AD3" w:rsidP="0044482E">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8 (13.1%)</w:t>
            </w:r>
          </w:p>
        </w:tc>
        <w:tc>
          <w:tcPr>
            <w:tcW w:w="833" w:type="pct"/>
          </w:tcPr>
          <w:p w14:paraId="50C6F2DE" w14:textId="2B7D9BFD" w:rsidR="00417AD3" w:rsidRPr="006F5F45" w:rsidRDefault="00417AD3" w:rsidP="0044482E">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45 (73.</w:t>
            </w:r>
            <w:r w:rsidR="00407505" w:rsidRPr="006F5F45">
              <w:rPr>
                <w:szCs w:val="20"/>
              </w:rPr>
              <w:t>8</w:t>
            </w:r>
            <w:r w:rsidRPr="006F5F45">
              <w:rPr>
                <w:szCs w:val="20"/>
              </w:rPr>
              <w:t>%)</w:t>
            </w:r>
          </w:p>
        </w:tc>
      </w:tr>
    </w:tbl>
    <w:p w14:paraId="2F210A59" w14:textId="0E57DC9A" w:rsidR="00417AD3" w:rsidRDefault="00417AD3" w:rsidP="0044482E">
      <w:pPr>
        <w:pStyle w:val="Caption-Source"/>
        <w:rPr>
          <w:rFonts w:ascii="Arial" w:eastAsiaTheme="minorEastAsia" w:hAnsi="Arial" w:cs="Arial"/>
          <w:i/>
          <w:color w:val="auto"/>
        </w:rPr>
      </w:pPr>
      <w:r w:rsidRPr="00032942">
        <w:t xml:space="preserve">Source: </w:t>
      </w:r>
      <w:r w:rsidR="00604AA5">
        <w:t>Independent reviewer</w:t>
      </w:r>
      <w:r w:rsidR="00584D02" w:rsidRPr="00C76D17">
        <w:t xml:space="preserve"> (</w:t>
      </w:r>
      <w:r w:rsidRPr="00C76D17">
        <w:t>2025</w:t>
      </w:r>
      <w:r w:rsidR="00584D02" w:rsidRPr="00C76D17">
        <w:t>)</w:t>
      </w:r>
    </w:p>
    <w:p w14:paraId="748C195D" w14:textId="7EDEEA55" w:rsidR="0044482E" w:rsidRDefault="0044482E" w:rsidP="0044482E">
      <w:pPr>
        <w:pStyle w:val="Caption"/>
      </w:pPr>
      <w:bookmarkStart w:id="248" w:name="_Toc207348640"/>
      <w:r>
        <w:t xml:space="preserve">Table </w:t>
      </w:r>
      <w:r w:rsidR="00E6799D">
        <w:fldChar w:fldCharType="begin"/>
      </w:r>
      <w:r w:rsidR="00E6799D">
        <w:instrText xml:space="preserve"> SEQ Table \* ARABIC </w:instrText>
      </w:r>
      <w:r w:rsidR="00E6799D">
        <w:fldChar w:fldCharType="separate"/>
      </w:r>
      <w:r w:rsidR="00E6799D">
        <w:rPr>
          <w:noProof/>
        </w:rPr>
        <w:t>75</w:t>
      </w:r>
      <w:r w:rsidR="00E6799D">
        <w:rPr>
          <w:noProof/>
        </w:rPr>
        <w:fldChar w:fldCharType="end"/>
      </w:r>
      <w:r>
        <w:t xml:space="preserve">: </w:t>
      </w:r>
      <w:r w:rsidRPr="00333A2B">
        <w:t xml:space="preserve">Responses by </w:t>
      </w:r>
      <w:r>
        <w:t>remoteness</w:t>
      </w:r>
      <w:r w:rsidRPr="00333A2B">
        <w:t xml:space="preserve"> to Statement 8</w:t>
      </w:r>
      <w:bookmarkEnd w:id="248"/>
    </w:p>
    <w:tbl>
      <w:tblPr>
        <w:tblStyle w:val="KPMGTable"/>
        <w:tblW w:w="5000" w:type="pct"/>
        <w:tblLook w:val="04A0" w:firstRow="1" w:lastRow="0" w:firstColumn="1" w:lastColumn="0" w:noHBand="0" w:noVBand="1"/>
      </w:tblPr>
      <w:tblGrid>
        <w:gridCol w:w="1701"/>
        <w:gridCol w:w="1701"/>
        <w:gridCol w:w="1701"/>
        <w:gridCol w:w="1701"/>
        <w:gridCol w:w="1700"/>
        <w:gridCol w:w="1700"/>
      </w:tblGrid>
      <w:tr w:rsidR="00AD6F37" w:rsidRPr="00386CBC" w14:paraId="6C7EAA2A"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833" w:type="pct"/>
          </w:tcPr>
          <w:p w14:paraId="3276EEBE" w14:textId="77777777" w:rsidR="00417AD3" w:rsidRPr="007B154A" w:rsidRDefault="00417AD3" w:rsidP="0044482E">
            <w:pPr>
              <w:pStyle w:val="TableHeading"/>
              <w:rPr>
                <w:b w:val="0"/>
                <w:color w:val="FFFFFF" w:themeColor="background1"/>
                <w:szCs w:val="20"/>
              </w:rPr>
            </w:pPr>
            <w:r>
              <w:t>Response</w:t>
            </w:r>
          </w:p>
        </w:tc>
        <w:tc>
          <w:tcPr>
            <w:tcW w:w="833" w:type="pct"/>
          </w:tcPr>
          <w:p w14:paraId="17B1C545" w14:textId="77777777" w:rsidR="00417AD3" w:rsidRDefault="00417AD3" w:rsidP="0044482E">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disagree</w:t>
            </w:r>
          </w:p>
        </w:tc>
        <w:tc>
          <w:tcPr>
            <w:tcW w:w="833" w:type="pct"/>
          </w:tcPr>
          <w:p w14:paraId="19E99E2B" w14:textId="77777777" w:rsidR="00417AD3" w:rsidRDefault="00417AD3" w:rsidP="0044482E">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disagree</w:t>
            </w:r>
          </w:p>
        </w:tc>
        <w:tc>
          <w:tcPr>
            <w:tcW w:w="833" w:type="pct"/>
          </w:tcPr>
          <w:p w14:paraId="326590A5" w14:textId="77777777" w:rsidR="00417AD3" w:rsidRPr="00276F53" w:rsidRDefault="00417AD3" w:rsidP="0044482E">
            <w:pPr>
              <w:pStyle w:val="TableHeading"/>
              <w:cnfStyle w:val="100000000000" w:firstRow="1" w:lastRow="0" w:firstColumn="0" w:lastColumn="0" w:oddVBand="0" w:evenVBand="0" w:oddHBand="0" w:evenHBand="0" w:firstRowFirstColumn="0" w:firstRowLastColumn="0" w:lastRowFirstColumn="0" w:lastRowLastColumn="0"/>
              <w:rPr>
                <w:b w:val="0"/>
                <w:szCs w:val="20"/>
              </w:rPr>
            </w:pPr>
            <w:r w:rsidRPr="00276F53">
              <w:t xml:space="preserve">Neither agree </w:t>
            </w:r>
            <w:r w:rsidRPr="00276F53">
              <w:rPr>
                <w:b w:val="0"/>
                <w:szCs w:val="20"/>
              </w:rPr>
              <w:t>nor disagree</w:t>
            </w:r>
          </w:p>
        </w:tc>
        <w:tc>
          <w:tcPr>
            <w:tcW w:w="833" w:type="pct"/>
          </w:tcPr>
          <w:p w14:paraId="7D6AC62E" w14:textId="77777777" w:rsidR="00417AD3" w:rsidRDefault="00417AD3" w:rsidP="0044482E">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agree</w:t>
            </w:r>
          </w:p>
        </w:tc>
        <w:tc>
          <w:tcPr>
            <w:tcW w:w="833" w:type="pct"/>
          </w:tcPr>
          <w:p w14:paraId="0441D46A" w14:textId="77777777" w:rsidR="00417AD3" w:rsidRDefault="00417AD3" w:rsidP="0044482E">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agree</w:t>
            </w:r>
          </w:p>
        </w:tc>
      </w:tr>
      <w:tr w:rsidR="002E5B6F" w:rsidRPr="006D20D0" w14:paraId="11DE0049"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52530E49" w14:textId="77777777" w:rsidR="00417AD3" w:rsidRPr="00E90673" w:rsidRDefault="00417AD3" w:rsidP="0044482E">
            <w:pPr>
              <w:pStyle w:val="TableText"/>
            </w:pPr>
            <w:r>
              <w:t>Metropolitan area</w:t>
            </w:r>
          </w:p>
        </w:tc>
        <w:tc>
          <w:tcPr>
            <w:tcW w:w="833" w:type="pct"/>
          </w:tcPr>
          <w:p w14:paraId="5757D844" w14:textId="0F7A3F97"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 (</w:t>
            </w:r>
            <w:r w:rsidRPr="006645CF">
              <w:t>3.1%</w:t>
            </w:r>
            <w:r>
              <w:t>)</w:t>
            </w:r>
          </w:p>
        </w:tc>
        <w:tc>
          <w:tcPr>
            <w:tcW w:w="833" w:type="pct"/>
          </w:tcPr>
          <w:p w14:paraId="6010890F" w14:textId="214E45FB" w:rsidR="00417AD3" w:rsidRPr="006645CF" w:rsidRDefault="00700771" w:rsidP="0044482E">
            <w:pPr>
              <w:pStyle w:val="TableText"/>
              <w:cnfStyle w:val="000000000000" w:firstRow="0" w:lastRow="0" w:firstColumn="0" w:lastColumn="0" w:oddVBand="0" w:evenVBand="0" w:oddHBand="0" w:evenHBand="0" w:firstRowFirstColumn="0" w:firstRowLastColumn="0" w:lastRowFirstColumn="0" w:lastRowLastColumn="0"/>
            </w:pPr>
            <w:r>
              <w:t>0 (</w:t>
            </w:r>
            <w:r w:rsidR="00417AD3" w:rsidRPr="006645CF">
              <w:t>0.0%</w:t>
            </w:r>
            <w:r>
              <w:t>)</w:t>
            </w:r>
          </w:p>
        </w:tc>
        <w:tc>
          <w:tcPr>
            <w:tcW w:w="833" w:type="pct"/>
          </w:tcPr>
          <w:p w14:paraId="7566F4EA" w14:textId="3B4BEC5D"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2 (</w:t>
            </w:r>
            <w:r w:rsidRPr="006645CF">
              <w:t>6.</w:t>
            </w:r>
            <w:r w:rsidR="00700771">
              <w:t>3</w:t>
            </w:r>
            <w:r w:rsidRPr="006645CF">
              <w:t>%</w:t>
            </w:r>
            <w:r>
              <w:t>)</w:t>
            </w:r>
          </w:p>
        </w:tc>
        <w:tc>
          <w:tcPr>
            <w:tcW w:w="833" w:type="pct"/>
          </w:tcPr>
          <w:p w14:paraId="09CEA780" w14:textId="26E1ADED"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4 (</w:t>
            </w:r>
            <w:r w:rsidRPr="006645CF">
              <w:t>12.5%</w:t>
            </w:r>
            <w:r>
              <w:t>)</w:t>
            </w:r>
          </w:p>
        </w:tc>
        <w:tc>
          <w:tcPr>
            <w:tcW w:w="833" w:type="pct"/>
          </w:tcPr>
          <w:p w14:paraId="57FCA1F4" w14:textId="3D4109F6"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25 (</w:t>
            </w:r>
            <w:r w:rsidRPr="006645CF">
              <w:t>78.1%</w:t>
            </w:r>
            <w:r>
              <w:t>)</w:t>
            </w:r>
          </w:p>
        </w:tc>
      </w:tr>
      <w:tr w:rsidR="002E5B6F" w:rsidRPr="009C1931" w14:paraId="4957B50B"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0CBDA08D" w14:textId="77777777" w:rsidR="00417AD3" w:rsidRPr="006D20D0" w:rsidRDefault="00417AD3" w:rsidP="0044482E">
            <w:pPr>
              <w:pStyle w:val="TableText"/>
              <w:rPr>
                <w:szCs w:val="18"/>
              </w:rPr>
            </w:pPr>
            <w:r>
              <w:rPr>
                <w:szCs w:val="18"/>
              </w:rPr>
              <w:t>Regional centre</w:t>
            </w:r>
          </w:p>
        </w:tc>
        <w:tc>
          <w:tcPr>
            <w:tcW w:w="833" w:type="pct"/>
          </w:tcPr>
          <w:p w14:paraId="61C50541" w14:textId="5FE6330F"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5E678C1E" w14:textId="52DF645B"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2 (</w:t>
            </w:r>
            <w:r w:rsidRPr="006645CF">
              <w:t>10.5%</w:t>
            </w:r>
            <w:r>
              <w:t>)</w:t>
            </w:r>
          </w:p>
        </w:tc>
        <w:tc>
          <w:tcPr>
            <w:tcW w:w="833" w:type="pct"/>
          </w:tcPr>
          <w:p w14:paraId="45773E41" w14:textId="6AB77D74"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0A9C17E9" w14:textId="5AC1C6E3"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3 (</w:t>
            </w:r>
            <w:r w:rsidRPr="006645CF">
              <w:t>15.</w:t>
            </w:r>
            <w:r w:rsidR="00700771">
              <w:t>8</w:t>
            </w:r>
            <w:r w:rsidRPr="006645CF">
              <w:t>%</w:t>
            </w:r>
            <w:r>
              <w:t>)</w:t>
            </w:r>
          </w:p>
        </w:tc>
        <w:tc>
          <w:tcPr>
            <w:tcW w:w="833" w:type="pct"/>
          </w:tcPr>
          <w:p w14:paraId="214E0663" w14:textId="410B59E2"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14 (</w:t>
            </w:r>
            <w:r w:rsidRPr="006645CF">
              <w:t>73.</w:t>
            </w:r>
            <w:r w:rsidR="00700771">
              <w:t>7</w:t>
            </w:r>
            <w:r w:rsidRPr="006645CF">
              <w:t>%</w:t>
            </w:r>
            <w:r>
              <w:t>)</w:t>
            </w:r>
          </w:p>
        </w:tc>
      </w:tr>
      <w:tr w:rsidR="002E5B6F" w:rsidRPr="009C1931" w14:paraId="5F487B23"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44C93FDC" w14:textId="77777777" w:rsidR="00417AD3" w:rsidRDefault="00417AD3" w:rsidP="0044482E">
            <w:pPr>
              <w:pStyle w:val="TableText"/>
            </w:pPr>
            <w:r>
              <w:rPr>
                <w:szCs w:val="18"/>
              </w:rPr>
              <w:t>Rural area</w:t>
            </w:r>
          </w:p>
        </w:tc>
        <w:tc>
          <w:tcPr>
            <w:tcW w:w="833" w:type="pct"/>
          </w:tcPr>
          <w:p w14:paraId="77A3C518" w14:textId="1D41B0ED"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60CD1251" w14:textId="5F19DD69"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 (</w:t>
            </w:r>
            <w:r w:rsidRPr="006645CF">
              <w:t>11.1%</w:t>
            </w:r>
            <w:r>
              <w:t>)</w:t>
            </w:r>
          </w:p>
        </w:tc>
        <w:tc>
          <w:tcPr>
            <w:tcW w:w="833" w:type="pct"/>
          </w:tcPr>
          <w:p w14:paraId="36449D25" w14:textId="1C54CAE5"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 (</w:t>
            </w:r>
            <w:r w:rsidRPr="006645CF">
              <w:t>11.1%</w:t>
            </w:r>
            <w:r>
              <w:t>)</w:t>
            </w:r>
          </w:p>
        </w:tc>
        <w:tc>
          <w:tcPr>
            <w:tcW w:w="833" w:type="pct"/>
          </w:tcPr>
          <w:p w14:paraId="014D679E" w14:textId="56F7D3F2"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 (</w:t>
            </w:r>
            <w:r w:rsidRPr="006645CF">
              <w:t>11.1%</w:t>
            </w:r>
            <w:r>
              <w:t>)</w:t>
            </w:r>
          </w:p>
        </w:tc>
        <w:tc>
          <w:tcPr>
            <w:tcW w:w="833" w:type="pct"/>
          </w:tcPr>
          <w:p w14:paraId="118CBD57" w14:textId="1B3CFA7F"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6 (</w:t>
            </w:r>
            <w:r w:rsidRPr="006645CF">
              <w:t>66.</w:t>
            </w:r>
            <w:r w:rsidR="00700771">
              <w:t>7</w:t>
            </w:r>
            <w:r w:rsidRPr="006645CF">
              <w:t>%</w:t>
            </w:r>
            <w:r>
              <w:t>)</w:t>
            </w:r>
          </w:p>
        </w:tc>
      </w:tr>
      <w:tr w:rsidR="002E5B6F" w:rsidRPr="009C1931" w14:paraId="4C7BDF6C"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7AA8CC75" w14:textId="77777777" w:rsidR="00417AD3" w:rsidRPr="00E90673" w:rsidRDefault="00417AD3" w:rsidP="0044482E">
            <w:pPr>
              <w:pStyle w:val="TableText"/>
            </w:pPr>
            <w:r>
              <w:t>Remote community</w:t>
            </w:r>
          </w:p>
        </w:tc>
        <w:tc>
          <w:tcPr>
            <w:tcW w:w="833" w:type="pct"/>
          </w:tcPr>
          <w:p w14:paraId="38B8ABD3" w14:textId="7C2D2BD7"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1FA4994B" w14:textId="7E4FE3A0"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833" w:type="pct"/>
          </w:tcPr>
          <w:p w14:paraId="08998B58" w14:textId="7BF8816A"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 (</w:t>
            </w:r>
            <w:r w:rsidRPr="006645CF">
              <w:t>100.0%</w:t>
            </w:r>
            <w:r>
              <w:t>)</w:t>
            </w:r>
          </w:p>
        </w:tc>
        <w:tc>
          <w:tcPr>
            <w:tcW w:w="833" w:type="pct"/>
          </w:tcPr>
          <w:p w14:paraId="0583722F" w14:textId="79C5594A" w:rsidR="00417AD3" w:rsidRPr="006645CF" w:rsidRDefault="00700771" w:rsidP="0044482E">
            <w:pPr>
              <w:pStyle w:val="TableText"/>
              <w:cnfStyle w:val="000000000000" w:firstRow="0" w:lastRow="0" w:firstColumn="0" w:lastColumn="0" w:oddVBand="0" w:evenVBand="0" w:oddHBand="0" w:evenHBand="0" w:firstRowFirstColumn="0" w:firstRowLastColumn="0" w:lastRowFirstColumn="0" w:lastRowLastColumn="0"/>
            </w:pPr>
            <w:r>
              <w:t>0 (</w:t>
            </w:r>
            <w:r w:rsidR="00417AD3" w:rsidRPr="006645CF">
              <w:t>0.0%</w:t>
            </w:r>
            <w:r>
              <w:t>)</w:t>
            </w:r>
          </w:p>
        </w:tc>
        <w:tc>
          <w:tcPr>
            <w:tcW w:w="833" w:type="pct"/>
          </w:tcPr>
          <w:p w14:paraId="1EC025EE" w14:textId="0D628CA4"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r>
      <w:tr w:rsidR="002E5B6F" w:rsidRPr="009C1931" w14:paraId="3E6CD22D"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47370268" w14:textId="77777777" w:rsidR="00417AD3" w:rsidRPr="00C33FD2" w:rsidRDefault="00417AD3" w:rsidP="0044482E">
            <w:pPr>
              <w:pStyle w:val="Tabletextbold"/>
              <w:rPr>
                <w:rFonts w:eastAsiaTheme="minorEastAsia" w:cs="Arial"/>
                <w:b/>
                <w:bCs/>
                <w:szCs w:val="18"/>
              </w:rPr>
            </w:pPr>
            <w:r w:rsidRPr="00C33FD2">
              <w:rPr>
                <w:b/>
                <w:bCs/>
              </w:rPr>
              <w:t>Total</w:t>
            </w:r>
            <w:r w:rsidRPr="00C33FD2">
              <w:rPr>
                <w:rFonts w:eastAsiaTheme="minorEastAsia" w:cs="Arial"/>
                <w:b/>
                <w:bCs/>
                <w:szCs w:val="18"/>
              </w:rPr>
              <w:t>: 61 respondents</w:t>
            </w:r>
          </w:p>
        </w:tc>
        <w:tc>
          <w:tcPr>
            <w:tcW w:w="833" w:type="pct"/>
          </w:tcPr>
          <w:p w14:paraId="24643742" w14:textId="6BF7DCB3" w:rsidR="00417AD3" w:rsidRPr="006F5F45" w:rsidRDefault="00417AD3" w:rsidP="0044482E">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1 (1.6%)</w:t>
            </w:r>
          </w:p>
        </w:tc>
        <w:tc>
          <w:tcPr>
            <w:tcW w:w="833" w:type="pct"/>
          </w:tcPr>
          <w:p w14:paraId="33A8B2E6" w14:textId="59DC7333" w:rsidR="00417AD3" w:rsidRPr="006F5F45" w:rsidRDefault="00417AD3" w:rsidP="0044482E">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3 (4.9%)</w:t>
            </w:r>
          </w:p>
        </w:tc>
        <w:tc>
          <w:tcPr>
            <w:tcW w:w="833" w:type="pct"/>
          </w:tcPr>
          <w:p w14:paraId="69E3E5D0" w14:textId="0E9C8D34" w:rsidR="00417AD3" w:rsidRPr="006F5F45" w:rsidRDefault="00417AD3" w:rsidP="0044482E">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4 (6.</w:t>
            </w:r>
            <w:r w:rsidR="00700771" w:rsidRPr="006F5F45">
              <w:rPr>
                <w:szCs w:val="20"/>
              </w:rPr>
              <w:t>6</w:t>
            </w:r>
            <w:r w:rsidRPr="006F5F45">
              <w:rPr>
                <w:szCs w:val="20"/>
              </w:rPr>
              <w:t>%)</w:t>
            </w:r>
          </w:p>
        </w:tc>
        <w:tc>
          <w:tcPr>
            <w:tcW w:w="833" w:type="pct"/>
          </w:tcPr>
          <w:p w14:paraId="66F4489B" w14:textId="22FF753A" w:rsidR="00417AD3" w:rsidRPr="006F5F45" w:rsidRDefault="00417AD3" w:rsidP="0044482E">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8 (13.1%)</w:t>
            </w:r>
          </w:p>
        </w:tc>
        <w:tc>
          <w:tcPr>
            <w:tcW w:w="833" w:type="pct"/>
          </w:tcPr>
          <w:p w14:paraId="44925FAA" w14:textId="01439509" w:rsidR="00417AD3" w:rsidRPr="006F5F45" w:rsidRDefault="00417AD3" w:rsidP="0044482E">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45 (73.</w:t>
            </w:r>
            <w:r w:rsidR="00700771" w:rsidRPr="006F5F45">
              <w:rPr>
                <w:szCs w:val="20"/>
              </w:rPr>
              <w:t>8</w:t>
            </w:r>
            <w:r w:rsidRPr="006F5F45">
              <w:rPr>
                <w:szCs w:val="20"/>
              </w:rPr>
              <w:t>%)</w:t>
            </w:r>
          </w:p>
        </w:tc>
      </w:tr>
    </w:tbl>
    <w:p w14:paraId="720512A7" w14:textId="18F94648" w:rsidR="00BF4D99" w:rsidRDefault="00417AD3" w:rsidP="00C33FD2">
      <w:pPr>
        <w:pStyle w:val="Caption-Source"/>
        <w:rPr>
          <w:rFonts w:ascii="Arial" w:hAnsi="Arial" w:cs="Arial"/>
          <w:b/>
          <w:bCs/>
          <w:szCs w:val="20"/>
        </w:rPr>
      </w:pPr>
      <w:r w:rsidRPr="00032942">
        <w:t xml:space="preserve">Source: </w:t>
      </w:r>
      <w:r w:rsidR="00604AA5">
        <w:t>Independent reviewer</w:t>
      </w:r>
      <w:r w:rsidR="00584D02" w:rsidRPr="00C76D17">
        <w:t xml:space="preserve"> (</w:t>
      </w:r>
      <w:r w:rsidRPr="00C76D17">
        <w:t>2025</w:t>
      </w:r>
      <w:r w:rsidR="00584D02" w:rsidRPr="00C76D17">
        <w:t>)</w:t>
      </w:r>
    </w:p>
    <w:p w14:paraId="677E901C" w14:textId="1DE3370F" w:rsidR="0044482E" w:rsidRDefault="0044482E" w:rsidP="0044482E">
      <w:pPr>
        <w:pStyle w:val="Caption"/>
      </w:pPr>
      <w:bookmarkStart w:id="249" w:name="_Toc207348641"/>
      <w:r>
        <w:t xml:space="preserve">Table </w:t>
      </w:r>
      <w:r w:rsidR="00E6799D">
        <w:fldChar w:fldCharType="begin"/>
      </w:r>
      <w:r w:rsidR="00E6799D">
        <w:instrText xml:space="preserve"> SEQ Table \* ARABIC </w:instrText>
      </w:r>
      <w:r w:rsidR="00E6799D">
        <w:fldChar w:fldCharType="separate"/>
      </w:r>
      <w:r w:rsidR="00E6799D">
        <w:rPr>
          <w:noProof/>
        </w:rPr>
        <w:t>76</w:t>
      </w:r>
      <w:r w:rsidR="00E6799D">
        <w:rPr>
          <w:noProof/>
        </w:rPr>
        <w:fldChar w:fldCharType="end"/>
      </w:r>
      <w:r>
        <w:t xml:space="preserve">: </w:t>
      </w:r>
      <w:r w:rsidRPr="00F46CD0">
        <w:t xml:space="preserve">Responses by </w:t>
      </w:r>
      <w:r>
        <w:t>prosthesis type</w:t>
      </w:r>
      <w:r w:rsidRPr="00F46CD0">
        <w:t xml:space="preserve"> to Statement 8</w:t>
      </w:r>
      <w:bookmarkEnd w:id="249"/>
    </w:p>
    <w:tbl>
      <w:tblPr>
        <w:tblStyle w:val="KPMGTable"/>
        <w:tblW w:w="5000" w:type="pct"/>
        <w:tblLook w:val="04A0" w:firstRow="1" w:lastRow="0" w:firstColumn="1" w:lastColumn="0" w:noHBand="0" w:noVBand="1"/>
      </w:tblPr>
      <w:tblGrid>
        <w:gridCol w:w="1602"/>
        <w:gridCol w:w="1602"/>
        <w:gridCol w:w="1602"/>
        <w:gridCol w:w="1604"/>
        <w:gridCol w:w="1604"/>
        <w:gridCol w:w="2190"/>
      </w:tblGrid>
      <w:tr w:rsidR="00AD6F37" w:rsidRPr="00386CBC" w14:paraId="378255A5"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785" w:type="pct"/>
          </w:tcPr>
          <w:p w14:paraId="5F7978C6" w14:textId="77777777" w:rsidR="00417AD3" w:rsidRPr="007B154A" w:rsidRDefault="00417AD3" w:rsidP="0044482E">
            <w:pPr>
              <w:pStyle w:val="TableHeading"/>
              <w:rPr>
                <w:b w:val="0"/>
                <w:color w:val="FFFFFF" w:themeColor="background1"/>
                <w:szCs w:val="20"/>
              </w:rPr>
            </w:pPr>
            <w:r>
              <w:t>Response</w:t>
            </w:r>
          </w:p>
        </w:tc>
        <w:tc>
          <w:tcPr>
            <w:tcW w:w="785" w:type="pct"/>
          </w:tcPr>
          <w:p w14:paraId="521B2D94" w14:textId="77777777" w:rsidR="00417AD3" w:rsidRPr="008B4C8E" w:rsidRDefault="00417AD3" w:rsidP="0044482E">
            <w:pPr>
              <w:pStyle w:val="TableHeading"/>
              <w:cnfStyle w:val="100000000000" w:firstRow="1" w:lastRow="0" w:firstColumn="0" w:lastColumn="0" w:oddVBand="0" w:evenVBand="0" w:oddHBand="0" w:evenHBand="0" w:firstRowFirstColumn="0" w:firstRowLastColumn="0" w:lastRowFirstColumn="0" w:lastRowLastColumn="0"/>
              <w:rPr>
                <w:b w:val="0"/>
                <w:szCs w:val="20"/>
              </w:rPr>
            </w:pPr>
            <w:r w:rsidRPr="008B4C8E">
              <w:t xml:space="preserve">Strongly </w:t>
            </w:r>
            <w:r w:rsidRPr="008B4C8E">
              <w:rPr>
                <w:b w:val="0"/>
                <w:szCs w:val="20"/>
              </w:rPr>
              <w:t>disagree</w:t>
            </w:r>
          </w:p>
        </w:tc>
        <w:tc>
          <w:tcPr>
            <w:tcW w:w="785" w:type="pct"/>
          </w:tcPr>
          <w:p w14:paraId="77B064F3" w14:textId="77777777" w:rsidR="00417AD3" w:rsidRDefault="00417AD3" w:rsidP="0044482E">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disagree</w:t>
            </w:r>
          </w:p>
        </w:tc>
        <w:tc>
          <w:tcPr>
            <w:tcW w:w="786" w:type="pct"/>
          </w:tcPr>
          <w:p w14:paraId="451DA47B" w14:textId="77777777" w:rsidR="00417AD3" w:rsidRDefault="00417AD3" w:rsidP="0044482E">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Neither agree nor disagree</w:t>
            </w:r>
          </w:p>
        </w:tc>
        <w:tc>
          <w:tcPr>
            <w:tcW w:w="786" w:type="pct"/>
          </w:tcPr>
          <w:p w14:paraId="1D3BD33C" w14:textId="77777777" w:rsidR="00417AD3" w:rsidRDefault="00417AD3" w:rsidP="0044482E">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Somewhat agree</w:t>
            </w:r>
          </w:p>
        </w:tc>
        <w:tc>
          <w:tcPr>
            <w:tcW w:w="1073" w:type="pct"/>
          </w:tcPr>
          <w:p w14:paraId="1B236264" w14:textId="77777777" w:rsidR="00417AD3" w:rsidRDefault="00417AD3" w:rsidP="0044482E">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Strongly agree</w:t>
            </w:r>
          </w:p>
        </w:tc>
      </w:tr>
      <w:tr w:rsidR="00AE1E92" w:rsidRPr="006D20D0" w14:paraId="55138727"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785" w:type="pct"/>
          </w:tcPr>
          <w:p w14:paraId="1E1C6114" w14:textId="77777777" w:rsidR="00417AD3" w:rsidRPr="00E90673" w:rsidRDefault="00417AD3" w:rsidP="0044482E">
            <w:pPr>
              <w:pStyle w:val="TableText"/>
            </w:pPr>
            <w:r>
              <w:t>Facial prosthesis</w:t>
            </w:r>
          </w:p>
        </w:tc>
        <w:tc>
          <w:tcPr>
            <w:tcW w:w="785" w:type="pct"/>
          </w:tcPr>
          <w:p w14:paraId="41C4F057" w14:textId="57E77A3B" w:rsidR="00417AD3" w:rsidRPr="006645CF" w:rsidRDefault="00EC1D82" w:rsidP="0044482E">
            <w:pPr>
              <w:pStyle w:val="TableText"/>
              <w:cnfStyle w:val="000000000000" w:firstRow="0" w:lastRow="0" w:firstColumn="0" w:lastColumn="0" w:oddVBand="0" w:evenVBand="0" w:oddHBand="0" w:evenHBand="0" w:firstRowFirstColumn="0" w:firstRowLastColumn="0" w:lastRowFirstColumn="0" w:lastRowLastColumn="0"/>
            </w:pPr>
            <w:r>
              <w:t>2</w:t>
            </w:r>
            <w:r w:rsidR="00417AD3">
              <w:t xml:space="preserve"> (</w:t>
            </w:r>
            <w:r w:rsidR="00386437">
              <w:t>5.</w:t>
            </w:r>
            <w:r w:rsidR="00417AD3">
              <w:t>1</w:t>
            </w:r>
            <w:r w:rsidR="00417AD3" w:rsidRPr="006645CF">
              <w:t>%</w:t>
            </w:r>
            <w:r w:rsidR="00417AD3">
              <w:t>)</w:t>
            </w:r>
          </w:p>
        </w:tc>
        <w:tc>
          <w:tcPr>
            <w:tcW w:w="785" w:type="pct"/>
          </w:tcPr>
          <w:p w14:paraId="3B451CA9" w14:textId="2CC1BEEF"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786" w:type="pct"/>
          </w:tcPr>
          <w:p w14:paraId="65695E2D" w14:textId="7125BCD0"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 (</w:t>
            </w:r>
            <w:r w:rsidRPr="006645CF">
              <w:t>2</w:t>
            </w:r>
            <w:r w:rsidR="00386437">
              <w:t>.6</w:t>
            </w:r>
            <w:r w:rsidRPr="006645CF">
              <w:t>%</w:t>
            </w:r>
            <w:r>
              <w:t>)</w:t>
            </w:r>
          </w:p>
        </w:tc>
        <w:tc>
          <w:tcPr>
            <w:tcW w:w="786" w:type="pct"/>
          </w:tcPr>
          <w:p w14:paraId="164EDBF0" w14:textId="0D21E396"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sidRPr="006645CF">
              <w:t>3</w:t>
            </w:r>
            <w:r>
              <w:t xml:space="preserve"> (</w:t>
            </w:r>
            <w:r w:rsidR="00386437">
              <w:t>7.7</w:t>
            </w:r>
            <w:r w:rsidRPr="006645CF">
              <w:t>%</w:t>
            </w:r>
            <w:r>
              <w:t>)</w:t>
            </w:r>
          </w:p>
        </w:tc>
        <w:tc>
          <w:tcPr>
            <w:tcW w:w="1073" w:type="pct"/>
          </w:tcPr>
          <w:p w14:paraId="6A5835C4" w14:textId="4E1006BD" w:rsidR="00417AD3" w:rsidRPr="006645CF" w:rsidRDefault="00EC1D82" w:rsidP="0044482E">
            <w:pPr>
              <w:pStyle w:val="TableText"/>
              <w:cnfStyle w:val="000000000000" w:firstRow="0" w:lastRow="0" w:firstColumn="0" w:lastColumn="0" w:oddVBand="0" w:evenVBand="0" w:oddHBand="0" w:evenHBand="0" w:firstRowFirstColumn="0" w:firstRowLastColumn="0" w:lastRowFirstColumn="0" w:lastRowLastColumn="0"/>
            </w:pPr>
            <w:r>
              <w:t>33</w:t>
            </w:r>
            <w:r w:rsidR="00417AD3">
              <w:t xml:space="preserve"> (</w:t>
            </w:r>
            <w:proofErr w:type="gramStart"/>
            <w:r w:rsidR="00100064">
              <w:t>84.</w:t>
            </w:r>
            <w:r w:rsidR="00417AD3" w:rsidRPr="006645CF">
              <w:t>%</w:t>
            </w:r>
            <w:proofErr w:type="gramEnd"/>
            <w:r w:rsidR="00417AD3">
              <w:t>)</w:t>
            </w:r>
          </w:p>
        </w:tc>
      </w:tr>
      <w:tr w:rsidR="00AE1E92" w:rsidRPr="009C1931" w14:paraId="6F69CAD9"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785" w:type="pct"/>
          </w:tcPr>
          <w:p w14:paraId="6934D309" w14:textId="77777777" w:rsidR="00417AD3" w:rsidRPr="005C4C25" w:rsidRDefault="00417AD3" w:rsidP="0044482E">
            <w:pPr>
              <w:pStyle w:val="TableText"/>
            </w:pPr>
            <w:r w:rsidRPr="005C4C25">
              <w:t>An artificial breast worn in the bra</w:t>
            </w:r>
          </w:p>
        </w:tc>
        <w:tc>
          <w:tcPr>
            <w:tcW w:w="785" w:type="pct"/>
          </w:tcPr>
          <w:p w14:paraId="2A90E161" w14:textId="121CF593"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785" w:type="pct"/>
          </w:tcPr>
          <w:p w14:paraId="1323094D" w14:textId="1FC69A1D"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786" w:type="pct"/>
          </w:tcPr>
          <w:p w14:paraId="42289841" w14:textId="3ACC5F7E"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786" w:type="pct"/>
          </w:tcPr>
          <w:p w14:paraId="2A65C1D1" w14:textId="03277ED4"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1073" w:type="pct"/>
          </w:tcPr>
          <w:p w14:paraId="1CC93E5A" w14:textId="70B01DE4"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3 (</w:t>
            </w:r>
            <w:r w:rsidRPr="006645CF">
              <w:t>100.0%</w:t>
            </w:r>
            <w:r>
              <w:t>)</w:t>
            </w:r>
          </w:p>
        </w:tc>
      </w:tr>
      <w:tr w:rsidR="00AE1E92" w:rsidRPr="009C1931" w14:paraId="745CB513"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785" w:type="pct"/>
          </w:tcPr>
          <w:p w14:paraId="14D8B69C" w14:textId="77777777" w:rsidR="00417AD3" w:rsidRPr="005C4C25" w:rsidRDefault="00417AD3" w:rsidP="0044482E">
            <w:pPr>
              <w:pStyle w:val="TableText"/>
            </w:pPr>
            <w:r w:rsidRPr="005C4C25">
              <w:t>Voice prostheses</w:t>
            </w:r>
          </w:p>
        </w:tc>
        <w:tc>
          <w:tcPr>
            <w:tcW w:w="785" w:type="pct"/>
          </w:tcPr>
          <w:p w14:paraId="58E23538" w14:textId="0226B270"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785" w:type="pct"/>
          </w:tcPr>
          <w:p w14:paraId="7920882C" w14:textId="11C1B57F"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2 (</w:t>
            </w:r>
            <w:r w:rsidRPr="006645CF">
              <w:t>15.</w:t>
            </w:r>
            <w:r w:rsidR="00700771">
              <w:t>4</w:t>
            </w:r>
            <w:r w:rsidRPr="006645CF">
              <w:t>%</w:t>
            </w:r>
            <w:r>
              <w:t>)</w:t>
            </w:r>
          </w:p>
        </w:tc>
        <w:tc>
          <w:tcPr>
            <w:tcW w:w="786" w:type="pct"/>
          </w:tcPr>
          <w:p w14:paraId="7014F039" w14:textId="1809EA17"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786" w:type="pct"/>
          </w:tcPr>
          <w:p w14:paraId="6E50BECE" w14:textId="35FE1ECB"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4 (</w:t>
            </w:r>
            <w:r w:rsidRPr="006645CF">
              <w:t>30.</w:t>
            </w:r>
            <w:r w:rsidR="00700771">
              <w:t>8</w:t>
            </w:r>
            <w:r w:rsidRPr="006645CF">
              <w:t>%</w:t>
            </w:r>
            <w:r>
              <w:t>)</w:t>
            </w:r>
          </w:p>
        </w:tc>
        <w:tc>
          <w:tcPr>
            <w:tcW w:w="1073" w:type="pct"/>
          </w:tcPr>
          <w:p w14:paraId="2AB4C7AB" w14:textId="4B02D4C0"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7 (</w:t>
            </w:r>
            <w:r w:rsidRPr="006645CF">
              <w:t>53.</w:t>
            </w:r>
            <w:r w:rsidR="00700771">
              <w:t>9</w:t>
            </w:r>
            <w:r w:rsidRPr="006645CF">
              <w:t>%</w:t>
            </w:r>
            <w:r>
              <w:t>)</w:t>
            </w:r>
          </w:p>
        </w:tc>
      </w:tr>
      <w:tr w:rsidR="00AE1E92" w14:paraId="4F2591B3"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785" w:type="pct"/>
          </w:tcPr>
          <w:p w14:paraId="239B7E75" w14:textId="77777777" w:rsidR="00417AD3" w:rsidRPr="005C4C25" w:rsidRDefault="00417AD3" w:rsidP="0044482E">
            <w:pPr>
              <w:pStyle w:val="TableText"/>
            </w:pPr>
            <w:r w:rsidRPr="005C4C25">
              <w:t>Dental prostheses</w:t>
            </w:r>
          </w:p>
        </w:tc>
        <w:tc>
          <w:tcPr>
            <w:tcW w:w="785" w:type="pct"/>
          </w:tcPr>
          <w:p w14:paraId="1F4F1F5B" w14:textId="21981F1F"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785" w:type="pct"/>
          </w:tcPr>
          <w:p w14:paraId="39729929" w14:textId="4F5C8F6B"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 (</w:t>
            </w:r>
            <w:r w:rsidRPr="006645CF">
              <w:t>11.1%</w:t>
            </w:r>
            <w:r>
              <w:t>)</w:t>
            </w:r>
          </w:p>
        </w:tc>
        <w:tc>
          <w:tcPr>
            <w:tcW w:w="786" w:type="pct"/>
          </w:tcPr>
          <w:p w14:paraId="7C6A8F16" w14:textId="4F6638C4"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3 (</w:t>
            </w:r>
            <w:r w:rsidRPr="006645CF">
              <w:t>33.3%</w:t>
            </w:r>
            <w:r>
              <w:t>)</w:t>
            </w:r>
          </w:p>
        </w:tc>
        <w:tc>
          <w:tcPr>
            <w:tcW w:w="786" w:type="pct"/>
          </w:tcPr>
          <w:p w14:paraId="1F002CFD" w14:textId="70F01A6D"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2 (</w:t>
            </w:r>
            <w:r w:rsidRPr="006645CF">
              <w:t>22.2%</w:t>
            </w:r>
            <w:r>
              <w:t>)</w:t>
            </w:r>
          </w:p>
        </w:tc>
        <w:tc>
          <w:tcPr>
            <w:tcW w:w="1073" w:type="pct"/>
          </w:tcPr>
          <w:p w14:paraId="64CAB243" w14:textId="46A8B0DA"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3 (</w:t>
            </w:r>
            <w:r w:rsidRPr="006645CF">
              <w:t>33.3%</w:t>
            </w:r>
            <w:r>
              <w:t>)</w:t>
            </w:r>
          </w:p>
        </w:tc>
      </w:tr>
      <w:tr w:rsidR="00AE1E92" w14:paraId="2F1218C5"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785" w:type="pct"/>
          </w:tcPr>
          <w:p w14:paraId="6F53664D" w14:textId="77777777" w:rsidR="00417AD3" w:rsidRPr="005C4C25" w:rsidRDefault="00417AD3" w:rsidP="0044482E">
            <w:pPr>
              <w:pStyle w:val="TableText"/>
            </w:pPr>
            <w:r>
              <w:t>Fat grafting</w:t>
            </w:r>
          </w:p>
        </w:tc>
        <w:tc>
          <w:tcPr>
            <w:tcW w:w="785" w:type="pct"/>
          </w:tcPr>
          <w:p w14:paraId="6D8895DA" w14:textId="63EEB716"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785" w:type="pct"/>
          </w:tcPr>
          <w:p w14:paraId="2BE9AC08" w14:textId="2CF6E43F"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786" w:type="pct"/>
          </w:tcPr>
          <w:p w14:paraId="3E796EAC" w14:textId="1F9C8AD3"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786" w:type="pct"/>
          </w:tcPr>
          <w:p w14:paraId="53978610" w14:textId="4632A8C8"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rPr>
                <w:szCs w:val="18"/>
              </w:rPr>
              <w:t>0 (0.0%)</w:t>
            </w:r>
          </w:p>
        </w:tc>
        <w:tc>
          <w:tcPr>
            <w:tcW w:w="1073" w:type="pct"/>
          </w:tcPr>
          <w:p w14:paraId="76FEFBE3" w14:textId="509572A3" w:rsidR="00417AD3" w:rsidRPr="006645CF" w:rsidRDefault="00417AD3" w:rsidP="0044482E">
            <w:pPr>
              <w:pStyle w:val="TableText"/>
              <w:cnfStyle w:val="000000000000" w:firstRow="0" w:lastRow="0" w:firstColumn="0" w:lastColumn="0" w:oddVBand="0" w:evenVBand="0" w:oddHBand="0" w:evenHBand="0" w:firstRowFirstColumn="0" w:firstRowLastColumn="0" w:lastRowFirstColumn="0" w:lastRowLastColumn="0"/>
            </w:pPr>
            <w:r>
              <w:t>1 (</w:t>
            </w:r>
            <w:r w:rsidRPr="006645CF">
              <w:t>100.0%</w:t>
            </w:r>
            <w:r>
              <w:t>)</w:t>
            </w:r>
          </w:p>
        </w:tc>
      </w:tr>
      <w:tr w:rsidR="00AE1E92" w:rsidRPr="009C1931" w14:paraId="3B776A22" w14:textId="77777777" w:rsidTr="0044482E">
        <w:trPr>
          <w:trHeight w:val="71"/>
        </w:trPr>
        <w:tc>
          <w:tcPr>
            <w:cnfStyle w:val="001000000000" w:firstRow="0" w:lastRow="0" w:firstColumn="1" w:lastColumn="0" w:oddVBand="0" w:evenVBand="0" w:oddHBand="0" w:evenHBand="0" w:firstRowFirstColumn="0" w:firstRowLastColumn="0" w:lastRowFirstColumn="0" w:lastRowLastColumn="0"/>
            <w:tcW w:w="785" w:type="pct"/>
          </w:tcPr>
          <w:p w14:paraId="644D0738" w14:textId="77777777" w:rsidR="00417AD3" w:rsidRPr="00C33FD2" w:rsidRDefault="00417AD3" w:rsidP="0044482E">
            <w:pPr>
              <w:pStyle w:val="Tabletextbold"/>
              <w:rPr>
                <w:rFonts w:eastAsiaTheme="minorEastAsia" w:cs="Arial"/>
                <w:b/>
                <w:bCs/>
                <w:szCs w:val="18"/>
              </w:rPr>
            </w:pPr>
            <w:r w:rsidRPr="00C33FD2">
              <w:rPr>
                <w:b/>
                <w:bCs/>
              </w:rPr>
              <w:t>Total</w:t>
            </w:r>
            <w:r w:rsidRPr="00C33FD2">
              <w:rPr>
                <w:rFonts w:eastAsiaTheme="minorEastAsia" w:cs="Arial"/>
                <w:b/>
                <w:bCs/>
                <w:szCs w:val="18"/>
              </w:rPr>
              <w:t>: 65 respondents</w:t>
            </w:r>
          </w:p>
        </w:tc>
        <w:tc>
          <w:tcPr>
            <w:tcW w:w="785" w:type="pct"/>
          </w:tcPr>
          <w:p w14:paraId="7A1ADE62" w14:textId="5E8844BC" w:rsidR="00417AD3" w:rsidRPr="006F5F45" w:rsidRDefault="00417AD3" w:rsidP="0044482E">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2 (3.</w:t>
            </w:r>
            <w:r w:rsidR="00700771" w:rsidRPr="006F5F45">
              <w:rPr>
                <w:szCs w:val="20"/>
              </w:rPr>
              <w:t>1</w:t>
            </w:r>
            <w:r w:rsidRPr="006F5F45">
              <w:rPr>
                <w:szCs w:val="20"/>
              </w:rPr>
              <w:t>%)</w:t>
            </w:r>
          </w:p>
        </w:tc>
        <w:tc>
          <w:tcPr>
            <w:tcW w:w="785" w:type="pct"/>
          </w:tcPr>
          <w:p w14:paraId="73D25D25" w14:textId="169F1FB4" w:rsidR="00417AD3" w:rsidRPr="006F5F45" w:rsidRDefault="00417AD3" w:rsidP="0044482E">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3 (4.6%)</w:t>
            </w:r>
          </w:p>
        </w:tc>
        <w:tc>
          <w:tcPr>
            <w:tcW w:w="786" w:type="pct"/>
          </w:tcPr>
          <w:p w14:paraId="684C44E8" w14:textId="43DFA7FC" w:rsidR="00417AD3" w:rsidRPr="006F5F45" w:rsidRDefault="00417AD3" w:rsidP="0044482E">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4 (6.</w:t>
            </w:r>
            <w:r w:rsidR="00700771" w:rsidRPr="006F5F45">
              <w:rPr>
                <w:szCs w:val="20"/>
              </w:rPr>
              <w:t>2</w:t>
            </w:r>
            <w:r w:rsidRPr="006F5F45">
              <w:rPr>
                <w:szCs w:val="20"/>
              </w:rPr>
              <w:t>%)</w:t>
            </w:r>
          </w:p>
        </w:tc>
        <w:tc>
          <w:tcPr>
            <w:tcW w:w="786" w:type="pct"/>
          </w:tcPr>
          <w:p w14:paraId="50FC6AD9" w14:textId="4417008D" w:rsidR="00417AD3" w:rsidRPr="006F5F45" w:rsidRDefault="00417AD3" w:rsidP="0044482E">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9 (13.</w:t>
            </w:r>
            <w:r w:rsidR="00700771" w:rsidRPr="006F5F45">
              <w:rPr>
                <w:szCs w:val="20"/>
              </w:rPr>
              <w:t>9</w:t>
            </w:r>
            <w:r w:rsidRPr="006F5F45">
              <w:rPr>
                <w:szCs w:val="20"/>
              </w:rPr>
              <w:t>%)</w:t>
            </w:r>
          </w:p>
        </w:tc>
        <w:tc>
          <w:tcPr>
            <w:tcW w:w="1073" w:type="pct"/>
          </w:tcPr>
          <w:p w14:paraId="7E9BD641" w14:textId="105BB015" w:rsidR="00417AD3" w:rsidRPr="006F5F45" w:rsidRDefault="00417AD3" w:rsidP="0044482E">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6F5F45">
              <w:t xml:space="preserve">47 </w:t>
            </w:r>
            <w:r w:rsidRPr="006F5F45">
              <w:rPr>
                <w:szCs w:val="20"/>
              </w:rPr>
              <w:t>(72.3%)</w:t>
            </w:r>
          </w:p>
        </w:tc>
      </w:tr>
    </w:tbl>
    <w:p w14:paraId="251E8E72" w14:textId="77777777" w:rsidR="00C76D17" w:rsidRPr="00C76D17" w:rsidRDefault="00417AD3" w:rsidP="00C76D17">
      <w:pPr>
        <w:pStyle w:val="Caption-Source"/>
      </w:pPr>
      <w:r w:rsidRPr="00C76D17">
        <w:t xml:space="preserve">Source: </w:t>
      </w:r>
      <w:r w:rsidR="00604AA5" w:rsidRPr="00C76D17">
        <w:t>Independent reviewer</w:t>
      </w:r>
      <w:r w:rsidR="00584D02" w:rsidRPr="00C76D17">
        <w:t xml:space="preserve"> (</w:t>
      </w:r>
      <w:r w:rsidRPr="00C76D17">
        <w:t>2025</w:t>
      </w:r>
      <w:r w:rsidR="00584D02" w:rsidRPr="00C76D17">
        <w:t>)</w:t>
      </w:r>
    </w:p>
    <w:p w14:paraId="6F2F7131" w14:textId="72D9B5C0" w:rsidR="00C33FD2" w:rsidRPr="00C76D17" w:rsidRDefault="00C33FD2" w:rsidP="00A10684">
      <w:r w:rsidRPr="00C76D17">
        <w:br w:type="page"/>
      </w:r>
    </w:p>
    <w:p w14:paraId="156D68DF" w14:textId="77777777" w:rsidR="00417AD3" w:rsidRPr="0042443F" w:rsidRDefault="00417AD3" w:rsidP="0000013E">
      <w:pPr>
        <w:pStyle w:val="ListNumber"/>
        <w:rPr>
          <w:rStyle w:val="Strong"/>
        </w:rPr>
      </w:pPr>
      <w:r w:rsidRPr="0042443F">
        <w:rPr>
          <w:rStyle w:val="Strong"/>
        </w:rPr>
        <w:t xml:space="preserve">Did you have to pay an out-of-pocket fee for your prosthesis (or the prosthesis used by the person you care for)?  [single answer, mandatory] </w:t>
      </w:r>
    </w:p>
    <w:p w14:paraId="215D0031" w14:textId="76A468C1" w:rsidR="00417AD3" w:rsidRDefault="00417AD3" w:rsidP="00E32BDE">
      <w:pPr>
        <w:pStyle w:val="Bullet1stlevel"/>
      </w:pPr>
      <w:r>
        <w:t>Yes</w:t>
      </w:r>
    </w:p>
    <w:p w14:paraId="07DD0EBA" w14:textId="77777777" w:rsidR="00417AD3" w:rsidRDefault="00417AD3" w:rsidP="00E32BDE">
      <w:pPr>
        <w:pStyle w:val="Bullet1stlevel"/>
      </w:pPr>
      <w:r>
        <w:t>No</w:t>
      </w:r>
    </w:p>
    <w:p w14:paraId="6907009B" w14:textId="46D25D06" w:rsidR="00417AD3" w:rsidRPr="00DD71E7" w:rsidRDefault="00417AD3" w:rsidP="00DD71E7">
      <w:r w:rsidRPr="00DD71E7">
        <w:t xml:space="preserve">If ‘Yes’ is selected for Q7, Q8 will appear. If ‘No’ is selected for Q7, proceed directly to Q9.  </w:t>
      </w:r>
    </w:p>
    <w:p w14:paraId="1DE98B14" w14:textId="5338A433" w:rsidR="00E32BDE" w:rsidRDefault="00E32BDE" w:rsidP="00E32BDE">
      <w:pPr>
        <w:pStyle w:val="Caption"/>
      </w:pPr>
      <w:bookmarkStart w:id="250" w:name="_Toc207348642"/>
      <w:r>
        <w:t xml:space="preserve">Table </w:t>
      </w:r>
      <w:r w:rsidR="00E6799D">
        <w:fldChar w:fldCharType="begin"/>
      </w:r>
      <w:r w:rsidR="00E6799D">
        <w:instrText xml:space="preserve"> SEQ Table \* ARABIC </w:instrText>
      </w:r>
      <w:r w:rsidR="00E6799D">
        <w:fldChar w:fldCharType="separate"/>
      </w:r>
      <w:r w:rsidR="00E6799D">
        <w:rPr>
          <w:noProof/>
        </w:rPr>
        <w:t>77</w:t>
      </w:r>
      <w:r w:rsidR="00E6799D">
        <w:rPr>
          <w:noProof/>
        </w:rPr>
        <w:fldChar w:fldCharType="end"/>
      </w:r>
      <w:r>
        <w:t xml:space="preserve">:Responses </w:t>
      </w:r>
      <w:r w:rsidR="00D11393">
        <w:t xml:space="preserve">to Question 7 </w:t>
      </w:r>
      <w:r>
        <w:t>by jurisdiction</w:t>
      </w:r>
      <w:bookmarkEnd w:id="250"/>
    </w:p>
    <w:tbl>
      <w:tblPr>
        <w:tblStyle w:val="KPMGTable"/>
        <w:tblW w:w="5000" w:type="pct"/>
        <w:tblLook w:val="04A0" w:firstRow="1" w:lastRow="0" w:firstColumn="1" w:lastColumn="0" w:noHBand="0" w:noVBand="1"/>
      </w:tblPr>
      <w:tblGrid>
        <w:gridCol w:w="2040"/>
        <w:gridCol w:w="2041"/>
        <w:gridCol w:w="2041"/>
        <w:gridCol w:w="2041"/>
        <w:gridCol w:w="2041"/>
      </w:tblGrid>
      <w:tr w:rsidR="00AD6F37" w:rsidRPr="00501302" w14:paraId="529C6E32"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1000" w:type="pct"/>
          </w:tcPr>
          <w:p w14:paraId="46F30EC7" w14:textId="6696D3FA" w:rsidR="00417AD3" w:rsidRDefault="0030751A" w:rsidP="00D11393">
            <w:pPr>
              <w:pStyle w:val="TableHeading"/>
            </w:pPr>
            <w:r>
              <w:t>Response</w:t>
            </w:r>
          </w:p>
        </w:tc>
        <w:tc>
          <w:tcPr>
            <w:tcW w:w="1000" w:type="pct"/>
          </w:tcPr>
          <w:p w14:paraId="758ABC36" w14:textId="27C98ECC" w:rsidR="00417AD3" w:rsidRDefault="00417AD3" w:rsidP="00D11393">
            <w:pPr>
              <w:pStyle w:val="TableHeading"/>
              <w:cnfStyle w:val="100000000000" w:firstRow="1" w:lastRow="0" w:firstColumn="0" w:lastColumn="0" w:oddVBand="0" w:evenVBand="0" w:oddHBand="0" w:evenHBand="0" w:firstRowFirstColumn="0" w:firstRowLastColumn="0" w:lastRowFirstColumn="0" w:lastRowLastColumn="0"/>
            </w:pPr>
            <w:r>
              <w:t xml:space="preserve">Number of </w:t>
            </w:r>
            <w:r w:rsidR="0030751A">
              <w:t xml:space="preserve">“yes” </w:t>
            </w:r>
            <w:r>
              <w:t>respondents</w:t>
            </w:r>
            <w:r w:rsidR="0030751A">
              <w:t xml:space="preserve"> t</w:t>
            </w:r>
          </w:p>
        </w:tc>
        <w:tc>
          <w:tcPr>
            <w:tcW w:w="1000" w:type="pct"/>
          </w:tcPr>
          <w:p w14:paraId="66634E3D" w14:textId="187BD3A4" w:rsidR="00417AD3" w:rsidRDefault="00417AD3" w:rsidP="00D11393">
            <w:pPr>
              <w:pStyle w:val="TableHeading"/>
              <w:cnfStyle w:val="100000000000" w:firstRow="1" w:lastRow="0" w:firstColumn="0" w:lastColumn="0" w:oddVBand="0" w:evenVBand="0" w:oddHBand="0" w:evenHBand="0" w:firstRowFirstColumn="0" w:firstRowLastColumn="0" w:lastRowFirstColumn="0" w:lastRowLastColumn="0"/>
            </w:pPr>
            <w:r>
              <w:t xml:space="preserve">Proportion of </w:t>
            </w:r>
            <w:r w:rsidR="0030751A">
              <w:t xml:space="preserve">“yes” </w:t>
            </w:r>
            <w:r>
              <w:t>respondents</w:t>
            </w:r>
          </w:p>
        </w:tc>
        <w:tc>
          <w:tcPr>
            <w:tcW w:w="1000" w:type="pct"/>
          </w:tcPr>
          <w:p w14:paraId="0ABD6649" w14:textId="2FB73456" w:rsidR="00417AD3" w:rsidRDefault="00417AD3" w:rsidP="00D11393">
            <w:pPr>
              <w:pStyle w:val="TableHeading"/>
              <w:cnfStyle w:val="100000000000" w:firstRow="1" w:lastRow="0" w:firstColumn="0" w:lastColumn="0" w:oddVBand="0" w:evenVBand="0" w:oddHBand="0" w:evenHBand="0" w:firstRowFirstColumn="0" w:firstRowLastColumn="0" w:lastRowFirstColumn="0" w:lastRowLastColumn="0"/>
            </w:pPr>
            <w:r>
              <w:t xml:space="preserve">Number of </w:t>
            </w:r>
            <w:r w:rsidR="0030751A">
              <w:t xml:space="preserve">“No” </w:t>
            </w:r>
            <w:r>
              <w:t>respondents</w:t>
            </w:r>
          </w:p>
        </w:tc>
        <w:tc>
          <w:tcPr>
            <w:tcW w:w="1000" w:type="pct"/>
          </w:tcPr>
          <w:p w14:paraId="1F09B61E" w14:textId="41A9F20A" w:rsidR="00417AD3" w:rsidRDefault="00417AD3" w:rsidP="00D11393">
            <w:pPr>
              <w:pStyle w:val="TableHeading"/>
              <w:cnfStyle w:val="100000000000" w:firstRow="1" w:lastRow="0" w:firstColumn="0" w:lastColumn="0" w:oddVBand="0" w:evenVBand="0" w:oddHBand="0" w:evenHBand="0" w:firstRowFirstColumn="0" w:firstRowLastColumn="0" w:lastRowFirstColumn="0" w:lastRowLastColumn="0"/>
            </w:pPr>
            <w:r>
              <w:t xml:space="preserve">Proportion of </w:t>
            </w:r>
            <w:r w:rsidR="00D11393">
              <w:t xml:space="preserve">“No” </w:t>
            </w:r>
            <w:r>
              <w:t>respondents</w:t>
            </w:r>
          </w:p>
        </w:tc>
      </w:tr>
      <w:tr w:rsidR="002E5B6F" w:rsidRPr="00DE530D" w14:paraId="5A8A7EF7"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563C5113" w14:textId="77777777" w:rsidR="00417AD3" w:rsidRPr="00E90673" w:rsidRDefault="00417AD3" w:rsidP="00D11393">
            <w:pPr>
              <w:pStyle w:val="TableText"/>
            </w:pPr>
            <w:r>
              <w:t>New South Wales</w:t>
            </w:r>
          </w:p>
        </w:tc>
        <w:tc>
          <w:tcPr>
            <w:tcW w:w="1000" w:type="pct"/>
          </w:tcPr>
          <w:p w14:paraId="62FF28BB" w14:textId="77777777" w:rsidR="00417AD3" w:rsidRPr="006645CF" w:rsidRDefault="00417AD3"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6645CF">
              <w:rPr>
                <w:szCs w:val="18"/>
              </w:rPr>
              <w:t>19</w:t>
            </w:r>
          </w:p>
        </w:tc>
        <w:tc>
          <w:tcPr>
            <w:tcW w:w="1000" w:type="pct"/>
          </w:tcPr>
          <w:p w14:paraId="71CA7E2C" w14:textId="287ED971" w:rsidR="00417AD3" w:rsidRPr="006645CF" w:rsidRDefault="00417AD3"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6645CF">
              <w:rPr>
                <w:szCs w:val="18"/>
              </w:rPr>
              <w:t>52.8%</w:t>
            </w:r>
          </w:p>
        </w:tc>
        <w:tc>
          <w:tcPr>
            <w:tcW w:w="1000" w:type="pct"/>
          </w:tcPr>
          <w:p w14:paraId="005761F0" w14:textId="77777777" w:rsidR="00417AD3" w:rsidRPr="006645CF" w:rsidRDefault="00417AD3"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6645CF">
              <w:rPr>
                <w:szCs w:val="18"/>
              </w:rPr>
              <w:t>17</w:t>
            </w:r>
          </w:p>
        </w:tc>
        <w:tc>
          <w:tcPr>
            <w:tcW w:w="1000" w:type="pct"/>
          </w:tcPr>
          <w:p w14:paraId="3354E2B8" w14:textId="6D6B0CF7" w:rsidR="00417AD3" w:rsidRPr="006645CF" w:rsidRDefault="00417AD3"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6645CF">
              <w:rPr>
                <w:szCs w:val="18"/>
              </w:rPr>
              <w:t>47.2%</w:t>
            </w:r>
          </w:p>
        </w:tc>
      </w:tr>
      <w:tr w:rsidR="002E5B6F" w:rsidRPr="00DE530D" w14:paraId="450C3D77"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0E35B4F5" w14:textId="77777777" w:rsidR="00417AD3" w:rsidRPr="006D20D0" w:rsidRDefault="00417AD3" w:rsidP="00D11393">
            <w:pPr>
              <w:pStyle w:val="TableText"/>
              <w:rPr>
                <w:szCs w:val="18"/>
              </w:rPr>
            </w:pPr>
            <w:r>
              <w:rPr>
                <w:szCs w:val="18"/>
              </w:rPr>
              <w:t>Victoria</w:t>
            </w:r>
          </w:p>
        </w:tc>
        <w:tc>
          <w:tcPr>
            <w:tcW w:w="1000" w:type="pct"/>
          </w:tcPr>
          <w:p w14:paraId="3D6BCBB5" w14:textId="77777777" w:rsidR="00417AD3" w:rsidRPr="006645CF" w:rsidRDefault="00417AD3"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6645CF">
              <w:rPr>
                <w:szCs w:val="18"/>
              </w:rPr>
              <w:t>2</w:t>
            </w:r>
          </w:p>
        </w:tc>
        <w:tc>
          <w:tcPr>
            <w:tcW w:w="1000" w:type="pct"/>
          </w:tcPr>
          <w:p w14:paraId="6B72BB23" w14:textId="2568864A" w:rsidR="00417AD3" w:rsidRPr="006645CF" w:rsidRDefault="00417AD3"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6645CF">
              <w:rPr>
                <w:szCs w:val="18"/>
              </w:rPr>
              <w:t>33.3%</w:t>
            </w:r>
          </w:p>
        </w:tc>
        <w:tc>
          <w:tcPr>
            <w:tcW w:w="1000" w:type="pct"/>
          </w:tcPr>
          <w:p w14:paraId="2B822C7F" w14:textId="77777777" w:rsidR="00417AD3" w:rsidRPr="006645CF" w:rsidRDefault="00417AD3"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6645CF">
              <w:rPr>
                <w:szCs w:val="18"/>
              </w:rPr>
              <w:t>4</w:t>
            </w:r>
          </w:p>
        </w:tc>
        <w:tc>
          <w:tcPr>
            <w:tcW w:w="1000" w:type="pct"/>
          </w:tcPr>
          <w:p w14:paraId="3BF1C480" w14:textId="7AAED560" w:rsidR="00417AD3" w:rsidRPr="006645CF" w:rsidRDefault="00417AD3"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6645CF">
              <w:rPr>
                <w:szCs w:val="18"/>
              </w:rPr>
              <w:t>66.7%</w:t>
            </w:r>
          </w:p>
        </w:tc>
      </w:tr>
      <w:tr w:rsidR="002E5B6F" w:rsidRPr="00DE530D" w14:paraId="268B2855"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019EC557" w14:textId="77777777" w:rsidR="00417AD3" w:rsidRPr="00E90673" w:rsidRDefault="00417AD3" w:rsidP="00D11393">
            <w:pPr>
              <w:pStyle w:val="TableText"/>
            </w:pPr>
            <w:r>
              <w:t>Queensland</w:t>
            </w:r>
          </w:p>
        </w:tc>
        <w:tc>
          <w:tcPr>
            <w:tcW w:w="1000" w:type="pct"/>
          </w:tcPr>
          <w:p w14:paraId="43055C8B" w14:textId="77777777" w:rsidR="00417AD3" w:rsidRPr="006645CF" w:rsidRDefault="00417AD3"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6645CF">
              <w:rPr>
                <w:szCs w:val="18"/>
              </w:rPr>
              <w:t>9</w:t>
            </w:r>
          </w:p>
        </w:tc>
        <w:tc>
          <w:tcPr>
            <w:tcW w:w="1000" w:type="pct"/>
          </w:tcPr>
          <w:p w14:paraId="3FBC1458" w14:textId="1097C12F" w:rsidR="00417AD3" w:rsidRPr="006645CF" w:rsidRDefault="00417AD3"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6645CF">
              <w:rPr>
                <w:szCs w:val="18"/>
              </w:rPr>
              <w:t>64.</w:t>
            </w:r>
            <w:r w:rsidR="00700771">
              <w:rPr>
                <w:szCs w:val="18"/>
              </w:rPr>
              <w:t>3</w:t>
            </w:r>
            <w:r w:rsidRPr="006645CF">
              <w:rPr>
                <w:szCs w:val="18"/>
              </w:rPr>
              <w:t>%</w:t>
            </w:r>
          </w:p>
        </w:tc>
        <w:tc>
          <w:tcPr>
            <w:tcW w:w="1000" w:type="pct"/>
          </w:tcPr>
          <w:p w14:paraId="2D653CBA" w14:textId="77777777" w:rsidR="00417AD3" w:rsidRPr="006645CF" w:rsidRDefault="00417AD3"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6645CF">
              <w:rPr>
                <w:szCs w:val="18"/>
              </w:rPr>
              <w:t>5</w:t>
            </w:r>
          </w:p>
        </w:tc>
        <w:tc>
          <w:tcPr>
            <w:tcW w:w="1000" w:type="pct"/>
          </w:tcPr>
          <w:p w14:paraId="1FD76D5C" w14:textId="203CCA39" w:rsidR="00417AD3" w:rsidRPr="006645CF" w:rsidRDefault="00417AD3"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6645CF">
              <w:rPr>
                <w:szCs w:val="18"/>
              </w:rPr>
              <w:t>35.7%</w:t>
            </w:r>
          </w:p>
        </w:tc>
      </w:tr>
      <w:tr w:rsidR="002E5B6F" w:rsidRPr="00DE530D" w14:paraId="5FA1B1B4"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43970A6A" w14:textId="77777777" w:rsidR="00417AD3" w:rsidRPr="006D20D0" w:rsidRDefault="00417AD3" w:rsidP="00D11393">
            <w:pPr>
              <w:pStyle w:val="TableText"/>
              <w:rPr>
                <w:szCs w:val="18"/>
              </w:rPr>
            </w:pPr>
            <w:r>
              <w:rPr>
                <w:szCs w:val="18"/>
              </w:rPr>
              <w:t xml:space="preserve">South Australia </w:t>
            </w:r>
          </w:p>
        </w:tc>
        <w:tc>
          <w:tcPr>
            <w:tcW w:w="1000" w:type="pct"/>
          </w:tcPr>
          <w:p w14:paraId="14774D91" w14:textId="77777777" w:rsidR="00417AD3" w:rsidRPr="006645CF" w:rsidRDefault="00417AD3"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6645CF">
              <w:rPr>
                <w:szCs w:val="18"/>
              </w:rPr>
              <w:t>2</w:t>
            </w:r>
          </w:p>
        </w:tc>
        <w:tc>
          <w:tcPr>
            <w:tcW w:w="1000" w:type="pct"/>
          </w:tcPr>
          <w:p w14:paraId="3FE76AF9" w14:textId="28DAF09C" w:rsidR="00417AD3" w:rsidRPr="006645CF" w:rsidRDefault="00417AD3"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6645CF">
              <w:rPr>
                <w:szCs w:val="18"/>
              </w:rPr>
              <w:t>50.0%</w:t>
            </w:r>
          </w:p>
        </w:tc>
        <w:tc>
          <w:tcPr>
            <w:tcW w:w="1000" w:type="pct"/>
          </w:tcPr>
          <w:p w14:paraId="2BFFAE3F" w14:textId="77777777" w:rsidR="00417AD3" w:rsidRPr="006645CF" w:rsidRDefault="00417AD3"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6645CF">
              <w:rPr>
                <w:szCs w:val="18"/>
              </w:rPr>
              <w:t>2</w:t>
            </w:r>
          </w:p>
        </w:tc>
        <w:tc>
          <w:tcPr>
            <w:tcW w:w="1000" w:type="pct"/>
          </w:tcPr>
          <w:p w14:paraId="0ACC6DEC" w14:textId="5726BA68" w:rsidR="00417AD3" w:rsidRPr="006645CF" w:rsidRDefault="00417AD3"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6645CF">
              <w:rPr>
                <w:szCs w:val="18"/>
              </w:rPr>
              <w:t>50.0%</w:t>
            </w:r>
          </w:p>
        </w:tc>
      </w:tr>
      <w:tr w:rsidR="002E5B6F" w:rsidRPr="00DE530D" w14:paraId="671196F6"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592B1E5B" w14:textId="77777777" w:rsidR="00417AD3" w:rsidRDefault="00417AD3" w:rsidP="00D11393">
            <w:pPr>
              <w:pStyle w:val="TableText"/>
              <w:rPr>
                <w:szCs w:val="18"/>
              </w:rPr>
            </w:pPr>
            <w:r>
              <w:rPr>
                <w:szCs w:val="18"/>
              </w:rPr>
              <w:t>Tasmania</w:t>
            </w:r>
          </w:p>
        </w:tc>
        <w:tc>
          <w:tcPr>
            <w:tcW w:w="1000" w:type="pct"/>
          </w:tcPr>
          <w:p w14:paraId="66386C56" w14:textId="77777777" w:rsidR="00417AD3" w:rsidRPr="006645CF" w:rsidRDefault="00417AD3"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6645CF">
              <w:rPr>
                <w:szCs w:val="18"/>
              </w:rPr>
              <w:t>1</w:t>
            </w:r>
          </w:p>
        </w:tc>
        <w:tc>
          <w:tcPr>
            <w:tcW w:w="1000" w:type="pct"/>
          </w:tcPr>
          <w:p w14:paraId="1DA112EF" w14:textId="724D548E" w:rsidR="00417AD3" w:rsidRPr="006645CF" w:rsidRDefault="00417AD3"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6645CF">
              <w:rPr>
                <w:szCs w:val="18"/>
              </w:rPr>
              <w:t>100.0%</w:t>
            </w:r>
          </w:p>
        </w:tc>
        <w:tc>
          <w:tcPr>
            <w:tcW w:w="1000" w:type="pct"/>
          </w:tcPr>
          <w:p w14:paraId="47601FAF" w14:textId="77777777" w:rsidR="00417AD3" w:rsidRPr="006645CF" w:rsidRDefault="00417AD3"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w:t>
            </w:r>
          </w:p>
        </w:tc>
        <w:tc>
          <w:tcPr>
            <w:tcW w:w="1000" w:type="pct"/>
          </w:tcPr>
          <w:p w14:paraId="4DAC53A4" w14:textId="03CA0F7C" w:rsidR="00417AD3" w:rsidRPr="006645CF" w:rsidRDefault="00417AD3"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6645CF">
              <w:rPr>
                <w:szCs w:val="18"/>
              </w:rPr>
              <w:t>0.0%</w:t>
            </w:r>
          </w:p>
        </w:tc>
      </w:tr>
      <w:tr w:rsidR="002E5B6F" w:rsidRPr="00501302" w14:paraId="3D79FBF2"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28D95A26" w14:textId="77777777" w:rsidR="00417AD3" w:rsidRPr="00C33FD2" w:rsidRDefault="00417AD3" w:rsidP="00D11393">
            <w:pPr>
              <w:pStyle w:val="Tabletextbold"/>
              <w:rPr>
                <w:b/>
                <w:bCs/>
              </w:rPr>
            </w:pPr>
            <w:r w:rsidRPr="00C33FD2">
              <w:rPr>
                <w:b/>
                <w:bCs/>
              </w:rPr>
              <w:t>Total: 61 respondents</w:t>
            </w:r>
          </w:p>
        </w:tc>
        <w:tc>
          <w:tcPr>
            <w:tcW w:w="1000" w:type="pct"/>
          </w:tcPr>
          <w:p w14:paraId="3564242B" w14:textId="77777777" w:rsidR="00417AD3" w:rsidRPr="006645CF" w:rsidRDefault="00417AD3" w:rsidP="00D11393">
            <w:pPr>
              <w:pStyle w:val="Tabletextbold"/>
              <w:cnfStyle w:val="000000000000" w:firstRow="0" w:lastRow="0" w:firstColumn="0" w:lastColumn="0" w:oddVBand="0" w:evenVBand="0" w:oddHBand="0" w:evenHBand="0" w:firstRowFirstColumn="0" w:firstRowLastColumn="0" w:lastRowFirstColumn="0" w:lastRowLastColumn="0"/>
            </w:pPr>
            <w:r w:rsidRPr="006645CF">
              <w:t>33</w:t>
            </w:r>
          </w:p>
        </w:tc>
        <w:tc>
          <w:tcPr>
            <w:tcW w:w="1000" w:type="pct"/>
          </w:tcPr>
          <w:p w14:paraId="5DCC6095" w14:textId="1BB1BB28" w:rsidR="00417AD3" w:rsidRPr="006645CF" w:rsidRDefault="00417AD3" w:rsidP="00D11393">
            <w:pPr>
              <w:pStyle w:val="Tabletextbold"/>
              <w:cnfStyle w:val="000000000000" w:firstRow="0" w:lastRow="0" w:firstColumn="0" w:lastColumn="0" w:oddVBand="0" w:evenVBand="0" w:oddHBand="0" w:evenHBand="0" w:firstRowFirstColumn="0" w:firstRowLastColumn="0" w:lastRowFirstColumn="0" w:lastRowLastColumn="0"/>
            </w:pPr>
            <w:r w:rsidRPr="006645CF">
              <w:t>54.1%</w:t>
            </w:r>
          </w:p>
        </w:tc>
        <w:tc>
          <w:tcPr>
            <w:tcW w:w="1000" w:type="pct"/>
          </w:tcPr>
          <w:p w14:paraId="04A2219A" w14:textId="77777777" w:rsidR="00417AD3" w:rsidRPr="006645CF" w:rsidRDefault="00417AD3" w:rsidP="00D11393">
            <w:pPr>
              <w:pStyle w:val="Tabletextbold"/>
              <w:cnfStyle w:val="000000000000" w:firstRow="0" w:lastRow="0" w:firstColumn="0" w:lastColumn="0" w:oddVBand="0" w:evenVBand="0" w:oddHBand="0" w:evenHBand="0" w:firstRowFirstColumn="0" w:firstRowLastColumn="0" w:lastRowFirstColumn="0" w:lastRowLastColumn="0"/>
            </w:pPr>
            <w:r w:rsidRPr="006645CF">
              <w:t>28</w:t>
            </w:r>
          </w:p>
        </w:tc>
        <w:tc>
          <w:tcPr>
            <w:tcW w:w="1000" w:type="pct"/>
          </w:tcPr>
          <w:p w14:paraId="5AEFD2E2" w14:textId="79C0CA81" w:rsidR="00417AD3" w:rsidRPr="006645CF" w:rsidRDefault="00417AD3" w:rsidP="00D11393">
            <w:pPr>
              <w:pStyle w:val="Tabletextbold"/>
              <w:cnfStyle w:val="000000000000" w:firstRow="0" w:lastRow="0" w:firstColumn="0" w:lastColumn="0" w:oddVBand="0" w:evenVBand="0" w:oddHBand="0" w:evenHBand="0" w:firstRowFirstColumn="0" w:firstRowLastColumn="0" w:lastRowFirstColumn="0" w:lastRowLastColumn="0"/>
            </w:pPr>
            <w:r w:rsidRPr="006645CF">
              <w:t>45.9%</w:t>
            </w:r>
          </w:p>
        </w:tc>
      </w:tr>
    </w:tbl>
    <w:p w14:paraId="4C0E3074" w14:textId="3D7013EF" w:rsidR="00BF4D99" w:rsidRPr="00D11393" w:rsidRDefault="00417AD3" w:rsidP="00D11393">
      <w:pPr>
        <w:pStyle w:val="Caption-Source"/>
      </w:pPr>
      <w:r w:rsidRPr="00EE7F5B">
        <w:t xml:space="preserve">Source: </w:t>
      </w:r>
      <w:r w:rsidR="00604AA5">
        <w:t>Independent reviewer</w:t>
      </w:r>
      <w:r w:rsidR="00584D02">
        <w:t xml:space="preserve"> (</w:t>
      </w:r>
      <w:r w:rsidRPr="00EE7F5B">
        <w:t>2025</w:t>
      </w:r>
      <w:r w:rsidR="00584D02">
        <w:t>)</w:t>
      </w:r>
      <w:r w:rsidR="00C33FD2">
        <w:t xml:space="preserve"> </w:t>
      </w:r>
    </w:p>
    <w:p w14:paraId="4F6A78FB" w14:textId="7AC8C435" w:rsidR="00D11393" w:rsidRDefault="00D11393" w:rsidP="00D11393">
      <w:pPr>
        <w:pStyle w:val="Caption"/>
      </w:pPr>
      <w:bookmarkStart w:id="251" w:name="_Toc207348643"/>
      <w:r>
        <w:t xml:space="preserve">Table </w:t>
      </w:r>
      <w:r w:rsidR="00E6799D">
        <w:fldChar w:fldCharType="begin"/>
      </w:r>
      <w:r w:rsidR="00E6799D">
        <w:instrText xml:space="preserve"> SEQ Table \* ARABIC </w:instrText>
      </w:r>
      <w:r w:rsidR="00E6799D">
        <w:fldChar w:fldCharType="separate"/>
      </w:r>
      <w:r w:rsidR="00E6799D">
        <w:rPr>
          <w:noProof/>
        </w:rPr>
        <w:t>78</w:t>
      </w:r>
      <w:r w:rsidR="00E6799D">
        <w:rPr>
          <w:noProof/>
        </w:rPr>
        <w:fldChar w:fldCharType="end"/>
      </w:r>
      <w:r>
        <w:t xml:space="preserve">: </w:t>
      </w:r>
      <w:r w:rsidRPr="008B192E">
        <w:t xml:space="preserve">Responses to Question 7 by </w:t>
      </w:r>
      <w:r>
        <w:t>remoteness</w:t>
      </w:r>
      <w:bookmarkEnd w:id="251"/>
    </w:p>
    <w:tbl>
      <w:tblPr>
        <w:tblStyle w:val="KPMGTable"/>
        <w:tblW w:w="5000" w:type="pct"/>
        <w:tblLook w:val="04A0" w:firstRow="1" w:lastRow="0" w:firstColumn="1" w:lastColumn="0" w:noHBand="0" w:noVBand="1"/>
      </w:tblPr>
      <w:tblGrid>
        <w:gridCol w:w="2040"/>
        <w:gridCol w:w="2041"/>
        <w:gridCol w:w="2041"/>
        <w:gridCol w:w="2041"/>
        <w:gridCol w:w="2041"/>
      </w:tblGrid>
      <w:tr w:rsidR="00AD6F37" w:rsidRPr="00501302" w14:paraId="67B5E320"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1000" w:type="pct"/>
          </w:tcPr>
          <w:p w14:paraId="22437952" w14:textId="113ED87B" w:rsidR="00417AD3" w:rsidRDefault="00D11393" w:rsidP="00D11393">
            <w:pPr>
              <w:pStyle w:val="TableHeading"/>
            </w:pPr>
            <w:r>
              <w:t>Response</w:t>
            </w:r>
          </w:p>
        </w:tc>
        <w:tc>
          <w:tcPr>
            <w:tcW w:w="1000" w:type="pct"/>
          </w:tcPr>
          <w:p w14:paraId="11920932" w14:textId="10CDCA54" w:rsidR="00417AD3" w:rsidRDefault="00417AD3" w:rsidP="00D11393">
            <w:pPr>
              <w:pStyle w:val="TableHeading"/>
              <w:cnfStyle w:val="100000000000" w:firstRow="1" w:lastRow="0" w:firstColumn="0" w:lastColumn="0" w:oddVBand="0" w:evenVBand="0" w:oddHBand="0" w:evenHBand="0" w:firstRowFirstColumn="0" w:firstRowLastColumn="0" w:lastRowFirstColumn="0" w:lastRowLastColumn="0"/>
            </w:pPr>
            <w:r>
              <w:t xml:space="preserve">Number of </w:t>
            </w:r>
            <w:r w:rsidR="00D11393">
              <w:t xml:space="preserve">“Yes” </w:t>
            </w:r>
            <w:r>
              <w:t>respondents</w:t>
            </w:r>
          </w:p>
        </w:tc>
        <w:tc>
          <w:tcPr>
            <w:tcW w:w="1000" w:type="pct"/>
          </w:tcPr>
          <w:p w14:paraId="2A7784CE" w14:textId="2A93F0CE" w:rsidR="00417AD3" w:rsidRDefault="00417AD3" w:rsidP="00D11393">
            <w:pPr>
              <w:pStyle w:val="TableHeading"/>
              <w:cnfStyle w:val="100000000000" w:firstRow="1" w:lastRow="0" w:firstColumn="0" w:lastColumn="0" w:oddVBand="0" w:evenVBand="0" w:oddHBand="0" w:evenHBand="0" w:firstRowFirstColumn="0" w:firstRowLastColumn="0" w:lastRowFirstColumn="0" w:lastRowLastColumn="0"/>
            </w:pPr>
            <w:r>
              <w:t xml:space="preserve">Proportion of </w:t>
            </w:r>
            <w:r w:rsidR="00D11393">
              <w:t xml:space="preserve">“Yes” </w:t>
            </w:r>
            <w:r>
              <w:t>respondents</w:t>
            </w:r>
          </w:p>
        </w:tc>
        <w:tc>
          <w:tcPr>
            <w:tcW w:w="1000" w:type="pct"/>
          </w:tcPr>
          <w:p w14:paraId="462E8ACF" w14:textId="255A234B" w:rsidR="00417AD3" w:rsidRDefault="00417AD3" w:rsidP="00D11393">
            <w:pPr>
              <w:pStyle w:val="TableHeading"/>
              <w:cnfStyle w:val="100000000000" w:firstRow="1" w:lastRow="0" w:firstColumn="0" w:lastColumn="0" w:oddVBand="0" w:evenVBand="0" w:oddHBand="0" w:evenHBand="0" w:firstRowFirstColumn="0" w:firstRowLastColumn="0" w:lastRowFirstColumn="0" w:lastRowLastColumn="0"/>
            </w:pPr>
            <w:r>
              <w:t xml:space="preserve">Number of </w:t>
            </w:r>
            <w:r w:rsidR="00D11393">
              <w:t xml:space="preserve">“No” </w:t>
            </w:r>
            <w:r>
              <w:t>respondents</w:t>
            </w:r>
          </w:p>
        </w:tc>
        <w:tc>
          <w:tcPr>
            <w:tcW w:w="1000" w:type="pct"/>
          </w:tcPr>
          <w:p w14:paraId="028FF4FB" w14:textId="042F9D77" w:rsidR="00417AD3" w:rsidRDefault="00417AD3" w:rsidP="00D11393">
            <w:pPr>
              <w:pStyle w:val="TableHeading"/>
              <w:cnfStyle w:val="100000000000" w:firstRow="1" w:lastRow="0" w:firstColumn="0" w:lastColumn="0" w:oddVBand="0" w:evenVBand="0" w:oddHBand="0" w:evenHBand="0" w:firstRowFirstColumn="0" w:firstRowLastColumn="0" w:lastRowFirstColumn="0" w:lastRowLastColumn="0"/>
            </w:pPr>
            <w:r>
              <w:t xml:space="preserve">Proportion of </w:t>
            </w:r>
            <w:r w:rsidR="00D11393">
              <w:t xml:space="preserve">“No” </w:t>
            </w:r>
            <w:r>
              <w:t>respondents</w:t>
            </w:r>
          </w:p>
        </w:tc>
      </w:tr>
      <w:tr w:rsidR="002E5B6F" w:rsidRPr="00DE530D" w14:paraId="5D18DEF6"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47D72755" w14:textId="77777777" w:rsidR="00417AD3" w:rsidRPr="00E90673" w:rsidRDefault="00417AD3" w:rsidP="00D11393">
            <w:pPr>
              <w:pStyle w:val="TableText"/>
            </w:pPr>
            <w:r>
              <w:t>Metropolitan area</w:t>
            </w:r>
          </w:p>
        </w:tc>
        <w:tc>
          <w:tcPr>
            <w:tcW w:w="1000" w:type="pct"/>
          </w:tcPr>
          <w:p w14:paraId="240CB728" w14:textId="77777777"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rsidRPr="00EE7F5B">
              <w:t>14</w:t>
            </w:r>
          </w:p>
        </w:tc>
        <w:tc>
          <w:tcPr>
            <w:tcW w:w="1000" w:type="pct"/>
          </w:tcPr>
          <w:p w14:paraId="16DB33C1" w14:textId="3487FD97"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rsidRPr="00EE7F5B">
              <w:t>43.</w:t>
            </w:r>
            <w:r w:rsidR="007802F7">
              <w:t>8</w:t>
            </w:r>
            <w:r w:rsidRPr="00EE7F5B">
              <w:t>%</w:t>
            </w:r>
          </w:p>
        </w:tc>
        <w:tc>
          <w:tcPr>
            <w:tcW w:w="1000" w:type="pct"/>
          </w:tcPr>
          <w:p w14:paraId="725D2BC2" w14:textId="77777777"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rsidRPr="00EE7F5B">
              <w:t>18</w:t>
            </w:r>
          </w:p>
        </w:tc>
        <w:tc>
          <w:tcPr>
            <w:tcW w:w="1000" w:type="pct"/>
          </w:tcPr>
          <w:p w14:paraId="7B64979A" w14:textId="3A364F59"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rsidRPr="00EE7F5B">
              <w:t>56.</w:t>
            </w:r>
            <w:r w:rsidR="007802F7">
              <w:t>3</w:t>
            </w:r>
            <w:r w:rsidRPr="00EE7F5B">
              <w:t>%</w:t>
            </w:r>
          </w:p>
        </w:tc>
      </w:tr>
      <w:tr w:rsidR="002E5B6F" w:rsidRPr="00DE530D" w14:paraId="6979CE64"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1E2E727D" w14:textId="77777777" w:rsidR="00417AD3" w:rsidRPr="006D20D0" w:rsidRDefault="00417AD3" w:rsidP="00D11393">
            <w:pPr>
              <w:pStyle w:val="TableText"/>
              <w:rPr>
                <w:szCs w:val="18"/>
              </w:rPr>
            </w:pPr>
            <w:r>
              <w:rPr>
                <w:szCs w:val="18"/>
              </w:rPr>
              <w:t>Regional centre</w:t>
            </w:r>
          </w:p>
        </w:tc>
        <w:tc>
          <w:tcPr>
            <w:tcW w:w="1000" w:type="pct"/>
          </w:tcPr>
          <w:p w14:paraId="76EAE732" w14:textId="77777777"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rsidRPr="00EE7F5B">
              <w:t>11</w:t>
            </w:r>
          </w:p>
        </w:tc>
        <w:tc>
          <w:tcPr>
            <w:tcW w:w="1000" w:type="pct"/>
          </w:tcPr>
          <w:p w14:paraId="2CB45570" w14:textId="1564562B"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rsidRPr="00EE7F5B">
              <w:t>57.</w:t>
            </w:r>
            <w:r w:rsidR="007802F7">
              <w:t>9</w:t>
            </w:r>
            <w:r w:rsidRPr="00EE7F5B">
              <w:t>%</w:t>
            </w:r>
          </w:p>
        </w:tc>
        <w:tc>
          <w:tcPr>
            <w:tcW w:w="1000" w:type="pct"/>
          </w:tcPr>
          <w:p w14:paraId="1D3E6F4C" w14:textId="77777777"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rsidRPr="00EE7F5B">
              <w:t>8</w:t>
            </w:r>
          </w:p>
        </w:tc>
        <w:tc>
          <w:tcPr>
            <w:tcW w:w="1000" w:type="pct"/>
          </w:tcPr>
          <w:p w14:paraId="7F4086A1" w14:textId="508ED1DD"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rsidRPr="00EE7F5B">
              <w:t>42.1%</w:t>
            </w:r>
          </w:p>
        </w:tc>
      </w:tr>
      <w:tr w:rsidR="002E5B6F" w:rsidRPr="00DE530D" w14:paraId="53048F6E"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00EFAE92" w14:textId="77777777" w:rsidR="00417AD3" w:rsidRPr="00E90673" w:rsidRDefault="00417AD3" w:rsidP="00D11393">
            <w:pPr>
              <w:pStyle w:val="TableText"/>
            </w:pPr>
            <w:r>
              <w:rPr>
                <w:szCs w:val="18"/>
              </w:rPr>
              <w:t>Rural area</w:t>
            </w:r>
          </w:p>
        </w:tc>
        <w:tc>
          <w:tcPr>
            <w:tcW w:w="1000" w:type="pct"/>
          </w:tcPr>
          <w:p w14:paraId="0608BB29" w14:textId="77777777"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rsidRPr="00EE7F5B">
              <w:t>8</w:t>
            </w:r>
          </w:p>
        </w:tc>
        <w:tc>
          <w:tcPr>
            <w:tcW w:w="1000" w:type="pct"/>
          </w:tcPr>
          <w:p w14:paraId="1800B624" w14:textId="454A5F33"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rsidRPr="00EE7F5B">
              <w:t>88.9%</w:t>
            </w:r>
          </w:p>
        </w:tc>
        <w:tc>
          <w:tcPr>
            <w:tcW w:w="1000" w:type="pct"/>
          </w:tcPr>
          <w:p w14:paraId="6E58426C" w14:textId="77777777"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rsidRPr="00EE7F5B">
              <w:t>1</w:t>
            </w:r>
          </w:p>
        </w:tc>
        <w:tc>
          <w:tcPr>
            <w:tcW w:w="1000" w:type="pct"/>
          </w:tcPr>
          <w:p w14:paraId="4AF924C6" w14:textId="1215DE89"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rsidRPr="00EE7F5B">
              <w:t>11.1%</w:t>
            </w:r>
          </w:p>
        </w:tc>
      </w:tr>
      <w:tr w:rsidR="002E5B6F" w:rsidRPr="00DE530D" w14:paraId="0DABD760"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70FF3E15" w14:textId="77777777" w:rsidR="00417AD3" w:rsidRPr="006D20D0" w:rsidRDefault="00417AD3" w:rsidP="00D11393">
            <w:pPr>
              <w:pStyle w:val="TableText"/>
              <w:rPr>
                <w:szCs w:val="18"/>
              </w:rPr>
            </w:pPr>
            <w:r>
              <w:t>Remote community</w:t>
            </w:r>
          </w:p>
        </w:tc>
        <w:tc>
          <w:tcPr>
            <w:tcW w:w="1000" w:type="pct"/>
          </w:tcPr>
          <w:p w14:paraId="0AFDA4A4" w14:textId="77777777"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t>0</w:t>
            </w:r>
          </w:p>
        </w:tc>
        <w:tc>
          <w:tcPr>
            <w:tcW w:w="1000" w:type="pct"/>
          </w:tcPr>
          <w:p w14:paraId="3FA1E88B" w14:textId="7C27688B"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t>0</w:t>
            </w:r>
            <w:r w:rsidR="007802F7">
              <w:t>.0%</w:t>
            </w:r>
          </w:p>
        </w:tc>
        <w:tc>
          <w:tcPr>
            <w:tcW w:w="1000" w:type="pct"/>
          </w:tcPr>
          <w:p w14:paraId="4162E27B" w14:textId="77777777"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rsidRPr="00EE7F5B">
              <w:t>1</w:t>
            </w:r>
          </w:p>
        </w:tc>
        <w:tc>
          <w:tcPr>
            <w:tcW w:w="1000" w:type="pct"/>
          </w:tcPr>
          <w:p w14:paraId="09975530" w14:textId="6C06D9AD"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rsidRPr="00EE7F5B">
              <w:t>100.0%</w:t>
            </w:r>
          </w:p>
        </w:tc>
      </w:tr>
      <w:tr w:rsidR="002E5B6F" w:rsidRPr="00501302" w14:paraId="5122C9FA"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1472358D" w14:textId="77777777" w:rsidR="00417AD3" w:rsidRPr="00C33FD2" w:rsidRDefault="00417AD3" w:rsidP="00D11393">
            <w:pPr>
              <w:pStyle w:val="Tabletextbold"/>
              <w:rPr>
                <w:b/>
                <w:bCs/>
              </w:rPr>
            </w:pPr>
            <w:r w:rsidRPr="00C33FD2">
              <w:rPr>
                <w:b/>
                <w:bCs/>
              </w:rPr>
              <w:t>Total: 61 respondents</w:t>
            </w:r>
          </w:p>
        </w:tc>
        <w:tc>
          <w:tcPr>
            <w:tcW w:w="1000" w:type="pct"/>
          </w:tcPr>
          <w:p w14:paraId="7C7D141F" w14:textId="77777777" w:rsidR="00417AD3" w:rsidRPr="00EE7F5B" w:rsidRDefault="00417AD3" w:rsidP="00D11393">
            <w:pPr>
              <w:pStyle w:val="Tabletextbold"/>
              <w:cnfStyle w:val="000000000000" w:firstRow="0" w:lastRow="0" w:firstColumn="0" w:lastColumn="0" w:oddVBand="0" w:evenVBand="0" w:oddHBand="0" w:evenHBand="0" w:firstRowFirstColumn="0" w:firstRowLastColumn="0" w:lastRowFirstColumn="0" w:lastRowLastColumn="0"/>
            </w:pPr>
            <w:r w:rsidRPr="00EE7F5B">
              <w:t>33</w:t>
            </w:r>
          </w:p>
        </w:tc>
        <w:tc>
          <w:tcPr>
            <w:tcW w:w="1000" w:type="pct"/>
          </w:tcPr>
          <w:p w14:paraId="6579E86A" w14:textId="0EE285EC" w:rsidR="00417AD3" w:rsidRPr="00EE7F5B" w:rsidRDefault="00417AD3" w:rsidP="00D11393">
            <w:pPr>
              <w:pStyle w:val="Tabletextbold"/>
              <w:cnfStyle w:val="000000000000" w:firstRow="0" w:lastRow="0" w:firstColumn="0" w:lastColumn="0" w:oddVBand="0" w:evenVBand="0" w:oddHBand="0" w:evenHBand="0" w:firstRowFirstColumn="0" w:firstRowLastColumn="0" w:lastRowFirstColumn="0" w:lastRowLastColumn="0"/>
            </w:pPr>
            <w:r w:rsidRPr="00EE7F5B">
              <w:t>54.1%</w:t>
            </w:r>
          </w:p>
        </w:tc>
        <w:tc>
          <w:tcPr>
            <w:tcW w:w="1000" w:type="pct"/>
          </w:tcPr>
          <w:p w14:paraId="10D60DCA" w14:textId="77777777" w:rsidR="00417AD3" w:rsidRPr="00EE7F5B" w:rsidRDefault="00417AD3" w:rsidP="00D11393">
            <w:pPr>
              <w:pStyle w:val="Tabletextbold"/>
              <w:cnfStyle w:val="000000000000" w:firstRow="0" w:lastRow="0" w:firstColumn="0" w:lastColumn="0" w:oddVBand="0" w:evenVBand="0" w:oddHBand="0" w:evenHBand="0" w:firstRowFirstColumn="0" w:firstRowLastColumn="0" w:lastRowFirstColumn="0" w:lastRowLastColumn="0"/>
            </w:pPr>
            <w:r w:rsidRPr="00EE7F5B">
              <w:t>28</w:t>
            </w:r>
          </w:p>
        </w:tc>
        <w:tc>
          <w:tcPr>
            <w:tcW w:w="1000" w:type="pct"/>
          </w:tcPr>
          <w:p w14:paraId="7EDBCBB5" w14:textId="5DD9AC9E" w:rsidR="00417AD3" w:rsidRPr="00EE7F5B" w:rsidRDefault="00417AD3" w:rsidP="00D11393">
            <w:pPr>
              <w:pStyle w:val="Tabletextbold"/>
              <w:cnfStyle w:val="000000000000" w:firstRow="0" w:lastRow="0" w:firstColumn="0" w:lastColumn="0" w:oddVBand="0" w:evenVBand="0" w:oddHBand="0" w:evenHBand="0" w:firstRowFirstColumn="0" w:firstRowLastColumn="0" w:lastRowFirstColumn="0" w:lastRowLastColumn="0"/>
            </w:pPr>
            <w:r w:rsidRPr="00EE7F5B">
              <w:t>45.9%</w:t>
            </w:r>
          </w:p>
        </w:tc>
      </w:tr>
    </w:tbl>
    <w:p w14:paraId="3EAB52F6" w14:textId="6C028380" w:rsidR="00417AD3" w:rsidRPr="0000013E" w:rsidRDefault="00417AD3" w:rsidP="00D11393">
      <w:pPr>
        <w:pStyle w:val="Caption-Source"/>
      </w:pPr>
      <w:r w:rsidRPr="00EE7F5B">
        <w:t>Source</w:t>
      </w:r>
      <w:r w:rsidRPr="0000013E">
        <w:t xml:space="preserve">: </w:t>
      </w:r>
      <w:r w:rsidR="00604AA5">
        <w:t>Independent reviewer</w:t>
      </w:r>
      <w:r w:rsidR="00584D02" w:rsidRPr="0000013E">
        <w:t xml:space="preserve"> (</w:t>
      </w:r>
      <w:r w:rsidRPr="0000013E">
        <w:t>2025</w:t>
      </w:r>
      <w:r w:rsidR="00584D02" w:rsidRPr="0000013E">
        <w:t>)</w:t>
      </w:r>
    </w:p>
    <w:p w14:paraId="68DF3395" w14:textId="31DDA259" w:rsidR="00D11393" w:rsidRDefault="00D11393" w:rsidP="00D11393">
      <w:pPr>
        <w:pStyle w:val="Caption"/>
      </w:pPr>
      <w:bookmarkStart w:id="252" w:name="_Toc207348644"/>
      <w:r>
        <w:t xml:space="preserve">Table </w:t>
      </w:r>
      <w:r w:rsidR="00E6799D">
        <w:fldChar w:fldCharType="begin"/>
      </w:r>
      <w:r w:rsidR="00E6799D">
        <w:instrText xml:space="preserve"> SEQ Table \* ARABIC </w:instrText>
      </w:r>
      <w:r w:rsidR="00E6799D">
        <w:fldChar w:fldCharType="separate"/>
      </w:r>
      <w:r w:rsidR="00E6799D">
        <w:rPr>
          <w:noProof/>
        </w:rPr>
        <w:t>79</w:t>
      </w:r>
      <w:r w:rsidR="00E6799D">
        <w:rPr>
          <w:noProof/>
        </w:rPr>
        <w:fldChar w:fldCharType="end"/>
      </w:r>
      <w:r>
        <w:t xml:space="preserve">: </w:t>
      </w:r>
      <w:r w:rsidRPr="00CD505C">
        <w:t xml:space="preserve">Responses to Question 7 by </w:t>
      </w:r>
      <w:r>
        <w:t>prosthesis type</w:t>
      </w:r>
      <w:bookmarkEnd w:id="252"/>
    </w:p>
    <w:tbl>
      <w:tblPr>
        <w:tblStyle w:val="KPMGTable"/>
        <w:tblW w:w="5000" w:type="pct"/>
        <w:tblLook w:val="04A0" w:firstRow="1" w:lastRow="0" w:firstColumn="1" w:lastColumn="0" w:noHBand="0" w:noVBand="1"/>
      </w:tblPr>
      <w:tblGrid>
        <w:gridCol w:w="2040"/>
        <w:gridCol w:w="2041"/>
        <w:gridCol w:w="2041"/>
        <w:gridCol w:w="2041"/>
        <w:gridCol w:w="2041"/>
      </w:tblGrid>
      <w:tr w:rsidR="00AD6F37" w:rsidRPr="00501302" w14:paraId="0D450669"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1000" w:type="pct"/>
          </w:tcPr>
          <w:p w14:paraId="3D0F3B31" w14:textId="16C68164" w:rsidR="00417AD3" w:rsidRDefault="00D11393" w:rsidP="00D11393">
            <w:pPr>
              <w:pStyle w:val="TableHeading"/>
            </w:pPr>
            <w:r>
              <w:t>Response</w:t>
            </w:r>
          </w:p>
        </w:tc>
        <w:tc>
          <w:tcPr>
            <w:tcW w:w="1000" w:type="pct"/>
          </w:tcPr>
          <w:p w14:paraId="0C5E9674" w14:textId="4EC6BD1A" w:rsidR="00417AD3" w:rsidRDefault="00417AD3" w:rsidP="00D11393">
            <w:pPr>
              <w:pStyle w:val="TableHeading"/>
              <w:cnfStyle w:val="100000000000" w:firstRow="1" w:lastRow="0" w:firstColumn="0" w:lastColumn="0" w:oddVBand="0" w:evenVBand="0" w:oddHBand="0" w:evenHBand="0" w:firstRowFirstColumn="0" w:firstRowLastColumn="0" w:lastRowFirstColumn="0" w:lastRowLastColumn="0"/>
            </w:pPr>
            <w:r>
              <w:t xml:space="preserve">Number of </w:t>
            </w:r>
            <w:r w:rsidR="00D11393">
              <w:t xml:space="preserve">“Yes” </w:t>
            </w:r>
            <w:r>
              <w:t>respondents</w:t>
            </w:r>
          </w:p>
        </w:tc>
        <w:tc>
          <w:tcPr>
            <w:tcW w:w="1000" w:type="pct"/>
          </w:tcPr>
          <w:p w14:paraId="23BE96D7" w14:textId="68C89949" w:rsidR="00417AD3" w:rsidRDefault="00417AD3" w:rsidP="00D11393">
            <w:pPr>
              <w:pStyle w:val="TableHeading"/>
              <w:cnfStyle w:val="100000000000" w:firstRow="1" w:lastRow="0" w:firstColumn="0" w:lastColumn="0" w:oddVBand="0" w:evenVBand="0" w:oddHBand="0" w:evenHBand="0" w:firstRowFirstColumn="0" w:firstRowLastColumn="0" w:lastRowFirstColumn="0" w:lastRowLastColumn="0"/>
            </w:pPr>
            <w:r>
              <w:t xml:space="preserve">Proportion of </w:t>
            </w:r>
            <w:r w:rsidR="00D11393">
              <w:t xml:space="preserve">“Yes” </w:t>
            </w:r>
            <w:r>
              <w:t>respondents</w:t>
            </w:r>
          </w:p>
        </w:tc>
        <w:tc>
          <w:tcPr>
            <w:tcW w:w="1000" w:type="pct"/>
          </w:tcPr>
          <w:p w14:paraId="61AD8082" w14:textId="3AC87BE0" w:rsidR="00417AD3" w:rsidRDefault="00417AD3" w:rsidP="00D11393">
            <w:pPr>
              <w:pStyle w:val="TableHeading"/>
              <w:cnfStyle w:val="100000000000" w:firstRow="1" w:lastRow="0" w:firstColumn="0" w:lastColumn="0" w:oddVBand="0" w:evenVBand="0" w:oddHBand="0" w:evenHBand="0" w:firstRowFirstColumn="0" w:firstRowLastColumn="0" w:lastRowFirstColumn="0" w:lastRowLastColumn="0"/>
            </w:pPr>
            <w:r>
              <w:t xml:space="preserve">Number of </w:t>
            </w:r>
            <w:r w:rsidR="00D11393">
              <w:t xml:space="preserve">“No” </w:t>
            </w:r>
            <w:r>
              <w:t>respondents</w:t>
            </w:r>
          </w:p>
        </w:tc>
        <w:tc>
          <w:tcPr>
            <w:tcW w:w="1000" w:type="pct"/>
          </w:tcPr>
          <w:p w14:paraId="5827E33A" w14:textId="2198C8B0" w:rsidR="00417AD3" w:rsidRDefault="00417AD3" w:rsidP="00D11393">
            <w:pPr>
              <w:pStyle w:val="TableHeading"/>
              <w:cnfStyle w:val="100000000000" w:firstRow="1" w:lastRow="0" w:firstColumn="0" w:lastColumn="0" w:oddVBand="0" w:evenVBand="0" w:oddHBand="0" w:evenHBand="0" w:firstRowFirstColumn="0" w:firstRowLastColumn="0" w:lastRowFirstColumn="0" w:lastRowLastColumn="0"/>
            </w:pPr>
            <w:r>
              <w:t xml:space="preserve">Proportion of </w:t>
            </w:r>
            <w:r w:rsidR="00D11393">
              <w:t xml:space="preserve">“No” </w:t>
            </w:r>
            <w:r>
              <w:t>respondents</w:t>
            </w:r>
          </w:p>
        </w:tc>
      </w:tr>
      <w:tr w:rsidR="002E5B6F" w:rsidRPr="00DE530D" w14:paraId="0C079145"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2C13918F" w14:textId="77777777" w:rsidR="00417AD3" w:rsidRPr="00EE7F5B" w:rsidRDefault="00417AD3" w:rsidP="00D11393">
            <w:pPr>
              <w:pStyle w:val="TableText"/>
            </w:pPr>
            <w:r w:rsidRPr="00EE7F5B">
              <w:t>Facial prosthesis</w:t>
            </w:r>
          </w:p>
        </w:tc>
        <w:tc>
          <w:tcPr>
            <w:tcW w:w="1000" w:type="pct"/>
          </w:tcPr>
          <w:p w14:paraId="05C3E342" w14:textId="5F9649D7" w:rsidR="00417AD3" w:rsidRPr="00EE7F5B" w:rsidRDefault="00885AF1" w:rsidP="00D11393">
            <w:pPr>
              <w:pStyle w:val="TableText"/>
              <w:cnfStyle w:val="000000000000" w:firstRow="0" w:lastRow="0" w:firstColumn="0" w:lastColumn="0" w:oddVBand="0" w:evenVBand="0" w:oddHBand="0" w:evenHBand="0" w:firstRowFirstColumn="0" w:firstRowLastColumn="0" w:lastRowFirstColumn="0" w:lastRowLastColumn="0"/>
            </w:pPr>
            <w:r>
              <w:t>19</w:t>
            </w:r>
          </w:p>
        </w:tc>
        <w:tc>
          <w:tcPr>
            <w:tcW w:w="1000" w:type="pct"/>
          </w:tcPr>
          <w:p w14:paraId="46F21951" w14:textId="30AFB36B"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rsidRPr="00EE7F5B">
              <w:t>5</w:t>
            </w:r>
            <w:r w:rsidR="00501E0E">
              <w:t>2.8</w:t>
            </w:r>
            <w:r w:rsidRPr="00EE7F5B">
              <w:t>%</w:t>
            </w:r>
          </w:p>
        </w:tc>
        <w:tc>
          <w:tcPr>
            <w:tcW w:w="1000" w:type="pct"/>
          </w:tcPr>
          <w:p w14:paraId="50C2170F" w14:textId="1B70FE5B" w:rsidR="00417AD3" w:rsidRPr="00EE7F5B" w:rsidRDefault="00885AF1" w:rsidP="00D11393">
            <w:pPr>
              <w:pStyle w:val="TableText"/>
              <w:cnfStyle w:val="000000000000" w:firstRow="0" w:lastRow="0" w:firstColumn="0" w:lastColumn="0" w:oddVBand="0" w:evenVBand="0" w:oddHBand="0" w:evenHBand="0" w:firstRowFirstColumn="0" w:firstRowLastColumn="0" w:lastRowFirstColumn="0" w:lastRowLastColumn="0"/>
            </w:pPr>
            <w:r>
              <w:t>17</w:t>
            </w:r>
          </w:p>
        </w:tc>
        <w:tc>
          <w:tcPr>
            <w:tcW w:w="1000" w:type="pct"/>
          </w:tcPr>
          <w:p w14:paraId="40FB8419" w14:textId="1BFE856A"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rsidRPr="00EE7F5B">
              <w:t>4</w:t>
            </w:r>
            <w:r w:rsidR="00501E0E">
              <w:t>7.2</w:t>
            </w:r>
            <w:r w:rsidRPr="00EE7F5B">
              <w:t>%</w:t>
            </w:r>
          </w:p>
        </w:tc>
      </w:tr>
      <w:tr w:rsidR="002E5B6F" w:rsidRPr="00DE530D" w14:paraId="2461F420"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195CC3E8" w14:textId="77777777" w:rsidR="00417AD3" w:rsidRPr="00EE7F5B" w:rsidRDefault="00417AD3" w:rsidP="00D11393">
            <w:pPr>
              <w:pStyle w:val="TableText"/>
            </w:pPr>
            <w:r w:rsidRPr="00EE7F5B">
              <w:t>An artificial breast worn in the bra</w:t>
            </w:r>
          </w:p>
        </w:tc>
        <w:tc>
          <w:tcPr>
            <w:tcW w:w="1000" w:type="pct"/>
          </w:tcPr>
          <w:p w14:paraId="16D46BD5" w14:textId="77777777"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rsidRPr="00EE7F5B">
              <w:t>2</w:t>
            </w:r>
          </w:p>
        </w:tc>
        <w:tc>
          <w:tcPr>
            <w:tcW w:w="1000" w:type="pct"/>
          </w:tcPr>
          <w:p w14:paraId="6E3987F8" w14:textId="77EAC1FB"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rsidRPr="00EE7F5B">
              <w:t>66.7%</w:t>
            </w:r>
          </w:p>
        </w:tc>
        <w:tc>
          <w:tcPr>
            <w:tcW w:w="1000" w:type="pct"/>
          </w:tcPr>
          <w:p w14:paraId="30221AC6" w14:textId="77777777"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rsidRPr="00EE7F5B">
              <w:t>1</w:t>
            </w:r>
          </w:p>
        </w:tc>
        <w:tc>
          <w:tcPr>
            <w:tcW w:w="1000" w:type="pct"/>
          </w:tcPr>
          <w:p w14:paraId="2769E424" w14:textId="15CDB940"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rsidRPr="00EE7F5B">
              <w:t>33.3%</w:t>
            </w:r>
          </w:p>
        </w:tc>
      </w:tr>
      <w:tr w:rsidR="002E5B6F" w:rsidRPr="00DE530D" w14:paraId="209D5D17"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21BA65D9" w14:textId="77777777" w:rsidR="00417AD3" w:rsidRPr="00EE7F5B" w:rsidRDefault="00417AD3" w:rsidP="00D11393">
            <w:pPr>
              <w:pStyle w:val="TableText"/>
            </w:pPr>
            <w:r w:rsidRPr="00EE7F5B">
              <w:t>Voice prostheses</w:t>
            </w:r>
          </w:p>
        </w:tc>
        <w:tc>
          <w:tcPr>
            <w:tcW w:w="1000" w:type="pct"/>
          </w:tcPr>
          <w:p w14:paraId="06E1F719" w14:textId="77777777"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rsidRPr="00EE7F5B">
              <w:t>5</w:t>
            </w:r>
          </w:p>
        </w:tc>
        <w:tc>
          <w:tcPr>
            <w:tcW w:w="1000" w:type="pct"/>
          </w:tcPr>
          <w:p w14:paraId="25D13594" w14:textId="3F66FFC7"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rsidRPr="00EE7F5B">
              <w:t>38.</w:t>
            </w:r>
            <w:r w:rsidR="007802F7">
              <w:t>5</w:t>
            </w:r>
            <w:r w:rsidRPr="00EE7F5B">
              <w:t>%</w:t>
            </w:r>
          </w:p>
        </w:tc>
        <w:tc>
          <w:tcPr>
            <w:tcW w:w="1000" w:type="pct"/>
          </w:tcPr>
          <w:p w14:paraId="66012AC8" w14:textId="77777777"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rsidRPr="00EE7F5B">
              <w:t>8</w:t>
            </w:r>
          </w:p>
        </w:tc>
        <w:tc>
          <w:tcPr>
            <w:tcW w:w="1000" w:type="pct"/>
          </w:tcPr>
          <w:p w14:paraId="55D32773" w14:textId="4AAEB958"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rsidRPr="00EE7F5B">
              <w:t>61.5%</w:t>
            </w:r>
          </w:p>
        </w:tc>
      </w:tr>
      <w:tr w:rsidR="002E5B6F" w:rsidRPr="00DE530D" w14:paraId="4C91F25E"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50090DED" w14:textId="77777777" w:rsidR="00417AD3" w:rsidRPr="00EE7F5B" w:rsidRDefault="00417AD3" w:rsidP="00D11393">
            <w:pPr>
              <w:pStyle w:val="TableText"/>
            </w:pPr>
            <w:r w:rsidRPr="00EE7F5B">
              <w:t>Dental prostheses</w:t>
            </w:r>
          </w:p>
        </w:tc>
        <w:tc>
          <w:tcPr>
            <w:tcW w:w="1000" w:type="pct"/>
          </w:tcPr>
          <w:p w14:paraId="06681D62" w14:textId="77777777"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rsidRPr="00EE7F5B">
              <w:t>6</w:t>
            </w:r>
          </w:p>
        </w:tc>
        <w:tc>
          <w:tcPr>
            <w:tcW w:w="1000" w:type="pct"/>
          </w:tcPr>
          <w:p w14:paraId="633BFBBC" w14:textId="6D6F3EF2"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rsidRPr="00EE7F5B">
              <w:t>75.0%</w:t>
            </w:r>
          </w:p>
        </w:tc>
        <w:tc>
          <w:tcPr>
            <w:tcW w:w="1000" w:type="pct"/>
          </w:tcPr>
          <w:p w14:paraId="0F3551E9" w14:textId="77777777"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rsidRPr="00EE7F5B">
              <w:t>2</w:t>
            </w:r>
          </w:p>
        </w:tc>
        <w:tc>
          <w:tcPr>
            <w:tcW w:w="1000" w:type="pct"/>
          </w:tcPr>
          <w:p w14:paraId="0B941FBB" w14:textId="2C09312C"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rsidRPr="00EE7F5B">
              <w:t>25.0%</w:t>
            </w:r>
          </w:p>
        </w:tc>
      </w:tr>
      <w:tr w:rsidR="002E5B6F" w:rsidRPr="00DE530D" w14:paraId="24DA69CE"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160BEB26" w14:textId="77777777" w:rsidR="00417AD3" w:rsidRPr="00EE7F5B" w:rsidRDefault="00417AD3" w:rsidP="00D11393">
            <w:pPr>
              <w:pStyle w:val="TableText"/>
            </w:pPr>
            <w:r w:rsidRPr="00EE7F5B">
              <w:t>Fat grafting</w:t>
            </w:r>
          </w:p>
        </w:tc>
        <w:tc>
          <w:tcPr>
            <w:tcW w:w="1000" w:type="pct"/>
          </w:tcPr>
          <w:p w14:paraId="6248D2F7" w14:textId="77777777"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rsidRPr="00EE7F5B">
              <w:t>1</w:t>
            </w:r>
          </w:p>
        </w:tc>
        <w:tc>
          <w:tcPr>
            <w:tcW w:w="1000" w:type="pct"/>
          </w:tcPr>
          <w:p w14:paraId="1ED2367C" w14:textId="5FCEB8F5"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rsidRPr="00EE7F5B">
              <w:t>100.0%</w:t>
            </w:r>
          </w:p>
        </w:tc>
        <w:tc>
          <w:tcPr>
            <w:tcW w:w="1000" w:type="pct"/>
          </w:tcPr>
          <w:p w14:paraId="0180E3FB" w14:textId="0BC928D1" w:rsidR="00417AD3" w:rsidRPr="00EE7F5B" w:rsidRDefault="00094707" w:rsidP="00D11393">
            <w:pPr>
              <w:pStyle w:val="TableText"/>
              <w:cnfStyle w:val="000000000000" w:firstRow="0" w:lastRow="0" w:firstColumn="0" w:lastColumn="0" w:oddVBand="0" w:evenVBand="0" w:oddHBand="0" w:evenHBand="0" w:firstRowFirstColumn="0" w:firstRowLastColumn="0" w:lastRowFirstColumn="0" w:lastRowLastColumn="0"/>
            </w:pPr>
            <w:r>
              <w:t>0</w:t>
            </w:r>
          </w:p>
        </w:tc>
        <w:tc>
          <w:tcPr>
            <w:tcW w:w="1000" w:type="pct"/>
          </w:tcPr>
          <w:p w14:paraId="48B6B8C0" w14:textId="77B03468" w:rsidR="00417AD3" w:rsidRPr="00EE7F5B" w:rsidRDefault="00417AD3" w:rsidP="00D11393">
            <w:pPr>
              <w:pStyle w:val="TableText"/>
              <w:cnfStyle w:val="000000000000" w:firstRow="0" w:lastRow="0" w:firstColumn="0" w:lastColumn="0" w:oddVBand="0" w:evenVBand="0" w:oddHBand="0" w:evenHBand="0" w:firstRowFirstColumn="0" w:firstRowLastColumn="0" w:lastRowFirstColumn="0" w:lastRowLastColumn="0"/>
            </w:pPr>
            <w:r w:rsidRPr="00EE7F5B">
              <w:t>0.0%</w:t>
            </w:r>
          </w:p>
        </w:tc>
      </w:tr>
      <w:tr w:rsidR="002E5B6F" w:rsidRPr="00501302" w14:paraId="7840B025"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6A19D0C9" w14:textId="77777777" w:rsidR="00417AD3" w:rsidRPr="00C33FD2" w:rsidRDefault="00417AD3" w:rsidP="00D11393">
            <w:pPr>
              <w:pStyle w:val="Tabletextbold"/>
              <w:rPr>
                <w:b/>
                <w:bCs/>
              </w:rPr>
            </w:pPr>
            <w:r w:rsidRPr="00C33FD2">
              <w:rPr>
                <w:b/>
                <w:bCs/>
              </w:rPr>
              <w:t>Total: 65 respondents</w:t>
            </w:r>
          </w:p>
        </w:tc>
        <w:tc>
          <w:tcPr>
            <w:tcW w:w="1000" w:type="pct"/>
          </w:tcPr>
          <w:p w14:paraId="7B6B9DC3" w14:textId="77777777" w:rsidR="00417AD3" w:rsidRPr="007C5D3D" w:rsidRDefault="00417AD3" w:rsidP="00D11393">
            <w:pPr>
              <w:pStyle w:val="Tabletextbold"/>
              <w:cnfStyle w:val="000000000000" w:firstRow="0" w:lastRow="0" w:firstColumn="0" w:lastColumn="0" w:oddVBand="0" w:evenVBand="0" w:oddHBand="0" w:evenHBand="0" w:firstRowFirstColumn="0" w:firstRowLastColumn="0" w:lastRowFirstColumn="0" w:lastRowLastColumn="0"/>
            </w:pPr>
            <w:r w:rsidRPr="007C5D3D">
              <w:t>33</w:t>
            </w:r>
          </w:p>
        </w:tc>
        <w:tc>
          <w:tcPr>
            <w:tcW w:w="1000" w:type="pct"/>
          </w:tcPr>
          <w:p w14:paraId="6A902D82" w14:textId="617D238E" w:rsidR="00417AD3" w:rsidRPr="007C5D3D" w:rsidRDefault="00417AD3" w:rsidP="00D11393">
            <w:pPr>
              <w:pStyle w:val="Tabletextbold"/>
              <w:cnfStyle w:val="000000000000" w:firstRow="0" w:lastRow="0" w:firstColumn="0" w:lastColumn="0" w:oddVBand="0" w:evenVBand="0" w:oddHBand="0" w:evenHBand="0" w:firstRowFirstColumn="0" w:firstRowLastColumn="0" w:lastRowFirstColumn="0" w:lastRowLastColumn="0"/>
            </w:pPr>
            <w:r w:rsidRPr="007C5D3D">
              <w:t>54.1%</w:t>
            </w:r>
          </w:p>
        </w:tc>
        <w:tc>
          <w:tcPr>
            <w:tcW w:w="1000" w:type="pct"/>
          </w:tcPr>
          <w:p w14:paraId="382ED52E" w14:textId="77777777" w:rsidR="00417AD3" w:rsidRPr="007C5D3D" w:rsidRDefault="00417AD3" w:rsidP="00D11393">
            <w:pPr>
              <w:pStyle w:val="Tabletextbold"/>
              <w:cnfStyle w:val="000000000000" w:firstRow="0" w:lastRow="0" w:firstColumn="0" w:lastColumn="0" w:oddVBand="0" w:evenVBand="0" w:oddHBand="0" w:evenHBand="0" w:firstRowFirstColumn="0" w:firstRowLastColumn="0" w:lastRowFirstColumn="0" w:lastRowLastColumn="0"/>
            </w:pPr>
            <w:r w:rsidRPr="007C5D3D">
              <w:t>28</w:t>
            </w:r>
          </w:p>
        </w:tc>
        <w:tc>
          <w:tcPr>
            <w:tcW w:w="1000" w:type="pct"/>
          </w:tcPr>
          <w:p w14:paraId="77B51056" w14:textId="3DD7684D" w:rsidR="00417AD3" w:rsidRPr="007C5D3D" w:rsidRDefault="00417AD3" w:rsidP="00D11393">
            <w:pPr>
              <w:pStyle w:val="Tabletextbold"/>
              <w:cnfStyle w:val="000000000000" w:firstRow="0" w:lastRow="0" w:firstColumn="0" w:lastColumn="0" w:oddVBand="0" w:evenVBand="0" w:oddHBand="0" w:evenHBand="0" w:firstRowFirstColumn="0" w:firstRowLastColumn="0" w:lastRowFirstColumn="0" w:lastRowLastColumn="0"/>
            </w:pPr>
            <w:r w:rsidRPr="007C5D3D">
              <w:t>45.9%</w:t>
            </w:r>
          </w:p>
        </w:tc>
      </w:tr>
    </w:tbl>
    <w:p w14:paraId="6F6C2E8C" w14:textId="77777777" w:rsidR="00A10684" w:rsidRDefault="00417AD3" w:rsidP="00D11393">
      <w:pPr>
        <w:pStyle w:val="Caption-Source"/>
      </w:pPr>
      <w:r w:rsidRPr="00EE7F5B">
        <w:t xml:space="preserve">Source: </w:t>
      </w:r>
      <w:r w:rsidR="00B26691">
        <w:t>Independent reviewer</w:t>
      </w:r>
      <w:r w:rsidR="00B26691" w:rsidRPr="00CD3106">
        <w:t xml:space="preserve"> </w:t>
      </w:r>
      <w:r w:rsidR="00584D02" w:rsidRPr="0000013E">
        <w:t>(</w:t>
      </w:r>
      <w:r w:rsidRPr="0000013E">
        <w:t>2025</w:t>
      </w:r>
      <w:r w:rsidR="00584D02" w:rsidRPr="0000013E">
        <w:t>)</w:t>
      </w:r>
    </w:p>
    <w:p w14:paraId="64B273D9" w14:textId="0181E649" w:rsidR="00C33FD2" w:rsidRPr="00A10684" w:rsidRDefault="00C33FD2" w:rsidP="00A10684">
      <w:r w:rsidRPr="00A10684">
        <w:br w:type="page"/>
      </w:r>
    </w:p>
    <w:p w14:paraId="49479004" w14:textId="521C5061" w:rsidR="00F00433" w:rsidRPr="0042443F" w:rsidRDefault="00F00433" w:rsidP="0000013E">
      <w:pPr>
        <w:pStyle w:val="ListNumber"/>
        <w:rPr>
          <w:rStyle w:val="Strong"/>
        </w:rPr>
      </w:pPr>
      <w:r w:rsidRPr="0042443F">
        <w:rPr>
          <w:rStyle w:val="Strong"/>
        </w:rPr>
        <w:t>How much was the out-of-pocket cost for your prosthesis (or the prosthesis used by the person you care for)? [free text, required]</w:t>
      </w:r>
    </w:p>
    <w:p w14:paraId="1733E802" w14:textId="77777777" w:rsidR="00B47C96" w:rsidRPr="00B47C96" w:rsidRDefault="00B47C96" w:rsidP="00B47C96">
      <w:pPr>
        <w:spacing w:after="120"/>
        <w:rPr>
          <w:rFonts w:eastAsia="SimSun" w:cstheme="minorHAnsi"/>
          <w:szCs w:val="20"/>
        </w:rPr>
      </w:pPr>
      <w:r w:rsidRPr="00B47C96">
        <w:rPr>
          <w:rFonts w:eastAsia="SimSun" w:cstheme="minorHAnsi"/>
          <w:szCs w:val="20"/>
        </w:rPr>
        <w:t xml:space="preserve">29 respondents responded with a figure. These costs are assumed to only cover one prosthesis/ one operation. Two respondents who have multiple prostheses each only provided one figure, and it is unclear which prostheses they are referring to. Two respondents who provided a percentage (e.g., I pay 80% of the cost) have not been included. </w:t>
      </w:r>
    </w:p>
    <w:p w14:paraId="3D585BFC" w14:textId="77777777" w:rsidR="00B47C96" w:rsidRPr="00B47C96" w:rsidRDefault="00B47C96" w:rsidP="00B47C96">
      <w:pPr>
        <w:spacing w:after="120"/>
        <w:rPr>
          <w:rFonts w:eastAsia="SimSun" w:cstheme="minorHAnsi"/>
          <w:szCs w:val="20"/>
        </w:rPr>
      </w:pPr>
      <w:r w:rsidRPr="00B47C96">
        <w:rPr>
          <w:rFonts w:eastAsia="SimSun" w:cstheme="minorHAnsi"/>
          <w:szCs w:val="20"/>
        </w:rPr>
        <w:t xml:space="preserve">The average out-of-pocket cost reported is $6,300, ranging from $100 to $39,000. </w:t>
      </w:r>
    </w:p>
    <w:p w14:paraId="01CDA26D" w14:textId="77777777" w:rsidR="00B47C96" w:rsidRPr="00B47C96" w:rsidRDefault="00B47C96" w:rsidP="00B47C96">
      <w:pPr>
        <w:spacing w:after="120"/>
        <w:rPr>
          <w:rFonts w:eastAsia="SimSun" w:cstheme="minorHAnsi"/>
          <w:szCs w:val="20"/>
        </w:rPr>
      </w:pPr>
      <w:r w:rsidRPr="00B47C96">
        <w:rPr>
          <w:rFonts w:ascii="Arial" w:hAnsi="Arial" w:cs="Arial"/>
          <w:szCs w:val="20"/>
        </w:rPr>
        <w:t>Each column outlines the number of respondents, and the proportion of respondents within each row indicated in an accompanying bracket.</w:t>
      </w:r>
    </w:p>
    <w:p w14:paraId="4B5681FE" w14:textId="20EA2E0F" w:rsidR="00D11393" w:rsidRDefault="00D11393" w:rsidP="00D11393">
      <w:pPr>
        <w:pStyle w:val="Caption"/>
      </w:pPr>
      <w:bookmarkStart w:id="253" w:name="_Toc207348645"/>
      <w:r>
        <w:t xml:space="preserve">Table </w:t>
      </w:r>
      <w:r w:rsidR="00E6799D">
        <w:fldChar w:fldCharType="begin"/>
      </w:r>
      <w:r w:rsidR="00E6799D">
        <w:instrText xml:space="preserve"> SEQ Table \* ARABIC </w:instrText>
      </w:r>
      <w:r w:rsidR="00E6799D">
        <w:fldChar w:fldCharType="separate"/>
      </w:r>
      <w:r w:rsidR="00E6799D">
        <w:rPr>
          <w:noProof/>
        </w:rPr>
        <w:t>80</w:t>
      </w:r>
      <w:r w:rsidR="00E6799D">
        <w:rPr>
          <w:noProof/>
        </w:rPr>
        <w:fldChar w:fldCharType="end"/>
      </w:r>
      <w:r>
        <w:t xml:space="preserve">: </w:t>
      </w:r>
      <w:r w:rsidRPr="000E01C9">
        <w:t xml:space="preserve">Responses to Question </w:t>
      </w:r>
      <w:r>
        <w:t>8</w:t>
      </w:r>
      <w:r w:rsidRPr="000E01C9">
        <w:t xml:space="preserve"> by </w:t>
      </w:r>
      <w:r>
        <w:t>jurisdiction</w:t>
      </w:r>
      <w:bookmarkEnd w:id="253"/>
    </w:p>
    <w:tbl>
      <w:tblPr>
        <w:tblStyle w:val="KPMGTable"/>
        <w:tblW w:w="5000" w:type="pct"/>
        <w:tblLook w:val="04A0" w:firstRow="1" w:lastRow="0" w:firstColumn="1" w:lastColumn="0" w:noHBand="0" w:noVBand="1"/>
      </w:tblPr>
      <w:tblGrid>
        <w:gridCol w:w="2040"/>
        <w:gridCol w:w="2041"/>
        <w:gridCol w:w="2041"/>
        <w:gridCol w:w="2041"/>
        <w:gridCol w:w="2041"/>
      </w:tblGrid>
      <w:tr w:rsidR="00AD6F37" w14:paraId="783F4E09"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1000" w:type="pct"/>
          </w:tcPr>
          <w:p w14:paraId="5ADDFA26" w14:textId="77777777" w:rsidR="00B47C96" w:rsidRDefault="00B47C96" w:rsidP="00D11393">
            <w:pPr>
              <w:pStyle w:val="TableHeading"/>
              <w:rPr>
                <w:b w:val="0"/>
                <w:color w:val="FFFFFF" w:themeColor="background1"/>
                <w:szCs w:val="20"/>
              </w:rPr>
            </w:pPr>
            <w:r>
              <w:t>Response</w:t>
            </w:r>
          </w:p>
        </w:tc>
        <w:tc>
          <w:tcPr>
            <w:tcW w:w="1000" w:type="pct"/>
          </w:tcPr>
          <w:p w14:paraId="10D25D92" w14:textId="77777777" w:rsidR="00B47C96" w:rsidRDefault="00B47C96" w:rsidP="00D11393">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$100 - $999</w:t>
            </w:r>
          </w:p>
        </w:tc>
        <w:tc>
          <w:tcPr>
            <w:tcW w:w="1000" w:type="pct"/>
          </w:tcPr>
          <w:p w14:paraId="715C74BD" w14:textId="77777777" w:rsidR="00B47C96" w:rsidRDefault="00B47C96" w:rsidP="00D11393">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$1,000 - $4,999</w:t>
            </w:r>
          </w:p>
        </w:tc>
        <w:tc>
          <w:tcPr>
            <w:tcW w:w="1000" w:type="pct"/>
          </w:tcPr>
          <w:p w14:paraId="02F77A8A" w14:textId="77777777" w:rsidR="00B47C96" w:rsidRDefault="00B47C96" w:rsidP="00D11393">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$5,000 - $9,999</w:t>
            </w:r>
          </w:p>
        </w:tc>
        <w:tc>
          <w:tcPr>
            <w:tcW w:w="1000" w:type="pct"/>
          </w:tcPr>
          <w:p w14:paraId="6B24A79E" w14:textId="77777777" w:rsidR="00B47C96" w:rsidRDefault="00B47C96" w:rsidP="00D11393">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$10,000 or more</w:t>
            </w:r>
          </w:p>
        </w:tc>
      </w:tr>
      <w:tr w:rsidR="002E5B6F" w:rsidRPr="006645CF" w14:paraId="793D500E"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2FA1A6EE" w14:textId="77777777" w:rsidR="00B47C96" w:rsidRPr="00E90673" w:rsidRDefault="00B47C96" w:rsidP="00D11393">
            <w:pPr>
              <w:pStyle w:val="TableText"/>
            </w:pPr>
            <w:r>
              <w:t>New South Wales</w:t>
            </w:r>
          </w:p>
        </w:tc>
        <w:tc>
          <w:tcPr>
            <w:tcW w:w="1000" w:type="pct"/>
          </w:tcPr>
          <w:p w14:paraId="678DD572" w14:textId="78C22F57" w:rsidR="00B47C96" w:rsidRPr="009A5C7E" w:rsidRDefault="00B47C96"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9A5C7E">
              <w:rPr>
                <w:szCs w:val="18"/>
              </w:rPr>
              <w:t>5 (29.4%)</w:t>
            </w:r>
          </w:p>
        </w:tc>
        <w:tc>
          <w:tcPr>
            <w:tcW w:w="1000" w:type="pct"/>
          </w:tcPr>
          <w:p w14:paraId="47426036" w14:textId="1DD9271C" w:rsidR="00B47C96" w:rsidRPr="009A5C7E" w:rsidRDefault="00B47C96"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9A5C7E">
              <w:rPr>
                <w:szCs w:val="18"/>
              </w:rPr>
              <w:t>5 (29.4%)</w:t>
            </w:r>
          </w:p>
        </w:tc>
        <w:tc>
          <w:tcPr>
            <w:tcW w:w="1000" w:type="pct"/>
          </w:tcPr>
          <w:p w14:paraId="5871E3BD" w14:textId="3795D5DA" w:rsidR="00B47C96" w:rsidRPr="009A5C7E" w:rsidRDefault="00B47C96"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9A5C7E">
              <w:rPr>
                <w:szCs w:val="18"/>
              </w:rPr>
              <w:t>6 (35.</w:t>
            </w:r>
            <w:r w:rsidR="0002033D">
              <w:rPr>
                <w:szCs w:val="18"/>
              </w:rPr>
              <w:t>3</w:t>
            </w:r>
            <w:r w:rsidRPr="009A5C7E">
              <w:rPr>
                <w:szCs w:val="18"/>
              </w:rPr>
              <w:t>%)</w:t>
            </w:r>
          </w:p>
        </w:tc>
        <w:tc>
          <w:tcPr>
            <w:tcW w:w="1000" w:type="pct"/>
          </w:tcPr>
          <w:p w14:paraId="243AA79F" w14:textId="5642AE17" w:rsidR="00B47C96" w:rsidRPr="009A5C7E" w:rsidRDefault="00B47C96"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9A5C7E">
              <w:rPr>
                <w:szCs w:val="18"/>
              </w:rPr>
              <w:t>1 (5.</w:t>
            </w:r>
            <w:r w:rsidR="0002033D">
              <w:rPr>
                <w:szCs w:val="18"/>
              </w:rPr>
              <w:t>9</w:t>
            </w:r>
            <w:r w:rsidRPr="009A5C7E">
              <w:rPr>
                <w:szCs w:val="18"/>
              </w:rPr>
              <w:t>%)</w:t>
            </w:r>
          </w:p>
        </w:tc>
      </w:tr>
      <w:tr w:rsidR="002E5B6F" w:rsidRPr="006645CF" w14:paraId="4B923DAD"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40352C5C" w14:textId="77777777" w:rsidR="00B47C96" w:rsidRPr="006D20D0" w:rsidRDefault="00B47C96" w:rsidP="00D11393">
            <w:pPr>
              <w:pStyle w:val="TableText"/>
              <w:rPr>
                <w:szCs w:val="18"/>
              </w:rPr>
            </w:pPr>
            <w:r>
              <w:rPr>
                <w:szCs w:val="18"/>
              </w:rPr>
              <w:t>Victoria</w:t>
            </w:r>
          </w:p>
        </w:tc>
        <w:tc>
          <w:tcPr>
            <w:tcW w:w="1000" w:type="pct"/>
          </w:tcPr>
          <w:p w14:paraId="52F3A840" w14:textId="4C9F232D" w:rsidR="00B47C96" w:rsidRPr="009A5C7E" w:rsidRDefault="00B47C96"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9A5C7E">
              <w:rPr>
                <w:szCs w:val="18"/>
              </w:rPr>
              <w:t>0 (0.0%)</w:t>
            </w:r>
          </w:p>
        </w:tc>
        <w:tc>
          <w:tcPr>
            <w:tcW w:w="1000" w:type="pct"/>
          </w:tcPr>
          <w:p w14:paraId="688A8F7E" w14:textId="2EBE24E1" w:rsidR="00B47C96" w:rsidRPr="009A5C7E" w:rsidRDefault="00B47C96"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9A5C7E">
              <w:rPr>
                <w:szCs w:val="18"/>
              </w:rPr>
              <w:t>1 (50.0%)</w:t>
            </w:r>
          </w:p>
        </w:tc>
        <w:tc>
          <w:tcPr>
            <w:tcW w:w="1000" w:type="pct"/>
          </w:tcPr>
          <w:p w14:paraId="26AFB25C" w14:textId="0A39D76D" w:rsidR="00B47C96" w:rsidRPr="009A5C7E" w:rsidRDefault="00B47C96"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9A5C7E">
              <w:rPr>
                <w:szCs w:val="18"/>
              </w:rPr>
              <w:t>0 (0.0%)</w:t>
            </w:r>
          </w:p>
        </w:tc>
        <w:tc>
          <w:tcPr>
            <w:tcW w:w="1000" w:type="pct"/>
          </w:tcPr>
          <w:p w14:paraId="3D5A483E" w14:textId="571D9094" w:rsidR="00B47C96" w:rsidRPr="009A5C7E" w:rsidRDefault="00B47C96"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9A5C7E">
              <w:rPr>
                <w:szCs w:val="18"/>
              </w:rPr>
              <w:t>1 (50.0%)</w:t>
            </w:r>
          </w:p>
        </w:tc>
      </w:tr>
      <w:tr w:rsidR="002E5B6F" w:rsidRPr="006645CF" w14:paraId="7795EF0D"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4454F6CE" w14:textId="77777777" w:rsidR="00B47C96" w:rsidRPr="00E90673" w:rsidRDefault="00B47C96" w:rsidP="00D11393">
            <w:pPr>
              <w:pStyle w:val="TableText"/>
            </w:pPr>
            <w:r>
              <w:t>Queensland</w:t>
            </w:r>
          </w:p>
        </w:tc>
        <w:tc>
          <w:tcPr>
            <w:tcW w:w="1000" w:type="pct"/>
          </w:tcPr>
          <w:p w14:paraId="0A8D1854" w14:textId="101557E2" w:rsidR="00B47C96" w:rsidRPr="009A5C7E" w:rsidRDefault="00B47C96"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9A5C7E">
              <w:rPr>
                <w:szCs w:val="18"/>
              </w:rPr>
              <w:t>1 (12.5%)</w:t>
            </w:r>
          </w:p>
        </w:tc>
        <w:tc>
          <w:tcPr>
            <w:tcW w:w="1000" w:type="pct"/>
          </w:tcPr>
          <w:p w14:paraId="61EAF9AC" w14:textId="4F999F0F" w:rsidR="00B47C96" w:rsidRPr="009A5C7E" w:rsidRDefault="00B47C96"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9A5C7E">
              <w:rPr>
                <w:szCs w:val="18"/>
              </w:rPr>
              <w:t>1 (12.5%)</w:t>
            </w:r>
          </w:p>
        </w:tc>
        <w:tc>
          <w:tcPr>
            <w:tcW w:w="1000" w:type="pct"/>
          </w:tcPr>
          <w:p w14:paraId="0E792D4E" w14:textId="680A3228" w:rsidR="00B47C96" w:rsidRPr="009A5C7E" w:rsidRDefault="00B47C96"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9A5C7E">
              <w:rPr>
                <w:szCs w:val="18"/>
              </w:rPr>
              <w:t>4 (50.0%)</w:t>
            </w:r>
          </w:p>
        </w:tc>
        <w:tc>
          <w:tcPr>
            <w:tcW w:w="1000" w:type="pct"/>
          </w:tcPr>
          <w:p w14:paraId="59CBB970" w14:textId="24407102" w:rsidR="00B47C96" w:rsidRPr="009A5C7E" w:rsidRDefault="00B47C96"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9A5C7E">
              <w:rPr>
                <w:szCs w:val="18"/>
              </w:rPr>
              <w:t>2 (25.0%)</w:t>
            </w:r>
          </w:p>
        </w:tc>
      </w:tr>
      <w:tr w:rsidR="002E5B6F" w:rsidRPr="006645CF" w14:paraId="1D2974EE"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4E00BF1B" w14:textId="77777777" w:rsidR="00B47C96" w:rsidRPr="006D20D0" w:rsidRDefault="00B47C96" w:rsidP="00D11393">
            <w:pPr>
              <w:pStyle w:val="TableText"/>
              <w:rPr>
                <w:szCs w:val="18"/>
              </w:rPr>
            </w:pPr>
            <w:r>
              <w:rPr>
                <w:szCs w:val="18"/>
              </w:rPr>
              <w:t xml:space="preserve">South Australia </w:t>
            </w:r>
          </w:p>
        </w:tc>
        <w:tc>
          <w:tcPr>
            <w:tcW w:w="1000" w:type="pct"/>
          </w:tcPr>
          <w:p w14:paraId="0DB0528B" w14:textId="573C1B23" w:rsidR="00B47C96" w:rsidRPr="009A5C7E" w:rsidRDefault="00B47C96"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9A5C7E">
              <w:rPr>
                <w:szCs w:val="18"/>
              </w:rPr>
              <w:t>2 (66.7%)</w:t>
            </w:r>
          </w:p>
        </w:tc>
        <w:tc>
          <w:tcPr>
            <w:tcW w:w="1000" w:type="pct"/>
          </w:tcPr>
          <w:p w14:paraId="405B48E8" w14:textId="2BF86355" w:rsidR="00B47C96" w:rsidRPr="009A5C7E" w:rsidRDefault="00B47C96"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9A5C7E">
              <w:rPr>
                <w:szCs w:val="18"/>
              </w:rPr>
              <w:t>1 (33.3%)</w:t>
            </w:r>
          </w:p>
        </w:tc>
        <w:tc>
          <w:tcPr>
            <w:tcW w:w="1000" w:type="pct"/>
          </w:tcPr>
          <w:p w14:paraId="0908BEC8" w14:textId="34822F0E" w:rsidR="00B47C96" w:rsidRPr="009A5C7E" w:rsidRDefault="00B47C96"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9A5C7E">
              <w:rPr>
                <w:szCs w:val="18"/>
              </w:rPr>
              <w:t>0 (0.0%)</w:t>
            </w:r>
          </w:p>
        </w:tc>
        <w:tc>
          <w:tcPr>
            <w:tcW w:w="1000" w:type="pct"/>
          </w:tcPr>
          <w:p w14:paraId="2F8BB19C" w14:textId="6A6F4026" w:rsidR="00B47C96" w:rsidRPr="009A5C7E" w:rsidRDefault="00B47C96"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9A5C7E">
              <w:rPr>
                <w:szCs w:val="18"/>
              </w:rPr>
              <w:t>0 (0.0%)</w:t>
            </w:r>
          </w:p>
        </w:tc>
      </w:tr>
      <w:tr w:rsidR="002E5B6F" w:rsidRPr="006645CF" w14:paraId="51F36D9A"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5A779E55" w14:textId="77777777" w:rsidR="00B47C96" w:rsidRDefault="00B47C96" w:rsidP="00D11393">
            <w:pPr>
              <w:pStyle w:val="TableText"/>
              <w:rPr>
                <w:szCs w:val="18"/>
              </w:rPr>
            </w:pPr>
            <w:r>
              <w:rPr>
                <w:szCs w:val="18"/>
              </w:rPr>
              <w:t>Tasmania</w:t>
            </w:r>
          </w:p>
        </w:tc>
        <w:tc>
          <w:tcPr>
            <w:tcW w:w="1000" w:type="pct"/>
          </w:tcPr>
          <w:p w14:paraId="3A0214D8" w14:textId="37E9FD82" w:rsidR="00B47C96" w:rsidRPr="009A5C7E" w:rsidRDefault="00B47C96"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9A5C7E">
              <w:rPr>
                <w:szCs w:val="18"/>
              </w:rPr>
              <w:t>0 (0.0%)</w:t>
            </w:r>
          </w:p>
        </w:tc>
        <w:tc>
          <w:tcPr>
            <w:tcW w:w="1000" w:type="pct"/>
          </w:tcPr>
          <w:p w14:paraId="7CE686DF" w14:textId="73077CC8" w:rsidR="00B47C96" w:rsidRPr="009A5C7E" w:rsidRDefault="00B47C96"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9A5C7E">
              <w:rPr>
                <w:szCs w:val="18"/>
              </w:rPr>
              <w:t>0 (0.0%)</w:t>
            </w:r>
          </w:p>
        </w:tc>
        <w:tc>
          <w:tcPr>
            <w:tcW w:w="1000" w:type="pct"/>
          </w:tcPr>
          <w:p w14:paraId="32D10223" w14:textId="0153F260" w:rsidR="00B47C96" w:rsidRPr="009A5C7E" w:rsidRDefault="00B47C96"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9A5C7E">
              <w:rPr>
                <w:szCs w:val="18"/>
              </w:rPr>
              <w:t>1 (100.0%)</w:t>
            </w:r>
          </w:p>
        </w:tc>
        <w:tc>
          <w:tcPr>
            <w:tcW w:w="1000" w:type="pct"/>
          </w:tcPr>
          <w:p w14:paraId="174BCC90" w14:textId="48FCE831" w:rsidR="00B47C96" w:rsidRPr="009A5C7E" w:rsidRDefault="00B47C96" w:rsidP="00D11393">
            <w:pPr>
              <w:pStyle w:val="TableText"/>
              <w:cnfStyle w:val="000000000000" w:firstRow="0" w:lastRow="0" w:firstColumn="0" w:lastColumn="0" w:oddVBand="0" w:evenVBand="0" w:oddHBand="0" w:evenHBand="0" w:firstRowFirstColumn="0" w:firstRowLastColumn="0" w:lastRowFirstColumn="0" w:lastRowLastColumn="0"/>
              <w:rPr>
                <w:szCs w:val="18"/>
              </w:rPr>
            </w:pPr>
            <w:r w:rsidRPr="009A5C7E">
              <w:rPr>
                <w:szCs w:val="18"/>
              </w:rPr>
              <w:t>0 (0.0%)</w:t>
            </w:r>
          </w:p>
        </w:tc>
      </w:tr>
      <w:tr w:rsidR="002E5B6F" w:rsidRPr="006645CF" w14:paraId="77B01782"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02C09D1E" w14:textId="77777777" w:rsidR="00B47C96" w:rsidRPr="00C33FD2" w:rsidRDefault="00B47C96" w:rsidP="00D11393">
            <w:pPr>
              <w:pStyle w:val="Tabletextbold"/>
              <w:rPr>
                <w:rFonts w:eastAsiaTheme="minorEastAsia" w:cs="Arial"/>
                <w:b/>
                <w:bCs/>
                <w:szCs w:val="18"/>
              </w:rPr>
            </w:pPr>
            <w:r w:rsidRPr="00C33FD2">
              <w:rPr>
                <w:b/>
                <w:bCs/>
              </w:rPr>
              <w:t>Total</w:t>
            </w:r>
            <w:r w:rsidRPr="00C33FD2">
              <w:rPr>
                <w:rFonts w:eastAsiaTheme="minorEastAsia" w:cs="Arial"/>
                <w:b/>
                <w:bCs/>
                <w:szCs w:val="18"/>
              </w:rPr>
              <w:t>: 31* responses</w:t>
            </w:r>
          </w:p>
        </w:tc>
        <w:tc>
          <w:tcPr>
            <w:tcW w:w="1000" w:type="pct"/>
          </w:tcPr>
          <w:p w14:paraId="32583827" w14:textId="26AF3E5E" w:rsidR="00B47C96" w:rsidRPr="009A5C7E" w:rsidRDefault="00B47C96" w:rsidP="00D11393">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b w:val="0"/>
                <w:szCs w:val="18"/>
              </w:rPr>
            </w:pPr>
            <w:r w:rsidRPr="009A5C7E">
              <w:t>8 (25.8%)</w:t>
            </w:r>
          </w:p>
        </w:tc>
        <w:tc>
          <w:tcPr>
            <w:tcW w:w="1000" w:type="pct"/>
          </w:tcPr>
          <w:p w14:paraId="7D6F091B" w14:textId="014AFABF" w:rsidR="00B47C96" w:rsidRPr="009A5C7E" w:rsidRDefault="00B47C96" w:rsidP="00D11393">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b w:val="0"/>
                <w:szCs w:val="18"/>
              </w:rPr>
            </w:pPr>
            <w:r w:rsidRPr="009A5C7E">
              <w:t>8 (25.8%)</w:t>
            </w:r>
          </w:p>
        </w:tc>
        <w:tc>
          <w:tcPr>
            <w:tcW w:w="1000" w:type="pct"/>
          </w:tcPr>
          <w:p w14:paraId="27BD58F5" w14:textId="42344607" w:rsidR="00B47C96" w:rsidRPr="009A5C7E" w:rsidRDefault="00B47C96" w:rsidP="00D11393">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b w:val="0"/>
                <w:szCs w:val="18"/>
              </w:rPr>
            </w:pPr>
            <w:r w:rsidRPr="009A5C7E">
              <w:t xml:space="preserve">11 </w:t>
            </w:r>
            <w:r w:rsidRPr="009A5C7E">
              <w:rPr>
                <w:b w:val="0"/>
                <w:szCs w:val="18"/>
              </w:rPr>
              <w:t>(35.</w:t>
            </w:r>
            <w:r w:rsidR="0002033D">
              <w:rPr>
                <w:b w:val="0"/>
                <w:szCs w:val="18"/>
              </w:rPr>
              <w:t>5</w:t>
            </w:r>
            <w:r w:rsidRPr="009A5C7E">
              <w:rPr>
                <w:b w:val="0"/>
                <w:szCs w:val="18"/>
              </w:rPr>
              <w:t>%)</w:t>
            </w:r>
          </w:p>
        </w:tc>
        <w:tc>
          <w:tcPr>
            <w:tcW w:w="1000" w:type="pct"/>
          </w:tcPr>
          <w:p w14:paraId="260A6421" w14:textId="29647957" w:rsidR="00B47C96" w:rsidRPr="009A5C7E" w:rsidRDefault="00B47C96" w:rsidP="00D11393">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b w:val="0"/>
                <w:szCs w:val="18"/>
              </w:rPr>
            </w:pPr>
            <w:r w:rsidRPr="009A5C7E">
              <w:t>4 (12.9%)</w:t>
            </w:r>
          </w:p>
        </w:tc>
      </w:tr>
    </w:tbl>
    <w:p w14:paraId="3982C80B" w14:textId="66F3AC26" w:rsidR="00B47C96" w:rsidRPr="0000013E" w:rsidRDefault="00B47C96" w:rsidP="00D11393">
      <w:pPr>
        <w:pStyle w:val="Caption-Source"/>
      </w:pPr>
      <w:r w:rsidRPr="00B47C96">
        <w:t xml:space="preserve">Source: </w:t>
      </w:r>
      <w:r w:rsidR="00604AA5">
        <w:t>Independent reviewer</w:t>
      </w:r>
      <w:r w:rsidR="00584D02" w:rsidRPr="0000013E">
        <w:t xml:space="preserve"> (</w:t>
      </w:r>
      <w:r w:rsidRPr="0000013E">
        <w:t>2025</w:t>
      </w:r>
      <w:r w:rsidR="00584D02" w:rsidRPr="0000013E">
        <w:t>)</w:t>
      </w:r>
    </w:p>
    <w:p w14:paraId="69412489" w14:textId="337CE1EF" w:rsidR="00B47C96" w:rsidRPr="00B47C96" w:rsidRDefault="00B47C96" w:rsidP="00B47C96">
      <w:pPr>
        <w:spacing w:after="120"/>
        <w:rPr>
          <w:rFonts w:ascii="Arial" w:eastAsiaTheme="minorEastAsia" w:hAnsi="Arial" w:cs="Arial"/>
          <w:szCs w:val="20"/>
        </w:rPr>
      </w:pPr>
      <w:r w:rsidRPr="00B47C96">
        <w:rPr>
          <w:rFonts w:ascii="Arial" w:eastAsiaTheme="minorEastAsia" w:hAnsi="Arial" w:cs="Arial"/>
          <w:szCs w:val="20"/>
        </w:rPr>
        <w:t>*Note: While there are only 29 respondents, there is a total of 31 distinct responses due to two respondents having more than one type of prosthesis.</w:t>
      </w:r>
    </w:p>
    <w:p w14:paraId="0B0F1D01" w14:textId="422EA0D6" w:rsidR="00D11393" w:rsidRDefault="00D11393" w:rsidP="00D11393">
      <w:pPr>
        <w:pStyle w:val="Caption"/>
      </w:pPr>
      <w:bookmarkStart w:id="254" w:name="_Toc207348646"/>
      <w:r>
        <w:t xml:space="preserve">Table </w:t>
      </w:r>
      <w:r w:rsidR="00E6799D">
        <w:fldChar w:fldCharType="begin"/>
      </w:r>
      <w:r w:rsidR="00E6799D">
        <w:instrText xml:space="preserve"> SEQ Table \* ARABIC </w:instrText>
      </w:r>
      <w:r w:rsidR="00E6799D">
        <w:fldChar w:fldCharType="separate"/>
      </w:r>
      <w:r w:rsidR="00E6799D">
        <w:rPr>
          <w:noProof/>
        </w:rPr>
        <w:t>81</w:t>
      </w:r>
      <w:r w:rsidR="00E6799D">
        <w:rPr>
          <w:noProof/>
        </w:rPr>
        <w:fldChar w:fldCharType="end"/>
      </w:r>
      <w:r>
        <w:t xml:space="preserve">: </w:t>
      </w:r>
      <w:r w:rsidRPr="00FC24FD">
        <w:t xml:space="preserve">Responses to Question 8 by </w:t>
      </w:r>
      <w:r>
        <w:t>remoteness</w:t>
      </w:r>
      <w:bookmarkEnd w:id="254"/>
    </w:p>
    <w:tbl>
      <w:tblPr>
        <w:tblStyle w:val="KPMGTable"/>
        <w:tblW w:w="5000" w:type="pct"/>
        <w:tblLook w:val="04A0" w:firstRow="1" w:lastRow="0" w:firstColumn="1" w:lastColumn="0" w:noHBand="0" w:noVBand="1"/>
      </w:tblPr>
      <w:tblGrid>
        <w:gridCol w:w="2040"/>
        <w:gridCol w:w="2041"/>
        <w:gridCol w:w="2041"/>
        <w:gridCol w:w="2041"/>
        <w:gridCol w:w="2041"/>
      </w:tblGrid>
      <w:tr w:rsidR="00AD6F37" w14:paraId="13C534CF"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1000" w:type="pct"/>
          </w:tcPr>
          <w:p w14:paraId="06F59EB6" w14:textId="77777777" w:rsidR="00B47C96" w:rsidRDefault="00B47C96" w:rsidP="00D11393">
            <w:pPr>
              <w:pStyle w:val="TableHeading"/>
              <w:rPr>
                <w:b w:val="0"/>
                <w:color w:val="FFFFFF" w:themeColor="background1"/>
                <w:szCs w:val="20"/>
              </w:rPr>
            </w:pPr>
            <w:r>
              <w:t>Response</w:t>
            </w:r>
          </w:p>
        </w:tc>
        <w:tc>
          <w:tcPr>
            <w:tcW w:w="1000" w:type="pct"/>
          </w:tcPr>
          <w:p w14:paraId="17D669DD" w14:textId="77777777" w:rsidR="00B47C96" w:rsidRDefault="00B47C96" w:rsidP="00D11393">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$100 - $999</w:t>
            </w:r>
          </w:p>
        </w:tc>
        <w:tc>
          <w:tcPr>
            <w:tcW w:w="1000" w:type="pct"/>
          </w:tcPr>
          <w:p w14:paraId="17A8012B" w14:textId="77777777" w:rsidR="00B47C96" w:rsidRDefault="00B47C96" w:rsidP="00D11393">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$1,000 - $4,999</w:t>
            </w:r>
          </w:p>
        </w:tc>
        <w:tc>
          <w:tcPr>
            <w:tcW w:w="1000" w:type="pct"/>
          </w:tcPr>
          <w:p w14:paraId="23419A90" w14:textId="77777777" w:rsidR="00B47C96" w:rsidRDefault="00B47C96" w:rsidP="00D11393">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$5,000 - $9,999</w:t>
            </w:r>
          </w:p>
        </w:tc>
        <w:tc>
          <w:tcPr>
            <w:tcW w:w="1000" w:type="pct"/>
          </w:tcPr>
          <w:p w14:paraId="26D35088" w14:textId="77777777" w:rsidR="00B47C96" w:rsidRDefault="00B47C96" w:rsidP="00D11393">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$10,000 or more</w:t>
            </w:r>
          </w:p>
        </w:tc>
      </w:tr>
      <w:tr w:rsidR="002E5B6F" w:rsidRPr="006645CF" w14:paraId="6B51F815"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0F87984C" w14:textId="77777777" w:rsidR="00B47C96" w:rsidRPr="00E90673" w:rsidRDefault="00B47C96" w:rsidP="00D11393">
            <w:pPr>
              <w:pStyle w:val="TableText"/>
            </w:pPr>
            <w:r>
              <w:t>Metropolitan area</w:t>
            </w:r>
          </w:p>
        </w:tc>
        <w:tc>
          <w:tcPr>
            <w:tcW w:w="1000" w:type="pct"/>
          </w:tcPr>
          <w:p w14:paraId="5FEA4215" w14:textId="77777777" w:rsidR="00B47C96" w:rsidRPr="00010F8F" w:rsidRDefault="00B47C96" w:rsidP="00D11393">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010F8F">
              <w:rPr>
                <w:rFonts w:asciiTheme="minorHAnsi" w:hAnsiTheme="minorHAnsi" w:cstheme="minorHAnsi"/>
                <w:szCs w:val="18"/>
              </w:rPr>
              <w:t>5 (41.67%)</w:t>
            </w:r>
          </w:p>
        </w:tc>
        <w:tc>
          <w:tcPr>
            <w:tcW w:w="1000" w:type="pct"/>
          </w:tcPr>
          <w:p w14:paraId="38F6171A" w14:textId="6670925D" w:rsidR="00B47C96" w:rsidRPr="00010F8F" w:rsidRDefault="00152104" w:rsidP="00D11393">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2 (</w:t>
            </w:r>
            <w:r w:rsidR="00B47C96" w:rsidRPr="00010F8F">
              <w:rPr>
                <w:rFonts w:asciiTheme="minorHAnsi" w:hAnsiTheme="minorHAnsi" w:cstheme="minorHAnsi"/>
                <w:szCs w:val="18"/>
              </w:rPr>
              <w:t>16.67%</w:t>
            </w:r>
            <w:r>
              <w:rPr>
                <w:rFonts w:asciiTheme="minorHAnsi" w:hAnsiTheme="minorHAnsi" w:cstheme="minorHAnsi"/>
                <w:szCs w:val="18"/>
              </w:rPr>
              <w:t>)</w:t>
            </w:r>
          </w:p>
        </w:tc>
        <w:tc>
          <w:tcPr>
            <w:tcW w:w="1000" w:type="pct"/>
          </w:tcPr>
          <w:p w14:paraId="53E11F27" w14:textId="5E034099" w:rsidR="00B47C96" w:rsidRPr="00010F8F" w:rsidRDefault="00152104" w:rsidP="00D11393">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3 (</w:t>
            </w:r>
            <w:r w:rsidR="00B47C96" w:rsidRPr="00010F8F">
              <w:rPr>
                <w:rFonts w:asciiTheme="minorHAnsi" w:hAnsiTheme="minorHAnsi" w:cstheme="minorHAnsi"/>
                <w:szCs w:val="18"/>
              </w:rPr>
              <w:t>25.00%</w:t>
            </w:r>
            <w:r>
              <w:rPr>
                <w:rFonts w:asciiTheme="minorHAnsi" w:hAnsiTheme="minorHAnsi" w:cstheme="minorHAnsi"/>
                <w:szCs w:val="18"/>
              </w:rPr>
              <w:t>)</w:t>
            </w:r>
          </w:p>
        </w:tc>
        <w:tc>
          <w:tcPr>
            <w:tcW w:w="1000" w:type="pct"/>
          </w:tcPr>
          <w:p w14:paraId="7E750BC8" w14:textId="5FDF184E" w:rsidR="00B47C96" w:rsidRPr="00010F8F" w:rsidRDefault="00152104" w:rsidP="00D11393">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2 (</w:t>
            </w:r>
            <w:r w:rsidR="00B47C96" w:rsidRPr="00010F8F">
              <w:rPr>
                <w:rFonts w:asciiTheme="minorHAnsi" w:hAnsiTheme="minorHAnsi" w:cstheme="minorHAnsi"/>
                <w:szCs w:val="18"/>
              </w:rPr>
              <w:t>16.67%</w:t>
            </w:r>
            <w:r>
              <w:rPr>
                <w:rFonts w:asciiTheme="minorHAnsi" w:hAnsiTheme="minorHAnsi" w:cstheme="minorHAnsi"/>
                <w:szCs w:val="18"/>
              </w:rPr>
              <w:t>)</w:t>
            </w:r>
          </w:p>
        </w:tc>
      </w:tr>
      <w:tr w:rsidR="002E5B6F" w:rsidRPr="006645CF" w14:paraId="5E317A3F"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42A7245B" w14:textId="77777777" w:rsidR="00B47C96" w:rsidRPr="006D20D0" w:rsidRDefault="00B47C96" w:rsidP="00D11393">
            <w:pPr>
              <w:pStyle w:val="TableText"/>
              <w:rPr>
                <w:szCs w:val="18"/>
              </w:rPr>
            </w:pPr>
            <w:r>
              <w:rPr>
                <w:szCs w:val="18"/>
              </w:rPr>
              <w:t>Regional centre</w:t>
            </w:r>
          </w:p>
        </w:tc>
        <w:tc>
          <w:tcPr>
            <w:tcW w:w="1000" w:type="pct"/>
          </w:tcPr>
          <w:p w14:paraId="212A9219" w14:textId="68E8EC1E" w:rsidR="00B47C96" w:rsidRPr="00010F8F" w:rsidRDefault="00152104" w:rsidP="00D11393">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2 (</w:t>
            </w:r>
            <w:r w:rsidR="00B47C96" w:rsidRPr="00010F8F">
              <w:rPr>
                <w:rFonts w:asciiTheme="minorHAnsi" w:hAnsiTheme="minorHAnsi" w:cstheme="minorHAnsi"/>
                <w:szCs w:val="18"/>
              </w:rPr>
              <w:t>18.18%</w:t>
            </w:r>
            <w:r>
              <w:rPr>
                <w:rFonts w:asciiTheme="minorHAnsi" w:hAnsiTheme="minorHAnsi" w:cstheme="minorHAnsi"/>
                <w:szCs w:val="18"/>
              </w:rPr>
              <w:t>)</w:t>
            </w:r>
          </w:p>
        </w:tc>
        <w:tc>
          <w:tcPr>
            <w:tcW w:w="1000" w:type="pct"/>
          </w:tcPr>
          <w:p w14:paraId="79339727" w14:textId="55D68AAA" w:rsidR="00B47C96" w:rsidRPr="00010F8F" w:rsidRDefault="00152104" w:rsidP="00D11393">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3 (</w:t>
            </w:r>
            <w:r w:rsidR="00B47C96" w:rsidRPr="00010F8F">
              <w:rPr>
                <w:rFonts w:asciiTheme="minorHAnsi" w:hAnsiTheme="minorHAnsi" w:cstheme="minorHAnsi"/>
                <w:szCs w:val="18"/>
              </w:rPr>
              <w:t>27.27%</w:t>
            </w:r>
            <w:r>
              <w:rPr>
                <w:rFonts w:asciiTheme="minorHAnsi" w:hAnsiTheme="minorHAnsi" w:cstheme="minorHAnsi"/>
                <w:szCs w:val="18"/>
              </w:rPr>
              <w:t>)</w:t>
            </w:r>
          </w:p>
        </w:tc>
        <w:tc>
          <w:tcPr>
            <w:tcW w:w="1000" w:type="pct"/>
          </w:tcPr>
          <w:p w14:paraId="4B3ABDB6" w14:textId="73438522" w:rsidR="00B47C96" w:rsidRPr="00010F8F" w:rsidRDefault="00152104" w:rsidP="00D11393">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5 (</w:t>
            </w:r>
            <w:r w:rsidR="00B47C96" w:rsidRPr="00010F8F">
              <w:rPr>
                <w:rFonts w:asciiTheme="minorHAnsi" w:hAnsiTheme="minorHAnsi" w:cstheme="minorHAnsi"/>
                <w:szCs w:val="18"/>
              </w:rPr>
              <w:t>45.45%</w:t>
            </w:r>
            <w:r>
              <w:rPr>
                <w:rFonts w:asciiTheme="minorHAnsi" w:hAnsiTheme="minorHAnsi" w:cstheme="minorHAnsi"/>
                <w:szCs w:val="18"/>
              </w:rPr>
              <w:t>)</w:t>
            </w:r>
          </w:p>
        </w:tc>
        <w:tc>
          <w:tcPr>
            <w:tcW w:w="1000" w:type="pct"/>
          </w:tcPr>
          <w:p w14:paraId="278CC36A" w14:textId="12660400" w:rsidR="00B47C96" w:rsidRPr="00010F8F" w:rsidRDefault="00152104" w:rsidP="00D11393">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2 (</w:t>
            </w:r>
            <w:r w:rsidR="00B47C96" w:rsidRPr="00010F8F">
              <w:rPr>
                <w:rFonts w:asciiTheme="minorHAnsi" w:hAnsiTheme="minorHAnsi" w:cstheme="minorHAnsi"/>
                <w:szCs w:val="18"/>
              </w:rPr>
              <w:t>9.09%</w:t>
            </w:r>
            <w:r w:rsidR="006F242A">
              <w:rPr>
                <w:rFonts w:asciiTheme="minorHAnsi" w:hAnsiTheme="minorHAnsi" w:cstheme="minorHAnsi"/>
                <w:szCs w:val="18"/>
              </w:rPr>
              <w:t>)</w:t>
            </w:r>
          </w:p>
        </w:tc>
      </w:tr>
      <w:tr w:rsidR="002E5B6F" w:rsidRPr="006645CF" w14:paraId="0F784832"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2B2B9A54" w14:textId="77777777" w:rsidR="00B47C96" w:rsidRPr="00E90673" w:rsidRDefault="00B47C96" w:rsidP="00D11393">
            <w:pPr>
              <w:pStyle w:val="TableText"/>
            </w:pPr>
            <w:r>
              <w:rPr>
                <w:szCs w:val="18"/>
              </w:rPr>
              <w:t>Rural area</w:t>
            </w:r>
          </w:p>
        </w:tc>
        <w:tc>
          <w:tcPr>
            <w:tcW w:w="1000" w:type="pct"/>
          </w:tcPr>
          <w:p w14:paraId="42CC6161" w14:textId="7C801B28" w:rsidR="00B47C96" w:rsidRPr="00010F8F" w:rsidRDefault="006F242A" w:rsidP="00D11393">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 (</w:t>
            </w:r>
            <w:r w:rsidR="00B47C96" w:rsidRPr="00010F8F">
              <w:rPr>
                <w:rFonts w:asciiTheme="minorHAnsi" w:hAnsiTheme="minorHAnsi" w:cstheme="minorHAnsi"/>
                <w:szCs w:val="18"/>
              </w:rPr>
              <w:t>12.50%</w:t>
            </w:r>
            <w:r>
              <w:rPr>
                <w:rFonts w:asciiTheme="minorHAnsi" w:hAnsiTheme="minorHAnsi" w:cstheme="minorHAnsi"/>
                <w:szCs w:val="18"/>
              </w:rPr>
              <w:t>)</w:t>
            </w:r>
          </w:p>
        </w:tc>
        <w:tc>
          <w:tcPr>
            <w:tcW w:w="1000" w:type="pct"/>
          </w:tcPr>
          <w:p w14:paraId="35C0B06A" w14:textId="1335ECEE" w:rsidR="00B47C96" w:rsidRPr="00010F8F" w:rsidRDefault="006F242A" w:rsidP="00D11393">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3 (</w:t>
            </w:r>
            <w:r w:rsidR="00B47C96" w:rsidRPr="00010F8F">
              <w:rPr>
                <w:rFonts w:asciiTheme="minorHAnsi" w:hAnsiTheme="minorHAnsi" w:cstheme="minorHAnsi"/>
                <w:szCs w:val="18"/>
              </w:rPr>
              <w:t>37.50%</w:t>
            </w:r>
            <w:r>
              <w:rPr>
                <w:rFonts w:asciiTheme="minorHAnsi" w:hAnsiTheme="minorHAnsi" w:cstheme="minorHAnsi"/>
                <w:szCs w:val="18"/>
              </w:rPr>
              <w:t>)</w:t>
            </w:r>
          </w:p>
        </w:tc>
        <w:tc>
          <w:tcPr>
            <w:tcW w:w="1000" w:type="pct"/>
          </w:tcPr>
          <w:p w14:paraId="3C3C94BF" w14:textId="1E0AD335" w:rsidR="00B47C96" w:rsidRPr="00010F8F" w:rsidRDefault="006F242A" w:rsidP="00D11393">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3 (</w:t>
            </w:r>
            <w:r w:rsidR="00B47C96" w:rsidRPr="00010F8F">
              <w:rPr>
                <w:rFonts w:asciiTheme="minorHAnsi" w:hAnsiTheme="minorHAnsi" w:cstheme="minorHAnsi"/>
                <w:szCs w:val="18"/>
              </w:rPr>
              <w:t>37.50%</w:t>
            </w:r>
            <w:r>
              <w:rPr>
                <w:rFonts w:asciiTheme="minorHAnsi" w:hAnsiTheme="minorHAnsi" w:cstheme="minorHAnsi"/>
                <w:szCs w:val="18"/>
              </w:rPr>
              <w:t>)</w:t>
            </w:r>
          </w:p>
        </w:tc>
        <w:tc>
          <w:tcPr>
            <w:tcW w:w="1000" w:type="pct"/>
          </w:tcPr>
          <w:p w14:paraId="7B232CBD" w14:textId="5E61AEB6" w:rsidR="00B47C96" w:rsidRPr="00010F8F" w:rsidRDefault="006F242A" w:rsidP="00D11393">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 (</w:t>
            </w:r>
            <w:r w:rsidR="00B47C96" w:rsidRPr="00010F8F">
              <w:rPr>
                <w:rFonts w:asciiTheme="minorHAnsi" w:hAnsiTheme="minorHAnsi" w:cstheme="minorHAnsi"/>
                <w:szCs w:val="18"/>
              </w:rPr>
              <w:t>12.50%</w:t>
            </w:r>
            <w:r>
              <w:rPr>
                <w:rFonts w:asciiTheme="minorHAnsi" w:hAnsiTheme="minorHAnsi" w:cstheme="minorHAnsi"/>
                <w:szCs w:val="18"/>
              </w:rPr>
              <w:t>)</w:t>
            </w:r>
          </w:p>
        </w:tc>
      </w:tr>
      <w:tr w:rsidR="002E5B6F" w:rsidRPr="006645CF" w14:paraId="4A0D03E5"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1476719F" w14:textId="77777777" w:rsidR="00B47C96" w:rsidRPr="006D20D0" w:rsidRDefault="00B47C96" w:rsidP="00D11393">
            <w:pPr>
              <w:pStyle w:val="TableText"/>
              <w:rPr>
                <w:szCs w:val="18"/>
              </w:rPr>
            </w:pPr>
            <w:r>
              <w:t>Remote community</w:t>
            </w:r>
          </w:p>
        </w:tc>
        <w:tc>
          <w:tcPr>
            <w:tcW w:w="1000" w:type="pct"/>
          </w:tcPr>
          <w:p w14:paraId="1EF190DE" w14:textId="77777777" w:rsidR="00B47C96" w:rsidRPr="00010F8F" w:rsidRDefault="00B47C96" w:rsidP="00D11393">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szCs w:val="18"/>
              </w:rPr>
              <w:t>0 (0.00%)</w:t>
            </w:r>
          </w:p>
        </w:tc>
        <w:tc>
          <w:tcPr>
            <w:tcW w:w="1000" w:type="pct"/>
          </w:tcPr>
          <w:p w14:paraId="344F5FA7" w14:textId="77777777" w:rsidR="00B47C96" w:rsidRPr="00010F8F" w:rsidRDefault="00B47C96" w:rsidP="00D11393">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szCs w:val="18"/>
              </w:rPr>
              <w:t>0 (0.00%)</w:t>
            </w:r>
          </w:p>
        </w:tc>
        <w:tc>
          <w:tcPr>
            <w:tcW w:w="1000" w:type="pct"/>
          </w:tcPr>
          <w:p w14:paraId="64155CB0" w14:textId="77777777" w:rsidR="00B47C96" w:rsidRPr="00010F8F" w:rsidRDefault="00B47C96" w:rsidP="00D11393">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szCs w:val="18"/>
              </w:rPr>
              <w:t>0 (0.00%)</w:t>
            </w:r>
          </w:p>
        </w:tc>
        <w:tc>
          <w:tcPr>
            <w:tcW w:w="1000" w:type="pct"/>
          </w:tcPr>
          <w:p w14:paraId="2291AFAB" w14:textId="77777777" w:rsidR="00B47C96" w:rsidRPr="00010F8F" w:rsidRDefault="00B47C96" w:rsidP="00D11393">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szCs w:val="18"/>
              </w:rPr>
              <w:t>0 (0.00%)</w:t>
            </w:r>
          </w:p>
        </w:tc>
      </w:tr>
      <w:tr w:rsidR="002E5B6F" w:rsidRPr="006645CF" w14:paraId="06E6C379"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705B3AAF" w14:textId="77777777" w:rsidR="00B47C96" w:rsidRPr="00C33FD2" w:rsidRDefault="00B47C96" w:rsidP="00D11393">
            <w:pPr>
              <w:pStyle w:val="Tabletextbold"/>
              <w:rPr>
                <w:rFonts w:eastAsiaTheme="minorEastAsia" w:cs="Arial"/>
                <w:b/>
                <w:bCs/>
                <w:szCs w:val="18"/>
              </w:rPr>
            </w:pPr>
            <w:r w:rsidRPr="00C33FD2">
              <w:rPr>
                <w:b/>
                <w:bCs/>
              </w:rPr>
              <w:t>Total</w:t>
            </w:r>
            <w:r w:rsidRPr="00C33FD2">
              <w:rPr>
                <w:rFonts w:eastAsiaTheme="minorEastAsia" w:cs="Arial"/>
                <w:b/>
                <w:bCs/>
                <w:szCs w:val="18"/>
              </w:rPr>
              <w:t>: 31 responses</w:t>
            </w:r>
          </w:p>
        </w:tc>
        <w:tc>
          <w:tcPr>
            <w:tcW w:w="1000" w:type="pct"/>
          </w:tcPr>
          <w:p w14:paraId="76E74B40" w14:textId="1B3AE843" w:rsidR="00B47C96" w:rsidRPr="008B6161" w:rsidRDefault="000E7FBD" w:rsidP="00D11393">
            <w:pPr>
              <w:pStyle w:val="Tabletextbold"/>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Cs w:val="18"/>
              </w:rPr>
            </w:pPr>
            <w:r w:rsidRPr="008B6161">
              <w:rPr>
                <w:rFonts w:asciiTheme="minorHAnsi" w:hAnsiTheme="minorHAnsi" w:cstheme="minorHAnsi"/>
                <w:color w:val="000000"/>
              </w:rPr>
              <w:t>8 (</w:t>
            </w:r>
            <w:r w:rsidR="00B47C96" w:rsidRPr="008B6161">
              <w:rPr>
                <w:rFonts w:asciiTheme="minorHAnsi" w:hAnsiTheme="minorHAnsi" w:cstheme="minorHAnsi"/>
                <w:color w:val="000000"/>
                <w:szCs w:val="18"/>
              </w:rPr>
              <w:t>25.81%</w:t>
            </w:r>
            <w:r w:rsidRPr="008B6161">
              <w:rPr>
                <w:rFonts w:asciiTheme="minorHAnsi" w:hAnsiTheme="minorHAnsi" w:cstheme="minorHAnsi"/>
                <w:color w:val="000000"/>
                <w:szCs w:val="18"/>
              </w:rPr>
              <w:t>)</w:t>
            </w:r>
          </w:p>
        </w:tc>
        <w:tc>
          <w:tcPr>
            <w:tcW w:w="1000" w:type="pct"/>
          </w:tcPr>
          <w:p w14:paraId="223EC3DF" w14:textId="58B236C1" w:rsidR="00B47C96" w:rsidRPr="008B6161" w:rsidRDefault="0029703C" w:rsidP="00D11393">
            <w:pPr>
              <w:pStyle w:val="Tabletextbold"/>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Cs w:val="18"/>
              </w:rPr>
            </w:pPr>
            <w:r w:rsidRPr="008B6161">
              <w:rPr>
                <w:rFonts w:asciiTheme="minorHAnsi" w:hAnsiTheme="minorHAnsi" w:cstheme="minorHAnsi"/>
                <w:color w:val="000000"/>
              </w:rPr>
              <w:t>8 (</w:t>
            </w:r>
            <w:r w:rsidR="00B47C96" w:rsidRPr="008B6161">
              <w:rPr>
                <w:rFonts w:asciiTheme="minorHAnsi" w:hAnsiTheme="minorHAnsi" w:cstheme="minorHAnsi"/>
                <w:color w:val="000000"/>
                <w:szCs w:val="18"/>
              </w:rPr>
              <w:t>25.81%</w:t>
            </w:r>
            <w:r w:rsidRPr="008B6161">
              <w:rPr>
                <w:rFonts w:asciiTheme="minorHAnsi" w:hAnsiTheme="minorHAnsi" w:cstheme="minorHAnsi"/>
                <w:color w:val="000000"/>
                <w:szCs w:val="18"/>
              </w:rPr>
              <w:t>)</w:t>
            </w:r>
          </w:p>
        </w:tc>
        <w:tc>
          <w:tcPr>
            <w:tcW w:w="1000" w:type="pct"/>
          </w:tcPr>
          <w:p w14:paraId="5CED11F5" w14:textId="73A4A1A3" w:rsidR="00B47C96" w:rsidRPr="008B6161" w:rsidRDefault="00020F00" w:rsidP="00D11393">
            <w:pPr>
              <w:pStyle w:val="Tabletextbold"/>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Cs w:val="18"/>
              </w:rPr>
            </w:pPr>
            <w:r w:rsidRPr="008B6161">
              <w:rPr>
                <w:rFonts w:asciiTheme="minorHAnsi" w:hAnsiTheme="minorHAnsi" w:cstheme="minorHAnsi"/>
                <w:color w:val="000000"/>
              </w:rPr>
              <w:t>11 (</w:t>
            </w:r>
            <w:r w:rsidR="00B47C96" w:rsidRPr="008B6161">
              <w:rPr>
                <w:rFonts w:asciiTheme="minorHAnsi" w:hAnsiTheme="minorHAnsi" w:cstheme="minorHAnsi"/>
                <w:color w:val="000000"/>
                <w:szCs w:val="18"/>
              </w:rPr>
              <w:t>35.48%</w:t>
            </w:r>
            <w:r w:rsidRPr="008B6161">
              <w:rPr>
                <w:rFonts w:asciiTheme="minorHAnsi" w:hAnsiTheme="minorHAnsi" w:cstheme="minorHAnsi"/>
                <w:color w:val="000000"/>
                <w:szCs w:val="18"/>
              </w:rPr>
              <w:t>)</w:t>
            </w:r>
          </w:p>
        </w:tc>
        <w:tc>
          <w:tcPr>
            <w:tcW w:w="1000" w:type="pct"/>
          </w:tcPr>
          <w:p w14:paraId="0DD6DCF1" w14:textId="43900296" w:rsidR="00B47C96" w:rsidRPr="008B6161" w:rsidRDefault="00020F00" w:rsidP="00D11393">
            <w:pPr>
              <w:pStyle w:val="Tabletextbold"/>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Cs w:val="18"/>
              </w:rPr>
            </w:pPr>
            <w:r w:rsidRPr="008B6161">
              <w:rPr>
                <w:rFonts w:asciiTheme="minorHAnsi" w:hAnsiTheme="minorHAnsi" w:cstheme="minorHAnsi"/>
                <w:color w:val="000000"/>
              </w:rPr>
              <w:t>5 (</w:t>
            </w:r>
            <w:r w:rsidR="00B47C96" w:rsidRPr="008B6161">
              <w:rPr>
                <w:rFonts w:asciiTheme="minorHAnsi" w:hAnsiTheme="minorHAnsi" w:cstheme="minorHAnsi"/>
                <w:color w:val="000000"/>
                <w:szCs w:val="18"/>
              </w:rPr>
              <w:t>12.90%</w:t>
            </w:r>
            <w:r w:rsidRPr="008B6161">
              <w:rPr>
                <w:rFonts w:asciiTheme="minorHAnsi" w:hAnsiTheme="minorHAnsi" w:cstheme="minorHAnsi"/>
                <w:color w:val="000000"/>
                <w:szCs w:val="18"/>
              </w:rPr>
              <w:t>)</w:t>
            </w:r>
          </w:p>
        </w:tc>
      </w:tr>
    </w:tbl>
    <w:p w14:paraId="5DE5BC17" w14:textId="0F077F3D" w:rsidR="00B47C96" w:rsidRPr="0000013E" w:rsidRDefault="00B47C96" w:rsidP="00D11393">
      <w:pPr>
        <w:pStyle w:val="Caption-Source"/>
      </w:pPr>
      <w:r w:rsidRPr="00B47C96">
        <w:t xml:space="preserve">Source: </w:t>
      </w:r>
      <w:r w:rsidR="00B26691">
        <w:t>Independent reviewer</w:t>
      </w:r>
      <w:r w:rsidR="00584D02" w:rsidRPr="0000013E">
        <w:t xml:space="preserve"> (</w:t>
      </w:r>
      <w:r w:rsidRPr="0000013E">
        <w:t>2025</w:t>
      </w:r>
      <w:r w:rsidR="00584D02" w:rsidRPr="0000013E">
        <w:t>)</w:t>
      </w:r>
    </w:p>
    <w:p w14:paraId="30A281E6" w14:textId="43E7329E" w:rsidR="00D11393" w:rsidRDefault="00D11393" w:rsidP="00D11393">
      <w:pPr>
        <w:pStyle w:val="Caption"/>
      </w:pPr>
      <w:bookmarkStart w:id="255" w:name="_Toc207348647"/>
      <w:r>
        <w:t xml:space="preserve">Table </w:t>
      </w:r>
      <w:r w:rsidR="00E6799D">
        <w:fldChar w:fldCharType="begin"/>
      </w:r>
      <w:r w:rsidR="00E6799D">
        <w:instrText xml:space="preserve"> SEQ Table \* ARABIC </w:instrText>
      </w:r>
      <w:r w:rsidR="00E6799D">
        <w:fldChar w:fldCharType="separate"/>
      </w:r>
      <w:r w:rsidR="00E6799D">
        <w:rPr>
          <w:noProof/>
        </w:rPr>
        <w:t>82</w:t>
      </w:r>
      <w:r w:rsidR="00E6799D">
        <w:rPr>
          <w:noProof/>
        </w:rPr>
        <w:fldChar w:fldCharType="end"/>
      </w:r>
      <w:r>
        <w:t xml:space="preserve">: </w:t>
      </w:r>
      <w:r w:rsidRPr="007D501D">
        <w:t xml:space="preserve">Responses to Question 8 by </w:t>
      </w:r>
      <w:r>
        <w:t>prosthesis type</w:t>
      </w:r>
      <w:bookmarkEnd w:id="255"/>
    </w:p>
    <w:tbl>
      <w:tblPr>
        <w:tblStyle w:val="KPMGTable"/>
        <w:tblW w:w="5000" w:type="pct"/>
        <w:tblLook w:val="04A0" w:firstRow="1" w:lastRow="0" w:firstColumn="1" w:lastColumn="0" w:noHBand="0" w:noVBand="1"/>
      </w:tblPr>
      <w:tblGrid>
        <w:gridCol w:w="2040"/>
        <w:gridCol w:w="2041"/>
        <w:gridCol w:w="2041"/>
        <w:gridCol w:w="2041"/>
        <w:gridCol w:w="2041"/>
      </w:tblGrid>
      <w:tr w:rsidR="00AD6F37" w:rsidRPr="00922175" w14:paraId="379610B8" w14:textId="77777777" w:rsidTr="00A10684">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1000" w:type="pct"/>
          </w:tcPr>
          <w:p w14:paraId="78C4562C" w14:textId="77777777" w:rsidR="00B47C96" w:rsidRDefault="00B47C96" w:rsidP="00D11393">
            <w:pPr>
              <w:pStyle w:val="TableHeading"/>
              <w:rPr>
                <w:b w:val="0"/>
                <w:color w:val="FFFFFF" w:themeColor="background1"/>
                <w:szCs w:val="20"/>
              </w:rPr>
            </w:pPr>
            <w:r>
              <w:t>Response</w:t>
            </w:r>
          </w:p>
        </w:tc>
        <w:tc>
          <w:tcPr>
            <w:tcW w:w="1000" w:type="pct"/>
          </w:tcPr>
          <w:p w14:paraId="1F2ACC26" w14:textId="77777777" w:rsidR="00B47C96" w:rsidRDefault="00B47C96" w:rsidP="00D11393">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$100 - $999</w:t>
            </w:r>
          </w:p>
        </w:tc>
        <w:tc>
          <w:tcPr>
            <w:tcW w:w="1000" w:type="pct"/>
          </w:tcPr>
          <w:p w14:paraId="47E69284" w14:textId="77777777" w:rsidR="00B47C96" w:rsidRDefault="00B47C96" w:rsidP="00D11393">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$1,000 - $4,999</w:t>
            </w:r>
          </w:p>
        </w:tc>
        <w:tc>
          <w:tcPr>
            <w:tcW w:w="1000" w:type="pct"/>
          </w:tcPr>
          <w:p w14:paraId="738F9B15" w14:textId="77777777" w:rsidR="00B47C96" w:rsidRDefault="00B47C96" w:rsidP="00D11393">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$5,000 - $9,999</w:t>
            </w:r>
          </w:p>
        </w:tc>
        <w:tc>
          <w:tcPr>
            <w:tcW w:w="1000" w:type="pct"/>
          </w:tcPr>
          <w:p w14:paraId="673D5941" w14:textId="77777777" w:rsidR="00B47C96" w:rsidRDefault="00B47C96" w:rsidP="00D11393">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$10,000 or more</w:t>
            </w:r>
          </w:p>
        </w:tc>
      </w:tr>
      <w:tr w:rsidR="002E5B6F" w:rsidRPr="00922175" w14:paraId="6514AA54"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130C3139" w14:textId="77777777" w:rsidR="00B47C96" w:rsidRPr="00E90673" w:rsidRDefault="00B47C96" w:rsidP="00D11393">
            <w:pPr>
              <w:pStyle w:val="TableText"/>
              <w:rPr>
                <w:szCs w:val="20"/>
              </w:rPr>
            </w:pPr>
            <w:r w:rsidRPr="00922175">
              <w:t>Facial prosthesis</w:t>
            </w:r>
          </w:p>
        </w:tc>
        <w:tc>
          <w:tcPr>
            <w:tcW w:w="1000" w:type="pct"/>
          </w:tcPr>
          <w:p w14:paraId="55C90B08" w14:textId="0D825E1D" w:rsidR="00B47C96" w:rsidRPr="00922175" w:rsidRDefault="005B3C45" w:rsidP="00D11393">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922175">
              <w:t>2 (</w:t>
            </w:r>
            <w:r w:rsidR="00AE2435" w:rsidRPr="00922175">
              <w:t>10.</w:t>
            </w:r>
            <w:r w:rsidR="004B5223" w:rsidRPr="00922175">
              <w:t>5%</w:t>
            </w:r>
            <w:r w:rsidRPr="00922175">
              <w:t>)</w:t>
            </w:r>
          </w:p>
        </w:tc>
        <w:tc>
          <w:tcPr>
            <w:tcW w:w="1000" w:type="pct"/>
          </w:tcPr>
          <w:p w14:paraId="1CB91C02" w14:textId="1FF39F9E" w:rsidR="00B47C96" w:rsidRPr="00922175" w:rsidRDefault="005B3C45" w:rsidP="00D11393">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922175">
              <w:t>4 (</w:t>
            </w:r>
            <w:r w:rsidR="00AE2435" w:rsidRPr="00922175">
              <w:t>21.</w:t>
            </w:r>
            <w:r w:rsidR="004B5223" w:rsidRPr="00922175">
              <w:t>1%</w:t>
            </w:r>
            <w:r w:rsidRPr="00922175">
              <w:t>)</w:t>
            </w:r>
          </w:p>
        </w:tc>
        <w:tc>
          <w:tcPr>
            <w:tcW w:w="1000" w:type="pct"/>
          </w:tcPr>
          <w:p w14:paraId="04743400" w14:textId="1C13D590" w:rsidR="00B47C96" w:rsidRPr="00922175" w:rsidRDefault="005B3C45" w:rsidP="00D11393">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922175">
              <w:t>10 (</w:t>
            </w:r>
            <w:r w:rsidR="004B5223" w:rsidRPr="00922175">
              <w:t>52.6%</w:t>
            </w:r>
            <w:r w:rsidRPr="00922175">
              <w:t>)</w:t>
            </w:r>
          </w:p>
        </w:tc>
        <w:tc>
          <w:tcPr>
            <w:tcW w:w="1000" w:type="pct"/>
          </w:tcPr>
          <w:p w14:paraId="78FB8B1C" w14:textId="2EB4FD9C" w:rsidR="00B47C96" w:rsidRPr="00922175" w:rsidRDefault="005B3C45" w:rsidP="00D11393">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922175">
              <w:t>3 (</w:t>
            </w:r>
            <w:r w:rsidR="00AE2435" w:rsidRPr="00922175">
              <w:t>15.</w:t>
            </w:r>
            <w:r w:rsidR="004B5223" w:rsidRPr="00922175">
              <w:t>8%</w:t>
            </w:r>
            <w:r w:rsidRPr="00922175">
              <w:t>)</w:t>
            </w:r>
          </w:p>
        </w:tc>
      </w:tr>
      <w:tr w:rsidR="002E5B6F" w:rsidRPr="00922175" w14:paraId="189E0F03"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64D74DC7" w14:textId="77777777" w:rsidR="00B47C96" w:rsidRPr="00922175" w:rsidRDefault="00B47C96" w:rsidP="00D11393">
            <w:pPr>
              <w:pStyle w:val="TableText"/>
            </w:pPr>
            <w:r w:rsidRPr="00922175">
              <w:t>An artificial breast worn in the bra</w:t>
            </w:r>
          </w:p>
        </w:tc>
        <w:tc>
          <w:tcPr>
            <w:tcW w:w="1000" w:type="pct"/>
          </w:tcPr>
          <w:p w14:paraId="32CFAF66" w14:textId="7D6A52AF" w:rsidR="00B47C96" w:rsidRPr="00922175" w:rsidRDefault="005B3C45" w:rsidP="00D11393">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922175">
              <w:t>2 (</w:t>
            </w:r>
            <w:r w:rsidR="00AE2435" w:rsidRPr="00922175">
              <w:t>66.</w:t>
            </w:r>
            <w:r w:rsidR="004B5223" w:rsidRPr="00922175">
              <w:t>7%</w:t>
            </w:r>
            <w:r w:rsidRPr="00922175">
              <w:t>)</w:t>
            </w:r>
          </w:p>
        </w:tc>
        <w:tc>
          <w:tcPr>
            <w:tcW w:w="1000" w:type="pct"/>
          </w:tcPr>
          <w:p w14:paraId="6488A94E" w14:textId="78024292" w:rsidR="00B47C96" w:rsidRPr="00922175" w:rsidRDefault="005B3C45" w:rsidP="00D11393">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922175">
              <w:t>1 (</w:t>
            </w:r>
            <w:r w:rsidR="00AE2435" w:rsidRPr="00922175">
              <w:t>33.</w:t>
            </w:r>
            <w:r w:rsidR="004B5223" w:rsidRPr="00922175">
              <w:t>3%</w:t>
            </w:r>
            <w:r w:rsidRPr="00922175">
              <w:t>)</w:t>
            </w:r>
          </w:p>
        </w:tc>
        <w:tc>
          <w:tcPr>
            <w:tcW w:w="1000" w:type="pct"/>
          </w:tcPr>
          <w:p w14:paraId="69D3F996" w14:textId="27BB4556" w:rsidR="00B47C96" w:rsidRPr="00922175" w:rsidRDefault="005B3C45" w:rsidP="00D11393">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922175">
              <w:t>0 (</w:t>
            </w:r>
            <w:r w:rsidR="004B5223" w:rsidRPr="00922175">
              <w:t>0.0%</w:t>
            </w:r>
            <w:r w:rsidRPr="00922175">
              <w:t>)</w:t>
            </w:r>
          </w:p>
        </w:tc>
        <w:tc>
          <w:tcPr>
            <w:tcW w:w="1000" w:type="pct"/>
          </w:tcPr>
          <w:p w14:paraId="041AF10C" w14:textId="2F794306" w:rsidR="00B47C96" w:rsidRPr="00922175" w:rsidRDefault="005B3C45" w:rsidP="00D11393">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922175">
              <w:t>0 (</w:t>
            </w:r>
            <w:r w:rsidR="004B5223" w:rsidRPr="00922175">
              <w:t>0.0%</w:t>
            </w:r>
            <w:r w:rsidRPr="00922175">
              <w:t>)</w:t>
            </w:r>
          </w:p>
        </w:tc>
      </w:tr>
      <w:tr w:rsidR="002E5B6F" w:rsidRPr="00922175" w14:paraId="2FF37408"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4B280A0E" w14:textId="77777777" w:rsidR="00B47C96" w:rsidRPr="00922175" w:rsidRDefault="00B47C96" w:rsidP="00D11393">
            <w:pPr>
              <w:pStyle w:val="TableText"/>
            </w:pPr>
            <w:r w:rsidRPr="00922175">
              <w:t>Voice prostheses</w:t>
            </w:r>
          </w:p>
        </w:tc>
        <w:tc>
          <w:tcPr>
            <w:tcW w:w="1000" w:type="pct"/>
          </w:tcPr>
          <w:p w14:paraId="5A16954C" w14:textId="1E9FC81F" w:rsidR="00B47C96" w:rsidRPr="00922175" w:rsidRDefault="005B3C45" w:rsidP="00D11393">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922175">
              <w:t>3 (</w:t>
            </w:r>
            <w:r w:rsidR="00AE2435" w:rsidRPr="00922175">
              <w:t>75.</w:t>
            </w:r>
            <w:r w:rsidR="004B5223" w:rsidRPr="00922175">
              <w:t>0%</w:t>
            </w:r>
            <w:r w:rsidRPr="00922175">
              <w:t>)</w:t>
            </w:r>
          </w:p>
        </w:tc>
        <w:tc>
          <w:tcPr>
            <w:tcW w:w="1000" w:type="pct"/>
          </w:tcPr>
          <w:p w14:paraId="2F6A7920" w14:textId="275D6639" w:rsidR="00B47C96" w:rsidRPr="00922175" w:rsidRDefault="005B3C45" w:rsidP="00D11393">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922175">
              <w:t>1 (</w:t>
            </w:r>
            <w:r w:rsidR="00AE2435" w:rsidRPr="00922175">
              <w:t>25.</w:t>
            </w:r>
            <w:r w:rsidR="004B5223" w:rsidRPr="00922175">
              <w:t>0%</w:t>
            </w:r>
            <w:r w:rsidRPr="00922175">
              <w:t>)</w:t>
            </w:r>
          </w:p>
        </w:tc>
        <w:tc>
          <w:tcPr>
            <w:tcW w:w="1000" w:type="pct"/>
          </w:tcPr>
          <w:p w14:paraId="22B58569" w14:textId="327A7814" w:rsidR="00B47C96" w:rsidRPr="00922175" w:rsidRDefault="00AE2435" w:rsidP="00D11393">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922175">
              <w:t>0.</w:t>
            </w:r>
            <w:r w:rsidR="004B5223" w:rsidRPr="00922175">
              <w:t>0</w:t>
            </w:r>
            <w:r w:rsidRPr="00922175">
              <w:t>%</w:t>
            </w:r>
          </w:p>
        </w:tc>
        <w:tc>
          <w:tcPr>
            <w:tcW w:w="1000" w:type="pct"/>
          </w:tcPr>
          <w:p w14:paraId="28CBDD3F" w14:textId="5C05CA4B" w:rsidR="00B47C96" w:rsidRPr="00922175" w:rsidRDefault="00AE2435" w:rsidP="00D11393">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922175">
              <w:t>0.</w:t>
            </w:r>
            <w:r w:rsidR="004B5223" w:rsidRPr="00922175">
              <w:t>0</w:t>
            </w:r>
            <w:r w:rsidRPr="00922175">
              <w:t>%</w:t>
            </w:r>
          </w:p>
        </w:tc>
      </w:tr>
      <w:tr w:rsidR="002E5B6F" w:rsidRPr="00922175" w14:paraId="49427DF7"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29B72EF3" w14:textId="77777777" w:rsidR="00B47C96" w:rsidRDefault="00B47C96" w:rsidP="00D11393">
            <w:pPr>
              <w:pStyle w:val="TableText"/>
              <w:rPr>
                <w:szCs w:val="20"/>
              </w:rPr>
            </w:pPr>
            <w:r w:rsidRPr="00922175">
              <w:t>Dental prostheses</w:t>
            </w:r>
          </w:p>
        </w:tc>
        <w:tc>
          <w:tcPr>
            <w:tcW w:w="1000" w:type="pct"/>
          </w:tcPr>
          <w:p w14:paraId="7390E429" w14:textId="10096209" w:rsidR="00B47C96" w:rsidRPr="00922175" w:rsidRDefault="005B3C45" w:rsidP="00D11393">
            <w:pPr>
              <w:pStyle w:val="TableText"/>
              <w:cnfStyle w:val="000000000000" w:firstRow="0" w:lastRow="0" w:firstColumn="0" w:lastColumn="0" w:oddVBand="0" w:evenVBand="0" w:oddHBand="0" w:evenHBand="0" w:firstRowFirstColumn="0" w:firstRowLastColumn="0" w:lastRowFirstColumn="0" w:lastRowLastColumn="0"/>
              <w:rPr>
                <w:rFonts w:cstheme="minorHAnsi"/>
              </w:rPr>
            </w:pPr>
            <w:r w:rsidRPr="00922175">
              <w:t>3 (</w:t>
            </w:r>
            <w:r w:rsidR="00AE2435" w:rsidRPr="00922175">
              <w:t>20.</w:t>
            </w:r>
            <w:r w:rsidR="004B5223" w:rsidRPr="00922175">
              <w:t>0%</w:t>
            </w:r>
            <w:r w:rsidRPr="00922175">
              <w:t>)</w:t>
            </w:r>
          </w:p>
        </w:tc>
        <w:tc>
          <w:tcPr>
            <w:tcW w:w="1000" w:type="pct"/>
          </w:tcPr>
          <w:p w14:paraId="188DE877" w14:textId="23C9795A" w:rsidR="00B47C96" w:rsidRPr="00922175" w:rsidRDefault="005B3C45" w:rsidP="00D11393">
            <w:pPr>
              <w:pStyle w:val="TableText"/>
              <w:cnfStyle w:val="000000000000" w:firstRow="0" w:lastRow="0" w:firstColumn="0" w:lastColumn="0" w:oddVBand="0" w:evenVBand="0" w:oddHBand="0" w:evenHBand="0" w:firstRowFirstColumn="0" w:firstRowLastColumn="0" w:lastRowFirstColumn="0" w:lastRowLastColumn="0"/>
              <w:rPr>
                <w:rFonts w:cstheme="minorHAnsi"/>
              </w:rPr>
            </w:pPr>
            <w:r w:rsidRPr="00922175">
              <w:t>1 (</w:t>
            </w:r>
            <w:r w:rsidR="00AE2435" w:rsidRPr="00922175">
              <w:t>40.</w:t>
            </w:r>
            <w:r w:rsidR="004B5223" w:rsidRPr="00922175">
              <w:t>0%</w:t>
            </w:r>
            <w:r w:rsidRPr="00922175">
              <w:t>)</w:t>
            </w:r>
          </w:p>
        </w:tc>
        <w:tc>
          <w:tcPr>
            <w:tcW w:w="1000" w:type="pct"/>
          </w:tcPr>
          <w:p w14:paraId="171BE28B" w14:textId="7AA9ABAF" w:rsidR="00B47C96" w:rsidRPr="00922175" w:rsidRDefault="005B3C45" w:rsidP="00D11393">
            <w:pPr>
              <w:pStyle w:val="TableText"/>
              <w:cnfStyle w:val="000000000000" w:firstRow="0" w:lastRow="0" w:firstColumn="0" w:lastColumn="0" w:oddVBand="0" w:evenVBand="0" w:oddHBand="0" w:evenHBand="0" w:firstRowFirstColumn="0" w:firstRowLastColumn="0" w:lastRowFirstColumn="0" w:lastRowLastColumn="0"/>
              <w:rPr>
                <w:rFonts w:cstheme="minorHAnsi"/>
              </w:rPr>
            </w:pPr>
            <w:r w:rsidRPr="00922175">
              <w:t>1 (</w:t>
            </w:r>
            <w:r w:rsidR="00AE2435" w:rsidRPr="00922175">
              <w:t>20.</w:t>
            </w:r>
            <w:r w:rsidR="004B5223" w:rsidRPr="00922175">
              <w:t>0%</w:t>
            </w:r>
            <w:r w:rsidRPr="00922175">
              <w:t>)</w:t>
            </w:r>
          </w:p>
        </w:tc>
        <w:tc>
          <w:tcPr>
            <w:tcW w:w="1000" w:type="pct"/>
          </w:tcPr>
          <w:p w14:paraId="23CEA2A6" w14:textId="75111A9A" w:rsidR="00B47C96" w:rsidRPr="00922175" w:rsidRDefault="005B3C45" w:rsidP="00D11393">
            <w:pPr>
              <w:pStyle w:val="TableText"/>
              <w:cnfStyle w:val="000000000000" w:firstRow="0" w:lastRow="0" w:firstColumn="0" w:lastColumn="0" w:oddVBand="0" w:evenVBand="0" w:oddHBand="0" w:evenHBand="0" w:firstRowFirstColumn="0" w:firstRowLastColumn="0" w:lastRowFirstColumn="0" w:lastRowLastColumn="0"/>
              <w:rPr>
                <w:rFonts w:cstheme="minorHAnsi"/>
              </w:rPr>
            </w:pPr>
            <w:r w:rsidRPr="00922175">
              <w:t>1 (</w:t>
            </w:r>
            <w:r w:rsidR="00AE2435" w:rsidRPr="00922175">
              <w:t>20.</w:t>
            </w:r>
            <w:r w:rsidR="004B5223" w:rsidRPr="00922175">
              <w:t>0%</w:t>
            </w:r>
            <w:r w:rsidRPr="00922175">
              <w:t>)</w:t>
            </w:r>
          </w:p>
        </w:tc>
      </w:tr>
      <w:tr w:rsidR="002E5B6F" w:rsidRPr="00922175" w14:paraId="0EEC6225"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16E74766" w14:textId="77777777" w:rsidR="00B47C96" w:rsidRDefault="00B47C96" w:rsidP="00D11393">
            <w:pPr>
              <w:pStyle w:val="TableText"/>
              <w:rPr>
                <w:szCs w:val="20"/>
              </w:rPr>
            </w:pPr>
            <w:r w:rsidRPr="00922175">
              <w:t>Fat grafting</w:t>
            </w:r>
          </w:p>
        </w:tc>
        <w:tc>
          <w:tcPr>
            <w:tcW w:w="1000" w:type="pct"/>
          </w:tcPr>
          <w:p w14:paraId="41AABF4A" w14:textId="1A6C3806" w:rsidR="00B47C96" w:rsidRPr="00922175" w:rsidRDefault="005B3C45" w:rsidP="00D11393">
            <w:pPr>
              <w:pStyle w:val="TableText"/>
              <w:cnfStyle w:val="000000000000" w:firstRow="0" w:lastRow="0" w:firstColumn="0" w:lastColumn="0" w:oddVBand="0" w:evenVBand="0" w:oddHBand="0" w:evenHBand="0" w:firstRowFirstColumn="0" w:firstRowLastColumn="0" w:lastRowFirstColumn="0" w:lastRowLastColumn="0"/>
              <w:rPr>
                <w:rFonts w:cstheme="minorHAnsi"/>
              </w:rPr>
            </w:pPr>
            <w:r w:rsidRPr="00922175">
              <w:t>0 (0.0%)</w:t>
            </w:r>
          </w:p>
        </w:tc>
        <w:tc>
          <w:tcPr>
            <w:tcW w:w="1000" w:type="pct"/>
          </w:tcPr>
          <w:p w14:paraId="4E794C4E" w14:textId="7258078D" w:rsidR="00B47C96" w:rsidRPr="00922175" w:rsidRDefault="005B3C45" w:rsidP="00D11393">
            <w:pPr>
              <w:pStyle w:val="TableText"/>
              <w:cnfStyle w:val="000000000000" w:firstRow="0" w:lastRow="0" w:firstColumn="0" w:lastColumn="0" w:oddVBand="0" w:evenVBand="0" w:oddHBand="0" w:evenHBand="0" w:firstRowFirstColumn="0" w:firstRowLastColumn="0" w:lastRowFirstColumn="0" w:lastRowLastColumn="0"/>
              <w:rPr>
                <w:rFonts w:cstheme="minorHAnsi"/>
              </w:rPr>
            </w:pPr>
            <w:r w:rsidRPr="00922175">
              <w:t>0 (0.0%)</w:t>
            </w:r>
          </w:p>
        </w:tc>
        <w:tc>
          <w:tcPr>
            <w:tcW w:w="1000" w:type="pct"/>
          </w:tcPr>
          <w:p w14:paraId="1E711EAF" w14:textId="00E04F52" w:rsidR="00B47C96" w:rsidRPr="00922175" w:rsidRDefault="005B3C45" w:rsidP="00D11393">
            <w:pPr>
              <w:pStyle w:val="TableText"/>
              <w:cnfStyle w:val="000000000000" w:firstRow="0" w:lastRow="0" w:firstColumn="0" w:lastColumn="0" w:oddVBand="0" w:evenVBand="0" w:oddHBand="0" w:evenHBand="0" w:firstRowFirstColumn="0" w:firstRowLastColumn="0" w:lastRowFirstColumn="0" w:lastRowLastColumn="0"/>
              <w:rPr>
                <w:rFonts w:cstheme="minorHAnsi"/>
              </w:rPr>
            </w:pPr>
            <w:r w:rsidRPr="00922175">
              <w:t>0 (0.0%)</w:t>
            </w:r>
          </w:p>
        </w:tc>
        <w:tc>
          <w:tcPr>
            <w:tcW w:w="1000" w:type="pct"/>
          </w:tcPr>
          <w:p w14:paraId="74B2EAF3" w14:textId="792C51DC" w:rsidR="00B47C96" w:rsidRPr="00922175" w:rsidRDefault="005B3C45" w:rsidP="00D11393">
            <w:pPr>
              <w:pStyle w:val="TableText"/>
              <w:cnfStyle w:val="000000000000" w:firstRow="0" w:lastRow="0" w:firstColumn="0" w:lastColumn="0" w:oddVBand="0" w:evenVBand="0" w:oddHBand="0" w:evenHBand="0" w:firstRowFirstColumn="0" w:firstRowLastColumn="0" w:lastRowFirstColumn="0" w:lastRowLastColumn="0"/>
              <w:rPr>
                <w:rFonts w:cstheme="minorHAnsi"/>
              </w:rPr>
            </w:pPr>
            <w:r w:rsidRPr="00922175">
              <w:t>1 (</w:t>
            </w:r>
            <w:r w:rsidR="00AE2435" w:rsidRPr="00922175">
              <w:t>100.</w:t>
            </w:r>
            <w:r w:rsidRPr="00922175">
              <w:t>0%)</w:t>
            </w:r>
          </w:p>
        </w:tc>
      </w:tr>
      <w:tr w:rsidR="002E5B6F" w:rsidRPr="00922175" w14:paraId="7671A7BC" w14:textId="77777777" w:rsidTr="00D11393">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1D7DCE48" w14:textId="77777777" w:rsidR="00B47C96" w:rsidRPr="00C33FD2" w:rsidRDefault="00B47C96" w:rsidP="00D11393">
            <w:pPr>
              <w:pStyle w:val="Tabletextbold"/>
              <w:rPr>
                <w:rFonts w:eastAsiaTheme="minorEastAsia" w:cs="Arial"/>
                <w:b/>
                <w:bCs/>
                <w:szCs w:val="18"/>
              </w:rPr>
            </w:pPr>
            <w:r w:rsidRPr="00C33FD2">
              <w:rPr>
                <w:b/>
                <w:bCs/>
              </w:rPr>
              <w:t>Total: 31 responses</w:t>
            </w:r>
          </w:p>
        </w:tc>
        <w:tc>
          <w:tcPr>
            <w:tcW w:w="1000" w:type="pct"/>
          </w:tcPr>
          <w:p w14:paraId="7E5F5367" w14:textId="3964013F" w:rsidR="00B47C96" w:rsidRPr="00922175" w:rsidRDefault="008B2B2F" w:rsidP="00D11393">
            <w:pPr>
              <w:pStyle w:val="Tabletextbold"/>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b w:val="0"/>
                <w:szCs w:val="18"/>
              </w:rPr>
            </w:pPr>
            <w:r w:rsidRPr="00922175">
              <w:t>8 (</w:t>
            </w:r>
            <w:r w:rsidR="00AE2435" w:rsidRPr="00922175">
              <w:t>25.</w:t>
            </w:r>
            <w:r w:rsidR="005B3C45" w:rsidRPr="00922175">
              <w:t>0%</w:t>
            </w:r>
            <w:r w:rsidRPr="00922175">
              <w:t>)</w:t>
            </w:r>
          </w:p>
        </w:tc>
        <w:tc>
          <w:tcPr>
            <w:tcW w:w="1000" w:type="pct"/>
          </w:tcPr>
          <w:p w14:paraId="2A0F9FEA" w14:textId="05F42670" w:rsidR="00B47C96" w:rsidRPr="00922175" w:rsidRDefault="008B2B2F" w:rsidP="00D11393">
            <w:pPr>
              <w:pStyle w:val="Tabletextbold"/>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b w:val="0"/>
                <w:szCs w:val="18"/>
              </w:rPr>
            </w:pPr>
            <w:r w:rsidRPr="00922175">
              <w:t>8 (</w:t>
            </w:r>
            <w:r w:rsidR="00AE2435" w:rsidRPr="00922175">
              <w:t>25.</w:t>
            </w:r>
            <w:r w:rsidR="005B3C45" w:rsidRPr="00922175">
              <w:t>0%</w:t>
            </w:r>
            <w:r w:rsidRPr="00922175">
              <w:t>)</w:t>
            </w:r>
          </w:p>
        </w:tc>
        <w:tc>
          <w:tcPr>
            <w:tcW w:w="1000" w:type="pct"/>
          </w:tcPr>
          <w:p w14:paraId="34769379" w14:textId="00CEB921" w:rsidR="00B47C96" w:rsidRPr="00922175" w:rsidRDefault="008B2B2F" w:rsidP="00D11393">
            <w:pPr>
              <w:pStyle w:val="Tabletextbold"/>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b w:val="0"/>
                <w:szCs w:val="18"/>
              </w:rPr>
            </w:pPr>
            <w:r w:rsidRPr="00922175">
              <w:t>11 (</w:t>
            </w:r>
            <w:r w:rsidR="005B3C45" w:rsidRPr="00922175">
              <w:t>34.4%</w:t>
            </w:r>
            <w:r w:rsidRPr="00922175">
              <w:t>)</w:t>
            </w:r>
          </w:p>
        </w:tc>
        <w:tc>
          <w:tcPr>
            <w:tcW w:w="1000" w:type="pct"/>
          </w:tcPr>
          <w:p w14:paraId="44045D07" w14:textId="0BBF1464" w:rsidR="00B47C96" w:rsidRPr="00922175" w:rsidRDefault="008B2B2F" w:rsidP="00D11393">
            <w:pPr>
              <w:pStyle w:val="Tabletextbold"/>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b w:val="0"/>
                <w:szCs w:val="18"/>
              </w:rPr>
            </w:pPr>
            <w:r w:rsidRPr="00922175">
              <w:t>5 (</w:t>
            </w:r>
            <w:r w:rsidR="00AE2435" w:rsidRPr="00922175">
              <w:t>15.</w:t>
            </w:r>
            <w:r w:rsidR="005B3C45" w:rsidRPr="00922175">
              <w:t>6%</w:t>
            </w:r>
            <w:r w:rsidRPr="00922175">
              <w:t>)</w:t>
            </w:r>
          </w:p>
        </w:tc>
      </w:tr>
    </w:tbl>
    <w:p w14:paraId="2A4B15A9" w14:textId="77777777" w:rsidR="00A10684" w:rsidRDefault="00B47C96" w:rsidP="00D11393">
      <w:pPr>
        <w:pStyle w:val="Caption-Source"/>
      </w:pPr>
      <w:r w:rsidRPr="00B47C96">
        <w:t xml:space="preserve">Source: </w:t>
      </w:r>
      <w:r w:rsidR="00B26691">
        <w:t>Independent reviewer</w:t>
      </w:r>
      <w:r w:rsidR="00584D02" w:rsidRPr="0000013E">
        <w:t xml:space="preserve"> (</w:t>
      </w:r>
      <w:r w:rsidRPr="0000013E">
        <w:t>2025</w:t>
      </w:r>
      <w:r w:rsidR="00584D02" w:rsidRPr="0000013E">
        <w:t>)</w:t>
      </w:r>
    </w:p>
    <w:p w14:paraId="6E8A5B3A" w14:textId="24429B43" w:rsidR="00C33FD2" w:rsidRPr="00A10684" w:rsidRDefault="00C33FD2" w:rsidP="00A10684">
      <w:r w:rsidRPr="00A10684">
        <w:br w:type="page"/>
      </w:r>
    </w:p>
    <w:p w14:paraId="3D5EBC7A" w14:textId="1C53A0D6" w:rsidR="00F00433" w:rsidRPr="0042443F" w:rsidRDefault="00F00433" w:rsidP="0000013E">
      <w:pPr>
        <w:pStyle w:val="ListNumber"/>
        <w:rPr>
          <w:rStyle w:val="Strong"/>
        </w:rPr>
      </w:pPr>
      <w:r w:rsidRPr="0042443F">
        <w:rPr>
          <w:rStyle w:val="Strong"/>
        </w:rPr>
        <w:t xml:space="preserve">Did you have access to any of the following funding sources for your prosthesis (or the prosthesis used by the person you care for)? [multi answer, mandatory] </w:t>
      </w:r>
    </w:p>
    <w:p w14:paraId="767173C7" w14:textId="77777777" w:rsidR="00F00433" w:rsidRPr="001B7159" w:rsidRDefault="00F00433" w:rsidP="00D11393">
      <w:pPr>
        <w:pStyle w:val="Bullet1stlevel"/>
      </w:pPr>
      <w:r w:rsidRPr="001B7159">
        <w:t>NDIS</w:t>
      </w:r>
    </w:p>
    <w:p w14:paraId="797382DD" w14:textId="77777777" w:rsidR="00F00433" w:rsidRDefault="00F00433" w:rsidP="00D11393">
      <w:pPr>
        <w:pStyle w:val="Bullet1stlevel"/>
      </w:pPr>
      <w:r w:rsidRPr="001B7159">
        <w:t>Department of Veterans Affairs (DVA)</w:t>
      </w:r>
    </w:p>
    <w:p w14:paraId="5F7055F0" w14:textId="77777777" w:rsidR="00F00433" w:rsidRDefault="00F00433" w:rsidP="00D11393">
      <w:pPr>
        <w:pStyle w:val="Bullet1stlevel"/>
      </w:pPr>
      <w:r>
        <w:t>State/territory health department program/scheme</w:t>
      </w:r>
    </w:p>
    <w:p w14:paraId="739DC98D" w14:textId="77777777" w:rsidR="00F00433" w:rsidRDefault="00F00433" w:rsidP="00D11393">
      <w:pPr>
        <w:pStyle w:val="Bullet1stlevel"/>
      </w:pPr>
      <w:r>
        <w:t>Private health insurance</w:t>
      </w:r>
    </w:p>
    <w:p w14:paraId="074A1F9C" w14:textId="77777777" w:rsidR="00F00433" w:rsidRDefault="00F00433" w:rsidP="00D11393">
      <w:pPr>
        <w:pStyle w:val="Bullet1stlevel"/>
      </w:pPr>
      <w:r>
        <w:t>Charity</w:t>
      </w:r>
    </w:p>
    <w:p w14:paraId="41AB610A" w14:textId="77777777" w:rsidR="00F00433" w:rsidRDefault="00F00433" w:rsidP="00D11393">
      <w:pPr>
        <w:pStyle w:val="Bullet1stlevel"/>
      </w:pPr>
      <w:r w:rsidRPr="001B7159">
        <w:t>Philanthropic source</w:t>
      </w:r>
    </w:p>
    <w:p w14:paraId="66B68D67" w14:textId="77777777" w:rsidR="00F00433" w:rsidRDefault="00F00433" w:rsidP="00D11393">
      <w:pPr>
        <w:pStyle w:val="Bullet1stlevel"/>
      </w:pPr>
      <w:r>
        <w:t>Family / friends / other relatives</w:t>
      </w:r>
    </w:p>
    <w:p w14:paraId="045BA148" w14:textId="77777777" w:rsidR="00F00433" w:rsidRPr="001B7159" w:rsidRDefault="00F00433" w:rsidP="00D11393">
      <w:pPr>
        <w:pStyle w:val="Bullet1stlevel"/>
        <w:rPr>
          <w:rFonts w:ascii="Arial" w:eastAsiaTheme="minorEastAsia" w:hAnsi="Arial" w:cs="Arial"/>
        </w:rPr>
      </w:pPr>
      <w:r w:rsidRPr="001B7159">
        <w:rPr>
          <w:rFonts w:ascii="Arial" w:eastAsiaTheme="minorEastAsia" w:hAnsi="Arial" w:cs="Arial"/>
        </w:rPr>
        <w:t>Other, please specify</w:t>
      </w:r>
      <w:r>
        <w:rPr>
          <w:rFonts w:ascii="Arial" w:eastAsiaTheme="minorEastAsia" w:hAnsi="Arial" w:cs="Arial"/>
        </w:rPr>
        <w:t xml:space="preserve"> </w:t>
      </w:r>
      <w:r w:rsidRPr="00D11393">
        <w:t>[free text, not required]</w:t>
      </w:r>
    </w:p>
    <w:p w14:paraId="09EB6FA3" w14:textId="31EF0170" w:rsidR="00F0436F" w:rsidRDefault="00EB6E23" w:rsidP="007A7F51">
      <w:r>
        <w:t>Six</w:t>
      </w:r>
      <w:r w:rsidR="000E4675">
        <w:t xml:space="preserve"> respondents identified </w:t>
      </w:r>
      <w:r w:rsidR="006B13B7">
        <w:t xml:space="preserve">another funding source that was not included in the survey options. </w:t>
      </w:r>
      <w:r w:rsidR="008440A5">
        <w:t xml:space="preserve">These </w:t>
      </w:r>
      <w:r w:rsidR="00BD63F6">
        <w:t xml:space="preserve">funding </w:t>
      </w:r>
      <w:r w:rsidR="008440A5">
        <w:t>sources are:</w:t>
      </w:r>
    </w:p>
    <w:p w14:paraId="056AE1AC" w14:textId="207752E8" w:rsidR="008440A5" w:rsidRDefault="008440A5" w:rsidP="00D11393">
      <w:pPr>
        <w:pStyle w:val="Bullet1stlevel"/>
      </w:pPr>
      <w:r>
        <w:t xml:space="preserve">Two respondents identified Medicare as their funding source </w:t>
      </w:r>
      <w:r w:rsidR="00BD63F6">
        <w:t>– they both had an external breast prosthesis,</w:t>
      </w:r>
    </w:p>
    <w:p w14:paraId="0261CE6D" w14:textId="1E47D764" w:rsidR="00BD63F6" w:rsidRDefault="00FE0F3B" w:rsidP="00D11393">
      <w:pPr>
        <w:pStyle w:val="Bullet1stlevel"/>
      </w:pPr>
      <w:r>
        <w:t>Two respondents identified th</w:t>
      </w:r>
      <w:r w:rsidR="00537ACA">
        <w:t>eir hospital as their funding source</w:t>
      </w:r>
      <w:r w:rsidR="00EE7A1F">
        <w:t xml:space="preserve"> – they both had a prosthetic </w:t>
      </w:r>
      <w:proofErr w:type="gramStart"/>
      <w:r w:rsidR="00EE7A1F">
        <w:t>nose</w:t>
      </w:r>
      <w:proofErr w:type="gramEnd"/>
      <w:r w:rsidR="00EE7A1F">
        <w:t xml:space="preserve"> and one respondent had a</w:t>
      </w:r>
      <w:r w:rsidR="006602BF">
        <w:t>n additional soft or hard palate prosthesis,</w:t>
      </w:r>
    </w:p>
    <w:p w14:paraId="4BF1F481" w14:textId="36C11788" w:rsidR="006602BF" w:rsidRDefault="00A64E61" w:rsidP="00D11393">
      <w:pPr>
        <w:pStyle w:val="Bullet1stlevel"/>
      </w:pPr>
      <w:r>
        <w:t xml:space="preserve">One respondent identified part of their superannuation pension as their funding source, </w:t>
      </w:r>
      <w:r w:rsidR="00A40F45">
        <w:t>and</w:t>
      </w:r>
    </w:p>
    <w:p w14:paraId="198EA170" w14:textId="561FE991" w:rsidR="00A40F45" w:rsidRPr="008440A5" w:rsidRDefault="001C6335" w:rsidP="00D11393">
      <w:pPr>
        <w:pStyle w:val="Bullet1stlevel"/>
      </w:pPr>
      <w:r>
        <w:t xml:space="preserve">One respondent </w:t>
      </w:r>
      <w:r w:rsidR="004D30C2">
        <w:t>did not specify</w:t>
      </w:r>
      <w:r w:rsidR="001E7F54">
        <w:t xml:space="preserve"> their funding source.</w:t>
      </w:r>
    </w:p>
    <w:p w14:paraId="154CB555" w14:textId="3673C528" w:rsidR="005E5A81" w:rsidRPr="00DD71E7" w:rsidRDefault="005E5A81" w:rsidP="00DD71E7">
      <w:r w:rsidRPr="00DD71E7">
        <w:t>Each column outlines the number of respondents, and the proportion of respondents within each row indicated in an accompanying bracket.</w:t>
      </w:r>
    </w:p>
    <w:p w14:paraId="372A636B" w14:textId="5AA608C2" w:rsidR="006D15A9" w:rsidRDefault="006D15A9" w:rsidP="006D15A9">
      <w:pPr>
        <w:pStyle w:val="Caption"/>
      </w:pPr>
      <w:bookmarkStart w:id="256" w:name="_Toc207348648"/>
      <w:r>
        <w:t xml:space="preserve">Table </w:t>
      </w:r>
      <w:r w:rsidR="00E6799D">
        <w:fldChar w:fldCharType="begin"/>
      </w:r>
      <w:r w:rsidR="00E6799D">
        <w:instrText xml:space="preserve"> SEQ Table \* ARABIC </w:instrText>
      </w:r>
      <w:r w:rsidR="00E6799D">
        <w:fldChar w:fldCharType="separate"/>
      </w:r>
      <w:r w:rsidR="00E6799D">
        <w:rPr>
          <w:noProof/>
        </w:rPr>
        <w:t>83</w:t>
      </w:r>
      <w:r w:rsidR="00E6799D">
        <w:rPr>
          <w:noProof/>
        </w:rPr>
        <w:fldChar w:fldCharType="end"/>
      </w:r>
      <w:r>
        <w:t xml:space="preserve">: </w:t>
      </w:r>
      <w:r w:rsidRPr="003E1F82">
        <w:t xml:space="preserve">Responses to Question </w:t>
      </w:r>
      <w:r>
        <w:t>9</w:t>
      </w:r>
      <w:r w:rsidRPr="003E1F82">
        <w:t xml:space="preserve"> by </w:t>
      </w:r>
      <w:r>
        <w:t>jurisdiction</w:t>
      </w:r>
      <w:bookmarkEnd w:id="256"/>
    </w:p>
    <w:tbl>
      <w:tblPr>
        <w:tblStyle w:val="KPMGTable"/>
        <w:tblW w:w="5000" w:type="pct"/>
        <w:tblLayout w:type="fixed"/>
        <w:tblLook w:val="04A0" w:firstRow="1" w:lastRow="0" w:firstColumn="1" w:lastColumn="0" w:noHBand="0" w:noVBand="1"/>
      </w:tblPr>
      <w:tblGrid>
        <w:gridCol w:w="1419"/>
        <w:gridCol w:w="1105"/>
        <w:gridCol w:w="959"/>
        <w:gridCol w:w="961"/>
        <w:gridCol w:w="959"/>
        <w:gridCol w:w="961"/>
        <w:gridCol w:w="959"/>
        <w:gridCol w:w="961"/>
        <w:gridCol w:w="959"/>
        <w:gridCol w:w="961"/>
      </w:tblGrid>
      <w:tr w:rsidR="00E03DF2" w14:paraId="0BFFFF74" w14:textId="77777777" w:rsidTr="007A7F51">
        <w:trPr>
          <w:cnfStyle w:val="100000000000" w:firstRow="1" w:lastRow="0" w:firstColumn="0" w:lastColumn="0" w:oddVBand="0" w:evenVBand="0" w:oddHBand="0" w:evenHBand="0" w:firstRowFirstColumn="0" w:firstRowLastColumn="0" w:lastRowFirstColumn="0" w:lastRowLastColumn="0"/>
          <w:trHeight w:val="1154"/>
          <w:tblHeader/>
        </w:trPr>
        <w:tc>
          <w:tcPr>
            <w:cnfStyle w:val="001000000000" w:firstRow="0" w:lastRow="0" w:firstColumn="1" w:lastColumn="0" w:oddVBand="0" w:evenVBand="0" w:oddHBand="0" w:evenHBand="0" w:firstRowFirstColumn="0" w:firstRowLastColumn="0" w:lastRowFirstColumn="0" w:lastRowLastColumn="0"/>
            <w:tcW w:w="695" w:type="pct"/>
          </w:tcPr>
          <w:p w14:paraId="1FEC47E2" w14:textId="22525327" w:rsidR="0007773F" w:rsidRDefault="006D15A9" w:rsidP="006D15A9">
            <w:pPr>
              <w:pStyle w:val="TableHeading"/>
            </w:pPr>
            <w:r>
              <w:t>Jurisdiction</w:t>
            </w:r>
          </w:p>
        </w:tc>
        <w:tc>
          <w:tcPr>
            <w:tcW w:w="541" w:type="pct"/>
          </w:tcPr>
          <w:p w14:paraId="468E74EE" w14:textId="77777777" w:rsidR="0007773F" w:rsidRDefault="0007773F" w:rsidP="006D15A9">
            <w:pPr>
              <w:pStyle w:val="TableHeading"/>
              <w:cnfStyle w:val="100000000000" w:firstRow="1" w:lastRow="0" w:firstColumn="0" w:lastColumn="0" w:oddVBand="0" w:evenVBand="0" w:oddHBand="0" w:evenHBand="0" w:firstRowFirstColumn="0" w:firstRowLastColumn="0" w:lastRowFirstColumn="0" w:lastRowLastColumn="0"/>
            </w:pPr>
            <w:r>
              <w:t>NDIS</w:t>
            </w:r>
          </w:p>
        </w:tc>
        <w:tc>
          <w:tcPr>
            <w:tcW w:w="470" w:type="pct"/>
          </w:tcPr>
          <w:p w14:paraId="6228A168" w14:textId="77777777" w:rsidR="0007773F" w:rsidRDefault="0007773F" w:rsidP="006D15A9">
            <w:pPr>
              <w:pStyle w:val="TableHeading"/>
              <w:cnfStyle w:val="100000000000" w:firstRow="1" w:lastRow="0" w:firstColumn="0" w:lastColumn="0" w:oddVBand="0" w:evenVBand="0" w:oddHBand="0" w:evenHBand="0" w:firstRowFirstColumn="0" w:firstRowLastColumn="0" w:lastRowFirstColumn="0" w:lastRowLastColumn="0"/>
            </w:pPr>
            <w:r>
              <w:t>DVA</w:t>
            </w:r>
          </w:p>
        </w:tc>
        <w:tc>
          <w:tcPr>
            <w:tcW w:w="471" w:type="pct"/>
          </w:tcPr>
          <w:p w14:paraId="4BC4EF8B" w14:textId="7759F577" w:rsidR="0007773F" w:rsidRDefault="0007773F" w:rsidP="006D15A9">
            <w:pPr>
              <w:pStyle w:val="TableHeading"/>
              <w:cnfStyle w:val="100000000000" w:firstRow="1" w:lastRow="0" w:firstColumn="0" w:lastColumn="0" w:oddVBand="0" w:evenVBand="0" w:oddHBand="0" w:evenHBand="0" w:firstRowFirstColumn="0" w:firstRowLastColumn="0" w:lastRowFirstColumn="0" w:lastRowLastColumn="0"/>
            </w:pPr>
            <w:r>
              <w:t xml:space="preserve">State / territory health </w:t>
            </w:r>
            <w:r w:rsidR="00BF4D99">
              <w:t>depart-</w:t>
            </w:r>
            <w:proofErr w:type="spellStart"/>
            <w:r w:rsidR="00BF4D99">
              <w:t>m</w:t>
            </w:r>
            <w:r>
              <w:t>ent</w:t>
            </w:r>
            <w:proofErr w:type="spellEnd"/>
          </w:p>
        </w:tc>
        <w:tc>
          <w:tcPr>
            <w:tcW w:w="470" w:type="pct"/>
          </w:tcPr>
          <w:p w14:paraId="5D267C63" w14:textId="7762DA53" w:rsidR="0007773F" w:rsidRDefault="0007773F" w:rsidP="006D15A9">
            <w:pPr>
              <w:pStyle w:val="TableHeading"/>
              <w:cnfStyle w:val="100000000000" w:firstRow="1" w:lastRow="0" w:firstColumn="0" w:lastColumn="0" w:oddVBand="0" w:evenVBand="0" w:oddHBand="0" w:evenHBand="0" w:firstRowFirstColumn="0" w:firstRowLastColumn="0" w:lastRowFirstColumn="0" w:lastRowLastColumn="0"/>
            </w:pPr>
            <w:r>
              <w:t xml:space="preserve">Private health </w:t>
            </w:r>
            <w:r w:rsidR="006D15A9">
              <w:t>insurance</w:t>
            </w:r>
          </w:p>
        </w:tc>
        <w:tc>
          <w:tcPr>
            <w:tcW w:w="471" w:type="pct"/>
          </w:tcPr>
          <w:p w14:paraId="287EDA74" w14:textId="77777777" w:rsidR="0007773F" w:rsidRDefault="0007773F" w:rsidP="006D15A9">
            <w:pPr>
              <w:pStyle w:val="TableHeading"/>
              <w:cnfStyle w:val="100000000000" w:firstRow="1" w:lastRow="0" w:firstColumn="0" w:lastColumn="0" w:oddVBand="0" w:evenVBand="0" w:oddHBand="0" w:evenHBand="0" w:firstRowFirstColumn="0" w:firstRowLastColumn="0" w:lastRowFirstColumn="0" w:lastRowLastColumn="0"/>
            </w:pPr>
            <w:r>
              <w:t>Charity</w:t>
            </w:r>
          </w:p>
        </w:tc>
        <w:tc>
          <w:tcPr>
            <w:tcW w:w="470" w:type="pct"/>
          </w:tcPr>
          <w:p w14:paraId="258F4A9E" w14:textId="0A9797BD" w:rsidR="0007773F" w:rsidRDefault="0007773F" w:rsidP="006D15A9">
            <w:pPr>
              <w:pStyle w:val="TableHeading"/>
              <w:cnfStyle w:val="100000000000" w:firstRow="1" w:lastRow="0" w:firstColumn="0" w:lastColumn="0" w:oddVBand="0" w:evenVBand="0" w:oddHBand="0" w:evenHBand="0" w:firstRowFirstColumn="0" w:firstRowLastColumn="0" w:lastRowFirstColumn="0" w:lastRowLastColumn="0"/>
            </w:pPr>
            <w:r>
              <w:t>Philant</w:t>
            </w:r>
            <w:r w:rsidR="00BF4D99">
              <w:t>-</w:t>
            </w:r>
            <w:proofErr w:type="spellStart"/>
            <w:r>
              <w:t>hropic</w:t>
            </w:r>
            <w:proofErr w:type="spellEnd"/>
            <w:r>
              <w:t xml:space="preserve"> source</w:t>
            </w:r>
          </w:p>
        </w:tc>
        <w:tc>
          <w:tcPr>
            <w:tcW w:w="471" w:type="pct"/>
          </w:tcPr>
          <w:p w14:paraId="052E44E7" w14:textId="77777777" w:rsidR="0007773F" w:rsidRDefault="0007773F" w:rsidP="006D15A9">
            <w:pPr>
              <w:pStyle w:val="TableHeading"/>
              <w:cnfStyle w:val="100000000000" w:firstRow="1" w:lastRow="0" w:firstColumn="0" w:lastColumn="0" w:oddVBand="0" w:evenVBand="0" w:oddHBand="0" w:evenHBand="0" w:firstRowFirstColumn="0" w:firstRowLastColumn="0" w:lastRowFirstColumn="0" w:lastRowLastColumn="0"/>
            </w:pPr>
            <w:r>
              <w:t>Family / friends/ other relatives</w:t>
            </w:r>
          </w:p>
        </w:tc>
        <w:tc>
          <w:tcPr>
            <w:tcW w:w="470" w:type="pct"/>
          </w:tcPr>
          <w:p w14:paraId="5B15F98E" w14:textId="77777777" w:rsidR="0007773F" w:rsidRDefault="0007773F" w:rsidP="006D15A9">
            <w:pPr>
              <w:pStyle w:val="TableHeading"/>
              <w:cnfStyle w:val="100000000000" w:firstRow="1" w:lastRow="0" w:firstColumn="0" w:lastColumn="0" w:oddVBand="0" w:evenVBand="0" w:oddHBand="0" w:evenHBand="0" w:firstRowFirstColumn="0" w:firstRowLastColumn="0" w:lastRowFirstColumn="0" w:lastRowLastColumn="0"/>
            </w:pPr>
            <w:r>
              <w:t>Other</w:t>
            </w:r>
          </w:p>
        </w:tc>
        <w:tc>
          <w:tcPr>
            <w:tcW w:w="471" w:type="pct"/>
          </w:tcPr>
          <w:p w14:paraId="751399CB" w14:textId="74A4D7D8" w:rsidR="0007773F" w:rsidRPr="006D15A9" w:rsidRDefault="0007773F" w:rsidP="006D15A9">
            <w:pPr>
              <w:pStyle w:val="TableHeading"/>
              <w:cnfStyle w:val="100000000000" w:firstRow="1" w:lastRow="0" w:firstColumn="0" w:lastColumn="0" w:oddVBand="0" w:evenVBand="0" w:oddHBand="0" w:evenHBand="0" w:firstRowFirstColumn="0" w:firstRowLastColumn="0" w:lastRowFirstColumn="0" w:lastRowLastColumn="0"/>
              <w:rPr>
                <w:szCs w:val="20"/>
              </w:rPr>
            </w:pPr>
            <w:r w:rsidRPr="006D15A9">
              <w:rPr>
                <w:szCs w:val="20"/>
              </w:rPr>
              <w:t>No funding access</w:t>
            </w:r>
            <w:r w:rsidR="00BF4D99" w:rsidRPr="006D15A9">
              <w:rPr>
                <w:szCs w:val="20"/>
              </w:rPr>
              <w:t>-</w:t>
            </w:r>
            <w:r w:rsidRPr="006D15A9">
              <w:rPr>
                <w:szCs w:val="20"/>
              </w:rPr>
              <w:t>ed</w:t>
            </w:r>
          </w:p>
        </w:tc>
      </w:tr>
      <w:tr w:rsidR="00EF4A46" w:rsidRPr="006645CF" w14:paraId="433B1A0A" w14:textId="77777777" w:rsidTr="006D15A9">
        <w:trPr>
          <w:trHeight w:val="71"/>
        </w:trPr>
        <w:tc>
          <w:tcPr>
            <w:cnfStyle w:val="001000000000" w:firstRow="0" w:lastRow="0" w:firstColumn="1" w:lastColumn="0" w:oddVBand="0" w:evenVBand="0" w:oddHBand="0" w:evenHBand="0" w:firstRowFirstColumn="0" w:firstRowLastColumn="0" w:lastRowFirstColumn="0" w:lastRowLastColumn="0"/>
            <w:tcW w:w="695" w:type="pct"/>
          </w:tcPr>
          <w:p w14:paraId="76F7BE9C" w14:textId="77777777" w:rsidR="009D6B4F" w:rsidRPr="00E90673" w:rsidRDefault="009D6B4F" w:rsidP="006D15A9">
            <w:pPr>
              <w:pStyle w:val="TableText"/>
            </w:pPr>
            <w:r>
              <w:t>New South Wales</w:t>
            </w:r>
          </w:p>
        </w:tc>
        <w:tc>
          <w:tcPr>
            <w:tcW w:w="541" w:type="pct"/>
          </w:tcPr>
          <w:p w14:paraId="19584CBA" w14:textId="7E8F188D" w:rsidR="009D6B4F" w:rsidRPr="006645CF" w:rsidRDefault="009D6B4F"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2</w:t>
            </w:r>
            <w:r w:rsidR="00FE58B4">
              <w:rPr>
                <w:szCs w:val="18"/>
              </w:rPr>
              <w:t xml:space="preserve"> </w:t>
            </w:r>
            <w:r w:rsidR="00281E89">
              <w:rPr>
                <w:szCs w:val="18"/>
              </w:rPr>
              <w:br/>
            </w:r>
            <w:r w:rsidR="00FE58B4">
              <w:rPr>
                <w:szCs w:val="18"/>
              </w:rPr>
              <w:t xml:space="preserve">(5.1%) </w:t>
            </w:r>
          </w:p>
        </w:tc>
        <w:tc>
          <w:tcPr>
            <w:tcW w:w="470" w:type="pct"/>
          </w:tcPr>
          <w:p w14:paraId="6B843E54" w14:textId="17219648" w:rsidR="009D6B4F" w:rsidRPr="006645CF" w:rsidRDefault="009D6B4F"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w:t>
            </w:r>
            <w:r w:rsidR="00FE58B4">
              <w:rPr>
                <w:szCs w:val="18"/>
              </w:rPr>
              <w:t xml:space="preserve"> </w:t>
            </w:r>
            <w:r w:rsidR="00281E89">
              <w:rPr>
                <w:szCs w:val="18"/>
              </w:rPr>
              <w:br/>
            </w:r>
            <w:r w:rsidR="00FE58B4">
              <w:rPr>
                <w:szCs w:val="18"/>
              </w:rPr>
              <w:t>(2.</w:t>
            </w:r>
            <w:r w:rsidR="00281E89">
              <w:rPr>
                <w:szCs w:val="18"/>
              </w:rPr>
              <w:t>5</w:t>
            </w:r>
            <w:r w:rsidR="00FE58B4">
              <w:rPr>
                <w:szCs w:val="18"/>
              </w:rPr>
              <w:t>%)</w:t>
            </w:r>
          </w:p>
        </w:tc>
        <w:tc>
          <w:tcPr>
            <w:tcW w:w="471" w:type="pct"/>
          </w:tcPr>
          <w:p w14:paraId="4B5816A6" w14:textId="2905AB49" w:rsidR="009D6B4F" w:rsidRPr="006645CF" w:rsidRDefault="009D6B4F"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11</w:t>
            </w:r>
            <w:r w:rsidR="00FE58B4">
              <w:rPr>
                <w:szCs w:val="18"/>
              </w:rPr>
              <w:t xml:space="preserve"> (28.</w:t>
            </w:r>
            <w:r w:rsidR="00281E89">
              <w:rPr>
                <w:szCs w:val="18"/>
              </w:rPr>
              <w:t>2</w:t>
            </w:r>
            <w:r w:rsidR="00FE58B4">
              <w:rPr>
                <w:szCs w:val="18"/>
              </w:rPr>
              <w:t>%)</w:t>
            </w:r>
          </w:p>
        </w:tc>
        <w:tc>
          <w:tcPr>
            <w:tcW w:w="470" w:type="pct"/>
          </w:tcPr>
          <w:p w14:paraId="0D69BB25" w14:textId="76536572" w:rsidR="009D6B4F" w:rsidRPr="006645CF" w:rsidRDefault="009D6B4F"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2</w:t>
            </w:r>
            <w:r w:rsidR="00FE58B4">
              <w:rPr>
                <w:szCs w:val="18"/>
              </w:rPr>
              <w:t xml:space="preserve"> </w:t>
            </w:r>
            <w:r w:rsidR="001B5D62">
              <w:rPr>
                <w:szCs w:val="18"/>
              </w:rPr>
              <w:br/>
            </w:r>
            <w:r w:rsidR="00FE58B4">
              <w:rPr>
                <w:szCs w:val="18"/>
              </w:rPr>
              <w:t>(5.</w:t>
            </w:r>
            <w:r w:rsidR="001B5D62">
              <w:rPr>
                <w:szCs w:val="18"/>
              </w:rPr>
              <w:t>1</w:t>
            </w:r>
            <w:r w:rsidR="00FE58B4">
              <w:rPr>
                <w:szCs w:val="18"/>
              </w:rPr>
              <w:t>%)</w:t>
            </w:r>
          </w:p>
        </w:tc>
        <w:tc>
          <w:tcPr>
            <w:tcW w:w="471" w:type="pct"/>
          </w:tcPr>
          <w:p w14:paraId="2C3D2FF1" w14:textId="3E2A84F1" w:rsidR="009D6B4F" w:rsidRPr="006645CF" w:rsidRDefault="009D6B4F"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w:t>
            </w:r>
            <w:r w:rsidR="00FE58B4">
              <w:rPr>
                <w:szCs w:val="18"/>
              </w:rPr>
              <w:t xml:space="preserve"> </w:t>
            </w:r>
            <w:r w:rsidR="001B5D62">
              <w:rPr>
                <w:szCs w:val="18"/>
              </w:rPr>
              <w:br/>
            </w:r>
            <w:r w:rsidR="00FE58B4">
              <w:rPr>
                <w:szCs w:val="18"/>
              </w:rPr>
              <w:t>(2.</w:t>
            </w:r>
            <w:r w:rsidR="001B5D62">
              <w:rPr>
                <w:szCs w:val="18"/>
              </w:rPr>
              <w:t>6</w:t>
            </w:r>
            <w:r w:rsidR="00FE58B4">
              <w:rPr>
                <w:szCs w:val="18"/>
              </w:rPr>
              <w:t>%)</w:t>
            </w:r>
          </w:p>
        </w:tc>
        <w:tc>
          <w:tcPr>
            <w:tcW w:w="470" w:type="pct"/>
          </w:tcPr>
          <w:p w14:paraId="4264FE8D" w14:textId="021DF31B" w:rsidR="009D6B4F" w:rsidRPr="006645CF" w:rsidRDefault="009D6B4F"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w:t>
            </w:r>
            <w:r w:rsidR="00FE58B4">
              <w:rPr>
                <w:szCs w:val="18"/>
              </w:rPr>
              <w:t xml:space="preserve"> </w:t>
            </w:r>
            <w:r w:rsidR="001B5D62">
              <w:rPr>
                <w:szCs w:val="18"/>
              </w:rPr>
              <w:br/>
            </w:r>
            <w:r w:rsidR="00FE58B4">
              <w:rPr>
                <w:szCs w:val="18"/>
              </w:rPr>
              <w:t>(0.</w:t>
            </w:r>
            <w:r w:rsidR="00281E89" w:rsidRPr="003106DA">
              <w:rPr>
                <w:szCs w:val="18"/>
              </w:rPr>
              <w:t>0</w:t>
            </w:r>
            <w:r w:rsidR="00FE58B4">
              <w:rPr>
                <w:szCs w:val="18"/>
              </w:rPr>
              <w:t>%)</w:t>
            </w:r>
          </w:p>
        </w:tc>
        <w:tc>
          <w:tcPr>
            <w:tcW w:w="471" w:type="pct"/>
          </w:tcPr>
          <w:p w14:paraId="3786446F" w14:textId="0DFDD9A3" w:rsidR="009D6B4F" w:rsidRPr="006645CF" w:rsidRDefault="00097AED"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w:t>
            </w:r>
            <w:r w:rsidR="00FE58B4">
              <w:rPr>
                <w:szCs w:val="18"/>
              </w:rPr>
              <w:t xml:space="preserve"> </w:t>
            </w:r>
            <w:r w:rsidR="001B5D62">
              <w:rPr>
                <w:szCs w:val="18"/>
              </w:rPr>
              <w:br/>
            </w:r>
            <w:r w:rsidR="00FE58B4">
              <w:rPr>
                <w:szCs w:val="18"/>
              </w:rPr>
              <w:t>(0.</w:t>
            </w:r>
            <w:r w:rsidR="001B5D62">
              <w:rPr>
                <w:szCs w:val="18"/>
              </w:rPr>
              <w:t>0</w:t>
            </w:r>
            <w:r w:rsidR="00FE58B4">
              <w:rPr>
                <w:szCs w:val="18"/>
              </w:rPr>
              <w:t>%)</w:t>
            </w:r>
          </w:p>
        </w:tc>
        <w:tc>
          <w:tcPr>
            <w:tcW w:w="470" w:type="pct"/>
          </w:tcPr>
          <w:p w14:paraId="34FC2EAA" w14:textId="79FF1791" w:rsidR="009D6B4F" w:rsidRPr="006645CF" w:rsidRDefault="00C601F1"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6</w:t>
            </w:r>
            <w:r w:rsidR="00FE58B4">
              <w:rPr>
                <w:szCs w:val="18"/>
              </w:rPr>
              <w:t xml:space="preserve"> (15.</w:t>
            </w:r>
            <w:r w:rsidR="001B5D62">
              <w:rPr>
                <w:szCs w:val="18"/>
              </w:rPr>
              <w:t>4</w:t>
            </w:r>
            <w:r w:rsidR="00FE58B4">
              <w:rPr>
                <w:szCs w:val="18"/>
              </w:rPr>
              <w:t>%)</w:t>
            </w:r>
          </w:p>
        </w:tc>
        <w:tc>
          <w:tcPr>
            <w:tcW w:w="471" w:type="pct"/>
          </w:tcPr>
          <w:p w14:paraId="49970F84" w14:textId="5091BDDD" w:rsidR="009D6B4F" w:rsidRPr="006645CF" w:rsidRDefault="00097AED"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16</w:t>
            </w:r>
            <w:r w:rsidR="00FE58B4">
              <w:rPr>
                <w:szCs w:val="18"/>
              </w:rPr>
              <w:t xml:space="preserve"> (41.</w:t>
            </w:r>
            <w:r w:rsidR="001B5D62">
              <w:rPr>
                <w:szCs w:val="18"/>
              </w:rPr>
              <w:t>0</w:t>
            </w:r>
            <w:r w:rsidR="00FE58B4">
              <w:rPr>
                <w:szCs w:val="18"/>
              </w:rPr>
              <w:t>%)</w:t>
            </w:r>
          </w:p>
        </w:tc>
      </w:tr>
      <w:tr w:rsidR="00EF4A46" w:rsidRPr="006645CF" w14:paraId="2DEC197A" w14:textId="77777777" w:rsidTr="006D15A9">
        <w:trPr>
          <w:trHeight w:val="71"/>
        </w:trPr>
        <w:tc>
          <w:tcPr>
            <w:cnfStyle w:val="001000000000" w:firstRow="0" w:lastRow="0" w:firstColumn="1" w:lastColumn="0" w:oddVBand="0" w:evenVBand="0" w:oddHBand="0" w:evenHBand="0" w:firstRowFirstColumn="0" w:firstRowLastColumn="0" w:lastRowFirstColumn="0" w:lastRowLastColumn="0"/>
            <w:tcW w:w="695" w:type="pct"/>
          </w:tcPr>
          <w:p w14:paraId="4D62B85D" w14:textId="77777777" w:rsidR="009D6B4F" w:rsidRPr="006D20D0" w:rsidRDefault="009D6B4F" w:rsidP="006D15A9">
            <w:pPr>
              <w:pStyle w:val="TableText"/>
              <w:rPr>
                <w:szCs w:val="18"/>
              </w:rPr>
            </w:pPr>
            <w:r>
              <w:rPr>
                <w:szCs w:val="18"/>
              </w:rPr>
              <w:t>Victoria</w:t>
            </w:r>
          </w:p>
        </w:tc>
        <w:tc>
          <w:tcPr>
            <w:tcW w:w="541" w:type="pct"/>
          </w:tcPr>
          <w:p w14:paraId="5F47B39B" w14:textId="52ADD59A"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0 </w:t>
            </w:r>
            <w:r w:rsidR="00281E89">
              <w:rPr>
                <w:szCs w:val="18"/>
              </w:rPr>
              <w:br/>
            </w:r>
            <w:r>
              <w:rPr>
                <w:szCs w:val="18"/>
              </w:rPr>
              <w:t>(0.</w:t>
            </w:r>
            <w:r w:rsidR="00281E89">
              <w:rPr>
                <w:szCs w:val="18"/>
              </w:rPr>
              <w:t>0</w:t>
            </w:r>
            <w:r>
              <w:rPr>
                <w:szCs w:val="18"/>
              </w:rPr>
              <w:t>%)</w:t>
            </w:r>
          </w:p>
        </w:tc>
        <w:tc>
          <w:tcPr>
            <w:tcW w:w="470" w:type="pct"/>
          </w:tcPr>
          <w:p w14:paraId="5CC229C2" w14:textId="33A4D324"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0 </w:t>
            </w:r>
            <w:r w:rsidR="0089074A">
              <w:rPr>
                <w:szCs w:val="18"/>
              </w:rPr>
              <w:br/>
            </w:r>
            <w:r>
              <w:rPr>
                <w:szCs w:val="18"/>
              </w:rPr>
              <w:t>(0.</w:t>
            </w:r>
            <w:r w:rsidR="00281E89">
              <w:rPr>
                <w:szCs w:val="18"/>
              </w:rPr>
              <w:t>0</w:t>
            </w:r>
            <w:r>
              <w:rPr>
                <w:szCs w:val="18"/>
              </w:rPr>
              <w:t>%)</w:t>
            </w:r>
          </w:p>
        </w:tc>
        <w:tc>
          <w:tcPr>
            <w:tcW w:w="471" w:type="pct"/>
          </w:tcPr>
          <w:p w14:paraId="1FC8D943" w14:textId="45911EC3"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2 </w:t>
            </w:r>
            <w:r w:rsidR="001B5D62">
              <w:rPr>
                <w:szCs w:val="18"/>
              </w:rPr>
              <w:br/>
            </w:r>
            <w:r>
              <w:rPr>
                <w:szCs w:val="18"/>
              </w:rPr>
              <w:t>(3.</w:t>
            </w:r>
            <w:r w:rsidR="001B5D62">
              <w:rPr>
                <w:szCs w:val="18"/>
              </w:rPr>
              <w:t>3</w:t>
            </w:r>
            <w:r>
              <w:rPr>
                <w:szCs w:val="18"/>
              </w:rPr>
              <w:t>%)</w:t>
            </w:r>
          </w:p>
        </w:tc>
        <w:tc>
          <w:tcPr>
            <w:tcW w:w="470" w:type="pct"/>
          </w:tcPr>
          <w:p w14:paraId="77439463" w14:textId="1B7BC02A"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2 </w:t>
            </w:r>
            <w:r w:rsidR="001B5D62">
              <w:rPr>
                <w:szCs w:val="18"/>
              </w:rPr>
              <w:br/>
            </w:r>
            <w:r>
              <w:rPr>
                <w:szCs w:val="18"/>
              </w:rPr>
              <w:t>(3.</w:t>
            </w:r>
            <w:r w:rsidR="001B5D62">
              <w:rPr>
                <w:szCs w:val="18"/>
              </w:rPr>
              <w:t>3</w:t>
            </w:r>
            <w:r>
              <w:rPr>
                <w:szCs w:val="18"/>
              </w:rPr>
              <w:t>%)</w:t>
            </w:r>
          </w:p>
        </w:tc>
        <w:tc>
          <w:tcPr>
            <w:tcW w:w="471" w:type="pct"/>
          </w:tcPr>
          <w:p w14:paraId="76A08AE1" w14:textId="6F093123"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2 </w:t>
            </w:r>
            <w:r w:rsidR="001B5D62">
              <w:rPr>
                <w:szCs w:val="18"/>
              </w:rPr>
              <w:br/>
            </w:r>
            <w:r>
              <w:rPr>
                <w:szCs w:val="18"/>
              </w:rPr>
              <w:t>(3.</w:t>
            </w:r>
            <w:r w:rsidR="001B5D62">
              <w:rPr>
                <w:szCs w:val="18"/>
              </w:rPr>
              <w:t>3</w:t>
            </w:r>
            <w:r>
              <w:rPr>
                <w:szCs w:val="18"/>
              </w:rPr>
              <w:t>%)</w:t>
            </w:r>
          </w:p>
        </w:tc>
        <w:tc>
          <w:tcPr>
            <w:tcW w:w="470" w:type="pct"/>
          </w:tcPr>
          <w:p w14:paraId="07FCCFC1" w14:textId="54EC8F31"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0 </w:t>
            </w:r>
            <w:r w:rsidR="001B5D62">
              <w:rPr>
                <w:szCs w:val="18"/>
              </w:rPr>
              <w:br/>
            </w:r>
            <w:r>
              <w:rPr>
                <w:szCs w:val="18"/>
              </w:rPr>
              <w:t>(0.</w:t>
            </w:r>
            <w:r w:rsidR="00281E89" w:rsidRPr="004A52F8">
              <w:rPr>
                <w:szCs w:val="18"/>
              </w:rPr>
              <w:t>0</w:t>
            </w:r>
            <w:r>
              <w:rPr>
                <w:szCs w:val="18"/>
              </w:rPr>
              <w:t>%)</w:t>
            </w:r>
          </w:p>
        </w:tc>
        <w:tc>
          <w:tcPr>
            <w:tcW w:w="471" w:type="pct"/>
          </w:tcPr>
          <w:p w14:paraId="08BAD5E4" w14:textId="5E92EEB9"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 (16.</w:t>
            </w:r>
            <w:r w:rsidR="001B5D62">
              <w:rPr>
                <w:szCs w:val="18"/>
              </w:rPr>
              <w:t>7</w:t>
            </w:r>
            <w:r>
              <w:rPr>
                <w:szCs w:val="18"/>
              </w:rPr>
              <w:t>%)</w:t>
            </w:r>
          </w:p>
        </w:tc>
        <w:tc>
          <w:tcPr>
            <w:tcW w:w="470" w:type="pct"/>
          </w:tcPr>
          <w:p w14:paraId="02AC36D7" w14:textId="629E2213" w:rsidR="009D6B4F" w:rsidRPr="006645CF" w:rsidRDefault="005E5A81"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0 </w:t>
            </w:r>
            <w:r w:rsidR="001B5D62">
              <w:rPr>
                <w:szCs w:val="18"/>
              </w:rPr>
              <w:br/>
            </w:r>
            <w:r>
              <w:rPr>
                <w:szCs w:val="18"/>
              </w:rPr>
              <w:t>(0.</w:t>
            </w:r>
            <w:r w:rsidR="001B5D62">
              <w:rPr>
                <w:szCs w:val="18"/>
              </w:rPr>
              <w:t>0</w:t>
            </w:r>
            <w:r>
              <w:rPr>
                <w:szCs w:val="18"/>
              </w:rPr>
              <w:t>%)</w:t>
            </w:r>
          </w:p>
        </w:tc>
        <w:tc>
          <w:tcPr>
            <w:tcW w:w="471" w:type="pct"/>
          </w:tcPr>
          <w:p w14:paraId="23C093A0" w14:textId="022D9E6E"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 (16.</w:t>
            </w:r>
            <w:r w:rsidR="001B5D62">
              <w:rPr>
                <w:szCs w:val="18"/>
              </w:rPr>
              <w:t>7</w:t>
            </w:r>
            <w:r>
              <w:rPr>
                <w:szCs w:val="18"/>
              </w:rPr>
              <w:t>%)</w:t>
            </w:r>
          </w:p>
        </w:tc>
      </w:tr>
      <w:tr w:rsidR="00EF4A46" w:rsidRPr="006645CF" w14:paraId="2B224E7A" w14:textId="77777777" w:rsidTr="006D15A9">
        <w:trPr>
          <w:trHeight w:val="71"/>
        </w:trPr>
        <w:tc>
          <w:tcPr>
            <w:cnfStyle w:val="001000000000" w:firstRow="0" w:lastRow="0" w:firstColumn="1" w:lastColumn="0" w:oddVBand="0" w:evenVBand="0" w:oddHBand="0" w:evenHBand="0" w:firstRowFirstColumn="0" w:firstRowLastColumn="0" w:lastRowFirstColumn="0" w:lastRowLastColumn="0"/>
            <w:tcW w:w="695" w:type="pct"/>
          </w:tcPr>
          <w:p w14:paraId="559A1837" w14:textId="77777777" w:rsidR="009D6B4F" w:rsidRPr="00E90673" w:rsidRDefault="009D6B4F" w:rsidP="006D15A9">
            <w:pPr>
              <w:pStyle w:val="TableText"/>
            </w:pPr>
            <w:r>
              <w:t>Queensland</w:t>
            </w:r>
          </w:p>
        </w:tc>
        <w:tc>
          <w:tcPr>
            <w:tcW w:w="541" w:type="pct"/>
          </w:tcPr>
          <w:p w14:paraId="139FC6FB" w14:textId="4D1E4E25"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0 </w:t>
            </w:r>
            <w:r w:rsidR="00281E89">
              <w:rPr>
                <w:szCs w:val="18"/>
              </w:rPr>
              <w:br/>
            </w:r>
            <w:r>
              <w:rPr>
                <w:szCs w:val="18"/>
              </w:rPr>
              <w:t>(0.</w:t>
            </w:r>
            <w:r w:rsidR="00281E89">
              <w:rPr>
                <w:szCs w:val="18"/>
              </w:rPr>
              <w:t>0</w:t>
            </w:r>
            <w:r>
              <w:rPr>
                <w:szCs w:val="18"/>
              </w:rPr>
              <w:t>%)</w:t>
            </w:r>
          </w:p>
        </w:tc>
        <w:tc>
          <w:tcPr>
            <w:tcW w:w="470" w:type="pct"/>
          </w:tcPr>
          <w:p w14:paraId="73A14C38" w14:textId="4C9D37EB"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0 </w:t>
            </w:r>
            <w:r w:rsidR="0089074A">
              <w:rPr>
                <w:szCs w:val="18"/>
              </w:rPr>
              <w:br/>
            </w:r>
            <w:r>
              <w:rPr>
                <w:szCs w:val="18"/>
              </w:rPr>
              <w:t>(0.</w:t>
            </w:r>
            <w:r w:rsidR="00281E89">
              <w:rPr>
                <w:szCs w:val="18"/>
              </w:rPr>
              <w:t>0</w:t>
            </w:r>
            <w:r>
              <w:rPr>
                <w:szCs w:val="18"/>
              </w:rPr>
              <w:t>%)</w:t>
            </w:r>
          </w:p>
        </w:tc>
        <w:tc>
          <w:tcPr>
            <w:tcW w:w="471" w:type="pct"/>
          </w:tcPr>
          <w:p w14:paraId="0DF5F3A9" w14:textId="43BFBAAA"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w:t>
            </w:r>
            <w:r w:rsidR="005E5A81">
              <w:rPr>
                <w:szCs w:val="18"/>
              </w:rPr>
              <w:t xml:space="preserve"> </w:t>
            </w:r>
            <w:r w:rsidR="001B5D62">
              <w:rPr>
                <w:szCs w:val="18"/>
              </w:rPr>
              <w:br/>
            </w:r>
            <w:r w:rsidR="005E5A81">
              <w:rPr>
                <w:szCs w:val="18"/>
              </w:rPr>
              <w:t>(0.</w:t>
            </w:r>
            <w:r w:rsidR="00281E89">
              <w:rPr>
                <w:szCs w:val="18"/>
              </w:rPr>
              <w:t>0</w:t>
            </w:r>
            <w:r w:rsidR="005E5A81">
              <w:rPr>
                <w:szCs w:val="18"/>
              </w:rPr>
              <w:t>%)</w:t>
            </w:r>
          </w:p>
        </w:tc>
        <w:tc>
          <w:tcPr>
            <w:tcW w:w="470" w:type="pct"/>
          </w:tcPr>
          <w:p w14:paraId="2F9162DA" w14:textId="7587D06A"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2 (13.</w:t>
            </w:r>
            <w:r w:rsidR="001B5D62">
              <w:rPr>
                <w:szCs w:val="18"/>
              </w:rPr>
              <w:t>3</w:t>
            </w:r>
            <w:r>
              <w:rPr>
                <w:szCs w:val="18"/>
              </w:rPr>
              <w:t>%)</w:t>
            </w:r>
          </w:p>
        </w:tc>
        <w:tc>
          <w:tcPr>
            <w:tcW w:w="471" w:type="pct"/>
          </w:tcPr>
          <w:p w14:paraId="778A1178" w14:textId="4EAEF5E4"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2</w:t>
            </w:r>
            <w:r w:rsidR="005E5A81">
              <w:rPr>
                <w:szCs w:val="18"/>
              </w:rPr>
              <w:t xml:space="preserve"> (13.</w:t>
            </w:r>
            <w:r w:rsidR="001B5D62">
              <w:rPr>
                <w:szCs w:val="18"/>
              </w:rPr>
              <w:t>3</w:t>
            </w:r>
            <w:r w:rsidR="005E5A81">
              <w:rPr>
                <w:szCs w:val="18"/>
              </w:rPr>
              <w:t>%)</w:t>
            </w:r>
          </w:p>
        </w:tc>
        <w:tc>
          <w:tcPr>
            <w:tcW w:w="470" w:type="pct"/>
          </w:tcPr>
          <w:p w14:paraId="06CD255A" w14:textId="780FF6B8"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0 </w:t>
            </w:r>
            <w:r w:rsidR="001B5D62">
              <w:rPr>
                <w:szCs w:val="18"/>
              </w:rPr>
              <w:br/>
            </w:r>
            <w:r>
              <w:rPr>
                <w:szCs w:val="18"/>
              </w:rPr>
              <w:t>(0.</w:t>
            </w:r>
            <w:r w:rsidR="00281E89" w:rsidRPr="004A52F8">
              <w:rPr>
                <w:szCs w:val="18"/>
              </w:rPr>
              <w:t>0</w:t>
            </w:r>
            <w:r>
              <w:rPr>
                <w:szCs w:val="18"/>
              </w:rPr>
              <w:t>%)</w:t>
            </w:r>
          </w:p>
        </w:tc>
        <w:tc>
          <w:tcPr>
            <w:tcW w:w="471" w:type="pct"/>
          </w:tcPr>
          <w:p w14:paraId="071EB1CF" w14:textId="45DD0500"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3 (</w:t>
            </w:r>
            <w:r w:rsidR="005E5A81">
              <w:rPr>
                <w:szCs w:val="18"/>
              </w:rPr>
              <w:t>20.</w:t>
            </w:r>
            <w:r w:rsidR="001B5D62">
              <w:rPr>
                <w:szCs w:val="18"/>
              </w:rPr>
              <w:t>0</w:t>
            </w:r>
            <w:r w:rsidR="005E5A81">
              <w:rPr>
                <w:szCs w:val="18"/>
              </w:rPr>
              <w:t>%)</w:t>
            </w:r>
          </w:p>
        </w:tc>
        <w:tc>
          <w:tcPr>
            <w:tcW w:w="470" w:type="pct"/>
          </w:tcPr>
          <w:p w14:paraId="3F9809F2" w14:textId="53431BE3"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1 </w:t>
            </w:r>
            <w:r w:rsidR="001B5D62">
              <w:rPr>
                <w:szCs w:val="18"/>
              </w:rPr>
              <w:br/>
            </w:r>
            <w:r>
              <w:rPr>
                <w:szCs w:val="18"/>
              </w:rPr>
              <w:t>(6.</w:t>
            </w:r>
            <w:r w:rsidR="001B5D62">
              <w:rPr>
                <w:szCs w:val="18"/>
              </w:rPr>
              <w:t>7</w:t>
            </w:r>
            <w:r>
              <w:rPr>
                <w:szCs w:val="18"/>
              </w:rPr>
              <w:t>%)</w:t>
            </w:r>
          </w:p>
        </w:tc>
        <w:tc>
          <w:tcPr>
            <w:tcW w:w="471" w:type="pct"/>
          </w:tcPr>
          <w:p w14:paraId="46C26826" w14:textId="2B239EF4"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7 (46.</w:t>
            </w:r>
            <w:r w:rsidR="001B5D62">
              <w:rPr>
                <w:szCs w:val="18"/>
              </w:rPr>
              <w:t>7</w:t>
            </w:r>
            <w:r>
              <w:rPr>
                <w:szCs w:val="18"/>
              </w:rPr>
              <w:t>%)</w:t>
            </w:r>
          </w:p>
        </w:tc>
      </w:tr>
      <w:tr w:rsidR="00EF4A46" w:rsidRPr="006645CF" w14:paraId="4FEF7784" w14:textId="77777777" w:rsidTr="006D15A9">
        <w:trPr>
          <w:trHeight w:val="71"/>
        </w:trPr>
        <w:tc>
          <w:tcPr>
            <w:cnfStyle w:val="001000000000" w:firstRow="0" w:lastRow="0" w:firstColumn="1" w:lastColumn="0" w:oddVBand="0" w:evenVBand="0" w:oddHBand="0" w:evenHBand="0" w:firstRowFirstColumn="0" w:firstRowLastColumn="0" w:lastRowFirstColumn="0" w:lastRowLastColumn="0"/>
            <w:tcW w:w="695" w:type="pct"/>
          </w:tcPr>
          <w:p w14:paraId="5E295B89" w14:textId="77777777" w:rsidR="009D6B4F" w:rsidRPr="006D20D0" w:rsidRDefault="009D6B4F" w:rsidP="006D15A9">
            <w:pPr>
              <w:pStyle w:val="TableText"/>
              <w:rPr>
                <w:szCs w:val="18"/>
              </w:rPr>
            </w:pPr>
            <w:r>
              <w:rPr>
                <w:szCs w:val="18"/>
              </w:rPr>
              <w:t xml:space="preserve">South Australia </w:t>
            </w:r>
          </w:p>
        </w:tc>
        <w:tc>
          <w:tcPr>
            <w:tcW w:w="541" w:type="pct"/>
          </w:tcPr>
          <w:p w14:paraId="73A97FF7" w14:textId="0056D412"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0 </w:t>
            </w:r>
            <w:r w:rsidR="0089074A">
              <w:rPr>
                <w:szCs w:val="18"/>
              </w:rPr>
              <w:br/>
            </w:r>
            <w:r>
              <w:rPr>
                <w:szCs w:val="18"/>
              </w:rPr>
              <w:t>(0.</w:t>
            </w:r>
            <w:r w:rsidR="00281E89">
              <w:rPr>
                <w:szCs w:val="18"/>
              </w:rPr>
              <w:t>0</w:t>
            </w:r>
            <w:r>
              <w:rPr>
                <w:szCs w:val="18"/>
              </w:rPr>
              <w:t>%)</w:t>
            </w:r>
          </w:p>
        </w:tc>
        <w:tc>
          <w:tcPr>
            <w:tcW w:w="470" w:type="pct"/>
          </w:tcPr>
          <w:p w14:paraId="489F27D5" w14:textId="4E942A53"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0 </w:t>
            </w:r>
            <w:r w:rsidR="0089074A">
              <w:rPr>
                <w:szCs w:val="18"/>
              </w:rPr>
              <w:br/>
            </w:r>
            <w:r>
              <w:rPr>
                <w:szCs w:val="18"/>
              </w:rPr>
              <w:t>(0.</w:t>
            </w:r>
            <w:r w:rsidR="00281E89">
              <w:rPr>
                <w:szCs w:val="18"/>
              </w:rPr>
              <w:t>0</w:t>
            </w:r>
            <w:r>
              <w:rPr>
                <w:szCs w:val="18"/>
              </w:rPr>
              <w:t>%)</w:t>
            </w:r>
          </w:p>
        </w:tc>
        <w:tc>
          <w:tcPr>
            <w:tcW w:w="471" w:type="pct"/>
          </w:tcPr>
          <w:p w14:paraId="1CC7EF06" w14:textId="24CAD18F"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2</w:t>
            </w:r>
            <w:r w:rsidR="005E5A81">
              <w:rPr>
                <w:szCs w:val="18"/>
              </w:rPr>
              <w:t xml:space="preserve"> (40.00%)</w:t>
            </w:r>
          </w:p>
        </w:tc>
        <w:tc>
          <w:tcPr>
            <w:tcW w:w="470" w:type="pct"/>
          </w:tcPr>
          <w:p w14:paraId="3D296816" w14:textId="132928A5"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0 </w:t>
            </w:r>
            <w:r w:rsidR="001B5D62">
              <w:rPr>
                <w:szCs w:val="18"/>
              </w:rPr>
              <w:br/>
            </w:r>
            <w:r>
              <w:rPr>
                <w:szCs w:val="18"/>
              </w:rPr>
              <w:t>(0.</w:t>
            </w:r>
            <w:r w:rsidR="001B5D62">
              <w:rPr>
                <w:szCs w:val="18"/>
              </w:rPr>
              <w:t>0</w:t>
            </w:r>
            <w:r>
              <w:rPr>
                <w:szCs w:val="18"/>
              </w:rPr>
              <w:t>%)</w:t>
            </w:r>
          </w:p>
        </w:tc>
        <w:tc>
          <w:tcPr>
            <w:tcW w:w="471" w:type="pct"/>
          </w:tcPr>
          <w:p w14:paraId="788AE297" w14:textId="3F5E817E"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0 </w:t>
            </w:r>
            <w:r w:rsidR="001B5D62">
              <w:rPr>
                <w:szCs w:val="18"/>
              </w:rPr>
              <w:br/>
            </w:r>
            <w:r>
              <w:rPr>
                <w:szCs w:val="18"/>
              </w:rPr>
              <w:t>(0.</w:t>
            </w:r>
            <w:r w:rsidR="001B5D62">
              <w:rPr>
                <w:szCs w:val="18"/>
              </w:rPr>
              <w:t>0</w:t>
            </w:r>
            <w:r>
              <w:rPr>
                <w:szCs w:val="18"/>
              </w:rPr>
              <w:t>%)</w:t>
            </w:r>
          </w:p>
        </w:tc>
        <w:tc>
          <w:tcPr>
            <w:tcW w:w="470" w:type="pct"/>
          </w:tcPr>
          <w:p w14:paraId="0323A974" w14:textId="588BDB7A"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0 </w:t>
            </w:r>
            <w:r w:rsidR="001B5D62">
              <w:rPr>
                <w:szCs w:val="18"/>
              </w:rPr>
              <w:br/>
            </w:r>
            <w:r>
              <w:rPr>
                <w:szCs w:val="18"/>
              </w:rPr>
              <w:t>(0.</w:t>
            </w:r>
            <w:r w:rsidR="00281E89" w:rsidRPr="004A52F8">
              <w:rPr>
                <w:szCs w:val="18"/>
              </w:rPr>
              <w:t>0</w:t>
            </w:r>
            <w:r>
              <w:rPr>
                <w:szCs w:val="18"/>
              </w:rPr>
              <w:t>%)</w:t>
            </w:r>
          </w:p>
        </w:tc>
        <w:tc>
          <w:tcPr>
            <w:tcW w:w="471" w:type="pct"/>
          </w:tcPr>
          <w:p w14:paraId="0A287E84" w14:textId="4B15AA04"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0</w:t>
            </w:r>
            <w:r w:rsidR="001B5D62">
              <w:rPr>
                <w:szCs w:val="18"/>
              </w:rPr>
              <w:br/>
            </w:r>
            <w:r>
              <w:rPr>
                <w:szCs w:val="18"/>
              </w:rPr>
              <w:t>(0.</w:t>
            </w:r>
            <w:r w:rsidR="00281E89" w:rsidRPr="004A52F8">
              <w:rPr>
                <w:szCs w:val="18"/>
              </w:rPr>
              <w:t>0</w:t>
            </w:r>
            <w:r>
              <w:rPr>
                <w:szCs w:val="18"/>
              </w:rPr>
              <w:t>%)</w:t>
            </w:r>
          </w:p>
        </w:tc>
        <w:tc>
          <w:tcPr>
            <w:tcW w:w="470" w:type="pct"/>
          </w:tcPr>
          <w:p w14:paraId="4E8A4A59" w14:textId="37876CCD"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0 </w:t>
            </w:r>
            <w:r w:rsidR="001B5D62">
              <w:rPr>
                <w:szCs w:val="18"/>
              </w:rPr>
              <w:br/>
            </w:r>
            <w:r>
              <w:rPr>
                <w:szCs w:val="18"/>
              </w:rPr>
              <w:t>(0.</w:t>
            </w:r>
            <w:r w:rsidR="00281E89" w:rsidRPr="004A52F8">
              <w:rPr>
                <w:szCs w:val="18"/>
              </w:rPr>
              <w:t>0</w:t>
            </w:r>
            <w:r>
              <w:rPr>
                <w:szCs w:val="18"/>
              </w:rPr>
              <w:t>%)</w:t>
            </w:r>
          </w:p>
        </w:tc>
        <w:tc>
          <w:tcPr>
            <w:tcW w:w="471" w:type="pct"/>
          </w:tcPr>
          <w:p w14:paraId="2A53123D" w14:textId="1095CAF1"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3</w:t>
            </w:r>
            <w:r w:rsidR="005E5A81">
              <w:rPr>
                <w:szCs w:val="18"/>
              </w:rPr>
              <w:t xml:space="preserve"> (60.</w:t>
            </w:r>
            <w:r w:rsidR="001B5D62">
              <w:rPr>
                <w:szCs w:val="18"/>
              </w:rPr>
              <w:t>0</w:t>
            </w:r>
            <w:r w:rsidR="005E5A81">
              <w:rPr>
                <w:szCs w:val="18"/>
              </w:rPr>
              <w:t>%)</w:t>
            </w:r>
          </w:p>
        </w:tc>
      </w:tr>
      <w:tr w:rsidR="00EF4A46" w:rsidRPr="006645CF" w14:paraId="2735C120" w14:textId="77777777" w:rsidTr="006D15A9">
        <w:trPr>
          <w:trHeight w:val="71"/>
        </w:trPr>
        <w:tc>
          <w:tcPr>
            <w:cnfStyle w:val="001000000000" w:firstRow="0" w:lastRow="0" w:firstColumn="1" w:lastColumn="0" w:oddVBand="0" w:evenVBand="0" w:oddHBand="0" w:evenHBand="0" w:firstRowFirstColumn="0" w:firstRowLastColumn="0" w:lastRowFirstColumn="0" w:lastRowLastColumn="0"/>
            <w:tcW w:w="695" w:type="pct"/>
          </w:tcPr>
          <w:p w14:paraId="30C8D620" w14:textId="77777777" w:rsidR="009D6B4F" w:rsidRDefault="009D6B4F" w:rsidP="006D15A9">
            <w:pPr>
              <w:pStyle w:val="TableText"/>
              <w:rPr>
                <w:szCs w:val="18"/>
              </w:rPr>
            </w:pPr>
            <w:r>
              <w:rPr>
                <w:szCs w:val="18"/>
              </w:rPr>
              <w:t>Tasmania</w:t>
            </w:r>
          </w:p>
        </w:tc>
        <w:tc>
          <w:tcPr>
            <w:tcW w:w="541" w:type="pct"/>
          </w:tcPr>
          <w:p w14:paraId="23CB54EE" w14:textId="416BE4CB"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0 </w:t>
            </w:r>
            <w:r w:rsidR="0089074A">
              <w:rPr>
                <w:szCs w:val="18"/>
              </w:rPr>
              <w:br/>
            </w:r>
            <w:r>
              <w:rPr>
                <w:szCs w:val="18"/>
              </w:rPr>
              <w:t>(0.</w:t>
            </w:r>
            <w:r w:rsidR="00281E89">
              <w:rPr>
                <w:szCs w:val="18"/>
              </w:rPr>
              <w:t>0</w:t>
            </w:r>
            <w:r>
              <w:rPr>
                <w:szCs w:val="18"/>
              </w:rPr>
              <w:t>%)</w:t>
            </w:r>
          </w:p>
        </w:tc>
        <w:tc>
          <w:tcPr>
            <w:tcW w:w="470" w:type="pct"/>
          </w:tcPr>
          <w:p w14:paraId="4A85F6FE" w14:textId="225B20BF"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0 </w:t>
            </w:r>
            <w:r w:rsidR="0089074A">
              <w:rPr>
                <w:szCs w:val="18"/>
              </w:rPr>
              <w:br/>
            </w:r>
            <w:r>
              <w:rPr>
                <w:szCs w:val="18"/>
              </w:rPr>
              <w:t>(0.</w:t>
            </w:r>
            <w:r w:rsidR="00281E89">
              <w:rPr>
                <w:szCs w:val="18"/>
              </w:rPr>
              <w:t>0</w:t>
            </w:r>
            <w:r>
              <w:rPr>
                <w:szCs w:val="18"/>
              </w:rPr>
              <w:t>%)</w:t>
            </w:r>
          </w:p>
        </w:tc>
        <w:tc>
          <w:tcPr>
            <w:tcW w:w="471" w:type="pct"/>
          </w:tcPr>
          <w:p w14:paraId="10614186" w14:textId="5B886483"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0 </w:t>
            </w:r>
            <w:r w:rsidR="001B5D62">
              <w:rPr>
                <w:szCs w:val="18"/>
              </w:rPr>
              <w:br/>
            </w:r>
            <w:r>
              <w:rPr>
                <w:szCs w:val="18"/>
              </w:rPr>
              <w:t>(0.</w:t>
            </w:r>
            <w:r w:rsidR="001B5D62">
              <w:rPr>
                <w:szCs w:val="18"/>
              </w:rPr>
              <w:t>0</w:t>
            </w:r>
            <w:r>
              <w:rPr>
                <w:szCs w:val="18"/>
              </w:rPr>
              <w:t>%)</w:t>
            </w:r>
          </w:p>
        </w:tc>
        <w:tc>
          <w:tcPr>
            <w:tcW w:w="470" w:type="pct"/>
          </w:tcPr>
          <w:p w14:paraId="7E1B5D96" w14:textId="4B574012"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0 </w:t>
            </w:r>
            <w:r w:rsidR="001B5D62">
              <w:rPr>
                <w:szCs w:val="18"/>
              </w:rPr>
              <w:br/>
            </w:r>
            <w:r>
              <w:rPr>
                <w:szCs w:val="18"/>
              </w:rPr>
              <w:t>(0.</w:t>
            </w:r>
            <w:r w:rsidR="001B5D62">
              <w:rPr>
                <w:szCs w:val="18"/>
              </w:rPr>
              <w:t>0</w:t>
            </w:r>
            <w:r>
              <w:rPr>
                <w:szCs w:val="18"/>
              </w:rPr>
              <w:t>%)</w:t>
            </w:r>
          </w:p>
        </w:tc>
        <w:tc>
          <w:tcPr>
            <w:tcW w:w="471" w:type="pct"/>
          </w:tcPr>
          <w:p w14:paraId="7AE22E43" w14:textId="70C691BD"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0 </w:t>
            </w:r>
            <w:r w:rsidR="001B5D62">
              <w:rPr>
                <w:szCs w:val="18"/>
              </w:rPr>
              <w:br/>
            </w:r>
            <w:r>
              <w:rPr>
                <w:szCs w:val="18"/>
              </w:rPr>
              <w:t>(0.</w:t>
            </w:r>
            <w:r w:rsidR="001B5D62">
              <w:rPr>
                <w:szCs w:val="18"/>
              </w:rPr>
              <w:t>0</w:t>
            </w:r>
            <w:r>
              <w:rPr>
                <w:szCs w:val="18"/>
              </w:rPr>
              <w:t>%)</w:t>
            </w:r>
          </w:p>
        </w:tc>
        <w:tc>
          <w:tcPr>
            <w:tcW w:w="470" w:type="pct"/>
          </w:tcPr>
          <w:p w14:paraId="5215BA66" w14:textId="421CCA59"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0 </w:t>
            </w:r>
            <w:r w:rsidR="001B5D62">
              <w:rPr>
                <w:szCs w:val="18"/>
              </w:rPr>
              <w:br/>
            </w:r>
            <w:r>
              <w:rPr>
                <w:szCs w:val="18"/>
              </w:rPr>
              <w:t>(0.</w:t>
            </w:r>
            <w:r w:rsidR="00281E89" w:rsidRPr="004A52F8">
              <w:rPr>
                <w:szCs w:val="18"/>
              </w:rPr>
              <w:t>0</w:t>
            </w:r>
            <w:r>
              <w:rPr>
                <w:szCs w:val="18"/>
              </w:rPr>
              <w:t>%)</w:t>
            </w:r>
          </w:p>
        </w:tc>
        <w:tc>
          <w:tcPr>
            <w:tcW w:w="471" w:type="pct"/>
          </w:tcPr>
          <w:p w14:paraId="269CB0D9" w14:textId="1478B8EE"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0 </w:t>
            </w:r>
            <w:r w:rsidR="001B5D62">
              <w:rPr>
                <w:szCs w:val="18"/>
              </w:rPr>
              <w:br/>
            </w:r>
            <w:r>
              <w:rPr>
                <w:szCs w:val="18"/>
              </w:rPr>
              <w:t>(0.</w:t>
            </w:r>
            <w:r w:rsidR="00281E89" w:rsidRPr="004A52F8">
              <w:rPr>
                <w:szCs w:val="18"/>
              </w:rPr>
              <w:t>0</w:t>
            </w:r>
            <w:r>
              <w:rPr>
                <w:szCs w:val="18"/>
              </w:rPr>
              <w:t>%)</w:t>
            </w:r>
          </w:p>
        </w:tc>
        <w:tc>
          <w:tcPr>
            <w:tcW w:w="470" w:type="pct"/>
          </w:tcPr>
          <w:p w14:paraId="64394DD8" w14:textId="163BEC2E"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 xml:space="preserve">0 </w:t>
            </w:r>
            <w:r w:rsidR="001B5D62">
              <w:rPr>
                <w:szCs w:val="18"/>
              </w:rPr>
              <w:br/>
            </w:r>
            <w:r>
              <w:rPr>
                <w:szCs w:val="18"/>
              </w:rPr>
              <w:t>(0.</w:t>
            </w:r>
            <w:r w:rsidR="00281E89" w:rsidRPr="004A52F8">
              <w:rPr>
                <w:szCs w:val="18"/>
              </w:rPr>
              <w:t>0</w:t>
            </w:r>
            <w:r>
              <w:rPr>
                <w:szCs w:val="18"/>
              </w:rPr>
              <w:t>%)</w:t>
            </w:r>
          </w:p>
        </w:tc>
        <w:tc>
          <w:tcPr>
            <w:tcW w:w="471" w:type="pct"/>
          </w:tcPr>
          <w:p w14:paraId="056C4F95" w14:textId="0C3CE8D7" w:rsidR="009D6B4F" w:rsidRPr="006645CF" w:rsidRDefault="00FE58B4" w:rsidP="006D15A9">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w:t>
            </w:r>
            <w:r w:rsidR="005E5A81">
              <w:rPr>
                <w:szCs w:val="18"/>
              </w:rPr>
              <w:t xml:space="preserve"> </w:t>
            </w:r>
            <w:r w:rsidR="005E5A81">
              <w:rPr>
                <w:szCs w:val="18"/>
              </w:rPr>
              <w:br/>
              <w:t>(100</w:t>
            </w:r>
            <w:r w:rsidR="001B5D62">
              <w:rPr>
                <w:szCs w:val="18"/>
              </w:rPr>
              <w:t>.0</w:t>
            </w:r>
            <w:r w:rsidR="005E5A81">
              <w:rPr>
                <w:szCs w:val="18"/>
              </w:rPr>
              <w:t>%)</w:t>
            </w:r>
          </w:p>
        </w:tc>
      </w:tr>
      <w:tr w:rsidR="00EF4A46" w:rsidRPr="006645CF" w14:paraId="5FCD4F8E" w14:textId="77777777" w:rsidTr="006D15A9">
        <w:trPr>
          <w:trHeight w:val="71"/>
        </w:trPr>
        <w:tc>
          <w:tcPr>
            <w:cnfStyle w:val="001000000000" w:firstRow="0" w:lastRow="0" w:firstColumn="1" w:lastColumn="0" w:oddVBand="0" w:evenVBand="0" w:oddHBand="0" w:evenHBand="0" w:firstRowFirstColumn="0" w:firstRowLastColumn="0" w:lastRowFirstColumn="0" w:lastRowLastColumn="0"/>
            <w:tcW w:w="695" w:type="pct"/>
          </w:tcPr>
          <w:p w14:paraId="543EB2BA" w14:textId="2102170D" w:rsidR="009D6B4F" w:rsidRPr="00C33FD2" w:rsidRDefault="009D6B4F" w:rsidP="006D15A9">
            <w:pPr>
              <w:pStyle w:val="Tabletextbold"/>
              <w:rPr>
                <w:b/>
                <w:bCs/>
              </w:rPr>
            </w:pPr>
            <w:r w:rsidRPr="00C33FD2">
              <w:rPr>
                <w:b/>
                <w:bCs/>
              </w:rPr>
              <w:t xml:space="preserve">Total: </w:t>
            </w:r>
            <w:r w:rsidR="00FE58B4" w:rsidRPr="00C33FD2">
              <w:rPr>
                <w:b/>
                <w:bCs/>
              </w:rPr>
              <w:t>66*</w:t>
            </w:r>
            <w:r w:rsidR="00966B66" w:rsidRPr="00C33FD2">
              <w:rPr>
                <w:b/>
                <w:bCs/>
              </w:rPr>
              <w:t xml:space="preserve"> </w:t>
            </w:r>
            <w:r w:rsidRPr="00C33FD2">
              <w:rPr>
                <w:b/>
                <w:bCs/>
              </w:rPr>
              <w:t>responses</w:t>
            </w:r>
          </w:p>
        </w:tc>
        <w:tc>
          <w:tcPr>
            <w:tcW w:w="541" w:type="pct"/>
          </w:tcPr>
          <w:p w14:paraId="045B7C11" w14:textId="17BD336F" w:rsidR="009D6B4F" w:rsidRPr="0041087C" w:rsidRDefault="00FE58B4" w:rsidP="006D15A9">
            <w:pPr>
              <w:pStyle w:val="Tabletextbold"/>
              <w:cnfStyle w:val="000000000000" w:firstRow="0" w:lastRow="0" w:firstColumn="0" w:lastColumn="0" w:oddVBand="0" w:evenVBand="0" w:oddHBand="0" w:evenHBand="0" w:firstRowFirstColumn="0" w:firstRowLastColumn="0" w:lastRowFirstColumn="0" w:lastRowLastColumn="0"/>
            </w:pPr>
            <w:r>
              <w:t>2</w:t>
            </w:r>
            <w:r w:rsidR="005E5A81">
              <w:t xml:space="preserve"> </w:t>
            </w:r>
            <w:r w:rsidR="001B5D62">
              <w:br/>
            </w:r>
            <w:r w:rsidR="005E5A81">
              <w:t>(3.0%)</w:t>
            </w:r>
          </w:p>
        </w:tc>
        <w:tc>
          <w:tcPr>
            <w:tcW w:w="470" w:type="pct"/>
          </w:tcPr>
          <w:p w14:paraId="44B33A45" w14:textId="31153A15" w:rsidR="009D6B4F" w:rsidRPr="0041087C" w:rsidRDefault="00FE58B4" w:rsidP="006D15A9">
            <w:pPr>
              <w:pStyle w:val="Tabletextbold"/>
              <w:cnfStyle w:val="000000000000" w:firstRow="0" w:lastRow="0" w:firstColumn="0" w:lastColumn="0" w:oddVBand="0" w:evenVBand="0" w:oddHBand="0" w:evenHBand="0" w:firstRowFirstColumn="0" w:firstRowLastColumn="0" w:lastRowFirstColumn="0" w:lastRowLastColumn="0"/>
            </w:pPr>
            <w:r>
              <w:t>1</w:t>
            </w:r>
            <w:r w:rsidR="005E5A81">
              <w:t xml:space="preserve"> </w:t>
            </w:r>
            <w:r w:rsidR="001B5D62">
              <w:br/>
            </w:r>
            <w:r w:rsidR="005E5A81">
              <w:t>(1.5%)</w:t>
            </w:r>
          </w:p>
        </w:tc>
        <w:tc>
          <w:tcPr>
            <w:tcW w:w="471" w:type="pct"/>
          </w:tcPr>
          <w:p w14:paraId="2ACF3558" w14:textId="1662051C" w:rsidR="009D6B4F" w:rsidRPr="0041087C" w:rsidRDefault="00FE58B4" w:rsidP="006D15A9">
            <w:pPr>
              <w:pStyle w:val="Tabletextbold"/>
              <w:cnfStyle w:val="000000000000" w:firstRow="0" w:lastRow="0" w:firstColumn="0" w:lastColumn="0" w:oddVBand="0" w:evenVBand="0" w:oddHBand="0" w:evenHBand="0" w:firstRowFirstColumn="0" w:firstRowLastColumn="0" w:lastRowFirstColumn="0" w:lastRowLastColumn="0"/>
            </w:pPr>
            <w:r>
              <w:t>15</w:t>
            </w:r>
            <w:r w:rsidR="005E5A81">
              <w:t xml:space="preserve"> (22.7%)</w:t>
            </w:r>
          </w:p>
        </w:tc>
        <w:tc>
          <w:tcPr>
            <w:tcW w:w="470" w:type="pct"/>
          </w:tcPr>
          <w:p w14:paraId="6A3E475C" w14:textId="40C109C8" w:rsidR="009D6B4F" w:rsidRPr="0041087C" w:rsidRDefault="00FE58B4" w:rsidP="006D15A9">
            <w:pPr>
              <w:pStyle w:val="Tabletextbold"/>
              <w:cnfStyle w:val="000000000000" w:firstRow="0" w:lastRow="0" w:firstColumn="0" w:lastColumn="0" w:oddVBand="0" w:evenVBand="0" w:oddHBand="0" w:evenHBand="0" w:firstRowFirstColumn="0" w:firstRowLastColumn="0" w:lastRowFirstColumn="0" w:lastRowLastColumn="0"/>
            </w:pPr>
            <w:r>
              <w:t>6</w:t>
            </w:r>
            <w:r w:rsidR="005E5A81">
              <w:t xml:space="preserve"> </w:t>
            </w:r>
            <w:r w:rsidR="001B5D62">
              <w:br/>
            </w:r>
            <w:r w:rsidR="005E5A81">
              <w:t>(9.</w:t>
            </w:r>
            <w:r w:rsidR="001B5D62">
              <w:t>1</w:t>
            </w:r>
            <w:r w:rsidR="005E5A81">
              <w:t>%)</w:t>
            </w:r>
          </w:p>
        </w:tc>
        <w:tc>
          <w:tcPr>
            <w:tcW w:w="471" w:type="pct"/>
          </w:tcPr>
          <w:p w14:paraId="72447ED1" w14:textId="274CE441" w:rsidR="009D6B4F" w:rsidRPr="0041087C" w:rsidRDefault="00FE58B4" w:rsidP="006D15A9">
            <w:pPr>
              <w:pStyle w:val="Tabletextbold"/>
              <w:cnfStyle w:val="000000000000" w:firstRow="0" w:lastRow="0" w:firstColumn="0" w:lastColumn="0" w:oddVBand="0" w:evenVBand="0" w:oddHBand="0" w:evenHBand="0" w:firstRowFirstColumn="0" w:firstRowLastColumn="0" w:lastRowFirstColumn="0" w:lastRowLastColumn="0"/>
            </w:pPr>
            <w:r>
              <w:t>3</w:t>
            </w:r>
            <w:r w:rsidR="005E5A81">
              <w:t xml:space="preserve"> </w:t>
            </w:r>
            <w:r w:rsidR="001B5D62">
              <w:br/>
            </w:r>
            <w:r w:rsidR="005E5A81">
              <w:t>(4.</w:t>
            </w:r>
            <w:r w:rsidR="001B5D62">
              <w:t>6</w:t>
            </w:r>
            <w:r w:rsidR="005E5A81">
              <w:t>%)</w:t>
            </w:r>
          </w:p>
        </w:tc>
        <w:tc>
          <w:tcPr>
            <w:tcW w:w="470" w:type="pct"/>
          </w:tcPr>
          <w:p w14:paraId="48C2156E" w14:textId="17E7C81C" w:rsidR="009D6B4F" w:rsidRPr="0041087C" w:rsidRDefault="00FE58B4" w:rsidP="006D15A9">
            <w:pPr>
              <w:pStyle w:val="Tabletextbold"/>
              <w:cnfStyle w:val="000000000000" w:firstRow="0" w:lastRow="0" w:firstColumn="0" w:lastColumn="0" w:oddVBand="0" w:evenVBand="0" w:oddHBand="0" w:evenHBand="0" w:firstRowFirstColumn="0" w:firstRowLastColumn="0" w:lastRowFirstColumn="0" w:lastRowLastColumn="0"/>
            </w:pPr>
            <w:r>
              <w:t>0</w:t>
            </w:r>
            <w:r w:rsidR="005E5A81">
              <w:t xml:space="preserve"> </w:t>
            </w:r>
            <w:r w:rsidR="00EF3F94">
              <w:br/>
            </w:r>
            <w:r w:rsidR="005E5A81">
              <w:t>(0.0%)</w:t>
            </w:r>
          </w:p>
        </w:tc>
        <w:tc>
          <w:tcPr>
            <w:tcW w:w="471" w:type="pct"/>
          </w:tcPr>
          <w:p w14:paraId="58BD0064" w14:textId="0B054E31" w:rsidR="009D6B4F" w:rsidRPr="0041087C" w:rsidRDefault="00FE58B4" w:rsidP="006D15A9">
            <w:pPr>
              <w:pStyle w:val="Tabletextbold"/>
              <w:cnfStyle w:val="000000000000" w:firstRow="0" w:lastRow="0" w:firstColumn="0" w:lastColumn="0" w:oddVBand="0" w:evenVBand="0" w:oddHBand="0" w:evenHBand="0" w:firstRowFirstColumn="0" w:firstRowLastColumn="0" w:lastRowFirstColumn="0" w:lastRowLastColumn="0"/>
            </w:pPr>
            <w:r>
              <w:t>4</w:t>
            </w:r>
            <w:r w:rsidR="005E5A81">
              <w:t xml:space="preserve"> (6.06%)</w:t>
            </w:r>
          </w:p>
        </w:tc>
        <w:tc>
          <w:tcPr>
            <w:tcW w:w="470" w:type="pct"/>
          </w:tcPr>
          <w:p w14:paraId="65C4D797" w14:textId="31F48E40" w:rsidR="009D6B4F" w:rsidRPr="0041087C" w:rsidRDefault="00FE58B4" w:rsidP="006D15A9">
            <w:pPr>
              <w:pStyle w:val="Tabletextbold"/>
              <w:cnfStyle w:val="000000000000" w:firstRow="0" w:lastRow="0" w:firstColumn="0" w:lastColumn="0" w:oddVBand="0" w:evenVBand="0" w:oddHBand="0" w:evenHBand="0" w:firstRowFirstColumn="0" w:firstRowLastColumn="0" w:lastRowFirstColumn="0" w:lastRowLastColumn="0"/>
            </w:pPr>
            <w:r>
              <w:t>7</w:t>
            </w:r>
            <w:r w:rsidR="005E5A81">
              <w:t xml:space="preserve"> (10.6%)</w:t>
            </w:r>
          </w:p>
        </w:tc>
        <w:tc>
          <w:tcPr>
            <w:tcW w:w="471" w:type="pct"/>
          </w:tcPr>
          <w:p w14:paraId="4B8F9ED6" w14:textId="0E01E9F2" w:rsidR="009D6B4F" w:rsidRPr="0041087C" w:rsidRDefault="00FE58B4" w:rsidP="006D15A9">
            <w:pPr>
              <w:pStyle w:val="Tabletextbold"/>
              <w:cnfStyle w:val="000000000000" w:firstRow="0" w:lastRow="0" w:firstColumn="0" w:lastColumn="0" w:oddVBand="0" w:evenVBand="0" w:oddHBand="0" w:evenHBand="0" w:firstRowFirstColumn="0" w:firstRowLastColumn="0" w:lastRowFirstColumn="0" w:lastRowLastColumn="0"/>
            </w:pPr>
            <w:r>
              <w:t>28</w:t>
            </w:r>
            <w:r w:rsidR="005E5A81">
              <w:t xml:space="preserve"> (42.4%)</w:t>
            </w:r>
          </w:p>
        </w:tc>
      </w:tr>
    </w:tbl>
    <w:p w14:paraId="2911AC1B" w14:textId="091BEAFE" w:rsidR="00295ECC" w:rsidRPr="0000013E" w:rsidRDefault="00295ECC" w:rsidP="006D15A9">
      <w:pPr>
        <w:pStyle w:val="Caption-Source"/>
      </w:pPr>
      <w:r w:rsidRPr="00B47C96">
        <w:t xml:space="preserve">Source: </w:t>
      </w:r>
      <w:r w:rsidR="00B26691">
        <w:t>Independent reviewer</w:t>
      </w:r>
      <w:r w:rsidR="00584D02" w:rsidRPr="0000013E">
        <w:t xml:space="preserve"> (</w:t>
      </w:r>
      <w:r w:rsidRPr="0000013E">
        <w:t>2025</w:t>
      </w:r>
      <w:r w:rsidR="00584D02" w:rsidRPr="0000013E">
        <w:t>)</w:t>
      </w:r>
    </w:p>
    <w:p w14:paraId="3925548E" w14:textId="1E4701F2" w:rsidR="0007773F" w:rsidRPr="00DD71E7" w:rsidRDefault="00097AED" w:rsidP="00DD71E7">
      <w:r w:rsidRPr="00DD71E7">
        <w:t xml:space="preserve">*Note: </w:t>
      </w:r>
      <w:r w:rsidR="00271598" w:rsidRPr="00DD71E7">
        <w:t>While there are 61 respondents, a few respondents had their responses recorded twice in these tables, outlined below:</w:t>
      </w:r>
    </w:p>
    <w:p w14:paraId="641569DB" w14:textId="4F9D35CC" w:rsidR="00271598" w:rsidRDefault="00271598" w:rsidP="006D15A9">
      <w:pPr>
        <w:pStyle w:val="Bullet1stlevel"/>
      </w:pPr>
      <w:r>
        <w:t>One respondent identified two different funding sources for their single prosthesis – private health insurance and family / friends / other.</w:t>
      </w:r>
    </w:p>
    <w:p w14:paraId="09B37497" w14:textId="4D0CC029" w:rsidR="00271598" w:rsidRDefault="00504301" w:rsidP="006D15A9">
      <w:pPr>
        <w:pStyle w:val="Bullet1stlevel"/>
      </w:pPr>
      <w:r>
        <w:t>Four respondents identified the same funding source for both their prostheses. Two of these four respondents said they did not access funding. One respondent identified their hospital as their funding source. One respondent identified a state / territory health department program / scheme as their funding source – they have an artificial soft or hard palate and a dental prosthesis.</w:t>
      </w:r>
    </w:p>
    <w:p w14:paraId="546579F2" w14:textId="449CCCF2" w:rsidR="006D15A9" w:rsidRDefault="006D15A9" w:rsidP="006D15A9">
      <w:pPr>
        <w:pStyle w:val="Caption"/>
      </w:pPr>
      <w:bookmarkStart w:id="257" w:name="_Toc207348649"/>
      <w:r>
        <w:t xml:space="preserve">Table </w:t>
      </w:r>
      <w:r w:rsidR="00E6799D">
        <w:fldChar w:fldCharType="begin"/>
      </w:r>
      <w:r w:rsidR="00E6799D">
        <w:instrText xml:space="preserve"> SEQ Table \* ARABIC </w:instrText>
      </w:r>
      <w:r w:rsidR="00E6799D">
        <w:fldChar w:fldCharType="separate"/>
      </w:r>
      <w:r w:rsidR="00E6799D">
        <w:rPr>
          <w:noProof/>
        </w:rPr>
        <w:t>84</w:t>
      </w:r>
      <w:r w:rsidR="00E6799D">
        <w:rPr>
          <w:noProof/>
        </w:rPr>
        <w:fldChar w:fldCharType="end"/>
      </w:r>
      <w:r>
        <w:t xml:space="preserve">: </w:t>
      </w:r>
      <w:r w:rsidRPr="00755C00">
        <w:t xml:space="preserve">Responses to Question 9 by </w:t>
      </w:r>
      <w:r>
        <w:t>remoteness</w:t>
      </w:r>
      <w:bookmarkEnd w:id="257"/>
    </w:p>
    <w:tbl>
      <w:tblPr>
        <w:tblStyle w:val="KPMGTable"/>
        <w:tblW w:w="5000" w:type="pct"/>
        <w:tblLayout w:type="fixed"/>
        <w:tblLook w:val="04A0" w:firstRow="1" w:lastRow="0" w:firstColumn="1" w:lastColumn="0" w:noHBand="0" w:noVBand="1"/>
      </w:tblPr>
      <w:tblGrid>
        <w:gridCol w:w="1562"/>
        <w:gridCol w:w="960"/>
        <w:gridCol w:w="960"/>
        <w:gridCol w:w="962"/>
        <w:gridCol w:w="959"/>
        <w:gridCol w:w="961"/>
        <w:gridCol w:w="959"/>
        <w:gridCol w:w="961"/>
        <w:gridCol w:w="959"/>
        <w:gridCol w:w="961"/>
      </w:tblGrid>
      <w:tr w:rsidR="00E03DF2" w:rsidRPr="005D4311" w14:paraId="60835CCD" w14:textId="77777777" w:rsidTr="007A7F51">
        <w:trPr>
          <w:cnfStyle w:val="100000000000" w:firstRow="1" w:lastRow="0" w:firstColumn="0" w:lastColumn="0" w:oddVBand="0" w:evenVBand="0" w:oddHBand="0" w:evenHBand="0" w:firstRowFirstColumn="0" w:firstRowLastColumn="0" w:lastRowFirstColumn="0" w:lastRowLastColumn="0"/>
          <w:trHeight w:val="1154"/>
          <w:tblHeader/>
        </w:trPr>
        <w:tc>
          <w:tcPr>
            <w:cnfStyle w:val="001000000000" w:firstRow="0" w:lastRow="0" w:firstColumn="1" w:lastColumn="0" w:oddVBand="0" w:evenVBand="0" w:oddHBand="0" w:evenHBand="0" w:firstRowFirstColumn="0" w:firstRowLastColumn="0" w:lastRowFirstColumn="0" w:lastRowLastColumn="0"/>
            <w:tcW w:w="765" w:type="pct"/>
          </w:tcPr>
          <w:p w14:paraId="647099BE" w14:textId="77777777" w:rsidR="00BF4D99" w:rsidRPr="005D4311" w:rsidRDefault="00BF4D99" w:rsidP="006D15A9">
            <w:pPr>
              <w:pStyle w:val="TableHeading"/>
              <w:rPr>
                <w:b w:val="0"/>
                <w:color w:val="FFFFFF" w:themeColor="background1"/>
                <w:szCs w:val="18"/>
              </w:rPr>
            </w:pPr>
            <w:r w:rsidRPr="005D4311">
              <w:t>Response</w:t>
            </w:r>
          </w:p>
        </w:tc>
        <w:tc>
          <w:tcPr>
            <w:tcW w:w="470" w:type="pct"/>
          </w:tcPr>
          <w:p w14:paraId="4EC70948" w14:textId="77777777" w:rsidR="00BF4D99" w:rsidRPr="005D4311" w:rsidRDefault="00BF4D99" w:rsidP="006D15A9">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5D4311">
              <w:t>NDIS</w:t>
            </w:r>
          </w:p>
        </w:tc>
        <w:tc>
          <w:tcPr>
            <w:tcW w:w="470" w:type="pct"/>
          </w:tcPr>
          <w:p w14:paraId="44BBE147" w14:textId="77777777" w:rsidR="00BF4D99" w:rsidRPr="005D4311" w:rsidRDefault="00BF4D99" w:rsidP="006D15A9">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5D4311">
              <w:t>DVA</w:t>
            </w:r>
          </w:p>
        </w:tc>
        <w:tc>
          <w:tcPr>
            <w:tcW w:w="471" w:type="pct"/>
          </w:tcPr>
          <w:p w14:paraId="76BE3DA0" w14:textId="37A26B14" w:rsidR="00BF4D99" w:rsidRPr="005D4311" w:rsidRDefault="00BF4D99" w:rsidP="006D15A9">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5D4311">
              <w:t>State / territory health depart-</w:t>
            </w:r>
            <w:proofErr w:type="spellStart"/>
            <w:r w:rsidRPr="005D4311">
              <w:t>ment</w:t>
            </w:r>
            <w:proofErr w:type="spellEnd"/>
          </w:p>
        </w:tc>
        <w:tc>
          <w:tcPr>
            <w:tcW w:w="470" w:type="pct"/>
          </w:tcPr>
          <w:p w14:paraId="7B4F2559" w14:textId="37094FEC" w:rsidR="00BF4D99" w:rsidRPr="005D4311" w:rsidRDefault="00BF4D99" w:rsidP="006D15A9">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5D4311">
              <w:t xml:space="preserve">Private health </w:t>
            </w:r>
            <w:proofErr w:type="spellStart"/>
            <w:r w:rsidRPr="005D4311">
              <w:t>insura-nce</w:t>
            </w:r>
            <w:proofErr w:type="spellEnd"/>
          </w:p>
        </w:tc>
        <w:tc>
          <w:tcPr>
            <w:tcW w:w="471" w:type="pct"/>
          </w:tcPr>
          <w:p w14:paraId="2658BBD9" w14:textId="77777777" w:rsidR="00BF4D99" w:rsidRPr="005D4311" w:rsidRDefault="00BF4D99" w:rsidP="006D15A9">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5D4311">
              <w:t>Charity</w:t>
            </w:r>
          </w:p>
        </w:tc>
        <w:tc>
          <w:tcPr>
            <w:tcW w:w="470" w:type="pct"/>
          </w:tcPr>
          <w:p w14:paraId="352B38B1" w14:textId="2317C72F" w:rsidR="00BF4D99" w:rsidRPr="005D4311" w:rsidRDefault="00BF4D99" w:rsidP="006D15A9">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5D4311">
              <w:t>Philant-</w:t>
            </w:r>
            <w:proofErr w:type="spellStart"/>
            <w:r w:rsidRPr="005D4311">
              <w:t>hropic</w:t>
            </w:r>
            <w:proofErr w:type="spellEnd"/>
            <w:r w:rsidRPr="005D4311">
              <w:t xml:space="preserve"> source</w:t>
            </w:r>
          </w:p>
        </w:tc>
        <w:tc>
          <w:tcPr>
            <w:tcW w:w="471" w:type="pct"/>
          </w:tcPr>
          <w:p w14:paraId="562AB55E" w14:textId="77777777" w:rsidR="00BF4D99" w:rsidRPr="005D4311" w:rsidRDefault="00BF4D99" w:rsidP="006D15A9">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5D4311">
              <w:t>Family / friends/ other relatives</w:t>
            </w:r>
          </w:p>
        </w:tc>
        <w:tc>
          <w:tcPr>
            <w:tcW w:w="470" w:type="pct"/>
          </w:tcPr>
          <w:p w14:paraId="3F7CB389" w14:textId="77777777" w:rsidR="00BF4D99" w:rsidRPr="005D4311" w:rsidRDefault="00BF4D99" w:rsidP="006D15A9">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5D4311">
              <w:t>Other</w:t>
            </w:r>
          </w:p>
        </w:tc>
        <w:tc>
          <w:tcPr>
            <w:tcW w:w="471" w:type="pct"/>
          </w:tcPr>
          <w:p w14:paraId="2E006730" w14:textId="06D75F44" w:rsidR="00BF4D99" w:rsidRPr="005D4311" w:rsidRDefault="00BF4D99" w:rsidP="006D15A9">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5D4311">
              <w:t>No funding access-ed</w:t>
            </w:r>
          </w:p>
        </w:tc>
      </w:tr>
      <w:tr w:rsidR="00EF4A46" w:rsidRPr="005D4311" w14:paraId="2DF6C0BE" w14:textId="77777777" w:rsidTr="006D15A9">
        <w:trPr>
          <w:trHeight w:val="71"/>
        </w:trPr>
        <w:tc>
          <w:tcPr>
            <w:cnfStyle w:val="001000000000" w:firstRow="0" w:lastRow="0" w:firstColumn="1" w:lastColumn="0" w:oddVBand="0" w:evenVBand="0" w:oddHBand="0" w:evenHBand="0" w:firstRowFirstColumn="0" w:firstRowLastColumn="0" w:lastRowFirstColumn="0" w:lastRowLastColumn="0"/>
            <w:tcW w:w="765" w:type="pct"/>
          </w:tcPr>
          <w:p w14:paraId="2A8BFF70" w14:textId="3A5D52C7" w:rsidR="005E5A81" w:rsidRPr="005D4311" w:rsidRDefault="00E466BB" w:rsidP="006D15A9">
            <w:pPr>
              <w:pStyle w:val="TableText"/>
            </w:pPr>
            <w:r w:rsidRPr="005D4311">
              <w:t>Metropolitan area</w:t>
            </w:r>
          </w:p>
        </w:tc>
        <w:tc>
          <w:tcPr>
            <w:tcW w:w="470" w:type="pct"/>
          </w:tcPr>
          <w:p w14:paraId="57D332CB" w14:textId="2DECA998" w:rsidR="005E5A81" w:rsidRPr="005D4311" w:rsidRDefault="00E466BB" w:rsidP="006D15A9">
            <w:pPr>
              <w:pStyle w:val="TableText"/>
              <w:cnfStyle w:val="000000000000" w:firstRow="0" w:lastRow="0" w:firstColumn="0" w:lastColumn="0" w:oddVBand="0" w:evenVBand="0" w:oddHBand="0" w:evenHBand="0" w:firstRowFirstColumn="0" w:firstRowLastColumn="0" w:lastRowFirstColumn="0" w:lastRowLastColumn="0"/>
            </w:pPr>
            <w:r w:rsidRPr="005D4311">
              <w:t xml:space="preserve">0 </w:t>
            </w:r>
            <w:r w:rsidR="00EF3F94" w:rsidRPr="005D4311">
              <w:br/>
            </w:r>
            <w:r w:rsidRPr="005D4311">
              <w:t>(0.0%)</w:t>
            </w:r>
          </w:p>
        </w:tc>
        <w:tc>
          <w:tcPr>
            <w:tcW w:w="470" w:type="pct"/>
          </w:tcPr>
          <w:p w14:paraId="5C507E0B" w14:textId="77AFCA31" w:rsidR="005E5A81" w:rsidRPr="005D4311" w:rsidRDefault="00E466BB" w:rsidP="006D15A9">
            <w:pPr>
              <w:pStyle w:val="TableText"/>
              <w:cnfStyle w:val="000000000000" w:firstRow="0" w:lastRow="0" w:firstColumn="0" w:lastColumn="0" w:oddVBand="0" w:evenVBand="0" w:oddHBand="0" w:evenHBand="0" w:firstRowFirstColumn="0" w:firstRowLastColumn="0" w:lastRowFirstColumn="0" w:lastRowLastColumn="0"/>
            </w:pPr>
            <w:r w:rsidRPr="005D4311">
              <w:t xml:space="preserve">0 </w:t>
            </w:r>
            <w:r w:rsidR="00EF3F94" w:rsidRPr="005D4311">
              <w:br/>
            </w:r>
            <w:r w:rsidRPr="005D4311">
              <w:t>(0.0%)</w:t>
            </w:r>
          </w:p>
        </w:tc>
        <w:tc>
          <w:tcPr>
            <w:tcW w:w="471" w:type="pct"/>
          </w:tcPr>
          <w:p w14:paraId="17006635" w14:textId="44EFEB69" w:rsidR="005E5A81" w:rsidRPr="005D4311" w:rsidRDefault="00E466BB" w:rsidP="006D15A9">
            <w:pPr>
              <w:pStyle w:val="TableText"/>
              <w:cnfStyle w:val="000000000000" w:firstRow="0" w:lastRow="0" w:firstColumn="0" w:lastColumn="0" w:oddVBand="0" w:evenVBand="0" w:oddHBand="0" w:evenHBand="0" w:firstRowFirstColumn="0" w:firstRowLastColumn="0" w:lastRowFirstColumn="0" w:lastRowLastColumn="0"/>
            </w:pPr>
            <w:r w:rsidRPr="005D4311">
              <w:t>12</w:t>
            </w:r>
            <w:r w:rsidR="0020697C" w:rsidRPr="005D4311">
              <w:br/>
              <w:t>(33.3%)</w:t>
            </w:r>
          </w:p>
        </w:tc>
        <w:tc>
          <w:tcPr>
            <w:tcW w:w="470" w:type="pct"/>
          </w:tcPr>
          <w:p w14:paraId="055DBC8D" w14:textId="2DAD0430" w:rsidR="005E5A81" w:rsidRPr="005D4311" w:rsidRDefault="00E466BB" w:rsidP="006D15A9">
            <w:pPr>
              <w:pStyle w:val="TableText"/>
              <w:cnfStyle w:val="000000000000" w:firstRow="0" w:lastRow="0" w:firstColumn="0" w:lastColumn="0" w:oddVBand="0" w:evenVBand="0" w:oddHBand="0" w:evenHBand="0" w:firstRowFirstColumn="0" w:firstRowLastColumn="0" w:lastRowFirstColumn="0" w:lastRowLastColumn="0"/>
            </w:pPr>
            <w:r w:rsidRPr="005D4311">
              <w:t>4</w:t>
            </w:r>
            <w:r w:rsidR="0020697C" w:rsidRPr="005D4311">
              <w:t xml:space="preserve"> (11.1%)</w:t>
            </w:r>
          </w:p>
        </w:tc>
        <w:tc>
          <w:tcPr>
            <w:tcW w:w="471" w:type="pct"/>
          </w:tcPr>
          <w:p w14:paraId="781710A9" w14:textId="466A8E98" w:rsidR="005E5A81" w:rsidRPr="005D4311" w:rsidRDefault="005E5A81" w:rsidP="006D15A9">
            <w:pPr>
              <w:pStyle w:val="TableText"/>
              <w:cnfStyle w:val="000000000000" w:firstRow="0" w:lastRow="0" w:firstColumn="0" w:lastColumn="0" w:oddVBand="0" w:evenVBand="0" w:oddHBand="0" w:evenHBand="0" w:firstRowFirstColumn="0" w:firstRowLastColumn="0" w:lastRowFirstColumn="0" w:lastRowLastColumn="0"/>
            </w:pPr>
            <w:r w:rsidRPr="005D4311">
              <w:t>2</w:t>
            </w:r>
            <w:r w:rsidR="0020697C" w:rsidRPr="005D4311">
              <w:t xml:space="preserve"> </w:t>
            </w:r>
            <w:r w:rsidR="00956874" w:rsidRPr="005D4311">
              <w:br/>
            </w:r>
            <w:r w:rsidR="00295ECC" w:rsidRPr="005D4311">
              <w:t>(5</w:t>
            </w:r>
            <w:r w:rsidRPr="005D4311">
              <w:t>.6%)</w:t>
            </w:r>
          </w:p>
        </w:tc>
        <w:tc>
          <w:tcPr>
            <w:tcW w:w="470" w:type="pct"/>
          </w:tcPr>
          <w:p w14:paraId="27E72060" w14:textId="1778DBB5" w:rsidR="005E5A81" w:rsidRPr="005D4311" w:rsidRDefault="008C0EDD" w:rsidP="006D15A9">
            <w:pPr>
              <w:pStyle w:val="TableText"/>
              <w:cnfStyle w:val="000000000000" w:firstRow="0" w:lastRow="0" w:firstColumn="0" w:lastColumn="0" w:oddVBand="0" w:evenVBand="0" w:oddHBand="0" w:evenHBand="0" w:firstRowFirstColumn="0" w:firstRowLastColumn="0" w:lastRowFirstColumn="0" w:lastRowLastColumn="0"/>
            </w:pPr>
            <w:r w:rsidRPr="005D4311">
              <w:t xml:space="preserve">0 </w:t>
            </w:r>
            <w:r w:rsidR="000731AE" w:rsidRPr="005D4311">
              <w:br/>
            </w:r>
            <w:r w:rsidRPr="005D4311">
              <w:t>(0.0%)</w:t>
            </w:r>
          </w:p>
        </w:tc>
        <w:tc>
          <w:tcPr>
            <w:tcW w:w="471" w:type="pct"/>
          </w:tcPr>
          <w:p w14:paraId="68D1DBD0" w14:textId="208BED05" w:rsidR="005E5A81" w:rsidRPr="005D4311" w:rsidRDefault="00E466BB" w:rsidP="006D15A9">
            <w:pPr>
              <w:pStyle w:val="TableText"/>
              <w:cnfStyle w:val="000000000000" w:firstRow="0" w:lastRow="0" w:firstColumn="0" w:lastColumn="0" w:oddVBand="0" w:evenVBand="0" w:oddHBand="0" w:evenHBand="0" w:firstRowFirstColumn="0" w:firstRowLastColumn="0" w:lastRowFirstColumn="0" w:lastRowLastColumn="0"/>
            </w:pPr>
            <w:r w:rsidRPr="005D4311">
              <w:t>2</w:t>
            </w:r>
            <w:r w:rsidR="00295ECC" w:rsidRPr="005D4311">
              <w:t xml:space="preserve"> </w:t>
            </w:r>
            <w:r w:rsidR="00257646" w:rsidRPr="005D4311">
              <w:br/>
            </w:r>
            <w:r w:rsidR="00295ECC" w:rsidRPr="005D4311">
              <w:t>(5.6%)</w:t>
            </w:r>
          </w:p>
        </w:tc>
        <w:tc>
          <w:tcPr>
            <w:tcW w:w="470" w:type="pct"/>
          </w:tcPr>
          <w:p w14:paraId="55EAABB4" w14:textId="1CB20D1E" w:rsidR="005E5A81" w:rsidRPr="005D4311" w:rsidRDefault="00E466BB" w:rsidP="006D15A9">
            <w:pPr>
              <w:pStyle w:val="TableText"/>
              <w:cnfStyle w:val="000000000000" w:firstRow="0" w:lastRow="0" w:firstColumn="0" w:lastColumn="0" w:oddVBand="0" w:evenVBand="0" w:oddHBand="0" w:evenHBand="0" w:firstRowFirstColumn="0" w:firstRowLastColumn="0" w:lastRowFirstColumn="0" w:lastRowLastColumn="0"/>
            </w:pPr>
            <w:r w:rsidRPr="005D4311">
              <w:t>5</w:t>
            </w:r>
            <w:r w:rsidR="00295ECC" w:rsidRPr="005D4311">
              <w:t xml:space="preserve"> (13.9%)</w:t>
            </w:r>
          </w:p>
        </w:tc>
        <w:tc>
          <w:tcPr>
            <w:tcW w:w="471" w:type="pct"/>
          </w:tcPr>
          <w:p w14:paraId="26C9FCDF" w14:textId="07EF262E" w:rsidR="005E5A81" w:rsidRPr="005D4311" w:rsidRDefault="00E466BB" w:rsidP="006D15A9">
            <w:pPr>
              <w:pStyle w:val="TableText"/>
              <w:cnfStyle w:val="000000000000" w:firstRow="0" w:lastRow="0" w:firstColumn="0" w:lastColumn="0" w:oddVBand="0" w:evenVBand="0" w:oddHBand="0" w:evenHBand="0" w:firstRowFirstColumn="0" w:firstRowLastColumn="0" w:lastRowFirstColumn="0" w:lastRowLastColumn="0"/>
            </w:pPr>
            <w:r w:rsidRPr="005D4311">
              <w:t>11</w:t>
            </w:r>
            <w:r w:rsidR="00295ECC" w:rsidRPr="005D4311">
              <w:t xml:space="preserve"> (30.6%)</w:t>
            </w:r>
          </w:p>
        </w:tc>
      </w:tr>
      <w:tr w:rsidR="00EF4A46" w:rsidRPr="005D4311" w14:paraId="4ED2513E" w14:textId="77777777" w:rsidTr="006D15A9">
        <w:trPr>
          <w:trHeight w:val="71"/>
        </w:trPr>
        <w:tc>
          <w:tcPr>
            <w:cnfStyle w:val="001000000000" w:firstRow="0" w:lastRow="0" w:firstColumn="1" w:lastColumn="0" w:oddVBand="0" w:evenVBand="0" w:oddHBand="0" w:evenHBand="0" w:firstRowFirstColumn="0" w:firstRowLastColumn="0" w:lastRowFirstColumn="0" w:lastRowLastColumn="0"/>
            <w:tcW w:w="765" w:type="pct"/>
          </w:tcPr>
          <w:p w14:paraId="6E4D08AB" w14:textId="3382A3B3" w:rsidR="005E5A81" w:rsidRPr="005D4311" w:rsidRDefault="00E466BB" w:rsidP="006D15A9">
            <w:pPr>
              <w:pStyle w:val="TableText"/>
            </w:pPr>
            <w:r w:rsidRPr="005D4311">
              <w:t>Regional centre</w:t>
            </w:r>
          </w:p>
        </w:tc>
        <w:tc>
          <w:tcPr>
            <w:tcW w:w="470" w:type="pct"/>
          </w:tcPr>
          <w:p w14:paraId="1C528B8C" w14:textId="0C7A2526" w:rsidR="005E5A81" w:rsidRPr="005D4311" w:rsidRDefault="00E466BB" w:rsidP="006D15A9">
            <w:pPr>
              <w:pStyle w:val="TableText"/>
              <w:cnfStyle w:val="000000000000" w:firstRow="0" w:lastRow="0" w:firstColumn="0" w:lastColumn="0" w:oddVBand="0" w:evenVBand="0" w:oddHBand="0" w:evenHBand="0" w:firstRowFirstColumn="0" w:firstRowLastColumn="0" w:lastRowFirstColumn="0" w:lastRowLastColumn="0"/>
            </w:pPr>
            <w:r w:rsidRPr="005D4311">
              <w:t>2</w:t>
            </w:r>
            <w:r w:rsidRPr="005D4311">
              <w:br/>
              <w:t>(10.5%)</w:t>
            </w:r>
          </w:p>
        </w:tc>
        <w:tc>
          <w:tcPr>
            <w:tcW w:w="470" w:type="pct"/>
          </w:tcPr>
          <w:p w14:paraId="25C0446A" w14:textId="730E73B7" w:rsidR="005E5A81" w:rsidRPr="005D4311" w:rsidRDefault="00E466BB" w:rsidP="006D15A9">
            <w:pPr>
              <w:pStyle w:val="TableText"/>
              <w:cnfStyle w:val="000000000000" w:firstRow="0" w:lastRow="0" w:firstColumn="0" w:lastColumn="0" w:oddVBand="0" w:evenVBand="0" w:oddHBand="0" w:evenHBand="0" w:firstRowFirstColumn="0" w:firstRowLastColumn="0" w:lastRowFirstColumn="0" w:lastRowLastColumn="0"/>
            </w:pPr>
            <w:r w:rsidRPr="005D4311">
              <w:t>1</w:t>
            </w:r>
            <w:r w:rsidRPr="005D4311">
              <w:br/>
              <w:t>(5.</w:t>
            </w:r>
            <w:r w:rsidR="00956874" w:rsidRPr="005D4311">
              <w:t>3</w:t>
            </w:r>
            <w:r w:rsidRPr="005D4311">
              <w:t>%)</w:t>
            </w:r>
          </w:p>
        </w:tc>
        <w:tc>
          <w:tcPr>
            <w:tcW w:w="471" w:type="pct"/>
          </w:tcPr>
          <w:p w14:paraId="5C0D6615" w14:textId="4326F55C" w:rsidR="005E5A81" w:rsidRPr="005D4311" w:rsidRDefault="00E466BB" w:rsidP="006D15A9">
            <w:pPr>
              <w:pStyle w:val="TableText"/>
              <w:cnfStyle w:val="000000000000" w:firstRow="0" w:lastRow="0" w:firstColumn="0" w:lastColumn="0" w:oddVBand="0" w:evenVBand="0" w:oddHBand="0" w:evenHBand="0" w:firstRowFirstColumn="0" w:firstRowLastColumn="0" w:lastRowFirstColumn="0" w:lastRowLastColumn="0"/>
            </w:pPr>
            <w:r w:rsidRPr="005D4311">
              <w:t>2</w:t>
            </w:r>
            <w:r w:rsidRPr="005D4311">
              <w:br/>
              <w:t>(10.5%)</w:t>
            </w:r>
          </w:p>
        </w:tc>
        <w:tc>
          <w:tcPr>
            <w:tcW w:w="470" w:type="pct"/>
          </w:tcPr>
          <w:p w14:paraId="091209BA" w14:textId="1FF25DCA" w:rsidR="005E5A81" w:rsidRPr="005D4311" w:rsidRDefault="00956874" w:rsidP="006D15A9">
            <w:pPr>
              <w:pStyle w:val="TableText"/>
              <w:cnfStyle w:val="000000000000" w:firstRow="0" w:lastRow="0" w:firstColumn="0" w:lastColumn="0" w:oddVBand="0" w:evenVBand="0" w:oddHBand="0" w:evenHBand="0" w:firstRowFirstColumn="0" w:firstRowLastColumn="0" w:lastRowFirstColumn="0" w:lastRowLastColumn="0"/>
            </w:pPr>
            <w:r w:rsidRPr="005D4311">
              <w:t xml:space="preserve">0 </w:t>
            </w:r>
            <w:r w:rsidRPr="005D4311">
              <w:br/>
              <w:t>(</w:t>
            </w:r>
            <w:r w:rsidR="00E466BB" w:rsidRPr="005D4311">
              <w:t>0.0%</w:t>
            </w:r>
            <w:r w:rsidRPr="005D4311">
              <w:t>)</w:t>
            </w:r>
          </w:p>
        </w:tc>
        <w:tc>
          <w:tcPr>
            <w:tcW w:w="471" w:type="pct"/>
          </w:tcPr>
          <w:p w14:paraId="140BCCBC" w14:textId="5178EFF1" w:rsidR="005E5A81" w:rsidRPr="005D4311" w:rsidRDefault="00E466BB" w:rsidP="006D15A9">
            <w:pPr>
              <w:pStyle w:val="TableText"/>
              <w:cnfStyle w:val="000000000000" w:firstRow="0" w:lastRow="0" w:firstColumn="0" w:lastColumn="0" w:oddVBand="0" w:evenVBand="0" w:oddHBand="0" w:evenHBand="0" w:firstRowFirstColumn="0" w:firstRowLastColumn="0" w:lastRowFirstColumn="0" w:lastRowLastColumn="0"/>
            </w:pPr>
            <w:r w:rsidRPr="005D4311">
              <w:t>1</w:t>
            </w:r>
            <w:r w:rsidRPr="005D4311">
              <w:br/>
              <w:t>(5.</w:t>
            </w:r>
            <w:r w:rsidR="006D2CBF" w:rsidRPr="005D4311">
              <w:t>3</w:t>
            </w:r>
            <w:r w:rsidRPr="005D4311">
              <w:t>%)</w:t>
            </w:r>
          </w:p>
        </w:tc>
        <w:tc>
          <w:tcPr>
            <w:tcW w:w="470" w:type="pct"/>
          </w:tcPr>
          <w:p w14:paraId="23BA0990" w14:textId="528C7462" w:rsidR="005E5A81" w:rsidRPr="005D4311" w:rsidRDefault="008C0EDD" w:rsidP="006D15A9">
            <w:pPr>
              <w:pStyle w:val="TableText"/>
              <w:cnfStyle w:val="000000000000" w:firstRow="0" w:lastRow="0" w:firstColumn="0" w:lastColumn="0" w:oddVBand="0" w:evenVBand="0" w:oddHBand="0" w:evenHBand="0" w:firstRowFirstColumn="0" w:firstRowLastColumn="0" w:lastRowFirstColumn="0" w:lastRowLastColumn="0"/>
            </w:pPr>
            <w:r w:rsidRPr="005D4311">
              <w:t xml:space="preserve">0 </w:t>
            </w:r>
            <w:r w:rsidR="006D2CBF" w:rsidRPr="005D4311">
              <w:br/>
            </w:r>
            <w:r w:rsidRPr="005D4311">
              <w:t>(0.0%)</w:t>
            </w:r>
          </w:p>
        </w:tc>
        <w:tc>
          <w:tcPr>
            <w:tcW w:w="471" w:type="pct"/>
          </w:tcPr>
          <w:p w14:paraId="330D94CF" w14:textId="33108B05" w:rsidR="005E5A81" w:rsidRPr="005D4311" w:rsidRDefault="00E466BB" w:rsidP="006D15A9">
            <w:pPr>
              <w:pStyle w:val="TableText"/>
              <w:cnfStyle w:val="000000000000" w:firstRow="0" w:lastRow="0" w:firstColumn="0" w:lastColumn="0" w:oddVBand="0" w:evenVBand="0" w:oddHBand="0" w:evenHBand="0" w:firstRowFirstColumn="0" w:firstRowLastColumn="0" w:lastRowFirstColumn="0" w:lastRowLastColumn="0"/>
            </w:pPr>
            <w:r w:rsidRPr="005D4311">
              <w:t>2</w:t>
            </w:r>
            <w:r w:rsidRPr="005D4311">
              <w:br/>
              <w:t>(10.5%)</w:t>
            </w:r>
          </w:p>
        </w:tc>
        <w:tc>
          <w:tcPr>
            <w:tcW w:w="470" w:type="pct"/>
          </w:tcPr>
          <w:p w14:paraId="2B128538" w14:textId="235ED3C6" w:rsidR="005E5A81" w:rsidRPr="005D4311" w:rsidRDefault="00E466BB" w:rsidP="006D15A9">
            <w:pPr>
              <w:pStyle w:val="TableText"/>
              <w:cnfStyle w:val="000000000000" w:firstRow="0" w:lastRow="0" w:firstColumn="0" w:lastColumn="0" w:oddVBand="0" w:evenVBand="0" w:oddHBand="0" w:evenHBand="0" w:firstRowFirstColumn="0" w:firstRowLastColumn="0" w:lastRowFirstColumn="0" w:lastRowLastColumn="0"/>
            </w:pPr>
            <w:r w:rsidRPr="005D4311">
              <w:t>2</w:t>
            </w:r>
            <w:r w:rsidRPr="005D4311">
              <w:br/>
              <w:t>(10.5%)</w:t>
            </w:r>
          </w:p>
        </w:tc>
        <w:tc>
          <w:tcPr>
            <w:tcW w:w="471" w:type="pct"/>
          </w:tcPr>
          <w:p w14:paraId="008D7BC8" w14:textId="58F671AE" w:rsidR="005E5A81" w:rsidRPr="005D4311" w:rsidRDefault="00E466BB" w:rsidP="006D15A9">
            <w:pPr>
              <w:pStyle w:val="TableText"/>
              <w:cnfStyle w:val="000000000000" w:firstRow="0" w:lastRow="0" w:firstColumn="0" w:lastColumn="0" w:oddVBand="0" w:evenVBand="0" w:oddHBand="0" w:evenHBand="0" w:firstRowFirstColumn="0" w:firstRowLastColumn="0" w:lastRowFirstColumn="0" w:lastRowLastColumn="0"/>
            </w:pPr>
            <w:r w:rsidRPr="005D4311">
              <w:t>9</w:t>
            </w:r>
            <w:r w:rsidRPr="005D4311">
              <w:br/>
              <w:t>(47.</w:t>
            </w:r>
            <w:r w:rsidR="00DF2E92" w:rsidRPr="005D4311">
              <w:t>4</w:t>
            </w:r>
            <w:r w:rsidRPr="005D4311">
              <w:t>%)</w:t>
            </w:r>
          </w:p>
        </w:tc>
      </w:tr>
      <w:tr w:rsidR="00EF4A46" w:rsidRPr="005D4311" w14:paraId="016F77B9" w14:textId="77777777" w:rsidTr="006D15A9">
        <w:trPr>
          <w:trHeight w:val="71"/>
        </w:trPr>
        <w:tc>
          <w:tcPr>
            <w:cnfStyle w:val="001000000000" w:firstRow="0" w:lastRow="0" w:firstColumn="1" w:lastColumn="0" w:oddVBand="0" w:evenVBand="0" w:oddHBand="0" w:evenHBand="0" w:firstRowFirstColumn="0" w:firstRowLastColumn="0" w:lastRowFirstColumn="0" w:lastRowLastColumn="0"/>
            <w:tcW w:w="765" w:type="pct"/>
          </w:tcPr>
          <w:p w14:paraId="75838A18" w14:textId="5CE60EDF" w:rsidR="005E5A81" w:rsidRPr="005D4311" w:rsidRDefault="00E466BB" w:rsidP="006D15A9">
            <w:pPr>
              <w:pStyle w:val="TableText"/>
            </w:pPr>
            <w:r w:rsidRPr="005D4311">
              <w:t>Rural area</w:t>
            </w:r>
          </w:p>
        </w:tc>
        <w:tc>
          <w:tcPr>
            <w:tcW w:w="470" w:type="pct"/>
          </w:tcPr>
          <w:p w14:paraId="5255A677" w14:textId="62C0339B" w:rsidR="005E5A81" w:rsidRPr="005D4311" w:rsidRDefault="005E5A81" w:rsidP="006D15A9">
            <w:pPr>
              <w:pStyle w:val="TableText"/>
              <w:cnfStyle w:val="000000000000" w:firstRow="0" w:lastRow="0" w:firstColumn="0" w:lastColumn="0" w:oddVBand="0" w:evenVBand="0" w:oddHBand="0" w:evenHBand="0" w:firstRowFirstColumn="0" w:firstRowLastColumn="0" w:lastRowFirstColumn="0" w:lastRowLastColumn="0"/>
            </w:pPr>
            <w:r w:rsidRPr="005D4311">
              <w:t xml:space="preserve">0 </w:t>
            </w:r>
            <w:r w:rsidR="00EF3F94" w:rsidRPr="005D4311">
              <w:br/>
            </w:r>
            <w:r w:rsidRPr="005D4311">
              <w:t>(0.</w:t>
            </w:r>
            <w:r w:rsidR="00EF3F94" w:rsidRPr="005D4311">
              <w:t>0</w:t>
            </w:r>
            <w:r w:rsidRPr="005D4311">
              <w:t>%)</w:t>
            </w:r>
          </w:p>
        </w:tc>
        <w:tc>
          <w:tcPr>
            <w:tcW w:w="470" w:type="pct"/>
          </w:tcPr>
          <w:p w14:paraId="3AE004DD" w14:textId="530A350C" w:rsidR="005E5A81" w:rsidRPr="005D4311" w:rsidRDefault="005E5A81" w:rsidP="006D15A9">
            <w:pPr>
              <w:pStyle w:val="TableText"/>
              <w:cnfStyle w:val="000000000000" w:firstRow="0" w:lastRow="0" w:firstColumn="0" w:lastColumn="0" w:oddVBand="0" w:evenVBand="0" w:oddHBand="0" w:evenHBand="0" w:firstRowFirstColumn="0" w:firstRowLastColumn="0" w:lastRowFirstColumn="0" w:lastRowLastColumn="0"/>
            </w:pPr>
            <w:r w:rsidRPr="005D4311">
              <w:t xml:space="preserve">0 </w:t>
            </w:r>
            <w:r w:rsidR="00EF3F94" w:rsidRPr="005D4311">
              <w:br/>
            </w:r>
            <w:r w:rsidRPr="005D4311">
              <w:t>(0.</w:t>
            </w:r>
            <w:r w:rsidR="00EF3F94" w:rsidRPr="005D4311">
              <w:t>0</w:t>
            </w:r>
            <w:r w:rsidRPr="005D4311">
              <w:t>%)</w:t>
            </w:r>
          </w:p>
        </w:tc>
        <w:tc>
          <w:tcPr>
            <w:tcW w:w="471" w:type="pct"/>
          </w:tcPr>
          <w:p w14:paraId="3F275FC3" w14:textId="489F9892" w:rsidR="005E5A81" w:rsidRPr="005D4311" w:rsidRDefault="00E466BB" w:rsidP="006D15A9">
            <w:pPr>
              <w:pStyle w:val="TableText"/>
              <w:cnfStyle w:val="000000000000" w:firstRow="0" w:lastRow="0" w:firstColumn="0" w:lastColumn="0" w:oddVBand="0" w:evenVBand="0" w:oddHBand="0" w:evenHBand="0" w:firstRowFirstColumn="0" w:firstRowLastColumn="0" w:lastRowFirstColumn="0" w:lastRowLastColumn="0"/>
            </w:pPr>
            <w:r w:rsidRPr="005D4311">
              <w:t>1 (10</w:t>
            </w:r>
            <w:r w:rsidR="005E5A81" w:rsidRPr="005D4311">
              <w:t>.</w:t>
            </w:r>
            <w:r w:rsidR="00EF3F94" w:rsidRPr="005D4311">
              <w:t>0</w:t>
            </w:r>
            <w:r w:rsidR="005E5A81" w:rsidRPr="005D4311">
              <w:t>%)</w:t>
            </w:r>
          </w:p>
        </w:tc>
        <w:tc>
          <w:tcPr>
            <w:tcW w:w="470" w:type="pct"/>
          </w:tcPr>
          <w:p w14:paraId="64918EA2" w14:textId="3C5D0F11" w:rsidR="005E5A81" w:rsidRPr="005D4311" w:rsidRDefault="00E466BB" w:rsidP="006D15A9">
            <w:pPr>
              <w:pStyle w:val="TableText"/>
              <w:cnfStyle w:val="000000000000" w:firstRow="0" w:lastRow="0" w:firstColumn="0" w:lastColumn="0" w:oddVBand="0" w:evenVBand="0" w:oddHBand="0" w:evenHBand="0" w:firstRowFirstColumn="0" w:firstRowLastColumn="0" w:lastRowFirstColumn="0" w:lastRowLastColumn="0"/>
            </w:pPr>
            <w:r w:rsidRPr="005D4311">
              <w:t>2</w:t>
            </w:r>
            <w:r w:rsidRPr="005D4311">
              <w:br/>
              <w:t>(20.00%)</w:t>
            </w:r>
          </w:p>
        </w:tc>
        <w:tc>
          <w:tcPr>
            <w:tcW w:w="471" w:type="pct"/>
          </w:tcPr>
          <w:p w14:paraId="3F19D20A" w14:textId="073200E5" w:rsidR="005E5A81" w:rsidRPr="005D4311" w:rsidRDefault="00E466BB" w:rsidP="006D15A9">
            <w:pPr>
              <w:pStyle w:val="TableText"/>
              <w:cnfStyle w:val="000000000000" w:firstRow="0" w:lastRow="0" w:firstColumn="0" w:lastColumn="0" w:oddVBand="0" w:evenVBand="0" w:oddHBand="0" w:evenHBand="0" w:firstRowFirstColumn="0" w:firstRowLastColumn="0" w:lastRowFirstColumn="0" w:lastRowLastColumn="0"/>
            </w:pPr>
            <w:r w:rsidRPr="005D4311">
              <w:t xml:space="preserve">0 </w:t>
            </w:r>
            <w:r w:rsidR="00EF3F94" w:rsidRPr="005D4311">
              <w:br/>
            </w:r>
            <w:r w:rsidRPr="005D4311">
              <w:t>(0.</w:t>
            </w:r>
            <w:r w:rsidR="00EF3F94" w:rsidRPr="005D4311">
              <w:t>0</w:t>
            </w:r>
            <w:r w:rsidRPr="005D4311">
              <w:t>%)</w:t>
            </w:r>
          </w:p>
        </w:tc>
        <w:tc>
          <w:tcPr>
            <w:tcW w:w="470" w:type="pct"/>
          </w:tcPr>
          <w:p w14:paraId="5C9BA6C4" w14:textId="05265088" w:rsidR="005E5A81" w:rsidRPr="005D4311" w:rsidRDefault="008C0EDD" w:rsidP="006D15A9">
            <w:pPr>
              <w:pStyle w:val="TableText"/>
              <w:cnfStyle w:val="000000000000" w:firstRow="0" w:lastRow="0" w:firstColumn="0" w:lastColumn="0" w:oddVBand="0" w:evenVBand="0" w:oddHBand="0" w:evenHBand="0" w:firstRowFirstColumn="0" w:firstRowLastColumn="0" w:lastRowFirstColumn="0" w:lastRowLastColumn="0"/>
            </w:pPr>
            <w:r w:rsidRPr="005D4311">
              <w:t xml:space="preserve">0 </w:t>
            </w:r>
            <w:r w:rsidR="00EF3F94" w:rsidRPr="005D4311">
              <w:br/>
            </w:r>
            <w:r w:rsidRPr="005D4311">
              <w:t>(0.</w:t>
            </w:r>
            <w:r w:rsidR="00EF3F94" w:rsidRPr="005D4311">
              <w:t>0</w:t>
            </w:r>
            <w:r w:rsidRPr="005D4311">
              <w:t>%)</w:t>
            </w:r>
          </w:p>
        </w:tc>
        <w:tc>
          <w:tcPr>
            <w:tcW w:w="471" w:type="pct"/>
          </w:tcPr>
          <w:p w14:paraId="5A59A4F0" w14:textId="629D9285" w:rsidR="005E5A81" w:rsidRPr="005D4311" w:rsidRDefault="00E466BB" w:rsidP="006D15A9">
            <w:pPr>
              <w:pStyle w:val="TableText"/>
              <w:cnfStyle w:val="000000000000" w:firstRow="0" w:lastRow="0" w:firstColumn="0" w:lastColumn="0" w:oddVBand="0" w:evenVBand="0" w:oddHBand="0" w:evenHBand="0" w:firstRowFirstColumn="0" w:firstRowLastColumn="0" w:lastRowFirstColumn="0" w:lastRowLastColumn="0"/>
            </w:pPr>
            <w:r w:rsidRPr="005D4311">
              <w:t xml:space="preserve">0 </w:t>
            </w:r>
            <w:r w:rsidR="00EF3F94" w:rsidRPr="005D4311">
              <w:br/>
            </w:r>
            <w:r w:rsidRPr="005D4311">
              <w:t>(0</w:t>
            </w:r>
            <w:r w:rsidR="005E5A81" w:rsidRPr="005D4311">
              <w:t>.</w:t>
            </w:r>
            <w:r w:rsidR="00EF3F94" w:rsidRPr="005D4311">
              <w:t>0</w:t>
            </w:r>
            <w:r w:rsidR="005E5A81" w:rsidRPr="005D4311">
              <w:t>%)</w:t>
            </w:r>
          </w:p>
        </w:tc>
        <w:tc>
          <w:tcPr>
            <w:tcW w:w="470" w:type="pct"/>
          </w:tcPr>
          <w:p w14:paraId="3C196F11" w14:textId="08CA850E" w:rsidR="005E5A81" w:rsidRPr="005D4311" w:rsidRDefault="00E466BB" w:rsidP="006D15A9">
            <w:pPr>
              <w:pStyle w:val="TableText"/>
              <w:cnfStyle w:val="000000000000" w:firstRow="0" w:lastRow="0" w:firstColumn="0" w:lastColumn="0" w:oddVBand="0" w:evenVBand="0" w:oddHBand="0" w:evenHBand="0" w:firstRowFirstColumn="0" w:firstRowLastColumn="0" w:lastRowFirstColumn="0" w:lastRowLastColumn="0"/>
            </w:pPr>
            <w:r w:rsidRPr="005D4311">
              <w:t xml:space="preserve">0 </w:t>
            </w:r>
            <w:r w:rsidR="00EF3F94" w:rsidRPr="005D4311">
              <w:br/>
            </w:r>
            <w:r w:rsidRPr="005D4311">
              <w:t>(0.</w:t>
            </w:r>
            <w:r w:rsidR="00EF3F94" w:rsidRPr="005D4311">
              <w:t>0</w:t>
            </w:r>
            <w:r w:rsidRPr="005D4311">
              <w:t>%)</w:t>
            </w:r>
          </w:p>
        </w:tc>
        <w:tc>
          <w:tcPr>
            <w:tcW w:w="471" w:type="pct"/>
          </w:tcPr>
          <w:p w14:paraId="36C6BDE3" w14:textId="0173F602" w:rsidR="005E5A81" w:rsidRPr="005D4311" w:rsidRDefault="005E5A81" w:rsidP="006D15A9">
            <w:pPr>
              <w:pStyle w:val="TableText"/>
              <w:cnfStyle w:val="000000000000" w:firstRow="0" w:lastRow="0" w:firstColumn="0" w:lastColumn="0" w:oddVBand="0" w:evenVBand="0" w:oddHBand="0" w:evenHBand="0" w:firstRowFirstColumn="0" w:firstRowLastColumn="0" w:lastRowFirstColumn="0" w:lastRowLastColumn="0"/>
            </w:pPr>
            <w:r w:rsidRPr="005D4311">
              <w:t>7 (</w:t>
            </w:r>
            <w:r w:rsidR="00E466BB" w:rsidRPr="005D4311">
              <w:t>70.</w:t>
            </w:r>
            <w:r w:rsidR="00EF3F94" w:rsidRPr="005D4311">
              <w:t>0</w:t>
            </w:r>
            <w:r w:rsidRPr="005D4311">
              <w:t>%)</w:t>
            </w:r>
          </w:p>
        </w:tc>
      </w:tr>
      <w:tr w:rsidR="00EF4A46" w:rsidRPr="005D4311" w14:paraId="0BB823D6" w14:textId="77777777" w:rsidTr="006D15A9">
        <w:trPr>
          <w:trHeight w:val="71"/>
        </w:trPr>
        <w:tc>
          <w:tcPr>
            <w:cnfStyle w:val="001000000000" w:firstRow="0" w:lastRow="0" w:firstColumn="1" w:lastColumn="0" w:oddVBand="0" w:evenVBand="0" w:oddHBand="0" w:evenHBand="0" w:firstRowFirstColumn="0" w:firstRowLastColumn="0" w:lastRowFirstColumn="0" w:lastRowLastColumn="0"/>
            <w:tcW w:w="765" w:type="pct"/>
          </w:tcPr>
          <w:p w14:paraId="2C50A7E9" w14:textId="15A35C81" w:rsidR="005E5A81" w:rsidRPr="005D4311" w:rsidRDefault="00E466BB" w:rsidP="006D15A9">
            <w:pPr>
              <w:pStyle w:val="TableText"/>
            </w:pPr>
            <w:r w:rsidRPr="005D4311">
              <w:t>Remote community</w:t>
            </w:r>
          </w:p>
        </w:tc>
        <w:tc>
          <w:tcPr>
            <w:tcW w:w="470" w:type="pct"/>
          </w:tcPr>
          <w:p w14:paraId="2D4655DC" w14:textId="0B284EA1" w:rsidR="005E5A81" w:rsidRPr="005D4311" w:rsidRDefault="005E5A81" w:rsidP="006D15A9">
            <w:pPr>
              <w:pStyle w:val="TableText"/>
              <w:cnfStyle w:val="000000000000" w:firstRow="0" w:lastRow="0" w:firstColumn="0" w:lastColumn="0" w:oddVBand="0" w:evenVBand="0" w:oddHBand="0" w:evenHBand="0" w:firstRowFirstColumn="0" w:firstRowLastColumn="0" w:lastRowFirstColumn="0" w:lastRowLastColumn="0"/>
            </w:pPr>
            <w:r w:rsidRPr="005D4311">
              <w:t xml:space="preserve">0 </w:t>
            </w:r>
            <w:r w:rsidR="00DF2E92" w:rsidRPr="005D4311">
              <w:br/>
            </w:r>
            <w:r w:rsidRPr="005D4311">
              <w:t>(0.</w:t>
            </w:r>
            <w:r w:rsidR="00DF2E92" w:rsidRPr="005D4311">
              <w:t>0</w:t>
            </w:r>
            <w:r w:rsidRPr="005D4311">
              <w:t>%)</w:t>
            </w:r>
          </w:p>
        </w:tc>
        <w:tc>
          <w:tcPr>
            <w:tcW w:w="470" w:type="pct"/>
          </w:tcPr>
          <w:p w14:paraId="7E58B172" w14:textId="2325D12A" w:rsidR="005E5A81" w:rsidRPr="005D4311" w:rsidRDefault="005E5A81" w:rsidP="006D15A9">
            <w:pPr>
              <w:pStyle w:val="TableText"/>
              <w:cnfStyle w:val="000000000000" w:firstRow="0" w:lastRow="0" w:firstColumn="0" w:lastColumn="0" w:oddVBand="0" w:evenVBand="0" w:oddHBand="0" w:evenHBand="0" w:firstRowFirstColumn="0" w:firstRowLastColumn="0" w:lastRowFirstColumn="0" w:lastRowLastColumn="0"/>
            </w:pPr>
            <w:r w:rsidRPr="005D4311">
              <w:t xml:space="preserve">0 </w:t>
            </w:r>
            <w:r w:rsidR="00DF2E92" w:rsidRPr="005D4311">
              <w:br/>
            </w:r>
            <w:r w:rsidRPr="005D4311">
              <w:t>(0.</w:t>
            </w:r>
            <w:r w:rsidR="00DF2E92" w:rsidRPr="005D4311">
              <w:t>0</w:t>
            </w:r>
            <w:r w:rsidRPr="005D4311">
              <w:t>%)</w:t>
            </w:r>
          </w:p>
        </w:tc>
        <w:tc>
          <w:tcPr>
            <w:tcW w:w="471" w:type="pct"/>
          </w:tcPr>
          <w:p w14:paraId="2B9C66C7" w14:textId="2DFA4C86" w:rsidR="005E5A81" w:rsidRPr="005D4311" w:rsidRDefault="00E466BB" w:rsidP="006D15A9">
            <w:pPr>
              <w:pStyle w:val="TableText"/>
              <w:cnfStyle w:val="000000000000" w:firstRow="0" w:lastRow="0" w:firstColumn="0" w:lastColumn="0" w:oddVBand="0" w:evenVBand="0" w:oddHBand="0" w:evenHBand="0" w:firstRowFirstColumn="0" w:firstRowLastColumn="0" w:lastRowFirstColumn="0" w:lastRowLastColumn="0"/>
            </w:pPr>
            <w:r w:rsidRPr="005D4311">
              <w:t xml:space="preserve">0 </w:t>
            </w:r>
            <w:r w:rsidR="00DF2E92" w:rsidRPr="005D4311">
              <w:br/>
            </w:r>
            <w:r w:rsidRPr="005D4311">
              <w:t>(0</w:t>
            </w:r>
            <w:r w:rsidR="005E5A81" w:rsidRPr="005D4311">
              <w:t>.</w:t>
            </w:r>
            <w:r w:rsidR="00DF2E92" w:rsidRPr="005D4311">
              <w:t>0</w:t>
            </w:r>
            <w:r w:rsidR="005E5A81" w:rsidRPr="005D4311">
              <w:t>%)</w:t>
            </w:r>
          </w:p>
        </w:tc>
        <w:tc>
          <w:tcPr>
            <w:tcW w:w="470" w:type="pct"/>
          </w:tcPr>
          <w:p w14:paraId="2A1FA202" w14:textId="6F357732" w:rsidR="005E5A81" w:rsidRPr="005D4311" w:rsidRDefault="005E5A81" w:rsidP="006D15A9">
            <w:pPr>
              <w:pStyle w:val="TableText"/>
              <w:cnfStyle w:val="000000000000" w:firstRow="0" w:lastRow="0" w:firstColumn="0" w:lastColumn="0" w:oddVBand="0" w:evenVBand="0" w:oddHBand="0" w:evenHBand="0" w:firstRowFirstColumn="0" w:firstRowLastColumn="0" w:lastRowFirstColumn="0" w:lastRowLastColumn="0"/>
            </w:pPr>
            <w:r w:rsidRPr="005D4311">
              <w:t xml:space="preserve">0 </w:t>
            </w:r>
            <w:r w:rsidR="00DF2E92" w:rsidRPr="005D4311">
              <w:br/>
            </w:r>
            <w:r w:rsidRPr="005D4311">
              <w:t>(0.</w:t>
            </w:r>
            <w:r w:rsidR="00DF2E92" w:rsidRPr="005D4311">
              <w:t>0</w:t>
            </w:r>
            <w:r w:rsidRPr="005D4311">
              <w:t>%)</w:t>
            </w:r>
          </w:p>
        </w:tc>
        <w:tc>
          <w:tcPr>
            <w:tcW w:w="471" w:type="pct"/>
          </w:tcPr>
          <w:p w14:paraId="1A96E5AB" w14:textId="34C7765F" w:rsidR="005E5A81" w:rsidRPr="005D4311" w:rsidRDefault="005E5A81" w:rsidP="006D15A9">
            <w:pPr>
              <w:pStyle w:val="TableText"/>
              <w:cnfStyle w:val="000000000000" w:firstRow="0" w:lastRow="0" w:firstColumn="0" w:lastColumn="0" w:oddVBand="0" w:evenVBand="0" w:oddHBand="0" w:evenHBand="0" w:firstRowFirstColumn="0" w:firstRowLastColumn="0" w:lastRowFirstColumn="0" w:lastRowLastColumn="0"/>
            </w:pPr>
            <w:r w:rsidRPr="005D4311">
              <w:t xml:space="preserve">0 </w:t>
            </w:r>
            <w:r w:rsidR="00DF2E92" w:rsidRPr="005D4311">
              <w:br/>
            </w:r>
            <w:r w:rsidRPr="005D4311">
              <w:t>(0.</w:t>
            </w:r>
            <w:r w:rsidR="00DF2E92" w:rsidRPr="005D4311">
              <w:t>0</w:t>
            </w:r>
            <w:r w:rsidRPr="005D4311">
              <w:t>%)</w:t>
            </w:r>
          </w:p>
        </w:tc>
        <w:tc>
          <w:tcPr>
            <w:tcW w:w="470" w:type="pct"/>
          </w:tcPr>
          <w:p w14:paraId="29F59AC7" w14:textId="3411C7D6" w:rsidR="005E5A81" w:rsidRPr="005D4311" w:rsidRDefault="005E5A81" w:rsidP="006D15A9">
            <w:pPr>
              <w:pStyle w:val="TableText"/>
              <w:cnfStyle w:val="000000000000" w:firstRow="0" w:lastRow="0" w:firstColumn="0" w:lastColumn="0" w:oddVBand="0" w:evenVBand="0" w:oddHBand="0" w:evenHBand="0" w:firstRowFirstColumn="0" w:firstRowLastColumn="0" w:lastRowFirstColumn="0" w:lastRowLastColumn="0"/>
            </w:pPr>
            <w:r w:rsidRPr="005D4311">
              <w:t xml:space="preserve">0 </w:t>
            </w:r>
            <w:r w:rsidR="00DF2E92" w:rsidRPr="005D4311">
              <w:br/>
            </w:r>
            <w:r w:rsidRPr="005D4311">
              <w:t>(0.</w:t>
            </w:r>
            <w:r w:rsidR="00DF2E92" w:rsidRPr="005D4311">
              <w:t>0</w:t>
            </w:r>
            <w:r w:rsidRPr="005D4311">
              <w:t>%)</w:t>
            </w:r>
          </w:p>
        </w:tc>
        <w:tc>
          <w:tcPr>
            <w:tcW w:w="471" w:type="pct"/>
          </w:tcPr>
          <w:p w14:paraId="4E3F8CF9" w14:textId="3AB31049" w:rsidR="005E5A81" w:rsidRPr="005D4311" w:rsidRDefault="005E5A81" w:rsidP="006D15A9">
            <w:pPr>
              <w:pStyle w:val="TableText"/>
              <w:cnfStyle w:val="000000000000" w:firstRow="0" w:lastRow="0" w:firstColumn="0" w:lastColumn="0" w:oddVBand="0" w:evenVBand="0" w:oddHBand="0" w:evenHBand="0" w:firstRowFirstColumn="0" w:firstRowLastColumn="0" w:lastRowFirstColumn="0" w:lastRowLastColumn="0"/>
            </w:pPr>
            <w:r w:rsidRPr="005D4311">
              <w:t xml:space="preserve">0 </w:t>
            </w:r>
            <w:r w:rsidR="00DF2E92" w:rsidRPr="005D4311">
              <w:br/>
            </w:r>
            <w:r w:rsidRPr="005D4311">
              <w:t>(0.</w:t>
            </w:r>
            <w:r w:rsidR="00DF2E92" w:rsidRPr="005D4311">
              <w:t>0</w:t>
            </w:r>
            <w:r w:rsidRPr="005D4311">
              <w:t>%)</w:t>
            </w:r>
          </w:p>
        </w:tc>
        <w:tc>
          <w:tcPr>
            <w:tcW w:w="470" w:type="pct"/>
          </w:tcPr>
          <w:p w14:paraId="77100DA3" w14:textId="347E88F5" w:rsidR="005E5A81" w:rsidRPr="005D4311" w:rsidRDefault="005E5A81" w:rsidP="006D15A9">
            <w:pPr>
              <w:pStyle w:val="TableText"/>
              <w:cnfStyle w:val="000000000000" w:firstRow="0" w:lastRow="0" w:firstColumn="0" w:lastColumn="0" w:oddVBand="0" w:evenVBand="0" w:oddHBand="0" w:evenHBand="0" w:firstRowFirstColumn="0" w:firstRowLastColumn="0" w:lastRowFirstColumn="0" w:lastRowLastColumn="0"/>
            </w:pPr>
            <w:r w:rsidRPr="005D4311">
              <w:t xml:space="preserve">0 </w:t>
            </w:r>
            <w:r w:rsidR="00DF2E92" w:rsidRPr="005D4311">
              <w:br/>
            </w:r>
            <w:r w:rsidRPr="005D4311">
              <w:t>(0.</w:t>
            </w:r>
            <w:r w:rsidR="00DF2E92" w:rsidRPr="005D4311">
              <w:t>0</w:t>
            </w:r>
            <w:r w:rsidRPr="005D4311">
              <w:t>%)</w:t>
            </w:r>
          </w:p>
        </w:tc>
        <w:tc>
          <w:tcPr>
            <w:tcW w:w="471" w:type="pct"/>
          </w:tcPr>
          <w:p w14:paraId="3DE8169C" w14:textId="67AC97DA" w:rsidR="005E5A81" w:rsidRPr="005D4311" w:rsidRDefault="00E466BB" w:rsidP="006D15A9">
            <w:pPr>
              <w:pStyle w:val="TableText"/>
              <w:cnfStyle w:val="000000000000" w:firstRow="0" w:lastRow="0" w:firstColumn="0" w:lastColumn="0" w:oddVBand="0" w:evenVBand="0" w:oddHBand="0" w:evenHBand="0" w:firstRowFirstColumn="0" w:firstRowLastColumn="0" w:lastRowFirstColumn="0" w:lastRowLastColumn="0"/>
            </w:pPr>
            <w:r w:rsidRPr="005D4311">
              <w:t xml:space="preserve">1 </w:t>
            </w:r>
            <w:r w:rsidRPr="005D4311">
              <w:br/>
              <w:t>(100</w:t>
            </w:r>
            <w:r w:rsidR="00DF2E92" w:rsidRPr="005D4311">
              <w:t>.0</w:t>
            </w:r>
            <w:r w:rsidRPr="005D4311">
              <w:t>%)</w:t>
            </w:r>
          </w:p>
        </w:tc>
      </w:tr>
      <w:tr w:rsidR="00EF4A46" w:rsidRPr="005D4311" w14:paraId="59D707D6" w14:textId="77777777" w:rsidTr="006D15A9">
        <w:trPr>
          <w:trHeight w:val="71"/>
        </w:trPr>
        <w:tc>
          <w:tcPr>
            <w:cnfStyle w:val="001000000000" w:firstRow="0" w:lastRow="0" w:firstColumn="1" w:lastColumn="0" w:oddVBand="0" w:evenVBand="0" w:oddHBand="0" w:evenHBand="0" w:firstRowFirstColumn="0" w:firstRowLastColumn="0" w:lastRowFirstColumn="0" w:lastRowLastColumn="0"/>
            <w:tcW w:w="765" w:type="pct"/>
          </w:tcPr>
          <w:p w14:paraId="7901B087" w14:textId="77777777" w:rsidR="005E5A81" w:rsidRPr="008B6161" w:rsidRDefault="005E5A81" w:rsidP="006D15A9">
            <w:pPr>
              <w:pStyle w:val="Tabletextbold"/>
              <w:rPr>
                <w:rFonts w:eastAsiaTheme="minorEastAsia" w:cs="Arial"/>
                <w:b/>
                <w:bCs/>
                <w:szCs w:val="18"/>
              </w:rPr>
            </w:pPr>
            <w:r w:rsidRPr="008B6161">
              <w:rPr>
                <w:b/>
                <w:bCs/>
              </w:rPr>
              <w:t>Total: 66* responses</w:t>
            </w:r>
          </w:p>
        </w:tc>
        <w:tc>
          <w:tcPr>
            <w:tcW w:w="470" w:type="pct"/>
          </w:tcPr>
          <w:p w14:paraId="50DE2ADF" w14:textId="3C38528E" w:rsidR="005E5A81" w:rsidRPr="008B6161" w:rsidRDefault="005E5A81" w:rsidP="006D15A9">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bCs/>
                <w:szCs w:val="18"/>
              </w:rPr>
            </w:pPr>
            <w:r w:rsidRPr="008B6161">
              <w:rPr>
                <w:bCs/>
              </w:rPr>
              <w:t xml:space="preserve">2 </w:t>
            </w:r>
            <w:r w:rsidR="00DF2E92" w:rsidRPr="008B6161">
              <w:rPr>
                <w:rFonts w:eastAsiaTheme="minorEastAsia" w:cs="Arial"/>
                <w:bCs/>
                <w:szCs w:val="18"/>
              </w:rPr>
              <w:br/>
            </w:r>
            <w:r w:rsidRPr="008B6161">
              <w:rPr>
                <w:rFonts w:eastAsiaTheme="minorEastAsia" w:cs="Arial"/>
                <w:bCs/>
                <w:szCs w:val="18"/>
              </w:rPr>
              <w:t>(3.0%)</w:t>
            </w:r>
          </w:p>
        </w:tc>
        <w:tc>
          <w:tcPr>
            <w:tcW w:w="470" w:type="pct"/>
          </w:tcPr>
          <w:p w14:paraId="761F825A" w14:textId="130BBC2F" w:rsidR="005E5A81" w:rsidRPr="008B6161" w:rsidRDefault="005E5A81" w:rsidP="006D15A9">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bCs/>
                <w:szCs w:val="18"/>
              </w:rPr>
            </w:pPr>
            <w:r w:rsidRPr="008B6161">
              <w:rPr>
                <w:bCs/>
              </w:rPr>
              <w:t xml:space="preserve">1 </w:t>
            </w:r>
            <w:r w:rsidR="00DF2E92" w:rsidRPr="008B6161">
              <w:rPr>
                <w:rFonts w:eastAsiaTheme="minorEastAsia" w:cs="Arial"/>
                <w:bCs/>
                <w:szCs w:val="18"/>
              </w:rPr>
              <w:br/>
            </w:r>
            <w:r w:rsidRPr="008B6161">
              <w:rPr>
                <w:rFonts w:eastAsiaTheme="minorEastAsia" w:cs="Arial"/>
                <w:bCs/>
                <w:szCs w:val="18"/>
              </w:rPr>
              <w:t>(1.5%)</w:t>
            </w:r>
          </w:p>
        </w:tc>
        <w:tc>
          <w:tcPr>
            <w:tcW w:w="471" w:type="pct"/>
          </w:tcPr>
          <w:p w14:paraId="31D8B2A1" w14:textId="443F21ED" w:rsidR="005E5A81" w:rsidRPr="008B6161" w:rsidRDefault="005E5A81" w:rsidP="006D15A9">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bCs/>
                <w:szCs w:val="18"/>
              </w:rPr>
            </w:pPr>
            <w:r w:rsidRPr="008B6161">
              <w:rPr>
                <w:bCs/>
              </w:rPr>
              <w:t>15 (22.7%)</w:t>
            </w:r>
          </w:p>
        </w:tc>
        <w:tc>
          <w:tcPr>
            <w:tcW w:w="470" w:type="pct"/>
          </w:tcPr>
          <w:p w14:paraId="61498EBF" w14:textId="77777777" w:rsidR="005E5A81" w:rsidRPr="008B6161" w:rsidRDefault="005E5A81" w:rsidP="006D15A9">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bCs/>
                <w:szCs w:val="18"/>
              </w:rPr>
            </w:pPr>
            <w:r w:rsidRPr="008B6161">
              <w:rPr>
                <w:bCs/>
              </w:rPr>
              <w:t>6 (9.09%)</w:t>
            </w:r>
          </w:p>
        </w:tc>
        <w:tc>
          <w:tcPr>
            <w:tcW w:w="471" w:type="pct"/>
          </w:tcPr>
          <w:p w14:paraId="5DF6216F" w14:textId="193121F1" w:rsidR="005E5A81" w:rsidRPr="008B6161" w:rsidRDefault="005E5A81" w:rsidP="006D15A9">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bCs/>
                <w:szCs w:val="18"/>
              </w:rPr>
            </w:pPr>
            <w:r w:rsidRPr="008B6161">
              <w:rPr>
                <w:bCs/>
              </w:rPr>
              <w:t xml:space="preserve">3 </w:t>
            </w:r>
            <w:r w:rsidR="00DF2E92" w:rsidRPr="008B6161">
              <w:rPr>
                <w:rFonts w:eastAsiaTheme="minorEastAsia" w:cs="Arial"/>
                <w:bCs/>
                <w:szCs w:val="18"/>
              </w:rPr>
              <w:br/>
            </w:r>
            <w:r w:rsidRPr="008B6161">
              <w:rPr>
                <w:rFonts w:eastAsiaTheme="minorEastAsia" w:cs="Arial"/>
                <w:bCs/>
                <w:szCs w:val="18"/>
              </w:rPr>
              <w:t>(4.</w:t>
            </w:r>
            <w:r w:rsidR="00DF2E92" w:rsidRPr="008B6161">
              <w:rPr>
                <w:rFonts w:eastAsiaTheme="minorEastAsia" w:cs="Arial"/>
                <w:bCs/>
                <w:szCs w:val="18"/>
              </w:rPr>
              <w:t>6</w:t>
            </w:r>
            <w:r w:rsidRPr="008B6161">
              <w:rPr>
                <w:rFonts w:eastAsiaTheme="minorEastAsia" w:cs="Arial"/>
                <w:bCs/>
                <w:szCs w:val="18"/>
              </w:rPr>
              <w:t>%)</w:t>
            </w:r>
          </w:p>
        </w:tc>
        <w:tc>
          <w:tcPr>
            <w:tcW w:w="470" w:type="pct"/>
          </w:tcPr>
          <w:p w14:paraId="466D7651" w14:textId="6718D034" w:rsidR="005E5A81" w:rsidRPr="008B6161" w:rsidRDefault="005E5A81" w:rsidP="006D15A9">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bCs/>
                <w:szCs w:val="18"/>
              </w:rPr>
            </w:pPr>
            <w:r w:rsidRPr="008B6161">
              <w:rPr>
                <w:bCs/>
              </w:rPr>
              <w:t xml:space="preserve">0 </w:t>
            </w:r>
            <w:r w:rsidR="00DF2E92" w:rsidRPr="008B6161">
              <w:rPr>
                <w:rFonts w:eastAsiaTheme="minorEastAsia" w:cs="Arial"/>
                <w:bCs/>
                <w:szCs w:val="18"/>
              </w:rPr>
              <w:br/>
            </w:r>
            <w:r w:rsidRPr="008B6161">
              <w:rPr>
                <w:rFonts w:eastAsiaTheme="minorEastAsia" w:cs="Arial"/>
                <w:bCs/>
                <w:szCs w:val="18"/>
              </w:rPr>
              <w:t>(0.0%)</w:t>
            </w:r>
          </w:p>
        </w:tc>
        <w:tc>
          <w:tcPr>
            <w:tcW w:w="471" w:type="pct"/>
          </w:tcPr>
          <w:p w14:paraId="7060D6D7" w14:textId="4BCFDB75" w:rsidR="005E5A81" w:rsidRPr="008B6161" w:rsidRDefault="005E5A81" w:rsidP="006D15A9">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bCs/>
                <w:szCs w:val="18"/>
              </w:rPr>
            </w:pPr>
            <w:r w:rsidRPr="008B6161">
              <w:rPr>
                <w:bCs/>
              </w:rPr>
              <w:t xml:space="preserve">4 </w:t>
            </w:r>
            <w:r w:rsidR="00DF2E92" w:rsidRPr="008B6161">
              <w:rPr>
                <w:rFonts w:eastAsiaTheme="minorEastAsia" w:cs="Arial"/>
                <w:bCs/>
                <w:szCs w:val="18"/>
              </w:rPr>
              <w:br/>
            </w:r>
            <w:r w:rsidRPr="008B6161">
              <w:rPr>
                <w:rFonts w:eastAsiaTheme="minorEastAsia" w:cs="Arial"/>
                <w:bCs/>
                <w:szCs w:val="18"/>
              </w:rPr>
              <w:t>(6.</w:t>
            </w:r>
            <w:r w:rsidR="00DF2E92" w:rsidRPr="008B6161">
              <w:rPr>
                <w:rFonts w:eastAsiaTheme="minorEastAsia" w:cs="Arial"/>
                <w:bCs/>
                <w:szCs w:val="18"/>
              </w:rPr>
              <w:t>1</w:t>
            </w:r>
            <w:r w:rsidRPr="008B6161">
              <w:rPr>
                <w:rFonts w:eastAsiaTheme="minorEastAsia" w:cs="Arial"/>
                <w:bCs/>
                <w:szCs w:val="18"/>
              </w:rPr>
              <w:t>%)</w:t>
            </w:r>
          </w:p>
        </w:tc>
        <w:tc>
          <w:tcPr>
            <w:tcW w:w="470" w:type="pct"/>
          </w:tcPr>
          <w:p w14:paraId="4E1EF901" w14:textId="3DF84DFB" w:rsidR="005E5A81" w:rsidRPr="008B6161" w:rsidRDefault="005E5A81" w:rsidP="006D15A9">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bCs/>
                <w:szCs w:val="18"/>
              </w:rPr>
            </w:pPr>
            <w:r w:rsidRPr="008B6161">
              <w:rPr>
                <w:bCs/>
              </w:rPr>
              <w:t>7 (10.6%)</w:t>
            </w:r>
          </w:p>
        </w:tc>
        <w:tc>
          <w:tcPr>
            <w:tcW w:w="471" w:type="pct"/>
          </w:tcPr>
          <w:p w14:paraId="154381CB" w14:textId="50412A36" w:rsidR="005E5A81" w:rsidRPr="008B6161" w:rsidRDefault="005E5A81" w:rsidP="006D15A9">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bCs/>
                <w:szCs w:val="18"/>
              </w:rPr>
            </w:pPr>
            <w:r w:rsidRPr="008B6161">
              <w:rPr>
                <w:bCs/>
              </w:rPr>
              <w:t>28 (42.4%)</w:t>
            </w:r>
          </w:p>
        </w:tc>
      </w:tr>
    </w:tbl>
    <w:p w14:paraId="71C395CB" w14:textId="1E10A8A2" w:rsidR="00295ECC" w:rsidRDefault="00295ECC" w:rsidP="006D15A9">
      <w:pPr>
        <w:pStyle w:val="Caption-Source"/>
      </w:pPr>
      <w:r w:rsidRPr="00B47C96">
        <w:t xml:space="preserve">Source: </w:t>
      </w:r>
      <w:r w:rsidR="00B26691">
        <w:t>Independent reviewer</w:t>
      </w:r>
      <w:r w:rsidR="00584D02">
        <w:t xml:space="preserve"> (</w:t>
      </w:r>
      <w:r w:rsidRPr="00B47C96">
        <w:t>2025</w:t>
      </w:r>
      <w:r w:rsidR="00584D02">
        <w:t>)</w:t>
      </w:r>
    </w:p>
    <w:p w14:paraId="2BAD04DE" w14:textId="286050E3" w:rsidR="006D15A9" w:rsidRDefault="006D15A9" w:rsidP="006D15A9">
      <w:pPr>
        <w:pStyle w:val="Caption"/>
      </w:pPr>
      <w:bookmarkStart w:id="258" w:name="_Toc207348650"/>
      <w:r>
        <w:t xml:space="preserve">Table </w:t>
      </w:r>
      <w:r w:rsidR="00E6799D">
        <w:fldChar w:fldCharType="begin"/>
      </w:r>
      <w:r w:rsidR="00E6799D">
        <w:instrText xml:space="preserve"> SEQ Table \* ARABIC </w:instrText>
      </w:r>
      <w:r w:rsidR="00E6799D">
        <w:fldChar w:fldCharType="separate"/>
      </w:r>
      <w:r w:rsidR="00E6799D">
        <w:rPr>
          <w:noProof/>
        </w:rPr>
        <w:t>85</w:t>
      </w:r>
      <w:r w:rsidR="00E6799D">
        <w:rPr>
          <w:noProof/>
        </w:rPr>
        <w:fldChar w:fldCharType="end"/>
      </w:r>
      <w:r>
        <w:t xml:space="preserve">: </w:t>
      </w:r>
      <w:r w:rsidRPr="008D74EF">
        <w:t xml:space="preserve">Responses to Question 9 by </w:t>
      </w:r>
      <w:r>
        <w:t>prosthesis type</w:t>
      </w:r>
      <w:bookmarkEnd w:id="258"/>
    </w:p>
    <w:tbl>
      <w:tblPr>
        <w:tblStyle w:val="KPMGTable"/>
        <w:tblW w:w="5000" w:type="pct"/>
        <w:tblLayout w:type="fixed"/>
        <w:tblLook w:val="04A0" w:firstRow="1" w:lastRow="0" w:firstColumn="1" w:lastColumn="0" w:noHBand="0" w:noVBand="1"/>
      </w:tblPr>
      <w:tblGrid>
        <w:gridCol w:w="1562"/>
        <w:gridCol w:w="960"/>
        <w:gridCol w:w="960"/>
        <w:gridCol w:w="962"/>
        <w:gridCol w:w="959"/>
        <w:gridCol w:w="961"/>
        <w:gridCol w:w="959"/>
        <w:gridCol w:w="961"/>
        <w:gridCol w:w="959"/>
        <w:gridCol w:w="961"/>
      </w:tblGrid>
      <w:tr w:rsidR="00E03DF2" w14:paraId="53C2020D" w14:textId="77777777" w:rsidTr="007A7F51">
        <w:trPr>
          <w:cnfStyle w:val="100000000000" w:firstRow="1" w:lastRow="0" w:firstColumn="0" w:lastColumn="0" w:oddVBand="0" w:evenVBand="0" w:oddHBand="0" w:evenHBand="0" w:firstRowFirstColumn="0" w:firstRowLastColumn="0" w:lastRowFirstColumn="0" w:lastRowLastColumn="0"/>
          <w:trHeight w:val="1154"/>
          <w:tblHeader/>
        </w:trPr>
        <w:tc>
          <w:tcPr>
            <w:cnfStyle w:val="001000000000" w:firstRow="0" w:lastRow="0" w:firstColumn="1" w:lastColumn="0" w:oddVBand="0" w:evenVBand="0" w:oddHBand="0" w:evenHBand="0" w:firstRowFirstColumn="0" w:firstRowLastColumn="0" w:lastRowFirstColumn="0" w:lastRowLastColumn="0"/>
            <w:tcW w:w="765" w:type="pct"/>
          </w:tcPr>
          <w:p w14:paraId="299074AB" w14:textId="77777777" w:rsidR="00BF4D99" w:rsidRDefault="00BF4D99" w:rsidP="006D15A9">
            <w:pPr>
              <w:pStyle w:val="TableHeading"/>
              <w:rPr>
                <w:b w:val="0"/>
                <w:color w:val="FFFFFF" w:themeColor="background1"/>
                <w:szCs w:val="20"/>
              </w:rPr>
            </w:pPr>
            <w:r>
              <w:t>Response</w:t>
            </w:r>
          </w:p>
        </w:tc>
        <w:tc>
          <w:tcPr>
            <w:tcW w:w="470" w:type="pct"/>
          </w:tcPr>
          <w:p w14:paraId="25D88742" w14:textId="77777777" w:rsidR="00BF4D99" w:rsidRDefault="00BF4D99" w:rsidP="006D15A9">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NDIS</w:t>
            </w:r>
          </w:p>
        </w:tc>
        <w:tc>
          <w:tcPr>
            <w:tcW w:w="470" w:type="pct"/>
          </w:tcPr>
          <w:p w14:paraId="7EC9BF39" w14:textId="77777777" w:rsidR="00BF4D99" w:rsidRDefault="00BF4D99" w:rsidP="006D15A9">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DVA</w:t>
            </w:r>
          </w:p>
        </w:tc>
        <w:tc>
          <w:tcPr>
            <w:tcW w:w="471" w:type="pct"/>
          </w:tcPr>
          <w:p w14:paraId="1CB9DC27" w14:textId="18849D61" w:rsidR="00BF4D99" w:rsidRDefault="00BF4D99" w:rsidP="006D15A9">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State / territory health depart-</w:t>
            </w:r>
            <w:proofErr w:type="spellStart"/>
            <w:r>
              <w:t>ment</w:t>
            </w:r>
            <w:proofErr w:type="spellEnd"/>
          </w:p>
        </w:tc>
        <w:tc>
          <w:tcPr>
            <w:tcW w:w="470" w:type="pct"/>
          </w:tcPr>
          <w:p w14:paraId="213F941E" w14:textId="49B57263" w:rsidR="00BF4D99" w:rsidRDefault="00BF4D99" w:rsidP="006D15A9">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 xml:space="preserve">Private health </w:t>
            </w:r>
            <w:proofErr w:type="spellStart"/>
            <w:r>
              <w:t>insura-nce</w:t>
            </w:r>
            <w:proofErr w:type="spellEnd"/>
          </w:p>
        </w:tc>
        <w:tc>
          <w:tcPr>
            <w:tcW w:w="471" w:type="pct"/>
          </w:tcPr>
          <w:p w14:paraId="1F221579" w14:textId="77777777" w:rsidR="00BF4D99" w:rsidRDefault="00BF4D99" w:rsidP="006D15A9">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Charity</w:t>
            </w:r>
          </w:p>
        </w:tc>
        <w:tc>
          <w:tcPr>
            <w:tcW w:w="470" w:type="pct"/>
          </w:tcPr>
          <w:p w14:paraId="799E7CE0" w14:textId="55125AE9" w:rsidR="00BF4D99" w:rsidRDefault="00BF4D99" w:rsidP="006D15A9">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Philant-</w:t>
            </w:r>
            <w:proofErr w:type="spellStart"/>
            <w:r>
              <w:t>hropic</w:t>
            </w:r>
            <w:proofErr w:type="spellEnd"/>
            <w:r>
              <w:t xml:space="preserve"> source</w:t>
            </w:r>
          </w:p>
        </w:tc>
        <w:tc>
          <w:tcPr>
            <w:tcW w:w="471" w:type="pct"/>
          </w:tcPr>
          <w:p w14:paraId="502986E0" w14:textId="77777777" w:rsidR="00BF4D99" w:rsidRDefault="00BF4D99" w:rsidP="006D15A9">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Family / friends/ other relatives</w:t>
            </w:r>
          </w:p>
        </w:tc>
        <w:tc>
          <w:tcPr>
            <w:tcW w:w="470" w:type="pct"/>
          </w:tcPr>
          <w:p w14:paraId="64280F9F" w14:textId="77777777" w:rsidR="00BF4D99" w:rsidRDefault="00BF4D99" w:rsidP="006D15A9">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Other</w:t>
            </w:r>
          </w:p>
        </w:tc>
        <w:tc>
          <w:tcPr>
            <w:tcW w:w="471" w:type="pct"/>
          </w:tcPr>
          <w:p w14:paraId="6FEC3534" w14:textId="222EB517" w:rsidR="00BF4D99" w:rsidRDefault="00BF4D99" w:rsidP="006D15A9">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No funding access-ed</w:t>
            </w:r>
          </w:p>
        </w:tc>
      </w:tr>
      <w:tr w:rsidR="00EF4A46" w:rsidRPr="006645CF" w14:paraId="2CFA6638" w14:textId="77777777" w:rsidTr="006D15A9">
        <w:trPr>
          <w:trHeight w:val="71"/>
        </w:trPr>
        <w:tc>
          <w:tcPr>
            <w:cnfStyle w:val="001000000000" w:firstRow="0" w:lastRow="0" w:firstColumn="1" w:lastColumn="0" w:oddVBand="0" w:evenVBand="0" w:oddHBand="0" w:evenHBand="0" w:firstRowFirstColumn="0" w:firstRowLastColumn="0" w:lastRowFirstColumn="0" w:lastRowLastColumn="0"/>
            <w:tcW w:w="765" w:type="pct"/>
          </w:tcPr>
          <w:p w14:paraId="54D597CB" w14:textId="65638565" w:rsidR="00C60FAE" w:rsidRPr="00295ECC" w:rsidRDefault="00C60FAE" w:rsidP="006D15A9">
            <w:pPr>
              <w:pStyle w:val="TableText"/>
            </w:pPr>
            <w:r w:rsidRPr="00295ECC">
              <w:t>Facial prosthesis</w:t>
            </w:r>
          </w:p>
        </w:tc>
        <w:tc>
          <w:tcPr>
            <w:tcW w:w="470" w:type="pct"/>
          </w:tcPr>
          <w:p w14:paraId="212D363E" w14:textId="411EC3CC" w:rsidR="00C60FAE" w:rsidRPr="00855B81" w:rsidRDefault="00C60FAE"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t xml:space="preserve">2 </w:t>
            </w:r>
            <w:r w:rsidR="0054537C">
              <w:br/>
            </w:r>
            <w:r>
              <w:t>(</w:t>
            </w:r>
            <w:r w:rsidRPr="00EB3BF9">
              <w:t>5%</w:t>
            </w:r>
            <w:r>
              <w:t>)</w:t>
            </w:r>
          </w:p>
        </w:tc>
        <w:tc>
          <w:tcPr>
            <w:tcW w:w="470" w:type="pct"/>
          </w:tcPr>
          <w:p w14:paraId="5E86A6CA" w14:textId="0DFF092F" w:rsidR="00C60FAE" w:rsidRPr="00855B81" w:rsidRDefault="00C60FAE"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t xml:space="preserve">1 </w:t>
            </w:r>
            <w:r w:rsidR="0054537C">
              <w:br/>
            </w:r>
            <w:r>
              <w:t>(</w:t>
            </w:r>
            <w:r w:rsidRPr="00EB3BF9">
              <w:t>2</w:t>
            </w:r>
            <w:r w:rsidR="00A1139F">
              <w:t>.5</w:t>
            </w:r>
            <w:r w:rsidRPr="00EB3BF9">
              <w:t>%</w:t>
            </w:r>
            <w:r>
              <w:t>)</w:t>
            </w:r>
          </w:p>
        </w:tc>
        <w:tc>
          <w:tcPr>
            <w:tcW w:w="471" w:type="pct"/>
          </w:tcPr>
          <w:p w14:paraId="6EB96B0C" w14:textId="159A0B8E" w:rsidR="00C60FAE" w:rsidRPr="00855B81" w:rsidRDefault="00B13BFB"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t>9</w:t>
            </w:r>
            <w:r>
              <w:br/>
            </w:r>
            <w:r w:rsidR="00C60FAE">
              <w:t>(</w:t>
            </w:r>
            <w:r w:rsidR="00C60FAE" w:rsidRPr="00EB3BF9">
              <w:t>22.</w:t>
            </w:r>
            <w:r w:rsidR="003221DC">
              <w:t>5</w:t>
            </w:r>
            <w:r w:rsidR="00C60FAE" w:rsidRPr="00EB3BF9">
              <w:t>%</w:t>
            </w:r>
            <w:r w:rsidR="00C60FAE">
              <w:t>)</w:t>
            </w:r>
          </w:p>
        </w:tc>
        <w:tc>
          <w:tcPr>
            <w:tcW w:w="470" w:type="pct"/>
          </w:tcPr>
          <w:p w14:paraId="5A4C9921" w14:textId="67A6BEE1" w:rsidR="00C60FAE" w:rsidRPr="00855B81" w:rsidRDefault="00B13BFB"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t>2</w:t>
            </w:r>
            <w:r w:rsidR="00C60FAE">
              <w:t xml:space="preserve"> </w:t>
            </w:r>
            <w:r w:rsidR="0054537C">
              <w:br/>
            </w:r>
            <w:r w:rsidR="00C60FAE">
              <w:t>(</w:t>
            </w:r>
            <w:r w:rsidR="003221DC">
              <w:t>5</w:t>
            </w:r>
            <w:r w:rsidR="00C60FAE" w:rsidRPr="00EB3BF9">
              <w:t>.0%</w:t>
            </w:r>
            <w:r w:rsidR="00C60FAE">
              <w:t>)</w:t>
            </w:r>
          </w:p>
        </w:tc>
        <w:tc>
          <w:tcPr>
            <w:tcW w:w="471" w:type="pct"/>
          </w:tcPr>
          <w:p w14:paraId="479B64E0" w14:textId="3CCCA576" w:rsidR="00C60FAE" w:rsidRPr="00855B81" w:rsidRDefault="00C60FAE"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t xml:space="preserve">3 </w:t>
            </w:r>
            <w:r w:rsidR="0054537C">
              <w:br/>
            </w:r>
            <w:r>
              <w:t>(</w:t>
            </w:r>
            <w:r w:rsidR="0054537C">
              <w:t>7</w:t>
            </w:r>
            <w:r w:rsidR="00873E5F">
              <w:t>.5</w:t>
            </w:r>
            <w:r w:rsidRPr="00EB3BF9">
              <w:t>%</w:t>
            </w:r>
            <w:r>
              <w:t>)</w:t>
            </w:r>
          </w:p>
        </w:tc>
        <w:tc>
          <w:tcPr>
            <w:tcW w:w="470" w:type="pct"/>
          </w:tcPr>
          <w:p w14:paraId="2F79AFB5" w14:textId="47929D26" w:rsidR="00C60FAE" w:rsidRPr="00855B81" w:rsidRDefault="00C60FAE"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E466BB">
              <w:rPr>
                <w:szCs w:val="18"/>
              </w:rPr>
              <w:t xml:space="preserve">0 </w:t>
            </w:r>
            <w:r w:rsidR="0054537C">
              <w:rPr>
                <w:szCs w:val="18"/>
              </w:rPr>
              <w:br/>
            </w:r>
            <w:r w:rsidRPr="00E466BB">
              <w:rPr>
                <w:szCs w:val="18"/>
              </w:rPr>
              <w:t>(0.</w:t>
            </w:r>
            <w:r w:rsidR="00555F1E">
              <w:rPr>
                <w:szCs w:val="18"/>
              </w:rPr>
              <w:t>0</w:t>
            </w:r>
            <w:r w:rsidRPr="00E466BB">
              <w:rPr>
                <w:szCs w:val="18"/>
              </w:rPr>
              <w:t>%)</w:t>
            </w:r>
          </w:p>
        </w:tc>
        <w:tc>
          <w:tcPr>
            <w:tcW w:w="471" w:type="pct"/>
          </w:tcPr>
          <w:p w14:paraId="6A566D6C" w14:textId="22A712B6" w:rsidR="00C60FAE" w:rsidRPr="00855B81" w:rsidRDefault="00B13BFB"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t>4</w:t>
            </w:r>
            <w:r w:rsidR="00C60FAE">
              <w:t xml:space="preserve"> </w:t>
            </w:r>
            <w:r w:rsidR="00555F1E">
              <w:br/>
            </w:r>
            <w:r w:rsidR="00C60FAE">
              <w:t>(</w:t>
            </w:r>
            <w:r w:rsidR="00790E21">
              <w:t>10.0</w:t>
            </w:r>
            <w:r w:rsidR="00C60FAE" w:rsidRPr="00EB3BF9">
              <w:t>%</w:t>
            </w:r>
            <w:r w:rsidR="00C60FAE">
              <w:t>)</w:t>
            </w:r>
          </w:p>
        </w:tc>
        <w:tc>
          <w:tcPr>
            <w:tcW w:w="470" w:type="pct"/>
          </w:tcPr>
          <w:p w14:paraId="10B0AAB2" w14:textId="563DF487" w:rsidR="00C60FAE" w:rsidRPr="00855B81" w:rsidRDefault="00B13BFB"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t>5</w:t>
            </w:r>
            <w:r w:rsidR="00C60FAE">
              <w:t xml:space="preserve"> (</w:t>
            </w:r>
            <w:r w:rsidR="00C60FAE" w:rsidRPr="00EB3BF9">
              <w:t>12.</w:t>
            </w:r>
            <w:r w:rsidR="00A26F2A">
              <w:t>5</w:t>
            </w:r>
            <w:r w:rsidR="00C60FAE" w:rsidRPr="00EB3BF9">
              <w:t>%</w:t>
            </w:r>
            <w:r w:rsidR="00C60FAE">
              <w:t>)</w:t>
            </w:r>
          </w:p>
        </w:tc>
        <w:tc>
          <w:tcPr>
            <w:tcW w:w="471" w:type="pct"/>
          </w:tcPr>
          <w:p w14:paraId="649115B3" w14:textId="6B4730EF" w:rsidR="00C60FAE" w:rsidRPr="00855B81" w:rsidRDefault="00B13BFB"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t>14</w:t>
            </w:r>
            <w:r w:rsidR="00C60FAE">
              <w:t xml:space="preserve"> (</w:t>
            </w:r>
            <w:r w:rsidR="00C60FAE" w:rsidRPr="00EB3BF9">
              <w:t>3</w:t>
            </w:r>
            <w:r w:rsidR="00A26F2A">
              <w:t>5.0</w:t>
            </w:r>
            <w:r w:rsidR="00C60FAE" w:rsidRPr="00EB3BF9">
              <w:t>%</w:t>
            </w:r>
            <w:r w:rsidR="00C60FAE">
              <w:t>)</w:t>
            </w:r>
          </w:p>
        </w:tc>
      </w:tr>
      <w:tr w:rsidR="00EF4A46" w:rsidRPr="00241F14" w14:paraId="349D6D88" w14:textId="77777777" w:rsidTr="006D15A9">
        <w:trPr>
          <w:trHeight w:val="71"/>
        </w:trPr>
        <w:tc>
          <w:tcPr>
            <w:cnfStyle w:val="001000000000" w:firstRow="0" w:lastRow="0" w:firstColumn="1" w:lastColumn="0" w:oddVBand="0" w:evenVBand="0" w:oddHBand="0" w:evenHBand="0" w:firstRowFirstColumn="0" w:firstRowLastColumn="0" w:lastRowFirstColumn="0" w:lastRowLastColumn="0"/>
            <w:tcW w:w="765" w:type="pct"/>
          </w:tcPr>
          <w:p w14:paraId="1D30454B" w14:textId="6D864F5E" w:rsidR="00C60FAE" w:rsidRPr="00295ECC" w:rsidRDefault="00C60FAE" w:rsidP="006D15A9">
            <w:pPr>
              <w:pStyle w:val="TableText"/>
            </w:pPr>
            <w:r w:rsidRPr="00295ECC">
              <w:t>An artificial breast worn in the bra</w:t>
            </w:r>
          </w:p>
        </w:tc>
        <w:tc>
          <w:tcPr>
            <w:tcW w:w="470" w:type="pct"/>
          </w:tcPr>
          <w:p w14:paraId="5FDF04A4" w14:textId="373C90E9" w:rsidR="00C60FAE" w:rsidRPr="00855B81" w:rsidRDefault="00C60FAE"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szCs w:val="18"/>
              </w:rPr>
              <w:t xml:space="preserve">0 </w:t>
            </w:r>
            <w:r w:rsidR="0096494B">
              <w:rPr>
                <w:szCs w:val="18"/>
              </w:rPr>
              <w:br/>
            </w:r>
            <w:r>
              <w:rPr>
                <w:szCs w:val="18"/>
              </w:rPr>
              <w:t>(0.</w:t>
            </w:r>
            <w:r w:rsidR="0096494B">
              <w:rPr>
                <w:szCs w:val="18"/>
              </w:rPr>
              <w:t>0</w:t>
            </w:r>
            <w:r>
              <w:rPr>
                <w:szCs w:val="18"/>
              </w:rPr>
              <w:t>%)</w:t>
            </w:r>
          </w:p>
        </w:tc>
        <w:tc>
          <w:tcPr>
            <w:tcW w:w="470" w:type="pct"/>
          </w:tcPr>
          <w:p w14:paraId="09C202D7" w14:textId="184EE0A2" w:rsidR="00C60FAE" w:rsidRPr="00855B81" w:rsidRDefault="00C60FAE"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szCs w:val="18"/>
              </w:rPr>
              <w:t xml:space="preserve">0 </w:t>
            </w:r>
            <w:r w:rsidR="0096494B">
              <w:rPr>
                <w:szCs w:val="18"/>
              </w:rPr>
              <w:br/>
            </w:r>
            <w:r>
              <w:rPr>
                <w:szCs w:val="18"/>
              </w:rPr>
              <w:t>(0.</w:t>
            </w:r>
            <w:r w:rsidR="0096494B">
              <w:rPr>
                <w:szCs w:val="18"/>
              </w:rPr>
              <w:t>0</w:t>
            </w:r>
            <w:r>
              <w:rPr>
                <w:szCs w:val="18"/>
              </w:rPr>
              <w:t>%)</w:t>
            </w:r>
          </w:p>
        </w:tc>
        <w:tc>
          <w:tcPr>
            <w:tcW w:w="471" w:type="pct"/>
          </w:tcPr>
          <w:p w14:paraId="72F39DDC" w14:textId="5453AD72" w:rsidR="00C60FAE" w:rsidRPr="00855B81" w:rsidRDefault="00C60FAE"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szCs w:val="18"/>
              </w:rPr>
              <w:t xml:space="preserve">0 </w:t>
            </w:r>
            <w:r w:rsidR="0096494B">
              <w:rPr>
                <w:szCs w:val="18"/>
              </w:rPr>
              <w:br/>
            </w:r>
            <w:r>
              <w:rPr>
                <w:szCs w:val="18"/>
              </w:rPr>
              <w:t>(0.</w:t>
            </w:r>
            <w:r w:rsidR="0096494B">
              <w:rPr>
                <w:szCs w:val="18"/>
              </w:rPr>
              <w:t>0</w:t>
            </w:r>
            <w:r>
              <w:rPr>
                <w:szCs w:val="18"/>
              </w:rPr>
              <w:t>%)</w:t>
            </w:r>
          </w:p>
        </w:tc>
        <w:tc>
          <w:tcPr>
            <w:tcW w:w="470" w:type="pct"/>
          </w:tcPr>
          <w:p w14:paraId="06FC0420" w14:textId="77D340A6" w:rsidR="00C60FAE" w:rsidRPr="00855B81" w:rsidRDefault="00C60FAE"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szCs w:val="18"/>
              </w:rPr>
              <w:t xml:space="preserve">0 </w:t>
            </w:r>
            <w:r w:rsidR="0096494B">
              <w:rPr>
                <w:szCs w:val="18"/>
              </w:rPr>
              <w:br/>
            </w:r>
            <w:r>
              <w:rPr>
                <w:szCs w:val="18"/>
              </w:rPr>
              <w:t>(0.</w:t>
            </w:r>
            <w:r w:rsidR="0096494B">
              <w:rPr>
                <w:szCs w:val="18"/>
              </w:rPr>
              <w:t>0</w:t>
            </w:r>
            <w:r>
              <w:rPr>
                <w:szCs w:val="18"/>
              </w:rPr>
              <w:t>%)</w:t>
            </w:r>
          </w:p>
        </w:tc>
        <w:tc>
          <w:tcPr>
            <w:tcW w:w="471" w:type="pct"/>
          </w:tcPr>
          <w:p w14:paraId="0D36F534" w14:textId="45DC407C" w:rsidR="00C60FAE" w:rsidRPr="00855B81" w:rsidRDefault="00C60FAE"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szCs w:val="18"/>
              </w:rPr>
              <w:t xml:space="preserve">0 </w:t>
            </w:r>
            <w:r w:rsidR="0096494B">
              <w:rPr>
                <w:szCs w:val="18"/>
              </w:rPr>
              <w:br/>
            </w:r>
            <w:r>
              <w:rPr>
                <w:szCs w:val="18"/>
              </w:rPr>
              <w:t>(0.</w:t>
            </w:r>
            <w:r w:rsidR="0096494B">
              <w:rPr>
                <w:szCs w:val="18"/>
              </w:rPr>
              <w:t>0</w:t>
            </w:r>
            <w:r>
              <w:rPr>
                <w:szCs w:val="18"/>
              </w:rPr>
              <w:t>%)</w:t>
            </w:r>
          </w:p>
        </w:tc>
        <w:tc>
          <w:tcPr>
            <w:tcW w:w="470" w:type="pct"/>
          </w:tcPr>
          <w:p w14:paraId="10697A80" w14:textId="11F3B86F" w:rsidR="00C60FAE" w:rsidRPr="00855B81" w:rsidRDefault="00C60FAE"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szCs w:val="18"/>
              </w:rPr>
              <w:t xml:space="preserve">0 </w:t>
            </w:r>
            <w:r w:rsidR="0096494B">
              <w:rPr>
                <w:szCs w:val="18"/>
              </w:rPr>
              <w:br/>
            </w:r>
            <w:r>
              <w:rPr>
                <w:szCs w:val="18"/>
              </w:rPr>
              <w:t>(0.</w:t>
            </w:r>
            <w:r w:rsidR="0096494B">
              <w:rPr>
                <w:szCs w:val="18"/>
              </w:rPr>
              <w:t>0</w:t>
            </w:r>
            <w:r>
              <w:rPr>
                <w:szCs w:val="18"/>
              </w:rPr>
              <w:t>%)</w:t>
            </w:r>
          </w:p>
        </w:tc>
        <w:tc>
          <w:tcPr>
            <w:tcW w:w="471" w:type="pct"/>
          </w:tcPr>
          <w:p w14:paraId="398D333A" w14:textId="214B44A0" w:rsidR="00C60FAE" w:rsidRPr="00855B81" w:rsidRDefault="00C60FAE"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E466BB">
              <w:rPr>
                <w:szCs w:val="18"/>
              </w:rPr>
              <w:t xml:space="preserve">0 </w:t>
            </w:r>
            <w:r w:rsidR="0096494B">
              <w:rPr>
                <w:szCs w:val="18"/>
              </w:rPr>
              <w:br/>
            </w:r>
            <w:r w:rsidRPr="00E466BB">
              <w:rPr>
                <w:szCs w:val="18"/>
              </w:rPr>
              <w:t>(0.</w:t>
            </w:r>
            <w:r w:rsidR="0096494B">
              <w:rPr>
                <w:szCs w:val="18"/>
              </w:rPr>
              <w:t>0</w:t>
            </w:r>
            <w:r w:rsidRPr="00E466BB">
              <w:rPr>
                <w:szCs w:val="18"/>
              </w:rPr>
              <w:t>%)</w:t>
            </w:r>
          </w:p>
        </w:tc>
        <w:tc>
          <w:tcPr>
            <w:tcW w:w="470" w:type="pct"/>
          </w:tcPr>
          <w:p w14:paraId="78F310C8" w14:textId="2CB08740" w:rsidR="00C60FAE" w:rsidRPr="00855B81" w:rsidRDefault="00C60FAE"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2 (</w:t>
            </w:r>
            <w:r w:rsidRPr="00855B81">
              <w:rPr>
                <w:rFonts w:asciiTheme="minorHAnsi" w:hAnsiTheme="minorHAnsi" w:cstheme="minorHAnsi"/>
                <w:szCs w:val="18"/>
              </w:rPr>
              <w:t>66.</w:t>
            </w:r>
            <w:r w:rsidR="0096494B" w:rsidRPr="00855B81">
              <w:rPr>
                <w:rFonts w:asciiTheme="minorHAnsi" w:hAnsiTheme="minorHAnsi" w:cstheme="minorHAnsi"/>
                <w:szCs w:val="18"/>
              </w:rPr>
              <w:t>7</w:t>
            </w:r>
            <w:r w:rsidRPr="00855B81">
              <w:rPr>
                <w:rFonts w:asciiTheme="minorHAnsi" w:hAnsiTheme="minorHAnsi" w:cstheme="minorHAnsi"/>
                <w:szCs w:val="18"/>
              </w:rPr>
              <w:t>%</w:t>
            </w:r>
            <w:r>
              <w:rPr>
                <w:rFonts w:asciiTheme="minorHAnsi" w:hAnsiTheme="minorHAnsi" w:cstheme="minorHAnsi"/>
                <w:szCs w:val="18"/>
              </w:rPr>
              <w:t>)</w:t>
            </w:r>
          </w:p>
        </w:tc>
        <w:tc>
          <w:tcPr>
            <w:tcW w:w="471" w:type="pct"/>
          </w:tcPr>
          <w:p w14:paraId="1FD7CB42" w14:textId="1AFD5267" w:rsidR="00C60FAE" w:rsidRPr="00855B81" w:rsidRDefault="00C60FAE"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 (</w:t>
            </w:r>
            <w:r w:rsidRPr="00855B81">
              <w:rPr>
                <w:rFonts w:asciiTheme="minorHAnsi" w:hAnsiTheme="minorHAnsi" w:cstheme="minorHAnsi"/>
                <w:szCs w:val="18"/>
              </w:rPr>
              <w:t>33.</w:t>
            </w:r>
            <w:r w:rsidR="0096494B" w:rsidRPr="00855B81">
              <w:rPr>
                <w:rFonts w:asciiTheme="minorHAnsi" w:hAnsiTheme="minorHAnsi" w:cstheme="minorHAnsi"/>
                <w:szCs w:val="18"/>
              </w:rPr>
              <w:t>3%</w:t>
            </w:r>
            <w:r w:rsidR="00555F1E">
              <w:rPr>
                <w:rFonts w:asciiTheme="minorHAnsi" w:hAnsiTheme="minorHAnsi" w:cstheme="minorHAnsi"/>
                <w:szCs w:val="18"/>
              </w:rPr>
              <w:t>)</w:t>
            </w:r>
          </w:p>
        </w:tc>
      </w:tr>
      <w:tr w:rsidR="00EF4A46" w:rsidRPr="006645CF" w14:paraId="626C5366" w14:textId="77777777" w:rsidTr="006D15A9">
        <w:trPr>
          <w:trHeight w:val="71"/>
        </w:trPr>
        <w:tc>
          <w:tcPr>
            <w:cnfStyle w:val="001000000000" w:firstRow="0" w:lastRow="0" w:firstColumn="1" w:lastColumn="0" w:oddVBand="0" w:evenVBand="0" w:oddHBand="0" w:evenHBand="0" w:firstRowFirstColumn="0" w:firstRowLastColumn="0" w:lastRowFirstColumn="0" w:lastRowLastColumn="0"/>
            <w:tcW w:w="765" w:type="pct"/>
          </w:tcPr>
          <w:p w14:paraId="1688ABBB" w14:textId="42E50B08" w:rsidR="002E4112" w:rsidRPr="00295ECC" w:rsidRDefault="002E4112" w:rsidP="006D15A9">
            <w:pPr>
              <w:pStyle w:val="TableText"/>
            </w:pPr>
            <w:r w:rsidRPr="00295ECC">
              <w:t>Voice prostheses</w:t>
            </w:r>
          </w:p>
        </w:tc>
        <w:tc>
          <w:tcPr>
            <w:tcW w:w="470" w:type="pct"/>
          </w:tcPr>
          <w:p w14:paraId="1430D677" w14:textId="57109C8C" w:rsidR="002E4112" w:rsidRPr="00855B81" w:rsidRDefault="002E4112"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szCs w:val="18"/>
              </w:rPr>
              <w:t xml:space="preserve">0 </w:t>
            </w:r>
            <w:r w:rsidR="00555F1E">
              <w:rPr>
                <w:szCs w:val="18"/>
              </w:rPr>
              <w:br/>
            </w:r>
            <w:r>
              <w:rPr>
                <w:szCs w:val="18"/>
              </w:rPr>
              <w:t>(0.</w:t>
            </w:r>
            <w:r w:rsidR="00555F1E">
              <w:rPr>
                <w:szCs w:val="18"/>
              </w:rPr>
              <w:t>0</w:t>
            </w:r>
            <w:r>
              <w:rPr>
                <w:szCs w:val="18"/>
              </w:rPr>
              <w:t>%)</w:t>
            </w:r>
          </w:p>
        </w:tc>
        <w:tc>
          <w:tcPr>
            <w:tcW w:w="470" w:type="pct"/>
          </w:tcPr>
          <w:p w14:paraId="30A0492E" w14:textId="036193B0" w:rsidR="002E4112" w:rsidRPr="00855B81" w:rsidRDefault="002E4112"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szCs w:val="18"/>
              </w:rPr>
              <w:t xml:space="preserve">0 </w:t>
            </w:r>
            <w:r w:rsidR="00555F1E">
              <w:rPr>
                <w:szCs w:val="18"/>
              </w:rPr>
              <w:br/>
            </w:r>
            <w:r>
              <w:rPr>
                <w:szCs w:val="18"/>
              </w:rPr>
              <w:t>(0.</w:t>
            </w:r>
            <w:r w:rsidR="00555F1E">
              <w:rPr>
                <w:szCs w:val="18"/>
              </w:rPr>
              <w:t>0</w:t>
            </w:r>
            <w:r>
              <w:rPr>
                <w:szCs w:val="18"/>
              </w:rPr>
              <w:t>%)</w:t>
            </w:r>
          </w:p>
        </w:tc>
        <w:tc>
          <w:tcPr>
            <w:tcW w:w="471" w:type="pct"/>
          </w:tcPr>
          <w:p w14:paraId="10243B29" w14:textId="5E97219F" w:rsidR="002E4112" w:rsidRPr="000304F0" w:rsidRDefault="002E4112"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szCs w:val="18"/>
              </w:rPr>
              <w:t>5 (</w:t>
            </w:r>
            <w:r w:rsidRPr="000304F0">
              <w:rPr>
                <w:szCs w:val="18"/>
              </w:rPr>
              <w:t>38.</w:t>
            </w:r>
            <w:r w:rsidR="00555F1E">
              <w:rPr>
                <w:szCs w:val="18"/>
              </w:rPr>
              <w:t>5</w:t>
            </w:r>
            <w:r w:rsidRPr="000304F0">
              <w:rPr>
                <w:szCs w:val="18"/>
              </w:rPr>
              <w:t>%</w:t>
            </w:r>
            <w:r>
              <w:rPr>
                <w:szCs w:val="18"/>
              </w:rPr>
              <w:t>)</w:t>
            </w:r>
          </w:p>
        </w:tc>
        <w:tc>
          <w:tcPr>
            <w:tcW w:w="470" w:type="pct"/>
          </w:tcPr>
          <w:p w14:paraId="58FE5861" w14:textId="1FBA640B" w:rsidR="002E4112" w:rsidRPr="000304F0" w:rsidRDefault="002E4112"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szCs w:val="18"/>
              </w:rPr>
              <w:t xml:space="preserve">1 </w:t>
            </w:r>
            <w:r w:rsidR="00555F1E">
              <w:rPr>
                <w:szCs w:val="18"/>
              </w:rPr>
              <w:br/>
            </w:r>
            <w:r>
              <w:rPr>
                <w:szCs w:val="18"/>
              </w:rPr>
              <w:t>(</w:t>
            </w:r>
            <w:r w:rsidRPr="000304F0">
              <w:rPr>
                <w:szCs w:val="18"/>
              </w:rPr>
              <w:t>7.</w:t>
            </w:r>
            <w:r w:rsidR="00555F1E">
              <w:rPr>
                <w:szCs w:val="18"/>
              </w:rPr>
              <w:t>7</w:t>
            </w:r>
            <w:r w:rsidRPr="000304F0">
              <w:rPr>
                <w:szCs w:val="18"/>
              </w:rPr>
              <w:t>%</w:t>
            </w:r>
            <w:r>
              <w:rPr>
                <w:szCs w:val="18"/>
              </w:rPr>
              <w:t>)</w:t>
            </w:r>
          </w:p>
        </w:tc>
        <w:tc>
          <w:tcPr>
            <w:tcW w:w="471" w:type="pct"/>
          </w:tcPr>
          <w:p w14:paraId="30915BD4" w14:textId="79476698" w:rsidR="002E4112" w:rsidRPr="000304F0" w:rsidRDefault="002E4112"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szCs w:val="18"/>
              </w:rPr>
              <w:t xml:space="preserve">0 </w:t>
            </w:r>
            <w:r w:rsidR="00555F1E">
              <w:rPr>
                <w:szCs w:val="18"/>
              </w:rPr>
              <w:br/>
            </w:r>
            <w:r>
              <w:rPr>
                <w:szCs w:val="18"/>
              </w:rPr>
              <w:t>(0.</w:t>
            </w:r>
            <w:r w:rsidR="00555F1E">
              <w:rPr>
                <w:szCs w:val="18"/>
              </w:rPr>
              <w:t>0</w:t>
            </w:r>
            <w:r>
              <w:rPr>
                <w:szCs w:val="18"/>
              </w:rPr>
              <w:t>%)</w:t>
            </w:r>
          </w:p>
        </w:tc>
        <w:tc>
          <w:tcPr>
            <w:tcW w:w="470" w:type="pct"/>
          </w:tcPr>
          <w:p w14:paraId="537C9EA5" w14:textId="4F796830" w:rsidR="002E4112" w:rsidRPr="000304F0" w:rsidRDefault="002E4112"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E466BB">
              <w:rPr>
                <w:szCs w:val="18"/>
              </w:rPr>
              <w:t xml:space="preserve">0 </w:t>
            </w:r>
            <w:r w:rsidR="00555F1E">
              <w:rPr>
                <w:szCs w:val="18"/>
              </w:rPr>
              <w:br/>
            </w:r>
            <w:r w:rsidRPr="00E466BB">
              <w:rPr>
                <w:szCs w:val="18"/>
              </w:rPr>
              <w:t>(0.</w:t>
            </w:r>
            <w:r w:rsidR="00555F1E">
              <w:rPr>
                <w:szCs w:val="18"/>
              </w:rPr>
              <w:t>0</w:t>
            </w:r>
            <w:r w:rsidRPr="00E466BB">
              <w:rPr>
                <w:szCs w:val="18"/>
              </w:rPr>
              <w:t>%)</w:t>
            </w:r>
          </w:p>
        </w:tc>
        <w:tc>
          <w:tcPr>
            <w:tcW w:w="471" w:type="pct"/>
          </w:tcPr>
          <w:p w14:paraId="6EDEF67B" w14:textId="441D4CFC" w:rsidR="002E4112" w:rsidRPr="000304F0" w:rsidRDefault="002E4112"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E466BB">
              <w:rPr>
                <w:szCs w:val="18"/>
              </w:rPr>
              <w:t xml:space="preserve">0 </w:t>
            </w:r>
            <w:r w:rsidR="00555F1E">
              <w:rPr>
                <w:szCs w:val="18"/>
              </w:rPr>
              <w:br/>
            </w:r>
            <w:r w:rsidRPr="00E466BB">
              <w:rPr>
                <w:szCs w:val="18"/>
              </w:rPr>
              <w:t>(0.</w:t>
            </w:r>
            <w:r w:rsidR="00555F1E">
              <w:rPr>
                <w:szCs w:val="18"/>
              </w:rPr>
              <w:t>0</w:t>
            </w:r>
            <w:r w:rsidRPr="00E466BB">
              <w:rPr>
                <w:szCs w:val="18"/>
              </w:rPr>
              <w:t>%)</w:t>
            </w:r>
          </w:p>
        </w:tc>
        <w:tc>
          <w:tcPr>
            <w:tcW w:w="470" w:type="pct"/>
          </w:tcPr>
          <w:p w14:paraId="7AA2C504" w14:textId="4EC709B3" w:rsidR="002E4112" w:rsidRPr="000304F0" w:rsidRDefault="002E4112"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E466BB">
              <w:rPr>
                <w:szCs w:val="18"/>
              </w:rPr>
              <w:t xml:space="preserve">0 </w:t>
            </w:r>
            <w:r w:rsidR="00555F1E">
              <w:rPr>
                <w:szCs w:val="18"/>
              </w:rPr>
              <w:br/>
            </w:r>
            <w:r w:rsidRPr="00E466BB">
              <w:rPr>
                <w:szCs w:val="18"/>
              </w:rPr>
              <w:t>(0.</w:t>
            </w:r>
            <w:r w:rsidR="00555F1E">
              <w:rPr>
                <w:szCs w:val="18"/>
              </w:rPr>
              <w:t>0</w:t>
            </w:r>
            <w:r w:rsidRPr="00E466BB">
              <w:rPr>
                <w:szCs w:val="18"/>
              </w:rPr>
              <w:t>%)</w:t>
            </w:r>
          </w:p>
        </w:tc>
        <w:tc>
          <w:tcPr>
            <w:tcW w:w="471" w:type="pct"/>
          </w:tcPr>
          <w:p w14:paraId="516D1FDD" w14:textId="20BC7257" w:rsidR="002E4112" w:rsidRPr="000304F0" w:rsidRDefault="002E4112"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7 (</w:t>
            </w:r>
            <w:r w:rsidRPr="000304F0">
              <w:rPr>
                <w:rFonts w:asciiTheme="minorHAnsi" w:hAnsiTheme="minorHAnsi" w:cstheme="minorHAnsi"/>
                <w:szCs w:val="18"/>
              </w:rPr>
              <w:t>53.</w:t>
            </w:r>
            <w:r w:rsidR="00555F1E">
              <w:rPr>
                <w:rFonts w:asciiTheme="minorHAnsi" w:hAnsiTheme="minorHAnsi" w:cstheme="minorHAnsi"/>
                <w:szCs w:val="18"/>
              </w:rPr>
              <w:t>9</w:t>
            </w:r>
            <w:r w:rsidRPr="000304F0">
              <w:rPr>
                <w:rFonts w:asciiTheme="minorHAnsi" w:hAnsiTheme="minorHAnsi" w:cstheme="minorHAnsi"/>
                <w:szCs w:val="18"/>
              </w:rPr>
              <w:t>%</w:t>
            </w:r>
            <w:r>
              <w:rPr>
                <w:rFonts w:asciiTheme="minorHAnsi" w:hAnsiTheme="minorHAnsi" w:cstheme="minorHAnsi"/>
                <w:szCs w:val="18"/>
              </w:rPr>
              <w:t>)</w:t>
            </w:r>
          </w:p>
        </w:tc>
      </w:tr>
      <w:tr w:rsidR="00EF4A46" w:rsidRPr="006645CF" w14:paraId="747FFD54" w14:textId="77777777" w:rsidTr="006D15A9">
        <w:trPr>
          <w:trHeight w:val="71"/>
        </w:trPr>
        <w:tc>
          <w:tcPr>
            <w:cnfStyle w:val="001000000000" w:firstRow="0" w:lastRow="0" w:firstColumn="1" w:lastColumn="0" w:oddVBand="0" w:evenVBand="0" w:oddHBand="0" w:evenHBand="0" w:firstRowFirstColumn="0" w:firstRowLastColumn="0" w:lastRowFirstColumn="0" w:lastRowLastColumn="0"/>
            <w:tcW w:w="765" w:type="pct"/>
          </w:tcPr>
          <w:p w14:paraId="0BCB62A6" w14:textId="67E50D04" w:rsidR="002E4112" w:rsidRPr="00295ECC" w:rsidRDefault="002E4112" w:rsidP="006D15A9">
            <w:pPr>
              <w:pStyle w:val="TableText"/>
            </w:pPr>
            <w:r w:rsidRPr="00295ECC">
              <w:t>Dental prostheses</w:t>
            </w:r>
          </w:p>
        </w:tc>
        <w:tc>
          <w:tcPr>
            <w:tcW w:w="470" w:type="pct"/>
          </w:tcPr>
          <w:p w14:paraId="149424A4" w14:textId="070F6255" w:rsidR="002E4112" w:rsidRPr="00855B81" w:rsidRDefault="002E4112"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szCs w:val="18"/>
              </w:rPr>
              <w:t xml:space="preserve">0 </w:t>
            </w:r>
            <w:r w:rsidR="00555F1E">
              <w:rPr>
                <w:szCs w:val="18"/>
              </w:rPr>
              <w:br/>
            </w:r>
            <w:r>
              <w:rPr>
                <w:szCs w:val="18"/>
              </w:rPr>
              <w:t>(0.</w:t>
            </w:r>
            <w:r w:rsidR="00555F1E">
              <w:rPr>
                <w:szCs w:val="18"/>
              </w:rPr>
              <w:t>0</w:t>
            </w:r>
            <w:r>
              <w:rPr>
                <w:szCs w:val="18"/>
              </w:rPr>
              <w:t>%)</w:t>
            </w:r>
          </w:p>
        </w:tc>
        <w:tc>
          <w:tcPr>
            <w:tcW w:w="470" w:type="pct"/>
          </w:tcPr>
          <w:p w14:paraId="124E731C" w14:textId="3C918BD0" w:rsidR="002E4112" w:rsidRPr="00855B81" w:rsidRDefault="002E4112"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szCs w:val="18"/>
              </w:rPr>
              <w:t xml:space="preserve">0 </w:t>
            </w:r>
            <w:r w:rsidR="00555F1E">
              <w:rPr>
                <w:szCs w:val="18"/>
              </w:rPr>
              <w:br/>
            </w:r>
            <w:r>
              <w:rPr>
                <w:szCs w:val="18"/>
              </w:rPr>
              <w:t>(0.</w:t>
            </w:r>
            <w:r w:rsidR="00555F1E">
              <w:rPr>
                <w:szCs w:val="18"/>
              </w:rPr>
              <w:t>0</w:t>
            </w:r>
            <w:r>
              <w:rPr>
                <w:szCs w:val="18"/>
              </w:rPr>
              <w:t>%)</w:t>
            </w:r>
          </w:p>
        </w:tc>
        <w:tc>
          <w:tcPr>
            <w:tcW w:w="471" w:type="pct"/>
          </w:tcPr>
          <w:p w14:paraId="66A2B03E" w14:textId="66F1AF65" w:rsidR="002E4112" w:rsidRPr="000304F0" w:rsidRDefault="002E4112"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855B81">
              <w:rPr>
                <w:rFonts w:asciiTheme="minorHAnsi" w:hAnsiTheme="minorHAnsi" w:cstheme="minorHAnsi"/>
                <w:szCs w:val="18"/>
              </w:rPr>
              <w:t>1</w:t>
            </w:r>
            <w:r>
              <w:rPr>
                <w:rFonts w:asciiTheme="minorHAnsi" w:hAnsiTheme="minorHAnsi" w:cstheme="minorHAnsi"/>
                <w:szCs w:val="18"/>
              </w:rPr>
              <w:t xml:space="preserve"> (1</w:t>
            </w:r>
            <w:r w:rsidRPr="00855B81">
              <w:rPr>
                <w:rFonts w:asciiTheme="minorHAnsi" w:hAnsiTheme="minorHAnsi" w:cstheme="minorHAnsi"/>
                <w:szCs w:val="18"/>
              </w:rPr>
              <w:t>1.</w:t>
            </w:r>
            <w:r w:rsidR="00555F1E" w:rsidRPr="00855B81">
              <w:rPr>
                <w:rFonts w:asciiTheme="minorHAnsi" w:hAnsiTheme="minorHAnsi" w:cstheme="minorHAnsi"/>
                <w:szCs w:val="18"/>
              </w:rPr>
              <w:t>1</w:t>
            </w:r>
            <w:r w:rsidRPr="00855B81">
              <w:rPr>
                <w:rFonts w:asciiTheme="minorHAnsi" w:hAnsiTheme="minorHAnsi" w:cstheme="minorHAnsi"/>
                <w:szCs w:val="18"/>
              </w:rPr>
              <w:t>%</w:t>
            </w:r>
            <w:r>
              <w:rPr>
                <w:rFonts w:asciiTheme="minorHAnsi" w:hAnsiTheme="minorHAnsi" w:cstheme="minorHAnsi"/>
                <w:szCs w:val="18"/>
              </w:rPr>
              <w:t>)</w:t>
            </w:r>
          </w:p>
        </w:tc>
        <w:tc>
          <w:tcPr>
            <w:tcW w:w="470" w:type="pct"/>
          </w:tcPr>
          <w:p w14:paraId="0A5027C6" w14:textId="4C9CB796" w:rsidR="002E4112" w:rsidRPr="000304F0" w:rsidRDefault="002E4112"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855B81">
              <w:rPr>
                <w:rFonts w:asciiTheme="minorHAnsi" w:hAnsiTheme="minorHAnsi" w:cstheme="minorHAnsi"/>
                <w:szCs w:val="18"/>
              </w:rPr>
              <w:t>3</w:t>
            </w:r>
            <w:r>
              <w:rPr>
                <w:rFonts w:asciiTheme="minorHAnsi" w:hAnsiTheme="minorHAnsi" w:cstheme="minorHAnsi"/>
                <w:szCs w:val="18"/>
              </w:rPr>
              <w:t xml:space="preserve"> (3</w:t>
            </w:r>
            <w:r w:rsidRPr="00855B81">
              <w:rPr>
                <w:rFonts w:asciiTheme="minorHAnsi" w:hAnsiTheme="minorHAnsi" w:cstheme="minorHAnsi"/>
                <w:szCs w:val="18"/>
              </w:rPr>
              <w:t>3.</w:t>
            </w:r>
            <w:r w:rsidR="00555F1E" w:rsidRPr="00855B81">
              <w:rPr>
                <w:rFonts w:asciiTheme="minorHAnsi" w:hAnsiTheme="minorHAnsi" w:cstheme="minorHAnsi"/>
                <w:szCs w:val="18"/>
              </w:rPr>
              <w:t>3</w:t>
            </w:r>
            <w:r w:rsidRPr="00855B81">
              <w:rPr>
                <w:rFonts w:asciiTheme="minorHAnsi" w:hAnsiTheme="minorHAnsi" w:cstheme="minorHAnsi"/>
                <w:szCs w:val="18"/>
              </w:rPr>
              <w:t>%</w:t>
            </w:r>
            <w:r>
              <w:rPr>
                <w:rFonts w:asciiTheme="minorHAnsi" w:hAnsiTheme="minorHAnsi" w:cstheme="minorHAnsi"/>
                <w:szCs w:val="18"/>
              </w:rPr>
              <w:t>)</w:t>
            </w:r>
          </w:p>
        </w:tc>
        <w:tc>
          <w:tcPr>
            <w:tcW w:w="471" w:type="pct"/>
          </w:tcPr>
          <w:p w14:paraId="401283F6" w14:textId="5054CDB2" w:rsidR="002E4112" w:rsidRPr="000304F0" w:rsidRDefault="002E4112"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szCs w:val="18"/>
              </w:rPr>
              <w:t xml:space="preserve">0 </w:t>
            </w:r>
            <w:r w:rsidR="00555F1E">
              <w:rPr>
                <w:szCs w:val="18"/>
              </w:rPr>
              <w:br/>
            </w:r>
            <w:r>
              <w:rPr>
                <w:szCs w:val="18"/>
              </w:rPr>
              <w:t>(0.</w:t>
            </w:r>
            <w:r w:rsidR="00555F1E">
              <w:rPr>
                <w:szCs w:val="18"/>
              </w:rPr>
              <w:t>0</w:t>
            </w:r>
            <w:r>
              <w:rPr>
                <w:szCs w:val="18"/>
              </w:rPr>
              <w:t>%)</w:t>
            </w:r>
          </w:p>
        </w:tc>
        <w:tc>
          <w:tcPr>
            <w:tcW w:w="470" w:type="pct"/>
          </w:tcPr>
          <w:p w14:paraId="215D5494" w14:textId="78255FD5" w:rsidR="002E4112" w:rsidRPr="000304F0" w:rsidRDefault="002E4112"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E466BB">
              <w:rPr>
                <w:szCs w:val="18"/>
              </w:rPr>
              <w:t xml:space="preserve">0 </w:t>
            </w:r>
            <w:r w:rsidR="00555F1E">
              <w:rPr>
                <w:szCs w:val="18"/>
              </w:rPr>
              <w:br/>
            </w:r>
            <w:r w:rsidRPr="00E466BB">
              <w:rPr>
                <w:szCs w:val="18"/>
              </w:rPr>
              <w:t>(0.</w:t>
            </w:r>
            <w:r w:rsidR="00555F1E">
              <w:rPr>
                <w:szCs w:val="18"/>
              </w:rPr>
              <w:t>0</w:t>
            </w:r>
            <w:r w:rsidRPr="00E466BB">
              <w:rPr>
                <w:szCs w:val="18"/>
              </w:rPr>
              <w:t>%)</w:t>
            </w:r>
          </w:p>
        </w:tc>
        <w:tc>
          <w:tcPr>
            <w:tcW w:w="471" w:type="pct"/>
          </w:tcPr>
          <w:p w14:paraId="14826DF0" w14:textId="63426851" w:rsidR="002E4112" w:rsidRPr="000304F0" w:rsidRDefault="002E4112"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E466BB">
              <w:rPr>
                <w:szCs w:val="18"/>
              </w:rPr>
              <w:t xml:space="preserve">0 </w:t>
            </w:r>
            <w:r w:rsidR="00555F1E">
              <w:rPr>
                <w:szCs w:val="18"/>
              </w:rPr>
              <w:br/>
            </w:r>
            <w:r w:rsidRPr="00E466BB">
              <w:rPr>
                <w:szCs w:val="18"/>
              </w:rPr>
              <w:t>(0.</w:t>
            </w:r>
            <w:r w:rsidR="00555F1E">
              <w:rPr>
                <w:szCs w:val="18"/>
              </w:rPr>
              <w:t>0</w:t>
            </w:r>
            <w:r w:rsidRPr="00E466BB">
              <w:rPr>
                <w:szCs w:val="18"/>
              </w:rPr>
              <w:t>%)</w:t>
            </w:r>
          </w:p>
        </w:tc>
        <w:tc>
          <w:tcPr>
            <w:tcW w:w="470" w:type="pct"/>
          </w:tcPr>
          <w:p w14:paraId="6AC03E31" w14:textId="36BE7236" w:rsidR="002E4112" w:rsidRPr="000304F0" w:rsidRDefault="002E4112"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E466BB">
              <w:rPr>
                <w:szCs w:val="18"/>
              </w:rPr>
              <w:t xml:space="preserve">0 </w:t>
            </w:r>
            <w:r w:rsidR="00555F1E">
              <w:rPr>
                <w:szCs w:val="18"/>
              </w:rPr>
              <w:br/>
            </w:r>
            <w:r w:rsidRPr="00E466BB">
              <w:rPr>
                <w:szCs w:val="18"/>
              </w:rPr>
              <w:t>(0.</w:t>
            </w:r>
            <w:r w:rsidR="00555F1E">
              <w:rPr>
                <w:szCs w:val="18"/>
              </w:rPr>
              <w:t>0</w:t>
            </w:r>
            <w:r w:rsidRPr="00E466BB">
              <w:rPr>
                <w:szCs w:val="18"/>
              </w:rPr>
              <w:t>%)</w:t>
            </w:r>
          </w:p>
        </w:tc>
        <w:tc>
          <w:tcPr>
            <w:tcW w:w="471" w:type="pct"/>
          </w:tcPr>
          <w:p w14:paraId="6C1ECBDE" w14:textId="787B304B" w:rsidR="002E4112" w:rsidRPr="000304F0" w:rsidRDefault="002E4112"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855B81">
              <w:rPr>
                <w:rFonts w:asciiTheme="minorHAnsi" w:hAnsiTheme="minorHAnsi" w:cstheme="minorHAnsi"/>
                <w:szCs w:val="18"/>
              </w:rPr>
              <w:t>5</w:t>
            </w:r>
            <w:r>
              <w:rPr>
                <w:rFonts w:asciiTheme="minorHAnsi" w:hAnsiTheme="minorHAnsi" w:cstheme="minorHAnsi"/>
                <w:szCs w:val="18"/>
              </w:rPr>
              <w:t xml:space="preserve"> (5</w:t>
            </w:r>
            <w:r w:rsidRPr="00855B81">
              <w:rPr>
                <w:rFonts w:asciiTheme="minorHAnsi" w:hAnsiTheme="minorHAnsi" w:cstheme="minorHAnsi"/>
                <w:szCs w:val="18"/>
              </w:rPr>
              <w:t>5.</w:t>
            </w:r>
            <w:r w:rsidR="00555F1E" w:rsidRPr="00855B81">
              <w:rPr>
                <w:rFonts w:asciiTheme="minorHAnsi" w:hAnsiTheme="minorHAnsi" w:cstheme="minorHAnsi"/>
                <w:szCs w:val="18"/>
              </w:rPr>
              <w:t>6</w:t>
            </w:r>
            <w:r w:rsidRPr="00855B81">
              <w:rPr>
                <w:rFonts w:asciiTheme="minorHAnsi" w:hAnsiTheme="minorHAnsi" w:cstheme="minorHAnsi"/>
                <w:szCs w:val="18"/>
              </w:rPr>
              <w:t>%</w:t>
            </w:r>
            <w:r>
              <w:rPr>
                <w:rFonts w:asciiTheme="minorHAnsi" w:hAnsiTheme="minorHAnsi" w:cstheme="minorHAnsi"/>
                <w:szCs w:val="18"/>
              </w:rPr>
              <w:t>)</w:t>
            </w:r>
          </w:p>
        </w:tc>
      </w:tr>
      <w:tr w:rsidR="00EF4A46" w:rsidRPr="006645CF" w14:paraId="170E7CF0" w14:textId="77777777" w:rsidTr="006D15A9">
        <w:trPr>
          <w:trHeight w:val="71"/>
        </w:trPr>
        <w:tc>
          <w:tcPr>
            <w:cnfStyle w:val="001000000000" w:firstRow="0" w:lastRow="0" w:firstColumn="1" w:lastColumn="0" w:oddVBand="0" w:evenVBand="0" w:oddHBand="0" w:evenHBand="0" w:firstRowFirstColumn="0" w:firstRowLastColumn="0" w:lastRowFirstColumn="0" w:lastRowLastColumn="0"/>
            <w:tcW w:w="765" w:type="pct"/>
          </w:tcPr>
          <w:p w14:paraId="579CAC31" w14:textId="59314DDC" w:rsidR="002E4112" w:rsidRPr="00295ECC" w:rsidRDefault="002E4112" w:rsidP="006D15A9">
            <w:pPr>
              <w:pStyle w:val="TableText"/>
            </w:pPr>
            <w:r w:rsidRPr="00295ECC">
              <w:t>Fat grafting</w:t>
            </w:r>
          </w:p>
        </w:tc>
        <w:tc>
          <w:tcPr>
            <w:tcW w:w="470" w:type="pct"/>
          </w:tcPr>
          <w:p w14:paraId="3086C578" w14:textId="2DDCBECB" w:rsidR="002E4112" w:rsidRPr="00855B81" w:rsidRDefault="002E4112"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szCs w:val="18"/>
              </w:rPr>
              <w:t xml:space="preserve">0 </w:t>
            </w:r>
            <w:r w:rsidR="00555F1E">
              <w:rPr>
                <w:szCs w:val="18"/>
              </w:rPr>
              <w:br/>
            </w:r>
            <w:r>
              <w:rPr>
                <w:szCs w:val="18"/>
              </w:rPr>
              <w:t>(0.</w:t>
            </w:r>
            <w:r w:rsidR="00555F1E">
              <w:rPr>
                <w:szCs w:val="18"/>
              </w:rPr>
              <w:t>0</w:t>
            </w:r>
            <w:r>
              <w:rPr>
                <w:szCs w:val="18"/>
              </w:rPr>
              <w:t>%)</w:t>
            </w:r>
          </w:p>
        </w:tc>
        <w:tc>
          <w:tcPr>
            <w:tcW w:w="470" w:type="pct"/>
          </w:tcPr>
          <w:p w14:paraId="3D525520" w14:textId="1F6930EE" w:rsidR="002E4112" w:rsidRPr="00855B81" w:rsidRDefault="002E4112"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szCs w:val="18"/>
              </w:rPr>
              <w:t xml:space="preserve">0 </w:t>
            </w:r>
            <w:r w:rsidR="00555F1E">
              <w:rPr>
                <w:szCs w:val="18"/>
              </w:rPr>
              <w:br/>
            </w:r>
            <w:r>
              <w:rPr>
                <w:szCs w:val="18"/>
              </w:rPr>
              <w:t>(0.</w:t>
            </w:r>
            <w:r w:rsidR="00555F1E">
              <w:rPr>
                <w:szCs w:val="18"/>
              </w:rPr>
              <w:t>0</w:t>
            </w:r>
            <w:r>
              <w:rPr>
                <w:szCs w:val="18"/>
              </w:rPr>
              <w:t>%)</w:t>
            </w:r>
          </w:p>
        </w:tc>
        <w:tc>
          <w:tcPr>
            <w:tcW w:w="471" w:type="pct"/>
          </w:tcPr>
          <w:p w14:paraId="1A987FDF" w14:textId="64721269" w:rsidR="002E4112" w:rsidRPr="00855B81" w:rsidRDefault="002E4112"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szCs w:val="18"/>
              </w:rPr>
              <w:t xml:space="preserve">0 </w:t>
            </w:r>
            <w:r w:rsidR="00555F1E">
              <w:rPr>
                <w:szCs w:val="18"/>
              </w:rPr>
              <w:br/>
            </w:r>
            <w:r>
              <w:rPr>
                <w:szCs w:val="18"/>
              </w:rPr>
              <w:t>(0.</w:t>
            </w:r>
            <w:r w:rsidR="00555F1E">
              <w:rPr>
                <w:szCs w:val="18"/>
              </w:rPr>
              <w:t>0</w:t>
            </w:r>
            <w:r>
              <w:rPr>
                <w:szCs w:val="18"/>
              </w:rPr>
              <w:t>%)</w:t>
            </w:r>
          </w:p>
        </w:tc>
        <w:tc>
          <w:tcPr>
            <w:tcW w:w="470" w:type="pct"/>
          </w:tcPr>
          <w:p w14:paraId="676E6048" w14:textId="3A5B20DE" w:rsidR="002E4112" w:rsidRPr="00855B81" w:rsidRDefault="002E4112"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szCs w:val="18"/>
              </w:rPr>
              <w:t xml:space="preserve">0 </w:t>
            </w:r>
            <w:r w:rsidR="00555F1E">
              <w:rPr>
                <w:szCs w:val="18"/>
              </w:rPr>
              <w:br/>
            </w:r>
            <w:r>
              <w:rPr>
                <w:szCs w:val="18"/>
              </w:rPr>
              <w:t>(0.</w:t>
            </w:r>
            <w:r w:rsidR="00555F1E">
              <w:rPr>
                <w:szCs w:val="18"/>
              </w:rPr>
              <w:t>0</w:t>
            </w:r>
            <w:r>
              <w:rPr>
                <w:szCs w:val="18"/>
              </w:rPr>
              <w:t>%)</w:t>
            </w:r>
          </w:p>
        </w:tc>
        <w:tc>
          <w:tcPr>
            <w:tcW w:w="471" w:type="pct"/>
          </w:tcPr>
          <w:p w14:paraId="107094EF" w14:textId="1ADA62A6" w:rsidR="002E4112" w:rsidRPr="00855B81" w:rsidRDefault="002E4112"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szCs w:val="18"/>
              </w:rPr>
              <w:t xml:space="preserve">0 </w:t>
            </w:r>
            <w:r w:rsidR="00555F1E">
              <w:rPr>
                <w:szCs w:val="18"/>
              </w:rPr>
              <w:br/>
            </w:r>
            <w:r>
              <w:rPr>
                <w:szCs w:val="18"/>
              </w:rPr>
              <w:t>(0.</w:t>
            </w:r>
            <w:r w:rsidR="00555F1E">
              <w:rPr>
                <w:szCs w:val="18"/>
              </w:rPr>
              <w:t>0</w:t>
            </w:r>
            <w:r>
              <w:rPr>
                <w:szCs w:val="18"/>
              </w:rPr>
              <w:t>%)</w:t>
            </w:r>
          </w:p>
        </w:tc>
        <w:tc>
          <w:tcPr>
            <w:tcW w:w="470" w:type="pct"/>
          </w:tcPr>
          <w:p w14:paraId="4A0E4215" w14:textId="7B542DBA" w:rsidR="002E4112" w:rsidRPr="00855B81" w:rsidRDefault="002E4112"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szCs w:val="18"/>
              </w:rPr>
              <w:t xml:space="preserve">0 </w:t>
            </w:r>
            <w:r w:rsidR="00555F1E">
              <w:rPr>
                <w:szCs w:val="18"/>
              </w:rPr>
              <w:br/>
            </w:r>
            <w:r>
              <w:rPr>
                <w:szCs w:val="18"/>
              </w:rPr>
              <w:t>(0.</w:t>
            </w:r>
            <w:r w:rsidR="00555F1E">
              <w:rPr>
                <w:szCs w:val="18"/>
              </w:rPr>
              <w:t>0</w:t>
            </w:r>
            <w:r>
              <w:rPr>
                <w:szCs w:val="18"/>
              </w:rPr>
              <w:t>%)</w:t>
            </w:r>
          </w:p>
        </w:tc>
        <w:tc>
          <w:tcPr>
            <w:tcW w:w="471" w:type="pct"/>
          </w:tcPr>
          <w:p w14:paraId="2009EE61" w14:textId="32257CC0" w:rsidR="002E4112" w:rsidRPr="00855B81" w:rsidRDefault="002E4112"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szCs w:val="18"/>
              </w:rPr>
              <w:t xml:space="preserve">0 </w:t>
            </w:r>
            <w:r w:rsidR="00555F1E">
              <w:rPr>
                <w:szCs w:val="18"/>
              </w:rPr>
              <w:br/>
            </w:r>
            <w:r>
              <w:rPr>
                <w:szCs w:val="18"/>
              </w:rPr>
              <w:t>(0.</w:t>
            </w:r>
            <w:r w:rsidR="00555F1E">
              <w:rPr>
                <w:szCs w:val="18"/>
              </w:rPr>
              <w:t>0</w:t>
            </w:r>
            <w:r>
              <w:rPr>
                <w:szCs w:val="18"/>
              </w:rPr>
              <w:t>%)</w:t>
            </w:r>
          </w:p>
        </w:tc>
        <w:tc>
          <w:tcPr>
            <w:tcW w:w="470" w:type="pct"/>
          </w:tcPr>
          <w:p w14:paraId="380AD568" w14:textId="34CE48F0" w:rsidR="002E4112" w:rsidRPr="00855B81" w:rsidRDefault="002E4112"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szCs w:val="18"/>
              </w:rPr>
              <w:t xml:space="preserve">0 </w:t>
            </w:r>
            <w:r w:rsidR="00555F1E">
              <w:rPr>
                <w:szCs w:val="18"/>
              </w:rPr>
              <w:br/>
            </w:r>
            <w:r>
              <w:rPr>
                <w:szCs w:val="18"/>
              </w:rPr>
              <w:t>(0.</w:t>
            </w:r>
            <w:r w:rsidR="00555F1E">
              <w:rPr>
                <w:szCs w:val="18"/>
              </w:rPr>
              <w:t>0</w:t>
            </w:r>
            <w:r>
              <w:rPr>
                <w:szCs w:val="18"/>
              </w:rPr>
              <w:t>%)</w:t>
            </w:r>
          </w:p>
        </w:tc>
        <w:tc>
          <w:tcPr>
            <w:tcW w:w="471" w:type="pct"/>
          </w:tcPr>
          <w:p w14:paraId="12A9CC47" w14:textId="7EBA2318" w:rsidR="002E4112" w:rsidRPr="00855B81" w:rsidRDefault="002E4112" w:rsidP="006D15A9">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 xml:space="preserve">1 </w:t>
            </w:r>
            <w:r>
              <w:rPr>
                <w:rFonts w:asciiTheme="minorHAnsi" w:hAnsiTheme="minorHAnsi" w:cstheme="minorHAnsi"/>
                <w:szCs w:val="18"/>
              </w:rPr>
              <w:br/>
              <w:t>(100</w:t>
            </w:r>
            <w:r w:rsidR="00555F1E">
              <w:rPr>
                <w:rFonts w:asciiTheme="minorHAnsi" w:hAnsiTheme="minorHAnsi" w:cstheme="minorHAnsi"/>
                <w:szCs w:val="18"/>
              </w:rPr>
              <w:t>.0</w:t>
            </w:r>
            <w:r>
              <w:rPr>
                <w:rFonts w:asciiTheme="minorHAnsi" w:hAnsiTheme="minorHAnsi" w:cstheme="minorHAnsi"/>
                <w:szCs w:val="18"/>
              </w:rPr>
              <w:t>%)</w:t>
            </w:r>
          </w:p>
        </w:tc>
      </w:tr>
      <w:tr w:rsidR="00EF4A46" w:rsidRPr="0041087C" w14:paraId="7AD98F91" w14:textId="77777777" w:rsidTr="006D15A9">
        <w:trPr>
          <w:trHeight w:val="71"/>
        </w:trPr>
        <w:tc>
          <w:tcPr>
            <w:cnfStyle w:val="001000000000" w:firstRow="0" w:lastRow="0" w:firstColumn="1" w:lastColumn="0" w:oddVBand="0" w:evenVBand="0" w:oddHBand="0" w:evenHBand="0" w:firstRowFirstColumn="0" w:firstRowLastColumn="0" w:lastRowFirstColumn="0" w:lastRowLastColumn="0"/>
            <w:tcW w:w="765" w:type="pct"/>
          </w:tcPr>
          <w:p w14:paraId="70C86265" w14:textId="77777777" w:rsidR="002E4112" w:rsidRPr="008B6161" w:rsidRDefault="002E4112" w:rsidP="006D15A9">
            <w:pPr>
              <w:pStyle w:val="Tabletextbold"/>
              <w:rPr>
                <w:rFonts w:eastAsiaTheme="minorEastAsia" w:cs="Arial"/>
                <w:b/>
                <w:bCs/>
                <w:szCs w:val="18"/>
              </w:rPr>
            </w:pPr>
            <w:r w:rsidRPr="008B6161">
              <w:rPr>
                <w:b/>
                <w:bCs/>
              </w:rPr>
              <w:t>Total</w:t>
            </w:r>
            <w:r w:rsidRPr="008B6161">
              <w:rPr>
                <w:rFonts w:eastAsiaTheme="minorEastAsia" w:cs="Arial"/>
                <w:b/>
                <w:bCs/>
                <w:szCs w:val="18"/>
              </w:rPr>
              <w:t>: 66* responses</w:t>
            </w:r>
          </w:p>
        </w:tc>
        <w:tc>
          <w:tcPr>
            <w:tcW w:w="470" w:type="pct"/>
          </w:tcPr>
          <w:p w14:paraId="52739D93" w14:textId="67E09DFD" w:rsidR="002E4112" w:rsidRPr="008B6161" w:rsidRDefault="002E4112" w:rsidP="006D15A9">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bCs/>
                <w:szCs w:val="18"/>
              </w:rPr>
            </w:pPr>
            <w:r w:rsidRPr="008B6161">
              <w:rPr>
                <w:bCs/>
              </w:rPr>
              <w:t xml:space="preserve">2 </w:t>
            </w:r>
            <w:r w:rsidR="00555F1E" w:rsidRPr="008B6161">
              <w:rPr>
                <w:rFonts w:eastAsiaTheme="minorEastAsia" w:cs="Arial"/>
                <w:bCs/>
                <w:szCs w:val="18"/>
              </w:rPr>
              <w:br/>
            </w:r>
            <w:r w:rsidRPr="008B6161">
              <w:rPr>
                <w:rFonts w:eastAsiaTheme="minorEastAsia" w:cs="Arial"/>
                <w:bCs/>
                <w:szCs w:val="18"/>
              </w:rPr>
              <w:t>(3.0%)</w:t>
            </w:r>
          </w:p>
        </w:tc>
        <w:tc>
          <w:tcPr>
            <w:tcW w:w="470" w:type="pct"/>
          </w:tcPr>
          <w:p w14:paraId="3870E4FF" w14:textId="331D13AA" w:rsidR="002E4112" w:rsidRPr="008B6161" w:rsidRDefault="002E4112" w:rsidP="006D15A9">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bCs/>
                <w:szCs w:val="18"/>
              </w:rPr>
            </w:pPr>
            <w:r w:rsidRPr="008B6161">
              <w:rPr>
                <w:bCs/>
              </w:rPr>
              <w:t xml:space="preserve">1 </w:t>
            </w:r>
            <w:r w:rsidR="00555F1E" w:rsidRPr="008B6161">
              <w:rPr>
                <w:rFonts w:eastAsiaTheme="minorEastAsia" w:cs="Arial"/>
                <w:bCs/>
                <w:szCs w:val="18"/>
              </w:rPr>
              <w:br/>
            </w:r>
            <w:r w:rsidRPr="008B6161">
              <w:rPr>
                <w:rFonts w:eastAsiaTheme="minorEastAsia" w:cs="Arial"/>
                <w:bCs/>
                <w:szCs w:val="18"/>
              </w:rPr>
              <w:t>(1.</w:t>
            </w:r>
            <w:r w:rsidR="00555F1E" w:rsidRPr="008B6161">
              <w:rPr>
                <w:rFonts w:eastAsiaTheme="minorEastAsia" w:cs="Arial"/>
                <w:bCs/>
                <w:szCs w:val="18"/>
              </w:rPr>
              <w:t>5</w:t>
            </w:r>
            <w:r w:rsidRPr="008B6161">
              <w:rPr>
                <w:rFonts w:eastAsiaTheme="minorEastAsia" w:cs="Arial"/>
                <w:bCs/>
                <w:szCs w:val="18"/>
              </w:rPr>
              <w:t>%)</w:t>
            </w:r>
          </w:p>
        </w:tc>
        <w:tc>
          <w:tcPr>
            <w:tcW w:w="471" w:type="pct"/>
          </w:tcPr>
          <w:p w14:paraId="5E0DE73F" w14:textId="7D883593" w:rsidR="002E4112" w:rsidRPr="008B6161" w:rsidRDefault="002E4112" w:rsidP="006D15A9">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bCs/>
                <w:szCs w:val="18"/>
              </w:rPr>
            </w:pPr>
            <w:r w:rsidRPr="008B6161">
              <w:rPr>
                <w:bCs/>
              </w:rPr>
              <w:t>15 (22.7%)</w:t>
            </w:r>
          </w:p>
        </w:tc>
        <w:tc>
          <w:tcPr>
            <w:tcW w:w="470" w:type="pct"/>
          </w:tcPr>
          <w:p w14:paraId="566D4935" w14:textId="367D0620" w:rsidR="002E4112" w:rsidRPr="008B6161" w:rsidRDefault="002E4112" w:rsidP="006D15A9">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bCs/>
                <w:szCs w:val="18"/>
              </w:rPr>
            </w:pPr>
            <w:r w:rsidRPr="008B6161">
              <w:rPr>
                <w:bCs/>
              </w:rPr>
              <w:t xml:space="preserve">6 </w:t>
            </w:r>
            <w:r w:rsidR="00555F1E" w:rsidRPr="008B6161">
              <w:rPr>
                <w:rFonts w:eastAsiaTheme="minorEastAsia" w:cs="Arial"/>
                <w:bCs/>
                <w:szCs w:val="18"/>
              </w:rPr>
              <w:br/>
            </w:r>
            <w:r w:rsidRPr="008B6161">
              <w:rPr>
                <w:rFonts w:eastAsiaTheme="minorEastAsia" w:cs="Arial"/>
                <w:bCs/>
                <w:szCs w:val="18"/>
              </w:rPr>
              <w:t>(9.</w:t>
            </w:r>
            <w:r w:rsidR="00555F1E" w:rsidRPr="008B6161">
              <w:rPr>
                <w:rFonts w:eastAsiaTheme="minorEastAsia" w:cs="Arial"/>
                <w:bCs/>
                <w:szCs w:val="18"/>
              </w:rPr>
              <w:t>1</w:t>
            </w:r>
            <w:r w:rsidRPr="008B6161">
              <w:rPr>
                <w:rFonts w:eastAsiaTheme="minorEastAsia" w:cs="Arial"/>
                <w:bCs/>
                <w:szCs w:val="18"/>
              </w:rPr>
              <w:t>%)</w:t>
            </w:r>
          </w:p>
        </w:tc>
        <w:tc>
          <w:tcPr>
            <w:tcW w:w="471" w:type="pct"/>
          </w:tcPr>
          <w:p w14:paraId="399E509E" w14:textId="7A7E2228" w:rsidR="002E4112" w:rsidRPr="008B6161" w:rsidRDefault="002E4112" w:rsidP="006D15A9">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bCs/>
                <w:szCs w:val="18"/>
              </w:rPr>
            </w:pPr>
            <w:r w:rsidRPr="008B6161">
              <w:rPr>
                <w:bCs/>
              </w:rPr>
              <w:t xml:space="preserve">3 </w:t>
            </w:r>
            <w:r w:rsidR="00555F1E" w:rsidRPr="008B6161">
              <w:rPr>
                <w:rFonts w:eastAsiaTheme="minorEastAsia" w:cs="Arial"/>
                <w:bCs/>
                <w:szCs w:val="18"/>
              </w:rPr>
              <w:br/>
            </w:r>
            <w:r w:rsidRPr="008B6161">
              <w:rPr>
                <w:rFonts w:eastAsiaTheme="minorEastAsia" w:cs="Arial"/>
                <w:bCs/>
                <w:szCs w:val="18"/>
              </w:rPr>
              <w:t>(4.</w:t>
            </w:r>
            <w:r w:rsidR="00555F1E" w:rsidRPr="008B6161">
              <w:rPr>
                <w:rFonts w:eastAsiaTheme="minorEastAsia" w:cs="Arial"/>
                <w:bCs/>
                <w:szCs w:val="18"/>
              </w:rPr>
              <w:t>6</w:t>
            </w:r>
            <w:r w:rsidRPr="008B6161">
              <w:rPr>
                <w:rFonts w:eastAsiaTheme="minorEastAsia" w:cs="Arial"/>
                <w:bCs/>
                <w:szCs w:val="18"/>
              </w:rPr>
              <w:t>%)</w:t>
            </w:r>
          </w:p>
        </w:tc>
        <w:tc>
          <w:tcPr>
            <w:tcW w:w="470" w:type="pct"/>
          </w:tcPr>
          <w:p w14:paraId="0987997D" w14:textId="6B4808AA" w:rsidR="002E4112" w:rsidRPr="008B6161" w:rsidRDefault="002E4112" w:rsidP="006D15A9">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bCs/>
                <w:szCs w:val="18"/>
              </w:rPr>
            </w:pPr>
            <w:r w:rsidRPr="008B6161">
              <w:rPr>
                <w:bCs/>
              </w:rPr>
              <w:t xml:space="preserve">0 </w:t>
            </w:r>
            <w:r w:rsidR="00555F1E" w:rsidRPr="008B6161">
              <w:rPr>
                <w:rFonts w:eastAsiaTheme="minorEastAsia" w:cs="Arial"/>
                <w:bCs/>
                <w:szCs w:val="18"/>
              </w:rPr>
              <w:br/>
            </w:r>
            <w:r w:rsidRPr="008B6161">
              <w:rPr>
                <w:rFonts w:eastAsiaTheme="minorEastAsia" w:cs="Arial"/>
                <w:bCs/>
                <w:szCs w:val="18"/>
              </w:rPr>
              <w:t>(0.0%)</w:t>
            </w:r>
          </w:p>
        </w:tc>
        <w:tc>
          <w:tcPr>
            <w:tcW w:w="471" w:type="pct"/>
          </w:tcPr>
          <w:p w14:paraId="32180CF4" w14:textId="0D84241E" w:rsidR="002E4112" w:rsidRPr="008B6161" w:rsidRDefault="002E4112" w:rsidP="006D15A9">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bCs/>
                <w:szCs w:val="18"/>
              </w:rPr>
            </w:pPr>
            <w:r w:rsidRPr="008B6161">
              <w:rPr>
                <w:bCs/>
              </w:rPr>
              <w:t xml:space="preserve">4 </w:t>
            </w:r>
            <w:r w:rsidR="00555F1E" w:rsidRPr="008B6161">
              <w:rPr>
                <w:rFonts w:eastAsiaTheme="minorEastAsia" w:cs="Arial"/>
                <w:bCs/>
                <w:szCs w:val="18"/>
              </w:rPr>
              <w:br/>
            </w:r>
            <w:r w:rsidRPr="008B6161">
              <w:rPr>
                <w:rFonts w:eastAsiaTheme="minorEastAsia" w:cs="Arial"/>
                <w:bCs/>
                <w:szCs w:val="18"/>
              </w:rPr>
              <w:t>(6.0%)</w:t>
            </w:r>
          </w:p>
        </w:tc>
        <w:tc>
          <w:tcPr>
            <w:tcW w:w="470" w:type="pct"/>
          </w:tcPr>
          <w:p w14:paraId="5FB5BD7D" w14:textId="216A4EFE" w:rsidR="002E4112" w:rsidRPr="008B6161" w:rsidRDefault="002E4112" w:rsidP="006D15A9">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bCs/>
                <w:szCs w:val="18"/>
              </w:rPr>
            </w:pPr>
            <w:r w:rsidRPr="008B6161">
              <w:rPr>
                <w:bCs/>
              </w:rPr>
              <w:t>7 (10.6%)</w:t>
            </w:r>
          </w:p>
        </w:tc>
        <w:tc>
          <w:tcPr>
            <w:tcW w:w="471" w:type="pct"/>
          </w:tcPr>
          <w:p w14:paraId="5A333DE0" w14:textId="13A089FF" w:rsidR="002E4112" w:rsidRPr="008B6161" w:rsidRDefault="002E4112" w:rsidP="006D15A9">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bCs/>
                <w:szCs w:val="18"/>
              </w:rPr>
            </w:pPr>
            <w:r w:rsidRPr="008B6161">
              <w:rPr>
                <w:bCs/>
              </w:rPr>
              <w:t>28 (42.4%)</w:t>
            </w:r>
          </w:p>
        </w:tc>
      </w:tr>
    </w:tbl>
    <w:p w14:paraId="57469FBE" w14:textId="6040DC72" w:rsidR="00C33FD2" w:rsidRDefault="00295ECC" w:rsidP="006D15A9">
      <w:pPr>
        <w:pStyle w:val="Caption-Source"/>
      </w:pPr>
      <w:r w:rsidRPr="00B47C96">
        <w:t xml:space="preserve">Source: </w:t>
      </w:r>
      <w:r w:rsidR="00B26691">
        <w:t>Independent reviewer</w:t>
      </w:r>
      <w:r w:rsidR="00584D02" w:rsidRPr="0000013E">
        <w:t xml:space="preserve"> (</w:t>
      </w:r>
      <w:r w:rsidRPr="0000013E">
        <w:t>2025</w:t>
      </w:r>
      <w:r w:rsidR="00584D02" w:rsidRPr="0000013E">
        <w:t>)</w:t>
      </w:r>
      <w:r w:rsidR="00C33FD2">
        <w:br w:type="page"/>
      </w:r>
    </w:p>
    <w:p w14:paraId="1FF5CB6E" w14:textId="77777777" w:rsidR="00F00433" w:rsidRPr="0042443F" w:rsidRDefault="00F00433" w:rsidP="0000013E">
      <w:pPr>
        <w:pStyle w:val="ListNumber"/>
        <w:rPr>
          <w:rStyle w:val="Strong"/>
        </w:rPr>
      </w:pPr>
      <w:r w:rsidRPr="0042443F">
        <w:rPr>
          <w:rStyle w:val="Strong"/>
        </w:rPr>
        <w:t>If you could recommend one immediate change to improve access to prostheses for people living with or have lived experience of cancer, what would it be? [free text, not required]</w:t>
      </w:r>
    </w:p>
    <w:p w14:paraId="30431A50" w14:textId="541C4034" w:rsidR="006D15A9" w:rsidRDefault="006D15A9" w:rsidP="006D15A9">
      <w:pPr>
        <w:pStyle w:val="Caption"/>
      </w:pPr>
      <w:bookmarkStart w:id="259" w:name="_Toc207348651"/>
      <w:r>
        <w:t xml:space="preserve">Table </w:t>
      </w:r>
      <w:r w:rsidR="00E6799D">
        <w:fldChar w:fldCharType="begin"/>
      </w:r>
      <w:r w:rsidR="00E6799D">
        <w:instrText xml:space="preserve"> SEQ Table \* ARABIC </w:instrText>
      </w:r>
      <w:r w:rsidR="00E6799D">
        <w:fldChar w:fldCharType="separate"/>
      </w:r>
      <w:r w:rsidR="00E6799D">
        <w:rPr>
          <w:noProof/>
        </w:rPr>
        <w:t>86</w:t>
      </w:r>
      <w:r w:rsidR="00E6799D">
        <w:rPr>
          <w:noProof/>
        </w:rPr>
        <w:fldChar w:fldCharType="end"/>
      </w:r>
      <w:r>
        <w:t xml:space="preserve">: </w:t>
      </w:r>
      <w:r w:rsidRPr="001E7BC8">
        <w:t xml:space="preserve">Responses to Question </w:t>
      </w:r>
      <w:r w:rsidR="00336624" w:rsidRPr="00336624">
        <w:t>1</w:t>
      </w:r>
      <w:r w:rsidR="00336624">
        <w:t>0</w:t>
      </w:r>
      <w:r w:rsidR="00336624" w:rsidRPr="00336624">
        <w:t xml:space="preserve"> </w:t>
      </w:r>
      <w:r w:rsidRPr="001E7BC8">
        <w:t xml:space="preserve">by </w:t>
      </w:r>
      <w:r w:rsidR="00336624">
        <w:t>theme</w:t>
      </w:r>
      <w:bookmarkEnd w:id="259"/>
    </w:p>
    <w:tbl>
      <w:tblPr>
        <w:tblStyle w:val="KPMGTable"/>
        <w:tblW w:w="10028" w:type="dxa"/>
        <w:tblLook w:val="04A0" w:firstRow="1" w:lastRow="0" w:firstColumn="1" w:lastColumn="0" w:noHBand="0" w:noVBand="1"/>
      </w:tblPr>
      <w:tblGrid>
        <w:gridCol w:w="3342"/>
        <w:gridCol w:w="6686"/>
      </w:tblGrid>
      <w:tr w:rsidR="00467133" w:rsidRPr="007B154A" w14:paraId="3256692E" w14:textId="77777777" w:rsidTr="007A7F51">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3342" w:type="dxa"/>
          </w:tcPr>
          <w:p w14:paraId="1F625E51" w14:textId="56BCA4CA" w:rsidR="00367B3C" w:rsidRPr="007B154A" w:rsidRDefault="00367B3C" w:rsidP="00336624">
            <w:pPr>
              <w:pStyle w:val="TableHeading"/>
              <w:rPr>
                <w:b w:val="0"/>
                <w:color w:val="FFFFFF" w:themeColor="background1"/>
                <w:szCs w:val="20"/>
              </w:rPr>
            </w:pPr>
            <w:r>
              <w:t>Theme</w:t>
            </w:r>
          </w:p>
        </w:tc>
        <w:tc>
          <w:tcPr>
            <w:tcW w:w="6686" w:type="dxa"/>
          </w:tcPr>
          <w:p w14:paraId="0BB17807" w14:textId="2A8C2268" w:rsidR="00367B3C" w:rsidRPr="00386CBC" w:rsidRDefault="007A72C0" w:rsidP="00336624">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Details</w:t>
            </w:r>
          </w:p>
        </w:tc>
      </w:tr>
      <w:tr w:rsidR="00BC6DD3" w:rsidRPr="001B05CB" w14:paraId="5F3CD547" w14:textId="77777777" w:rsidTr="00336624">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380DCBE0" w14:textId="23EC8139" w:rsidR="00367B3C" w:rsidRPr="00E90673" w:rsidRDefault="00BA27C5" w:rsidP="00336624">
            <w:pPr>
              <w:pStyle w:val="TableText"/>
            </w:pPr>
            <w:r>
              <w:t>Timely and available access</w:t>
            </w:r>
          </w:p>
        </w:tc>
        <w:tc>
          <w:tcPr>
            <w:tcW w:w="6686" w:type="dxa"/>
          </w:tcPr>
          <w:p w14:paraId="6C55DE19" w14:textId="7B451F8C" w:rsidR="0006303E" w:rsidRDefault="00CE46BB" w:rsidP="00336624">
            <w:pPr>
              <w:pStyle w:val="TableText"/>
              <w:cnfStyle w:val="000000000000" w:firstRow="0" w:lastRow="0" w:firstColumn="0" w:lastColumn="0" w:oddVBand="0" w:evenVBand="0" w:oddHBand="0" w:evenHBand="0" w:firstRowFirstColumn="0" w:firstRowLastColumn="0" w:lastRowFirstColumn="0" w:lastRowLastColumn="0"/>
            </w:pPr>
            <w:r>
              <w:t xml:space="preserve">Not having access to prostheses/ not knowing </w:t>
            </w:r>
            <w:r w:rsidR="001956C6">
              <w:t xml:space="preserve">if their prostheses will be approved </w:t>
            </w:r>
            <w:r w:rsidR="00254A80">
              <w:t>for provision</w:t>
            </w:r>
            <w:r w:rsidR="001956C6">
              <w:t xml:space="preserve"> have significant psychological and social impacts on </w:t>
            </w:r>
            <w:r w:rsidR="0065065F">
              <w:t>individuals</w:t>
            </w:r>
          </w:p>
          <w:p w14:paraId="02039A23" w14:textId="1E0E234A" w:rsidR="00367B3C" w:rsidRPr="009C1931" w:rsidRDefault="00E17B55" w:rsidP="00336624">
            <w:pPr>
              <w:pStyle w:val="TableText"/>
              <w:cnfStyle w:val="000000000000" w:firstRow="0" w:lastRow="0" w:firstColumn="0" w:lastColumn="0" w:oddVBand="0" w:evenVBand="0" w:oddHBand="0" w:evenHBand="0" w:firstRowFirstColumn="0" w:firstRowLastColumn="0" w:lastRowFirstColumn="0" w:lastRowLastColumn="0"/>
            </w:pPr>
            <w:r>
              <w:t>More prosthetic specialists to meet demand</w:t>
            </w:r>
            <w:r w:rsidR="000E497A">
              <w:t xml:space="preserve"> </w:t>
            </w:r>
            <w:r w:rsidR="00A611DA">
              <w:t>and reduce waitlists</w:t>
            </w:r>
          </w:p>
        </w:tc>
      </w:tr>
      <w:tr w:rsidR="00BC6DD3" w:rsidRPr="001B05CB" w14:paraId="7EEEB594" w14:textId="77777777" w:rsidTr="00336624">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5A37DCDC" w14:textId="09DA539D" w:rsidR="007A72C0" w:rsidRPr="00E90673" w:rsidRDefault="00F34D9B" w:rsidP="00336624">
            <w:pPr>
              <w:pStyle w:val="TableText"/>
            </w:pPr>
            <w:r>
              <w:t>Funding support</w:t>
            </w:r>
          </w:p>
        </w:tc>
        <w:tc>
          <w:tcPr>
            <w:tcW w:w="6686" w:type="dxa"/>
          </w:tcPr>
          <w:p w14:paraId="25DFAB2E" w14:textId="77777777" w:rsidR="007A72C0" w:rsidRDefault="00CF3978" w:rsidP="00336624">
            <w:pPr>
              <w:pStyle w:val="TableText"/>
              <w:cnfStyle w:val="000000000000" w:firstRow="0" w:lastRow="0" w:firstColumn="0" w:lastColumn="0" w:oddVBand="0" w:evenVBand="0" w:oddHBand="0" w:evenHBand="0" w:firstRowFirstColumn="0" w:firstRowLastColumn="0" w:lastRowFirstColumn="0" w:lastRowLastColumn="0"/>
            </w:pPr>
            <w:r>
              <w:t xml:space="preserve">Public funding to cover </w:t>
            </w:r>
            <w:r w:rsidR="006C5C3E">
              <w:t>prostheses</w:t>
            </w:r>
          </w:p>
          <w:p w14:paraId="696030D9" w14:textId="438C093F" w:rsidR="00E17B55" w:rsidRDefault="00C24AE2" w:rsidP="00336624">
            <w:pPr>
              <w:pStyle w:val="TableText"/>
              <w:cnfStyle w:val="000000000000" w:firstRow="0" w:lastRow="0" w:firstColumn="0" w:lastColumn="0" w:oddVBand="0" w:evenVBand="0" w:oddHBand="0" w:evenHBand="0" w:firstRowFirstColumn="0" w:firstRowLastColumn="0" w:lastRowFirstColumn="0" w:lastRowLastColumn="0"/>
            </w:pPr>
            <w:r>
              <w:t xml:space="preserve">Amendment of private </w:t>
            </w:r>
            <w:r w:rsidR="00536A05">
              <w:t xml:space="preserve">health </w:t>
            </w:r>
            <w:r>
              <w:t>funds to allow for prosthetic cover</w:t>
            </w:r>
            <w:r w:rsidR="00C43448">
              <w:t xml:space="preserve"> </w:t>
            </w:r>
          </w:p>
          <w:p w14:paraId="2C20BC90" w14:textId="500CCC4C" w:rsidR="007A72C0" w:rsidRPr="009C1931" w:rsidRDefault="00486BFA" w:rsidP="00336624">
            <w:pPr>
              <w:pStyle w:val="TableText"/>
              <w:cnfStyle w:val="000000000000" w:firstRow="0" w:lastRow="0" w:firstColumn="0" w:lastColumn="0" w:oddVBand="0" w:evenVBand="0" w:oddHBand="0" w:evenHBand="0" w:firstRowFirstColumn="0" w:firstRowLastColumn="0" w:lastRowFirstColumn="0" w:lastRowLastColumn="0"/>
            </w:pPr>
            <w:r>
              <w:t>Being able to claim the rebate for external breast prostheses immediately</w:t>
            </w:r>
            <w:r w:rsidR="00F57FB9">
              <w:t xml:space="preserve">, </w:t>
            </w:r>
            <w:r w:rsidR="00791C85">
              <w:t xml:space="preserve">which can help </w:t>
            </w:r>
            <w:r w:rsidR="00CD16FF">
              <w:t>individuals</w:t>
            </w:r>
            <w:r w:rsidR="00791C85">
              <w:t xml:space="preserve"> who do not have cash up front for purchase</w:t>
            </w:r>
          </w:p>
        </w:tc>
      </w:tr>
      <w:tr w:rsidR="00BC6DD3" w:rsidRPr="001B05CB" w14:paraId="6738ECA0" w14:textId="77777777" w:rsidTr="00336624">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717C2E40" w14:textId="057D0D58" w:rsidR="008758D6" w:rsidRDefault="007E72E0" w:rsidP="00336624">
            <w:pPr>
              <w:pStyle w:val="TableText"/>
            </w:pPr>
            <w:r>
              <w:t xml:space="preserve">Access to </w:t>
            </w:r>
            <w:r w:rsidR="001827BA">
              <w:t>information</w:t>
            </w:r>
          </w:p>
        </w:tc>
        <w:tc>
          <w:tcPr>
            <w:tcW w:w="6686" w:type="dxa"/>
          </w:tcPr>
          <w:p w14:paraId="03A1EE9A" w14:textId="77777777" w:rsidR="008758D6" w:rsidRDefault="0024440B" w:rsidP="00336624">
            <w:pPr>
              <w:pStyle w:val="TableText"/>
              <w:cnfStyle w:val="000000000000" w:firstRow="0" w:lastRow="0" w:firstColumn="0" w:lastColumn="0" w:oddVBand="0" w:evenVBand="0" w:oddHBand="0" w:evenHBand="0" w:firstRowFirstColumn="0" w:firstRowLastColumn="0" w:lastRowFirstColumn="0" w:lastRowLastColumn="0"/>
            </w:pPr>
            <w:r>
              <w:t>More straightforward processes for accessing prostheses</w:t>
            </w:r>
          </w:p>
          <w:p w14:paraId="44074D9A" w14:textId="22C01758" w:rsidR="008758D6" w:rsidRDefault="00E871DF" w:rsidP="00336624">
            <w:pPr>
              <w:pStyle w:val="TableText"/>
              <w:cnfStyle w:val="000000000000" w:firstRow="0" w:lastRow="0" w:firstColumn="0" w:lastColumn="0" w:oddVBand="0" w:evenVBand="0" w:oddHBand="0" w:evenHBand="0" w:firstRowFirstColumn="0" w:firstRowLastColumn="0" w:lastRowFirstColumn="0" w:lastRowLastColumn="0"/>
            </w:pPr>
            <w:r>
              <w:t xml:space="preserve">Having </w:t>
            </w:r>
            <w:r w:rsidR="00611991">
              <w:t>access to prostheses</w:t>
            </w:r>
            <w:r>
              <w:t xml:space="preserve"> as an option in treatment plans</w:t>
            </w:r>
            <w:r w:rsidR="00611991">
              <w:t xml:space="preserve"> –</w:t>
            </w:r>
            <w:r w:rsidR="00467607">
              <w:t xml:space="preserve"> as </w:t>
            </w:r>
            <w:r w:rsidR="0065065F">
              <w:t>individuals</w:t>
            </w:r>
            <w:r w:rsidR="00467607">
              <w:t xml:space="preserve"> may not know </w:t>
            </w:r>
            <w:r w:rsidR="00F74DCF">
              <w:t xml:space="preserve">about </w:t>
            </w:r>
            <w:r w:rsidR="00467607">
              <w:t xml:space="preserve">prostheses </w:t>
            </w:r>
          </w:p>
        </w:tc>
      </w:tr>
      <w:tr w:rsidR="00BC6DD3" w:rsidRPr="001B05CB" w14:paraId="2B4B9BDE" w14:textId="77777777" w:rsidTr="00336624">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73823557" w14:textId="062804B5" w:rsidR="008758D6" w:rsidRDefault="001827BA" w:rsidP="00336624">
            <w:pPr>
              <w:pStyle w:val="TableText"/>
            </w:pPr>
            <w:r>
              <w:t xml:space="preserve">Access to </w:t>
            </w:r>
            <w:r w:rsidR="005D4E86">
              <w:t>wraparound services</w:t>
            </w:r>
          </w:p>
        </w:tc>
        <w:tc>
          <w:tcPr>
            <w:tcW w:w="6686" w:type="dxa"/>
          </w:tcPr>
          <w:p w14:paraId="299993BE" w14:textId="17E38682" w:rsidR="00D53809" w:rsidRDefault="00D53809" w:rsidP="00336624">
            <w:pPr>
              <w:pStyle w:val="TableText"/>
              <w:cnfStyle w:val="000000000000" w:firstRow="0" w:lastRow="0" w:firstColumn="0" w:lastColumn="0" w:oddVBand="0" w:evenVBand="0" w:oddHBand="0" w:evenHBand="0" w:firstRowFirstColumn="0" w:firstRowLastColumn="0" w:lastRowFirstColumn="0" w:lastRowLastColumn="0"/>
            </w:pPr>
            <w:r>
              <w:t xml:space="preserve">Having access to support items to maintain and support the prosthesis (e.g., bras holding breast </w:t>
            </w:r>
            <w:r w:rsidR="008236F9">
              <w:t>prostheses)</w:t>
            </w:r>
          </w:p>
          <w:p w14:paraId="1CB6E12B" w14:textId="0EABEFE3" w:rsidR="007B10EB" w:rsidRDefault="007B10EB" w:rsidP="00336624">
            <w:pPr>
              <w:pStyle w:val="TableText"/>
              <w:cnfStyle w:val="000000000000" w:firstRow="0" w:lastRow="0" w:firstColumn="0" w:lastColumn="0" w:oddVBand="0" w:evenVBand="0" w:oddHBand="0" w:evenHBand="0" w:firstRowFirstColumn="0" w:firstRowLastColumn="0" w:lastRowFirstColumn="0" w:lastRowLastColumn="0"/>
            </w:pPr>
            <w:r>
              <w:t>Having access to wraparound rehabilitation services such as speech pathologists</w:t>
            </w:r>
          </w:p>
          <w:p w14:paraId="65453693" w14:textId="13505B5E" w:rsidR="008758D6" w:rsidRDefault="00F619A0" w:rsidP="00336624">
            <w:pPr>
              <w:pStyle w:val="TableText"/>
              <w:cnfStyle w:val="000000000000" w:firstRow="0" w:lastRow="0" w:firstColumn="0" w:lastColumn="0" w:oddVBand="0" w:evenVBand="0" w:oddHBand="0" w:evenHBand="0" w:firstRowFirstColumn="0" w:firstRowLastColumn="0" w:lastRowFirstColumn="0" w:lastRowLastColumn="0"/>
            </w:pPr>
            <w:r>
              <w:t xml:space="preserve">Greater flexibility on the </w:t>
            </w:r>
            <w:r w:rsidR="00127A64">
              <w:t xml:space="preserve">Medicare </w:t>
            </w:r>
            <w:r>
              <w:t xml:space="preserve">rebate for breast prostheses </w:t>
            </w:r>
            <w:r w:rsidR="00127A64">
              <w:t xml:space="preserve">– </w:t>
            </w:r>
            <w:r w:rsidR="0082027B">
              <w:t>being able to use</w:t>
            </w:r>
            <w:r w:rsidR="00127A64">
              <w:t xml:space="preserve"> this money instead to replace</w:t>
            </w:r>
            <w:r>
              <w:t xml:space="preserve"> </w:t>
            </w:r>
            <w:r w:rsidR="0082027B">
              <w:t>support items that can wear out before the prostheses</w:t>
            </w:r>
          </w:p>
        </w:tc>
      </w:tr>
    </w:tbl>
    <w:p w14:paraId="5D942FFD" w14:textId="27EC9CD0" w:rsidR="00BF4D99" w:rsidRPr="0042443F" w:rsidRDefault="00BF4D99" w:rsidP="0000013E">
      <w:pPr>
        <w:pStyle w:val="Caption-Source"/>
        <w:rPr>
          <w:rStyle w:val="Strong"/>
        </w:rPr>
      </w:pPr>
      <w:r w:rsidRPr="0000013E">
        <w:t xml:space="preserve">Source: </w:t>
      </w:r>
      <w:r w:rsidR="00B26691">
        <w:t>Independent reviewer</w:t>
      </w:r>
      <w:r w:rsidRPr="0000013E">
        <w:t xml:space="preserve"> (2025)</w:t>
      </w:r>
    </w:p>
    <w:p w14:paraId="51CE7F58" w14:textId="4F4DFACC" w:rsidR="00F00433" w:rsidRPr="0042443F" w:rsidRDefault="00F00433" w:rsidP="0000013E">
      <w:pPr>
        <w:pStyle w:val="ListNumber"/>
        <w:rPr>
          <w:rStyle w:val="Strong"/>
        </w:rPr>
      </w:pPr>
      <w:r w:rsidRPr="0042443F">
        <w:rPr>
          <w:rStyle w:val="Strong"/>
        </w:rPr>
        <w:t>Is there anything else you would like to share? [free text, not required]</w:t>
      </w:r>
    </w:p>
    <w:p w14:paraId="006DACD9" w14:textId="567A5F82" w:rsidR="00336624" w:rsidRDefault="00336624" w:rsidP="00336624">
      <w:pPr>
        <w:pStyle w:val="Caption"/>
      </w:pPr>
      <w:bookmarkStart w:id="260" w:name="_Toc207348652"/>
      <w:r>
        <w:t xml:space="preserve">Table </w:t>
      </w:r>
      <w:r w:rsidR="00E6799D">
        <w:fldChar w:fldCharType="begin"/>
      </w:r>
      <w:r w:rsidR="00E6799D">
        <w:instrText xml:space="preserve"> SEQ Table \* ARABIC </w:instrText>
      </w:r>
      <w:r w:rsidR="00E6799D">
        <w:fldChar w:fldCharType="separate"/>
      </w:r>
      <w:r w:rsidR="00E6799D">
        <w:rPr>
          <w:noProof/>
        </w:rPr>
        <w:t>87</w:t>
      </w:r>
      <w:r w:rsidR="00E6799D">
        <w:rPr>
          <w:noProof/>
        </w:rPr>
        <w:fldChar w:fldCharType="end"/>
      </w:r>
      <w:r>
        <w:t xml:space="preserve">: </w:t>
      </w:r>
      <w:r w:rsidRPr="004C7D0B">
        <w:t>Responses to Question 11 by theme</w:t>
      </w:r>
      <w:bookmarkEnd w:id="260"/>
    </w:p>
    <w:tbl>
      <w:tblPr>
        <w:tblStyle w:val="KPMGTable"/>
        <w:tblW w:w="10028" w:type="dxa"/>
        <w:tblLook w:val="04A0" w:firstRow="1" w:lastRow="0" w:firstColumn="1" w:lastColumn="0" w:noHBand="0" w:noVBand="1"/>
      </w:tblPr>
      <w:tblGrid>
        <w:gridCol w:w="3342"/>
        <w:gridCol w:w="6686"/>
      </w:tblGrid>
      <w:tr w:rsidR="00467133" w:rsidRPr="00386CBC" w14:paraId="3948A624" w14:textId="77777777" w:rsidTr="007A7F51">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3342" w:type="dxa"/>
          </w:tcPr>
          <w:p w14:paraId="4067846B" w14:textId="77777777" w:rsidR="00696FBE" w:rsidRPr="007B154A" w:rsidRDefault="00696FBE" w:rsidP="00336624">
            <w:pPr>
              <w:pStyle w:val="TableHeading"/>
              <w:rPr>
                <w:b w:val="0"/>
                <w:color w:val="FFFFFF" w:themeColor="background1"/>
                <w:szCs w:val="20"/>
              </w:rPr>
            </w:pPr>
            <w:r>
              <w:t>Theme</w:t>
            </w:r>
          </w:p>
        </w:tc>
        <w:tc>
          <w:tcPr>
            <w:tcW w:w="6686" w:type="dxa"/>
          </w:tcPr>
          <w:p w14:paraId="5E4FDFC6" w14:textId="77777777" w:rsidR="00696FBE" w:rsidRPr="00386CBC" w:rsidRDefault="00696FBE" w:rsidP="00336624">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Details</w:t>
            </w:r>
          </w:p>
        </w:tc>
      </w:tr>
      <w:tr w:rsidR="00BC6DD3" w:rsidRPr="009C1931" w14:paraId="2CFD032D" w14:textId="77777777" w:rsidTr="00336624">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331A8C8B" w14:textId="12D632FC" w:rsidR="00696FBE" w:rsidRPr="00E90673" w:rsidRDefault="00B04269" w:rsidP="00683665">
            <w:pPr>
              <w:pStyle w:val="TableText"/>
            </w:pPr>
            <w:r>
              <w:t>Impact of prostheses on</w:t>
            </w:r>
            <w:r w:rsidR="002D50C9">
              <w:t xml:space="preserve"> function, self-esteem, and </w:t>
            </w:r>
            <w:r w:rsidR="00BD4D3A">
              <w:t>recovery</w:t>
            </w:r>
          </w:p>
        </w:tc>
        <w:tc>
          <w:tcPr>
            <w:tcW w:w="6686" w:type="dxa"/>
          </w:tcPr>
          <w:p w14:paraId="2C7D4183" w14:textId="6FF1A103" w:rsidR="00803612" w:rsidRDefault="00124DCE" w:rsidP="00683665">
            <w:pPr>
              <w:pStyle w:val="TableText"/>
              <w:cnfStyle w:val="000000000000" w:firstRow="0" w:lastRow="0" w:firstColumn="0" w:lastColumn="0" w:oddVBand="0" w:evenVBand="0" w:oddHBand="0" w:evenHBand="0" w:firstRowFirstColumn="0" w:firstRowLastColumn="0" w:lastRowFirstColumn="0" w:lastRowLastColumn="0"/>
            </w:pPr>
            <w:r>
              <w:t xml:space="preserve">Dental prostheses allow </w:t>
            </w:r>
            <w:r w:rsidR="00CD16FF">
              <w:t>individuals with lived experience of cancer</w:t>
            </w:r>
            <w:r>
              <w:t xml:space="preserve"> to regain their function for speech and eating</w:t>
            </w:r>
            <w:r w:rsidR="00F13FAB">
              <w:t xml:space="preserve">. </w:t>
            </w:r>
            <w:r w:rsidR="005E28DA">
              <w:t xml:space="preserve">Not having a prosthesis due to its financial cost </w:t>
            </w:r>
            <w:r w:rsidR="00205823">
              <w:t>affects the</w:t>
            </w:r>
            <w:r w:rsidR="00CD16FF">
              <w:t>ir</w:t>
            </w:r>
            <w:r w:rsidR="00205823">
              <w:t xml:space="preserve"> quality of life significantly</w:t>
            </w:r>
          </w:p>
          <w:p w14:paraId="2EB4A152" w14:textId="3CA9D94C" w:rsidR="001C598A" w:rsidRDefault="00C051E5" w:rsidP="00683665">
            <w:pPr>
              <w:pStyle w:val="TableText"/>
              <w:cnfStyle w:val="000000000000" w:firstRow="0" w:lastRow="0" w:firstColumn="0" w:lastColumn="0" w:oddVBand="0" w:evenVBand="0" w:oddHBand="0" w:evenHBand="0" w:firstRowFirstColumn="0" w:firstRowLastColumn="0" w:lastRowFirstColumn="0" w:lastRowLastColumn="0"/>
            </w:pPr>
            <w:r>
              <w:t xml:space="preserve">A lack of facial prostheses </w:t>
            </w:r>
            <w:proofErr w:type="gramStart"/>
            <w:r w:rsidR="00B43309">
              <w:t>mean</w:t>
            </w:r>
            <w:proofErr w:type="gramEnd"/>
            <w:r w:rsidR="00B43309">
              <w:t xml:space="preserve"> that </w:t>
            </w:r>
            <w:r w:rsidR="00CD16FF">
              <w:t>individuals with lived experience of cancer</w:t>
            </w:r>
            <w:r w:rsidR="00B43309">
              <w:t xml:space="preserve"> are missing a part of their face, resulting in them not wanting to leave their house, giving up their job, </w:t>
            </w:r>
            <w:r w:rsidR="001C598A">
              <w:t>and giving up their social life. The psychological impact of this is debilitating</w:t>
            </w:r>
          </w:p>
          <w:p w14:paraId="22AB9EEF" w14:textId="41F830D6" w:rsidR="00696FBE" w:rsidRPr="009C1931" w:rsidRDefault="00227CE8" w:rsidP="00683665">
            <w:pPr>
              <w:pStyle w:val="TableText"/>
              <w:cnfStyle w:val="000000000000" w:firstRow="0" w:lastRow="0" w:firstColumn="0" w:lastColumn="0" w:oddVBand="0" w:evenVBand="0" w:oddHBand="0" w:evenHBand="0" w:firstRowFirstColumn="0" w:firstRowLastColumn="0" w:lastRowFirstColumn="0" w:lastRowLastColumn="0"/>
            </w:pPr>
            <w:r>
              <w:t>People with lived experience of cancer</w:t>
            </w:r>
            <w:r w:rsidR="00280973">
              <w:t xml:space="preserve"> have had to cut back on food, medicine, and entertainment to save up for their prostheses</w:t>
            </w:r>
          </w:p>
        </w:tc>
      </w:tr>
      <w:tr w:rsidR="00BC6DD3" w14:paraId="1CBE95D3" w14:textId="77777777" w:rsidTr="00336624">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63089B32" w14:textId="26F39729" w:rsidR="00696FBE" w:rsidRDefault="00793E97" w:rsidP="00683665">
            <w:pPr>
              <w:pStyle w:val="TableText"/>
            </w:pPr>
            <w:r>
              <w:t>Funding</w:t>
            </w:r>
            <w:r w:rsidR="00B04269">
              <w:t xml:space="preserve"> support</w:t>
            </w:r>
          </w:p>
        </w:tc>
        <w:tc>
          <w:tcPr>
            <w:tcW w:w="6686" w:type="dxa"/>
          </w:tcPr>
          <w:p w14:paraId="0F08C2A2" w14:textId="77777777" w:rsidR="00696FBE" w:rsidRDefault="00AB456D" w:rsidP="00683665">
            <w:pPr>
              <w:pStyle w:val="TableText"/>
              <w:cnfStyle w:val="000000000000" w:firstRow="0" w:lastRow="0" w:firstColumn="0" w:lastColumn="0" w:oddVBand="0" w:evenVBand="0" w:oddHBand="0" w:evenHBand="0" w:firstRowFirstColumn="0" w:firstRowLastColumn="0" w:lastRowFirstColumn="0" w:lastRowLastColumn="0"/>
            </w:pPr>
            <w:r>
              <w:t>Facial prostheses should be funded by the government as they are a critical part of recovery</w:t>
            </w:r>
            <w:r w:rsidR="00664F44">
              <w:t xml:space="preserve"> </w:t>
            </w:r>
          </w:p>
          <w:p w14:paraId="3A2446D8" w14:textId="24408E37" w:rsidR="00696FBE" w:rsidRDefault="00EB3358" w:rsidP="00683665">
            <w:pPr>
              <w:pStyle w:val="TableText"/>
              <w:cnfStyle w:val="000000000000" w:firstRow="0" w:lastRow="0" w:firstColumn="0" w:lastColumn="0" w:oddVBand="0" w:evenVBand="0" w:oddHBand="0" w:evenHBand="0" w:firstRowFirstColumn="0" w:firstRowLastColumn="0" w:lastRowFirstColumn="0" w:lastRowLastColumn="0"/>
            </w:pPr>
            <w:r>
              <w:t xml:space="preserve">Amending the </w:t>
            </w:r>
            <w:r w:rsidR="00D51F1C">
              <w:t xml:space="preserve">Prescribed List to </w:t>
            </w:r>
            <w:r w:rsidR="00B564E2">
              <w:t>include prostheses allow those with private health insurance to have more options for funding support</w:t>
            </w:r>
          </w:p>
        </w:tc>
      </w:tr>
      <w:tr w:rsidR="00BC6DD3" w:rsidRPr="007B10EB" w14:paraId="5CCE70B9" w14:textId="77777777" w:rsidTr="00336624">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568692D2" w14:textId="4759EDC8" w:rsidR="00696FBE" w:rsidRDefault="00351056" w:rsidP="00683665">
            <w:pPr>
              <w:pStyle w:val="TableText"/>
            </w:pPr>
            <w:r>
              <w:t>Location of services</w:t>
            </w:r>
          </w:p>
        </w:tc>
        <w:tc>
          <w:tcPr>
            <w:tcW w:w="6686" w:type="dxa"/>
          </w:tcPr>
          <w:p w14:paraId="740AC903" w14:textId="19E51DC6" w:rsidR="00696FBE" w:rsidRPr="007B10EB" w:rsidRDefault="00E57E83" w:rsidP="00683665">
            <w:pPr>
              <w:pStyle w:val="TableText"/>
              <w:cnfStyle w:val="000000000000" w:firstRow="0" w:lastRow="0" w:firstColumn="0" w:lastColumn="0" w:oddVBand="0" w:evenVBand="0" w:oddHBand="0" w:evenHBand="0" w:firstRowFirstColumn="0" w:firstRowLastColumn="0" w:lastRowFirstColumn="0" w:lastRowLastColumn="0"/>
            </w:pPr>
            <w:r>
              <w:t xml:space="preserve">Many </w:t>
            </w:r>
            <w:r w:rsidR="00227CE8">
              <w:t>individuals</w:t>
            </w:r>
            <w:r>
              <w:t xml:space="preserve"> </w:t>
            </w:r>
            <w:proofErr w:type="gramStart"/>
            <w:r>
              <w:t>have to</w:t>
            </w:r>
            <w:proofErr w:type="gramEnd"/>
            <w:r>
              <w:t xml:space="preserve"> travel great distances to access services, as there are few services in regional, rural, or remote areas</w:t>
            </w:r>
          </w:p>
        </w:tc>
      </w:tr>
      <w:tr w:rsidR="00BC6DD3" w:rsidRPr="007B10EB" w14:paraId="6283A5E3" w14:textId="77777777" w:rsidTr="00336624">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0448A436" w14:textId="553CE6AD" w:rsidR="006C7701" w:rsidRDefault="00351056" w:rsidP="00683665">
            <w:pPr>
              <w:pStyle w:val="TableText"/>
            </w:pPr>
            <w:r>
              <w:t>Workforce availability</w:t>
            </w:r>
          </w:p>
        </w:tc>
        <w:tc>
          <w:tcPr>
            <w:tcW w:w="6686" w:type="dxa"/>
          </w:tcPr>
          <w:p w14:paraId="773AA11C" w14:textId="77777777" w:rsidR="008259DE" w:rsidRDefault="003647E2" w:rsidP="00683665">
            <w:pPr>
              <w:pStyle w:val="TableText"/>
              <w:cnfStyle w:val="000000000000" w:firstRow="0" w:lastRow="0" w:firstColumn="0" w:lastColumn="0" w:oddVBand="0" w:evenVBand="0" w:oddHBand="0" w:evenHBand="0" w:firstRowFirstColumn="0" w:firstRowLastColumn="0" w:lastRowFirstColumn="0" w:lastRowLastColumn="0"/>
            </w:pPr>
            <w:r>
              <w:t xml:space="preserve">The wait times </w:t>
            </w:r>
            <w:r w:rsidR="002E4D10">
              <w:t xml:space="preserve">to receive a prosthesis is substantial. There should be </w:t>
            </w:r>
            <w:r w:rsidR="005D6B1C">
              <w:t xml:space="preserve">more </w:t>
            </w:r>
            <w:r w:rsidR="00024962">
              <w:t>people</w:t>
            </w:r>
            <w:r w:rsidR="005D6B1C">
              <w:t xml:space="preserve"> </w:t>
            </w:r>
            <w:r w:rsidR="008259DE">
              <w:t>who can manufacture prosthesis in Australia</w:t>
            </w:r>
          </w:p>
          <w:p w14:paraId="71D06370" w14:textId="6113442A" w:rsidR="006C7701" w:rsidRPr="007B10EB" w:rsidRDefault="00BB2C8F" w:rsidP="00683665">
            <w:pPr>
              <w:pStyle w:val="TableText"/>
              <w:cnfStyle w:val="000000000000" w:firstRow="0" w:lastRow="0" w:firstColumn="0" w:lastColumn="0" w:oddVBand="0" w:evenVBand="0" w:oddHBand="0" w:evenHBand="0" w:firstRowFirstColumn="0" w:firstRowLastColumn="0" w:lastRowFirstColumn="0" w:lastRowLastColumn="0"/>
            </w:pPr>
            <w:r>
              <w:t>This can be through incentives such as funding for training pathways for these professionals</w:t>
            </w:r>
          </w:p>
        </w:tc>
      </w:tr>
      <w:tr w:rsidR="00BC6DD3" w:rsidRPr="007B10EB" w14:paraId="173575B4" w14:textId="77777777" w:rsidTr="00336624">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6888FA86" w14:textId="5B40A397" w:rsidR="00351056" w:rsidRDefault="00351056" w:rsidP="00683665">
            <w:pPr>
              <w:pStyle w:val="TableText"/>
            </w:pPr>
            <w:r>
              <w:t>Importance of support items</w:t>
            </w:r>
          </w:p>
        </w:tc>
        <w:tc>
          <w:tcPr>
            <w:tcW w:w="6686" w:type="dxa"/>
          </w:tcPr>
          <w:p w14:paraId="69FFD905" w14:textId="746DDB02" w:rsidR="00351056" w:rsidRPr="007B10EB" w:rsidRDefault="00BD1E1D" w:rsidP="00683665">
            <w:pPr>
              <w:pStyle w:val="TableText"/>
              <w:cnfStyle w:val="000000000000" w:firstRow="0" w:lastRow="0" w:firstColumn="0" w:lastColumn="0" w:oddVBand="0" w:evenVBand="0" w:oddHBand="0" w:evenHBand="0" w:firstRowFirstColumn="0" w:firstRowLastColumn="0" w:lastRowFirstColumn="0" w:lastRowLastColumn="0"/>
            </w:pPr>
            <w:r>
              <w:t xml:space="preserve">Support items such as medical compression products and </w:t>
            </w:r>
            <w:r w:rsidR="00545056">
              <w:t>mastectomy bras</w:t>
            </w:r>
            <w:r w:rsidR="008C6E5C">
              <w:t xml:space="preserve"> </w:t>
            </w:r>
            <w:r w:rsidR="007F4716">
              <w:t xml:space="preserve">are used with the prostheses but are not funded. </w:t>
            </w:r>
            <w:r w:rsidR="008C6E5C">
              <w:t xml:space="preserve"> </w:t>
            </w:r>
          </w:p>
        </w:tc>
      </w:tr>
    </w:tbl>
    <w:p w14:paraId="4D39738D" w14:textId="3A12D373" w:rsidR="00BF4D99" w:rsidRPr="0000013E" w:rsidRDefault="00BF4D99" w:rsidP="00683665">
      <w:pPr>
        <w:pStyle w:val="Caption-Source"/>
      </w:pPr>
      <w:r w:rsidRPr="00032942">
        <w:t xml:space="preserve">Source: </w:t>
      </w:r>
      <w:r w:rsidR="00B26691">
        <w:t>Independent reviewer</w:t>
      </w:r>
      <w:r w:rsidR="00B26691" w:rsidRPr="00CD3106">
        <w:t xml:space="preserve"> </w:t>
      </w:r>
      <w:r w:rsidRPr="0000013E">
        <w:t>(2025)</w:t>
      </w:r>
    </w:p>
    <w:p w14:paraId="352E9B90" w14:textId="77777777" w:rsidR="00351056" w:rsidRDefault="00351056" w:rsidP="0000013E">
      <w:pPr>
        <w:pStyle w:val="Caption-Source"/>
        <w:sectPr w:rsidR="00351056" w:rsidSect="00F528C3">
          <w:pgSz w:w="11906" w:h="16838"/>
          <w:pgMar w:top="1418" w:right="851" w:bottom="1418" w:left="851" w:header="567" w:footer="284" w:gutter="0"/>
          <w:cols w:space="708"/>
          <w:docGrid w:linePitch="360"/>
        </w:sectPr>
      </w:pPr>
    </w:p>
    <w:p w14:paraId="3B319E0E" w14:textId="77777777" w:rsidR="00C01F89" w:rsidRDefault="00EF2A94" w:rsidP="008239ED">
      <w:pPr>
        <w:pStyle w:val="AppendixHeading2"/>
      </w:pPr>
      <w:bookmarkStart w:id="261" w:name="_Toc207348762"/>
      <w:r w:rsidRPr="00EF2A94">
        <w:t>Survey of clinicians involved in the delivery of prostheses services</w:t>
      </w:r>
      <w:bookmarkEnd w:id="261"/>
    </w:p>
    <w:p w14:paraId="79894EE2" w14:textId="336CB4BC" w:rsidR="0066494B" w:rsidRPr="00DD71E7" w:rsidRDefault="0066494B" w:rsidP="00DD71E7">
      <w:proofErr w:type="gramStart"/>
      <w:r w:rsidRPr="00DD71E7">
        <w:t>Similar to</w:t>
      </w:r>
      <w:proofErr w:type="gramEnd"/>
      <w:r w:rsidRPr="00DD71E7">
        <w:t xml:space="preserve"> the survey</w:t>
      </w:r>
      <w:r w:rsidR="008155B5" w:rsidRPr="00DD71E7">
        <w:t xml:space="preserve"> of people living with or with lived experience of cancer and their </w:t>
      </w:r>
      <w:proofErr w:type="spellStart"/>
      <w:r w:rsidR="008155B5" w:rsidRPr="00DD71E7">
        <w:t>carers</w:t>
      </w:r>
      <w:proofErr w:type="spellEnd"/>
      <w:r w:rsidRPr="00DD71E7">
        <w:t xml:space="preserve">, not all respondents provided a response to every question, therefore the number of respondents for each question fluctuates. The total number of respondents are noted in each question. </w:t>
      </w:r>
    </w:p>
    <w:p w14:paraId="23A41F1A" w14:textId="77777777" w:rsidR="00E713C6" w:rsidRPr="00DD71E7" w:rsidRDefault="0066494B" w:rsidP="00DD71E7">
      <w:r w:rsidRPr="00DD71E7">
        <w:t xml:space="preserve">A total of 57 respondents provided a response for every mandatory question in the survey. On the other hand, </w:t>
      </w:r>
      <w:r w:rsidR="00B50FC2" w:rsidRPr="00DD71E7">
        <w:t>40 other</w:t>
      </w:r>
      <w:r w:rsidRPr="00DD71E7">
        <w:t xml:space="preserve"> respondents started the survey but did not complete it. The most common drop-off question was question </w:t>
      </w:r>
      <w:r w:rsidR="00B50FC2" w:rsidRPr="00DD71E7">
        <w:t>5</w:t>
      </w:r>
      <w:r w:rsidRPr="00DD71E7">
        <w:t>.</w:t>
      </w:r>
    </w:p>
    <w:p w14:paraId="6A49EA9B" w14:textId="3ADCE36D" w:rsidR="00A73D14" w:rsidRPr="0043000C" w:rsidRDefault="00A73D14" w:rsidP="0043000C">
      <w:pPr>
        <w:pStyle w:val="ListNumber"/>
        <w:numPr>
          <w:ilvl w:val="0"/>
          <w:numId w:val="22"/>
        </w:numPr>
        <w:rPr>
          <w:rStyle w:val="Strong"/>
        </w:rPr>
      </w:pPr>
      <w:r w:rsidRPr="0043000C">
        <w:rPr>
          <w:rStyle w:val="Strong"/>
        </w:rPr>
        <w:t>In what state/territory do you practice? [single answer, mandatory]</w:t>
      </w:r>
    </w:p>
    <w:p w14:paraId="7C95C3C3" w14:textId="6604D521" w:rsidR="000D338A" w:rsidRDefault="000D338A" w:rsidP="000D338A">
      <w:pPr>
        <w:pStyle w:val="Caption"/>
      </w:pPr>
      <w:bookmarkStart w:id="262" w:name="_Toc207348653"/>
      <w:r>
        <w:t xml:space="preserve">Table </w:t>
      </w:r>
      <w:r w:rsidR="00E6799D">
        <w:fldChar w:fldCharType="begin"/>
      </w:r>
      <w:r w:rsidR="00E6799D">
        <w:instrText xml:space="preserve"> SEQ Table \* ARABIC </w:instrText>
      </w:r>
      <w:r w:rsidR="00E6799D">
        <w:fldChar w:fldCharType="separate"/>
      </w:r>
      <w:r w:rsidR="00E6799D">
        <w:rPr>
          <w:noProof/>
        </w:rPr>
        <w:t>88</w:t>
      </w:r>
      <w:r w:rsidR="00E6799D">
        <w:rPr>
          <w:noProof/>
        </w:rPr>
        <w:fldChar w:fldCharType="end"/>
      </w:r>
      <w:r>
        <w:t xml:space="preserve">: Response to question </w:t>
      </w:r>
      <w:r w:rsidRPr="00FC495F">
        <w:t>1</w:t>
      </w:r>
      <w:bookmarkEnd w:id="262"/>
    </w:p>
    <w:tbl>
      <w:tblPr>
        <w:tblStyle w:val="KPMGTable"/>
        <w:tblW w:w="10028" w:type="dxa"/>
        <w:tblLook w:val="04A0" w:firstRow="1" w:lastRow="0" w:firstColumn="1" w:lastColumn="0" w:noHBand="0" w:noVBand="1"/>
      </w:tblPr>
      <w:tblGrid>
        <w:gridCol w:w="3342"/>
        <w:gridCol w:w="3343"/>
        <w:gridCol w:w="3343"/>
      </w:tblGrid>
      <w:tr w:rsidR="00BC6DD3" w:rsidRPr="00386CBC" w14:paraId="44C1B2B1" w14:textId="77777777" w:rsidTr="007A7F51">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3342" w:type="dxa"/>
          </w:tcPr>
          <w:p w14:paraId="30BA250F" w14:textId="77777777" w:rsidR="00767236" w:rsidRPr="007B154A" w:rsidRDefault="00767236" w:rsidP="000D338A">
            <w:pPr>
              <w:pStyle w:val="TableHeading"/>
              <w:rPr>
                <w:b w:val="0"/>
                <w:color w:val="FFFFFF" w:themeColor="background1"/>
                <w:szCs w:val="20"/>
              </w:rPr>
            </w:pPr>
            <w:r>
              <w:t>Response</w:t>
            </w:r>
          </w:p>
        </w:tc>
        <w:tc>
          <w:tcPr>
            <w:tcW w:w="3343" w:type="dxa"/>
          </w:tcPr>
          <w:p w14:paraId="702C87BD" w14:textId="77777777" w:rsidR="00767236" w:rsidRPr="00386CBC" w:rsidRDefault="00767236" w:rsidP="000D338A">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rsidRPr="00386CBC">
              <w:t>Number of respondents</w:t>
            </w:r>
          </w:p>
        </w:tc>
        <w:tc>
          <w:tcPr>
            <w:tcW w:w="3343" w:type="dxa"/>
          </w:tcPr>
          <w:p w14:paraId="77604EF3" w14:textId="77777777" w:rsidR="00767236" w:rsidRPr="008B4C8E" w:rsidRDefault="00767236" w:rsidP="000D338A">
            <w:pPr>
              <w:pStyle w:val="TableHeading"/>
              <w:cnfStyle w:val="100000000000" w:firstRow="1" w:lastRow="0" w:firstColumn="0" w:lastColumn="0" w:oddVBand="0" w:evenVBand="0" w:oddHBand="0" w:evenHBand="0" w:firstRowFirstColumn="0" w:firstRowLastColumn="0" w:lastRowFirstColumn="0" w:lastRowLastColumn="0"/>
              <w:rPr>
                <w:b w:val="0"/>
                <w:szCs w:val="20"/>
              </w:rPr>
            </w:pPr>
            <w:r w:rsidRPr="008B4C8E">
              <w:t>Proportion of total respondents</w:t>
            </w:r>
            <w:r w:rsidRPr="008B4C8E">
              <w:rPr>
                <w:b w:val="0"/>
                <w:szCs w:val="20"/>
              </w:rPr>
              <w:t xml:space="preserve"> (%)</w:t>
            </w:r>
          </w:p>
        </w:tc>
      </w:tr>
      <w:tr w:rsidR="00BC6DD3" w:rsidRPr="006D20D0" w14:paraId="4B85746C" w14:textId="77777777" w:rsidTr="000D338A">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55F1183A" w14:textId="77777777" w:rsidR="00767236" w:rsidRPr="00E90673" w:rsidRDefault="00767236" w:rsidP="000D338A">
            <w:pPr>
              <w:pStyle w:val="TableText"/>
              <w:rPr>
                <w:szCs w:val="20"/>
              </w:rPr>
            </w:pPr>
            <w:r w:rsidRPr="006D20D0">
              <w:t>New South Wales</w:t>
            </w:r>
          </w:p>
        </w:tc>
        <w:tc>
          <w:tcPr>
            <w:tcW w:w="3343" w:type="dxa"/>
          </w:tcPr>
          <w:p w14:paraId="1D3B4070" w14:textId="77777777" w:rsidR="00767236" w:rsidRPr="006D20D0" w:rsidRDefault="00B54BA3" w:rsidP="000D338A">
            <w:pPr>
              <w:pStyle w:val="TableText"/>
              <w:cnfStyle w:val="000000000000" w:firstRow="0" w:lastRow="0" w:firstColumn="0" w:lastColumn="0" w:oddVBand="0" w:evenVBand="0" w:oddHBand="0" w:evenHBand="0" w:firstRowFirstColumn="0" w:firstRowLastColumn="0" w:lastRowFirstColumn="0" w:lastRowLastColumn="0"/>
            </w:pPr>
            <w:r>
              <w:t>26</w:t>
            </w:r>
          </w:p>
        </w:tc>
        <w:tc>
          <w:tcPr>
            <w:tcW w:w="3343" w:type="dxa"/>
          </w:tcPr>
          <w:p w14:paraId="0523DA97" w14:textId="77777777" w:rsidR="00767236" w:rsidRPr="006D20D0" w:rsidRDefault="00B54BA3" w:rsidP="000D338A">
            <w:pPr>
              <w:pStyle w:val="TableText"/>
              <w:cnfStyle w:val="000000000000" w:firstRow="0" w:lastRow="0" w:firstColumn="0" w:lastColumn="0" w:oddVBand="0" w:evenVBand="0" w:oddHBand="0" w:evenHBand="0" w:firstRowFirstColumn="0" w:firstRowLastColumn="0" w:lastRowFirstColumn="0" w:lastRowLastColumn="0"/>
            </w:pPr>
            <w:r>
              <w:t>31.3</w:t>
            </w:r>
          </w:p>
        </w:tc>
      </w:tr>
      <w:tr w:rsidR="00BC6DD3" w:rsidRPr="009C1931" w14:paraId="3E5A1BE7" w14:textId="77777777" w:rsidTr="000D338A">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59D03B75" w14:textId="77777777" w:rsidR="00767236" w:rsidRPr="006D20D0" w:rsidRDefault="00767236" w:rsidP="000D338A">
            <w:pPr>
              <w:pStyle w:val="TableText"/>
            </w:pPr>
            <w:r w:rsidRPr="006D20D0">
              <w:t>Victoria</w:t>
            </w:r>
          </w:p>
        </w:tc>
        <w:tc>
          <w:tcPr>
            <w:tcW w:w="3343" w:type="dxa"/>
          </w:tcPr>
          <w:p w14:paraId="2485EABF" w14:textId="77777777" w:rsidR="00767236" w:rsidRDefault="001B6B32" w:rsidP="000D338A">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2</w:t>
            </w:r>
            <w:r w:rsidR="00B54BA3">
              <w:rPr>
                <w:szCs w:val="20"/>
              </w:rPr>
              <w:t>7</w:t>
            </w:r>
          </w:p>
        </w:tc>
        <w:tc>
          <w:tcPr>
            <w:tcW w:w="3343" w:type="dxa"/>
          </w:tcPr>
          <w:p w14:paraId="408B62CD" w14:textId="77777777" w:rsidR="00767236" w:rsidRPr="009C1931" w:rsidRDefault="00C07DB1" w:rsidP="000D338A">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32.5</w:t>
            </w:r>
          </w:p>
        </w:tc>
      </w:tr>
      <w:tr w:rsidR="00BC6DD3" w:rsidRPr="009C1931" w14:paraId="562E6E33" w14:textId="77777777" w:rsidTr="000D338A">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21ED470F" w14:textId="77777777" w:rsidR="00767236" w:rsidRPr="00E90673" w:rsidRDefault="00767236" w:rsidP="000D338A">
            <w:pPr>
              <w:pStyle w:val="TableText"/>
              <w:rPr>
                <w:szCs w:val="20"/>
              </w:rPr>
            </w:pPr>
            <w:r w:rsidRPr="006D20D0">
              <w:t>Queensland</w:t>
            </w:r>
          </w:p>
        </w:tc>
        <w:tc>
          <w:tcPr>
            <w:tcW w:w="3343" w:type="dxa"/>
          </w:tcPr>
          <w:p w14:paraId="26CBD1A2" w14:textId="77777777" w:rsidR="00767236" w:rsidRPr="009C1931" w:rsidRDefault="009949AD" w:rsidP="000D338A">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14</w:t>
            </w:r>
          </w:p>
        </w:tc>
        <w:tc>
          <w:tcPr>
            <w:tcW w:w="3343" w:type="dxa"/>
          </w:tcPr>
          <w:p w14:paraId="7435FCC1" w14:textId="77777777" w:rsidR="00767236" w:rsidRPr="009C1931" w:rsidRDefault="00C07DB1" w:rsidP="000D338A">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16.</w:t>
            </w:r>
            <w:r w:rsidR="00BD29B5">
              <w:rPr>
                <w:szCs w:val="20"/>
              </w:rPr>
              <w:t>9</w:t>
            </w:r>
          </w:p>
        </w:tc>
      </w:tr>
      <w:tr w:rsidR="00BC6DD3" w14:paraId="7A7B8D03" w14:textId="77777777" w:rsidTr="000D338A">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4E467E8E" w14:textId="77777777" w:rsidR="00767236" w:rsidRPr="006D20D0" w:rsidRDefault="00767236" w:rsidP="000D338A">
            <w:pPr>
              <w:pStyle w:val="TableText"/>
            </w:pPr>
            <w:r w:rsidRPr="006D20D0">
              <w:t>Western Australia</w:t>
            </w:r>
          </w:p>
        </w:tc>
        <w:tc>
          <w:tcPr>
            <w:tcW w:w="3343" w:type="dxa"/>
          </w:tcPr>
          <w:p w14:paraId="0171FA3C" w14:textId="77777777" w:rsidR="00767236" w:rsidRDefault="009949AD" w:rsidP="000D338A">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5</w:t>
            </w:r>
          </w:p>
        </w:tc>
        <w:tc>
          <w:tcPr>
            <w:tcW w:w="3343" w:type="dxa"/>
          </w:tcPr>
          <w:p w14:paraId="0C9991D0" w14:textId="77777777" w:rsidR="00767236" w:rsidRDefault="00D44225" w:rsidP="000D338A">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6.0</w:t>
            </w:r>
          </w:p>
        </w:tc>
      </w:tr>
      <w:tr w:rsidR="00BC6DD3" w14:paraId="00A32E92" w14:textId="77777777" w:rsidTr="000D338A">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70DD971F" w14:textId="77777777" w:rsidR="00767236" w:rsidRPr="006D20D0" w:rsidRDefault="00767236" w:rsidP="000D338A">
            <w:pPr>
              <w:pStyle w:val="TableText"/>
            </w:pPr>
            <w:r w:rsidRPr="006D20D0">
              <w:t>South Australia</w:t>
            </w:r>
          </w:p>
        </w:tc>
        <w:tc>
          <w:tcPr>
            <w:tcW w:w="3343" w:type="dxa"/>
          </w:tcPr>
          <w:p w14:paraId="7FFB7F90" w14:textId="77777777" w:rsidR="00767236" w:rsidRDefault="009949AD" w:rsidP="000D338A">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6</w:t>
            </w:r>
          </w:p>
        </w:tc>
        <w:tc>
          <w:tcPr>
            <w:tcW w:w="3343" w:type="dxa"/>
          </w:tcPr>
          <w:p w14:paraId="6E59A887" w14:textId="77777777" w:rsidR="00767236" w:rsidRDefault="00D44225" w:rsidP="000D338A">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7.2</w:t>
            </w:r>
          </w:p>
        </w:tc>
      </w:tr>
      <w:tr w:rsidR="00BC6DD3" w14:paraId="24A9E8AE" w14:textId="77777777" w:rsidTr="000D338A">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0F3E3D55" w14:textId="77777777" w:rsidR="00767236" w:rsidRPr="006D20D0" w:rsidRDefault="00767236" w:rsidP="000D338A">
            <w:pPr>
              <w:pStyle w:val="TableText"/>
            </w:pPr>
            <w:r w:rsidRPr="006D20D0">
              <w:t>Australian Capital Territory</w:t>
            </w:r>
          </w:p>
        </w:tc>
        <w:tc>
          <w:tcPr>
            <w:tcW w:w="3343" w:type="dxa"/>
          </w:tcPr>
          <w:p w14:paraId="61C39263" w14:textId="77777777" w:rsidR="00767236" w:rsidRDefault="00400BD5" w:rsidP="000D338A">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2</w:t>
            </w:r>
          </w:p>
        </w:tc>
        <w:tc>
          <w:tcPr>
            <w:tcW w:w="3343" w:type="dxa"/>
          </w:tcPr>
          <w:p w14:paraId="26D3C143" w14:textId="77777777" w:rsidR="00767236" w:rsidRDefault="00D44225" w:rsidP="000D338A">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2.4</w:t>
            </w:r>
          </w:p>
        </w:tc>
      </w:tr>
      <w:tr w:rsidR="00BC6DD3" w14:paraId="0AE5AD98" w14:textId="77777777" w:rsidTr="000D338A">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25501DAD" w14:textId="77777777" w:rsidR="00767236" w:rsidRPr="006D20D0" w:rsidRDefault="00767236" w:rsidP="000D338A">
            <w:pPr>
              <w:pStyle w:val="TableText"/>
            </w:pPr>
            <w:r w:rsidRPr="006D20D0">
              <w:t>Tasmania</w:t>
            </w:r>
          </w:p>
        </w:tc>
        <w:tc>
          <w:tcPr>
            <w:tcW w:w="3343" w:type="dxa"/>
          </w:tcPr>
          <w:p w14:paraId="0D8F2DBF" w14:textId="77777777" w:rsidR="00767236" w:rsidRDefault="009949AD" w:rsidP="000D338A">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1</w:t>
            </w:r>
          </w:p>
        </w:tc>
        <w:tc>
          <w:tcPr>
            <w:tcW w:w="3343" w:type="dxa"/>
          </w:tcPr>
          <w:p w14:paraId="48DABF32" w14:textId="77777777" w:rsidR="00767236" w:rsidRDefault="00541B5F" w:rsidP="000D338A">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1.2</w:t>
            </w:r>
          </w:p>
        </w:tc>
      </w:tr>
      <w:tr w:rsidR="00BC6DD3" w:rsidRPr="009C1931" w14:paraId="4A48CA8A" w14:textId="77777777" w:rsidTr="000D338A">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28415E30" w14:textId="77777777" w:rsidR="00767236" w:rsidRPr="00E90673" w:rsidRDefault="00767236" w:rsidP="000D338A">
            <w:pPr>
              <w:pStyle w:val="TableText"/>
              <w:rPr>
                <w:szCs w:val="20"/>
              </w:rPr>
            </w:pPr>
            <w:r w:rsidRPr="006D20D0">
              <w:t>Northern Territory</w:t>
            </w:r>
          </w:p>
        </w:tc>
        <w:tc>
          <w:tcPr>
            <w:tcW w:w="3343" w:type="dxa"/>
          </w:tcPr>
          <w:p w14:paraId="6EC7133A" w14:textId="77777777" w:rsidR="00767236" w:rsidRPr="009C1931" w:rsidRDefault="000F28F1" w:rsidP="000D338A">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2</w:t>
            </w:r>
          </w:p>
        </w:tc>
        <w:tc>
          <w:tcPr>
            <w:tcW w:w="3343" w:type="dxa"/>
          </w:tcPr>
          <w:p w14:paraId="66399653" w14:textId="77777777" w:rsidR="00767236" w:rsidRPr="009C1931" w:rsidRDefault="00541B5F" w:rsidP="000D338A">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2.4</w:t>
            </w:r>
          </w:p>
        </w:tc>
      </w:tr>
      <w:tr w:rsidR="00BC6DD3" w:rsidRPr="009C1931" w14:paraId="3E53619C" w14:textId="77777777" w:rsidTr="000D338A">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658EE88C" w14:textId="77777777" w:rsidR="00767236" w:rsidRPr="006D20D0" w:rsidRDefault="00767236" w:rsidP="000D338A">
            <w:pPr>
              <w:pStyle w:val="Tabletextbold"/>
              <w:rPr>
                <w:rFonts w:eastAsiaTheme="minorEastAsia" w:cs="Arial"/>
                <w:szCs w:val="18"/>
              </w:rPr>
            </w:pPr>
            <w:r w:rsidRPr="00C33FD2">
              <w:rPr>
                <w:b/>
                <w:bCs/>
              </w:rPr>
              <w:t>Total</w:t>
            </w:r>
          </w:p>
        </w:tc>
        <w:tc>
          <w:tcPr>
            <w:tcW w:w="3343" w:type="dxa"/>
          </w:tcPr>
          <w:p w14:paraId="367C2996" w14:textId="77777777" w:rsidR="00767236" w:rsidRPr="009C1931" w:rsidRDefault="00442FA3" w:rsidP="000D338A">
            <w:pPr>
              <w:pStyle w:val="Tabletextbold"/>
              <w:cnfStyle w:val="000000000000" w:firstRow="0" w:lastRow="0" w:firstColumn="0" w:lastColumn="0" w:oddVBand="0" w:evenVBand="0" w:oddHBand="0" w:evenHBand="0" w:firstRowFirstColumn="0" w:firstRowLastColumn="0" w:lastRowFirstColumn="0" w:lastRowLastColumn="0"/>
              <w:rPr>
                <w:szCs w:val="20"/>
              </w:rPr>
            </w:pPr>
            <w:r>
              <w:rPr>
                <w:szCs w:val="20"/>
              </w:rPr>
              <w:t>83</w:t>
            </w:r>
          </w:p>
        </w:tc>
        <w:tc>
          <w:tcPr>
            <w:tcW w:w="3343" w:type="dxa"/>
          </w:tcPr>
          <w:p w14:paraId="54543A74" w14:textId="77777777" w:rsidR="00767236" w:rsidRPr="009C1931" w:rsidRDefault="00541B5F" w:rsidP="000D338A">
            <w:pPr>
              <w:pStyle w:val="Tabletextbold"/>
              <w:cnfStyle w:val="000000000000" w:firstRow="0" w:lastRow="0" w:firstColumn="0" w:lastColumn="0" w:oddVBand="0" w:evenVBand="0" w:oddHBand="0" w:evenHBand="0" w:firstRowFirstColumn="0" w:firstRowLastColumn="0" w:lastRowFirstColumn="0" w:lastRowLastColumn="0"/>
              <w:rPr>
                <w:szCs w:val="20"/>
              </w:rPr>
            </w:pPr>
            <w:r>
              <w:rPr>
                <w:szCs w:val="20"/>
              </w:rPr>
              <w:t>100</w:t>
            </w:r>
          </w:p>
        </w:tc>
      </w:tr>
    </w:tbl>
    <w:p w14:paraId="1FD485F9" w14:textId="779889FB" w:rsidR="00A503FD" w:rsidRPr="00D50E7B" w:rsidRDefault="00A503FD" w:rsidP="000D338A">
      <w:pPr>
        <w:pStyle w:val="Caption-Source"/>
      </w:pPr>
      <w:r w:rsidRPr="00032942">
        <w:t xml:space="preserve">Source: </w:t>
      </w:r>
      <w:r w:rsidR="00B26691">
        <w:t>Independent reviewer</w:t>
      </w:r>
      <w:r w:rsidR="00584D02" w:rsidRPr="00D50E7B">
        <w:t xml:space="preserve"> (</w:t>
      </w:r>
      <w:r w:rsidRPr="00D50E7B">
        <w:t>2025</w:t>
      </w:r>
      <w:r w:rsidR="00584D02" w:rsidRPr="00D50E7B">
        <w:t>)</w:t>
      </w:r>
    </w:p>
    <w:p w14:paraId="3724754D" w14:textId="77777777" w:rsidR="00A73D14" w:rsidRPr="0043000C" w:rsidRDefault="00A73D14" w:rsidP="0043000C">
      <w:pPr>
        <w:pStyle w:val="ListNumber"/>
        <w:numPr>
          <w:ilvl w:val="0"/>
          <w:numId w:val="22"/>
        </w:numPr>
        <w:rPr>
          <w:rStyle w:val="Strong"/>
        </w:rPr>
      </w:pPr>
      <w:r w:rsidRPr="0043000C">
        <w:rPr>
          <w:rStyle w:val="Strong"/>
        </w:rPr>
        <w:t>How would you describe the area where you practice? [single answer, mandatory]</w:t>
      </w:r>
    </w:p>
    <w:p w14:paraId="27AF36CE" w14:textId="528FFF0A" w:rsidR="000D338A" w:rsidRDefault="000D338A" w:rsidP="000D338A">
      <w:pPr>
        <w:pStyle w:val="Caption"/>
      </w:pPr>
      <w:bookmarkStart w:id="263" w:name="_Toc207348654"/>
      <w:r>
        <w:t xml:space="preserve">Table </w:t>
      </w:r>
      <w:r w:rsidR="00E6799D">
        <w:fldChar w:fldCharType="begin"/>
      </w:r>
      <w:r w:rsidR="00E6799D">
        <w:instrText xml:space="preserve"> SEQ Table \* ARABIC </w:instrText>
      </w:r>
      <w:r w:rsidR="00E6799D">
        <w:fldChar w:fldCharType="separate"/>
      </w:r>
      <w:r w:rsidR="00E6799D">
        <w:rPr>
          <w:noProof/>
        </w:rPr>
        <w:t>89</w:t>
      </w:r>
      <w:r w:rsidR="00E6799D">
        <w:rPr>
          <w:noProof/>
        </w:rPr>
        <w:fldChar w:fldCharType="end"/>
      </w:r>
      <w:r>
        <w:t xml:space="preserve">: </w:t>
      </w:r>
      <w:r w:rsidRPr="0060259B">
        <w:t xml:space="preserve">Response to question </w:t>
      </w:r>
      <w:r>
        <w:t>2</w:t>
      </w:r>
      <w:bookmarkEnd w:id="263"/>
    </w:p>
    <w:tbl>
      <w:tblPr>
        <w:tblStyle w:val="KPMGTable"/>
        <w:tblW w:w="10028" w:type="dxa"/>
        <w:tblLook w:val="04A0" w:firstRow="1" w:lastRow="0" w:firstColumn="1" w:lastColumn="0" w:noHBand="0" w:noVBand="1"/>
      </w:tblPr>
      <w:tblGrid>
        <w:gridCol w:w="3342"/>
        <w:gridCol w:w="3343"/>
        <w:gridCol w:w="3343"/>
      </w:tblGrid>
      <w:tr w:rsidR="00BC6DD3" w:rsidRPr="00386CBC" w14:paraId="6FF53E39" w14:textId="77777777" w:rsidTr="007A7F51">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3342" w:type="dxa"/>
          </w:tcPr>
          <w:p w14:paraId="0CB4EEA1" w14:textId="77777777" w:rsidR="00A503FD" w:rsidRPr="007B154A" w:rsidRDefault="00A503FD" w:rsidP="000D338A">
            <w:pPr>
              <w:pStyle w:val="TableHeading"/>
              <w:rPr>
                <w:b w:val="0"/>
                <w:color w:val="FFFFFF" w:themeColor="background1"/>
                <w:szCs w:val="20"/>
              </w:rPr>
            </w:pPr>
            <w:r>
              <w:t>Response</w:t>
            </w:r>
          </w:p>
        </w:tc>
        <w:tc>
          <w:tcPr>
            <w:tcW w:w="3343" w:type="dxa"/>
          </w:tcPr>
          <w:p w14:paraId="1433604C" w14:textId="77777777" w:rsidR="00A503FD" w:rsidRPr="00386CBC" w:rsidRDefault="00A503FD" w:rsidP="000D338A">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rsidRPr="00386CBC">
              <w:t>Number of respondents</w:t>
            </w:r>
          </w:p>
        </w:tc>
        <w:tc>
          <w:tcPr>
            <w:tcW w:w="3343" w:type="dxa"/>
          </w:tcPr>
          <w:p w14:paraId="1201F3DE" w14:textId="77777777" w:rsidR="00A503FD" w:rsidRPr="008B4C8E" w:rsidRDefault="00A503FD" w:rsidP="000D338A">
            <w:pPr>
              <w:pStyle w:val="TableHeading"/>
              <w:cnfStyle w:val="100000000000" w:firstRow="1" w:lastRow="0" w:firstColumn="0" w:lastColumn="0" w:oddVBand="0" w:evenVBand="0" w:oddHBand="0" w:evenHBand="0" w:firstRowFirstColumn="0" w:firstRowLastColumn="0" w:lastRowFirstColumn="0" w:lastRowLastColumn="0"/>
              <w:rPr>
                <w:b w:val="0"/>
                <w:szCs w:val="20"/>
              </w:rPr>
            </w:pPr>
            <w:r w:rsidRPr="008B4C8E">
              <w:t>Proportion of total respondents</w:t>
            </w:r>
            <w:r w:rsidRPr="008B4C8E">
              <w:rPr>
                <w:b w:val="0"/>
                <w:szCs w:val="20"/>
              </w:rPr>
              <w:t xml:space="preserve"> (%)</w:t>
            </w:r>
          </w:p>
        </w:tc>
      </w:tr>
      <w:tr w:rsidR="00BC6DD3" w:rsidRPr="006D20D0" w14:paraId="34F5732D" w14:textId="77777777" w:rsidTr="000D338A">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2E6101DA" w14:textId="77777777" w:rsidR="00A503FD" w:rsidRPr="006D20D0" w:rsidRDefault="00A503FD" w:rsidP="000D338A">
            <w:pPr>
              <w:pStyle w:val="TableText"/>
            </w:pPr>
            <w:r w:rsidRPr="006D20D0">
              <w:t>Metropolitan area</w:t>
            </w:r>
          </w:p>
        </w:tc>
        <w:tc>
          <w:tcPr>
            <w:tcW w:w="3343" w:type="dxa"/>
          </w:tcPr>
          <w:p w14:paraId="5A90C676" w14:textId="77777777" w:rsidR="00A503FD" w:rsidRPr="006D20D0" w:rsidRDefault="00164BFB" w:rsidP="000D338A">
            <w:pPr>
              <w:pStyle w:val="TableText"/>
              <w:cnfStyle w:val="000000000000" w:firstRow="0" w:lastRow="0" w:firstColumn="0" w:lastColumn="0" w:oddVBand="0" w:evenVBand="0" w:oddHBand="0" w:evenHBand="0" w:firstRowFirstColumn="0" w:firstRowLastColumn="0" w:lastRowFirstColumn="0" w:lastRowLastColumn="0"/>
            </w:pPr>
            <w:r>
              <w:t>62</w:t>
            </w:r>
          </w:p>
        </w:tc>
        <w:tc>
          <w:tcPr>
            <w:tcW w:w="3343" w:type="dxa"/>
          </w:tcPr>
          <w:p w14:paraId="7F1A7488" w14:textId="77777777" w:rsidR="00A503FD" w:rsidRPr="006D20D0" w:rsidRDefault="00164BFB" w:rsidP="000D338A">
            <w:pPr>
              <w:pStyle w:val="TableText"/>
              <w:cnfStyle w:val="000000000000" w:firstRow="0" w:lastRow="0" w:firstColumn="0" w:lastColumn="0" w:oddVBand="0" w:evenVBand="0" w:oddHBand="0" w:evenHBand="0" w:firstRowFirstColumn="0" w:firstRowLastColumn="0" w:lastRowFirstColumn="0" w:lastRowLastColumn="0"/>
            </w:pPr>
            <w:r>
              <w:t>74.7</w:t>
            </w:r>
          </w:p>
        </w:tc>
      </w:tr>
      <w:tr w:rsidR="00BC6DD3" w:rsidRPr="006D20D0" w14:paraId="6BC5828F" w14:textId="77777777" w:rsidTr="000D338A">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4750633C" w14:textId="77777777" w:rsidR="00A503FD" w:rsidRPr="006D20D0" w:rsidRDefault="00A503FD" w:rsidP="000D338A">
            <w:pPr>
              <w:pStyle w:val="TableText"/>
            </w:pPr>
            <w:r w:rsidRPr="006D20D0">
              <w:t>Regional centre</w:t>
            </w:r>
          </w:p>
        </w:tc>
        <w:tc>
          <w:tcPr>
            <w:tcW w:w="3343" w:type="dxa"/>
          </w:tcPr>
          <w:p w14:paraId="71FBBF1F" w14:textId="77777777" w:rsidR="00A503FD" w:rsidRPr="006D20D0" w:rsidRDefault="00164BFB" w:rsidP="000D338A">
            <w:pPr>
              <w:pStyle w:val="TableText"/>
              <w:cnfStyle w:val="000000000000" w:firstRow="0" w:lastRow="0" w:firstColumn="0" w:lastColumn="0" w:oddVBand="0" w:evenVBand="0" w:oddHBand="0" w:evenHBand="0" w:firstRowFirstColumn="0" w:firstRowLastColumn="0" w:lastRowFirstColumn="0" w:lastRowLastColumn="0"/>
            </w:pPr>
            <w:r>
              <w:t>18</w:t>
            </w:r>
          </w:p>
        </w:tc>
        <w:tc>
          <w:tcPr>
            <w:tcW w:w="3343" w:type="dxa"/>
          </w:tcPr>
          <w:p w14:paraId="61E00FA8" w14:textId="77777777" w:rsidR="00A503FD" w:rsidRPr="006D20D0" w:rsidRDefault="00164BFB" w:rsidP="000D338A">
            <w:pPr>
              <w:pStyle w:val="TableText"/>
              <w:cnfStyle w:val="000000000000" w:firstRow="0" w:lastRow="0" w:firstColumn="0" w:lastColumn="0" w:oddVBand="0" w:evenVBand="0" w:oddHBand="0" w:evenHBand="0" w:firstRowFirstColumn="0" w:firstRowLastColumn="0" w:lastRowFirstColumn="0" w:lastRowLastColumn="0"/>
            </w:pPr>
            <w:r>
              <w:t>21.</w:t>
            </w:r>
            <w:r w:rsidR="00BD29B5">
              <w:t>7</w:t>
            </w:r>
          </w:p>
        </w:tc>
      </w:tr>
      <w:tr w:rsidR="00BC6DD3" w:rsidRPr="006D20D0" w14:paraId="0163F17F" w14:textId="77777777" w:rsidTr="000D338A">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132EA2AF" w14:textId="77777777" w:rsidR="00A503FD" w:rsidRPr="006D20D0" w:rsidRDefault="00A503FD" w:rsidP="000D338A">
            <w:pPr>
              <w:pStyle w:val="TableText"/>
            </w:pPr>
            <w:r w:rsidRPr="006D20D0">
              <w:t>Rural area</w:t>
            </w:r>
          </w:p>
        </w:tc>
        <w:tc>
          <w:tcPr>
            <w:tcW w:w="3343" w:type="dxa"/>
          </w:tcPr>
          <w:p w14:paraId="7F23DB6D" w14:textId="77777777" w:rsidR="00A503FD" w:rsidRPr="006D20D0" w:rsidRDefault="00164BFB" w:rsidP="000D338A">
            <w:pPr>
              <w:pStyle w:val="TableText"/>
              <w:cnfStyle w:val="000000000000" w:firstRow="0" w:lastRow="0" w:firstColumn="0" w:lastColumn="0" w:oddVBand="0" w:evenVBand="0" w:oddHBand="0" w:evenHBand="0" w:firstRowFirstColumn="0" w:firstRowLastColumn="0" w:lastRowFirstColumn="0" w:lastRowLastColumn="0"/>
            </w:pPr>
            <w:r>
              <w:t>3</w:t>
            </w:r>
          </w:p>
        </w:tc>
        <w:tc>
          <w:tcPr>
            <w:tcW w:w="3343" w:type="dxa"/>
          </w:tcPr>
          <w:p w14:paraId="1DA5EC38" w14:textId="77777777" w:rsidR="00A503FD" w:rsidRPr="006D20D0" w:rsidRDefault="00164BFB" w:rsidP="000D338A">
            <w:pPr>
              <w:pStyle w:val="TableText"/>
              <w:cnfStyle w:val="000000000000" w:firstRow="0" w:lastRow="0" w:firstColumn="0" w:lastColumn="0" w:oddVBand="0" w:evenVBand="0" w:oddHBand="0" w:evenHBand="0" w:firstRowFirstColumn="0" w:firstRowLastColumn="0" w:lastRowFirstColumn="0" w:lastRowLastColumn="0"/>
            </w:pPr>
            <w:r>
              <w:t>3.6</w:t>
            </w:r>
          </w:p>
        </w:tc>
      </w:tr>
      <w:tr w:rsidR="00BC6DD3" w:rsidRPr="006D20D0" w14:paraId="42D86D38" w14:textId="77777777" w:rsidTr="000D338A">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72343DBF" w14:textId="77777777" w:rsidR="00A503FD" w:rsidRPr="006D20D0" w:rsidRDefault="00A503FD" w:rsidP="000D338A">
            <w:pPr>
              <w:pStyle w:val="TableText"/>
            </w:pPr>
            <w:r w:rsidRPr="006D20D0">
              <w:t>Remote community</w:t>
            </w:r>
          </w:p>
        </w:tc>
        <w:tc>
          <w:tcPr>
            <w:tcW w:w="3343" w:type="dxa"/>
          </w:tcPr>
          <w:p w14:paraId="5931B376" w14:textId="77777777" w:rsidR="00A503FD" w:rsidRPr="006D20D0" w:rsidRDefault="00164BFB" w:rsidP="000D338A">
            <w:pPr>
              <w:pStyle w:val="TableText"/>
              <w:cnfStyle w:val="000000000000" w:firstRow="0" w:lastRow="0" w:firstColumn="0" w:lastColumn="0" w:oddVBand="0" w:evenVBand="0" w:oddHBand="0" w:evenHBand="0" w:firstRowFirstColumn="0" w:firstRowLastColumn="0" w:lastRowFirstColumn="0" w:lastRowLastColumn="0"/>
            </w:pPr>
            <w:r>
              <w:t>0</w:t>
            </w:r>
          </w:p>
        </w:tc>
        <w:tc>
          <w:tcPr>
            <w:tcW w:w="3343" w:type="dxa"/>
          </w:tcPr>
          <w:p w14:paraId="62BE8A9C" w14:textId="77777777" w:rsidR="00A503FD" w:rsidRPr="006D20D0" w:rsidRDefault="00164BFB" w:rsidP="000D338A">
            <w:pPr>
              <w:pStyle w:val="TableText"/>
              <w:cnfStyle w:val="000000000000" w:firstRow="0" w:lastRow="0" w:firstColumn="0" w:lastColumn="0" w:oddVBand="0" w:evenVBand="0" w:oddHBand="0" w:evenHBand="0" w:firstRowFirstColumn="0" w:firstRowLastColumn="0" w:lastRowFirstColumn="0" w:lastRowLastColumn="0"/>
            </w:pPr>
            <w:r>
              <w:t>0</w:t>
            </w:r>
          </w:p>
        </w:tc>
      </w:tr>
      <w:tr w:rsidR="00BC6DD3" w:rsidRPr="009C1931" w14:paraId="202C25EF" w14:textId="77777777" w:rsidTr="000D338A">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03E2E26D" w14:textId="77777777" w:rsidR="00A503FD" w:rsidRPr="006D20D0" w:rsidRDefault="00A503FD" w:rsidP="000D338A">
            <w:pPr>
              <w:pStyle w:val="Tabletextbold"/>
              <w:rPr>
                <w:rFonts w:eastAsiaTheme="minorEastAsia" w:cs="Arial"/>
                <w:szCs w:val="18"/>
              </w:rPr>
            </w:pPr>
            <w:r w:rsidRPr="00C33FD2">
              <w:rPr>
                <w:b/>
                <w:bCs/>
              </w:rPr>
              <w:t>Total</w:t>
            </w:r>
          </w:p>
        </w:tc>
        <w:tc>
          <w:tcPr>
            <w:tcW w:w="3343" w:type="dxa"/>
          </w:tcPr>
          <w:p w14:paraId="32152459" w14:textId="77777777" w:rsidR="00A503FD" w:rsidRPr="009C1931" w:rsidRDefault="00164BFB" w:rsidP="000D338A">
            <w:pPr>
              <w:pStyle w:val="Tabletextbold"/>
              <w:cnfStyle w:val="000000000000" w:firstRow="0" w:lastRow="0" w:firstColumn="0" w:lastColumn="0" w:oddVBand="0" w:evenVBand="0" w:oddHBand="0" w:evenHBand="0" w:firstRowFirstColumn="0" w:firstRowLastColumn="0" w:lastRowFirstColumn="0" w:lastRowLastColumn="0"/>
              <w:rPr>
                <w:szCs w:val="20"/>
              </w:rPr>
            </w:pPr>
            <w:r>
              <w:rPr>
                <w:szCs w:val="20"/>
              </w:rPr>
              <w:t>83</w:t>
            </w:r>
          </w:p>
        </w:tc>
        <w:tc>
          <w:tcPr>
            <w:tcW w:w="3343" w:type="dxa"/>
          </w:tcPr>
          <w:p w14:paraId="70203F5F" w14:textId="77777777" w:rsidR="00A503FD" w:rsidRPr="009C1931" w:rsidRDefault="00164BFB" w:rsidP="000D338A">
            <w:pPr>
              <w:pStyle w:val="Tabletextbold"/>
              <w:cnfStyle w:val="000000000000" w:firstRow="0" w:lastRow="0" w:firstColumn="0" w:lastColumn="0" w:oddVBand="0" w:evenVBand="0" w:oddHBand="0" w:evenHBand="0" w:firstRowFirstColumn="0" w:firstRowLastColumn="0" w:lastRowFirstColumn="0" w:lastRowLastColumn="0"/>
              <w:rPr>
                <w:szCs w:val="20"/>
              </w:rPr>
            </w:pPr>
            <w:r>
              <w:rPr>
                <w:szCs w:val="20"/>
              </w:rPr>
              <w:t>100</w:t>
            </w:r>
          </w:p>
        </w:tc>
      </w:tr>
    </w:tbl>
    <w:p w14:paraId="58B81691" w14:textId="771CA44F" w:rsidR="00A503FD" w:rsidRPr="00D50E7B" w:rsidRDefault="00A503FD" w:rsidP="000D338A">
      <w:pPr>
        <w:pStyle w:val="Caption-Source"/>
      </w:pPr>
      <w:r w:rsidRPr="00032942">
        <w:t xml:space="preserve">Source: </w:t>
      </w:r>
      <w:r w:rsidR="00B26691">
        <w:t>Independent reviewer</w:t>
      </w:r>
      <w:r w:rsidR="00584D02" w:rsidRPr="00D50E7B">
        <w:t xml:space="preserve"> (</w:t>
      </w:r>
      <w:r w:rsidRPr="00D50E7B">
        <w:t>2025</w:t>
      </w:r>
      <w:r w:rsidR="00584D02" w:rsidRPr="00D50E7B">
        <w:t>)</w:t>
      </w:r>
    </w:p>
    <w:p w14:paraId="2946A33A" w14:textId="7D9B41C4" w:rsidR="00A73D14" w:rsidRPr="0043000C" w:rsidRDefault="00A73D14" w:rsidP="0043000C">
      <w:pPr>
        <w:pStyle w:val="ListNumber"/>
        <w:numPr>
          <w:ilvl w:val="0"/>
          <w:numId w:val="22"/>
        </w:numPr>
        <w:rPr>
          <w:rStyle w:val="Strong"/>
        </w:rPr>
      </w:pPr>
      <w:r w:rsidRPr="0043000C">
        <w:rPr>
          <w:rStyle w:val="Strong"/>
        </w:rPr>
        <w:t>What is your speciality or area of practice</w:t>
      </w:r>
      <w:r w:rsidR="007B71E8" w:rsidRPr="0043000C">
        <w:rPr>
          <w:rStyle w:val="Strong"/>
        </w:rPr>
        <w:t>?</w:t>
      </w:r>
      <w:r w:rsidRPr="0043000C">
        <w:rPr>
          <w:rStyle w:val="Strong"/>
        </w:rPr>
        <w:t xml:space="preserve"> [single answer, mandatory]</w:t>
      </w:r>
    </w:p>
    <w:p w14:paraId="15F0A6CA" w14:textId="77777777" w:rsidR="00A73D14" w:rsidRDefault="00A73D14" w:rsidP="000D338A">
      <w:pPr>
        <w:pStyle w:val="Bullet1stlevel"/>
      </w:pPr>
      <w:proofErr w:type="spellStart"/>
      <w:r>
        <w:t>Anaplastology</w:t>
      </w:r>
      <w:proofErr w:type="spellEnd"/>
    </w:p>
    <w:p w14:paraId="4C3B4822" w14:textId="77777777" w:rsidR="00A73D14" w:rsidRDefault="00A73D14" w:rsidP="000D338A">
      <w:pPr>
        <w:pStyle w:val="Bullet1stlevel"/>
      </w:pPr>
      <w:r>
        <w:t>Dentistry</w:t>
      </w:r>
    </w:p>
    <w:p w14:paraId="194B1566" w14:textId="77777777" w:rsidR="00A73D14" w:rsidRDefault="00A73D14" w:rsidP="000D338A">
      <w:pPr>
        <w:pStyle w:val="Bullet1stlevel"/>
      </w:pPr>
      <w:r>
        <w:t>Oncology</w:t>
      </w:r>
    </w:p>
    <w:p w14:paraId="7080A3BF" w14:textId="77777777" w:rsidR="00A73D14" w:rsidRDefault="00A73D14" w:rsidP="000D338A">
      <w:pPr>
        <w:pStyle w:val="Bullet1stlevel"/>
      </w:pPr>
      <w:r>
        <w:t>Oral and maxillofacial surgery</w:t>
      </w:r>
    </w:p>
    <w:p w14:paraId="1216D159" w14:textId="77777777" w:rsidR="00A73D14" w:rsidRDefault="00A73D14" w:rsidP="000D338A">
      <w:pPr>
        <w:pStyle w:val="Bullet1stlevel"/>
      </w:pPr>
      <w:r>
        <w:t>Orthopaedic surgery</w:t>
      </w:r>
    </w:p>
    <w:p w14:paraId="1069F9A9" w14:textId="77777777" w:rsidR="00A73D14" w:rsidRDefault="00A73D14" w:rsidP="000D338A">
      <w:pPr>
        <w:pStyle w:val="Bullet1stlevel"/>
      </w:pPr>
      <w:r w:rsidRPr="00A879D0">
        <w:t>Orthotics and prosthetics</w:t>
      </w:r>
      <w:r w:rsidRPr="00A879D0" w:rsidDel="00A879D0">
        <w:t xml:space="preserve"> </w:t>
      </w:r>
    </w:p>
    <w:p w14:paraId="4C9B6FF5" w14:textId="77777777" w:rsidR="00A73D14" w:rsidRDefault="00A73D14" w:rsidP="000D338A">
      <w:pPr>
        <w:pStyle w:val="Bullet1stlevel"/>
      </w:pPr>
      <w:r>
        <w:t>Otolaryngology head and neck surgery</w:t>
      </w:r>
    </w:p>
    <w:p w14:paraId="0222E040" w14:textId="77777777" w:rsidR="00A73D14" w:rsidRDefault="00A73D14" w:rsidP="000D338A">
      <w:pPr>
        <w:pStyle w:val="Bullet1stlevel"/>
      </w:pPr>
      <w:r>
        <w:t>Plastic and reconstructive surgery</w:t>
      </w:r>
    </w:p>
    <w:p w14:paraId="0F01AD5A" w14:textId="77777777" w:rsidR="00A73D14" w:rsidRDefault="00A73D14" w:rsidP="000D338A">
      <w:pPr>
        <w:pStyle w:val="Bullet1stlevel"/>
      </w:pPr>
      <w:r>
        <w:t>Prosthodontics</w:t>
      </w:r>
    </w:p>
    <w:p w14:paraId="4E640EB8" w14:textId="77777777" w:rsidR="00A73D14" w:rsidRDefault="00A73D14" w:rsidP="000D338A">
      <w:pPr>
        <w:pStyle w:val="Bullet1stlevel"/>
      </w:pPr>
      <w:r>
        <w:t>Psychology or social work</w:t>
      </w:r>
    </w:p>
    <w:p w14:paraId="6F957C16" w14:textId="77777777" w:rsidR="00A73D14" w:rsidRDefault="00A73D14" w:rsidP="000D338A">
      <w:pPr>
        <w:pStyle w:val="Bullet1stlevel"/>
      </w:pPr>
      <w:r>
        <w:t>Research / academia</w:t>
      </w:r>
    </w:p>
    <w:p w14:paraId="54C650A0" w14:textId="77777777" w:rsidR="00A73D14" w:rsidRDefault="00A73D14" w:rsidP="000D338A">
      <w:pPr>
        <w:pStyle w:val="Bullet1stlevel"/>
      </w:pPr>
      <w:r>
        <w:t xml:space="preserve">Other, please specify </w:t>
      </w:r>
      <w:r w:rsidRPr="000D338A">
        <w:t>[free text, not required]</w:t>
      </w:r>
    </w:p>
    <w:p w14:paraId="40EA7FDA" w14:textId="668F0C49" w:rsidR="002366C2" w:rsidRDefault="002366C2" w:rsidP="002366C2">
      <w:pPr>
        <w:pStyle w:val="Caption"/>
      </w:pPr>
      <w:bookmarkStart w:id="264" w:name="_Toc207348655"/>
      <w:r>
        <w:t xml:space="preserve">Table </w:t>
      </w:r>
      <w:r w:rsidR="00E6799D">
        <w:fldChar w:fldCharType="begin"/>
      </w:r>
      <w:r w:rsidR="00E6799D">
        <w:instrText xml:space="preserve"> SEQ Table \* ARABIC </w:instrText>
      </w:r>
      <w:r w:rsidR="00E6799D">
        <w:fldChar w:fldCharType="separate"/>
      </w:r>
      <w:r w:rsidR="00E6799D">
        <w:rPr>
          <w:noProof/>
        </w:rPr>
        <w:t>90</w:t>
      </w:r>
      <w:r w:rsidR="00E6799D">
        <w:rPr>
          <w:noProof/>
        </w:rPr>
        <w:fldChar w:fldCharType="end"/>
      </w:r>
      <w:r>
        <w:t xml:space="preserve">: </w:t>
      </w:r>
      <w:r w:rsidRPr="00A50D84">
        <w:t xml:space="preserve">Response to question </w:t>
      </w:r>
      <w:r>
        <w:t>3</w:t>
      </w:r>
      <w:bookmarkEnd w:id="264"/>
    </w:p>
    <w:tbl>
      <w:tblPr>
        <w:tblStyle w:val="KPMGTable"/>
        <w:tblW w:w="10028" w:type="dxa"/>
        <w:tblLook w:val="04A0" w:firstRow="1" w:lastRow="0" w:firstColumn="1" w:lastColumn="0" w:noHBand="0" w:noVBand="1"/>
      </w:tblPr>
      <w:tblGrid>
        <w:gridCol w:w="3342"/>
        <w:gridCol w:w="3343"/>
        <w:gridCol w:w="3343"/>
      </w:tblGrid>
      <w:tr w:rsidR="00BC6DD3" w:rsidRPr="00386CBC" w14:paraId="22A59C7C" w14:textId="77777777" w:rsidTr="007A7F51">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3342" w:type="dxa"/>
          </w:tcPr>
          <w:p w14:paraId="1A38AEEB" w14:textId="77777777" w:rsidR="00164BFB" w:rsidRPr="007B154A" w:rsidRDefault="00164BFB" w:rsidP="002366C2">
            <w:pPr>
              <w:pStyle w:val="TableHeading"/>
              <w:rPr>
                <w:b w:val="0"/>
                <w:color w:val="FFFFFF" w:themeColor="background1"/>
                <w:szCs w:val="20"/>
              </w:rPr>
            </w:pPr>
            <w:r>
              <w:t>Response</w:t>
            </w:r>
          </w:p>
        </w:tc>
        <w:tc>
          <w:tcPr>
            <w:tcW w:w="3343" w:type="dxa"/>
          </w:tcPr>
          <w:p w14:paraId="0B9B33E2" w14:textId="77777777" w:rsidR="00164BFB" w:rsidRPr="00386CBC" w:rsidRDefault="00164BFB" w:rsidP="002366C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rsidRPr="00386CBC">
              <w:t>Number of respondents</w:t>
            </w:r>
          </w:p>
        </w:tc>
        <w:tc>
          <w:tcPr>
            <w:tcW w:w="3343" w:type="dxa"/>
          </w:tcPr>
          <w:p w14:paraId="5C2215A7" w14:textId="77777777" w:rsidR="00164BFB" w:rsidRPr="008B4C8E" w:rsidRDefault="00164BFB" w:rsidP="002366C2">
            <w:pPr>
              <w:pStyle w:val="TableHeading"/>
              <w:cnfStyle w:val="100000000000" w:firstRow="1" w:lastRow="0" w:firstColumn="0" w:lastColumn="0" w:oddVBand="0" w:evenVBand="0" w:oddHBand="0" w:evenHBand="0" w:firstRowFirstColumn="0" w:firstRowLastColumn="0" w:lastRowFirstColumn="0" w:lastRowLastColumn="0"/>
              <w:rPr>
                <w:b w:val="0"/>
                <w:szCs w:val="20"/>
              </w:rPr>
            </w:pPr>
            <w:r w:rsidRPr="008B4C8E">
              <w:t>Proportion of total respondents</w:t>
            </w:r>
            <w:r w:rsidRPr="008B4C8E">
              <w:rPr>
                <w:b w:val="0"/>
                <w:szCs w:val="20"/>
              </w:rPr>
              <w:t xml:space="preserve"> (%)</w:t>
            </w:r>
          </w:p>
        </w:tc>
      </w:tr>
      <w:tr w:rsidR="00BC6DD3" w:rsidRPr="006D20D0" w14:paraId="73FD34AB" w14:textId="77777777" w:rsidTr="002366C2">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4670FB57" w14:textId="77777777" w:rsidR="00EA01D7" w:rsidRDefault="00EA01D7" w:rsidP="002366C2">
            <w:pPr>
              <w:pStyle w:val="TableText"/>
            </w:pPr>
            <w:r>
              <w:t>Anaesthesia</w:t>
            </w:r>
          </w:p>
        </w:tc>
        <w:tc>
          <w:tcPr>
            <w:tcW w:w="3343" w:type="dxa"/>
          </w:tcPr>
          <w:p w14:paraId="77671E94" w14:textId="77777777" w:rsidR="00EA01D7" w:rsidRPr="006D20D0" w:rsidRDefault="001865DB" w:rsidP="002366C2">
            <w:pPr>
              <w:pStyle w:val="TableText"/>
              <w:cnfStyle w:val="000000000000" w:firstRow="0" w:lastRow="0" w:firstColumn="0" w:lastColumn="0" w:oddVBand="0" w:evenVBand="0" w:oddHBand="0" w:evenHBand="0" w:firstRowFirstColumn="0" w:firstRowLastColumn="0" w:lastRowFirstColumn="0" w:lastRowLastColumn="0"/>
            </w:pPr>
            <w:r>
              <w:t>1</w:t>
            </w:r>
          </w:p>
        </w:tc>
        <w:tc>
          <w:tcPr>
            <w:tcW w:w="3343" w:type="dxa"/>
          </w:tcPr>
          <w:p w14:paraId="4A0D1C23" w14:textId="77777777" w:rsidR="00EA01D7" w:rsidRPr="00F2248C" w:rsidRDefault="00F2248C" w:rsidP="002366C2">
            <w:pPr>
              <w:pStyle w:val="TableText"/>
              <w:cnfStyle w:val="000000000000" w:firstRow="0" w:lastRow="0" w:firstColumn="0" w:lastColumn="0" w:oddVBand="0" w:evenVBand="0" w:oddHBand="0" w:evenHBand="0" w:firstRowFirstColumn="0" w:firstRowLastColumn="0" w:lastRowFirstColumn="0" w:lastRowLastColumn="0"/>
              <w:rPr>
                <w:szCs w:val="20"/>
              </w:rPr>
            </w:pPr>
            <w:r w:rsidRPr="00F2248C">
              <w:rPr>
                <w:szCs w:val="20"/>
              </w:rPr>
              <w:t>1.</w:t>
            </w:r>
            <w:r w:rsidR="003A4B70">
              <w:rPr>
                <w:szCs w:val="20"/>
              </w:rPr>
              <w:t>8</w:t>
            </w:r>
          </w:p>
        </w:tc>
      </w:tr>
      <w:tr w:rsidR="00BC6DD3" w:rsidRPr="006D20D0" w14:paraId="40C8E255" w14:textId="77777777" w:rsidTr="002366C2">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53DA68AD" w14:textId="77777777" w:rsidR="00164BFB" w:rsidRPr="006D20D0" w:rsidRDefault="00164BFB" w:rsidP="002366C2">
            <w:pPr>
              <w:pStyle w:val="TableText"/>
            </w:pPr>
            <w:proofErr w:type="spellStart"/>
            <w:r>
              <w:t>Anaplastology</w:t>
            </w:r>
            <w:proofErr w:type="spellEnd"/>
          </w:p>
        </w:tc>
        <w:tc>
          <w:tcPr>
            <w:tcW w:w="3343" w:type="dxa"/>
          </w:tcPr>
          <w:p w14:paraId="7CEE85B1" w14:textId="77777777" w:rsidR="00164BFB" w:rsidRPr="006D20D0" w:rsidRDefault="00C2038A" w:rsidP="002366C2">
            <w:pPr>
              <w:pStyle w:val="TableText"/>
              <w:cnfStyle w:val="000000000000" w:firstRow="0" w:lastRow="0" w:firstColumn="0" w:lastColumn="0" w:oddVBand="0" w:evenVBand="0" w:oddHBand="0" w:evenHBand="0" w:firstRowFirstColumn="0" w:firstRowLastColumn="0" w:lastRowFirstColumn="0" w:lastRowLastColumn="0"/>
            </w:pPr>
            <w:r>
              <w:t>5</w:t>
            </w:r>
          </w:p>
        </w:tc>
        <w:tc>
          <w:tcPr>
            <w:tcW w:w="3343" w:type="dxa"/>
          </w:tcPr>
          <w:p w14:paraId="658BD720" w14:textId="77777777" w:rsidR="00164BFB" w:rsidRPr="00F2248C" w:rsidRDefault="00F2248C" w:rsidP="002366C2">
            <w:pPr>
              <w:pStyle w:val="TableText"/>
              <w:cnfStyle w:val="000000000000" w:firstRow="0" w:lastRow="0" w:firstColumn="0" w:lastColumn="0" w:oddVBand="0" w:evenVBand="0" w:oddHBand="0" w:evenHBand="0" w:firstRowFirstColumn="0" w:firstRowLastColumn="0" w:lastRowFirstColumn="0" w:lastRowLastColumn="0"/>
              <w:rPr>
                <w:szCs w:val="20"/>
              </w:rPr>
            </w:pPr>
            <w:r w:rsidRPr="00F2248C">
              <w:rPr>
                <w:szCs w:val="20"/>
              </w:rPr>
              <w:t>8.</w:t>
            </w:r>
            <w:r w:rsidR="003A4B70">
              <w:rPr>
                <w:szCs w:val="20"/>
              </w:rPr>
              <w:t>8</w:t>
            </w:r>
          </w:p>
        </w:tc>
      </w:tr>
      <w:tr w:rsidR="00BC6DD3" w:rsidRPr="006D20D0" w14:paraId="0F4412C7" w14:textId="77777777" w:rsidTr="002366C2">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759FAC72" w14:textId="77777777" w:rsidR="00262E4A" w:rsidRDefault="00164BFB" w:rsidP="002366C2">
            <w:pPr>
              <w:pStyle w:val="TableText"/>
            </w:pPr>
            <w:r>
              <w:t>Dent</w:t>
            </w:r>
            <w:r w:rsidR="00262E4A">
              <w:t>istry</w:t>
            </w:r>
            <w:r w:rsidR="00CE691C">
              <w:t xml:space="preserve"> / dental oncology</w:t>
            </w:r>
          </w:p>
          <w:p w14:paraId="09A77BE4" w14:textId="77777777" w:rsidR="00164BFB" w:rsidRPr="006D20D0" w:rsidRDefault="00CE691C" w:rsidP="002366C2">
            <w:pPr>
              <w:pStyle w:val="TableText"/>
            </w:pPr>
            <w:r>
              <w:t xml:space="preserve">Includes </w:t>
            </w:r>
            <w:r w:rsidR="00D36724">
              <w:t>the following practitioners:</w:t>
            </w:r>
            <w:r>
              <w:t xml:space="preserve"> </w:t>
            </w:r>
            <w:r w:rsidR="00D75F85">
              <w:t>oral health specialists, oral medicine specialists</w:t>
            </w:r>
          </w:p>
        </w:tc>
        <w:tc>
          <w:tcPr>
            <w:tcW w:w="3343" w:type="dxa"/>
          </w:tcPr>
          <w:p w14:paraId="794891A6" w14:textId="77777777" w:rsidR="00164BFB" w:rsidRPr="006D20D0" w:rsidRDefault="00526D1E" w:rsidP="002366C2">
            <w:pPr>
              <w:pStyle w:val="TableText"/>
              <w:cnfStyle w:val="000000000000" w:firstRow="0" w:lastRow="0" w:firstColumn="0" w:lastColumn="0" w:oddVBand="0" w:evenVBand="0" w:oddHBand="0" w:evenHBand="0" w:firstRowFirstColumn="0" w:firstRowLastColumn="0" w:lastRowFirstColumn="0" w:lastRowLastColumn="0"/>
            </w:pPr>
            <w:r>
              <w:t>8</w:t>
            </w:r>
          </w:p>
        </w:tc>
        <w:tc>
          <w:tcPr>
            <w:tcW w:w="3343" w:type="dxa"/>
          </w:tcPr>
          <w:p w14:paraId="70087381" w14:textId="77777777" w:rsidR="00164BFB" w:rsidRPr="00F2248C" w:rsidRDefault="00F2248C" w:rsidP="002366C2">
            <w:pPr>
              <w:pStyle w:val="TableText"/>
              <w:cnfStyle w:val="000000000000" w:firstRow="0" w:lastRow="0" w:firstColumn="0" w:lastColumn="0" w:oddVBand="0" w:evenVBand="0" w:oddHBand="0" w:evenHBand="0" w:firstRowFirstColumn="0" w:firstRowLastColumn="0" w:lastRowFirstColumn="0" w:lastRowLastColumn="0"/>
              <w:rPr>
                <w:szCs w:val="20"/>
              </w:rPr>
            </w:pPr>
            <w:r w:rsidRPr="00F2248C">
              <w:rPr>
                <w:szCs w:val="20"/>
              </w:rPr>
              <w:t>14.0</w:t>
            </w:r>
          </w:p>
        </w:tc>
      </w:tr>
      <w:tr w:rsidR="00BC6DD3" w:rsidRPr="006D20D0" w14:paraId="5DAFBB95" w14:textId="77777777" w:rsidTr="002366C2">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419119F6" w14:textId="77777777" w:rsidR="00E711DE" w:rsidRPr="00E711DE" w:rsidRDefault="00E711DE" w:rsidP="002366C2">
            <w:pPr>
              <w:pStyle w:val="TableText"/>
            </w:pPr>
            <w:r w:rsidRPr="00E711DE">
              <w:t>Lymphatic system</w:t>
            </w:r>
          </w:p>
          <w:p w14:paraId="769DB8A6" w14:textId="77777777" w:rsidR="00E711DE" w:rsidRDefault="00E711DE" w:rsidP="002366C2">
            <w:pPr>
              <w:pStyle w:val="TableText"/>
            </w:pPr>
            <w:r w:rsidRPr="00E711DE">
              <w:t>Includes the following practitioners: lymphologists, lymphoedema physiotherapists or therapists</w:t>
            </w:r>
          </w:p>
        </w:tc>
        <w:tc>
          <w:tcPr>
            <w:tcW w:w="3343" w:type="dxa"/>
          </w:tcPr>
          <w:p w14:paraId="1BC1A0AF" w14:textId="77777777" w:rsidR="00E711DE" w:rsidRPr="006D20D0" w:rsidRDefault="00526D1E" w:rsidP="002366C2">
            <w:pPr>
              <w:pStyle w:val="TableText"/>
              <w:cnfStyle w:val="000000000000" w:firstRow="0" w:lastRow="0" w:firstColumn="0" w:lastColumn="0" w:oddVBand="0" w:evenVBand="0" w:oddHBand="0" w:evenHBand="0" w:firstRowFirstColumn="0" w:firstRowLastColumn="0" w:lastRowFirstColumn="0" w:lastRowLastColumn="0"/>
            </w:pPr>
            <w:r>
              <w:t>6</w:t>
            </w:r>
          </w:p>
        </w:tc>
        <w:tc>
          <w:tcPr>
            <w:tcW w:w="3343" w:type="dxa"/>
          </w:tcPr>
          <w:p w14:paraId="6E3E0E19" w14:textId="77777777" w:rsidR="00E711DE" w:rsidRPr="00F2248C" w:rsidRDefault="00F2248C" w:rsidP="002366C2">
            <w:pPr>
              <w:pStyle w:val="TableText"/>
              <w:cnfStyle w:val="000000000000" w:firstRow="0" w:lastRow="0" w:firstColumn="0" w:lastColumn="0" w:oddVBand="0" w:evenVBand="0" w:oddHBand="0" w:evenHBand="0" w:firstRowFirstColumn="0" w:firstRowLastColumn="0" w:lastRowFirstColumn="0" w:lastRowLastColumn="0"/>
              <w:rPr>
                <w:szCs w:val="20"/>
              </w:rPr>
            </w:pPr>
            <w:r w:rsidRPr="00F2248C">
              <w:rPr>
                <w:szCs w:val="20"/>
              </w:rPr>
              <w:t>10.5</w:t>
            </w:r>
          </w:p>
        </w:tc>
      </w:tr>
      <w:tr w:rsidR="00BC6DD3" w:rsidRPr="006D20D0" w14:paraId="396060AE" w14:textId="77777777" w:rsidTr="002366C2">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39BC2F8D" w14:textId="77777777" w:rsidR="00164BFB" w:rsidRDefault="00164BFB" w:rsidP="002366C2">
            <w:pPr>
              <w:pStyle w:val="TableText"/>
            </w:pPr>
            <w:r>
              <w:t>Oncology</w:t>
            </w:r>
          </w:p>
          <w:p w14:paraId="037907B2" w14:textId="77777777" w:rsidR="00164BFB" w:rsidRPr="006D20D0" w:rsidRDefault="00146789" w:rsidP="002366C2">
            <w:pPr>
              <w:pStyle w:val="TableText"/>
            </w:pPr>
            <w:r>
              <w:t>Includes</w:t>
            </w:r>
            <w:r w:rsidR="00181BCB">
              <w:t xml:space="preserve"> </w:t>
            </w:r>
            <w:r w:rsidR="00D12363">
              <w:t xml:space="preserve">surgical oncology, radiation </w:t>
            </w:r>
            <w:r w:rsidR="00DC7243">
              <w:t>oncology, and medical oncology</w:t>
            </w:r>
          </w:p>
        </w:tc>
        <w:tc>
          <w:tcPr>
            <w:tcW w:w="3343" w:type="dxa"/>
          </w:tcPr>
          <w:p w14:paraId="5528F87A" w14:textId="77777777" w:rsidR="00164BFB" w:rsidRPr="006D20D0" w:rsidRDefault="00F63031" w:rsidP="002366C2">
            <w:pPr>
              <w:pStyle w:val="TableText"/>
              <w:cnfStyle w:val="000000000000" w:firstRow="0" w:lastRow="0" w:firstColumn="0" w:lastColumn="0" w:oddVBand="0" w:evenVBand="0" w:oddHBand="0" w:evenHBand="0" w:firstRowFirstColumn="0" w:firstRowLastColumn="0" w:lastRowFirstColumn="0" w:lastRowLastColumn="0"/>
            </w:pPr>
            <w:r>
              <w:t>10</w:t>
            </w:r>
          </w:p>
        </w:tc>
        <w:tc>
          <w:tcPr>
            <w:tcW w:w="3343" w:type="dxa"/>
          </w:tcPr>
          <w:p w14:paraId="1FD13EBB" w14:textId="77777777" w:rsidR="00164BFB" w:rsidRPr="00F2248C" w:rsidRDefault="00F2248C" w:rsidP="002366C2">
            <w:pPr>
              <w:pStyle w:val="TableText"/>
              <w:cnfStyle w:val="000000000000" w:firstRow="0" w:lastRow="0" w:firstColumn="0" w:lastColumn="0" w:oddVBand="0" w:evenVBand="0" w:oddHBand="0" w:evenHBand="0" w:firstRowFirstColumn="0" w:firstRowLastColumn="0" w:lastRowFirstColumn="0" w:lastRowLastColumn="0"/>
              <w:rPr>
                <w:szCs w:val="20"/>
              </w:rPr>
            </w:pPr>
            <w:r w:rsidRPr="00F2248C">
              <w:rPr>
                <w:szCs w:val="20"/>
              </w:rPr>
              <w:t>17.5</w:t>
            </w:r>
          </w:p>
        </w:tc>
      </w:tr>
      <w:tr w:rsidR="00BC6DD3" w:rsidRPr="006D20D0" w14:paraId="7DC1CFAB" w14:textId="77777777" w:rsidTr="002366C2">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4169B765" w14:textId="77777777" w:rsidR="00164BFB" w:rsidRDefault="00164BFB" w:rsidP="002366C2">
            <w:pPr>
              <w:pStyle w:val="TableText"/>
            </w:pPr>
            <w:r>
              <w:t xml:space="preserve">Oral and maxillofacial </w:t>
            </w:r>
          </w:p>
          <w:p w14:paraId="0FAD82C6" w14:textId="77777777" w:rsidR="00164BFB" w:rsidRPr="006D20D0" w:rsidRDefault="00E3105D" w:rsidP="002366C2">
            <w:pPr>
              <w:pStyle w:val="TableText"/>
            </w:pPr>
            <w:r>
              <w:t xml:space="preserve">Includes </w:t>
            </w:r>
            <w:r w:rsidR="00D12F7A">
              <w:t>oral and maxillofacial surgery</w:t>
            </w:r>
            <w:r w:rsidR="00CE5B93">
              <w:t xml:space="preserve"> and maxillofacial prosthetics</w:t>
            </w:r>
          </w:p>
        </w:tc>
        <w:tc>
          <w:tcPr>
            <w:tcW w:w="3343" w:type="dxa"/>
          </w:tcPr>
          <w:p w14:paraId="0E7E9AAF" w14:textId="77777777" w:rsidR="00164BFB" w:rsidRPr="006D20D0" w:rsidRDefault="00FC4317" w:rsidP="002366C2">
            <w:pPr>
              <w:pStyle w:val="TableText"/>
              <w:cnfStyle w:val="000000000000" w:firstRow="0" w:lastRow="0" w:firstColumn="0" w:lastColumn="0" w:oddVBand="0" w:evenVBand="0" w:oddHBand="0" w:evenHBand="0" w:firstRowFirstColumn="0" w:firstRowLastColumn="0" w:lastRowFirstColumn="0" w:lastRowLastColumn="0"/>
            </w:pPr>
            <w:r>
              <w:t>7</w:t>
            </w:r>
          </w:p>
        </w:tc>
        <w:tc>
          <w:tcPr>
            <w:tcW w:w="3343" w:type="dxa"/>
          </w:tcPr>
          <w:p w14:paraId="2A00DA42" w14:textId="77777777" w:rsidR="00164BFB" w:rsidRPr="00F2248C" w:rsidRDefault="00F2248C" w:rsidP="002366C2">
            <w:pPr>
              <w:pStyle w:val="TableText"/>
              <w:cnfStyle w:val="000000000000" w:firstRow="0" w:lastRow="0" w:firstColumn="0" w:lastColumn="0" w:oddVBand="0" w:evenVBand="0" w:oddHBand="0" w:evenHBand="0" w:firstRowFirstColumn="0" w:firstRowLastColumn="0" w:lastRowFirstColumn="0" w:lastRowLastColumn="0"/>
              <w:rPr>
                <w:szCs w:val="20"/>
              </w:rPr>
            </w:pPr>
            <w:r w:rsidRPr="00F2248C">
              <w:rPr>
                <w:szCs w:val="20"/>
              </w:rPr>
              <w:t>12.</w:t>
            </w:r>
            <w:r w:rsidR="003A4B70">
              <w:rPr>
                <w:szCs w:val="20"/>
              </w:rPr>
              <w:t>3</w:t>
            </w:r>
          </w:p>
        </w:tc>
      </w:tr>
      <w:tr w:rsidR="00BC6DD3" w:rsidRPr="006D20D0" w14:paraId="2083AFEC" w14:textId="77777777" w:rsidTr="002366C2">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0F48CE15" w14:textId="77777777" w:rsidR="00164BFB" w:rsidRDefault="00164BFB" w:rsidP="002366C2">
            <w:pPr>
              <w:pStyle w:val="TableText"/>
            </w:pPr>
            <w:r>
              <w:t>Orthopaedic surgery</w:t>
            </w:r>
          </w:p>
        </w:tc>
        <w:tc>
          <w:tcPr>
            <w:tcW w:w="3343" w:type="dxa"/>
          </w:tcPr>
          <w:p w14:paraId="7716B1F3" w14:textId="77777777" w:rsidR="00164BFB" w:rsidRPr="006D20D0" w:rsidRDefault="00D02E1C" w:rsidP="002366C2">
            <w:pPr>
              <w:pStyle w:val="TableText"/>
              <w:cnfStyle w:val="000000000000" w:firstRow="0" w:lastRow="0" w:firstColumn="0" w:lastColumn="0" w:oddVBand="0" w:evenVBand="0" w:oddHBand="0" w:evenHBand="0" w:firstRowFirstColumn="0" w:firstRowLastColumn="0" w:lastRowFirstColumn="0" w:lastRowLastColumn="0"/>
            </w:pPr>
            <w:r>
              <w:t>0</w:t>
            </w:r>
          </w:p>
        </w:tc>
        <w:tc>
          <w:tcPr>
            <w:tcW w:w="3343" w:type="dxa"/>
          </w:tcPr>
          <w:p w14:paraId="3CB5AB91" w14:textId="77777777" w:rsidR="00164BFB" w:rsidRPr="00F2248C" w:rsidRDefault="00F2248C" w:rsidP="002366C2">
            <w:pPr>
              <w:pStyle w:val="TableText"/>
              <w:cnfStyle w:val="000000000000" w:firstRow="0" w:lastRow="0" w:firstColumn="0" w:lastColumn="0" w:oddVBand="0" w:evenVBand="0" w:oddHBand="0" w:evenHBand="0" w:firstRowFirstColumn="0" w:firstRowLastColumn="0" w:lastRowFirstColumn="0" w:lastRowLastColumn="0"/>
              <w:rPr>
                <w:szCs w:val="20"/>
              </w:rPr>
            </w:pPr>
            <w:r w:rsidRPr="00F2248C">
              <w:rPr>
                <w:szCs w:val="20"/>
              </w:rPr>
              <w:t>0.0</w:t>
            </w:r>
          </w:p>
        </w:tc>
      </w:tr>
      <w:tr w:rsidR="00BC6DD3" w:rsidRPr="006D20D0" w14:paraId="7D6E77B2" w14:textId="77777777" w:rsidTr="002366C2">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7700A6D4" w14:textId="77777777" w:rsidR="00164BFB" w:rsidRDefault="00164BFB" w:rsidP="002366C2">
            <w:pPr>
              <w:pStyle w:val="TableText"/>
            </w:pPr>
            <w:r>
              <w:t>Orthotics and prosthetics</w:t>
            </w:r>
          </w:p>
        </w:tc>
        <w:tc>
          <w:tcPr>
            <w:tcW w:w="3343" w:type="dxa"/>
          </w:tcPr>
          <w:p w14:paraId="6F0D18C3" w14:textId="77777777" w:rsidR="00164BFB" w:rsidRPr="006D20D0" w:rsidRDefault="0044188E" w:rsidP="002366C2">
            <w:pPr>
              <w:pStyle w:val="TableText"/>
              <w:cnfStyle w:val="000000000000" w:firstRow="0" w:lastRow="0" w:firstColumn="0" w:lastColumn="0" w:oddVBand="0" w:evenVBand="0" w:oddHBand="0" w:evenHBand="0" w:firstRowFirstColumn="0" w:firstRowLastColumn="0" w:lastRowFirstColumn="0" w:lastRowLastColumn="0"/>
            </w:pPr>
            <w:r>
              <w:t>0</w:t>
            </w:r>
          </w:p>
        </w:tc>
        <w:tc>
          <w:tcPr>
            <w:tcW w:w="3343" w:type="dxa"/>
          </w:tcPr>
          <w:p w14:paraId="647BD385" w14:textId="77777777" w:rsidR="00164BFB" w:rsidRPr="00F2248C" w:rsidRDefault="00F2248C" w:rsidP="002366C2">
            <w:pPr>
              <w:pStyle w:val="TableText"/>
              <w:cnfStyle w:val="000000000000" w:firstRow="0" w:lastRow="0" w:firstColumn="0" w:lastColumn="0" w:oddVBand="0" w:evenVBand="0" w:oddHBand="0" w:evenHBand="0" w:firstRowFirstColumn="0" w:firstRowLastColumn="0" w:lastRowFirstColumn="0" w:lastRowLastColumn="0"/>
              <w:rPr>
                <w:szCs w:val="20"/>
              </w:rPr>
            </w:pPr>
            <w:r w:rsidRPr="00F2248C">
              <w:rPr>
                <w:szCs w:val="20"/>
              </w:rPr>
              <w:t>0.0</w:t>
            </w:r>
          </w:p>
        </w:tc>
      </w:tr>
      <w:tr w:rsidR="00BC6DD3" w:rsidRPr="006D20D0" w14:paraId="22D60E6C" w14:textId="77777777" w:rsidTr="002366C2">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11F2D477" w14:textId="77777777" w:rsidR="00164BFB" w:rsidRDefault="00164BFB" w:rsidP="002366C2">
            <w:pPr>
              <w:pStyle w:val="TableText"/>
            </w:pPr>
            <w:r>
              <w:t>O</w:t>
            </w:r>
            <w:r w:rsidR="00B83BC5">
              <w:t>t</w:t>
            </w:r>
            <w:r>
              <w:t>olaryngology head and neck surgery</w:t>
            </w:r>
          </w:p>
        </w:tc>
        <w:tc>
          <w:tcPr>
            <w:tcW w:w="3343" w:type="dxa"/>
          </w:tcPr>
          <w:p w14:paraId="2BCD82D1" w14:textId="77777777" w:rsidR="00164BFB" w:rsidRPr="006D20D0" w:rsidRDefault="00EB091E" w:rsidP="002366C2">
            <w:pPr>
              <w:pStyle w:val="TableText"/>
              <w:cnfStyle w:val="000000000000" w:firstRow="0" w:lastRow="0" w:firstColumn="0" w:lastColumn="0" w:oddVBand="0" w:evenVBand="0" w:oddHBand="0" w:evenHBand="0" w:firstRowFirstColumn="0" w:firstRowLastColumn="0" w:lastRowFirstColumn="0" w:lastRowLastColumn="0"/>
            </w:pPr>
            <w:r>
              <w:t>9</w:t>
            </w:r>
          </w:p>
        </w:tc>
        <w:tc>
          <w:tcPr>
            <w:tcW w:w="3343" w:type="dxa"/>
          </w:tcPr>
          <w:p w14:paraId="06205E80" w14:textId="77777777" w:rsidR="00164BFB" w:rsidRPr="00F2248C" w:rsidRDefault="00F2248C" w:rsidP="002366C2">
            <w:pPr>
              <w:pStyle w:val="TableText"/>
              <w:cnfStyle w:val="000000000000" w:firstRow="0" w:lastRow="0" w:firstColumn="0" w:lastColumn="0" w:oddVBand="0" w:evenVBand="0" w:oddHBand="0" w:evenHBand="0" w:firstRowFirstColumn="0" w:firstRowLastColumn="0" w:lastRowFirstColumn="0" w:lastRowLastColumn="0"/>
              <w:rPr>
                <w:szCs w:val="20"/>
              </w:rPr>
            </w:pPr>
            <w:r w:rsidRPr="00F2248C">
              <w:rPr>
                <w:szCs w:val="20"/>
              </w:rPr>
              <w:t>15.</w:t>
            </w:r>
            <w:r w:rsidR="003A4B70">
              <w:rPr>
                <w:szCs w:val="20"/>
              </w:rPr>
              <w:t>8</w:t>
            </w:r>
          </w:p>
        </w:tc>
      </w:tr>
      <w:tr w:rsidR="00BC6DD3" w:rsidRPr="006D20D0" w14:paraId="548EC188" w14:textId="77777777" w:rsidTr="002366C2">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08F40860" w14:textId="77777777" w:rsidR="00164BFB" w:rsidRDefault="00164BFB" w:rsidP="002366C2">
            <w:pPr>
              <w:pStyle w:val="TableText"/>
            </w:pPr>
            <w:r>
              <w:t>Plastic and reconstructive surgery</w:t>
            </w:r>
          </w:p>
        </w:tc>
        <w:tc>
          <w:tcPr>
            <w:tcW w:w="3343" w:type="dxa"/>
          </w:tcPr>
          <w:p w14:paraId="14F1F4C3" w14:textId="77777777" w:rsidR="00164BFB" w:rsidRPr="006D20D0" w:rsidRDefault="00534AD0" w:rsidP="002366C2">
            <w:pPr>
              <w:pStyle w:val="TableText"/>
              <w:cnfStyle w:val="000000000000" w:firstRow="0" w:lastRow="0" w:firstColumn="0" w:lastColumn="0" w:oddVBand="0" w:evenVBand="0" w:oddHBand="0" w:evenHBand="0" w:firstRowFirstColumn="0" w:firstRowLastColumn="0" w:lastRowFirstColumn="0" w:lastRowLastColumn="0"/>
            </w:pPr>
            <w:r>
              <w:t>2</w:t>
            </w:r>
          </w:p>
        </w:tc>
        <w:tc>
          <w:tcPr>
            <w:tcW w:w="3343" w:type="dxa"/>
          </w:tcPr>
          <w:p w14:paraId="2147A4EC" w14:textId="77777777" w:rsidR="00164BFB" w:rsidRPr="00F2248C" w:rsidRDefault="00F2248C" w:rsidP="002366C2">
            <w:pPr>
              <w:pStyle w:val="TableText"/>
              <w:cnfStyle w:val="000000000000" w:firstRow="0" w:lastRow="0" w:firstColumn="0" w:lastColumn="0" w:oddVBand="0" w:evenVBand="0" w:oddHBand="0" w:evenHBand="0" w:firstRowFirstColumn="0" w:firstRowLastColumn="0" w:lastRowFirstColumn="0" w:lastRowLastColumn="0"/>
              <w:rPr>
                <w:szCs w:val="20"/>
              </w:rPr>
            </w:pPr>
            <w:r w:rsidRPr="00F2248C">
              <w:rPr>
                <w:szCs w:val="20"/>
              </w:rPr>
              <w:t>3.5</w:t>
            </w:r>
          </w:p>
        </w:tc>
      </w:tr>
      <w:tr w:rsidR="00BC6DD3" w:rsidRPr="006D20D0" w14:paraId="4E715AA2" w14:textId="77777777" w:rsidTr="002366C2">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03A36968" w14:textId="77777777" w:rsidR="00164BFB" w:rsidRDefault="00164BFB" w:rsidP="002366C2">
            <w:pPr>
              <w:pStyle w:val="TableText"/>
            </w:pPr>
            <w:r>
              <w:t>Prosthodontics</w:t>
            </w:r>
          </w:p>
          <w:p w14:paraId="2F0F7CF2" w14:textId="77777777" w:rsidR="00164BFB" w:rsidRDefault="00FC4317" w:rsidP="002366C2">
            <w:pPr>
              <w:pStyle w:val="TableText"/>
            </w:pPr>
            <w:r>
              <w:t xml:space="preserve">Includes maxillofacial </w:t>
            </w:r>
            <w:r w:rsidR="006A75B5">
              <w:t xml:space="preserve">prosthodontics </w:t>
            </w:r>
          </w:p>
        </w:tc>
        <w:tc>
          <w:tcPr>
            <w:tcW w:w="3343" w:type="dxa"/>
          </w:tcPr>
          <w:p w14:paraId="0039124E" w14:textId="77777777" w:rsidR="00164BFB" w:rsidRPr="006D20D0" w:rsidRDefault="003976BE" w:rsidP="002366C2">
            <w:pPr>
              <w:pStyle w:val="TableText"/>
              <w:cnfStyle w:val="000000000000" w:firstRow="0" w:lastRow="0" w:firstColumn="0" w:lastColumn="0" w:oddVBand="0" w:evenVBand="0" w:oddHBand="0" w:evenHBand="0" w:firstRowFirstColumn="0" w:firstRowLastColumn="0" w:lastRowFirstColumn="0" w:lastRowLastColumn="0"/>
            </w:pPr>
            <w:r>
              <w:t>2</w:t>
            </w:r>
          </w:p>
        </w:tc>
        <w:tc>
          <w:tcPr>
            <w:tcW w:w="3343" w:type="dxa"/>
          </w:tcPr>
          <w:p w14:paraId="287FEB44" w14:textId="77777777" w:rsidR="00164BFB" w:rsidRPr="00F2248C" w:rsidRDefault="00F2248C" w:rsidP="002366C2">
            <w:pPr>
              <w:pStyle w:val="TableText"/>
              <w:cnfStyle w:val="000000000000" w:firstRow="0" w:lastRow="0" w:firstColumn="0" w:lastColumn="0" w:oddVBand="0" w:evenVBand="0" w:oddHBand="0" w:evenHBand="0" w:firstRowFirstColumn="0" w:firstRowLastColumn="0" w:lastRowFirstColumn="0" w:lastRowLastColumn="0"/>
              <w:rPr>
                <w:szCs w:val="20"/>
              </w:rPr>
            </w:pPr>
            <w:r w:rsidRPr="00F2248C">
              <w:rPr>
                <w:szCs w:val="20"/>
              </w:rPr>
              <w:t>3.5</w:t>
            </w:r>
          </w:p>
        </w:tc>
      </w:tr>
      <w:tr w:rsidR="00BC6DD3" w:rsidRPr="006D20D0" w14:paraId="1D7CE26C" w14:textId="77777777" w:rsidTr="002366C2">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6DAED34A" w14:textId="77777777" w:rsidR="00164BFB" w:rsidRDefault="00164BFB" w:rsidP="002366C2">
            <w:pPr>
              <w:pStyle w:val="TableText"/>
            </w:pPr>
            <w:r>
              <w:t>Psychology or social work</w:t>
            </w:r>
          </w:p>
        </w:tc>
        <w:tc>
          <w:tcPr>
            <w:tcW w:w="3343" w:type="dxa"/>
          </w:tcPr>
          <w:p w14:paraId="66ECA0F0" w14:textId="77777777" w:rsidR="00164BFB" w:rsidRPr="006D20D0" w:rsidRDefault="007047E7" w:rsidP="002366C2">
            <w:pPr>
              <w:pStyle w:val="TableText"/>
              <w:cnfStyle w:val="000000000000" w:firstRow="0" w:lastRow="0" w:firstColumn="0" w:lastColumn="0" w:oddVBand="0" w:evenVBand="0" w:oddHBand="0" w:evenHBand="0" w:firstRowFirstColumn="0" w:firstRowLastColumn="0" w:lastRowFirstColumn="0" w:lastRowLastColumn="0"/>
            </w:pPr>
            <w:r>
              <w:t>2</w:t>
            </w:r>
          </w:p>
        </w:tc>
        <w:tc>
          <w:tcPr>
            <w:tcW w:w="3343" w:type="dxa"/>
          </w:tcPr>
          <w:p w14:paraId="1EE6F620" w14:textId="77777777" w:rsidR="00164BFB" w:rsidRPr="00F2248C" w:rsidRDefault="00F2248C" w:rsidP="002366C2">
            <w:pPr>
              <w:pStyle w:val="TableText"/>
              <w:cnfStyle w:val="000000000000" w:firstRow="0" w:lastRow="0" w:firstColumn="0" w:lastColumn="0" w:oddVBand="0" w:evenVBand="0" w:oddHBand="0" w:evenHBand="0" w:firstRowFirstColumn="0" w:firstRowLastColumn="0" w:lastRowFirstColumn="0" w:lastRowLastColumn="0"/>
              <w:rPr>
                <w:szCs w:val="20"/>
              </w:rPr>
            </w:pPr>
            <w:r w:rsidRPr="00F2248C">
              <w:rPr>
                <w:szCs w:val="20"/>
              </w:rPr>
              <w:t>3.5</w:t>
            </w:r>
          </w:p>
        </w:tc>
      </w:tr>
      <w:tr w:rsidR="00BC6DD3" w:rsidRPr="006D20D0" w14:paraId="6716021F" w14:textId="77777777" w:rsidTr="002366C2">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5B0716EF" w14:textId="77777777" w:rsidR="00164BFB" w:rsidRDefault="00164BFB" w:rsidP="002366C2">
            <w:pPr>
              <w:pStyle w:val="TableText"/>
            </w:pPr>
            <w:r>
              <w:t>Resear</w:t>
            </w:r>
            <w:r w:rsidR="009E0EBE">
              <w:t>ch / academia</w:t>
            </w:r>
          </w:p>
        </w:tc>
        <w:tc>
          <w:tcPr>
            <w:tcW w:w="3343" w:type="dxa"/>
          </w:tcPr>
          <w:p w14:paraId="3A07B687" w14:textId="77777777" w:rsidR="00164BFB" w:rsidRPr="006D20D0" w:rsidRDefault="007047E7" w:rsidP="002366C2">
            <w:pPr>
              <w:pStyle w:val="TableText"/>
              <w:cnfStyle w:val="000000000000" w:firstRow="0" w:lastRow="0" w:firstColumn="0" w:lastColumn="0" w:oddVBand="0" w:evenVBand="0" w:oddHBand="0" w:evenHBand="0" w:firstRowFirstColumn="0" w:firstRowLastColumn="0" w:lastRowFirstColumn="0" w:lastRowLastColumn="0"/>
            </w:pPr>
            <w:r>
              <w:t>1</w:t>
            </w:r>
          </w:p>
        </w:tc>
        <w:tc>
          <w:tcPr>
            <w:tcW w:w="3343" w:type="dxa"/>
          </w:tcPr>
          <w:p w14:paraId="54F21B81" w14:textId="77777777" w:rsidR="00164BFB" w:rsidRPr="00F2248C" w:rsidRDefault="00F2248C" w:rsidP="002366C2">
            <w:pPr>
              <w:pStyle w:val="TableText"/>
              <w:cnfStyle w:val="000000000000" w:firstRow="0" w:lastRow="0" w:firstColumn="0" w:lastColumn="0" w:oddVBand="0" w:evenVBand="0" w:oddHBand="0" w:evenHBand="0" w:firstRowFirstColumn="0" w:firstRowLastColumn="0" w:lastRowFirstColumn="0" w:lastRowLastColumn="0"/>
              <w:rPr>
                <w:szCs w:val="20"/>
              </w:rPr>
            </w:pPr>
            <w:r w:rsidRPr="00F2248C">
              <w:rPr>
                <w:szCs w:val="20"/>
              </w:rPr>
              <w:t>1.</w:t>
            </w:r>
            <w:r w:rsidR="003A4B70">
              <w:rPr>
                <w:szCs w:val="20"/>
              </w:rPr>
              <w:t>8</w:t>
            </w:r>
          </w:p>
        </w:tc>
      </w:tr>
      <w:tr w:rsidR="00BC6DD3" w:rsidRPr="006D20D0" w14:paraId="19ED7D6D" w14:textId="77777777" w:rsidTr="002366C2">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525C4C6E" w14:textId="77777777" w:rsidR="00017231" w:rsidRDefault="004F3865" w:rsidP="002366C2">
            <w:pPr>
              <w:pStyle w:val="TableText"/>
            </w:pPr>
            <w:r>
              <w:t>Speech pathology</w:t>
            </w:r>
          </w:p>
        </w:tc>
        <w:tc>
          <w:tcPr>
            <w:tcW w:w="3343" w:type="dxa"/>
          </w:tcPr>
          <w:p w14:paraId="39ED0AC0" w14:textId="77777777" w:rsidR="00017231" w:rsidRPr="006D20D0" w:rsidRDefault="00834599" w:rsidP="002366C2">
            <w:pPr>
              <w:pStyle w:val="TableText"/>
              <w:cnfStyle w:val="000000000000" w:firstRow="0" w:lastRow="0" w:firstColumn="0" w:lastColumn="0" w:oddVBand="0" w:evenVBand="0" w:oddHBand="0" w:evenHBand="0" w:firstRowFirstColumn="0" w:firstRowLastColumn="0" w:lastRowFirstColumn="0" w:lastRowLastColumn="0"/>
            </w:pPr>
            <w:r>
              <w:t>3</w:t>
            </w:r>
          </w:p>
        </w:tc>
        <w:tc>
          <w:tcPr>
            <w:tcW w:w="3343" w:type="dxa"/>
          </w:tcPr>
          <w:p w14:paraId="55C24C14" w14:textId="77777777" w:rsidR="00017231" w:rsidRPr="00F2248C" w:rsidRDefault="00F2248C" w:rsidP="002366C2">
            <w:pPr>
              <w:pStyle w:val="TableText"/>
              <w:cnfStyle w:val="000000000000" w:firstRow="0" w:lastRow="0" w:firstColumn="0" w:lastColumn="0" w:oddVBand="0" w:evenVBand="0" w:oddHBand="0" w:evenHBand="0" w:firstRowFirstColumn="0" w:firstRowLastColumn="0" w:lastRowFirstColumn="0" w:lastRowLastColumn="0"/>
              <w:rPr>
                <w:szCs w:val="20"/>
              </w:rPr>
            </w:pPr>
            <w:r w:rsidRPr="00F2248C">
              <w:rPr>
                <w:szCs w:val="20"/>
              </w:rPr>
              <w:t>5.</w:t>
            </w:r>
            <w:r w:rsidR="003A4B70">
              <w:rPr>
                <w:szCs w:val="20"/>
              </w:rPr>
              <w:t>3</w:t>
            </w:r>
          </w:p>
        </w:tc>
      </w:tr>
      <w:tr w:rsidR="00BC6DD3" w:rsidRPr="006D20D0" w14:paraId="6DEC28B2" w14:textId="77777777" w:rsidTr="002366C2">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46F17020" w14:textId="77777777" w:rsidR="000572D0" w:rsidRDefault="000572D0" w:rsidP="002366C2">
            <w:pPr>
              <w:pStyle w:val="TableText"/>
            </w:pPr>
            <w:r>
              <w:t>Multiple areas of practice</w:t>
            </w:r>
            <w:r w:rsidR="00991263">
              <w:t>*</w:t>
            </w:r>
          </w:p>
        </w:tc>
        <w:tc>
          <w:tcPr>
            <w:tcW w:w="3343" w:type="dxa"/>
          </w:tcPr>
          <w:p w14:paraId="376757F0" w14:textId="77777777" w:rsidR="000572D0" w:rsidRDefault="000572D0" w:rsidP="002366C2">
            <w:pPr>
              <w:pStyle w:val="TableText"/>
              <w:cnfStyle w:val="000000000000" w:firstRow="0" w:lastRow="0" w:firstColumn="0" w:lastColumn="0" w:oddVBand="0" w:evenVBand="0" w:oddHBand="0" w:evenHBand="0" w:firstRowFirstColumn="0" w:firstRowLastColumn="0" w:lastRowFirstColumn="0" w:lastRowLastColumn="0"/>
            </w:pPr>
            <w:r>
              <w:t>1</w:t>
            </w:r>
          </w:p>
        </w:tc>
        <w:tc>
          <w:tcPr>
            <w:tcW w:w="3343" w:type="dxa"/>
          </w:tcPr>
          <w:p w14:paraId="12A563A3" w14:textId="77777777" w:rsidR="000572D0" w:rsidRPr="00F2248C" w:rsidRDefault="00F2248C" w:rsidP="002366C2">
            <w:pPr>
              <w:pStyle w:val="TableText"/>
              <w:cnfStyle w:val="000000000000" w:firstRow="0" w:lastRow="0" w:firstColumn="0" w:lastColumn="0" w:oddVBand="0" w:evenVBand="0" w:oddHBand="0" w:evenHBand="0" w:firstRowFirstColumn="0" w:firstRowLastColumn="0" w:lastRowFirstColumn="0" w:lastRowLastColumn="0"/>
              <w:rPr>
                <w:szCs w:val="20"/>
              </w:rPr>
            </w:pPr>
            <w:r w:rsidRPr="00F2248C">
              <w:rPr>
                <w:szCs w:val="20"/>
              </w:rPr>
              <w:t>1.</w:t>
            </w:r>
            <w:r w:rsidR="003A4B70">
              <w:rPr>
                <w:szCs w:val="20"/>
              </w:rPr>
              <w:t>8</w:t>
            </w:r>
          </w:p>
        </w:tc>
      </w:tr>
      <w:tr w:rsidR="00BC6DD3" w:rsidRPr="009C1931" w14:paraId="11213FDC" w14:textId="77777777" w:rsidTr="002366C2">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17E2359E" w14:textId="77777777" w:rsidR="00164BFB" w:rsidRPr="006D20D0" w:rsidRDefault="00164BFB" w:rsidP="002366C2">
            <w:pPr>
              <w:pStyle w:val="Tabletextbold"/>
              <w:rPr>
                <w:rFonts w:eastAsiaTheme="minorEastAsia" w:cs="Arial"/>
                <w:szCs w:val="18"/>
              </w:rPr>
            </w:pPr>
            <w:r w:rsidRPr="00057C3B">
              <w:rPr>
                <w:b/>
                <w:bCs/>
              </w:rPr>
              <w:t>Total</w:t>
            </w:r>
          </w:p>
        </w:tc>
        <w:tc>
          <w:tcPr>
            <w:tcW w:w="3343" w:type="dxa"/>
          </w:tcPr>
          <w:p w14:paraId="5C2FB91A" w14:textId="77777777" w:rsidR="00164BFB" w:rsidRPr="009C1931" w:rsidRDefault="000572D0" w:rsidP="002366C2">
            <w:pPr>
              <w:pStyle w:val="Tabletextbold"/>
              <w:cnfStyle w:val="000000000000" w:firstRow="0" w:lastRow="0" w:firstColumn="0" w:lastColumn="0" w:oddVBand="0" w:evenVBand="0" w:oddHBand="0" w:evenHBand="0" w:firstRowFirstColumn="0" w:firstRowLastColumn="0" w:lastRowFirstColumn="0" w:lastRowLastColumn="0"/>
              <w:rPr>
                <w:szCs w:val="20"/>
              </w:rPr>
            </w:pPr>
            <w:r>
              <w:rPr>
                <w:szCs w:val="20"/>
              </w:rPr>
              <w:t>57</w:t>
            </w:r>
          </w:p>
        </w:tc>
        <w:tc>
          <w:tcPr>
            <w:tcW w:w="3343" w:type="dxa"/>
          </w:tcPr>
          <w:p w14:paraId="2DDCF7F5" w14:textId="77777777" w:rsidR="00164BFB" w:rsidRPr="009C1931" w:rsidRDefault="00725D85" w:rsidP="002366C2">
            <w:pPr>
              <w:pStyle w:val="Tabletextbold"/>
              <w:cnfStyle w:val="000000000000" w:firstRow="0" w:lastRow="0" w:firstColumn="0" w:lastColumn="0" w:oddVBand="0" w:evenVBand="0" w:oddHBand="0" w:evenHBand="0" w:firstRowFirstColumn="0" w:firstRowLastColumn="0" w:lastRowFirstColumn="0" w:lastRowLastColumn="0"/>
              <w:rPr>
                <w:szCs w:val="20"/>
              </w:rPr>
            </w:pPr>
            <w:r>
              <w:rPr>
                <w:szCs w:val="20"/>
              </w:rPr>
              <w:t>100</w:t>
            </w:r>
          </w:p>
        </w:tc>
      </w:tr>
    </w:tbl>
    <w:p w14:paraId="439B83D5" w14:textId="6FBD89FD" w:rsidR="00164BFB" w:rsidRPr="00D50E7B" w:rsidRDefault="00164BFB" w:rsidP="002366C2">
      <w:pPr>
        <w:pStyle w:val="Caption-Source"/>
      </w:pPr>
      <w:r w:rsidRPr="00032942">
        <w:t xml:space="preserve">Source: </w:t>
      </w:r>
      <w:r w:rsidR="00B26691">
        <w:t>Independent reviewer</w:t>
      </w:r>
      <w:r w:rsidR="00584D02" w:rsidRPr="00D50E7B">
        <w:t xml:space="preserve"> (</w:t>
      </w:r>
      <w:r w:rsidRPr="00D50E7B">
        <w:t>2025</w:t>
      </w:r>
      <w:r w:rsidR="00584D02" w:rsidRPr="00D50E7B">
        <w:t>)</w:t>
      </w:r>
    </w:p>
    <w:p w14:paraId="401D62F6" w14:textId="77777777" w:rsidR="00991263" w:rsidRPr="00991263" w:rsidRDefault="00991263" w:rsidP="007A7F51">
      <w:r>
        <w:t xml:space="preserve">*Note: </w:t>
      </w:r>
      <w:r w:rsidR="00BA78D2">
        <w:t xml:space="preserve">One respondent described themselves as </w:t>
      </w:r>
      <w:r w:rsidR="009B3C3C">
        <w:t>a nurse in</w:t>
      </w:r>
      <w:r w:rsidR="00BA78D2">
        <w:t xml:space="preserve"> </w:t>
      </w:r>
      <w:r w:rsidR="006130CD">
        <w:t>oral and maxillofacial surgery, otolaryngology head and neck</w:t>
      </w:r>
      <w:r w:rsidR="004670E7">
        <w:t xml:space="preserve"> surgery, </w:t>
      </w:r>
      <w:r w:rsidR="00904E91">
        <w:t>and plastic and reconstructive surgery.</w:t>
      </w:r>
    </w:p>
    <w:p w14:paraId="426A5660" w14:textId="77777777" w:rsidR="0077715E" w:rsidRPr="0043000C" w:rsidRDefault="00A73D14" w:rsidP="0043000C">
      <w:pPr>
        <w:pStyle w:val="ListNumber"/>
        <w:numPr>
          <w:ilvl w:val="0"/>
          <w:numId w:val="22"/>
        </w:numPr>
        <w:rPr>
          <w:rStyle w:val="Strong"/>
        </w:rPr>
      </w:pPr>
      <w:r w:rsidRPr="0043000C">
        <w:rPr>
          <w:rStyle w:val="Strong"/>
        </w:rPr>
        <w:t>From your perspective, what are the most significant barriers for people living with or who have a lived experience of cancer to access prostheses? [multi answer, mandatory]</w:t>
      </w:r>
    </w:p>
    <w:p w14:paraId="04808702" w14:textId="77777777" w:rsidR="00A73D14" w:rsidRDefault="00A73D14" w:rsidP="002366C2">
      <w:pPr>
        <w:pStyle w:val="Bullet1stlevel"/>
      </w:pPr>
      <w:r>
        <w:t>Cost / access to funding</w:t>
      </w:r>
    </w:p>
    <w:p w14:paraId="51C7FAF1" w14:textId="77777777" w:rsidR="00A73D14" w:rsidRDefault="00A73D14" w:rsidP="002366C2">
      <w:pPr>
        <w:pStyle w:val="Bullet1stlevel"/>
      </w:pPr>
      <w:r>
        <w:t>Availability of prostheses services / skilled professions</w:t>
      </w:r>
    </w:p>
    <w:p w14:paraId="7FF2D79F" w14:textId="77777777" w:rsidR="00A73D14" w:rsidRDefault="00A73D14" w:rsidP="002366C2">
      <w:pPr>
        <w:pStyle w:val="Bullet1stlevel"/>
      </w:pPr>
      <w:r>
        <w:t>Availability of prostheses</w:t>
      </w:r>
    </w:p>
    <w:p w14:paraId="2246FA6E" w14:textId="77777777" w:rsidR="00A73D14" w:rsidRDefault="00A73D14" w:rsidP="002366C2">
      <w:pPr>
        <w:pStyle w:val="Bullet1stlevel"/>
      </w:pPr>
      <w:r>
        <w:t>Wait times</w:t>
      </w:r>
    </w:p>
    <w:p w14:paraId="1802179E" w14:textId="77777777" w:rsidR="00A73D14" w:rsidRPr="00500E20" w:rsidRDefault="00A73D14" w:rsidP="002366C2">
      <w:pPr>
        <w:pStyle w:val="Bullet1stlevel"/>
      </w:pPr>
      <w:r>
        <w:t xml:space="preserve">Other, please specify </w:t>
      </w:r>
      <w:r w:rsidRPr="002366C2">
        <w:t>[free text, not required]</w:t>
      </w:r>
    </w:p>
    <w:p w14:paraId="2350D115" w14:textId="77777777" w:rsidR="00A440CE" w:rsidRPr="007A7F51" w:rsidRDefault="00A440CE" w:rsidP="007A7F51">
      <w:r>
        <w:t>As this question allowed for respondents to select multiple options</w:t>
      </w:r>
      <w:r w:rsidR="001A4824">
        <w:t xml:space="preserve"> (and respondents often did),</w:t>
      </w:r>
      <w:r>
        <w:t xml:space="preserve"> </w:t>
      </w:r>
      <w:r w:rsidR="007E5E93">
        <w:t xml:space="preserve">the total number of responses in </w:t>
      </w:r>
      <w:r w:rsidR="00D345DE">
        <w:t>the tables exceed the number of respo</w:t>
      </w:r>
      <w:r w:rsidR="00D345DE" w:rsidRPr="007A7F51">
        <w:t>ndents.</w:t>
      </w:r>
      <w:r w:rsidR="002175EB" w:rsidRPr="007A7F51">
        <w:t xml:space="preserve"> </w:t>
      </w:r>
    </w:p>
    <w:p w14:paraId="6E71CD72" w14:textId="77777777" w:rsidR="00A26548" w:rsidRDefault="00A26548" w:rsidP="007A7F51">
      <w:r w:rsidRPr="007A7F51">
        <w:t>The following dot points outlines the five “Other” respo</w:t>
      </w:r>
      <w:r w:rsidRPr="00FA15D2">
        <w:t>nses</w:t>
      </w:r>
      <w:r w:rsidR="002175EB">
        <w:t xml:space="preserve"> for this question</w:t>
      </w:r>
      <w:r w:rsidRPr="00FA15D2">
        <w:t xml:space="preserve">. </w:t>
      </w:r>
      <w:r>
        <w:t xml:space="preserve">All five responses were different from one another. </w:t>
      </w:r>
      <w:r w:rsidR="00FA2DC2">
        <w:t xml:space="preserve">These responses have an accompanying bracket that </w:t>
      </w:r>
      <w:r w:rsidR="008F5298">
        <w:t xml:space="preserve">describes the </w:t>
      </w:r>
      <w:r w:rsidR="003C0D85">
        <w:t xml:space="preserve">respondent. </w:t>
      </w:r>
    </w:p>
    <w:p w14:paraId="1EE37ECF" w14:textId="77777777" w:rsidR="00A26548" w:rsidRDefault="003369F9" w:rsidP="00FC61F2">
      <w:pPr>
        <w:pStyle w:val="Bullet1stlevel"/>
      </w:pPr>
      <w:r>
        <w:t>A</w:t>
      </w:r>
      <w:r w:rsidR="00A26548">
        <w:t xml:space="preserve">wareness around the available services. (Victoria; </w:t>
      </w:r>
      <w:r>
        <w:t>m</w:t>
      </w:r>
      <w:r w:rsidR="00A26548">
        <w:t xml:space="preserve">etropolitan; </w:t>
      </w:r>
      <w:r>
        <w:t>o</w:t>
      </w:r>
      <w:r w:rsidR="00A26548">
        <w:t>ncology)</w:t>
      </w:r>
    </w:p>
    <w:p w14:paraId="1884905C" w14:textId="77777777" w:rsidR="00A26548" w:rsidRDefault="00B97B01" w:rsidP="00FC61F2">
      <w:pPr>
        <w:pStyle w:val="Bullet1stlevel"/>
      </w:pPr>
      <w:r>
        <w:t xml:space="preserve">Availability of surgery to get initial implants </w:t>
      </w:r>
      <w:r w:rsidR="00D24A45">
        <w:t xml:space="preserve">(Victoria; </w:t>
      </w:r>
      <w:r w:rsidR="003369F9">
        <w:t>m</w:t>
      </w:r>
      <w:r w:rsidR="00D24A45">
        <w:t xml:space="preserve">etropolitan; </w:t>
      </w:r>
      <w:r w:rsidR="0061347F">
        <w:t>multiple areas of practice)</w:t>
      </w:r>
    </w:p>
    <w:p w14:paraId="30A2E600" w14:textId="77777777" w:rsidR="0061347F" w:rsidRDefault="003369F9" w:rsidP="00FC61F2">
      <w:pPr>
        <w:pStyle w:val="Bullet1stlevel"/>
      </w:pPr>
      <w:r>
        <w:t xml:space="preserve">Public funding as part of an overall treatment plan (Victoria; metropolitan; </w:t>
      </w:r>
      <w:r w:rsidR="004300BC">
        <w:t>dentistry)</w:t>
      </w:r>
    </w:p>
    <w:p w14:paraId="745E59E6" w14:textId="16675E3C" w:rsidR="00D20278" w:rsidRDefault="0019228D" w:rsidP="00FC61F2">
      <w:pPr>
        <w:pStyle w:val="Bullet1stlevel"/>
      </w:pPr>
      <w:r>
        <w:t>C</w:t>
      </w:r>
      <w:r w:rsidR="00D90A39">
        <w:t xml:space="preserve">linician subjectivity in identifying needs </w:t>
      </w:r>
      <w:r w:rsidR="00B40CB2">
        <w:t>of people with lived experience of cancer</w:t>
      </w:r>
      <w:r w:rsidR="00D90A39">
        <w:t xml:space="preserve"> (Western Australia; metropolitan; </w:t>
      </w:r>
      <w:r w:rsidR="002B0289">
        <w:t>lymphatic system)</w:t>
      </w:r>
    </w:p>
    <w:p w14:paraId="62ABCCD5" w14:textId="77777777" w:rsidR="00A26548" w:rsidRPr="00C01966" w:rsidRDefault="009A10D5" w:rsidP="00FC61F2">
      <w:pPr>
        <w:pStyle w:val="Bullet1stlevel"/>
      </w:pPr>
      <w:r>
        <w:t xml:space="preserve">Availability of services to </w:t>
      </w:r>
      <w:r w:rsidR="008367CC">
        <w:t xml:space="preserve">people from remote </w:t>
      </w:r>
      <w:r w:rsidR="003B03C5">
        <w:t>areas (Northern Territory</w:t>
      </w:r>
      <w:r w:rsidR="008F500E">
        <w:t>;</w:t>
      </w:r>
      <w:r w:rsidR="003B03C5">
        <w:t xml:space="preserve"> regional</w:t>
      </w:r>
      <w:r w:rsidR="008F500E">
        <w:t>;</w:t>
      </w:r>
      <w:r w:rsidR="003B03C5">
        <w:t xml:space="preserve"> </w:t>
      </w:r>
      <w:r w:rsidR="00D20278">
        <w:t xml:space="preserve">dentistry) </w:t>
      </w:r>
    </w:p>
    <w:p w14:paraId="7ACAA6B2" w14:textId="46C48189" w:rsidR="00FC61F2" w:rsidRDefault="00FC61F2" w:rsidP="00FC61F2">
      <w:pPr>
        <w:pStyle w:val="Caption"/>
      </w:pPr>
      <w:bookmarkStart w:id="265" w:name="_Toc207348656"/>
      <w:r>
        <w:t xml:space="preserve">Table </w:t>
      </w:r>
      <w:r w:rsidR="00E6799D">
        <w:fldChar w:fldCharType="begin"/>
      </w:r>
      <w:r w:rsidR="00E6799D">
        <w:instrText xml:space="preserve"> SEQ Table \* ARABIC </w:instrText>
      </w:r>
      <w:r w:rsidR="00E6799D">
        <w:fldChar w:fldCharType="separate"/>
      </w:r>
      <w:r w:rsidR="00E6799D">
        <w:rPr>
          <w:noProof/>
        </w:rPr>
        <w:t>91</w:t>
      </w:r>
      <w:r w:rsidR="00E6799D">
        <w:rPr>
          <w:noProof/>
        </w:rPr>
        <w:fldChar w:fldCharType="end"/>
      </w:r>
      <w:r>
        <w:t xml:space="preserve">: </w:t>
      </w:r>
      <w:r w:rsidRPr="000D3727">
        <w:t>Response</w:t>
      </w:r>
      <w:r>
        <w:t xml:space="preserve"> to question 4 by jurisdiction</w:t>
      </w:r>
      <w:bookmarkEnd w:id="265"/>
      <w:r w:rsidRPr="000D3727">
        <w:t xml:space="preserve"> </w:t>
      </w:r>
    </w:p>
    <w:tbl>
      <w:tblPr>
        <w:tblStyle w:val="KPMGTable"/>
        <w:tblW w:w="5000" w:type="pct"/>
        <w:tblLook w:val="04A0" w:firstRow="1" w:lastRow="0" w:firstColumn="1" w:lastColumn="0" w:noHBand="0" w:noVBand="1"/>
      </w:tblPr>
      <w:tblGrid>
        <w:gridCol w:w="1701"/>
        <w:gridCol w:w="1701"/>
        <w:gridCol w:w="1701"/>
        <w:gridCol w:w="1701"/>
        <w:gridCol w:w="1700"/>
        <w:gridCol w:w="1700"/>
      </w:tblGrid>
      <w:tr w:rsidR="00AD6F37" w:rsidRPr="00386CBC" w14:paraId="35BEEFCE" w14:textId="77777777" w:rsidTr="007A7F51">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833" w:type="pct"/>
          </w:tcPr>
          <w:p w14:paraId="21E7F516" w14:textId="77777777" w:rsidR="00DE7975" w:rsidRPr="00C33FD2" w:rsidRDefault="00DE7975" w:rsidP="00FC61F2">
            <w:pPr>
              <w:pStyle w:val="TableHeading"/>
              <w:rPr>
                <w:color w:val="FFFFFF" w:themeColor="background1"/>
                <w:szCs w:val="20"/>
              </w:rPr>
            </w:pPr>
            <w:r w:rsidRPr="00C33FD2">
              <w:t>Response</w:t>
            </w:r>
          </w:p>
        </w:tc>
        <w:tc>
          <w:tcPr>
            <w:tcW w:w="833" w:type="pct"/>
          </w:tcPr>
          <w:p w14:paraId="5AB21BBE" w14:textId="77777777" w:rsidR="00DE7975" w:rsidRPr="00C33FD2" w:rsidRDefault="00445D16" w:rsidP="00FC61F2">
            <w:pPr>
              <w:pStyle w:val="TableHeading"/>
              <w:cnfStyle w:val="100000000000" w:firstRow="1" w:lastRow="0" w:firstColumn="0" w:lastColumn="0" w:oddVBand="0" w:evenVBand="0" w:oddHBand="0" w:evenHBand="0" w:firstRowFirstColumn="0" w:firstRowLastColumn="0" w:lastRowFirstColumn="0" w:lastRowLastColumn="0"/>
              <w:rPr>
                <w:color w:val="FFFFFF" w:themeColor="background1"/>
                <w:szCs w:val="20"/>
              </w:rPr>
            </w:pPr>
            <w:r w:rsidRPr="00C33FD2">
              <w:t>Cost / access to funding</w:t>
            </w:r>
          </w:p>
        </w:tc>
        <w:tc>
          <w:tcPr>
            <w:tcW w:w="833" w:type="pct"/>
          </w:tcPr>
          <w:p w14:paraId="7DDF1E30" w14:textId="77777777" w:rsidR="00DE7975" w:rsidRPr="00C33FD2" w:rsidRDefault="00445D16" w:rsidP="00FC61F2">
            <w:pPr>
              <w:pStyle w:val="TableHeading"/>
              <w:cnfStyle w:val="100000000000" w:firstRow="1" w:lastRow="0" w:firstColumn="0" w:lastColumn="0" w:oddVBand="0" w:evenVBand="0" w:oddHBand="0" w:evenHBand="0" w:firstRowFirstColumn="0" w:firstRowLastColumn="0" w:lastRowFirstColumn="0" w:lastRowLastColumn="0"/>
              <w:rPr>
                <w:szCs w:val="20"/>
              </w:rPr>
            </w:pPr>
            <w:r w:rsidRPr="00C33FD2">
              <w:t>Availa</w:t>
            </w:r>
            <w:r w:rsidR="00687D83" w:rsidRPr="00C33FD2">
              <w:rPr>
                <w:szCs w:val="20"/>
              </w:rPr>
              <w:t>bility of prostheses services / skilled professions</w:t>
            </w:r>
          </w:p>
        </w:tc>
        <w:tc>
          <w:tcPr>
            <w:tcW w:w="833" w:type="pct"/>
          </w:tcPr>
          <w:p w14:paraId="7396134B" w14:textId="77777777" w:rsidR="00DE7975" w:rsidRPr="00C33FD2" w:rsidRDefault="00687D83" w:rsidP="00FC61F2">
            <w:pPr>
              <w:pStyle w:val="TableHeading"/>
              <w:cnfStyle w:val="100000000000" w:firstRow="1" w:lastRow="0" w:firstColumn="0" w:lastColumn="0" w:oddVBand="0" w:evenVBand="0" w:oddHBand="0" w:evenHBand="0" w:firstRowFirstColumn="0" w:firstRowLastColumn="0" w:lastRowFirstColumn="0" w:lastRowLastColumn="0"/>
              <w:rPr>
                <w:color w:val="FFFFFF" w:themeColor="background1"/>
                <w:szCs w:val="20"/>
              </w:rPr>
            </w:pPr>
            <w:r w:rsidRPr="00C33FD2">
              <w:t>Availability of prostheses</w:t>
            </w:r>
          </w:p>
        </w:tc>
        <w:tc>
          <w:tcPr>
            <w:tcW w:w="833" w:type="pct"/>
          </w:tcPr>
          <w:p w14:paraId="5F6F07D3" w14:textId="77777777" w:rsidR="00DE7975" w:rsidRPr="00C33FD2" w:rsidRDefault="00687D83" w:rsidP="00FC61F2">
            <w:pPr>
              <w:pStyle w:val="TableHeading"/>
              <w:cnfStyle w:val="100000000000" w:firstRow="1" w:lastRow="0" w:firstColumn="0" w:lastColumn="0" w:oddVBand="0" w:evenVBand="0" w:oddHBand="0" w:evenHBand="0" w:firstRowFirstColumn="0" w:firstRowLastColumn="0" w:lastRowFirstColumn="0" w:lastRowLastColumn="0"/>
              <w:rPr>
                <w:color w:val="FFFFFF" w:themeColor="background1"/>
                <w:szCs w:val="20"/>
              </w:rPr>
            </w:pPr>
            <w:r w:rsidRPr="00C33FD2">
              <w:t>Wait times</w:t>
            </w:r>
          </w:p>
        </w:tc>
        <w:tc>
          <w:tcPr>
            <w:tcW w:w="833" w:type="pct"/>
          </w:tcPr>
          <w:p w14:paraId="418C12ED" w14:textId="77777777" w:rsidR="00DE7975" w:rsidRPr="00C33FD2" w:rsidRDefault="00687D83" w:rsidP="00FC61F2">
            <w:pPr>
              <w:pStyle w:val="TableHeading"/>
              <w:cnfStyle w:val="100000000000" w:firstRow="1" w:lastRow="0" w:firstColumn="0" w:lastColumn="0" w:oddVBand="0" w:evenVBand="0" w:oddHBand="0" w:evenHBand="0" w:firstRowFirstColumn="0" w:firstRowLastColumn="0" w:lastRowFirstColumn="0" w:lastRowLastColumn="0"/>
              <w:rPr>
                <w:color w:val="FFFFFF" w:themeColor="background1"/>
                <w:szCs w:val="20"/>
              </w:rPr>
            </w:pPr>
            <w:r w:rsidRPr="00C33FD2">
              <w:t>Other</w:t>
            </w:r>
          </w:p>
        </w:tc>
      </w:tr>
      <w:tr w:rsidR="002E5B6F" w:rsidRPr="006D20D0" w14:paraId="6E2DEFC6" w14:textId="77777777" w:rsidTr="00FC61F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79028647" w14:textId="77777777" w:rsidR="00DE7975" w:rsidRPr="00057C3B" w:rsidRDefault="00DE7975" w:rsidP="00FC61F2">
            <w:pPr>
              <w:pStyle w:val="TableText"/>
            </w:pPr>
            <w:r w:rsidRPr="00057C3B">
              <w:t>New South Wales</w:t>
            </w:r>
          </w:p>
        </w:tc>
        <w:tc>
          <w:tcPr>
            <w:tcW w:w="833" w:type="pct"/>
          </w:tcPr>
          <w:p w14:paraId="70E646D4" w14:textId="77777777" w:rsidR="00DE7975" w:rsidRDefault="00833C31" w:rsidP="00FC61F2">
            <w:pPr>
              <w:pStyle w:val="TableText"/>
              <w:cnfStyle w:val="000000000000" w:firstRow="0" w:lastRow="0" w:firstColumn="0" w:lastColumn="0" w:oddVBand="0" w:evenVBand="0" w:oddHBand="0" w:evenHBand="0" w:firstRowFirstColumn="0" w:firstRowLastColumn="0" w:lastRowFirstColumn="0" w:lastRowLastColumn="0"/>
            </w:pPr>
            <w:r>
              <w:t>15</w:t>
            </w:r>
            <w:r w:rsidR="00DA4CCE">
              <w:t xml:space="preserve"> (39.7%)</w:t>
            </w:r>
          </w:p>
        </w:tc>
        <w:tc>
          <w:tcPr>
            <w:tcW w:w="833" w:type="pct"/>
          </w:tcPr>
          <w:p w14:paraId="4D3828BA" w14:textId="77777777" w:rsidR="00DE7975" w:rsidRDefault="00B7236E" w:rsidP="00FC61F2">
            <w:pPr>
              <w:pStyle w:val="TableText"/>
              <w:cnfStyle w:val="000000000000" w:firstRow="0" w:lastRow="0" w:firstColumn="0" w:lastColumn="0" w:oddVBand="0" w:evenVBand="0" w:oddHBand="0" w:evenHBand="0" w:firstRowFirstColumn="0" w:firstRowLastColumn="0" w:lastRowFirstColumn="0" w:lastRowLastColumn="0"/>
            </w:pPr>
            <w:r>
              <w:t>12</w:t>
            </w:r>
            <w:r w:rsidR="00B01B78">
              <w:t xml:space="preserve"> (31.</w:t>
            </w:r>
            <w:r w:rsidR="009B6B62">
              <w:t>6</w:t>
            </w:r>
            <w:r w:rsidR="00B01B78">
              <w:t>%)</w:t>
            </w:r>
          </w:p>
        </w:tc>
        <w:tc>
          <w:tcPr>
            <w:tcW w:w="833" w:type="pct"/>
          </w:tcPr>
          <w:p w14:paraId="7E7F4F31" w14:textId="77777777" w:rsidR="00DE7975" w:rsidRDefault="0047706B" w:rsidP="00FC61F2">
            <w:pPr>
              <w:pStyle w:val="TableText"/>
              <w:cnfStyle w:val="000000000000" w:firstRow="0" w:lastRow="0" w:firstColumn="0" w:lastColumn="0" w:oddVBand="0" w:evenVBand="0" w:oddHBand="0" w:evenHBand="0" w:firstRowFirstColumn="0" w:firstRowLastColumn="0" w:lastRowFirstColumn="0" w:lastRowLastColumn="0"/>
            </w:pPr>
            <w:r>
              <w:t>5</w:t>
            </w:r>
            <w:r w:rsidR="00B01B78">
              <w:t xml:space="preserve"> (13.</w:t>
            </w:r>
            <w:r w:rsidR="009B6B62">
              <w:t>2</w:t>
            </w:r>
            <w:r w:rsidR="00B01B78">
              <w:t>%)</w:t>
            </w:r>
          </w:p>
        </w:tc>
        <w:tc>
          <w:tcPr>
            <w:tcW w:w="833" w:type="pct"/>
          </w:tcPr>
          <w:p w14:paraId="750E1304" w14:textId="77777777" w:rsidR="00DE7975" w:rsidRDefault="00E15B34" w:rsidP="00FC61F2">
            <w:pPr>
              <w:pStyle w:val="TableText"/>
              <w:cnfStyle w:val="000000000000" w:firstRow="0" w:lastRow="0" w:firstColumn="0" w:lastColumn="0" w:oddVBand="0" w:evenVBand="0" w:oddHBand="0" w:evenHBand="0" w:firstRowFirstColumn="0" w:firstRowLastColumn="0" w:lastRowFirstColumn="0" w:lastRowLastColumn="0"/>
            </w:pPr>
            <w:r>
              <w:t>6</w:t>
            </w:r>
            <w:r w:rsidR="00B01B78">
              <w:t xml:space="preserve"> (15.</w:t>
            </w:r>
            <w:r w:rsidR="009B6B62">
              <w:t>8</w:t>
            </w:r>
            <w:r w:rsidR="00B01B78">
              <w:t>%)</w:t>
            </w:r>
          </w:p>
        </w:tc>
        <w:tc>
          <w:tcPr>
            <w:tcW w:w="833" w:type="pct"/>
          </w:tcPr>
          <w:p w14:paraId="37FC8959" w14:textId="77777777" w:rsidR="00DE7975" w:rsidRDefault="005675E2" w:rsidP="00FC61F2">
            <w:pPr>
              <w:pStyle w:val="TableText"/>
              <w:cnfStyle w:val="000000000000" w:firstRow="0" w:lastRow="0" w:firstColumn="0" w:lastColumn="0" w:oddVBand="0" w:evenVBand="0" w:oddHBand="0" w:evenHBand="0" w:firstRowFirstColumn="0" w:firstRowLastColumn="0" w:lastRowFirstColumn="0" w:lastRowLastColumn="0"/>
            </w:pPr>
            <w:r>
              <w:t>0</w:t>
            </w:r>
            <w:r w:rsidR="00B01B78">
              <w:t xml:space="preserve"> (0.0%)</w:t>
            </w:r>
          </w:p>
        </w:tc>
      </w:tr>
      <w:tr w:rsidR="002E5B6F" w:rsidRPr="009C1931" w14:paraId="2F65789B" w14:textId="77777777" w:rsidTr="00FC61F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735473F7" w14:textId="77777777" w:rsidR="00DE7975" w:rsidRPr="00057C3B" w:rsidRDefault="00DE7975" w:rsidP="00FC61F2">
            <w:pPr>
              <w:pStyle w:val="TableText"/>
              <w:rPr>
                <w:szCs w:val="18"/>
              </w:rPr>
            </w:pPr>
            <w:r w:rsidRPr="00057C3B">
              <w:rPr>
                <w:szCs w:val="18"/>
              </w:rPr>
              <w:t>Victoria</w:t>
            </w:r>
          </w:p>
        </w:tc>
        <w:tc>
          <w:tcPr>
            <w:tcW w:w="833" w:type="pct"/>
          </w:tcPr>
          <w:p w14:paraId="09F1C072" w14:textId="77777777" w:rsidR="00DE7975" w:rsidRDefault="00B674FA" w:rsidP="00FC61F2">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18</w:t>
            </w:r>
            <w:r w:rsidR="00310D30">
              <w:rPr>
                <w:szCs w:val="18"/>
              </w:rPr>
              <w:t xml:space="preserve"> (35.</w:t>
            </w:r>
            <w:r w:rsidR="009B6B62">
              <w:rPr>
                <w:szCs w:val="18"/>
              </w:rPr>
              <w:t>3</w:t>
            </w:r>
            <w:r w:rsidR="00310D30">
              <w:rPr>
                <w:szCs w:val="18"/>
              </w:rPr>
              <w:t>%)</w:t>
            </w:r>
          </w:p>
        </w:tc>
        <w:tc>
          <w:tcPr>
            <w:tcW w:w="833" w:type="pct"/>
          </w:tcPr>
          <w:p w14:paraId="1A7096AE" w14:textId="77777777" w:rsidR="00DE7975" w:rsidRDefault="00EF41B9" w:rsidP="00FC61F2">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15</w:t>
            </w:r>
            <w:r w:rsidR="00310D30">
              <w:rPr>
                <w:szCs w:val="18"/>
              </w:rPr>
              <w:t xml:space="preserve"> (29.4%)</w:t>
            </w:r>
          </w:p>
        </w:tc>
        <w:tc>
          <w:tcPr>
            <w:tcW w:w="833" w:type="pct"/>
          </w:tcPr>
          <w:p w14:paraId="6C514CB4" w14:textId="77777777" w:rsidR="00DE7975" w:rsidRDefault="00DD70E1" w:rsidP="00FC61F2">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6</w:t>
            </w:r>
            <w:r w:rsidR="00310D30">
              <w:rPr>
                <w:szCs w:val="18"/>
              </w:rPr>
              <w:t xml:space="preserve"> (11.</w:t>
            </w:r>
            <w:r w:rsidR="009B6B62">
              <w:rPr>
                <w:szCs w:val="18"/>
              </w:rPr>
              <w:t>8</w:t>
            </w:r>
            <w:r w:rsidR="00310D30">
              <w:rPr>
                <w:szCs w:val="18"/>
              </w:rPr>
              <w:t>%)</w:t>
            </w:r>
          </w:p>
        </w:tc>
        <w:tc>
          <w:tcPr>
            <w:tcW w:w="833" w:type="pct"/>
          </w:tcPr>
          <w:p w14:paraId="05F877C6" w14:textId="77777777" w:rsidR="00DE7975" w:rsidRDefault="003E5FBC" w:rsidP="00FC61F2">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9</w:t>
            </w:r>
            <w:r w:rsidR="00310D30">
              <w:rPr>
                <w:szCs w:val="18"/>
              </w:rPr>
              <w:t xml:space="preserve"> (</w:t>
            </w:r>
            <w:r w:rsidR="00B537EC">
              <w:rPr>
                <w:szCs w:val="18"/>
              </w:rPr>
              <w:t>17.</w:t>
            </w:r>
            <w:r w:rsidR="009B6B62">
              <w:rPr>
                <w:szCs w:val="18"/>
              </w:rPr>
              <w:t>7</w:t>
            </w:r>
            <w:r w:rsidR="00B537EC">
              <w:rPr>
                <w:szCs w:val="18"/>
              </w:rPr>
              <w:t>%)</w:t>
            </w:r>
          </w:p>
        </w:tc>
        <w:tc>
          <w:tcPr>
            <w:tcW w:w="833" w:type="pct"/>
          </w:tcPr>
          <w:p w14:paraId="2817AD70" w14:textId="77777777" w:rsidR="00DE7975" w:rsidRDefault="008E5656" w:rsidP="00FC61F2">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3</w:t>
            </w:r>
            <w:r w:rsidR="00B537EC">
              <w:rPr>
                <w:szCs w:val="18"/>
              </w:rPr>
              <w:t xml:space="preserve"> (5.</w:t>
            </w:r>
            <w:r w:rsidR="009B6B62">
              <w:rPr>
                <w:szCs w:val="18"/>
              </w:rPr>
              <w:t>9</w:t>
            </w:r>
            <w:r w:rsidR="00B537EC">
              <w:rPr>
                <w:szCs w:val="18"/>
              </w:rPr>
              <w:t>%)</w:t>
            </w:r>
          </w:p>
        </w:tc>
      </w:tr>
      <w:tr w:rsidR="002E5B6F" w:rsidRPr="009C1931" w14:paraId="04CAFC4D" w14:textId="77777777" w:rsidTr="00FC61F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62D0A0C2" w14:textId="77777777" w:rsidR="00DE7975" w:rsidRPr="00057C3B" w:rsidRDefault="00221FC4" w:rsidP="00FC61F2">
            <w:pPr>
              <w:pStyle w:val="TableText"/>
            </w:pPr>
            <w:r w:rsidRPr="00057C3B">
              <w:rPr>
                <w:szCs w:val="18"/>
              </w:rPr>
              <w:t>Queensland</w:t>
            </w:r>
          </w:p>
        </w:tc>
        <w:tc>
          <w:tcPr>
            <w:tcW w:w="833" w:type="pct"/>
          </w:tcPr>
          <w:p w14:paraId="78B41322" w14:textId="77777777" w:rsidR="00DE7975" w:rsidRDefault="00D506FB" w:rsidP="00FC61F2">
            <w:pPr>
              <w:pStyle w:val="TableText"/>
              <w:cnfStyle w:val="000000000000" w:firstRow="0" w:lastRow="0" w:firstColumn="0" w:lastColumn="0" w:oddVBand="0" w:evenVBand="0" w:oddHBand="0" w:evenHBand="0" w:firstRowFirstColumn="0" w:firstRowLastColumn="0" w:lastRowFirstColumn="0" w:lastRowLastColumn="0"/>
            </w:pPr>
            <w:r>
              <w:t>9 (</w:t>
            </w:r>
            <w:r w:rsidR="005954C3" w:rsidRPr="005954C3">
              <w:t>37.5%</w:t>
            </w:r>
            <w:r>
              <w:t>)</w:t>
            </w:r>
          </w:p>
        </w:tc>
        <w:tc>
          <w:tcPr>
            <w:tcW w:w="833" w:type="pct"/>
          </w:tcPr>
          <w:p w14:paraId="2F4EE555" w14:textId="77777777" w:rsidR="00DE7975" w:rsidRDefault="00D506FB" w:rsidP="00FC61F2">
            <w:pPr>
              <w:pStyle w:val="TableText"/>
              <w:cnfStyle w:val="000000000000" w:firstRow="0" w:lastRow="0" w:firstColumn="0" w:lastColumn="0" w:oddVBand="0" w:evenVBand="0" w:oddHBand="0" w:evenHBand="0" w:firstRowFirstColumn="0" w:firstRowLastColumn="0" w:lastRowFirstColumn="0" w:lastRowLastColumn="0"/>
            </w:pPr>
            <w:r>
              <w:t>7 (</w:t>
            </w:r>
            <w:r w:rsidR="005954C3" w:rsidRPr="005954C3">
              <w:t>29.</w:t>
            </w:r>
            <w:r w:rsidR="009B6B62">
              <w:t>2</w:t>
            </w:r>
            <w:r w:rsidR="005954C3" w:rsidRPr="005954C3">
              <w:t>%</w:t>
            </w:r>
            <w:r>
              <w:t>)</w:t>
            </w:r>
          </w:p>
        </w:tc>
        <w:tc>
          <w:tcPr>
            <w:tcW w:w="833" w:type="pct"/>
          </w:tcPr>
          <w:p w14:paraId="00C0A99A" w14:textId="77777777" w:rsidR="00DE7975" w:rsidRDefault="00D506FB" w:rsidP="00FC61F2">
            <w:pPr>
              <w:pStyle w:val="TableText"/>
              <w:cnfStyle w:val="000000000000" w:firstRow="0" w:lastRow="0" w:firstColumn="0" w:lastColumn="0" w:oddVBand="0" w:evenVBand="0" w:oddHBand="0" w:evenHBand="0" w:firstRowFirstColumn="0" w:firstRowLastColumn="0" w:lastRowFirstColumn="0" w:lastRowLastColumn="0"/>
            </w:pPr>
            <w:r>
              <w:t>4 (</w:t>
            </w:r>
            <w:r w:rsidR="005954C3" w:rsidRPr="005954C3">
              <w:t>16.7%</w:t>
            </w:r>
            <w:r>
              <w:t>)</w:t>
            </w:r>
          </w:p>
        </w:tc>
        <w:tc>
          <w:tcPr>
            <w:tcW w:w="833" w:type="pct"/>
          </w:tcPr>
          <w:p w14:paraId="7A372380" w14:textId="77777777" w:rsidR="00DE7975" w:rsidRDefault="00D506FB" w:rsidP="00FC61F2">
            <w:pPr>
              <w:pStyle w:val="TableText"/>
              <w:cnfStyle w:val="000000000000" w:firstRow="0" w:lastRow="0" w:firstColumn="0" w:lastColumn="0" w:oddVBand="0" w:evenVBand="0" w:oddHBand="0" w:evenHBand="0" w:firstRowFirstColumn="0" w:firstRowLastColumn="0" w:lastRowFirstColumn="0" w:lastRowLastColumn="0"/>
            </w:pPr>
            <w:r>
              <w:t>4 (</w:t>
            </w:r>
            <w:r w:rsidR="005954C3" w:rsidRPr="005954C3">
              <w:t>16.7%</w:t>
            </w:r>
            <w:r>
              <w:t>)</w:t>
            </w:r>
          </w:p>
        </w:tc>
        <w:tc>
          <w:tcPr>
            <w:tcW w:w="833" w:type="pct"/>
          </w:tcPr>
          <w:p w14:paraId="3059EC4C" w14:textId="77777777" w:rsidR="00DE7975" w:rsidRDefault="00D506FB" w:rsidP="00FC61F2">
            <w:pPr>
              <w:pStyle w:val="TableText"/>
              <w:cnfStyle w:val="000000000000" w:firstRow="0" w:lastRow="0" w:firstColumn="0" w:lastColumn="0" w:oddVBand="0" w:evenVBand="0" w:oddHBand="0" w:evenHBand="0" w:firstRowFirstColumn="0" w:firstRowLastColumn="0" w:lastRowFirstColumn="0" w:lastRowLastColumn="0"/>
            </w:pPr>
            <w:r>
              <w:t>0 (</w:t>
            </w:r>
            <w:r w:rsidR="005954C3" w:rsidRPr="005954C3">
              <w:t>0.0%</w:t>
            </w:r>
            <w:r>
              <w:t>)</w:t>
            </w:r>
          </w:p>
        </w:tc>
      </w:tr>
      <w:tr w:rsidR="002E5B6F" w:rsidRPr="009C1931" w14:paraId="0D927712" w14:textId="77777777" w:rsidTr="00FC61F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7A3DBD88" w14:textId="77777777" w:rsidR="00DE7975" w:rsidRPr="00057C3B" w:rsidRDefault="00866FC7" w:rsidP="00FC61F2">
            <w:pPr>
              <w:pStyle w:val="TableText"/>
            </w:pPr>
            <w:r w:rsidRPr="00057C3B">
              <w:t>South Australia</w:t>
            </w:r>
          </w:p>
        </w:tc>
        <w:tc>
          <w:tcPr>
            <w:tcW w:w="833" w:type="pct"/>
          </w:tcPr>
          <w:p w14:paraId="2D9D0703" w14:textId="77777777" w:rsidR="00DE7975" w:rsidRDefault="00D506FB" w:rsidP="00FC61F2">
            <w:pPr>
              <w:pStyle w:val="TableText"/>
              <w:cnfStyle w:val="000000000000" w:firstRow="0" w:lastRow="0" w:firstColumn="0" w:lastColumn="0" w:oddVBand="0" w:evenVBand="0" w:oddHBand="0" w:evenHBand="0" w:firstRowFirstColumn="0" w:firstRowLastColumn="0" w:lastRowFirstColumn="0" w:lastRowLastColumn="0"/>
            </w:pPr>
            <w:r>
              <w:t>5 (</w:t>
            </w:r>
            <w:r w:rsidR="005954C3" w:rsidRPr="005954C3">
              <w:t>33.3%</w:t>
            </w:r>
            <w:r>
              <w:t>)</w:t>
            </w:r>
          </w:p>
        </w:tc>
        <w:tc>
          <w:tcPr>
            <w:tcW w:w="833" w:type="pct"/>
          </w:tcPr>
          <w:p w14:paraId="7C22DA9F" w14:textId="77777777" w:rsidR="00DE7975" w:rsidRDefault="00D506FB" w:rsidP="00FC61F2">
            <w:pPr>
              <w:pStyle w:val="TableText"/>
              <w:cnfStyle w:val="000000000000" w:firstRow="0" w:lastRow="0" w:firstColumn="0" w:lastColumn="0" w:oddVBand="0" w:evenVBand="0" w:oddHBand="0" w:evenHBand="0" w:firstRowFirstColumn="0" w:firstRowLastColumn="0" w:lastRowFirstColumn="0" w:lastRowLastColumn="0"/>
            </w:pPr>
            <w:r>
              <w:t>5 (</w:t>
            </w:r>
            <w:r w:rsidR="005954C3" w:rsidRPr="005954C3">
              <w:t>33.3</w:t>
            </w:r>
            <w:r w:rsidRPr="005954C3">
              <w:t>%</w:t>
            </w:r>
            <w:r>
              <w:t>)</w:t>
            </w:r>
          </w:p>
        </w:tc>
        <w:tc>
          <w:tcPr>
            <w:tcW w:w="833" w:type="pct"/>
          </w:tcPr>
          <w:p w14:paraId="602A127A" w14:textId="77777777" w:rsidR="00DE7975" w:rsidRDefault="00D506FB" w:rsidP="00FC61F2">
            <w:pPr>
              <w:pStyle w:val="TableText"/>
              <w:cnfStyle w:val="000000000000" w:firstRow="0" w:lastRow="0" w:firstColumn="0" w:lastColumn="0" w:oddVBand="0" w:evenVBand="0" w:oddHBand="0" w:evenHBand="0" w:firstRowFirstColumn="0" w:firstRowLastColumn="0" w:lastRowFirstColumn="0" w:lastRowLastColumn="0"/>
            </w:pPr>
            <w:r>
              <w:t>3 (</w:t>
            </w:r>
            <w:r w:rsidR="005954C3" w:rsidRPr="005954C3">
              <w:t>20.0%</w:t>
            </w:r>
            <w:r>
              <w:t>)</w:t>
            </w:r>
          </w:p>
        </w:tc>
        <w:tc>
          <w:tcPr>
            <w:tcW w:w="833" w:type="pct"/>
          </w:tcPr>
          <w:p w14:paraId="4913B0F4" w14:textId="77777777" w:rsidR="00DE7975" w:rsidRDefault="00D506FB" w:rsidP="00FC61F2">
            <w:pPr>
              <w:pStyle w:val="TableText"/>
              <w:cnfStyle w:val="000000000000" w:firstRow="0" w:lastRow="0" w:firstColumn="0" w:lastColumn="0" w:oddVBand="0" w:evenVBand="0" w:oddHBand="0" w:evenHBand="0" w:firstRowFirstColumn="0" w:firstRowLastColumn="0" w:lastRowFirstColumn="0" w:lastRowLastColumn="0"/>
            </w:pPr>
            <w:r>
              <w:t>2 (</w:t>
            </w:r>
            <w:r w:rsidR="005954C3" w:rsidRPr="005954C3">
              <w:t>13.3%</w:t>
            </w:r>
            <w:r>
              <w:t>)</w:t>
            </w:r>
          </w:p>
        </w:tc>
        <w:tc>
          <w:tcPr>
            <w:tcW w:w="833" w:type="pct"/>
          </w:tcPr>
          <w:p w14:paraId="13786A4B" w14:textId="77777777" w:rsidR="00DE7975" w:rsidRDefault="00D506FB" w:rsidP="00FC61F2">
            <w:pPr>
              <w:pStyle w:val="TableText"/>
              <w:cnfStyle w:val="000000000000" w:firstRow="0" w:lastRow="0" w:firstColumn="0" w:lastColumn="0" w:oddVBand="0" w:evenVBand="0" w:oddHBand="0" w:evenHBand="0" w:firstRowFirstColumn="0" w:firstRowLastColumn="0" w:lastRowFirstColumn="0" w:lastRowLastColumn="0"/>
            </w:pPr>
            <w:r>
              <w:t>0 (</w:t>
            </w:r>
            <w:r w:rsidR="005954C3" w:rsidRPr="005954C3">
              <w:t>0.0%</w:t>
            </w:r>
            <w:r>
              <w:t>)</w:t>
            </w:r>
          </w:p>
        </w:tc>
      </w:tr>
      <w:tr w:rsidR="002E5B6F" w:rsidRPr="009C1931" w14:paraId="15AE4504" w14:textId="77777777" w:rsidTr="00FC61F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46EEAD61" w14:textId="77777777" w:rsidR="00866FC7" w:rsidRPr="00057C3B" w:rsidRDefault="00866FC7" w:rsidP="00FC61F2">
            <w:pPr>
              <w:pStyle w:val="TableText"/>
            </w:pPr>
            <w:r w:rsidRPr="00057C3B">
              <w:t>Western Australia</w:t>
            </w:r>
          </w:p>
        </w:tc>
        <w:tc>
          <w:tcPr>
            <w:tcW w:w="833" w:type="pct"/>
          </w:tcPr>
          <w:p w14:paraId="4D7E32C9" w14:textId="77777777" w:rsidR="00866FC7" w:rsidRDefault="00D506FB" w:rsidP="00FC61F2">
            <w:pPr>
              <w:pStyle w:val="TableText"/>
              <w:cnfStyle w:val="000000000000" w:firstRow="0" w:lastRow="0" w:firstColumn="0" w:lastColumn="0" w:oddVBand="0" w:evenVBand="0" w:oddHBand="0" w:evenHBand="0" w:firstRowFirstColumn="0" w:firstRowLastColumn="0" w:lastRowFirstColumn="0" w:lastRowLastColumn="0"/>
            </w:pPr>
            <w:r>
              <w:t>2 (</w:t>
            </w:r>
            <w:r w:rsidR="005954C3" w:rsidRPr="005954C3">
              <w:t>33.3%</w:t>
            </w:r>
            <w:r>
              <w:t>)</w:t>
            </w:r>
          </w:p>
        </w:tc>
        <w:tc>
          <w:tcPr>
            <w:tcW w:w="833" w:type="pct"/>
          </w:tcPr>
          <w:p w14:paraId="7D6F2CF8" w14:textId="77777777" w:rsidR="00866FC7" w:rsidRDefault="00D506FB" w:rsidP="00FC61F2">
            <w:pPr>
              <w:pStyle w:val="TableText"/>
              <w:cnfStyle w:val="000000000000" w:firstRow="0" w:lastRow="0" w:firstColumn="0" w:lastColumn="0" w:oddVBand="0" w:evenVBand="0" w:oddHBand="0" w:evenHBand="0" w:firstRowFirstColumn="0" w:firstRowLastColumn="0" w:lastRowFirstColumn="0" w:lastRowLastColumn="0"/>
            </w:pPr>
            <w:r>
              <w:t>2 (</w:t>
            </w:r>
            <w:r w:rsidR="005954C3" w:rsidRPr="005954C3">
              <w:t>33.3%</w:t>
            </w:r>
            <w:r>
              <w:t>)</w:t>
            </w:r>
          </w:p>
        </w:tc>
        <w:tc>
          <w:tcPr>
            <w:tcW w:w="833" w:type="pct"/>
          </w:tcPr>
          <w:p w14:paraId="2D1D3223" w14:textId="77777777" w:rsidR="00866FC7" w:rsidRDefault="00D506FB" w:rsidP="00FC61F2">
            <w:pPr>
              <w:pStyle w:val="TableText"/>
              <w:cnfStyle w:val="000000000000" w:firstRow="0" w:lastRow="0" w:firstColumn="0" w:lastColumn="0" w:oddVBand="0" w:evenVBand="0" w:oddHBand="0" w:evenHBand="0" w:firstRowFirstColumn="0" w:firstRowLastColumn="0" w:lastRowFirstColumn="0" w:lastRowLastColumn="0"/>
            </w:pPr>
            <w:r>
              <w:t>0 (</w:t>
            </w:r>
            <w:r w:rsidR="005954C3" w:rsidRPr="005954C3">
              <w:t>0.0%</w:t>
            </w:r>
            <w:r>
              <w:t>)</w:t>
            </w:r>
          </w:p>
        </w:tc>
        <w:tc>
          <w:tcPr>
            <w:tcW w:w="833" w:type="pct"/>
          </w:tcPr>
          <w:p w14:paraId="54192EEC" w14:textId="77777777" w:rsidR="00866FC7" w:rsidRDefault="00D506FB" w:rsidP="00FC61F2">
            <w:pPr>
              <w:pStyle w:val="TableText"/>
              <w:cnfStyle w:val="000000000000" w:firstRow="0" w:lastRow="0" w:firstColumn="0" w:lastColumn="0" w:oddVBand="0" w:evenVBand="0" w:oddHBand="0" w:evenHBand="0" w:firstRowFirstColumn="0" w:firstRowLastColumn="0" w:lastRowFirstColumn="0" w:lastRowLastColumn="0"/>
            </w:pPr>
            <w:r>
              <w:t>1 (</w:t>
            </w:r>
            <w:r w:rsidR="005954C3" w:rsidRPr="005954C3">
              <w:t>16.7%</w:t>
            </w:r>
            <w:r>
              <w:t>)</w:t>
            </w:r>
          </w:p>
        </w:tc>
        <w:tc>
          <w:tcPr>
            <w:tcW w:w="833" w:type="pct"/>
          </w:tcPr>
          <w:p w14:paraId="6529F524" w14:textId="77777777" w:rsidR="00866FC7" w:rsidRDefault="00D506FB" w:rsidP="00FC61F2">
            <w:pPr>
              <w:pStyle w:val="TableText"/>
              <w:cnfStyle w:val="000000000000" w:firstRow="0" w:lastRow="0" w:firstColumn="0" w:lastColumn="0" w:oddVBand="0" w:evenVBand="0" w:oddHBand="0" w:evenHBand="0" w:firstRowFirstColumn="0" w:firstRowLastColumn="0" w:lastRowFirstColumn="0" w:lastRowLastColumn="0"/>
            </w:pPr>
            <w:r>
              <w:t>1 (</w:t>
            </w:r>
            <w:r w:rsidR="005954C3" w:rsidRPr="005954C3">
              <w:t>16.7%</w:t>
            </w:r>
            <w:r>
              <w:t>)</w:t>
            </w:r>
          </w:p>
        </w:tc>
      </w:tr>
      <w:tr w:rsidR="002E5B6F" w:rsidRPr="009C1931" w14:paraId="5DE54958" w14:textId="77777777" w:rsidTr="00FC61F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599A633F" w14:textId="77777777" w:rsidR="00866FC7" w:rsidRPr="00057C3B" w:rsidRDefault="00564448" w:rsidP="00FC61F2">
            <w:pPr>
              <w:pStyle w:val="TableText"/>
            </w:pPr>
            <w:r w:rsidRPr="00057C3B">
              <w:t>Northern Territory</w:t>
            </w:r>
          </w:p>
        </w:tc>
        <w:tc>
          <w:tcPr>
            <w:tcW w:w="833" w:type="pct"/>
          </w:tcPr>
          <w:p w14:paraId="12DE5BF4" w14:textId="77777777" w:rsidR="00866FC7" w:rsidRDefault="00D506FB" w:rsidP="00FC61F2">
            <w:pPr>
              <w:pStyle w:val="TableText"/>
              <w:cnfStyle w:val="000000000000" w:firstRow="0" w:lastRow="0" w:firstColumn="0" w:lastColumn="0" w:oddVBand="0" w:evenVBand="0" w:oddHBand="0" w:evenHBand="0" w:firstRowFirstColumn="0" w:firstRowLastColumn="0" w:lastRowFirstColumn="0" w:lastRowLastColumn="0"/>
            </w:pPr>
            <w:r>
              <w:t>1 (</w:t>
            </w:r>
            <w:r w:rsidR="005954C3" w:rsidRPr="005954C3">
              <w:t>16.7</w:t>
            </w:r>
            <w:r w:rsidRPr="005954C3">
              <w:t>%</w:t>
            </w:r>
            <w:r>
              <w:t>)</w:t>
            </w:r>
          </w:p>
        </w:tc>
        <w:tc>
          <w:tcPr>
            <w:tcW w:w="833" w:type="pct"/>
          </w:tcPr>
          <w:p w14:paraId="777A60FA" w14:textId="77777777" w:rsidR="00866FC7" w:rsidRDefault="00D506FB" w:rsidP="00FC61F2">
            <w:pPr>
              <w:pStyle w:val="TableText"/>
              <w:cnfStyle w:val="000000000000" w:firstRow="0" w:lastRow="0" w:firstColumn="0" w:lastColumn="0" w:oddVBand="0" w:evenVBand="0" w:oddHBand="0" w:evenHBand="0" w:firstRowFirstColumn="0" w:firstRowLastColumn="0" w:lastRowFirstColumn="0" w:lastRowLastColumn="0"/>
            </w:pPr>
            <w:r w:rsidRPr="00A6624F">
              <w:t>1 (</w:t>
            </w:r>
            <w:r w:rsidR="005954C3" w:rsidRPr="005954C3">
              <w:t>16.7</w:t>
            </w:r>
            <w:r w:rsidRPr="00A6624F">
              <w:t>%)</w:t>
            </w:r>
          </w:p>
        </w:tc>
        <w:tc>
          <w:tcPr>
            <w:tcW w:w="833" w:type="pct"/>
          </w:tcPr>
          <w:p w14:paraId="2CE73FA6" w14:textId="77777777" w:rsidR="00866FC7" w:rsidRDefault="00D506FB" w:rsidP="00FC61F2">
            <w:pPr>
              <w:pStyle w:val="TableText"/>
              <w:cnfStyle w:val="000000000000" w:firstRow="0" w:lastRow="0" w:firstColumn="0" w:lastColumn="0" w:oddVBand="0" w:evenVBand="0" w:oddHBand="0" w:evenHBand="0" w:firstRowFirstColumn="0" w:firstRowLastColumn="0" w:lastRowFirstColumn="0" w:lastRowLastColumn="0"/>
            </w:pPr>
            <w:r w:rsidRPr="00A6624F">
              <w:t>1 (</w:t>
            </w:r>
            <w:r w:rsidR="005954C3" w:rsidRPr="005954C3">
              <w:t>16.7</w:t>
            </w:r>
            <w:r w:rsidRPr="00A6624F">
              <w:t>%)</w:t>
            </w:r>
          </w:p>
        </w:tc>
        <w:tc>
          <w:tcPr>
            <w:tcW w:w="833" w:type="pct"/>
          </w:tcPr>
          <w:p w14:paraId="3E817B47" w14:textId="77777777" w:rsidR="00866FC7" w:rsidRDefault="00D506FB" w:rsidP="00FC61F2">
            <w:pPr>
              <w:pStyle w:val="TableText"/>
              <w:cnfStyle w:val="000000000000" w:firstRow="0" w:lastRow="0" w:firstColumn="0" w:lastColumn="0" w:oddVBand="0" w:evenVBand="0" w:oddHBand="0" w:evenHBand="0" w:firstRowFirstColumn="0" w:firstRowLastColumn="0" w:lastRowFirstColumn="0" w:lastRowLastColumn="0"/>
            </w:pPr>
            <w:r>
              <w:t>2 (</w:t>
            </w:r>
            <w:r w:rsidR="005954C3" w:rsidRPr="005954C3">
              <w:t>33.3</w:t>
            </w:r>
            <w:r w:rsidRPr="005954C3">
              <w:t>%</w:t>
            </w:r>
            <w:r>
              <w:t>)</w:t>
            </w:r>
          </w:p>
        </w:tc>
        <w:tc>
          <w:tcPr>
            <w:tcW w:w="833" w:type="pct"/>
          </w:tcPr>
          <w:p w14:paraId="08632092" w14:textId="77777777" w:rsidR="00866FC7" w:rsidRDefault="00D506FB" w:rsidP="00FC61F2">
            <w:pPr>
              <w:pStyle w:val="TableText"/>
              <w:cnfStyle w:val="000000000000" w:firstRow="0" w:lastRow="0" w:firstColumn="0" w:lastColumn="0" w:oddVBand="0" w:evenVBand="0" w:oddHBand="0" w:evenHBand="0" w:firstRowFirstColumn="0" w:firstRowLastColumn="0" w:lastRowFirstColumn="0" w:lastRowLastColumn="0"/>
            </w:pPr>
            <w:r>
              <w:t>1 (</w:t>
            </w:r>
            <w:r w:rsidR="005954C3" w:rsidRPr="005954C3">
              <w:t>16.7</w:t>
            </w:r>
            <w:r w:rsidRPr="005954C3">
              <w:t>%</w:t>
            </w:r>
            <w:r>
              <w:t>)</w:t>
            </w:r>
          </w:p>
        </w:tc>
      </w:tr>
      <w:tr w:rsidR="002E5B6F" w:rsidRPr="009C1931" w14:paraId="31F800EF" w14:textId="77777777" w:rsidTr="00FC61F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403B99AC" w14:textId="77777777" w:rsidR="00DE7975" w:rsidRPr="00057C3B" w:rsidRDefault="00DE7975" w:rsidP="00FC61F2">
            <w:pPr>
              <w:pStyle w:val="Tabletextbold"/>
              <w:rPr>
                <w:rFonts w:eastAsiaTheme="minorEastAsia" w:cs="Arial"/>
                <w:b/>
                <w:szCs w:val="18"/>
              </w:rPr>
            </w:pPr>
            <w:r w:rsidRPr="00057C3B">
              <w:rPr>
                <w:b/>
              </w:rPr>
              <w:t>Total</w:t>
            </w:r>
            <w:r w:rsidRPr="00057C3B">
              <w:rPr>
                <w:rFonts w:eastAsiaTheme="minorEastAsia" w:cs="Arial"/>
                <w:b/>
                <w:szCs w:val="18"/>
              </w:rPr>
              <w:t xml:space="preserve">: </w:t>
            </w:r>
            <w:r w:rsidR="001C4BE8" w:rsidRPr="00057C3B">
              <w:rPr>
                <w:rFonts w:eastAsiaTheme="minorEastAsia" w:cs="Arial"/>
                <w:b/>
                <w:szCs w:val="18"/>
              </w:rPr>
              <w:t>57</w:t>
            </w:r>
            <w:r w:rsidRPr="00057C3B">
              <w:rPr>
                <w:rFonts w:eastAsiaTheme="minorEastAsia" w:cs="Arial"/>
                <w:b/>
                <w:szCs w:val="18"/>
              </w:rPr>
              <w:t xml:space="preserve"> respondents</w:t>
            </w:r>
            <w:r w:rsidR="001435A4" w:rsidRPr="00057C3B">
              <w:rPr>
                <w:rFonts w:eastAsiaTheme="minorEastAsia" w:cs="Arial"/>
                <w:b/>
                <w:szCs w:val="18"/>
              </w:rPr>
              <w:t xml:space="preserve"> / 138 responses</w:t>
            </w:r>
          </w:p>
        </w:tc>
        <w:tc>
          <w:tcPr>
            <w:tcW w:w="833" w:type="pct"/>
          </w:tcPr>
          <w:p w14:paraId="49833A1E" w14:textId="77777777" w:rsidR="00DE7975" w:rsidRPr="008B6161" w:rsidRDefault="00D506FB" w:rsidP="00FC61F2">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50 (</w:t>
            </w:r>
            <w:r w:rsidR="005954C3" w:rsidRPr="008B6161">
              <w:rPr>
                <w:szCs w:val="20"/>
              </w:rPr>
              <w:t>35.7%</w:t>
            </w:r>
            <w:r w:rsidRPr="008B6161">
              <w:rPr>
                <w:szCs w:val="20"/>
              </w:rPr>
              <w:t>)</w:t>
            </w:r>
          </w:p>
        </w:tc>
        <w:tc>
          <w:tcPr>
            <w:tcW w:w="833" w:type="pct"/>
          </w:tcPr>
          <w:p w14:paraId="4A597A8C" w14:textId="77777777" w:rsidR="00DE7975" w:rsidRPr="008B6161" w:rsidRDefault="00D506FB" w:rsidP="00FC61F2">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49 (</w:t>
            </w:r>
            <w:r w:rsidR="005954C3" w:rsidRPr="008B6161">
              <w:rPr>
                <w:szCs w:val="20"/>
              </w:rPr>
              <w:t>30.0%</w:t>
            </w:r>
            <w:r w:rsidRPr="008B6161">
              <w:rPr>
                <w:szCs w:val="20"/>
              </w:rPr>
              <w:t>)</w:t>
            </w:r>
          </w:p>
        </w:tc>
        <w:tc>
          <w:tcPr>
            <w:tcW w:w="833" w:type="pct"/>
          </w:tcPr>
          <w:p w14:paraId="65BF2B0B" w14:textId="77777777" w:rsidR="00DE7975" w:rsidRPr="008B6161" w:rsidRDefault="00D506FB" w:rsidP="00FC61F2">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19 (</w:t>
            </w:r>
            <w:r w:rsidR="005954C3" w:rsidRPr="008B6161">
              <w:rPr>
                <w:szCs w:val="20"/>
              </w:rPr>
              <w:t>13.</w:t>
            </w:r>
            <w:r w:rsidR="009B6B62" w:rsidRPr="008B6161">
              <w:rPr>
                <w:szCs w:val="20"/>
              </w:rPr>
              <w:t>6</w:t>
            </w:r>
            <w:r w:rsidR="005954C3" w:rsidRPr="008B6161">
              <w:rPr>
                <w:szCs w:val="20"/>
              </w:rPr>
              <w:t>%</w:t>
            </w:r>
            <w:r w:rsidRPr="008B6161">
              <w:rPr>
                <w:szCs w:val="20"/>
              </w:rPr>
              <w:t>)</w:t>
            </w:r>
          </w:p>
        </w:tc>
        <w:tc>
          <w:tcPr>
            <w:tcW w:w="833" w:type="pct"/>
          </w:tcPr>
          <w:p w14:paraId="71E32B32" w14:textId="77777777" w:rsidR="00DE7975" w:rsidRPr="008B6161" w:rsidRDefault="007C3315" w:rsidP="00FC61F2">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24 (</w:t>
            </w:r>
            <w:r w:rsidR="005954C3" w:rsidRPr="008B6161">
              <w:rPr>
                <w:szCs w:val="20"/>
              </w:rPr>
              <w:t>17.1%</w:t>
            </w:r>
            <w:r w:rsidRPr="008B6161">
              <w:rPr>
                <w:szCs w:val="20"/>
              </w:rPr>
              <w:t>)</w:t>
            </w:r>
          </w:p>
        </w:tc>
        <w:tc>
          <w:tcPr>
            <w:tcW w:w="833" w:type="pct"/>
          </w:tcPr>
          <w:p w14:paraId="32FD1414" w14:textId="77777777" w:rsidR="00DE7975" w:rsidRPr="008B6161" w:rsidRDefault="007C3315" w:rsidP="00FC61F2">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5 (</w:t>
            </w:r>
            <w:r w:rsidR="005954C3" w:rsidRPr="008B6161">
              <w:rPr>
                <w:szCs w:val="20"/>
              </w:rPr>
              <w:t>3.</w:t>
            </w:r>
            <w:r w:rsidR="009B6B62" w:rsidRPr="008B6161">
              <w:rPr>
                <w:szCs w:val="20"/>
              </w:rPr>
              <w:t>6</w:t>
            </w:r>
            <w:r w:rsidR="005954C3" w:rsidRPr="008B6161">
              <w:rPr>
                <w:szCs w:val="20"/>
              </w:rPr>
              <w:t>%</w:t>
            </w:r>
            <w:r w:rsidRPr="008B6161">
              <w:rPr>
                <w:szCs w:val="20"/>
              </w:rPr>
              <w:t>)</w:t>
            </w:r>
          </w:p>
        </w:tc>
      </w:tr>
    </w:tbl>
    <w:p w14:paraId="1248971C" w14:textId="698B7190" w:rsidR="00DE7975" w:rsidRPr="00D50E7B" w:rsidRDefault="00DE7975" w:rsidP="00FC61F2">
      <w:pPr>
        <w:pStyle w:val="Caption-Source"/>
      </w:pPr>
      <w:r w:rsidRPr="00DE7975">
        <w:t xml:space="preserve">Source: </w:t>
      </w:r>
      <w:r w:rsidR="00B26691">
        <w:t>Independent reviewer</w:t>
      </w:r>
      <w:r w:rsidR="00584D02" w:rsidRPr="00D50E7B">
        <w:t xml:space="preserve"> (</w:t>
      </w:r>
      <w:r w:rsidRPr="00D50E7B">
        <w:t>2025</w:t>
      </w:r>
      <w:r w:rsidR="00584D02" w:rsidRPr="00D50E7B">
        <w:t>)</w:t>
      </w:r>
    </w:p>
    <w:p w14:paraId="5B2D7071" w14:textId="7BC8F14A" w:rsidR="00FC61F2" w:rsidRDefault="00FC61F2" w:rsidP="00FC61F2">
      <w:pPr>
        <w:pStyle w:val="Caption"/>
      </w:pPr>
      <w:bookmarkStart w:id="266" w:name="_Toc207348657"/>
      <w:r>
        <w:t xml:space="preserve">Table </w:t>
      </w:r>
      <w:r w:rsidR="00E6799D">
        <w:fldChar w:fldCharType="begin"/>
      </w:r>
      <w:r w:rsidR="00E6799D">
        <w:instrText xml:space="preserve"> SEQ Table \* ARABIC </w:instrText>
      </w:r>
      <w:r w:rsidR="00E6799D">
        <w:fldChar w:fldCharType="separate"/>
      </w:r>
      <w:r w:rsidR="00E6799D">
        <w:rPr>
          <w:noProof/>
        </w:rPr>
        <w:t>92</w:t>
      </w:r>
      <w:r w:rsidR="00E6799D">
        <w:rPr>
          <w:noProof/>
        </w:rPr>
        <w:fldChar w:fldCharType="end"/>
      </w:r>
      <w:r>
        <w:t xml:space="preserve">: </w:t>
      </w:r>
      <w:r w:rsidRPr="00BE361B">
        <w:t xml:space="preserve">Response </w:t>
      </w:r>
      <w:r>
        <w:t>to question 4 by</w:t>
      </w:r>
      <w:r w:rsidRPr="00BE361B">
        <w:t xml:space="preserve"> </w:t>
      </w:r>
      <w:r>
        <w:t>remoteness</w:t>
      </w:r>
      <w:bookmarkEnd w:id="266"/>
      <w:r w:rsidRPr="00BE361B">
        <w:t xml:space="preserve"> </w:t>
      </w:r>
    </w:p>
    <w:tbl>
      <w:tblPr>
        <w:tblStyle w:val="KPMGTable"/>
        <w:tblW w:w="5000" w:type="pct"/>
        <w:tblLook w:val="04A0" w:firstRow="1" w:lastRow="0" w:firstColumn="1" w:lastColumn="0" w:noHBand="0" w:noVBand="1"/>
      </w:tblPr>
      <w:tblGrid>
        <w:gridCol w:w="1701"/>
        <w:gridCol w:w="1701"/>
        <w:gridCol w:w="1701"/>
        <w:gridCol w:w="1701"/>
        <w:gridCol w:w="1700"/>
        <w:gridCol w:w="1700"/>
      </w:tblGrid>
      <w:tr w:rsidR="00AD6F37" w:rsidRPr="00386CBC" w14:paraId="52214B9B" w14:textId="77777777" w:rsidTr="007A7F51">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833" w:type="pct"/>
          </w:tcPr>
          <w:p w14:paraId="0FEE18E4" w14:textId="77777777" w:rsidR="008A1599" w:rsidRPr="007B154A" w:rsidRDefault="008A1599" w:rsidP="00FC61F2">
            <w:pPr>
              <w:pStyle w:val="TableHeading"/>
              <w:rPr>
                <w:b w:val="0"/>
                <w:color w:val="FFFFFF" w:themeColor="background1"/>
                <w:szCs w:val="20"/>
              </w:rPr>
            </w:pPr>
            <w:r>
              <w:t>Response</w:t>
            </w:r>
          </w:p>
        </w:tc>
        <w:tc>
          <w:tcPr>
            <w:tcW w:w="833" w:type="pct"/>
          </w:tcPr>
          <w:p w14:paraId="3C3D9C00" w14:textId="77777777" w:rsidR="008A1599" w:rsidRDefault="008A1599" w:rsidP="00FC61F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Cost / access to funding</w:t>
            </w:r>
          </w:p>
        </w:tc>
        <w:tc>
          <w:tcPr>
            <w:tcW w:w="833" w:type="pct"/>
          </w:tcPr>
          <w:p w14:paraId="2296762E" w14:textId="77777777" w:rsidR="008A1599" w:rsidRDefault="008A1599" w:rsidP="00FC61F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Availability of prostheses services / skilled professions</w:t>
            </w:r>
          </w:p>
        </w:tc>
        <w:tc>
          <w:tcPr>
            <w:tcW w:w="833" w:type="pct"/>
          </w:tcPr>
          <w:p w14:paraId="014095D0" w14:textId="77777777" w:rsidR="008A1599" w:rsidRDefault="008A1599" w:rsidP="00FC61F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Availability of prostheses</w:t>
            </w:r>
          </w:p>
        </w:tc>
        <w:tc>
          <w:tcPr>
            <w:tcW w:w="833" w:type="pct"/>
          </w:tcPr>
          <w:p w14:paraId="25BFEA89" w14:textId="77777777" w:rsidR="008A1599" w:rsidRDefault="008A1599" w:rsidP="00FC61F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Wait times</w:t>
            </w:r>
          </w:p>
        </w:tc>
        <w:tc>
          <w:tcPr>
            <w:tcW w:w="833" w:type="pct"/>
          </w:tcPr>
          <w:p w14:paraId="4E95566C" w14:textId="77777777" w:rsidR="008A1599" w:rsidRDefault="008A1599" w:rsidP="00FC61F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Other</w:t>
            </w:r>
          </w:p>
        </w:tc>
      </w:tr>
      <w:tr w:rsidR="002E5B6F" w:rsidRPr="006D20D0" w14:paraId="2FC3DCBC" w14:textId="77777777" w:rsidTr="00FC61F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625E5DB6" w14:textId="77777777" w:rsidR="008A1599" w:rsidRPr="00057C3B" w:rsidRDefault="008D14BB" w:rsidP="00FC61F2">
            <w:pPr>
              <w:pStyle w:val="TableText"/>
            </w:pPr>
            <w:r w:rsidRPr="00057C3B">
              <w:t>Metropolitan</w:t>
            </w:r>
          </w:p>
        </w:tc>
        <w:tc>
          <w:tcPr>
            <w:tcW w:w="833" w:type="pct"/>
          </w:tcPr>
          <w:p w14:paraId="593DF83E" w14:textId="77777777" w:rsidR="008A1599" w:rsidRDefault="00686B94" w:rsidP="00FC61F2">
            <w:pPr>
              <w:pStyle w:val="TableText"/>
              <w:cnfStyle w:val="000000000000" w:firstRow="0" w:lastRow="0" w:firstColumn="0" w:lastColumn="0" w:oddVBand="0" w:evenVBand="0" w:oddHBand="0" w:evenHBand="0" w:firstRowFirstColumn="0" w:firstRowLastColumn="0" w:lastRowFirstColumn="0" w:lastRowLastColumn="0"/>
            </w:pPr>
            <w:r>
              <w:t>38 (</w:t>
            </w:r>
            <w:r w:rsidR="00312F34" w:rsidRPr="00312F34">
              <w:t>35.</w:t>
            </w:r>
            <w:r w:rsidR="009B6B62">
              <w:t>9</w:t>
            </w:r>
            <w:r w:rsidR="00312F34" w:rsidRPr="00312F34">
              <w:t>%</w:t>
            </w:r>
            <w:r>
              <w:t>)</w:t>
            </w:r>
          </w:p>
        </w:tc>
        <w:tc>
          <w:tcPr>
            <w:tcW w:w="833" w:type="pct"/>
          </w:tcPr>
          <w:p w14:paraId="3969364B" w14:textId="77777777" w:rsidR="008A1599" w:rsidRDefault="00686B94" w:rsidP="00FC61F2">
            <w:pPr>
              <w:pStyle w:val="TableText"/>
              <w:cnfStyle w:val="000000000000" w:firstRow="0" w:lastRow="0" w:firstColumn="0" w:lastColumn="0" w:oddVBand="0" w:evenVBand="0" w:oddHBand="0" w:evenHBand="0" w:firstRowFirstColumn="0" w:firstRowLastColumn="0" w:lastRowFirstColumn="0" w:lastRowLastColumn="0"/>
            </w:pPr>
            <w:r>
              <w:t>34 (</w:t>
            </w:r>
            <w:r w:rsidR="00312F34" w:rsidRPr="00312F34">
              <w:t>32.</w:t>
            </w:r>
            <w:r w:rsidR="009B6B62">
              <w:t>1</w:t>
            </w:r>
            <w:r w:rsidR="00312F34" w:rsidRPr="00312F34">
              <w:t>%</w:t>
            </w:r>
            <w:r>
              <w:t>)</w:t>
            </w:r>
          </w:p>
        </w:tc>
        <w:tc>
          <w:tcPr>
            <w:tcW w:w="833" w:type="pct"/>
          </w:tcPr>
          <w:p w14:paraId="1454B7EF" w14:textId="77777777" w:rsidR="008A1599" w:rsidRDefault="00686B94" w:rsidP="00FC61F2">
            <w:pPr>
              <w:pStyle w:val="TableText"/>
              <w:cnfStyle w:val="000000000000" w:firstRow="0" w:lastRow="0" w:firstColumn="0" w:lastColumn="0" w:oddVBand="0" w:evenVBand="0" w:oddHBand="0" w:evenHBand="0" w:firstRowFirstColumn="0" w:firstRowLastColumn="0" w:lastRowFirstColumn="0" w:lastRowLastColumn="0"/>
            </w:pPr>
            <w:r>
              <w:t>14 (</w:t>
            </w:r>
            <w:r w:rsidR="00312F34" w:rsidRPr="00312F34">
              <w:t>13.2%</w:t>
            </w:r>
            <w:r>
              <w:t>)</w:t>
            </w:r>
          </w:p>
        </w:tc>
        <w:tc>
          <w:tcPr>
            <w:tcW w:w="833" w:type="pct"/>
          </w:tcPr>
          <w:p w14:paraId="112119C1" w14:textId="77777777" w:rsidR="008A1599" w:rsidRDefault="00686B94" w:rsidP="00FC61F2">
            <w:pPr>
              <w:pStyle w:val="TableText"/>
              <w:cnfStyle w:val="000000000000" w:firstRow="0" w:lastRow="0" w:firstColumn="0" w:lastColumn="0" w:oddVBand="0" w:evenVBand="0" w:oddHBand="0" w:evenHBand="0" w:firstRowFirstColumn="0" w:firstRowLastColumn="0" w:lastRowFirstColumn="0" w:lastRowLastColumn="0"/>
            </w:pPr>
            <w:r>
              <w:t>16 (</w:t>
            </w:r>
            <w:r w:rsidR="00312F34" w:rsidRPr="00312F34">
              <w:t>15.</w:t>
            </w:r>
            <w:r w:rsidR="009B6B62">
              <w:t>1</w:t>
            </w:r>
            <w:r w:rsidR="00312F34" w:rsidRPr="00312F34">
              <w:t>%</w:t>
            </w:r>
            <w:r>
              <w:t>)</w:t>
            </w:r>
          </w:p>
        </w:tc>
        <w:tc>
          <w:tcPr>
            <w:tcW w:w="833" w:type="pct"/>
          </w:tcPr>
          <w:p w14:paraId="3DE5B0FE" w14:textId="77777777" w:rsidR="008A1599" w:rsidRDefault="00312F34" w:rsidP="00FC61F2">
            <w:pPr>
              <w:pStyle w:val="TableText"/>
              <w:cnfStyle w:val="000000000000" w:firstRow="0" w:lastRow="0" w:firstColumn="0" w:lastColumn="0" w:oddVBand="0" w:evenVBand="0" w:oddHBand="0" w:evenHBand="0" w:firstRowFirstColumn="0" w:firstRowLastColumn="0" w:lastRowFirstColumn="0" w:lastRowLastColumn="0"/>
            </w:pPr>
            <w:r>
              <w:t>4 (3.</w:t>
            </w:r>
            <w:r w:rsidR="009B6B62">
              <w:t>8</w:t>
            </w:r>
            <w:r>
              <w:t>%)</w:t>
            </w:r>
          </w:p>
        </w:tc>
      </w:tr>
      <w:tr w:rsidR="002E5B6F" w:rsidRPr="009C1931" w14:paraId="2BF4A918" w14:textId="77777777" w:rsidTr="00FC61F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07F7F7AF" w14:textId="77777777" w:rsidR="008A1599" w:rsidRPr="00057C3B" w:rsidRDefault="008D14BB" w:rsidP="00FC61F2">
            <w:pPr>
              <w:pStyle w:val="TableText"/>
              <w:rPr>
                <w:szCs w:val="18"/>
              </w:rPr>
            </w:pPr>
            <w:r w:rsidRPr="00057C3B">
              <w:rPr>
                <w:szCs w:val="18"/>
              </w:rPr>
              <w:t>Regional</w:t>
            </w:r>
            <w:r w:rsidR="00810A59" w:rsidRPr="00057C3B">
              <w:rPr>
                <w:szCs w:val="18"/>
              </w:rPr>
              <w:t xml:space="preserve"> centre</w:t>
            </w:r>
          </w:p>
        </w:tc>
        <w:tc>
          <w:tcPr>
            <w:tcW w:w="833" w:type="pct"/>
          </w:tcPr>
          <w:p w14:paraId="4EE5B0D1" w14:textId="77777777" w:rsidR="008A1599" w:rsidRPr="00312F34" w:rsidRDefault="00686B94" w:rsidP="00FC61F2">
            <w:pPr>
              <w:pStyle w:val="TableText"/>
              <w:cnfStyle w:val="000000000000" w:firstRow="0" w:lastRow="0" w:firstColumn="0" w:lastColumn="0" w:oddVBand="0" w:evenVBand="0" w:oddHBand="0" w:evenHBand="0" w:firstRowFirstColumn="0" w:firstRowLastColumn="0" w:lastRowFirstColumn="0" w:lastRowLastColumn="0"/>
            </w:pPr>
            <w:r>
              <w:t>10 (</w:t>
            </w:r>
            <w:r w:rsidR="00312F34" w:rsidRPr="00312F34">
              <w:t>40.0%</w:t>
            </w:r>
            <w:r>
              <w:t>)</w:t>
            </w:r>
          </w:p>
        </w:tc>
        <w:tc>
          <w:tcPr>
            <w:tcW w:w="833" w:type="pct"/>
          </w:tcPr>
          <w:p w14:paraId="5CBD1D43" w14:textId="77777777" w:rsidR="008A1599" w:rsidRPr="00312F34" w:rsidRDefault="00686B94" w:rsidP="00FC61F2">
            <w:pPr>
              <w:pStyle w:val="TableText"/>
              <w:cnfStyle w:val="000000000000" w:firstRow="0" w:lastRow="0" w:firstColumn="0" w:lastColumn="0" w:oddVBand="0" w:evenVBand="0" w:oddHBand="0" w:evenHBand="0" w:firstRowFirstColumn="0" w:firstRowLastColumn="0" w:lastRowFirstColumn="0" w:lastRowLastColumn="0"/>
            </w:pPr>
            <w:r>
              <w:t>6 (</w:t>
            </w:r>
            <w:r w:rsidR="00312F34" w:rsidRPr="00312F34">
              <w:t>24.0%</w:t>
            </w:r>
            <w:r>
              <w:t>)</w:t>
            </w:r>
          </w:p>
        </w:tc>
        <w:tc>
          <w:tcPr>
            <w:tcW w:w="833" w:type="pct"/>
          </w:tcPr>
          <w:p w14:paraId="5E187D49" w14:textId="77777777" w:rsidR="008A1599" w:rsidRPr="00312F34" w:rsidRDefault="00686B94" w:rsidP="00FC61F2">
            <w:pPr>
              <w:pStyle w:val="TableText"/>
              <w:cnfStyle w:val="000000000000" w:firstRow="0" w:lastRow="0" w:firstColumn="0" w:lastColumn="0" w:oddVBand="0" w:evenVBand="0" w:oddHBand="0" w:evenHBand="0" w:firstRowFirstColumn="0" w:firstRowLastColumn="0" w:lastRowFirstColumn="0" w:lastRowLastColumn="0"/>
            </w:pPr>
            <w:r>
              <w:t>3 (</w:t>
            </w:r>
            <w:r w:rsidR="00312F34" w:rsidRPr="00312F34">
              <w:t>12.0%</w:t>
            </w:r>
            <w:r>
              <w:t>)</w:t>
            </w:r>
          </w:p>
        </w:tc>
        <w:tc>
          <w:tcPr>
            <w:tcW w:w="833" w:type="pct"/>
          </w:tcPr>
          <w:p w14:paraId="6C8B5393" w14:textId="77777777" w:rsidR="008A1599" w:rsidRPr="00312F34" w:rsidRDefault="00686B94" w:rsidP="00FC61F2">
            <w:pPr>
              <w:pStyle w:val="TableText"/>
              <w:cnfStyle w:val="000000000000" w:firstRow="0" w:lastRow="0" w:firstColumn="0" w:lastColumn="0" w:oddVBand="0" w:evenVBand="0" w:oddHBand="0" w:evenHBand="0" w:firstRowFirstColumn="0" w:firstRowLastColumn="0" w:lastRowFirstColumn="0" w:lastRowLastColumn="0"/>
            </w:pPr>
            <w:r>
              <w:t>5 (</w:t>
            </w:r>
            <w:r w:rsidR="00312F34" w:rsidRPr="00312F34">
              <w:t>20.0%</w:t>
            </w:r>
            <w:r>
              <w:t>)</w:t>
            </w:r>
          </w:p>
        </w:tc>
        <w:tc>
          <w:tcPr>
            <w:tcW w:w="833" w:type="pct"/>
          </w:tcPr>
          <w:p w14:paraId="38122A7C" w14:textId="77777777" w:rsidR="008A1599" w:rsidRDefault="00312F34" w:rsidP="00FC61F2">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1 (4.0%)</w:t>
            </w:r>
          </w:p>
        </w:tc>
      </w:tr>
      <w:tr w:rsidR="002E5B6F" w:rsidRPr="009C1931" w14:paraId="3400E6EA" w14:textId="77777777" w:rsidTr="00FC61F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6407D396" w14:textId="77777777" w:rsidR="008A1599" w:rsidRPr="00057C3B" w:rsidRDefault="00810A59" w:rsidP="00FC61F2">
            <w:pPr>
              <w:pStyle w:val="TableText"/>
            </w:pPr>
            <w:r w:rsidRPr="00057C3B">
              <w:rPr>
                <w:szCs w:val="18"/>
              </w:rPr>
              <w:t>Rural area</w:t>
            </w:r>
          </w:p>
        </w:tc>
        <w:tc>
          <w:tcPr>
            <w:tcW w:w="833" w:type="pct"/>
          </w:tcPr>
          <w:p w14:paraId="1B4D017A" w14:textId="77777777" w:rsidR="008A1599" w:rsidRPr="005954C3" w:rsidRDefault="00686B94" w:rsidP="00FC61F2">
            <w:pPr>
              <w:pStyle w:val="TableText"/>
              <w:cnfStyle w:val="000000000000" w:firstRow="0" w:lastRow="0" w:firstColumn="0" w:lastColumn="0" w:oddVBand="0" w:evenVBand="0" w:oddHBand="0" w:evenHBand="0" w:firstRowFirstColumn="0" w:firstRowLastColumn="0" w:lastRowFirstColumn="0" w:lastRowLastColumn="0"/>
            </w:pPr>
            <w:r>
              <w:t>2 (</w:t>
            </w:r>
            <w:r w:rsidR="00312F34" w:rsidRPr="00312F34">
              <w:t>28.</w:t>
            </w:r>
            <w:r w:rsidR="009B6B62">
              <w:t>6</w:t>
            </w:r>
            <w:r w:rsidR="00312F34" w:rsidRPr="00312F34">
              <w:t>%</w:t>
            </w:r>
            <w:r>
              <w:t>)</w:t>
            </w:r>
          </w:p>
        </w:tc>
        <w:tc>
          <w:tcPr>
            <w:tcW w:w="833" w:type="pct"/>
          </w:tcPr>
          <w:p w14:paraId="743E72F1" w14:textId="77777777" w:rsidR="008A1599" w:rsidRPr="005954C3" w:rsidRDefault="00686B94" w:rsidP="00FC61F2">
            <w:pPr>
              <w:pStyle w:val="TableText"/>
              <w:cnfStyle w:val="000000000000" w:firstRow="0" w:lastRow="0" w:firstColumn="0" w:lastColumn="0" w:oddVBand="0" w:evenVBand="0" w:oddHBand="0" w:evenHBand="0" w:firstRowFirstColumn="0" w:firstRowLastColumn="0" w:lastRowFirstColumn="0" w:lastRowLastColumn="0"/>
            </w:pPr>
            <w:r>
              <w:t>2 (</w:t>
            </w:r>
            <w:r w:rsidR="00312F34" w:rsidRPr="00312F34">
              <w:t>28.</w:t>
            </w:r>
            <w:r w:rsidR="009B6B62">
              <w:t>6</w:t>
            </w:r>
            <w:r w:rsidR="00312F34" w:rsidRPr="00312F34">
              <w:t>%</w:t>
            </w:r>
            <w:r>
              <w:t>)</w:t>
            </w:r>
          </w:p>
        </w:tc>
        <w:tc>
          <w:tcPr>
            <w:tcW w:w="833" w:type="pct"/>
          </w:tcPr>
          <w:p w14:paraId="1ACC8EA6" w14:textId="77777777" w:rsidR="008A1599" w:rsidRPr="005954C3" w:rsidRDefault="00312F34" w:rsidP="00FC61F2">
            <w:pPr>
              <w:pStyle w:val="TableText"/>
              <w:cnfStyle w:val="000000000000" w:firstRow="0" w:lastRow="0" w:firstColumn="0" w:lastColumn="0" w:oddVBand="0" w:evenVBand="0" w:oddHBand="0" w:evenHBand="0" w:firstRowFirstColumn="0" w:firstRowLastColumn="0" w:lastRowFirstColumn="0" w:lastRowLastColumn="0"/>
            </w:pPr>
            <w:r w:rsidRPr="00312F34">
              <w:t>2</w:t>
            </w:r>
            <w:r w:rsidR="00686B94">
              <w:t xml:space="preserve"> (</w:t>
            </w:r>
            <w:r w:rsidRPr="00312F34">
              <w:t>28.</w:t>
            </w:r>
            <w:r w:rsidR="009B6B62">
              <w:t>6</w:t>
            </w:r>
            <w:r w:rsidRPr="00312F34">
              <w:t>%</w:t>
            </w:r>
            <w:r w:rsidR="00686B94">
              <w:t>)</w:t>
            </w:r>
          </w:p>
        </w:tc>
        <w:tc>
          <w:tcPr>
            <w:tcW w:w="833" w:type="pct"/>
          </w:tcPr>
          <w:p w14:paraId="34893CF7" w14:textId="77777777" w:rsidR="008A1599" w:rsidRPr="005954C3" w:rsidRDefault="00686B94" w:rsidP="00FC61F2">
            <w:pPr>
              <w:pStyle w:val="TableText"/>
              <w:cnfStyle w:val="000000000000" w:firstRow="0" w:lastRow="0" w:firstColumn="0" w:lastColumn="0" w:oddVBand="0" w:evenVBand="0" w:oddHBand="0" w:evenHBand="0" w:firstRowFirstColumn="0" w:firstRowLastColumn="0" w:lastRowFirstColumn="0" w:lastRowLastColumn="0"/>
            </w:pPr>
            <w:r>
              <w:t xml:space="preserve">1 </w:t>
            </w:r>
            <w:r w:rsidR="0041481B">
              <w:t>(</w:t>
            </w:r>
            <w:r w:rsidR="00312F34" w:rsidRPr="00312F34">
              <w:t>14.</w:t>
            </w:r>
            <w:r w:rsidR="009B6B62">
              <w:t>3</w:t>
            </w:r>
            <w:r w:rsidR="00312F34" w:rsidRPr="00312F34">
              <w:t>%</w:t>
            </w:r>
            <w:r w:rsidR="0041481B">
              <w:t>)</w:t>
            </w:r>
          </w:p>
        </w:tc>
        <w:tc>
          <w:tcPr>
            <w:tcW w:w="833" w:type="pct"/>
          </w:tcPr>
          <w:p w14:paraId="0FF48E39" w14:textId="77777777" w:rsidR="008A1599" w:rsidRPr="005954C3" w:rsidRDefault="00C0684D" w:rsidP="00FC61F2">
            <w:pPr>
              <w:pStyle w:val="TableText"/>
              <w:cnfStyle w:val="000000000000" w:firstRow="0" w:lastRow="0" w:firstColumn="0" w:lastColumn="0" w:oddVBand="0" w:evenVBand="0" w:oddHBand="0" w:evenHBand="0" w:firstRowFirstColumn="0" w:firstRowLastColumn="0" w:lastRowFirstColumn="0" w:lastRowLastColumn="0"/>
            </w:pPr>
            <w:r>
              <w:t>0 (</w:t>
            </w:r>
            <w:r w:rsidRPr="005954C3">
              <w:t>0.0%</w:t>
            </w:r>
            <w:r>
              <w:t>)</w:t>
            </w:r>
          </w:p>
        </w:tc>
      </w:tr>
      <w:tr w:rsidR="002E5B6F" w:rsidRPr="009C1931" w14:paraId="4B4AF51D" w14:textId="77777777" w:rsidTr="00FC61F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21A7806B" w14:textId="77777777" w:rsidR="008A1599" w:rsidRPr="00057C3B" w:rsidRDefault="008A1599" w:rsidP="00FC61F2">
            <w:pPr>
              <w:pStyle w:val="Tabletextbold"/>
              <w:rPr>
                <w:rFonts w:eastAsiaTheme="minorEastAsia" w:cs="Arial"/>
                <w:b/>
                <w:szCs w:val="18"/>
              </w:rPr>
            </w:pPr>
            <w:r w:rsidRPr="00057C3B">
              <w:rPr>
                <w:b/>
              </w:rPr>
              <w:t>Total</w:t>
            </w:r>
            <w:r w:rsidRPr="00057C3B">
              <w:rPr>
                <w:rFonts w:eastAsiaTheme="minorEastAsia" w:cs="Arial"/>
                <w:b/>
                <w:szCs w:val="18"/>
              </w:rPr>
              <w:t>: 57 respondents</w:t>
            </w:r>
            <w:r w:rsidR="001435A4" w:rsidRPr="00057C3B">
              <w:rPr>
                <w:rFonts w:eastAsiaTheme="minorEastAsia" w:cs="Arial"/>
                <w:b/>
                <w:szCs w:val="18"/>
              </w:rPr>
              <w:t xml:space="preserve"> / 138 responses</w:t>
            </w:r>
          </w:p>
        </w:tc>
        <w:tc>
          <w:tcPr>
            <w:tcW w:w="833" w:type="pct"/>
          </w:tcPr>
          <w:p w14:paraId="31F64171" w14:textId="77777777" w:rsidR="008A1599" w:rsidRPr="008B6161" w:rsidRDefault="0041481B" w:rsidP="00FC61F2">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50 (36.2%)</w:t>
            </w:r>
          </w:p>
        </w:tc>
        <w:tc>
          <w:tcPr>
            <w:tcW w:w="833" w:type="pct"/>
          </w:tcPr>
          <w:p w14:paraId="4F396B36" w14:textId="77777777" w:rsidR="008A1599" w:rsidRPr="008B6161" w:rsidRDefault="0041481B" w:rsidP="00FC61F2">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42 (30.4%)</w:t>
            </w:r>
          </w:p>
        </w:tc>
        <w:tc>
          <w:tcPr>
            <w:tcW w:w="833" w:type="pct"/>
          </w:tcPr>
          <w:p w14:paraId="68D2C451" w14:textId="77777777" w:rsidR="008A1599" w:rsidRPr="008B6161" w:rsidRDefault="0041481B" w:rsidP="00FC61F2">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19 (13.</w:t>
            </w:r>
            <w:r w:rsidR="009B6B62" w:rsidRPr="008B6161">
              <w:rPr>
                <w:rFonts w:eastAsiaTheme="minorEastAsia" w:cs="Arial"/>
                <w:szCs w:val="20"/>
              </w:rPr>
              <w:t>8</w:t>
            </w:r>
            <w:r w:rsidRPr="008B6161">
              <w:rPr>
                <w:rFonts w:eastAsiaTheme="minorEastAsia" w:cs="Arial"/>
                <w:szCs w:val="20"/>
              </w:rPr>
              <w:t>%)</w:t>
            </w:r>
          </w:p>
        </w:tc>
        <w:tc>
          <w:tcPr>
            <w:tcW w:w="833" w:type="pct"/>
          </w:tcPr>
          <w:p w14:paraId="78C23F20" w14:textId="77777777" w:rsidR="008A1599" w:rsidRPr="008B6161" w:rsidRDefault="0041481B" w:rsidP="00FC61F2">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22 (15.9</w:t>
            </w:r>
            <w:r w:rsidR="00667F72" w:rsidRPr="008B6161">
              <w:rPr>
                <w:rFonts w:eastAsiaTheme="minorEastAsia" w:cs="Arial"/>
                <w:szCs w:val="20"/>
              </w:rPr>
              <w:t>%)</w:t>
            </w:r>
          </w:p>
        </w:tc>
        <w:tc>
          <w:tcPr>
            <w:tcW w:w="833" w:type="pct"/>
          </w:tcPr>
          <w:p w14:paraId="4EFC9773" w14:textId="77777777" w:rsidR="008A1599" w:rsidRPr="008B6161" w:rsidRDefault="00667F72" w:rsidP="00FC61F2">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5 (3.6%)</w:t>
            </w:r>
          </w:p>
        </w:tc>
      </w:tr>
    </w:tbl>
    <w:p w14:paraId="6A731254" w14:textId="53A6C604" w:rsidR="00BF4D99" w:rsidRDefault="008A1599" w:rsidP="00FC61F2">
      <w:pPr>
        <w:pStyle w:val="Caption-Source"/>
        <w:rPr>
          <w:rFonts w:ascii="Arial" w:hAnsi="Arial" w:cs="Arial"/>
          <w:b/>
          <w:szCs w:val="20"/>
        </w:rPr>
      </w:pPr>
      <w:r w:rsidRPr="007148C5">
        <w:t xml:space="preserve">Source: </w:t>
      </w:r>
      <w:r w:rsidR="00B26691">
        <w:t>Independent reviewer</w:t>
      </w:r>
      <w:r w:rsidR="00584D02">
        <w:t xml:space="preserve"> (</w:t>
      </w:r>
      <w:r w:rsidRPr="007148C5">
        <w:t>2025</w:t>
      </w:r>
      <w:r w:rsidR="00584D02">
        <w:t>)</w:t>
      </w:r>
      <w:r w:rsidR="00BF4D99">
        <w:rPr>
          <w:rFonts w:ascii="Arial" w:hAnsi="Arial" w:cs="Arial"/>
          <w:b/>
          <w:szCs w:val="20"/>
        </w:rPr>
        <w:br w:type="page"/>
      </w:r>
    </w:p>
    <w:p w14:paraId="26259306" w14:textId="01C1AF29" w:rsidR="00FC61F2" w:rsidRDefault="00FC61F2" w:rsidP="00FC61F2">
      <w:pPr>
        <w:pStyle w:val="Caption"/>
      </w:pPr>
      <w:bookmarkStart w:id="267" w:name="_Toc207348658"/>
      <w:r>
        <w:t xml:space="preserve">Table </w:t>
      </w:r>
      <w:r w:rsidR="00E6799D">
        <w:fldChar w:fldCharType="begin"/>
      </w:r>
      <w:r w:rsidR="00E6799D">
        <w:instrText xml:space="preserve"> SEQ Table \* ARABIC </w:instrText>
      </w:r>
      <w:r w:rsidR="00E6799D">
        <w:fldChar w:fldCharType="separate"/>
      </w:r>
      <w:r w:rsidR="00E6799D">
        <w:rPr>
          <w:noProof/>
        </w:rPr>
        <w:t>93</w:t>
      </w:r>
      <w:r w:rsidR="00E6799D">
        <w:rPr>
          <w:noProof/>
        </w:rPr>
        <w:fldChar w:fldCharType="end"/>
      </w:r>
      <w:r>
        <w:t xml:space="preserve">: </w:t>
      </w:r>
      <w:r w:rsidRPr="00C8733C">
        <w:t xml:space="preserve">Response </w:t>
      </w:r>
      <w:r>
        <w:t xml:space="preserve">to question 4 </w:t>
      </w:r>
      <w:r w:rsidRPr="00C8733C">
        <w:t xml:space="preserve">by </w:t>
      </w:r>
      <w:r>
        <w:t>area of practice</w:t>
      </w:r>
      <w:bookmarkEnd w:id="267"/>
      <w:r w:rsidRPr="00C8733C">
        <w:t xml:space="preserve"> </w:t>
      </w:r>
    </w:p>
    <w:tbl>
      <w:tblPr>
        <w:tblStyle w:val="KPMGTable"/>
        <w:tblW w:w="5000" w:type="pct"/>
        <w:tblLook w:val="04A0" w:firstRow="1" w:lastRow="0" w:firstColumn="1" w:lastColumn="0" w:noHBand="0" w:noVBand="1"/>
      </w:tblPr>
      <w:tblGrid>
        <w:gridCol w:w="1701"/>
        <w:gridCol w:w="1701"/>
        <w:gridCol w:w="1701"/>
        <w:gridCol w:w="1701"/>
        <w:gridCol w:w="1700"/>
        <w:gridCol w:w="1700"/>
      </w:tblGrid>
      <w:tr w:rsidR="00AD6F37" w:rsidRPr="00386CBC" w14:paraId="59FA2EC1" w14:textId="77777777" w:rsidTr="007A7F51">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833" w:type="pct"/>
          </w:tcPr>
          <w:p w14:paraId="5ABC2ADA" w14:textId="77777777" w:rsidR="003C0D85" w:rsidRPr="007B154A" w:rsidRDefault="003C0D85" w:rsidP="00FC61F2">
            <w:pPr>
              <w:pStyle w:val="TableHeading"/>
              <w:rPr>
                <w:b w:val="0"/>
                <w:color w:val="FFFFFF" w:themeColor="background1"/>
                <w:szCs w:val="20"/>
              </w:rPr>
            </w:pPr>
            <w:r>
              <w:t>Response</w:t>
            </w:r>
          </w:p>
        </w:tc>
        <w:tc>
          <w:tcPr>
            <w:tcW w:w="833" w:type="pct"/>
          </w:tcPr>
          <w:p w14:paraId="7FC4CBD4" w14:textId="77777777" w:rsidR="003C0D85" w:rsidRDefault="003C0D85" w:rsidP="00FC61F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Cost / access to funding</w:t>
            </w:r>
          </w:p>
        </w:tc>
        <w:tc>
          <w:tcPr>
            <w:tcW w:w="833" w:type="pct"/>
          </w:tcPr>
          <w:p w14:paraId="3BCC6DAA" w14:textId="77777777" w:rsidR="003C0D85" w:rsidRDefault="003C0D85" w:rsidP="00FC61F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Availability of prostheses services / skilled professions</w:t>
            </w:r>
          </w:p>
        </w:tc>
        <w:tc>
          <w:tcPr>
            <w:tcW w:w="833" w:type="pct"/>
          </w:tcPr>
          <w:p w14:paraId="2C97F118" w14:textId="77777777" w:rsidR="003C0D85" w:rsidRDefault="003C0D85" w:rsidP="00FC61F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Availability of prostheses</w:t>
            </w:r>
          </w:p>
        </w:tc>
        <w:tc>
          <w:tcPr>
            <w:tcW w:w="833" w:type="pct"/>
          </w:tcPr>
          <w:p w14:paraId="5C08F37E" w14:textId="77777777" w:rsidR="003C0D85" w:rsidRDefault="003C0D85" w:rsidP="00FC61F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Wait times</w:t>
            </w:r>
          </w:p>
        </w:tc>
        <w:tc>
          <w:tcPr>
            <w:tcW w:w="833" w:type="pct"/>
          </w:tcPr>
          <w:p w14:paraId="5E721771" w14:textId="77777777" w:rsidR="003C0D85" w:rsidRDefault="003C0D85" w:rsidP="00FC61F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Other</w:t>
            </w:r>
          </w:p>
        </w:tc>
      </w:tr>
      <w:tr w:rsidR="002E5B6F" w:rsidRPr="006D20D0" w14:paraId="73AB1BB2" w14:textId="77777777" w:rsidTr="00FC61F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6DE080BF" w14:textId="77777777" w:rsidR="003C0D85" w:rsidRPr="00057C3B" w:rsidRDefault="00CE49E1" w:rsidP="00FC61F2">
            <w:pPr>
              <w:pStyle w:val="TableText"/>
            </w:pPr>
            <w:r w:rsidRPr="00057C3B">
              <w:t>Anaesthesia</w:t>
            </w:r>
          </w:p>
        </w:tc>
        <w:tc>
          <w:tcPr>
            <w:tcW w:w="833" w:type="pct"/>
          </w:tcPr>
          <w:p w14:paraId="58B80909" w14:textId="77777777" w:rsidR="003C0D85" w:rsidRPr="00054593" w:rsidRDefault="003E204E"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 (</w:t>
            </w:r>
            <w:r w:rsidR="00054593" w:rsidRPr="00054593">
              <w:rPr>
                <w:rFonts w:asciiTheme="minorHAnsi" w:hAnsiTheme="minorHAnsi" w:cstheme="minorHAnsi"/>
                <w:szCs w:val="18"/>
              </w:rPr>
              <w:t>100.0</w:t>
            </w:r>
            <w:r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273F7C9B" w14:textId="77777777" w:rsidR="003C0D85" w:rsidRPr="00054593" w:rsidRDefault="003E204E"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0 (</w:t>
            </w:r>
            <w:r w:rsidR="00054593" w:rsidRPr="00054593">
              <w:rPr>
                <w:rFonts w:asciiTheme="minorHAnsi" w:hAnsiTheme="minorHAnsi" w:cstheme="minorHAnsi"/>
                <w:szCs w:val="18"/>
              </w:rPr>
              <w:t>0.0</w:t>
            </w:r>
            <w:r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499C1415" w14:textId="77777777" w:rsidR="003C0D85" w:rsidRPr="00054593" w:rsidRDefault="003E204E"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0 (</w:t>
            </w:r>
            <w:r w:rsidR="00054593" w:rsidRPr="00054593">
              <w:rPr>
                <w:rFonts w:asciiTheme="minorHAnsi" w:hAnsiTheme="minorHAnsi" w:cstheme="minorHAnsi"/>
                <w:szCs w:val="18"/>
              </w:rPr>
              <w:t>0.0</w:t>
            </w:r>
            <w:r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03BB584D" w14:textId="77777777" w:rsidR="003C0D85" w:rsidRPr="00054593" w:rsidRDefault="003E204E"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0 (</w:t>
            </w:r>
            <w:r w:rsidR="00054593" w:rsidRPr="00054593">
              <w:rPr>
                <w:rFonts w:asciiTheme="minorHAnsi" w:hAnsiTheme="minorHAnsi" w:cstheme="minorHAnsi"/>
                <w:szCs w:val="18"/>
              </w:rPr>
              <w:t>0.0</w:t>
            </w:r>
            <w:r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45374050" w14:textId="77777777" w:rsidR="003C0D85" w:rsidRPr="00054593" w:rsidRDefault="003E204E"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0 (</w:t>
            </w:r>
            <w:r w:rsidR="00054593" w:rsidRPr="00054593">
              <w:rPr>
                <w:rFonts w:asciiTheme="minorHAnsi" w:hAnsiTheme="minorHAnsi" w:cstheme="minorHAnsi"/>
                <w:szCs w:val="18"/>
              </w:rPr>
              <w:t>0.0</w:t>
            </w:r>
            <w:r w:rsidRPr="00054593">
              <w:rPr>
                <w:rFonts w:asciiTheme="minorHAnsi" w:hAnsiTheme="minorHAnsi" w:cstheme="minorHAnsi"/>
                <w:szCs w:val="18"/>
              </w:rPr>
              <w:t>%</w:t>
            </w:r>
            <w:r>
              <w:rPr>
                <w:rFonts w:asciiTheme="minorHAnsi" w:hAnsiTheme="minorHAnsi" w:cstheme="minorHAnsi"/>
                <w:szCs w:val="18"/>
              </w:rPr>
              <w:t>)</w:t>
            </w:r>
          </w:p>
        </w:tc>
      </w:tr>
      <w:tr w:rsidR="002E5B6F" w:rsidRPr="009C1931" w14:paraId="6A421852" w14:textId="77777777" w:rsidTr="00FC61F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06526551" w14:textId="77777777" w:rsidR="003C0D85" w:rsidRPr="00057C3B" w:rsidRDefault="00CE49E1" w:rsidP="00FC61F2">
            <w:pPr>
              <w:pStyle w:val="TableText"/>
              <w:rPr>
                <w:szCs w:val="18"/>
              </w:rPr>
            </w:pPr>
            <w:proofErr w:type="spellStart"/>
            <w:r w:rsidRPr="00057C3B">
              <w:rPr>
                <w:szCs w:val="18"/>
              </w:rPr>
              <w:t>Anaplastology</w:t>
            </w:r>
            <w:proofErr w:type="spellEnd"/>
          </w:p>
        </w:tc>
        <w:tc>
          <w:tcPr>
            <w:tcW w:w="833" w:type="pct"/>
          </w:tcPr>
          <w:p w14:paraId="22058C66" w14:textId="77777777" w:rsidR="003C0D85" w:rsidRPr="00054593" w:rsidRDefault="003E204E"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5 (</w:t>
            </w:r>
            <w:r w:rsidR="00054593" w:rsidRPr="00054593">
              <w:rPr>
                <w:rFonts w:asciiTheme="minorHAnsi" w:hAnsiTheme="minorHAnsi" w:cstheme="minorHAnsi"/>
                <w:szCs w:val="18"/>
              </w:rPr>
              <w:t>41.7</w:t>
            </w:r>
            <w:r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49E7F2D4" w14:textId="77777777" w:rsidR="003C0D85" w:rsidRPr="00054593" w:rsidRDefault="003E204E"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4 (</w:t>
            </w:r>
            <w:r w:rsidR="00054593" w:rsidRPr="00054593">
              <w:rPr>
                <w:rFonts w:asciiTheme="minorHAnsi" w:hAnsiTheme="minorHAnsi" w:cstheme="minorHAnsi"/>
                <w:szCs w:val="18"/>
              </w:rPr>
              <w:t>33.3</w:t>
            </w:r>
            <w:r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625B9DAF" w14:textId="77777777" w:rsidR="003C0D85" w:rsidRPr="00054593" w:rsidRDefault="003E204E"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 (</w:t>
            </w:r>
            <w:r w:rsidR="00054593" w:rsidRPr="00054593">
              <w:rPr>
                <w:rFonts w:asciiTheme="minorHAnsi" w:hAnsiTheme="minorHAnsi" w:cstheme="minorHAnsi"/>
                <w:szCs w:val="18"/>
              </w:rPr>
              <w:t>8.3</w:t>
            </w:r>
            <w:r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6FBD2746" w14:textId="77777777" w:rsidR="003C0D85" w:rsidRPr="00054593" w:rsidRDefault="003E204E"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2 (</w:t>
            </w:r>
            <w:r w:rsidR="00054593" w:rsidRPr="00054593">
              <w:rPr>
                <w:rFonts w:asciiTheme="minorHAnsi" w:hAnsiTheme="minorHAnsi" w:cstheme="minorHAnsi"/>
                <w:szCs w:val="18"/>
              </w:rPr>
              <w:t>16.7</w:t>
            </w:r>
            <w:r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4698AD6D" w14:textId="77777777" w:rsidR="003C0D85" w:rsidRPr="00054593" w:rsidRDefault="003E204E"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0 (</w:t>
            </w:r>
            <w:r w:rsidR="00054593" w:rsidRPr="00054593">
              <w:rPr>
                <w:rFonts w:asciiTheme="minorHAnsi" w:hAnsiTheme="minorHAnsi" w:cstheme="minorHAnsi"/>
                <w:szCs w:val="18"/>
              </w:rPr>
              <w:t>0.0</w:t>
            </w:r>
            <w:r w:rsidRPr="00054593">
              <w:rPr>
                <w:rFonts w:asciiTheme="minorHAnsi" w:hAnsiTheme="minorHAnsi" w:cstheme="minorHAnsi"/>
                <w:szCs w:val="18"/>
              </w:rPr>
              <w:t>%</w:t>
            </w:r>
            <w:r>
              <w:rPr>
                <w:rFonts w:asciiTheme="minorHAnsi" w:hAnsiTheme="minorHAnsi" w:cstheme="minorHAnsi"/>
                <w:szCs w:val="18"/>
              </w:rPr>
              <w:t>)</w:t>
            </w:r>
          </w:p>
        </w:tc>
      </w:tr>
      <w:tr w:rsidR="002E5B6F" w:rsidRPr="009C1931" w14:paraId="31370C2F" w14:textId="77777777" w:rsidTr="00FC61F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04ABE6F2" w14:textId="77777777" w:rsidR="003C0D85" w:rsidRPr="00057C3B" w:rsidRDefault="00CE49E1" w:rsidP="00FC61F2">
            <w:pPr>
              <w:pStyle w:val="TableText"/>
            </w:pPr>
            <w:r w:rsidRPr="00057C3B">
              <w:t>Dentistry / dental oncology</w:t>
            </w:r>
          </w:p>
        </w:tc>
        <w:tc>
          <w:tcPr>
            <w:tcW w:w="833" w:type="pct"/>
          </w:tcPr>
          <w:p w14:paraId="51C78DA2" w14:textId="77777777" w:rsidR="003C0D85" w:rsidRPr="00054593" w:rsidRDefault="000D73B4"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7 (</w:t>
            </w:r>
            <w:r w:rsidR="00054593" w:rsidRPr="00054593">
              <w:rPr>
                <w:rFonts w:asciiTheme="minorHAnsi" w:hAnsiTheme="minorHAnsi" w:cstheme="minorHAnsi"/>
                <w:szCs w:val="18"/>
              </w:rPr>
              <w:t>30.4</w:t>
            </w:r>
            <w:r w:rsidR="003E204E"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6F9150C6" w14:textId="77777777" w:rsidR="003C0D85" w:rsidRPr="00054593" w:rsidRDefault="000D73B4"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8 (</w:t>
            </w:r>
            <w:r w:rsidR="00054593" w:rsidRPr="00054593">
              <w:rPr>
                <w:rFonts w:asciiTheme="minorHAnsi" w:hAnsiTheme="minorHAnsi" w:cstheme="minorHAnsi"/>
                <w:szCs w:val="18"/>
              </w:rPr>
              <w:t>34.8</w:t>
            </w:r>
            <w:r w:rsidR="003E204E"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34D49C5D" w14:textId="77777777" w:rsidR="003C0D85" w:rsidRPr="00054593" w:rsidRDefault="000D73B4"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2 (</w:t>
            </w:r>
            <w:r w:rsidR="00054593" w:rsidRPr="00054593">
              <w:rPr>
                <w:rFonts w:asciiTheme="minorHAnsi" w:hAnsiTheme="minorHAnsi" w:cstheme="minorHAnsi"/>
                <w:szCs w:val="18"/>
              </w:rPr>
              <w:t>8.7</w:t>
            </w:r>
            <w:r w:rsidR="003E204E"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5B7F6CEE" w14:textId="77777777" w:rsidR="003C0D85" w:rsidRPr="00054593" w:rsidRDefault="000D73B4"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4 (</w:t>
            </w:r>
            <w:r w:rsidR="00054593" w:rsidRPr="00054593">
              <w:rPr>
                <w:rFonts w:asciiTheme="minorHAnsi" w:hAnsiTheme="minorHAnsi" w:cstheme="minorHAnsi"/>
                <w:szCs w:val="18"/>
              </w:rPr>
              <w:t>17.</w:t>
            </w:r>
            <w:r w:rsidR="009B6B62">
              <w:rPr>
                <w:rFonts w:asciiTheme="minorHAnsi" w:hAnsiTheme="minorHAnsi" w:cstheme="minorHAnsi"/>
                <w:szCs w:val="18"/>
              </w:rPr>
              <w:t>4</w:t>
            </w:r>
            <w:r w:rsidR="003E204E"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4282DBCC" w14:textId="77777777" w:rsidR="003C0D85" w:rsidRPr="00054593" w:rsidRDefault="000D73B4"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2 (</w:t>
            </w:r>
            <w:r w:rsidR="00054593" w:rsidRPr="00054593">
              <w:rPr>
                <w:rFonts w:asciiTheme="minorHAnsi" w:hAnsiTheme="minorHAnsi" w:cstheme="minorHAnsi"/>
                <w:szCs w:val="18"/>
              </w:rPr>
              <w:t>8.7</w:t>
            </w:r>
            <w:r w:rsidR="003E204E" w:rsidRPr="00054593">
              <w:rPr>
                <w:rFonts w:asciiTheme="minorHAnsi" w:hAnsiTheme="minorHAnsi" w:cstheme="minorHAnsi"/>
                <w:szCs w:val="18"/>
              </w:rPr>
              <w:t>%</w:t>
            </w:r>
            <w:r>
              <w:rPr>
                <w:rFonts w:asciiTheme="minorHAnsi" w:hAnsiTheme="minorHAnsi" w:cstheme="minorHAnsi"/>
                <w:szCs w:val="18"/>
              </w:rPr>
              <w:t>)</w:t>
            </w:r>
          </w:p>
        </w:tc>
      </w:tr>
      <w:tr w:rsidR="002E5B6F" w:rsidRPr="009C1931" w14:paraId="1DBF920C" w14:textId="77777777" w:rsidTr="00FC61F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27DB3035" w14:textId="77777777" w:rsidR="003C0D85" w:rsidRPr="00057C3B" w:rsidRDefault="00CE49E1" w:rsidP="00FC61F2">
            <w:pPr>
              <w:pStyle w:val="TableText"/>
            </w:pPr>
            <w:r w:rsidRPr="00057C3B">
              <w:t>Lymphatic system</w:t>
            </w:r>
          </w:p>
        </w:tc>
        <w:tc>
          <w:tcPr>
            <w:tcW w:w="833" w:type="pct"/>
          </w:tcPr>
          <w:p w14:paraId="1ED51F86" w14:textId="77777777" w:rsidR="003C0D85" w:rsidRPr="00054593" w:rsidRDefault="000D73B4"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5 (</w:t>
            </w:r>
            <w:r w:rsidR="00054593" w:rsidRPr="00054593">
              <w:rPr>
                <w:rFonts w:asciiTheme="minorHAnsi" w:hAnsiTheme="minorHAnsi" w:cstheme="minorHAnsi"/>
                <w:szCs w:val="18"/>
              </w:rPr>
              <w:t>33.3</w:t>
            </w:r>
            <w:r w:rsidR="003E204E"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712708FB" w14:textId="77777777" w:rsidR="003C0D85" w:rsidRPr="00054593" w:rsidRDefault="000D73B4"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4 (</w:t>
            </w:r>
            <w:r w:rsidR="00054593" w:rsidRPr="00054593">
              <w:rPr>
                <w:rFonts w:asciiTheme="minorHAnsi" w:hAnsiTheme="minorHAnsi" w:cstheme="minorHAnsi"/>
                <w:szCs w:val="18"/>
              </w:rPr>
              <w:t>26.7</w:t>
            </w:r>
            <w:r w:rsidR="003E204E"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019072F5" w14:textId="77777777" w:rsidR="003C0D85" w:rsidRPr="00054593" w:rsidRDefault="000D73B4"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 (</w:t>
            </w:r>
            <w:r w:rsidR="00054593" w:rsidRPr="00054593">
              <w:rPr>
                <w:rFonts w:asciiTheme="minorHAnsi" w:hAnsiTheme="minorHAnsi" w:cstheme="minorHAnsi"/>
                <w:szCs w:val="18"/>
              </w:rPr>
              <w:t>6.7</w:t>
            </w:r>
            <w:r w:rsidR="003E204E"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1D96D887" w14:textId="77777777" w:rsidR="003C0D85" w:rsidRPr="00054593" w:rsidRDefault="000D73B4"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4 (</w:t>
            </w:r>
            <w:r w:rsidR="00054593" w:rsidRPr="00054593">
              <w:rPr>
                <w:rFonts w:asciiTheme="minorHAnsi" w:hAnsiTheme="minorHAnsi" w:cstheme="minorHAnsi"/>
                <w:szCs w:val="18"/>
              </w:rPr>
              <w:t>26.7</w:t>
            </w:r>
            <w:r w:rsidR="003E204E"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3EFD7D60" w14:textId="77777777" w:rsidR="003C0D85" w:rsidRPr="00054593" w:rsidRDefault="00FF7285"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w:t>
            </w:r>
            <w:r w:rsidR="000D73B4">
              <w:rPr>
                <w:rFonts w:asciiTheme="minorHAnsi" w:hAnsiTheme="minorHAnsi" w:cstheme="minorHAnsi"/>
                <w:szCs w:val="18"/>
              </w:rPr>
              <w:t xml:space="preserve"> (</w:t>
            </w:r>
            <w:r w:rsidR="00054593" w:rsidRPr="00054593">
              <w:rPr>
                <w:rFonts w:asciiTheme="minorHAnsi" w:hAnsiTheme="minorHAnsi" w:cstheme="minorHAnsi"/>
                <w:szCs w:val="18"/>
              </w:rPr>
              <w:t>6.7</w:t>
            </w:r>
            <w:r w:rsidR="003E204E" w:rsidRPr="00054593">
              <w:rPr>
                <w:rFonts w:asciiTheme="minorHAnsi" w:hAnsiTheme="minorHAnsi" w:cstheme="minorHAnsi"/>
                <w:szCs w:val="18"/>
              </w:rPr>
              <w:t>%</w:t>
            </w:r>
            <w:r w:rsidR="000D73B4">
              <w:rPr>
                <w:rFonts w:asciiTheme="minorHAnsi" w:hAnsiTheme="minorHAnsi" w:cstheme="minorHAnsi"/>
                <w:szCs w:val="18"/>
              </w:rPr>
              <w:t>)</w:t>
            </w:r>
          </w:p>
        </w:tc>
      </w:tr>
      <w:tr w:rsidR="002E5B6F" w:rsidRPr="009C1931" w14:paraId="1F43CE2F" w14:textId="77777777" w:rsidTr="00FC61F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5952A123" w14:textId="77777777" w:rsidR="00CE49E1" w:rsidRPr="00057C3B" w:rsidRDefault="00CE49E1" w:rsidP="00FC61F2">
            <w:pPr>
              <w:pStyle w:val="TableText"/>
            </w:pPr>
            <w:r w:rsidRPr="00057C3B">
              <w:t>Oncology</w:t>
            </w:r>
          </w:p>
        </w:tc>
        <w:tc>
          <w:tcPr>
            <w:tcW w:w="833" w:type="pct"/>
          </w:tcPr>
          <w:p w14:paraId="51FCA031" w14:textId="77777777" w:rsidR="00CE49E1" w:rsidRPr="00054593" w:rsidRDefault="000D73B4"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10 (</w:t>
            </w:r>
            <w:r w:rsidR="00054593" w:rsidRPr="00054593">
              <w:rPr>
                <w:rFonts w:asciiTheme="minorHAnsi" w:hAnsiTheme="minorHAnsi" w:cstheme="minorHAnsi"/>
                <w:szCs w:val="18"/>
              </w:rPr>
              <w:t>41.7</w:t>
            </w:r>
            <w:r w:rsidR="003E204E"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639A67E4" w14:textId="77777777" w:rsidR="00CE49E1" w:rsidRPr="00054593" w:rsidRDefault="00422BE3"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8 (</w:t>
            </w:r>
            <w:r w:rsidR="00054593" w:rsidRPr="00054593">
              <w:rPr>
                <w:rFonts w:asciiTheme="minorHAnsi" w:hAnsiTheme="minorHAnsi" w:cstheme="minorHAnsi"/>
                <w:szCs w:val="18"/>
              </w:rPr>
              <w:t>33.3</w:t>
            </w:r>
            <w:r w:rsidR="003E204E"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35908BD7" w14:textId="77777777" w:rsidR="00CE49E1" w:rsidRPr="00054593" w:rsidRDefault="00422BE3"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4 (</w:t>
            </w:r>
            <w:r w:rsidR="00054593" w:rsidRPr="00054593">
              <w:rPr>
                <w:rFonts w:asciiTheme="minorHAnsi" w:hAnsiTheme="minorHAnsi" w:cstheme="minorHAnsi"/>
                <w:szCs w:val="18"/>
              </w:rPr>
              <w:t>16.7</w:t>
            </w:r>
            <w:r w:rsidR="003E204E"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0551942C" w14:textId="77777777" w:rsidR="00CE49E1" w:rsidRPr="00054593" w:rsidRDefault="00422BE3"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 (</w:t>
            </w:r>
            <w:r w:rsidR="00054593" w:rsidRPr="00054593">
              <w:rPr>
                <w:rFonts w:asciiTheme="minorHAnsi" w:hAnsiTheme="minorHAnsi" w:cstheme="minorHAnsi"/>
                <w:szCs w:val="18"/>
              </w:rPr>
              <w:t>4.</w:t>
            </w:r>
            <w:r w:rsidR="009B6B62">
              <w:rPr>
                <w:rFonts w:asciiTheme="minorHAnsi" w:hAnsiTheme="minorHAnsi" w:cstheme="minorHAnsi"/>
                <w:szCs w:val="18"/>
              </w:rPr>
              <w:t>2</w:t>
            </w:r>
            <w:r w:rsidR="003E204E"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25AE0007" w14:textId="77777777" w:rsidR="00CE49E1" w:rsidRPr="00054593" w:rsidRDefault="00422BE3"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 (</w:t>
            </w:r>
            <w:r w:rsidR="00054593" w:rsidRPr="00054593">
              <w:rPr>
                <w:rFonts w:asciiTheme="minorHAnsi" w:hAnsiTheme="minorHAnsi" w:cstheme="minorHAnsi"/>
                <w:szCs w:val="18"/>
              </w:rPr>
              <w:t>4.</w:t>
            </w:r>
            <w:r w:rsidR="00AF6D4B">
              <w:rPr>
                <w:rFonts w:asciiTheme="minorHAnsi" w:hAnsiTheme="minorHAnsi" w:cstheme="minorHAnsi"/>
                <w:szCs w:val="18"/>
              </w:rPr>
              <w:t>2</w:t>
            </w:r>
            <w:r w:rsidR="003E204E" w:rsidRPr="00054593">
              <w:rPr>
                <w:rFonts w:asciiTheme="minorHAnsi" w:hAnsiTheme="minorHAnsi" w:cstheme="minorHAnsi"/>
                <w:szCs w:val="18"/>
              </w:rPr>
              <w:t>%</w:t>
            </w:r>
            <w:r>
              <w:rPr>
                <w:rFonts w:asciiTheme="minorHAnsi" w:hAnsiTheme="minorHAnsi" w:cstheme="minorHAnsi"/>
                <w:szCs w:val="18"/>
              </w:rPr>
              <w:t>)</w:t>
            </w:r>
          </w:p>
        </w:tc>
      </w:tr>
      <w:tr w:rsidR="002E5B6F" w:rsidRPr="009C1931" w14:paraId="0CD32349" w14:textId="77777777" w:rsidTr="00FC61F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0749990D" w14:textId="77777777" w:rsidR="00CE49E1" w:rsidRPr="00057C3B" w:rsidRDefault="00CE49E1" w:rsidP="00FC61F2">
            <w:pPr>
              <w:pStyle w:val="TableText"/>
            </w:pPr>
            <w:r w:rsidRPr="00057C3B">
              <w:t>Oral and maxillofacial</w:t>
            </w:r>
          </w:p>
        </w:tc>
        <w:tc>
          <w:tcPr>
            <w:tcW w:w="833" w:type="pct"/>
          </w:tcPr>
          <w:p w14:paraId="2D812F23" w14:textId="77777777" w:rsidR="00CE49E1" w:rsidRPr="00054593" w:rsidRDefault="00422BE3"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6 (</w:t>
            </w:r>
            <w:r w:rsidR="00054593" w:rsidRPr="00054593">
              <w:rPr>
                <w:rFonts w:asciiTheme="minorHAnsi" w:hAnsiTheme="minorHAnsi" w:cstheme="minorHAnsi"/>
                <w:szCs w:val="18"/>
              </w:rPr>
              <w:t>33.3</w:t>
            </w:r>
            <w:r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4FFA1A05" w14:textId="77777777" w:rsidR="00CE49E1" w:rsidRPr="00054593" w:rsidRDefault="00422BE3"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6 (</w:t>
            </w:r>
            <w:r w:rsidR="00054593" w:rsidRPr="00054593">
              <w:rPr>
                <w:rFonts w:asciiTheme="minorHAnsi" w:hAnsiTheme="minorHAnsi" w:cstheme="minorHAnsi"/>
                <w:szCs w:val="18"/>
              </w:rPr>
              <w:t>33.3</w:t>
            </w:r>
            <w:r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48C51685" w14:textId="77777777" w:rsidR="00CE49E1" w:rsidRPr="00054593" w:rsidRDefault="00422BE3"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3 (</w:t>
            </w:r>
            <w:r w:rsidR="00054593" w:rsidRPr="00054593">
              <w:rPr>
                <w:rFonts w:asciiTheme="minorHAnsi" w:hAnsiTheme="minorHAnsi" w:cstheme="minorHAnsi"/>
                <w:szCs w:val="18"/>
              </w:rPr>
              <w:t>16.7</w:t>
            </w:r>
            <w:r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4BFDCAF3" w14:textId="77777777" w:rsidR="00CE49E1" w:rsidRPr="00054593" w:rsidRDefault="00422BE3"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3 (</w:t>
            </w:r>
            <w:r w:rsidR="00054593" w:rsidRPr="00054593">
              <w:rPr>
                <w:rFonts w:asciiTheme="minorHAnsi" w:hAnsiTheme="minorHAnsi" w:cstheme="minorHAnsi"/>
                <w:szCs w:val="18"/>
              </w:rPr>
              <w:t>16.7</w:t>
            </w:r>
            <w:r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625FB5ED" w14:textId="77777777" w:rsidR="00CE49E1" w:rsidRPr="00054593" w:rsidRDefault="00422BE3"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0 (</w:t>
            </w:r>
            <w:r w:rsidR="00054593" w:rsidRPr="00054593">
              <w:rPr>
                <w:rFonts w:asciiTheme="minorHAnsi" w:hAnsiTheme="minorHAnsi" w:cstheme="minorHAnsi"/>
                <w:szCs w:val="18"/>
              </w:rPr>
              <w:t>0.0</w:t>
            </w:r>
            <w:r w:rsidRPr="00054593">
              <w:rPr>
                <w:rFonts w:asciiTheme="minorHAnsi" w:hAnsiTheme="minorHAnsi" w:cstheme="minorHAnsi"/>
                <w:szCs w:val="18"/>
              </w:rPr>
              <w:t>%</w:t>
            </w:r>
            <w:r>
              <w:rPr>
                <w:rFonts w:asciiTheme="minorHAnsi" w:hAnsiTheme="minorHAnsi" w:cstheme="minorHAnsi"/>
                <w:szCs w:val="18"/>
              </w:rPr>
              <w:t>)</w:t>
            </w:r>
          </w:p>
        </w:tc>
      </w:tr>
      <w:tr w:rsidR="002E5B6F" w:rsidRPr="009C1931" w14:paraId="775AF4A1" w14:textId="77777777" w:rsidTr="00FC61F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1AFD675C" w14:textId="77777777" w:rsidR="00CE49E1" w:rsidRPr="00057C3B" w:rsidRDefault="00CE49E1" w:rsidP="00FC61F2">
            <w:pPr>
              <w:pStyle w:val="TableText"/>
            </w:pPr>
            <w:r w:rsidRPr="00057C3B">
              <w:t>Otolaryngology head and neck surgery</w:t>
            </w:r>
          </w:p>
        </w:tc>
        <w:tc>
          <w:tcPr>
            <w:tcW w:w="833" w:type="pct"/>
          </w:tcPr>
          <w:p w14:paraId="067304F9" w14:textId="77777777" w:rsidR="00CE49E1" w:rsidRPr="00054593" w:rsidRDefault="00FF7285"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7 (</w:t>
            </w:r>
            <w:r w:rsidR="00054593" w:rsidRPr="00054593">
              <w:rPr>
                <w:rFonts w:asciiTheme="minorHAnsi" w:hAnsiTheme="minorHAnsi" w:cstheme="minorHAnsi"/>
                <w:szCs w:val="18"/>
              </w:rPr>
              <w:t>36.8</w:t>
            </w:r>
            <w:r w:rsidR="00422BE3"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0592820D" w14:textId="77777777" w:rsidR="00CE49E1" w:rsidRPr="00054593" w:rsidRDefault="00FF7285"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6 (</w:t>
            </w:r>
            <w:r w:rsidR="00054593" w:rsidRPr="00054593">
              <w:rPr>
                <w:rFonts w:asciiTheme="minorHAnsi" w:hAnsiTheme="minorHAnsi" w:cstheme="minorHAnsi"/>
                <w:szCs w:val="18"/>
              </w:rPr>
              <w:t>31.</w:t>
            </w:r>
            <w:r w:rsidR="009B6B62">
              <w:rPr>
                <w:rFonts w:asciiTheme="minorHAnsi" w:hAnsiTheme="minorHAnsi" w:cstheme="minorHAnsi"/>
                <w:szCs w:val="18"/>
              </w:rPr>
              <w:t>6</w:t>
            </w:r>
            <w:r w:rsidR="00422BE3"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6093EC09" w14:textId="77777777" w:rsidR="00CE49E1" w:rsidRPr="00054593" w:rsidRDefault="004A21B3"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3 (</w:t>
            </w:r>
            <w:r w:rsidR="00054593" w:rsidRPr="00054593">
              <w:rPr>
                <w:rFonts w:asciiTheme="minorHAnsi" w:hAnsiTheme="minorHAnsi" w:cstheme="minorHAnsi"/>
                <w:szCs w:val="18"/>
              </w:rPr>
              <w:t>15.</w:t>
            </w:r>
            <w:r w:rsidR="009B6B62">
              <w:rPr>
                <w:rFonts w:asciiTheme="minorHAnsi" w:hAnsiTheme="minorHAnsi" w:cstheme="minorHAnsi"/>
                <w:szCs w:val="18"/>
              </w:rPr>
              <w:t>8</w:t>
            </w:r>
            <w:r w:rsidR="00422BE3"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25D301C5" w14:textId="77777777" w:rsidR="00CE49E1" w:rsidRPr="00054593" w:rsidRDefault="004A21B3"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3 (</w:t>
            </w:r>
            <w:r w:rsidR="00054593" w:rsidRPr="00054593">
              <w:rPr>
                <w:rFonts w:asciiTheme="minorHAnsi" w:hAnsiTheme="minorHAnsi" w:cstheme="minorHAnsi"/>
                <w:szCs w:val="18"/>
              </w:rPr>
              <w:t>15.</w:t>
            </w:r>
            <w:r w:rsidR="009B6B62">
              <w:rPr>
                <w:rFonts w:asciiTheme="minorHAnsi" w:hAnsiTheme="minorHAnsi" w:cstheme="minorHAnsi"/>
                <w:szCs w:val="18"/>
              </w:rPr>
              <w:t>8</w:t>
            </w:r>
            <w:r w:rsidR="00422BE3"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2AF796A5" w14:textId="77777777" w:rsidR="00CE49E1" w:rsidRPr="00054593" w:rsidRDefault="00422BE3"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0 (</w:t>
            </w:r>
            <w:r w:rsidR="00054593" w:rsidRPr="00054593">
              <w:rPr>
                <w:rFonts w:asciiTheme="minorHAnsi" w:hAnsiTheme="minorHAnsi" w:cstheme="minorHAnsi"/>
                <w:szCs w:val="18"/>
              </w:rPr>
              <w:t>0.0</w:t>
            </w:r>
            <w:r w:rsidRPr="00054593">
              <w:rPr>
                <w:rFonts w:asciiTheme="minorHAnsi" w:hAnsiTheme="minorHAnsi" w:cstheme="minorHAnsi"/>
                <w:szCs w:val="18"/>
              </w:rPr>
              <w:t>%</w:t>
            </w:r>
            <w:r>
              <w:rPr>
                <w:rFonts w:asciiTheme="minorHAnsi" w:hAnsiTheme="minorHAnsi" w:cstheme="minorHAnsi"/>
                <w:szCs w:val="18"/>
              </w:rPr>
              <w:t>)</w:t>
            </w:r>
          </w:p>
        </w:tc>
      </w:tr>
      <w:tr w:rsidR="002E5B6F" w:rsidRPr="009C1931" w14:paraId="6B1D91DE" w14:textId="77777777" w:rsidTr="00FC61F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7767C9A2" w14:textId="77777777" w:rsidR="00CE49E1" w:rsidRPr="00057C3B" w:rsidRDefault="00CE49E1" w:rsidP="00FC61F2">
            <w:pPr>
              <w:pStyle w:val="TableText"/>
            </w:pPr>
            <w:r w:rsidRPr="00057C3B">
              <w:t>Plastic and reconstructive surgery</w:t>
            </w:r>
          </w:p>
        </w:tc>
        <w:tc>
          <w:tcPr>
            <w:tcW w:w="833" w:type="pct"/>
          </w:tcPr>
          <w:p w14:paraId="63AF4383" w14:textId="77777777" w:rsidR="00CE49E1" w:rsidRPr="00054593" w:rsidRDefault="004A21B3"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 (</w:t>
            </w:r>
            <w:r w:rsidR="00054593" w:rsidRPr="00054593">
              <w:rPr>
                <w:rFonts w:asciiTheme="minorHAnsi" w:hAnsiTheme="minorHAnsi" w:cstheme="minorHAnsi"/>
                <w:szCs w:val="18"/>
              </w:rPr>
              <w:t>25.0</w:t>
            </w:r>
            <w:r w:rsidR="00422BE3"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55BDD593" w14:textId="77777777" w:rsidR="00CE49E1" w:rsidRPr="00054593" w:rsidRDefault="004A21B3"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 (</w:t>
            </w:r>
            <w:r w:rsidR="00054593" w:rsidRPr="00054593">
              <w:rPr>
                <w:rFonts w:asciiTheme="minorHAnsi" w:hAnsiTheme="minorHAnsi" w:cstheme="minorHAnsi"/>
                <w:szCs w:val="18"/>
              </w:rPr>
              <w:t>25.0</w:t>
            </w:r>
            <w:r w:rsidR="00422BE3"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6EB75233" w14:textId="77777777" w:rsidR="00CE49E1" w:rsidRPr="00054593" w:rsidRDefault="004A21B3"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 (</w:t>
            </w:r>
            <w:r w:rsidR="00054593" w:rsidRPr="00054593">
              <w:rPr>
                <w:rFonts w:asciiTheme="minorHAnsi" w:hAnsiTheme="minorHAnsi" w:cstheme="minorHAnsi"/>
                <w:szCs w:val="18"/>
              </w:rPr>
              <w:t>25.0</w:t>
            </w:r>
            <w:r w:rsidR="00422BE3"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09D95AA7" w14:textId="77777777" w:rsidR="00CE49E1" w:rsidRPr="00054593" w:rsidRDefault="004A21B3"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 (</w:t>
            </w:r>
            <w:r w:rsidR="00054593" w:rsidRPr="00054593">
              <w:rPr>
                <w:rFonts w:asciiTheme="minorHAnsi" w:hAnsiTheme="minorHAnsi" w:cstheme="minorHAnsi"/>
                <w:szCs w:val="18"/>
              </w:rPr>
              <w:t>25.0</w:t>
            </w:r>
            <w:r w:rsidR="00422BE3"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72777056" w14:textId="77777777" w:rsidR="00CE49E1" w:rsidRPr="00054593" w:rsidRDefault="00422BE3"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0 (</w:t>
            </w:r>
            <w:r w:rsidR="00054593" w:rsidRPr="00054593">
              <w:rPr>
                <w:rFonts w:asciiTheme="minorHAnsi" w:hAnsiTheme="minorHAnsi" w:cstheme="minorHAnsi"/>
                <w:szCs w:val="18"/>
              </w:rPr>
              <w:t>0.0</w:t>
            </w:r>
            <w:r w:rsidRPr="00054593">
              <w:rPr>
                <w:rFonts w:asciiTheme="minorHAnsi" w:hAnsiTheme="minorHAnsi" w:cstheme="minorHAnsi"/>
                <w:szCs w:val="18"/>
              </w:rPr>
              <w:t>%</w:t>
            </w:r>
            <w:r>
              <w:rPr>
                <w:rFonts w:asciiTheme="minorHAnsi" w:hAnsiTheme="minorHAnsi" w:cstheme="minorHAnsi"/>
                <w:szCs w:val="18"/>
              </w:rPr>
              <w:t>)</w:t>
            </w:r>
          </w:p>
        </w:tc>
      </w:tr>
      <w:tr w:rsidR="002E5B6F" w:rsidRPr="009C1931" w14:paraId="4A0311E2" w14:textId="77777777" w:rsidTr="00FC61F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6871F0F3" w14:textId="77777777" w:rsidR="00CE49E1" w:rsidRPr="00057C3B" w:rsidRDefault="00CE49E1" w:rsidP="00FC61F2">
            <w:pPr>
              <w:pStyle w:val="TableText"/>
            </w:pPr>
            <w:r w:rsidRPr="00057C3B">
              <w:t>Prosthodontics</w:t>
            </w:r>
          </w:p>
        </w:tc>
        <w:tc>
          <w:tcPr>
            <w:tcW w:w="833" w:type="pct"/>
          </w:tcPr>
          <w:p w14:paraId="76358B7E" w14:textId="77777777" w:rsidR="00CE49E1" w:rsidRPr="00054593" w:rsidRDefault="004A21B3"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2 (</w:t>
            </w:r>
            <w:r w:rsidR="00054593" w:rsidRPr="00054593">
              <w:rPr>
                <w:rFonts w:asciiTheme="minorHAnsi" w:hAnsiTheme="minorHAnsi" w:cstheme="minorHAnsi"/>
                <w:szCs w:val="18"/>
              </w:rPr>
              <w:t>50.0</w:t>
            </w:r>
            <w:r w:rsidR="00422BE3"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7F354C38" w14:textId="77777777" w:rsidR="00CE49E1" w:rsidRPr="00054593" w:rsidRDefault="004A21B3"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 (</w:t>
            </w:r>
            <w:r w:rsidR="00054593" w:rsidRPr="00054593">
              <w:rPr>
                <w:rFonts w:asciiTheme="minorHAnsi" w:hAnsiTheme="minorHAnsi" w:cstheme="minorHAnsi"/>
                <w:szCs w:val="18"/>
              </w:rPr>
              <w:t>25.0</w:t>
            </w:r>
            <w:r w:rsidR="00422BE3"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3AB9EC77" w14:textId="77777777" w:rsidR="00CE49E1" w:rsidRPr="00054593" w:rsidRDefault="00E545F5"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0 (</w:t>
            </w:r>
            <w:r w:rsidR="00054593" w:rsidRPr="00054593">
              <w:rPr>
                <w:rFonts w:asciiTheme="minorHAnsi" w:hAnsiTheme="minorHAnsi" w:cstheme="minorHAnsi"/>
                <w:szCs w:val="18"/>
              </w:rPr>
              <w:t>0.0</w:t>
            </w:r>
            <w:r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09B16F45" w14:textId="77777777" w:rsidR="00CE49E1" w:rsidRPr="00054593" w:rsidRDefault="004A21B3"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 (</w:t>
            </w:r>
            <w:r w:rsidR="00054593" w:rsidRPr="00054593">
              <w:rPr>
                <w:rFonts w:asciiTheme="minorHAnsi" w:hAnsiTheme="minorHAnsi" w:cstheme="minorHAnsi"/>
                <w:szCs w:val="18"/>
              </w:rPr>
              <w:t>25.0</w:t>
            </w:r>
            <w:r w:rsidR="00422BE3"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77065BF7" w14:textId="77777777" w:rsidR="00CE49E1" w:rsidRPr="00054593" w:rsidRDefault="00422BE3"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0 (</w:t>
            </w:r>
            <w:r w:rsidR="00054593" w:rsidRPr="00054593">
              <w:rPr>
                <w:rFonts w:asciiTheme="minorHAnsi" w:hAnsiTheme="minorHAnsi" w:cstheme="minorHAnsi"/>
                <w:szCs w:val="18"/>
              </w:rPr>
              <w:t>0.0</w:t>
            </w:r>
            <w:r w:rsidRPr="00054593">
              <w:rPr>
                <w:rFonts w:asciiTheme="minorHAnsi" w:hAnsiTheme="minorHAnsi" w:cstheme="minorHAnsi"/>
                <w:szCs w:val="18"/>
              </w:rPr>
              <w:t>%</w:t>
            </w:r>
            <w:r>
              <w:rPr>
                <w:rFonts w:asciiTheme="minorHAnsi" w:hAnsiTheme="minorHAnsi" w:cstheme="minorHAnsi"/>
                <w:szCs w:val="18"/>
              </w:rPr>
              <w:t>)</w:t>
            </w:r>
          </w:p>
        </w:tc>
      </w:tr>
      <w:tr w:rsidR="002E5B6F" w:rsidRPr="009C1931" w14:paraId="010E1773" w14:textId="77777777" w:rsidTr="00FC61F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72D1EE61" w14:textId="77777777" w:rsidR="00CE49E1" w:rsidRPr="00057C3B" w:rsidRDefault="00CE49E1" w:rsidP="00FC61F2">
            <w:pPr>
              <w:pStyle w:val="TableText"/>
            </w:pPr>
            <w:r w:rsidRPr="00057C3B">
              <w:t>Psychology or social work</w:t>
            </w:r>
          </w:p>
        </w:tc>
        <w:tc>
          <w:tcPr>
            <w:tcW w:w="833" w:type="pct"/>
          </w:tcPr>
          <w:p w14:paraId="7AB2F2ED" w14:textId="77777777" w:rsidR="00CE49E1" w:rsidRPr="00054593" w:rsidRDefault="00E545F5"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2 (</w:t>
            </w:r>
            <w:r w:rsidR="00054593" w:rsidRPr="00054593">
              <w:rPr>
                <w:rFonts w:asciiTheme="minorHAnsi" w:hAnsiTheme="minorHAnsi" w:cstheme="minorHAnsi"/>
                <w:szCs w:val="18"/>
              </w:rPr>
              <w:t>40.0</w:t>
            </w:r>
            <w:r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3E1E5952" w14:textId="77777777" w:rsidR="00CE49E1" w:rsidRPr="00054593" w:rsidRDefault="001435A4"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 (</w:t>
            </w:r>
            <w:r w:rsidR="00054593" w:rsidRPr="00054593">
              <w:rPr>
                <w:rFonts w:asciiTheme="minorHAnsi" w:hAnsiTheme="minorHAnsi" w:cstheme="minorHAnsi"/>
                <w:szCs w:val="18"/>
              </w:rPr>
              <w:t>20.0</w:t>
            </w:r>
            <w:r w:rsidR="00E545F5"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2D5575EF" w14:textId="77777777" w:rsidR="00CE49E1" w:rsidRPr="00054593" w:rsidRDefault="001435A4"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 (</w:t>
            </w:r>
            <w:r w:rsidR="00054593" w:rsidRPr="00054593">
              <w:rPr>
                <w:rFonts w:asciiTheme="minorHAnsi" w:hAnsiTheme="minorHAnsi" w:cstheme="minorHAnsi"/>
                <w:szCs w:val="18"/>
              </w:rPr>
              <w:t>20.0</w:t>
            </w:r>
            <w:r w:rsidR="00E545F5"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429A0ED1" w14:textId="77777777" w:rsidR="00CE49E1" w:rsidRPr="00054593" w:rsidRDefault="001435A4"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 (</w:t>
            </w:r>
            <w:r w:rsidR="00054593" w:rsidRPr="00054593">
              <w:rPr>
                <w:rFonts w:asciiTheme="minorHAnsi" w:hAnsiTheme="minorHAnsi" w:cstheme="minorHAnsi"/>
                <w:szCs w:val="18"/>
              </w:rPr>
              <w:t>20.0</w:t>
            </w:r>
            <w:r w:rsidR="00E545F5"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2B373C39" w14:textId="77777777" w:rsidR="00CE49E1" w:rsidRPr="00054593" w:rsidRDefault="00422BE3"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0 (</w:t>
            </w:r>
            <w:r w:rsidR="00054593" w:rsidRPr="00054593">
              <w:rPr>
                <w:rFonts w:asciiTheme="minorHAnsi" w:hAnsiTheme="minorHAnsi" w:cstheme="minorHAnsi"/>
                <w:szCs w:val="18"/>
              </w:rPr>
              <w:t>0.0</w:t>
            </w:r>
            <w:r w:rsidRPr="00054593">
              <w:rPr>
                <w:rFonts w:asciiTheme="minorHAnsi" w:hAnsiTheme="minorHAnsi" w:cstheme="minorHAnsi"/>
                <w:szCs w:val="18"/>
              </w:rPr>
              <w:t>%</w:t>
            </w:r>
            <w:r>
              <w:rPr>
                <w:rFonts w:asciiTheme="minorHAnsi" w:hAnsiTheme="minorHAnsi" w:cstheme="minorHAnsi"/>
                <w:szCs w:val="18"/>
              </w:rPr>
              <w:t>)</w:t>
            </w:r>
          </w:p>
        </w:tc>
      </w:tr>
      <w:tr w:rsidR="002E5B6F" w:rsidRPr="009C1931" w14:paraId="04AC3EC4" w14:textId="77777777" w:rsidTr="00FC61F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14A647DC" w14:textId="77777777" w:rsidR="00CE49E1" w:rsidRPr="00057C3B" w:rsidRDefault="00CE49E1" w:rsidP="00FC61F2">
            <w:pPr>
              <w:pStyle w:val="TableText"/>
            </w:pPr>
            <w:r w:rsidRPr="00057C3B">
              <w:t>Research / academia</w:t>
            </w:r>
          </w:p>
        </w:tc>
        <w:tc>
          <w:tcPr>
            <w:tcW w:w="833" w:type="pct"/>
          </w:tcPr>
          <w:p w14:paraId="4A1F756D" w14:textId="77777777" w:rsidR="00CE49E1" w:rsidRPr="00054593" w:rsidRDefault="001435A4"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 (</w:t>
            </w:r>
            <w:r w:rsidR="00054593" w:rsidRPr="00054593">
              <w:rPr>
                <w:rFonts w:asciiTheme="minorHAnsi" w:hAnsiTheme="minorHAnsi" w:cstheme="minorHAnsi"/>
                <w:szCs w:val="18"/>
              </w:rPr>
              <w:t>33.3</w:t>
            </w:r>
            <w:r w:rsidR="00E545F5"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33E8A5E9" w14:textId="77777777" w:rsidR="00CE49E1" w:rsidRPr="00054593" w:rsidRDefault="001435A4"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 (</w:t>
            </w:r>
            <w:r w:rsidR="00054593" w:rsidRPr="00054593">
              <w:rPr>
                <w:rFonts w:asciiTheme="minorHAnsi" w:hAnsiTheme="minorHAnsi" w:cstheme="minorHAnsi"/>
                <w:szCs w:val="18"/>
              </w:rPr>
              <w:t>33.3</w:t>
            </w:r>
            <w:r w:rsidR="00E545F5"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7F31AC90" w14:textId="77777777" w:rsidR="00CE49E1" w:rsidRPr="00054593" w:rsidRDefault="001435A4"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 (</w:t>
            </w:r>
            <w:r w:rsidR="00054593" w:rsidRPr="00054593">
              <w:rPr>
                <w:rFonts w:asciiTheme="minorHAnsi" w:hAnsiTheme="minorHAnsi" w:cstheme="minorHAnsi"/>
                <w:szCs w:val="18"/>
              </w:rPr>
              <w:t>33.3</w:t>
            </w:r>
            <w:r w:rsidR="00E545F5"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2FB6171C" w14:textId="77777777" w:rsidR="00CE49E1" w:rsidRPr="00054593" w:rsidRDefault="001435A4"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0 (</w:t>
            </w:r>
            <w:r w:rsidR="00054593" w:rsidRPr="00054593">
              <w:rPr>
                <w:rFonts w:asciiTheme="minorHAnsi" w:hAnsiTheme="minorHAnsi" w:cstheme="minorHAnsi"/>
                <w:szCs w:val="18"/>
              </w:rPr>
              <w:t>0.0</w:t>
            </w:r>
            <w:r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77A15E51" w14:textId="77777777" w:rsidR="00CE49E1" w:rsidRPr="00054593" w:rsidRDefault="00422BE3"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0 (</w:t>
            </w:r>
            <w:r w:rsidR="00054593" w:rsidRPr="00054593">
              <w:rPr>
                <w:rFonts w:asciiTheme="minorHAnsi" w:hAnsiTheme="minorHAnsi" w:cstheme="minorHAnsi"/>
                <w:szCs w:val="18"/>
              </w:rPr>
              <w:t>0.0</w:t>
            </w:r>
            <w:r w:rsidRPr="00054593">
              <w:rPr>
                <w:rFonts w:asciiTheme="minorHAnsi" w:hAnsiTheme="minorHAnsi" w:cstheme="minorHAnsi"/>
                <w:szCs w:val="18"/>
              </w:rPr>
              <w:t>%</w:t>
            </w:r>
            <w:r>
              <w:rPr>
                <w:rFonts w:asciiTheme="minorHAnsi" w:hAnsiTheme="minorHAnsi" w:cstheme="minorHAnsi"/>
                <w:szCs w:val="18"/>
              </w:rPr>
              <w:t>)</w:t>
            </w:r>
          </w:p>
        </w:tc>
      </w:tr>
      <w:tr w:rsidR="002E5B6F" w:rsidRPr="009C1931" w14:paraId="72937512" w14:textId="77777777" w:rsidTr="00FC61F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5EF0AA10" w14:textId="77777777" w:rsidR="00CE49E1" w:rsidRPr="00057C3B" w:rsidRDefault="00CE49E1" w:rsidP="00FC61F2">
            <w:pPr>
              <w:pStyle w:val="TableText"/>
            </w:pPr>
            <w:r w:rsidRPr="00057C3B">
              <w:t>Speech pathology</w:t>
            </w:r>
          </w:p>
        </w:tc>
        <w:tc>
          <w:tcPr>
            <w:tcW w:w="833" w:type="pct"/>
          </w:tcPr>
          <w:p w14:paraId="51B8FEE1" w14:textId="77777777" w:rsidR="00CE49E1" w:rsidRPr="00054593" w:rsidRDefault="001435A4"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2 (</w:t>
            </w:r>
            <w:r w:rsidR="00054593" w:rsidRPr="00054593">
              <w:rPr>
                <w:rFonts w:asciiTheme="minorHAnsi" w:hAnsiTheme="minorHAnsi" w:cstheme="minorHAnsi"/>
                <w:szCs w:val="18"/>
              </w:rPr>
              <w:t>33.3</w:t>
            </w:r>
            <w:r w:rsidR="00E545F5"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4116DA20" w14:textId="77777777" w:rsidR="00CE49E1" w:rsidRPr="00054593" w:rsidRDefault="001435A4"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2 (</w:t>
            </w:r>
            <w:r w:rsidR="00054593" w:rsidRPr="00054593">
              <w:rPr>
                <w:rFonts w:asciiTheme="minorHAnsi" w:hAnsiTheme="minorHAnsi" w:cstheme="minorHAnsi"/>
                <w:szCs w:val="18"/>
              </w:rPr>
              <w:t>33.3</w:t>
            </w:r>
            <w:r w:rsidR="00E545F5"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24BAD60B" w14:textId="77777777" w:rsidR="00CE49E1" w:rsidRPr="00054593" w:rsidRDefault="001435A4"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 (</w:t>
            </w:r>
            <w:r w:rsidR="00054593" w:rsidRPr="00054593">
              <w:rPr>
                <w:rFonts w:asciiTheme="minorHAnsi" w:hAnsiTheme="minorHAnsi" w:cstheme="minorHAnsi"/>
                <w:szCs w:val="18"/>
              </w:rPr>
              <w:t>16.7</w:t>
            </w:r>
            <w:r w:rsidR="00E545F5"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2EB2245C" w14:textId="77777777" w:rsidR="00CE49E1" w:rsidRPr="00054593" w:rsidRDefault="001435A4"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 (</w:t>
            </w:r>
            <w:r w:rsidR="00054593" w:rsidRPr="00054593">
              <w:rPr>
                <w:rFonts w:asciiTheme="minorHAnsi" w:hAnsiTheme="minorHAnsi" w:cstheme="minorHAnsi"/>
                <w:szCs w:val="18"/>
              </w:rPr>
              <w:t>16.7</w:t>
            </w:r>
            <w:r w:rsidR="00E545F5"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0329B864" w14:textId="77777777" w:rsidR="00CE49E1" w:rsidRPr="00054593" w:rsidRDefault="00422BE3"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0 (</w:t>
            </w:r>
            <w:r w:rsidR="00054593" w:rsidRPr="00054593">
              <w:rPr>
                <w:rFonts w:asciiTheme="minorHAnsi" w:hAnsiTheme="minorHAnsi" w:cstheme="minorHAnsi"/>
                <w:szCs w:val="18"/>
              </w:rPr>
              <w:t>0.0</w:t>
            </w:r>
            <w:r w:rsidRPr="00054593">
              <w:rPr>
                <w:rFonts w:asciiTheme="minorHAnsi" w:hAnsiTheme="minorHAnsi" w:cstheme="minorHAnsi"/>
                <w:szCs w:val="18"/>
              </w:rPr>
              <w:t>%</w:t>
            </w:r>
            <w:r>
              <w:rPr>
                <w:rFonts w:asciiTheme="minorHAnsi" w:hAnsiTheme="minorHAnsi" w:cstheme="minorHAnsi"/>
                <w:szCs w:val="18"/>
              </w:rPr>
              <w:t>)</w:t>
            </w:r>
          </w:p>
        </w:tc>
      </w:tr>
      <w:tr w:rsidR="002E5B6F" w:rsidRPr="009C1931" w14:paraId="79AC83B6" w14:textId="77777777" w:rsidTr="00FC61F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1DFF1BD8" w14:textId="77777777" w:rsidR="00CE49E1" w:rsidRPr="00057C3B" w:rsidRDefault="00CE49E1" w:rsidP="00FC61F2">
            <w:pPr>
              <w:pStyle w:val="TableText"/>
            </w:pPr>
            <w:r w:rsidRPr="00057C3B">
              <w:t>Multiple areas of practice</w:t>
            </w:r>
          </w:p>
        </w:tc>
        <w:tc>
          <w:tcPr>
            <w:tcW w:w="833" w:type="pct"/>
          </w:tcPr>
          <w:p w14:paraId="5EDBF207" w14:textId="77777777" w:rsidR="00CE49E1" w:rsidRPr="00054593" w:rsidRDefault="001435A4"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 (</w:t>
            </w:r>
            <w:r w:rsidR="00054593" w:rsidRPr="00054593">
              <w:rPr>
                <w:rFonts w:asciiTheme="minorHAnsi" w:hAnsiTheme="minorHAnsi" w:cstheme="minorHAnsi"/>
                <w:szCs w:val="18"/>
              </w:rPr>
              <w:t>25.0</w:t>
            </w:r>
            <w:r w:rsidR="00E545F5"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36E0D81A" w14:textId="77777777" w:rsidR="00CE49E1" w:rsidRPr="00054593" w:rsidRDefault="00E545F5"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0 (</w:t>
            </w:r>
            <w:r w:rsidR="00054593" w:rsidRPr="00054593">
              <w:rPr>
                <w:rFonts w:asciiTheme="minorHAnsi" w:hAnsiTheme="minorHAnsi" w:cstheme="minorHAnsi"/>
                <w:szCs w:val="18"/>
              </w:rPr>
              <w:t>0.0</w:t>
            </w:r>
            <w:r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6ACF23F3" w14:textId="77777777" w:rsidR="00CE49E1" w:rsidRPr="00054593" w:rsidRDefault="001435A4"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 (</w:t>
            </w:r>
            <w:r w:rsidR="00054593" w:rsidRPr="00054593">
              <w:rPr>
                <w:rFonts w:asciiTheme="minorHAnsi" w:hAnsiTheme="minorHAnsi" w:cstheme="minorHAnsi"/>
                <w:szCs w:val="18"/>
              </w:rPr>
              <w:t>25.0</w:t>
            </w:r>
            <w:r w:rsidR="00E545F5"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27A31E8F" w14:textId="77777777" w:rsidR="00CE49E1" w:rsidRPr="00054593" w:rsidRDefault="001435A4"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 (</w:t>
            </w:r>
            <w:r w:rsidR="00054593" w:rsidRPr="00054593">
              <w:rPr>
                <w:rFonts w:asciiTheme="minorHAnsi" w:hAnsiTheme="minorHAnsi" w:cstheme="minorHAnsi"/>
                <w:szCs w:val="18"/>
              </w:rPr>
              <w:t>25.0</w:t>
            </w:r>
            <w:r w:rsidRPr="00054593">
              <w:rPr>
                <w:rFonts w:asciiTheme="minorHAnsi" w:hAnsiTheme="minorHAnsi" w:cstheme="minorHAnsi"/>
                <w:szCs w:val="18"/>
              </w:rPr>
              <w:t>%</w:t>
            </w:r>
            <w:r>
              <w:rPr>
                <w:rFonts w:asciiTheme="minorHAnsi" w:hAnsiTheme="minorHAnsi" w:cstheme="minorHAnsi"/>
                <w:szCs w:val="18"/>
              </w:rPr>
              <w:t>)</w:t>
            </w:r>
          </w:p>
        </w:tc>
        <w:tc>
          <w:tcPr>
            <w:tcW w:w="833" w:type="pct"/>
          </w:tcPr>
          <w:p w14:paraId="37D82266" w14:textId="77777777" w:rsidR="00CE49E1" w:rsidRPr="00054593" w:rsidRDefault="001435A4" w:rsidP="00FC61F2">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 (</w:t>
            </w:r>
            <w:r w:rsidR="00054593" w:rsidRPr="00054593">
              <w:rPr>
                <w:rFonts w:asciiTheme="minorHAnsi" w:hAnsiTheme="minorHAnsi" w:cstheme="minorHAnsi"/>
                <w:szCs w:val="18"/>
              </w:rPr>
              <w:t>25.0</w:t>
            </w:r>
            <w:r w:rsidRPr="00054593">
              <w:rPr>
                <w:rFonts w:asciiTheme="minorHAnsi" w:hAnsiTheme="minorHAnsi" w:cstheme="minorHAnsi"/>
                <w:szCs w:val="18"/>
              </w:rPr>
              <w:t>%</w:t>
            </w:r>
            <w:r>
              <w:rPr>
                <w:rFonts w:asciiTheme="minorHAnsi" w:hAnsiTheme="minorHAnsi" w:cstheme="minorHAnsi"/>
                <w:szCs w:val="18"/>
              </w:rPr>
              <w:t>)</w:t>
            </w:r>
          </w:p>
        </w:tc>
      </w:tr>
      <w:tr w:rsidR="002E5B6F" w:rsidRPr="009C1931" w14:paraId="2619D22D" w14:textId="77777777" w:rsidTr="00FC61F2">
        <w:trPr>
          <w:trHeight w:val="71"/>
        </w:trPr>
        <w:tc>
          <w:tcPr>
            <w:cnfStyle w:val="001000000000" w:firstRow="0" w:lastRow="0" w:firstColumn="1" w:lastColumn="0" w:oddVBand="0" w:evenVBand="0" w:oddHBand="0" w:evenHBand="0" w:firstRowFirstColumn="0" w:firstRowLastColumn="0" w:lastRowFirstColumn="0" w:lastRowLastColumn="0"/>
            <w:tcW w:w="833" w:type="pct"/>
          </w:tcPr>
          <w:p w14:paraId="6A45C318" w14:textId="77777777" w:rsidR="003C0D85" w:rsidRPr="00057C3B" w:rsidRDefault="003C0D85" w:rsidP="00FC61F2">
            <w:pPr>
              <w:pStyle w:val="Tabletextbold"/>
              <w:rPr>
                <w:rFonts w:eastAsiaTheme="minorEastAsia" w:cs="Arial"/>
                <w:b/>
                <w:szCs w:val="18"/>
              </w:rPr>
            </w:pPr>
            <w:r w:rsidRPr="00057C3B">
              <w:rPr>
                <w:b/>
              </w:rPr>
              <w:t>Total</w:t>
            </w:r>
            <w:r w:rsidRPr="00057C3B">
              <w:rPr>
                <w:rFonts w:eastAsiaTheme="minorEastAsia" w:cs="Arial"/>
                <w:b/>
                <w:szCs w:val="18"/>
              </w:rPr>
              <w:t>: 57 respondents</w:t>
            </w:r>
            <w:r w:rsidR="001435A4" w:rsidRPr="00057C3B">
              <w:rPr>
                <w:rFonts w:eastAsiaTheme="minorEastAsia" w:cs="Arial"/>
                <w:b/>
                <w:szCs w:val="18"/>
              </w:rPr>
              <w:t xml:space="preserve"> / 138 responses</w:t>
            </w:r>
          </w:p>
        </w:tc>
        <w:tc>
          <w:tcPr>
            <w:tcW w:w="833" w:type="pct"/>
          </w:tcPr>
          <w:p w14:paraId="115A51CE" w14:textId="77777777" w:rsidR="003C0D85" w:rsidRPr="008B6161" w:rsidRDefault="001435A4" w:rsidP="00FC61F2">
            <w:pPr>
              <w:pStyle w:val="Tabletextbold"/>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Cs w:val="18"/>
              </w:rPr>
            </w:pPr>
            <w:r w:rsidRPr="008B6161">
              <w:rPr>
                <w:rFonts w:asciiTheme="minorHAnsi" w:hAnsiTheme="minorHAnsi" w:cstheme="minorHAnsi"/>
              </w:rPr>
              <w:t>50 (</w:t>
            </w:r>
            <w:r w:rsidR="00054593" w:rsidRPr="008B6161">
              <w:rPr>
                <w:rFonts w:asciiTheme="minorHAnsi" w:hAnsiTheme="minorHAnsi" w:cstheme="minorHAnsi"/>
                <w:szCs w:val="18"/>
              </w:rPr>
              <w:t>36.2</w:t>
            </w:r>
            <w:r w:rsidR="00E545F5" w:rsidRPr="008B6161">
              <w:rPr>
                <w:rFonts w:asciiTheme="minorHAnsi" w:hAnsiTheme="minorHAnsi" w:cstheme="minorHAnsi"/>
                <w:szCs w:val="18"/>
              </w:rPr>
              <w:t>%</w:t>
            </w:r>
            <w:r w:rsidRPr="008B6161">
              <w:rPr>
                <w:rFonts w:asciiTheme="minorHAnsi" w:hAnsiTheme="minorHAnsi" w:cstheme="minorHAnsi"/>
                <w:szCs w:val="18"/>
              </w:rPr>
              <w:t>)</w:t>
            </w:r>
          </w:p>
        </w:tc>
        <w:tc>
          <w:tcPr>
            <w:tcW w:w="833" w:type="pct"/>
          </w:tcPr>
          <w:p w14:paraId="5100F665" w14:textId="77777777" w:rsidR="003C0D85" w:rsidRPr="008B6161" w:rsidRDefault="001435A4" w:rsidP="00FC61F2">
            <w:pPr>
              <w:pStyle w:val="Tabletextbold"/>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Cs w:val="18"/>
              </w:rPr>
            </w:pPr>
            <w:r w:rsidRPr="008B6161">
              <w:rPr>
                <w:rFonts w:asciiTheme="minorHAnsi" w:hAnsiTheme="minorHAnsi" w:cstheme="minorHAnsi"/>
              </w:rPr>
              <w:t>42 (</w:t>
            </w:r>
            <w:r w:rsidR="00054593" w:rsidRPr="008B6161">
              <w:rPr>
                <w:rFonts w:asciiTheme="minorHAnsi" w:hAnsiTheme="minorHAnsi" w:cstheme="minorHAnsi"/>
                <w:szCs w:val="18"/>
              </w:rPr>
              <w:t>30.4</w:t>
            </w:r>
            <w:r w:rsidR="00E545F5" w:rsidRPr="008B6161">
              <w:rPr>
                <w:rFonts w:asciiTheme="minorHAnsi" w:hAnsiTheme="minorHAnsi" w:cstheme="minorHAnsi"/>
                <w:szCs w:val="18"/>
              </w:rPr>
              <w:t>%</w:t>
            </w:r>
            <w:r w:rsidRPr="008B6161">
              <w:rPr>
                <w:rFonts w:asciiTheme="minorHAnsi" w:hAnsiTheme="minorHAnsi" w:cstheme="minorHAnsi"/>
                <w:szCs w:val="18"/>
              </w:rPr>
              <w:t>)</w:t>
            </w:r>
          </w:p>
        </w:tc>
        <w:tc>
          <w:tcPr>
            <w:tcW w:w="833" w:type="pct"/>
          </w:tcPr>
          <w:p w14:paraId="2CF96120" w14:textId="77777777" w:rsidR="003C0D85" w:rsidRPr="008B6161" w:rsidRDefault="001435A4" w:rsidP="00FC61F2">
            <w:pPr>
              <w:pStyle w:val="Tabletextbold"/>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Cs w:val="18"/>
              </w:rPr>
            </w:pPr>
            <w:r w:rsidRPr="008B6161">
              <w:rPr>
                <w:rFonts w:asciiTheme="minorHAnsi" w:hAnsiTheme="minorHAnsi" w:cstheme="minorHAnsi"/>
              </w:rPr>
              <w:t>19 (</w:t>
            </w:r>
            <w:r w:rsidR="00054593" w:rsidRPr="008B6161">
              <w:rPr>
                <w:rFonts w:asciiTheme="minorHAnsi" w:hAnsiTheme="minorHAnsi" w:cstheme="minorHAnsi"/>
                <w:szCs w:val="18"/>
              </w:rPr>
              <w:t>13.</w:t>
            </w:r>
            <w:r w:rsidR="009B6B62" w:rsidRPr="008B6161">
              <w:rPr>
                <w:rFonts w:asciiTheme="minorHAnsi" w:hAnsiTheme="minorHAnsi" w:cstheme="minorHAnsi"/>
                <w:szCs w:val="18"/>
              </w:rPr>
              <w:t>8</w:t>
            </w:r>
            <w:r w:rsidR="00E545F5" w:rsidRPr="008B6161">
              <w:rPr>
                <w:rFonts w:asciiTheme="minorHAnsi" w:hAnsiTheme="minorHAnsi" w:cstheme="minorHAnsi"/>
                <w:szCs w:val="18"/>
              </w:rPr>
              <w:t>%</w:t>
            </w:r>
            <w:r w:rsidRPr="008B6161">
              <w:rPr>
                <w:rFonts w:asciiTheme="minorHAnsi" w:hAnsiTheme="minorHAnsi" w:cstheme="minorHAnsi"/>
                <w:szCs w:val="18"/>
              </w:rPr>
              <w:t>)</w:t>
            </w:r>
          </w:p>
        </w:tc>
        <w:tc>
          <w:tcPr>
            <w:tcW w:w="833" w:type="pct"/>
          </w:tcPr>
          <w:p w14:paraId="760FD9B2" w14:textId="77777777" w:rsidR="003C0D85" w:rsidRPr="008B6161" w:rsidRDefault="001435A4" w:rsidP="00FC61F2">
            <w:pPr>
              <w:pStyle w:val="Tabletextbold"/>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Cs w:val="18"/>
              </w:rPr>
            </w:pPr>
            <w:r w:rsidRPr="008B6161">
              <w:rPr>
                <w:rFonts w:asciiTheme="minorHAnsi" w:hAnsiTheme="minorHAnsi" w:cstheme="minorHAnsi"/>
              </w:rPr>
              <w:t>22 (</w:t>
            </w:r>
            <w:r w:rsidR="00054593" w:rsidRPr="008B6161">
              <w:rPr>
                <w:rFonts w:asciiTheme="minorHAnsi" w:hAnsiTheme="minorHAnsi" w:cstheme="minorHAnsi"/>
                <w:szCs w:val="18"/>
              </w:rPr>
              <w:t>15.9</w:t>
            </w:r>
            <w:r w:rsidR="00E545F5" w:rsidRPr="008B6161">
              <w:rPr>
                <w:rFonts w:asciiTheme="minorHAnsi" w:hAnsiTheme="minorHAnsi" w:cstheme="minorHAnsi"/>
                <w:szCs w:val="18"/>
              </w:rPr>
              <w:t>%</w:t>
            </w:r>
            <w:r w:rsidRPr="008B6161">
              <w:rPr>
                <w:rFonts w:asciiTheme="minorHAnsi" w:hAnsiTheme="minorHAnsi" w:cstheme="minorHAnsi"/>
                <w:szCs w:val="18"/>
              </w:rPr>
              <w:t>)</w:t>
            </w:r>
          </w:p>
        </w:tc>
        <w:tc>
          <w:tcPr>
            <w:tcW w:w="833" w:type="pct"/>
          </w:tcPr>
          <w:p w14:paraId="591F7008" w14:textId="77777777" w:rsidR="003C0D85" w:rsidRPr="008B6161" w:rsidRDefault="001435A4" w:rsidP="00FC61F2">
            <w:pPr>
              <w:pStyle w:val="Tabletextbold"/>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Cs w:val="18"/>
              </w:rPr>
            </w:pPr>
            <w:r w:rsidRPr="008B6161">
              <w:rPr>
                <w:rFonts w:asciiTheme="minorHAnsi" w:hAnsiTheme="minorHAnsi" w:cstheme="minorHAnsi"/>
              </w:rPr>
              <w:t>5 (</w:t>
            </w:r>
            <w:r w:rsidR="00054593" w:rsidRPr="008B6161">
              <w:rPr>
                <w:rFonts w:asciiTheme="minorHAnsi" w:hAnsiTheme="minorHAnsi" w:cstheme="minorHAnsi"/>
                <w:szCs w:val="18"/>
              </w:rPr>
              <w:t>3.6</w:t>
            </w:r>
            <w:r w:rsidR="00E545F5" w:rsidRPr="008B6161">
              <w:rPr>
                <w:rFonts w:asciiTheme="minorHAnsi" w:hAnsiTheme="minorHAnsi" w:cstheme="minorHAnsi"/>
                <w:szCs w:val="18"/>
              </w:rPr>
              <w:t>%</w:t>
            </w:r>
            <w:r w:rsidRPr="008B6161">
              <w:rPr>
                <w:rFonts w:asciiTheme="minorHAnsi" w:hAnsiTheme="minorHAnsi" w:cstheme="minorHAnsi"/>
                <w:szCs w:val="18"/>
              </w:rPr>
              <w:t>)</w:t>
            </w:r>
          </w:p>
        </w:tc>
      </w:tr>
    </w:tbl>
    <w:p w14:paraId="47A0D812" w14:textId="6BB1840F" w:rsidR="003C0D85" w:rsidRPr="00D50E7B" w:rsidRDefault="003C0D85" w:rsidP="00FC61F2">
      <w:pPr>
        <w:pStyle w:val="Caption-Source"/>
      </w:pPr>
      <w:r w:rsidRPr="007148C5">
        <w:t xml:space="preserve">Source: </w:t>
      </w:r>
      <w:r w:rsidR="00B26691">
        <w:t>Independent reviewer</w:t>
      </w:r>
      <w:r w:rsidR="00B26691" w:rsidRPr="00CD3106">
        <w:t xml:space="preserve"> </w:t>
      </w:r>
      <w:r w:rsidR="00584D02" w:rsidRPr="00D50E7B">
        <w:t>(</w:t>
      </w:r>
      <w:r w:rsidRPr="00D50E7B">
        <w:t>2025</w:t>
      </w:r>
      <w:r w:rsidR="00584D02" w:rsidRPr="00D50E7B">
        <w:t>)</w:t>
      </w:r>
    </w:p>
    <w:p w14:paraId="008E0E93" w14:textId="77777777" w:rsidR="00A73D14" w:rsidRPr="0043000C" w:rsidRDefault="00A73D14" w:rsidP="0043000C">
      <w:pPr>
        <w:pStyle w:val="ListNumber"/>
        <w:numPr>
          <w:ilvl w:val="0"/>
          <w:numId w:val="22"/>
        </w:numPr>
        <w:rPr>
          <w:rStyle w:val="Strong"/>
        </w:rPr>
      </w:pPr>
      <w:r w:rsidRPr="0043000C">
        <w:rPr>
          <w:rStyle w:val="Strong"/>
        </w:rPr>
        <w:t>In your experience, what are the most common funding schemes / mechanisms accessed by people requiring a prosthesis? [multi answer, mandatory]</w:t>
      </w:r>
    </w:p>
    <w:p w14:paraId="64D1BD52" w14:textId="77777777" w:rsidR="00A73D14" w:rsidRPr="00FC61F2" w:rsidRDefault="00A73D14" w:rsidP="00FC61F2">
      <w:pPr>
        <w:pStyle w:val="Bullet1stlevel"/>
      </w:pPr>
      <w:r w:rsidRPr="00FC61F2">
        <w:t>NDIS</w:t>
      </w:r>
    </w:p>
    <w:p w14:paraId="5D58DB2A" w14:textId="77777777" w:rsidR="00A73D14" w:rsidRDefault="00A73D14" w:rsidP="00FC61F2">
      <w:pPr>
        <w:pStyle w:val="Bullet1stlevel"/>
      </w:pPr>
      <w:r w:rsidRPr="001B7159">
        <w:t>Department of Veterans Affairs (DVA)</w:t>
      </w:r>
    </w:p>
    <w:p w14:paraId="34DCC089" w14:textId="77777777" w:rsidR="00A73D14" w:rsidRDefault="00A73D14" w:rsidP="00FC61F2">
      <w:pPr>
        <w:pStyle w:val="Bullet1stlevel"/>
      </w:pPr>
      <w:r>
        <w:t>State / territory health department program / scheme</w:t>
      </w:r>
    </w:p>
    <w:p w14:paraId="13D31F4A" w14:textId="77777777" w:rsidR="00A73D14" w:rsidRDefault="00A73D14" w:rsidP="00FC61F2">
      <w:pPr>
        <w:pStyle w:val="Bullet1stlevel"/>
      </w:pPr>
      <w:r>
        <w:t>Private health insurance</w:t>
      </w:r>
    </w:p>
    <w:p w14:paraId="2564135B" w14:textId="77777777" w:rsidR="00A73D14" w:rsidRDefault="00A73D14" w:rsidP="00FC61F2">
      <w:pPr>
        <w:pStyle w:val="Bullet1stlevel"/>
      </w:pPr>
      <w:r>
        <w:t>Charity</w:t>
      </w:r>
    </w:p>
    <w:p w14:paraId="0B4749C0" w14:textId="77777777" w:rsidR="00A73D14" w:rsidRDefault="00A73D14" w:rsidP="00FC61F2">
      <w:pPr>
        <w:pStyle w:val="Bullet1stlevel"/>
      </w:pPr>
      <w:r w:rsidRPr="001B7159">
        <w:t>Philanthropic source</w:t>
      </w:r>
      <w:r>
        <w:t>s</w:t>
      </w:r>
    </w:p>
    <w:p w14:paraId="48E50D5C" w14:textId="77777777" w:rsidR="00A73D14" w:rsidRDefault="00A73D14" w:rsidP="00FC61F2">
      <w:pPr>
        <w:pStyle w:val="Bullet1stlevel"/>
      </w:pPr>
      <w:r>
        <w:t>Family / friends / other relatives</w:t>
      </w:r>
    </w:p>
    <w:p w14:paraId="163E6E9F" w14:textId="77777777" w:rsidR="00A73D14" w:rsidRPr="00FC61F2" w:rsidRDefault="00A73D14" w:rsidP="00FC61F2">
      <w:pPr>
        <w:pStyle w:val="Bullet1stlevel"/>
      </w:pPr>
      <w:r w:rsidRPr="00FC61F2">
        <w:t>Other, please specify [free text, not required]</w:t>
      </w:r>
    </w:p>
    <w:p w14:paraId="74268853" w14:textId="77777777" w:rsidR="00DD719A" w:rsidRPr="00DD71E7" w:rsidRDefault="00DD719A" w:rsidP="00DD71E7">
      <w:r w:rsidRPr="00DD71E7">
        <w:t xml:space="preserve">The following dot points outlines the five “Other” responses for this question. These responses have an accompanying bracket that describes the respondent. </w:t>
      </w:r>
    </w:p>
    <w:p w14:paraId="0548CBB2" w14:textId="77777777" w:rsidR="00DD719A" w:rsidRDefault="002945BB" w:rsidP="00FC61F2">
      <w:pPr>
        <w:pStyle w:val="Bullet1stlevel"/>
      </w:pPr>
      <w:r>
        <w:t>Not available in South Australia</w:t>
      </w:r>
      <w:r w:rsidR="00DD719A">
        <w:t xml:space="preserve"> (</w:t>
      </w:r>
      <w:r>
        <w:t>South Australia</w:t>
      </w:r>
      <w:r w:rsidR="00DD719A">
        <w:t xml:space="preserve">; metropolitan; </w:t>
      </w:r>
      <w:r w:rsidR="00F92838">
        <w:t xml:space="preserve">otolaryngology </w:t>
      </w:r>
      <w:r w:rsidR="00F92838" w:rsidRPr="00F92838">
        <w:t>head and neck surgery</w:t>
      </w:r>
      <w:r w:rsidR="00DD719A">
        <w:t>)</w:t>
      </w:r>
    </w:p>
    <w:p w14:paraId="54BB22BC" w14:textId="77777777" w:rsidR="00DD719A" w:rsidRDefault="0020673B" w:rsidP="00FC61F2">
      <w:pPr>
        <w:pStyle w:val="Bullet1stlevel"/>
      </w:pPr>
      <w:r>
        <w:t xml:space="preserve">Medicare </w:t>
      </w:r>
      <w:r w:rsidR="00DD719A">
        <w:t>(</w:t>
      </w:r>
      <w:r>
        <w:t>Queensland</w:t>
      </w:r>
      <w:r w:rsidR="00DD719A">
        <w:t xml:space="preserve">; metropolitan; </w:t>
      </w:r>
      <w:r w:rsidR="001530EF">
        <w:t>lymphatic system</w:t>
      </w:r>
      <w:r w:rsidR="00DD719A">
        <w:t>)</w:t>
      </w:r>
    </w:p>
    <w:p w14:paraId="2A30738B" w14:textId="77777777" w:rsidR="00DD719A" w:rsidRDefault="00DD719A" w:rsidP="00FC61F2">
      <w:pPr>
        <w:pStyle w:val="Bullet1stlevel"/>
      </w:pPr>
      <w:r>
        <w:t>Public funding as part of an overall treatment plan (</w:t>
      </w:r>
      <w:r w:rsidR="0020673B">
        <w:t>Western Australia</w:t>
      </w:r>
      <w:r>
        <w:t xml:space="preserve">; metropolitan; </w:t>
      </w:r>
      <w:r w:rsidR="00317C0C">
        <w:t>oral and maxillofacial</w:t>
      </w:r>
      <w:r>
        <w:t>)</w:t>
      </w:r>
    </w:p>
    <w:p w14:paraId="1FCD6EE5" w14:textId="77777777" w:rsidR="00DD719A" w:rsidRDefault="008F500E" w:rsidP="00FC61F2">
      <w:pPr>
        <w:pStyle w:val="Bullet1stlevel"/>
      </w:pPr>
      <w:r>
        <w:t>Self-funding</w:t>
      </w:r>
      <w:r w:rsidR="00DD719A">
        <w:t xml:space="preserve"> (</w:t>
      </w:r>
      <w:r w:rsidR="0020673B">
        <w:t>South</w:t>
      </w:r>
      <w:r w:rsidR="00DD719A">
        <w:t xml:space="preserve"> Australia; metropolitan; lymphatic system)</w:t>
      </w:r>
    </w:p>
    <w:p w14:paraId="2724010A" w14:textId="77777777" w:rsidR="00DD719A" w:rsidRPr="00C01966" w:rsidRDefault="008F500E" w:rsidP="00FC61F2">
      <w:pPr>
        <w:pStyle w:val="Bullet1stlevel"/>
      </w:pPr>
      <w:r>
        <w:t>Self-funding</w:t>
      </w:r>
      <w:r w:rsidR="00DD719A">
        <w:t xml:space="preserve"> </w:t>
      </w:r>
      <w:r>
        <w:t>(Victoria;</w:t>
      </w:r>
      <w:r w:rsidR="00DD719A">
        <w:t xml:space="preserve"> </w:t>
      </w:r>
      <w:r>
        <w:t>metropolitan; speech pathology</w:t>
      </w:r>
      <w:r w:rsidR="00DD719A">
        <w:t xml:space="preserve">) </w:t>
      </w:r>
    </w:p>
    <w:p w14:paraId="1B1AC4D8" w14:textId="77777777" w:rsidR="000C4FCA" w:rsidRPr="000C4FCA" w:rsidRDefault="000C4FCA" w:rsidP="000C4FCA">
      <w:pPr>
        <w:spacing w:before="0" w:after="160" w:line="259" w:lineRule="auto"/>
        <w:rPr>
          <w:rFonts w:ascii="Arial" w:hAnsi="Arial" w:cs="Arial"/>
          <w:b/>
          <w:szCs w:val="20"/>
        </w:rPr>
      </w:pPr>
      <w:r w:rsidRPr="000C4FCA">
        <w:rPr>
          <w:rFonts w:ascii="Arial" w:hAnsi="Arial" w:cs="Arial"/>
          <w:b/>
          <w:szCs w:val="20"/>
        </w:rPr>
        <w:t>Responses by jurisdictions</w:t>
      </w:r>
    </w:p>
    <w:p w14:paraId="168DEA0E" w14:textId="0B337BD1" w:rsidR="00FC61F2" w:rsidRDefault="00FC61F2" w:rsidP="00FC61F2">
      <w:pPr>
        <w:pStyle w:val="Caption"/>
      </w:pPr>
      <w:bookmarkStart w:id="268" w:name="_Toc207348659"/>
      <w:r>
        <w:t xml:space="preserve">Table </w:t>
      </w:r>
      <w:r w:rsidR="00E6799D">
        <w:fldChar w:fldCharType="begin"/>
      </w:r>
      <w:r w:rsidR="00E6799D">
        <w:instrText xml:space="preserve"> SEQ Table \* ARABIC </w:instrText>
      </w:r>
      <w:r w:rsidR="00E6799D">
        <w:fldChar w:fldCharType="separate"/>
      </w:r>
      <w:r w:rsidR="00E6799D">
        <w:rPr>
          <w:noProof/>
        </w:rPr>
        <w:t>94</w:t>
      </w:r>
      <w:r w:rsidR="00E6799D">
        <w:rPr>
          <w:noProof/>
        </w:rPr>
        <w:fldChar w:fldCharType="end"/>
      </w:r>
      <w:r>
        <w:t xml:space="preserve">: </w:t>
      </w:r>
      <w:r w:rsidRPr="00C27C12">
        <w:t xml:space="preserve">Response </w:t>
      </w:r>
      <w:r>
        <w:t>to question 5 by jurisdiction</w:t>
      </w:r>
      <w:bookmarkEnd w:id="268"/>
      <w:r>
        <w:t xml:space="preserve"> </w:t>
      </w:r>
    </w:p>
    <w:tbl>
      <w:tblPr>
        <w:tblStyle w:val="KPMGTable"/>
        <w:tblW w:w="5000" w:type="pct"/>
        <w:tblLayout w:type="fixed"/>
        <w:tblLook w:val="06A0" w:firstRow="1" w:lastRow="0" w:firstColumn="1" w:lastColumn="0" w:noHBand="1" w:noVBand="1"/>
      </w:tblPr>
      <w:tblGrid>
        <w:gridCol w:w="1303"/>
        <w:gridCol w:w="1113"/>
        <w:gridCol w:w="1112"/>
        <w:gridCol w:w="1112"/>
        <w:gridCol w:w="1114"/>
        <w:gridCol w:w="1112"/>
        <w:gridCol w:w="1112"/>
        <w:gridCol w:w="1112"/>
        <w:gridCol w:w="1114"/>
      </w:tblGrid>
      <w:tr w:rsidR="00210A81" w:rsidRPr="00386CBC" w14:paraId="059D743B" w14:textId="77777777" w:rsidTr="007A7F51">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638" w:type="pct"/>
          </w:tcPr>
          <w:p w14:paraId="6CFE5A2C" w14:textId="2F9D9D34" w:rsidR="000C4FCA" w:rsidRPr="007B154A" w:rsidRDefault="000730D0" w:rsidP="00FC61F2">
            <w:pPr>
              <w:pStyle w:val="TableHeading"/>
            </w:pPr>
            <w:r>
              <w:t>Jurisdiction</w:t>
            </w:r>
          </w:p>
        </w:tc>
        <w:tc>
          <w:tcPr>
            <w:tcW w:w="545" w:type="pct"/>
          </w:tcPr>
          <w:p w14:paraId="74D643AA" w14:textId="77777777" w:rsidR="000C4FCA" w:rsidRDefault="0098606B" w:rsidP="00FC61F2">
            <w:pPr>
              <w:pStyle w:val="TableHeading"/>
              <w:cnfStyle w:val="100000000000" w:firstRow="1" w:lastRow="0" w:firstColumn="0" w:lastColumn="0" w:oddVBand="0" w:evenVBand="0" w:oddHBand="0" w:evenHBand="0" w:firstRowFirstColumn="0" w:firstRowLastColumn="0" w:lastRowFirstColumn="0" w:lastRowLastColumn="0"/>
            </w:pPr>
            <w:r>
              <w:t>NDIS</w:t>
            </w:r>
          </w:p>
        </w:tc>
        <w:tc>
          <w:tcPr>
            <w:tcW w:w="545" w:type="pct"/>
          </w:tcPr>
          <w:p w14:paraId="5AEED05C" w14:textId="77777777" w:rsidR="000C4FCA" w:rsidRDefault="0098606B" w:rsidP="00FC61F2">
            <w:pPr>
              <w:pStyle w:val="TableHeading"/>
              <w:cnfStyle w:val="100000000000" w:firstRow="1" w:lastRow="0" w:firstColumn="0" w:lastColumn="0" w:oddVBand="0" w:evenVBand="0" w:oddHBand="0" w:evenHBand="0" w:firstRowFirstColumn="0" w:firstRowLastColumn="0" w:lastRowFirstColumn="0" w:lastRowLastColumn="0"/>
            </w:pPr>
            <w:r>
              <w:t>DVA</w:t>
            </w:r>
          </w:p>
        </w:tc>
        <w:tc>
          <w:tcPr>
            <w:tcW w:w="545" w:type="pct"/>
          </w:tcPr>
          <w:p w14:paraId="16BC4027" w14:textId="5B930EBC" w:rsidR="000C4FCA" w:rsidRDefault="0098606B" w:rsidP="00FC61F2">
            <w:pPr>
              <w:pStyle w:val="TableHeading"/>
              <w:cnfStyle w:val="100000000000" w:firstRow="1" w:lastRow="0" w:firstColumn="0" w:lastColumn="0" w:oddVBand="0" w:evenVBand="0" w:oddHBand="0" w:evenHBand="0" w:firstRowFirstColumn="0" w:firstRowLastColumn="0" w:lastRowFirstColumn="0" w:lastRowLastColumn="0"/>
            </w:pPr>
            <w:r>
              <w:t>State / territory health depart</w:t>
            </w:r>
            <w:r w:rsidR="00BF4D99">
              <w:t>-</w:t>
            </w:r>
            <w:proofErr w:type="spellStart"/>
            <w:r>
              <w:t>ment</w:t>
            </w:r>
            <w:proofErr w:type="spellEnd"/>
          </w:p>
        </w:tc>
        <w:tc>
          <w:tcPr>
            <w:tcW w:w="546" w:type="pct"/>
          </w:tcPr>
          <w:p w14:paraId="4EF5CCC4" w14:textId="77777777" w:rsidR="000C4FCA" w:rsidRDefault="0098606B" w:rsidP="00FC61F2">
            <w:pPr>
              <w:pStyle w:val="TableHeading"/>
              <w:cnfStyle w:val="100000000000" w:firstRow="1" w:lastRow="0" w:firstColumn="0" w:lastColumn="0" w:oddVBand="0" w:evenVBand="0" w:oddHBand="0" w:evenHBand="0" w:firstRowFirstColumn="0" w:firstRowLastColumn="0" w:lastRowFirstColumn="0" w:lastRowLastColumn="0"/>
            </w:pPr>
            <w:r>
              <w:t>Private health insurance</w:t>
            </w:r>
          </w:p>
        </w:tc>
        <w:tc>
          <w:tcPr>
            <w:tcW w:w="545" w:type="pct"/>
          </w:tcPr>
          <w:p w14:paraId="46BD68AC" w14:textId="77777777" w:rsidR="000C4FCA" w:rsidRDefault="0098606B" w:rsidP="00FC61F2">
            <w:pPr>
              <w:pStyle w:val="TableHeading"/>
              <w:cnfStyle w:val="100000000000" w:firstRow="1" w:lastRow="0" w:firstColumn="0" w:lastColumn="0" w:oddVBand="0" w:evenVBand="0" w:oddHBand="0" w:evenHBand="0" w:firstRowFirstColumn="0" w:firstRowLastColumn="0" w:lastRowFirstColumn="0" w:lastRowLastColumn="0"/>
            </w:pPr>
            <w:r>
              <w:t>Charity</w:t>
            </w:r>
          </w:p>
        </w:tc>
        <w:tc>
          <w:tcPr>
            <w:tcW w:w="545" w:type="pct"/>
          </w:tcPr>
          <w:p w14:paraId="6B6576C8" w14:textId="33A9238E" w:rsidR="0098606B" w:rsidRDefault="0098606B" w:rsidP="00FC61F2">
            <w:pPr>
              <w:pStyle w:val="TableHeading"/>
              <w:cnfStyle w:val="100000000000" w:firstRow="1" w:lastRow="0" w:firstColumn="0" w:lastColumn="0" w:oddVBand="0" w:evenVBand="0" w:oddHBand="0" w:evenHBand="0" w:firstRowFirstColumn="0" w:firstRowLastColumn="0" w:lastRowFirstColumn="0" w:lastRowLastColumn="0"/>
            </w:pPr>
            <w:proofErr w:type="spellStart"/>
            <w:r>
              <w:t>Philanth</w:t>
            </w:r>
            <w:r w:rsidR="00BF4D99">
              <w:t>-</w:t>
            </w:r>
            <w:r>
              <w:t>ropic</w:t>
            </w:r>
            <w:proofErr w:type="spellEnd"/>
            <w:r>
              <w:t xml:space="preserve"> source</w:t>
            </w:r>
          </w:p>
        </w:tc>
        <w:tc>
          <w:tcPr>
            <w:tcW w:w="545" w:type="pct"/>
          </w:tcPr>
          <w:p w14:paraId="2E8AD0DE" w14:textId="77777777" w:rsidR="0098606B" w:rsidRDefault="0098606B" w:rsidP="00FC61F2">
            <w:pPr>
              <w:pStyle w:val="TableHeading"/>
              <w:cnfStyle w:val="100000000000" w:firstRow="1" w:lastRow="0" w:firstColumn="0" w:lastColumn="0" w:oddVBand="0" w:evenVBand="0" w:oddHBand="0" w:evenHBand="0" w:firstRowFirstColumn="0" w:firstRowLastColumn="0" w:lastRowFirstColumn="0" w:lastRowLastColumn="0"/>
            </w:pPr>
            <w:r>
              <w:t>Family / friends/ other relatives</w:t>
            </w:r>
          </w:p>
        </w:tc>
        <w:tc>
          <w:tcPr>
            <w:tcW w:w="546" w:type="pct"/>
          </w:tcPr>
          <w:p w14:paraId="1E7B9204" w14:textId="77777777" w:rsidR="0098606B" w:rsidRDefault="0098606B" w:rsidP="00FC61F2">
            <w:pPr>
              <w:pStyle w:val="TableHeading"/>
              <w:cnfStyle w:val="100000000000" w:firstRow="1" w:lastRow="0" w:firstColumn="0" w:lastColumn="0" w:oddVBand="0" w:evenVBand="0" w:oddHBand="0" w:evenHBand="0" w:firstRowFirstColumn="0" w:firstRowLastColumn="0" w:lastRowFirstColumn="0" w:lastRowLastColumn="0"/>
            </w:pPr>
            <w:r>
              <w:t>Other</w:t>
            </w:r>
          </w:p>
        </w:tc>
      </w:tr>
      <w:tr w:rsidR="00AE1E92" w:rsidRPr="006D20D0" w14:paraId="226CCDEF" w14:textId="77777777" w:rsidTr="00057C3B">
        <w:trPr>
          <w:trHeight w:val="71"/>
        </w:trPr>
        <w:tc>
          <w:tcPr>
            <w:cnfStyle w:val="001000000000" w:firstRow="0" w:lastRow="0" w:firstColumn="1" w:lastColumn="0" w:oddVBand="0" w:evenVBand="0" w:oddHBand="0" w:evenHBand="0" w:firstRowFirstColumn="0" w:firstRowLastColumn="0" w:lastRowFirstColumn="0" w:lastRowLastColumn="0"/>
            <w:tcW w:w="638" w:type="pct"/>
          </w:tcPr>
          <w:p w14:paraId="0480A792" w14:textId="77777777" w:rsidR="000C4FCA" w:rsidRPr="00057C3B" w:rsidRDefault="000C4FCA" w:rsidP="00FC61F2">
            <w:pPr>
              <w:pStyle w:val="TableText"/>
            </w:pPr>
            <w:r w:rsidRPr="00057C3B">
              <w:t>New South Wales</w:t>
            </w:r>
          </w:p>
        </w:tc>
        <w:tc>
          <w:tcPr>
            <w:tcW w:w="545" w:type="pct"/>
          </w:tcPr>
          <w:p w14:paraId="56A93EFD" w14:textId="77777777" w:rsidR="000C4FCA" w:rsidRDefault="009615A4" w:rsidP="00FC61F2">
            <w:pPr>
              <w:pStyle w:val="TableText"/>
              <w:cnfStyle w:val="000000000000" w:firstRow="0" w:lastRow="0" w:firstColumn="0" w:lastColumn="0" w:oddVBand="0" w:evenVBand="0" w:oddHBand="0" w:evenHBand="0" w:firstRowFirstColumn="0" w:firstRowLastColumn="0" w:lastRowFirstColumn="0" w:lastRowLastColumn="0"/>
            </w:pPr>
            <w:r>
              <w:t>1</w:t>
            </w:r>
            <w:r>
              <w:br/>
              <w:t>(</w:t>
            </w:r>
            <w:r w:rsidRPr="009615A4">
              <w:t>2.6%</w:t>
            </w:r>
            <w:r>
              <w:t>)</w:t>
            </w:r>
          </w:p>
        </w:tc>
        <w:tc>
          <w:tcPr>
            <w:tcW w:w="545" w:type="pct"/>
          </w:tcPr>
          <w:p w14:paraId="35E25D88" w14:textId="77777777" w:rsidR="000C4FCA" w:rsidRDefault="009615A4" w:rsidP="00FC61F2">
            <w:pPr>
              <w:pStyle w:val="TableText"/>
              <w:cnfStyle w:val="000000000000" w:firstRow="0" w:lastRow="0" w:firstColumn="0" w:lastColumn="0" w:oddVBand="0" w:evenVBand="0" w:oddHBand="0" w:evenHBand="0" w:firstRowFirstColumn="0" w:firstRowLastColumn="0" w:lastRowFirstColumn="0" w:lastRowLastColumn="0"/>
            </w:pPr>
            <w:r>
              <w:t xml:space="preserve">4 </w:t>
            </w:r>
            <w:r>
              <w:br/>
              <w:t>(</w:t>
            </w:r>
            <w:r w:rsidRPr="009615A4">
              <w:t>10.</w:t>
            </w:r>
            <w:r w:rsidR="00B66499">
              <w:t>3</w:t>
            </w:r>
            <w:r w:rsidRPr="009615A4">
              <w:t>%</w:t>
            </w:r>
            <w:r>
              <w:t>)</w:t>
            </w:r>
          </w:p>
        </w:tc>
        <w:tc>
          <w:tcPr>
            <w:tcW w:w="545" w:type="pct"/>
          </w:tcPr>
          <w:p w14:paraId="482AFA48" w14:textId="77777777" w:rsidR="000C4FCA" w:rsidRDefault="009615A4" w:rsidP="00FC61F2">
            <w:pPr>
              <w:pStyle w:val="TableText"/>
              <w:cnfStyle w:val="000000000000" w:firstRow="0" w:lastRow="0" w:firstColumn="0" w:lastColumn="0" w:oddVBand="0" w:evenVBand="0" w:oddHBand="0" w:evenHBand="0" w:firstRowFirstColumn="0" w:firstRowLastColumn="0" w:lastRowFirstColumn="0" w:lastRowLastColumn="0"/>
            </w:pPr>
            <w:r>
              <w:t xml:space="preserve">5 </w:t>
            </w:r>
            <w:r>
              <w:br/>
              <w:t>(</w:t>
            </w:r>
            <w:r w:rsidRPr="009615A4">
              <w:t>12.8%</w:t>
            </w:r>
            <w:r>
              <w:t>)</w:t>
            </w:r>
          </w:p>
        </w:tc>
        <w:tc>
          <w:tcPr>
            <w:tcW w:w="546" w:type="pct"/>
          </w:tcPr>
          <w:p w14:paraId="33D067C3" w14:textId="77777777" w:rsidR="000C4FCA" w:rsidRDefault="009615A4" w:rsidP="00FC61F2">
            <w:pPr>
              <w:pStyle w:val="TableText"/>
              <w:cnfStyle w:val="000000000000" w:firstRow="0" w:lastRow="0" w:firstColumn="0" w:lastColumn="0" w:oddVBand="0" w:evenVBand="0" w:oddHBand="0" w:evenHBand="0" w:firstRowFirstColumn="0" w:firstRowLastColumn="0" w:lastRowFirstColumn="0" w:lastRowLastColumn="0"/>
            </w:pPr>
            <w:r>
              <w:t xml:space="preserve">6 </w:t>
            </w:r>
            <w:r>
              <w:br/>
              <w:t>(</w:t>
            </w:r>
            <w:r w:rsidRPr="009615A4">
              <w:t>15.38%</w:t>
            </w:r>
            <w:r>
              <w:t>)</w:t>
            </w:r>
          </w:p>
        </w:tc>
        <w:tc>
          <w:tcPr>
            <w:tcW w:w="545" w:type="pct"/>
          </w:tcPr>
          <w:p w14:paraId="5D2961E1" w14:textId="77777777" w:rsidR="000C4FCA" w:rsidRDefault="009615A4" w:rsidP="00FC61F2">
            <w:pPr>
              <w:pStyle w:val="TableText"/>
              <w:cnfStyle w:val="000000000000" w:firstRow="0" w:lastRow="0" w:firstColumn="0" w:lastColumn="0" w:oddVBand="0" w:evenVBand="0" w:oddHBand="0" w:evenHBand="0" w:firstRowFirstColumn="0" w:firstRowLastColumn="0" w:lastRowFirstColumn="0" w:lastRowLastColumn="0"/>
            </w:pPr>
            <w:r>
              <w:t xml:space="preserve">7 </w:t>
            </w:r>
            <w:r>
              <w:br/>
              <w:t>(</w:t>
            </w:r>
            <w:r w:rsidRPr="009615A4">
              <w:t>17.9%</w:t>
            </w:r>
            <w:r>
              <w:t>)</w:t>
            </w:r>
          </w:p>
        </w:tc>
        <w:tc>
          <w:tcPr>
            <w:tcW w:w="545" w:type="pct"/>
          </w:tcPr>
          <w:p w14:paraId="179CDDDE" w14:textId="77777777" w:rsidR="0098606B" w:rsidRDefault="009615A4" w:rsidP="00FC61F2">
            <w:pPr>
              <w:pStyle w:val="TableText"/>
              <w:cnfStyle w:val="000000000000" w:firstRow="0" w:lastRow="0" w:firstColumn="0" w:lastColumn="0" w:oddVBand="0" w:evenVBand="0" w:oddHBand="0" w:evenHBand="0" w:firstRowFirstColumn="0" w:firstRowLastColumn="0" w:lastRowFirstColumn="0" w:lastRowLastColumn="0"/>
            </w:pPr>
            <w:r>
              <w:t>7</w:t>
            </w:r>
            <w:r>
              <w:br/>
              <w:t>(</w:t>
            </w:r>
            <w:r w:rsidRPr="009615A4">
              <w:t>1</w:t>
            </w:r>
            <w:r w:rsidR="00DC3F12">
              <w:t>8.0</w:t>
            </w:r>
            <w:r w:rsidRPr="009615A4">
              <w:t>%</w:t>
            </w:r>
            <w:r>
              <w:t>)</w:t>
            </w:r>
          </w:p>
        </w:tc>
        <w:tc>
          <w:tcPr>
            <w:tcW w:w="545" w:type="pct"/>
          </w:tcPr>
          <w:p w14:paraId="77F83B0D" w14:textId="77777777" w:rsidR="0098606B" w:rsidRDefault="009615A4" w:rsidP="00FC61F2">
            <w:pPr>
              <w:pStyle w:val="TableText"/>
              <w:cnfStyle w:val="000000000000" w:firstRow="0" w:lastRow="0" w:firstColumn="0" w:lastColumn="0" w:oddVBand="0" w:evenVBand="0" w:oddHBand="0" w:evenHBand="0" w:firstRowFirstColumn="0" w:firstRowLastColumn="0" w:lastRowFirstColumn="0" w:lastRowLastColumn="0"/>
            </w:pPr>
            <w:r>
              <w:t xml:space="preserve">9 </w:t>
            </w:r>
            <w:r>
              <w:br/>
              <w:t>(</w:t>
            </w:r>
            <w:r w:rsidRPr="009615A4">
              <w:t>23.</w:t>
            </w:r>
            <w:r w:rsidR="00DC3F12">
              <w:t>1</w:t>
            </w:r>
            <w:r w:rsidRPr="009615A4">
              <w:t>%</w:t>
            </w:r>
            <w:r>
              <w:t>)</w:t>
            </w:r>
          </w:p>
        </w:tc>
        <w:tc>
          <w:tcPr>
            <w:tcW w:w="546" w:type="pct"/>
          </w:tcPr>
          <w:p w14:paraId="08FE64C7" w14:textId="77777777" w:rsidR="0098606B" w:rsidRDefault="009615A4" w:rsidP="00FC61F2">
            <w:pPr>
              <w:pStyle w:val="TableText"/>
              <w:cnfStyle w:val="000000000000" w:firstRow="0" w:lastRow="0" w:firstColumn="0" w:lastColumn="0" w:oddVBand="0" w:evenVBand="0" w:oddHBand="0" w:evenHBand="0" w:firstRowFirstColumn="0" w:firstRowLastColumn="0" w:lastRowFirstColumn="0" w:lastRowLastColumn="0"/>
            </w:pPr>
            <w:r>
              <w:t xml:space="preserve">0 </w:t>
            </w:r>
            <w:r>
              <w:br/>
              <w:t>(</w:t>
            </w:r>
            <w:r w:rsidRPr="009615A4">
              <w:t>0.</w:t>
            </w:r>
            <w:r w:rsidR="00DC6BF9">
              <w:t>0</w:t>
            </w:r>
            <w:r w:rsidRPr="009615A4">
              <w:t>%</w:t>
            </w:r>
            <w:r>
              <w:t>)</w:t>
            </w:r>
          </w:p>
        </w:tc>
      </w:tr>
      <w:tr w:rsidR="00AE1E92" w:rsidRPr="009C1931" w14:paraId="1B75D362" w14:textId="77777777" w:rsidTr="00057C3B">
        <w:trPr>
          <w:trHeight w:val="71"/>
        </w:trPr>
        <w:tc>
          <w:tcPr>
            <w:cnfStyle w:val="001000000000" w:firstRow="0" w:lastRow="0" w:firstColumn="1" w:lastColumn="0" w:oddVBand="0" w:evenVBand="0" w:oddHBand="0" w:evenHBand="0" w:firstRowFirstColumn="0" w:firstRowLastColumn="0" w:lastRowFirstColumn="0" w:lastRowLastColumn="0"/>
            <w:tcW w:w="638" w:type="pct"/>
          </w:tcPr>
          <w:p w14:paraId="432500AC" w14:textId="77777777" w:rsidR="000C4FCA" w:rsidRPr="00057C3B" w:rsidRDefault="000C4FCA" w:rsidP="00FC61F2">
            <w:pPr>
              <w:pStyle w:val="TableText"/>
              <w:rPr>
                <w:szCs w:val="18"/>
              </w:rPr>
            </w:pPr>
            <w:r w:rsidRPr="00057C3B">
              <w:rPr>
                <w:szCs w:val="18"/>
              </w:rPr>
              <w:t>Victoria</w:t>
            </w:r>
          </w:p>
        </w:tc>
        <w:tc>
          <w:tcPr>
            <w:tcW w:w="545" w:type="pct"/>
          </w:tcPr>
          <w:p w14:paraId="7D979ED2" w14:textId="77777777" w:rsidR="000C4FCA" w:rsidRPr="009615A4" w:rsidRDefault="009615A4" w:rsidP="00FC61F2">
            <w:pPr>
              <w:pStyle w:val="TableText"/>
              <w:cnfStyle w:val="000000000000" w:firstRow="0" w:lastRow="0" w:firstColumn="0" w:lastColumn="0" w:oddVBand="0" w:evenVBand="0" w:oddHBand="0" w:evenHBand="0" w:firstRowFirstColumn="0" w:firstRowLastColumn="0" w:lastRowFirstColumn="0" w:lastRowLastColumn="0"/>
            </w:pPr>
            <w:r>
              <w:t xml:space="preserve">1 </w:t>
            </w:r>
            <w:r>
              <w:br/>
              <w:t>(</w:t>
            </w:r>
            <w:r w:rsidRPr="009615A4">
              <w:t>2.9%</w:t>
            </w:r>
            <w:r>
              <w:t>)</w:t>
            </w:r>
          </w:p>
        </w:tc>
        <w:tc>
          <w:tcPr>
            <w:tcW w:w="545" w:type="pct"/>
          </w:tcPr>
          <w:p w14:paraId="3CB4E469" w14:textId="77777777" w:rsidR="000C4FCA" w:rsidRPr="009615A4" w:rsidRDefault="009615A4" w:rsidP="00FC61F2">
            <w:pPr>
              <w:pStyle w:val="TableText"/>
              <w:cnfStyle w:val="000000000000" w:firstRow="0" w:lastRow="0" w:firstColumn="0" w:lastColumn="0" w:oddVBand="0" w:evenVBand="0" w:oddHBand="0" w:evenHBand="0" w:firstRowFirstColumn="0" w:firstRowLastColumn="0" w:lastRowFirstColumn="0" w:lastRowLastColumn="0"/>
            </w:pPr>
            <w:r>
              <w:t>4</w:t>
            </w:r>
            <w:r>
              <w:br/>
              <w:t>(</w:t>
            </w:r>
            <w:r w:rsidRPr="009615A4">
              <w:t>11.</w:t>
            </w:r>
            <w:r w:rsidR="00B66499">
              <w:t>8</w:t>
            </w:r>
            <w:r w:rsidRPr="009615A4">
              <w:t>%</w:t>
            </w:r>
            <w:r>
              <w:t>)</w:t>
            </w:r>
          </w:p>
        </w:tc>
        <w:tc>
          <w:tcPr>
            <w:tcW w:w="545" w:type="pct"/>
          </w:tcPr>
          <w:p w14:paraId="02AB6F62" w14:textId="77777777" w:rsidR="000C4FCA" w:rsidRPr="009615A4" w:rsidRDefault="009615A4" w:rsidP="00FC61F2">
            <w:pPr>
              <w:pStyle w:val="TableText"/>
              <w:cnfStyle w:val="000000000000" w:firstRow="0" w:lastRow="0" w:firstColumn="0" w:lastColumn="0" w:oddVBand="0" w:evenVBand="0" w:oddHBand="0" w:evenHBand="0" w:firstRowFirstColumn="0" w:firstRowLastColumn="0" w:lastRowFirstColumn="0" w:lastRowLastColumn="0"/>
            </w:pPr>
            <w:r>
              <w:t xml:space="preserve">15 </w:t>
            </w:r>
            <w:r w:rsidR="00DC3F12">
              <w:br/>
            </w:r>
            <w:r>
              <w:t>(</w:t>
            </w:r>
            <w:r w:rsidRPr="009615A4">
              <w:t>44.1%</w:t>
            </w:r>
            <w:r>
              <w:t>)</w:t>
            </w:r>
          </w:p>
        </w:tc>
        <w:tc>
          <w:tcPr>
            <w:tcW w:w="546" w:type="pct"/>
          </w:tcPr>
          <w:p w14:paraId="05DCB0E9" w14:textId="77777777" w:rsidR="000C4FCA" w:rsidRPr="009615A4" w:rsidRDefault="009615A4" w:rsidP="00FC61F2">
            <w:pPr>
              <w:pStyle w:val="TableText"/>
              <w:cnfStyle w:val="000000000000" w:firstRow="0" w:lastRow="0" w:firstColumn="0" w:lastColumn="0" w:oddVBand="0" w:evenVBand="0" w:oddHBand="0" w:evenHBand="0" w:firstRowFirstColumn="0" w:firstRowLastColumn="0" w:lastRowFirstColumn="0" w:lastRowLastColumn="0"/>
            </w:pPr>
            <w:r>
              <w:t xml:space="preserve">4 </w:t>
            </w:r>
            <w:r>
              <w:br/>
              <w:t>(</w:t>
            </w:r>
            <w:r w:rsidRPr="009615A4">
              <w:t>11.76%</w:t>
            </w:r>
            <w:r>
              <w:t>)</w:t>
            </w:r>
          </w:p>
        </w:tc>
        <w:tc>
          <w:tcPr>
            <w:tcW w:w="545" w:type="pct"/>
          </w:tcPr>
          <w:p w14:paraId="7E7B97DC" w14:textId="77777777" w:rsidR="000C4FCA" w:rsidRPr="009615A4" w:rsidRDefault="009615A4" w:rsidP="00FC61F2">
            <w:pPr>
              <w:pStyle w:val="TableText"/>
              <w:cnfStyle w:val="000000000000" w:firstRow="0" w:lastRow="0" w:firstColumn="0" w:lastColumn="0" w:oddVBand="0" w:evenVBand="0" w:oddHBand="0" w:evenHBand="0" w:firstRowFirstColumn="0" w:firstRowLastColumn="0" w:lastRowFirstColumn="0" w:lastRowLastColumn="0"/>
            </w:pPr>
            <w:r>
              <w:t xml:space="preserve">4 </w:t>
            </w:r>
            <w:r>
              <w:br/>
              <w:t>(</w:t>
            </w:r>
            <w:r w:rsidRPr="009615A4">
              <w:t>11.</w:t>
            </w:r>
            <w:r w:rsidR="00DC3F12">
              <w:t>8</w:t>
            </w:r>
            <w:r w:rsidRPr="009615A4">
              <w:t>%</w:t>
            </w:r>
            <w:r>
              <w:t>)</w:t>
            </w:r>
          </w:p>
        </w:tc>
        <w:tc>
          <w:tcPr>
            <w:tcW w:w="545" w:type="pct"/>
          </w:tcPr>
          <w:p w14:paraId="667DD31D" w14:textId="77777777" w:rsidR="0098606B" w:rsidRPr="009615A4" w:rsidRDefault="009615A4" w:rsidP="00FC61F2">
            <w:pPr>
              <w:pStyle w:val="TableText"/>
              <w:cnfStyle w:val="000000000000" w:firstRow="0" w:lastRow="0" w:firstColumn="0" w:lastColumn="0" w:oddVBand="0" w:evenVBand="0" w:oddHBand="0" w:evenHBand="0" w:firstRowFirstColumn="0" w:firstRowLastColumn="0" w:lastRowFirstColumn="0" w:lastRowLastColumn="0"/>
            </w:pPr>
            <w:r>
              <w:t xml:space="preserve">0 </w:t>
            </w:r>
            <w:r>
              <w:br/>
              <w:t>(</w:t>
            </w:r>
            <w:r w:rsidRPr="009615A4">
              <w:t>0.</w:t>
            </w:r>
            <w:r w:rsidR="00DC3F12" w:rsidRPr="009615A4">
              <w:t>0</w:t>
            </w:r>
            <w:r w:rsidRPr="009615A4">
              <w:t>%</w:t>
            </w:r>
            <w:r>
              <w:t>)</w:t>
            </w:r>
          </w:p>
        </w:tc>
        <w:tc>
          <w:tcPr>
            <w:tcW w:w="545" w:type="pct"/>
          </w:tcPr>
          <w:p w14:paraId="0418E85D" w14:textId="77777777" w:rsidR="0098606B" w:rsidRPr="009615A4" w:rsidRDefault="009615A4" w:rsidP="00FC61F2">
            <w:pPr>
              <w:pStyle w:val="TableText"/>
              <w:cnfStyle w:val="000000000000" w:firstRow="0" w:lastRow="0" w:firstColumn="0" w:lastColumn="0" w:oddVBand="0" w:evenVBand="0" w:oddHBand="0" w:evenHBand="0" w:firstRowFirstColumn="0" w:firstRowLastColumn="0" w:lastRowFirstColumn="0" w:lastRowLastColumn="0"/>
            </w:pPr>
            <w:r>
              <w:t>5</w:t>
            </w:r>
            <w:r>
              <w:br/>
              <w:t>(</w:t>
            </w:r>
            <w:r w:rsidRPr="009615A4">
              <w:t>14.</w:t>
            </w:r>
            <w:r w:rsidR="00DC3F12" w:rsidRPr="009615A4">
              <w:t>7</w:t>
            </w:r>
            <w:r w:rsidRPr="009615A4">
              <w:t>%</w:t>
            </w:r>
            <w:r>
              <w:t>)</w:t>
            </w:r>
          </w:p>
        </w:tc>
        <w:tc>
          <w:tcPr>
            <w:tcW w:w="546" w:type="pct"/>
          </w:tcPr>
          <w:p w14:paraId="4A96EFAE" w14:textId="77777777" w:rsidR="0098606B" w:rsidRPr="009615A4" w:rsidRDefault="009615A4" w:rsidP="00FC61F2">
            <w:pPr>
              <w:pStyle w:val="TableText"/>
              <w:cnfStyle w:val="000000000000" w:firstRow="0" w:lastRow="0" w:firstColumn="0" w:lastColumn="0" w:oddVBand="0" w:evenVBand="0" w:oddHBand="0" w:evenHBand="0" w:firstRowFirstColumn="0" w:firstRowLastColumn="0" w:lastRowFirstColumn="0" w:lastRowLastColumn="0"/>
            </w:pPr>
            <w:r>
              <w:t xml:space="preserve">1 </w:t>
            </w:r>
            <w:r>
              <w:br/>
              <w:t>(</w:t>
            </w:r>
            <w:r w:rsidRPr="009615A4">
              <w:t>2.</w:t>
            </w:r>
            <w:r w:rsidR="00DC3F12" w:rsidRPr="009615A4">
              <w:t>9</w:t>
            </w:r>
            <w:r w:rsidRPr="009615A4">
              <w:t>%</w:t>
            </w:r>
            <w:r>
              <w:t>)</w:t>
            </w:r>
          </w:p>
        </w:tc>
      </w:tr>
      <w:tr w:rsidR="00AE1E92" w:rsidRPr="009C1931" w14:paraId="0C555709" w14:textId="77777777" w:rsidTr="00057C3B">
        <w:trPr>
          <w:trHeight w:val="71"/>
        </w:trPr>
        <w:tc>
          <w:tcPr>
            <w:cnfStyle w:val="001000000000" w:firstRow="0" w:lastRow="0" w:firstColumn="1" w:lastColumn="0" w:oddVBand="0" w:evenVBand="0" w:oddHBand="0" w:evenHBand="0" w:firstRowFirstColumn="0" w:firstRowLastColumn="0" w:lastRowFirstColumn="0" w:lastRowLastColumn="0"/>
            <w:tcW w:w="638" w:type="pct"/>
          </w:tcPr>
          <w:p w14:paraId="123B2308" w14:textId="77777777" w:rsidR="000C4FCA" w:rsidRPr="00057C3B" w:rsidRDefault="000C4FCA" w:rsidP="00FC61F2">
            <w:pPr>
              <w:pStyle w:val="TableText"/>
            </w:pPr>
            <w:r w:rsidRPr="00057C3B">
              <w:rPr>
                <w:szCs w:val="18"/>
              </w:rPr>
              <w:t>Queensland</w:t>
            </w:r>
          </w:p>
        </w:tc>
        <w:tc>
          <w:tcPr>
            <w:tcW w:w="545" w:type="pct"/>
          </w:tcPr>
          <w:p w14:paraId="01BBA7E0" w14:textId="77777777" w:rsidR="000C4FCA" w:rsidRPr="005954C3" w:rsidRDefault="009615A4" w:rsidP="00FC61F2">
            <w:pPr>
              <w:pStyle w:val="TableText"/>
              <w:cnfStyle w:val="000000000000" w:firstRow="0" w:lastRow="0" w:firstColumn="0" w:lastColumn="0" w:oddVBand="0" w:evenVBand="0" w:oddHBand="0" w:evenHBand="0" w:firstRowFirstColumn="0" w:firstRowLastColumn="0" w:lastRowFirstColumn="0" w:lastRowLastColumn="0"/>
            </w:pPr>
            <w:r>
              <w:t>3</w:t>
            </w:r>
            <w:r>
              <w:br/>
              <w:t>(</w:t>
            </w:r>
            <w:r w:rsidRPr="009615A4">
              <w:t>14.</w:t>
            </w:r>
            <w:r w:rsidR="00AF6D4B">
              <w:t>3</w:t>
            </w:r>
            <w:r w:rsidRPr="009615A4">
              <w:t>%</w:t>
            </w:r>
            <w:r>
              <w:t>)</w:t>
            </w:r>
          </w:p>
        </w:tc>
        <w:tc>
          <w:tcPr>
            <w:tcW w:w="545" w:type="pct"/>
          </w:tcPr>
          <w:p w14:paraId="1723F82C" w14:textId="77777777" w:rsidR="000C4FCA" w:rsidRPr="005954C3" w:rsidRDefault="00504005" w:rsidP="00FC61F2">
            <w:pPr>
              <w:pStyle w:val="TableText"/>
              <w:cnfStyle w:val="000000000000" w:firstRow="0" w:lastRow="0" w:firstColumn="0" w:lastColumn="0" w:oddVBand="0" w:evenVBand="0" w:oddHBand="0" w:evenHBand="0" w:firstRowFirstColumn="0" w:firstRowLastColumn="0" w:lastRowFirstColumn="0" w:lastRowLastColumn="0"/>
            </w:pPr>
            <w:r>
              <w:t>5</w:t>
            </w:r>
            <w:r>
              <w:br/>
              <w:t>(</w:t>
            </w:r>
            <w:r w:rsidR="009615A4" w:rsidRPr="009615A4">
              <w:t>23.8%</w:t>
            </w:r>
            <w:r>
              <w:t>)</w:t>
            </w:r>
          </w:p>
        </w:tc>
        <w:tc>
          <w:tcPr>
            <w:tcW w:w="545" w:type="pct"/>
          </w:tcPr>
          <w:p w14:paraId="59F46183" w14:textId="77777777" w:rsidR="000C4FCA" w:rsidRPr="005954C3" w:rsidRDefault="00504005" w:rsidP="00FC61F2">
            <w:pPr>
              <w:pStyle w:val="TableText"/>
              <w:cnfStyle w:val="000000000000" w:firstRow="0" w:lastRow="0" w:firstColumn="0" w:lastColumn="0" w:oddVBand="0" w:evenVBand="0" w:oddHBand="0" w:evenHBand="0" w:firstRowFirstColumn="0" w:firstRowLastColumn="0" w:lastRowFirstColumn="0" w:lastRowLastColumn="0"/>
            </w:pPr>
            <w:r>
              <w:t xml:space="preserve">5 </w:t>
            </w:r>
            <w:r>
              <w:br/>
              <w:t>(</w:t>
            </w:r>
            <w:r w:rsidR="009615A4" w:rsidRPr="009615A4">
              <w:t>23.</w:t>
            </w:r>
            <w:r w:rsidR="00DC3F12" w:rsidRPr="009615A4">
              <w:t>8</w:t>
            </w:r>
            <w:r w:rsidR="009615A4" w:rsidRPr="009615A4">
              <w:t>%</w:t>
            </w:r>
            <w:r>
              <w:t>)</w:t>
            </w:r>
          </w:p>
        </w:tc>
        <w:tc>
          <w:tcPr>
            <w:tcW w:w="546" w:type="pct"/>
          </w:tcPr>
          <w:p w14:paraId="0F4DD1E8" w14:textId="77777777" w:rsidR="000C4FCA" w:rsidRPr="005954C3" w:rsidRDefault="00504005" w:rsidP="00FC61F2">
            <w:pPr>
              <w:pStyle w:val="TableText"/>
              <w:cnfStyle w:val="000000000000" w:firstRow="0" w:lastRow="0" w:firstColumn="0" w:lastColumn="0" w:oddVBand="0" w:evenVBand="0" w:oddHBand="0" w:evenHBand="0" w:firstRowFirstColumn="0" w:firstRowLastColumn="0" w:lastRowFirstColumn="0" w:lastRowLastColumn="0"/>
            </w:pPr>
            <w:r>
              <w:t xml:space="preserve">3 </w:t>
            </w:r>
            <w:r>
              <w:br/>
              <w:t>(</w:t>
            </w:r>
            <w:r w:rsidR="009615A4" w:rsidRPr="009615A4">
              <w:t>14.29%</w:t>
            </w:r>
            <w:r>
              <w:t>)</w:t>
            </w:r>
          </w:p>
        </w:tc>
        <w:tc>
          <w:tcPr>
            <w:tcW w:w="545" w:type="pct"/>
          </w:tcPr>
          <w:p w14:paraId="377A79AA" w14:textId="77777777" w:rsidR="000C4FCA" w:rsidRPr="005954C3" w:rsidRDefault="00B95A81" w:rsidP="00FC61F2">
            <w:pPr>
              <w:pStyle w:val="TableText"/>
              <w:cnfStyle w:val="000000000000" w:firstRow="0" w:lastRow="0" w:firstColumn="0" w:lastColumn="0" w:oddVBand="0" w:evenVBand="0" w:oddHBand="0" w:evenHBand="0" w:firstRowFirstColumn="0" w:firstRowLastColumn="0" w:lastRowFirstColumn="0" w:lastRowLastColumn="0"/>
            </w:pPr>
            <w:r>
              <w:t>2</w:t>
            </w:r>
            <w:r>
              <w:br/>
              <w:t>(</w:t>
            </w:r>
            <w:r w:rsidR="009615A4" w:rsidRPr="009615A4">
              <w:t>9.</w:t>
            </w:r>
            <w:r w:rsidR="00DC3F12" w:rsidRPr="009615A4">
              <w:t>5</w:t>
            </w:r>
            <w:r w:rsidR="009615A4" w:rsidRPr="009615A4">
              <w:t>%</w:t>
            </w:r>
            <w:r>
              <w:t>)</w:t>
            </w:r>
          </w:p>
        </w:tc>
        <w:tc>
          <w:tcPr>
            <w:tcW w:w="545" w:type="pct"/>
          </w:tcPr>
          <w:p w14:paraId="709A3410" w14:textId="77777777" w:rsidR="0098606B" w:rsidRPr="005954C3" w:rsidRDefault="00B95A81" w:rsidP="00FC61F2">
            <w:pPr>
              <w:pStyle w:val="TableText"/>
              <w:cnfStyle w:val="000000000000" w:firstRow="0" w:lastRow="0" w:firstColumn="0" w:lastColumn="0" w:oddVBand="0" w:evenVBand="0" w:oddHBand="0" w:evenHBand="0" w:firstRowFirstColumn="0" w:firstRowLastColumn="0" w:lastRowFirstColumn="0" w:lastRowLastColumn="0"/>
            </w:pPr>
            <w:r>
              <w:t xml:space="preserve">0 </w:t>
            </w:r>
            <w:r>
              <w:br/>
              <w:t>(</w:t>
            </w:r>
            <w:r w:rsidR="009615A4" w:rsidRPr="009615A4">
              <w:t>0.</w:t>
            </w:r>
            <w:r w:rsidR="00DC3F12" w:rsidRPr="009615A4">
              <w:t>0</w:t>
            </w:r>
            <w:r w:rsidRPr="009615A4">
              <w:t>%</w:t>
            </w:r>
            <w:r>
              <w:t>)</w:t>
            </w:r>
          </w:p>
        </w:tc>
        <w:tc>
          <w:tcPr>
            <w:tcW w:w="545" w:type="pct"/>
          </w:tcPr>
          <w:p w14:paraId="66CC4AB0" w14:textId="77777777" w:rsidR="0098606B" w:rsidRPr="005954C3" w:rsidRDefault="00B95A81" w:rsidP="00FC61F2">
            <w:pPr>
              <w:pStyle w:val="TableText"/>
              <w:cnfStyle w:val="000000000000" w:firstRow="0" w:lastRow="0" w:firstColumn="0" w:lastColumn="0" w:oddVBand="0" w:evenVBand="0" w:oddHBand="0" w:evenHBand="0" w:firstRowFirstColumn="0" w:firstRowLastColumn="0" w:lastRowFirstColumn="0" w:lastRowLastColumn="0"/>
            </w:pPr>
            <w:r>
              <w:t xml:space="preserve">2 </w:t>
            </w:r>
            <w:r>
              <w:br/>
              <w:t>(</w:t>
            </w:r>
            <w:r w:rsidR="009615A4" w:rsidRPr="009615A4">
              <w:t>9.</w:t>
            </w:r>
            <w:r w:rsidR="00DC3F12" w:rsidRPr="009615A4">
              <w:t>5</w:t>
            </w:r>
            <w:r w:rsidR="009615A4" w:rsidRPr="009615A4">
              <w:t>%</w:t>
            </w:r>
            <w:r>
              <w:t>)</w:t>
            </w:r>
          </w:p>
        </w:tc>
        <w:tc>
          <w:tcPr>
            <w:tcW w:w="546" w:type="pct"/>
          </w:tcPr>
          <w:p w14:paraId="465A2BF6" w14:textId="77777777" w:rsidR="0098606B" w:rsidRPr="005954C3" w:rsidRDefault="00B95A81" w:rsidP="00FC61F2">
            <w:pPr>
              <w:pStyle w:val="TableText"/>
              <w:cnfStyle w:val="000000000000" w:firstRow="0" w:lastRow="0" w:firstColumn="0" w:lastColumn="0" w:oddVBand="0" w:evenVBand="0" w:oddHBand="0" w:evenHBand="0" w:firstRowFirstColumn="0" w:firstRowLastColumn="0" w:lastRowFirstColumn="0" w:lastRowLastColumn="0"/>
            </w:pPr>
            <w:r>
              <w:t xml:space="preserve">1 </w:t>
            </w:r>
            <w:r>
              <w:br/>
              <w:t>(</w:t>
            </w:r>
            <w:r w:rsidR="009615A4" w:rsidRPr="009615A4">
              <w:t>4.</w:t>
            </w:r>
            <w:r w:rsidR="00DC6BF9">
              <w:t>8</w:t>
            </w:r>
            <w:r w:rsidR="009615A4" w:rsidRPr="009615A4">
              <w:t>%</w:t>
            </w:r>
            <w:r>
              <w:t>)</w:t>
            </w:r>
          </w:p>
        </w:tc>
      </w:tr>
      <w:tr w:rsidR="00AE1E92" w:rsidRPr="009C1931" w14:paraId="3EF14E75" w14:textId="77777777" w:rsidTr="00057C3B">
        <w:trPr>
          <w:trHeight w:val="71"/>
        </w:trPr>
        <w:tc>
          <w:tcPr>
            <w:cnfStyle w:val="001000000000" w:firstRow="0" w:lastRow="0" w:firstColumn="1" w:lastColumn="0" w:oddVBand="0" w:evenVBand="0" w:oddHBand="0" w:evenHBand="0" w:firstRowFirstColumn="0" w:firstRowLastColumn="0" w:lastRowFirstColumn="0" w:lastRowLastColumn="0"/>
            <w:tcW w:w="638" w:type="pct"/>
          </w:tcPr>
          <w:p w14:paraId="40F89F81" w14:textId="77777777" w:rsidR="000C4FCA" w:rsidRPr="00057C3B" w:rsidRDefault="000C4FCA" w:rsidP="00FC61F2">
            <w:pPr>
              <w:pStyle w:val="TableText"/>
            </w:pPr>
            <w:r w:rsidRPr="00057C3B">
              <w:t>South Australia</w:t>
            </w:r>
          </w:p>
        </w:tc>
        <w:tc>
          <w:tcPr>
            <w:tcW w:w="545" w:type="pct"/>
          </w:tcPr>
          <w:p w14:paraId="1D0BEA49" w14:textId="77777777" w:rsidR="000C4FCA" w:rsidRPr="005954C3" w:rsidRDefault="00EF68BF" w:rsidP="00FC61F2">
            <w:pPr>
              <w:pStyle w:val="TableText"/>
              <w:cnfStyle w:val="000000000000" w:firstRow="0" w:lastRow="0" w:firstColumn="0" w:lastColumn="0" w:oddVBand="0" w:evenVBand="0" w:oddHBand="0" w:evenHBand="0" w:firstRowFirstColumn="0" w:firstRowLastColumn="0" w:lastRowFirstColumn="0" w:lastRowLastColumn="0"/>
            </w:pPr>
            <w:r>
              <w:t xml:space="preserve">1 </w:t>
            </w:r>
            <w:r>
              <w:br/>
              <w:t>(</w:t>
            </w:r>
            <w:r w:rsidR="009615A4" w:rsidRPr="009615A4">
              <w:t>11.1</w:t>
            </w:r>
            <w:r w:rsidR="00B95A81" w:rsidRPr="009615A4">
              <w:t>%</w:t>
            </w:r>
            <w:r>
              <w:t>)</w:t>
            </w:r>
          </w:p>
        </w:tc>
        <w:tc>
          <w:tcPr>
            <w:tcW w:w="545" w:type="pct"/>
          </w:tcPr>
          <w:p w14:paraId="6D27C4DD" w14:textId="77777777" w:rsidR="000C4FCA" w:rsidRPr="005954C3" w:rsidRDefault="00B95A81" w:rsidP="00FC61F2">
            <w:pPr>
              <w:pStyle w:val="TableText"/>
              <w:cnfStyle w:val="000000000000" w:firstRow="0" w:lastRow="0" w:firstColumn="0" w:lastColumn="0" w:oddVBand="0" w:evenVBand="0" w:oddHBand="0" w:evenHBand="0" w:firstRowFirstColumn="0" w:firstRowLastColumn="0" w:lastRowFirstColumn="0" w:lastRowLastColumn="0"/>
            </w:pPr>
            <w:r>
              <w:t xml:space="preserve">0 </w:t>
            </w:r>
            <w:r>
              <w:br/>
              <w:t>(</w:t>
            </w:r>
            <w:r w:rsidR="009615A4" w:rsidRPr="009615A4">
              <w:t>0.0</w:t>
            </w:r>
            <w:r w:rsidRPr="009615A4">
              <w:t>%</w:t>
            </w:r>
            <w:r>
              <w:t>)</w:t>
            </w:r>
          </w:p>
        </w:tc>
        <w:tc>
          <w:tcPr>
            <w:tcW w:w="545" w:type="pct"/>
          </w:tcPr>
          <w:p w14:paraId="29B84407" w14:textId="77777777" w:rsidR="000C4FCA" w:rsidRPr="005954C3" w:rsidRDefault="00EF68BF" w:rsidP="00FC61F2">
            <w:pPr>
              <w:pStyle w:val="TableText"/>
              <w:cnfStyle w:val="000000000000" w:firstRow="0" w:lastRow="0" w:firstColumn="0" w:lastColumn="0" w:oddVBand="0" w:evenVBand="0" w:oddHBand="0" w:evenHBand="0" w:firstRowFirstColumn="0" w:firstRowLastColumn="0" w:lastRowFirstColumn="0" w:lastRowLastColumn="0"/>
            </w:pPr>
            <w:r>
              <w:t xml:space="preserve">2 </w:t>
            </w:r>
            <w:r>
              <w:br/>
              <w:t>(</w:t>
            </w:r>
            <w:r w:rsidR="009615A4" w:rsidRPr="009615A4">
              <w:t>22.</w:t>
            </w:r>
            <w:r w:rsidR="00DC3F12" w:rsidRPr="009615A4">
              <w:t>2</w:t>
            </w:r>
            <w:r w:rsidR="00B95A81" w:rsidRPr="009615A4">
              <w:t>%</w:t>
            </w:r>
            <w:r>
              <w:t>)</w:t>
            </w:r>
          </w:p>
        </w:tc>
        <w:tc>
          <w:tcPr>
            <w:tcW w:w="546" w:type="pct"/>
          </w:tcPr>
          <w:p w14:paraId="1D169032" w14:textId="77777777" w:rsidR="000C4FCA" w:rsidRPr="005954C3" w:rsidRDefault="00EF68BF" w:rsidP="00FC61F2">
            <w:pPr>
              <w:pStyle w:val="TableText"/>
              <w:cnfStyle w:val="000000000000" w:firstRow="0" w:lastRow="0" w:firstColumn="0" w:lastColumn="0" w:oddVBand="0" w:evenVBand="0" w:oddHBand="0" w:evenHBand="0" w:firstRowFirstColumn="0" w:firstRowLastColumn="0" w:lastRowFirstColumn="0" w:lastRowLastColumn="0"/>
            </w:pPr>
            <w:r>
              <w:t xml:space="preserve">2 </w:t>
            </w:r>
            <w:r>
              <w:br/>
              <w:t>(</w:t>
            </w:r>
            <w:r w:rsidR="009615A4" w:rsidRPr="009615A4">
              <w:t>22.22</w:t>
            </w:r>
            <w:r w:rsidR="00B95A81" w:rsidRPr="009615A4">
              <w:t>%</w:t>
            </w:r>
            <w:r>
              <w:t>)</w:t>
            </w:r>
          </w:p>
        </w:tc>
        <w:tc>
          <w:tcPr>
            <w:tcW w:w="545" w:type="pct"/>
          </w:tcPr>
          <w:p w14:paraId="05A684DE" w14:textId="77777777" w:rsidR="000C4FCA" w:rsidRPr="005954C3" w:rsidRDefault="00B95A81" w:rsidP="00FC61F2">
            <w:pPr>
              <w:pStyle w:val="TableText"/>
              <w:cnfStyle w:val="000000000000" w:firstRow="0" w:lastRow="0" w:firstColumn="0" w:lastColumn="0" w:oddVBand="0" w:evenVBand="0" w:oddHBand="0" w:evenHBand="0" w:firstRowFirstColumn="0" w:firstRowLastColumn="0" w:lastRowFirstColumn="0" w:lastRowLastColumn="0"/>
            </w:pPr>
            <w:r>
              <w:t xml:space="preserve">0 </w:t>
            </w:r>
            <w:r>
              <w:br/>
              <w:t>(</w:t>
            </w:r>
            <w:r w:rsidR="009615A4" w:rsidRPr="009615A4">
              <w:t>0.</w:t>
            </w:r>
            <w:r w:rsidR="00DC3F12" w:rsidRPr="009615A4">
              <w:t>0</w:t>
            </w:r>
            <w:r w:rsidRPr="009615A4">
              <w:t>%</w:t>
            </w:r>
            <w:r>
              <w:t>)</w:t>
            </w:r>
          </w:p>
        </w:tc>
        <w:tc>
          <w:tcPr>
            <w:tcW w:w="545" w:type="pct"/>
          </w:tcPr>
          <w:p w14:paraId="6043DCB0" w14:textId="77777777" w:rsidR="0098606B" w:rsidRPr="005954C3" w:rsidRDefault="00B95A81" w:rsidP="00FC61F2">
            <w:pPr>
              <w:pStyle w:val="TableText"/>
              <w:cnfStyle w:val="000000000000" w:firstRow="0" w:lastRow="0" w:firstColumn="0" w:lastColumn="0" w:oddVBand="0" w:evenVBand="0" w:oddHBand="0" w:evenHBand="0" w:firstRowFirstColumn="0" w:firstRowLastColumn="0" w:lastRowFirstColumn="0" w:lastRowLastColumn="0"/>
            </w:pPr>
            <w:r>
              <w:t xml:space="preserve">0 </w:t>
            </w:r>
            <w:r>
              <w:br/>
              <w:t>(</w:t>
            </w:r>
            <w:r w:rsidR="009615A4" w:rsidRPr="009615A4">
              <w:t>0.</w:t>
            </w:r>
            <w:r w:rsidR="00DC3F12" w:rsidRPr="009615A4">
              <w:t>0</w:t>
            </w:r>
            <w:r w:rsidRPr="009615A4">
              <w:t>%</w:t>
            </w:r>
            <w:r>
              <w:t>)</w:t>
            </w:r>
          </w:p>
        </w:tc>
        <w:tc>
          <w:tcPr>
            <w:tcW w:w="545" w:type="pct"/>
          </w:tcPr>
          <w:p w14:paraId="267633F1" w14:textId="77777777" w:rsidR="0098606B" w:rsidRPr="005954C3" w:rsidRDefault="00EF68BF" w:rsidP="00FC61F2">
            <w:pPr>
              <w:pStyle w:val="TableText"/>
              <w:cnfStyle w:val="000000000000" w:firstRow="0" w:lastRow="0" w:firstColumn="0" w:lastColumn="0" w:oddVBand="0" w:evenVBand="0" w:oddHBand="0" w:evenHBand="0" w:firstRowFirstColumn="0" w:firstRowLastColumn="0" w:lastRowFirstColumn="0" w:lastRowLastColumn="0"/>
            </w:pPr>
            <w:r>
              <w:t xml:space="preserve">2 </w:t>
            </w:r>
            <w:r>
              <w:br/>
              <w:t>(</w:t>
            </w:r>
            <w:r w:rsidR="009615A4" w:rsidRPr="009615A4">
              <w:t>22.</w:t>
            </w:r>
            <w:r w:rsidR="00DC3F12" w:rsidRPr="009615A4">
              <w:t>2</w:t>
            </w:r>
            <w:r w:rsidR="00B95A81" w:rsidRPr="009615A4">
              <w:t>%</w:t>
            </w:r>
            <w:r>
              <w:t>)</w:t>
            </w:r>
          </w:p>
        </w:tc>
        <w:tc>
          <w:tcPr>
            <w:tcW w:w="546" w:type="pct"/>
          </w:tcPr>
          <w:p w14:paraId="1FB35C86" w14:textId="77777777" w:rsidR="0098606B" w:rsidRPr="005954C3" w:rsidRDefault="00EF68BF" w:rsidP="00FC61F2">
            <w:pPr>
              <w:pStyle w:val="TableText"/>
              <w:cnfStyle w:val="000000000000" w:firstRow="0" w:lastRow="0" w:firstColumn="0" w:lastColumn="0" w:oddVBand="0" w:evenVBand="0" w:oddHBand="0" w:evenHBand="0" w:firstRowFirstColumn="0" w:firstRowLastColumn="0" w:lastRowFirstColumn="0" w:lastRowLastColumn="0"/>
            </w:pPr>
            <w:r>
              <w:t>2</w:t>
            </w:r>
            <w:r>
              <w:br/>
              <w:t>(</w:t>
            </w:r>
            <w:r w:rsidR="009615A4" w:rsidRPr="009615A4">
              <w:t>22.</w:t>
            </w:r>
            <w:r w:rsidR="00DC3F12" w:rsidRPr="009615A4">
              <w:t>2</w:t>
            </w:r>
            <w:r w:rsidR="00B95A81" w:rsidRPr="009615A4">
              <w:t>%</w:t>
            </w:r>
            <w:r>
              <w:t>)</w:t>
            </w:r>
          </w:p>
        </w:tc>
      </w:tr>
      <w:tr w:rsidR="00AE1E92" w:rsidRPr="009C1931" w14:paraId="77DB87C4" w14:textId="77777777" w:rsidTr="00057C3B">
        <w:trPr>
          <w:trHeight w:val="71"/>
        </w:trPr>
        <w:tc>
          <w:tcPr>
            <w:cnfStyle w:val="001000000000" w:firstRow="0" w:lastRow="0" w:firstColumn="1" w:lastColumn="0" w:oddVBand="0" w:evenVBand="0" w:oddHBand="0" w:evenHBand="0" w:firstRowFirstColumn="0" w:firstRowLastColumn="0" w:lastRowFirstColumn="0" w:lastRowLastColumn="0"/>
            <w:tcW w:w="638" w:type="pct"/>
          </w:tcPr>
          <w:p w14:paraId="4A5BA6CF" w14:textId="77777777" w:rsidR="000C4FCA" w:rsidRPr="00057C3B" w:rsidRDefault="000C4FCA" w:rsidP="00FC61F2">
            <w:pPr>
              <w:pStyle w:val="TableText"/>
            </w:pPr>
            <w:r w:rsidRPr="00057C3B">
              <w:t>Western Australia</w:t>
            </w:r>
          </w:p>
        </w:tc>
        <w:tc>
          <w:tcPr>
            <w:tcW w:w="545" w:type="pct"/>
          </w:tcPr>
          <w:p w14:paraId="391B37E7" w14:textId="77777777" w:rsidR="000C4FCA" w:rsidRPr="005954C3" w:rsidRDefault="00B95A81" w:rsidP="00FC61F2">
            <w:pPr>
              <w:pStyle w:val="TableText"/>
              <w:cnfStyle w:val="000000000000" w:firstRow="0" w:lastRow="0" w:firstColumn="0" w:lastColumn="0" w:oddVBand="0" w:evenVBand="0" w:oddHBand="0" w:evenHBand="0" w:firstRowFirstColumn="0" w:firstRowLastColumn="0" w:lastRowFirstColumn="0" w:lastRowLastColumn="0"/>
            </w:pPr>
            <w:r>
              <w:t xml:space="preserve">0 </w:t>
            </w:r>
            <w:r>
              <w:br/>
              <w:t>(</w:t>
            </w:r>
            <w:r w:rsidR="009615A4" w:rsidRPr="009615A4">
              <w:t>0.0</w:t>
            </w:r>
            <w:r w:rsidRPr="009615A4">
              <w:t>%</w:t>
            </w:r>
            <w:r>
              <w:t>)</w:t>
            </w:r>
          </w:p>
        </w:tc>
        <w:tc>
          <w:tcPr>
            <w:tcW w:w="545" w:type="pct"/>
          </w:tcPr>
          <w:p w14:paraId="643C778D" w14:textId="77777777" w:rsidR="000C4FCA" w:rsidRPr="005954C3" w:rsidRDefault="00041A08" w:rsidP="00FC61F2">
            <w:pPr>
              <w:pStyle w:val="TableText"/>
              <w:cnfStyle w:val="000000000000" w:firstRow="0" w:lastRow="0" w:firstColumn="0" w:lastColumn="0" w:oddVBand="0" w:evenVBand="0" w:oddHBand="0" w:evenHBand="0" w:firstRowFirstColumn="0" w:firstRowLastColumn="0" w:lastRowFirstColumn="0" w:lastRowLastColumn="0"/>
            </w:pPr>
            <w:r>
              <w:t>1</w:t>
            </w:r>
            <w:r w:rsidR="00B95A81">
              <w:br/>
              <w:t>(</w:t>
            </w:r>
            <w:r w:rsidR="006750A3">
              <w:t>16.7</w:t>
            </w:r>
            <w:r w:rsidR="00B95A81" w:rsidRPr="009615A4">
              <w:t>%</w:t>
            </w:r>
            <w:r w:rsidR="00B95A81">
              <w:t>)</w:t>
            </w:r>
          </w:p>
        </w:tc>
        <w:tc>
          <w:tcPr>
            <w:tcW w:w="545" w:type="pct"/>
          </w:tcPr>
          <w:p w14:paraId="7EC345DE" w14:textId="77777777" w:rsidR="000C4FCA" w:rsidRPr="005954C3" w:rsidRDefault="00EF68BF" w:rsidP="00FC61F2">
            <w:pPr>
              <w:pStyle w:val="TableText"/>
              <w:cnfStyle w:val="000000000000" w:firstRow="0" w:lastRow="0" w:firstColumn="0" w:lastColumn="0" w:oddVBand="0" w:evenVBand="0" w:oddHBand="0" w:evenHBand="0" w:firstRowFirstColumn="0" w:firstRowLastColumn="0" w:lastRowFirstColumn="0" w:lastRowLastColumn="0"/>
            </w:pPr>
            <w:r>
              <w:t>2</w:t>
            </w:r>
            <w:r>
              <w:br/>
              <w:t>(</w:t>
            </w:r>
            <w:r w:rsidR="00D403A8">
              <w:t>33.</w:t>
            </w:r>
            <w:r w:rsidR="00DC3F12">
              <w:t>3</w:t>
            </w:r>
            <w:r w:rsidR="00B95A81" w:rsidRPr="009615A4">
              <w:t>%</w:t>
            </w:r>
            <w:r>
              <w:t>)</w:t>
            </w:r>
          </w:p>
        </w:tc>
        <w:tc>
          <w:tcPr>
            <w:tcW w:w="546" w:type="pct"/>
          </w:tcPr>
          <w:p w14:paraId="245C5A33" w14:textId="77777777" w:rsidR="000C4FCA" w:rsidRPr="005954C3" w:rsidRDefault="00EF68BF" w:rsidP="00FC61F2">
            <w:pPr>
              <w:pStyle w:val="TableText"/>
              <w:cnfStyle w:val="000000000000" w:firstRow="0" w:lastRow="0" w:firstColumn="0" w:lastColumn="0" w:oddVBand="0" w:evenVBand="0" w:oddHBand="0" w:evenHBand="0" w:firstRowFirstColumn="0" w:firstRowLastColumn="0" w:lastRowFirstColumn="0" w:lastRowLastColumn="0"/>
            </w:pPr>
            <w:r>
              <w:t>1</w:t>
            </w:r>
            <w:r>
              <w:br/>
            </w:r>
            <w:r w:rsidR="00711CF1">
              <w:t>(</w:t>
            </w:r>
            <w:r w:rsidR="009615A4" w:rsidRPr="009615A4">
              <w:t>20.00</w:t>
            </w:r>
            <w:r w:rsidR="00B95A81" w:rsidRPr="009615A4">
              <w:t>%</w:t>
            </w:r>
            <w:r w:rsidR="00711CF1">
              <w:t>)</w:t>
            </w:r>
          </w:p>
        </w:tc>
        <w:tc>
          <w:tcPr>
            <w:tcW w:w="545" w:type="pct"/>
          </w:tcPr>
          <w:p w14:paraId="05FD1672" w14:textId="77777777" w:rsidR="000C4FCA" w:rsidRPr="005954C3" w:rsidRDefault="00B95A81" w:rsidP="00FC61F2">
            <w:pPr>
              <w:pStyle w:val="TableText"/>
              <w:cnfStyle w:val="000000000000" w:firstRow="0" w:lastRow="0" w:firstColumn="0" w:lastColumn="0" w:oddVBand="0" w:evenVBand="0" w:oddHBand="0" w:evenHBand="0" w:firstRowFirstColumn="0" w:firstRowLastColumn="0" w:lastRowFirstColumn="0" w:lastRowLastColumn="0"/>
            </w:pPr>
            <w:r>
              <w:t xml:space="preserve">0 </w:t>
            </w:r>
            <w:r>
              <w:br/>
              <w:t>(</w:t>
            </w:r>
            <w:r w:rsidR="009615A4" w:rsidRPr="009615A4">
              <w:t>0.</w:t>
            </w:r>
            <w:r w:rsidR="00DC3F12" w:rsidRPr="009615A4">
              <w:t>0</w:t>
            </w:r>
            <w:r w:rsidRPr="009615A4">
              <w:t>%</w:t>
            </w:r>
            <w:r>
              <w:t>)</w:t>
            </w:r>
          </w:p>
        </w:tc>
        <w:tc>
          <w:tcPr>
            <w:tcW w:w="545" w:type="pct"/>
          </w:tcPr>
          <w:p w14:paraId="5952C491" w14:textId="77777777" w:rsidR="0098606B" w:rsidRPr="005954C3" w:rsidRDefault="00B95A81" w:rsidP="00FC61F2">
            <w:pPr>
              <w:pStyle w:val="TableText"/>
              <w:cnfStyle w:val="000000000000" w:firstRow="0" w:lastRow="0" w:firstColumn="0" w:lastColumn="0" w:oddVBand="0" w:evenVBand="0" w:oddHBand="0" w:evenHBand="0" w:firstRowFirstColumn="0" w:firstRowLastColumn="0" w:lastRowFirstColumn="0" w:lastRowLastColumn="0"/>
            </w:pPr>
            <w:r>
              <w:t xml:space="preserve">0 </w:t>
            </w:r>
            <w:r>
              <w:br/>
              <w:t>(</w:t>
            </w:r>
            <w:r w:rsidR="009615A4" w:rsidRPr="009615A4">
              <w:t>0.</w:t>
            </w:r>
            <w:r w:rsidR="00DC3F12" w:rsidRPr="009615A4">
              <w:t>0</w:t>
            </w:r>
            <w:r w:rsidRPr="009615A4">
              <w:t>%</w:t>
            </w:r>
            <w:r>
              <w:t>)</w:t>
            </w:r>
          </w:p>
        </w:tc>
        <w:tc>
          <w:tcPr>
            <w:tcW w:w="545" w:type="pct"/>
          </w:tcPr>
          <w:p w14:paraId="574BCE82" w14:textId="77777777" w:rsidR="0098606B" w:rsidRPr="005954C3" w:rsidRDefault="00711CF1" w:rsidP="00FC61F2">
            <w:pPr>
              <w:pStyle w:val="TableText"/>
              <w:cnfStyle w:val="000000000000" w:firstRow="0" w:lastRow="0" w:firstColumn="0" w:lastColumn="0" w:oddVBand="0" w:evenVBand="0" w:oddHBand="0" w:evenHBand="0" w:firstRowFirstColumn="0" w:firstRowLastColumn="0" w:lastRowFirstColumn="0" w:lastRowLastColumn="0"/>
            </w:pPr>
            <w:r>
              <w:t>1</w:t>
            </w:r>
            <w:r>
              <w:br/>
              <w:t>(</w:t>
            </w:r>
            <w:r w:rsidR="009615A4" w:rsidRPr="009615A4">
              <w:t>20.</w:t>
            </w:r>
            <w:r w:rsidR="00DC3F12" w:rsidRPr="009615A4">
              <w:t>0</w:t>
            </w:r>
            <w:r w:rsidR="00B95A81" w:rsidRPr="009615A4">
              <w:t>%</w:t>
            </w:r>
            <w:r>
              <w:t>)</w:t>
            </w:r>
          </w:p>
        </w:tc>
        <w:tc>
          <w:tcPr>
            <w:tcW w:w="546" w:type="pct"/>
          </w:tcPr>
          <w:p w14:paraId="123E3748" w14:textId="77777777" w:rsidR="0098606B" w:rsidRPr="005954C3" w:rsidRDefault="00711CF1" w:rsidP="00FC61F2">
            <w:pPr>
              <w:pStyle w:val="TableText"/>
              <w:cnfStyle w:val="000000000000" w:firstRow="0" w:lastRow="0" w:firstColumn="0" w:lastColumn="0" w:oddVBand="0" w:evenVBand="0" w:oddHBand="0" w:evenHBand="0" w:firstRowFirstColumn="0" w:firstRowLastColumn="0" w:lastRowFirstColumn="0" w:lastRowLastColumn="0"/>
            </w:pPr>
            <w:r>
              <w:t xml:space="preserve">1 </w:t>
            </w:r>
            <w:r>
              <w:br/>
              <w:t>(</w:t>
            </w:r>
            <w:r w:rsidR="009615A4" w:rsidRPr="009615A4">
              <w:t>20.</w:t>
            </w:r>
            <w:r w:rsidR="00DC3F12" w:rsidRPr="009615A4">
              <w:t>0</w:t>
            </w:r>
            <w:r w:rsidR="00B95A81" w:rsidRPr="009615A4">
              <w:t>%</w:t>
            </w:r>
            <w:r>
              <w:t>)</w:t>
            </w:r>
          </w:p>
        </w:tc>
      </w:tr>
      <w:tr w:rsidR="00AE1E92" w:rsidRPr="009C1931" w14:paraId="35DDC686" w14:textId="77777777" w:rsidTr="00057C3B">
        <w:trPr>
          <w:trHeight w:val="71"/>
        </w:trPr>
        <w:tc>
          <w:tcPr>
            <w:cnfStyle w:val="001000000000" w:firstRow="0" w:lastRow="0" w:firstColumn="1" w:lastColumn="0" w:oddVBand="0" w:evenVBand="0" w:oddHBand="0" w:evenHBand="0" w:firstRowFirstColumn="0" w:firstRowLastColumn="0" w:lastRowFirstColumn="0" w:lastRowLastColumn="0"/>
            <w:tcW w:w="638" w:type="pct"/>
          </w:tcPr>
          <w:p w14:paraId="3BF45666" w14:textId="77777777" w:rsidR="000C4FCA" w:rsidRPr="00057C3B" w:rsidRDefault="000C4FCA" w:rsidP="00FC61F2">
            <w:pPr>
              <w:pStyle w:val="TableText"/>
            </w:pPr>
            <w:r w:rsidRPr="00057C3B">
              <w:t>Northern Territory</w:t>
            </w:r>
          </w:p>
        </w:tc>
        <w:tc>
          <w:tcPr>
            <w:tcW w:w="545" w:type="pct"/>
          </w:tcPr>
          <w:p w14:paraId="27A36BFC" w14:textId="77777777" w:rsidR="000C4FCA" w:rsidRPr="005954C3" w:rsidRDefault="00B95A81" w:rsidP="00FC61F2">
            <w:pPr>
              <w:pStyle w:val="TableText"/>
              <w:cnfStyle w:val="000000000000" w:firstRow="0" w:lastRow="0" w:firstColumn="0" w:lastColumn="0" w:oddVBand="0" w:evenVBand="0" w:oddHBand="0" w:evenHBand="0" w:firstRowFirstColumn="0" w:firstRowLastColumn="0" w:lastRowFirstColumn="0" w:lastRowLastColumn="0"/>
            </w:pPr>
            <w:r>
              <w:t xml:space="preserve">0 </w:t>
            </w:r>
            <w:r>
              <w:br/>
              <w:t>(</w:t>
            </w:r>
            <w:r w:rsidR="009615A4" w:rsidRPr="009615A4">
              <w:t>0.0</w:t>
            </w:r>
            <w:r w:rsidRPr="009615A4">
              <w:t>%</w:t>
            </w:r>
            <w:r>
              <w:t>)</w:t>
            </w:r>
          </w:p>
        </w:tc>
        <w:tc>
          <w:tcPr>
            <w:tcW w:w="545" w:type="pct"/>
          </w:tcPr>
          <w:p w14:paraId="43726FB9" w14:textId="77777777" w:rsidR="000C4FCA" w:rsidRPr="005954C3" w:rsidRDefault="00B95A81" w:rsidP="00FC61F2">
            <w:pPr>
              <w:pStyle w:val="TableText"/>
              <w:cnfStyle w:val="000000000000" w:firstRow="0" w:lastRow="0" w:firstColumn="0" w:lastColumn="0" w:oddVBand="0" w:evenVBand="0" w:oddHBand="0" w:evenHBand="0" w:firstRowFirstColumn="0" w:firstRowLastColumn="0" w:lastRowFirstColumn="0" w:lastRowLastColumn="0"/>
            </w:pPr>
            <w:r>
              <w:t xml:space="preserve">0 </w:t>
            </w:r>
            <w:r>
              <w:br/>
              <w:t>(</w:t>
            </w:r>
            <w:r w:rsidR="009615A4" w:rsidRPr="009615A4">
              <w:t>0.0</w:t>
            </w:r>
            <w:r w:rsidRPr="009615A4">
              <w:t>%</w:t>
            </w:r>
            <w:r>
              <w:t>)</w:t>
            </w:r>
          </w:p>
        </w:tc>
        <w:tc>
          <w:tcPr>
            <w:tcW w:w="545" w:type="pct"/>
          </w:tcPr>
          <w:p w14:paraId="1834E97F" w14:textId="77777777" w:rsidR="000C4FCA" w:rsidRPr="005954C3" w:rsidRDefault="00711CF1" w:rsidP="00FC61F2">
            <w:pPr>
              <w:pStyle w:val="TableText"/>
              <w:cnfStyle w:val="000000000000" w:firstRow="0" w:lastRow="0" w:firstColumn="0" w:lastColumn="0" w:oddVBand="0" w:evenVBand="0" w:oddHBand="0" w:evenHBand="0" w:firstRowFirstColumn="0" w:firstRowLastColumn="0" w:lastRowFirstColumn="0" w:lastRowLastColumn="0"/>
            </w:pPr>
            <w:r>
              <w:t xml:space="preserve">1 </w:t>
            </w:r>
            <w:r>
              <w:br/>
              <w:t>(</w:t>
            </w:r>
            <w:r w:rsidR="009615A4" w:rsidRPr="009615A4">
              <w:t>33.</w:t>
            </w:r>
            <w:r w:rsidR="00DC3F12" w:rsidRPr="009615A4">
              <w:t>3</w:t>
            </w:r>
            <w:r w:rsidR="00B95A81" w:rsidRPr="009615A4">
              <w:t>%</w:t>
            </w:r>
            <w:r>
              <w:t>)</w:t>
            </w:r>
          </w:p>
        </w:tc>
        <w:tc>
          <w:tcPr>
            <w:tcW w:w="546" w:type="pct"/>
          </w:tcPr>
          <w:p w14:paraId="40EE6615" w14:textId="77777777" w:rsidR="000C4FCA" w:rsidRPr="005954C3" w:rsidRDefault="00711CF1" w:rsidP="00FC61F2">
            <w:pPr>
              <w:pStyle w:val="TableText"/>
              <w:cnfStyle w:val="000000000000" w:firstRow="0" w:lastRow="0" w:firstColumn="0" w:lastColumn="0" w:oddVBand="0" w:evenVBand="0" w:oddHBand="0" w:evenHBand="0" w:firstRowFirstColumn="0" w:firstRowLastColumn="0" w:lastRowFirstColumn="0" w:lastRowLastColumn="0"/>
            </w:pPr>
            <w:r>
              <w:t xml:space="preserve">1 </w:t>
            </w:r>
            <w:r>
              <w:br/>
              <w:t>(</w:t>
            </w:r>
            <w:r w:rsidR="009615A4" w:rsidRPr="009615A4">
              <w:t>33.33</w:t>
            </w:r>
            <w:r w:rsidR="00B95A81" w:rsidRPr="009615A4">
              <w:t>%</w:t>
            </w:r>
            <w:r>
              <w:t>)</w:t>
            </w:r>
          </w:p>
        </w:tc>
        <w:tc>
          <w:tcPr>
            <w:tcW w:w="545" w:type="pct"/>
          </w:tcPr>
          <w:p w14:paraId="14CF0F45" w14:textId="77777777" w:rsidR="000C4FCA" w:rsidRPr="005954C3" w:rsidRDefault="00B95A81" w:rsidP="00FC61F2">
            <w:pPr>
              <w:pStyle w:val="TableText"/>
              <w:cnfStyle w:val="000000000000" w:firstRow="0" w:lastRow="0" w:firstColumn="0" w:lastColumn="0" w:oddVBand="0" w:evenVBand="0" w:oddHBand="0" w:evenHBand="0" w:firstRowFirstColumn="0" w:firstRowLastColumn="0" w:lastRowFirstColumn="0" w:lastRowLastColumn="0"/>
            </w:pPr>
            <w:r>
              <w:t xml:space="preserve">0 </w:t>
            </w:r>
            <w:r>
              <w:br/>
              <w:t>(</w:t>
            </w:r>
            <w:r w:rsidR="009615A4" w:rsidRPr="009615A4">
              <w:t>0.</w:t>
            </w:r>
            <w:r w:rsidR="00DC3F12" w:rsidRPr="009615A4">
              <w:t>0</w:t>
            </w:r>
            <w:r w:rsidRPr="009615A4">
              <w:t>%</w:t>
            </w:r>
            <w:r>
              <w:t>)</w:t>
            </w:r>
          </w:p>
        </w:tc>
        <w:tc>
          <w:tcPr>
            <w:tcW w:w="545" w:type="pct"/>
          </w:tcPr>
          <w:p w14:paraId="66898329" w14:textId="77777777" w:rsidR="0098606B" w:rsidRPr="005954C3" w:rsidRDefault="00B95A81" w:rsidP="00FC61F2">
            <w:pPr>
              <w:pStyle w:val="TableText"/>
              <w:cnfStyle w:val="000000000000" w:firstRow="0" w:lastRow="0" w:firstColumn="0" w:lastColumn="0" w:oddVBand="0" w:evenVBand="0" w:oddHBand="0" w:evenHBand="0" w:firstRowFirstColumn="0" w:firstRowLastColumn="0" w:lastRowFirstColumn="0" w:lastRowLastColumn="0"/>
            </w:pPr>
            <w:r>
              <w:t xml:space="preserve">0 </w:t>
            </w:r>
            <w:r>
              <w:br/>
              <w:t>(</w:t>
            </w:r>
            <w:r w:rsidR="009615A4" w:rsidRPr="009615A4">
              <w:t>0.</w:t>
            </w:r>
            <w:r w:rsidR="00DC3F12" w:rsidRPr="009615A4">
              <w:t>0</w:t>
            </w:r>
            <w:r w:rsidRPr="009615A4">
              <w:t>%</w:t>
            </w:r>
            <w:r>
              <w:t>)</w:t>
            </w:r>
          </w:p>
        </w:tc>
        <w:tc>
          <w:tcPr>
            <w:tcW w:w="545" w:type="pct"/>
          </w:tcPr>
          <w:p w14:paraId="4479A578" w14:textId="77777777" w:rsidR="0098606B" w:rsidRPr="005954C3" w:rsidRDefault="00711CF1" w:rsidP="00FC61F2">
            <w:pPr>
              <w:pStyle w:val="TableText"/>
              <w:cnfStyle w:val="000000000000" w:firstRow="0" w:lastRow="0" w:firstColumn="0" w:lastColumn="0" w:oddVBand="0" w:evenVBand="0" w:oddHBand="0" w:evenHBand="0" w:firstRowFirstColumn="0" w:firstRowLastColumn="0" w:lastRowFirstColumn="0" w:lastRowLastColumn="0"/>
            </w:pPr>
            <w:r>
              <w:t xml:space="preserve">1 </w:t>
            </w:r>
            <w:r>
              <w:br/>
              <w:t>(</w:t>
            </w:r>
            <w:r w:rsidR="009615A4" w:rsidRPr="009615A4">
              <w:t>33.</w:t>
            </w:r>
            <w:r w:rsidR="00DC3F12" w:rsidRPr="009615A4">
              <w:t>3</w:t>
            </w:r>
            <w:r w:rsidR="00B95A81" w:rsidRPr="009615A4">
              <w:t>%</w:t>
            </w:r>
            <w:r>
              <w:t>)</w:t>
            </w:r>
          </w:p>
        </w:tc>
        <w:tc>
          <w:tcPr>
            <w:tcW w:w="546" w:type="pct"/>
          </w:tcPr>
          <w:p w14:paraId="09CDC3D0" w14:textId="77777777" w:rsidR="0098606B" w:rsidRPr="005954C3" w:rsidRDefault="00B95A81" w:rsidP="00FC61F2">
            <w:pPr>
              <w:pStyle w:val="TableText"/>
              <w:cnfStyle w:val="000000000000" w:firstRow="0" w:lastRow="0" w:firstColumn="0" w:lastColumn="0" w:oddVBand="0" w:evenVBand="0" w:oddHBand="0" w:evenHBand="0" w:firstRowFirstColumn="0" w:firstRowLastColumn="0" w:lastRowFirstColumn="0" w:lastRowLastColumn="0"/>
            </w:pPr>
            <w:r>
              <w:t xml:space="preserve">0 </w:t>
            </w:r>
            <w:r>
              <w:br/>
              <w:t>(</w:t>
            </w:r>
            <w:r w:rsidR="009615A4" w:rsidRPr="009615A4">
              <w:t>0.</w:t>
            </w:r>
            <w:r w:rsidR="00DC3F12" w:rsidRPr="009615A4">
              <w:t>0</w:t>
            </w:r>
            <w:r w:rsidRPr="009615A4">
              <w:t>%</w:t>
            </w:r>
            <w:r>
              <w:t>)</w:t>
            </w:r>
          </w:p>
        </w:tc>
      </w:tr>
      <w:tr w:rsidR="00AE1E92" w:rsidRPr="009C1931" w14:paraId="1CD53333" w14:textId="77777777" w:rsidTr="00057C3B">
        <w:trPr>
          <w:trHeight w:val="71"/>
        </w:trPr>
        <w:tc>
          <w:tcPr>
            <w:cnfStyle w:val="001000000000" w:firstRow="0" w:lastRow="0" w:firstColumn="1" w:lastColumn="0" w:oddVBand="0" w:evenVBand="0" w:oddHBand="0" w:evenHBand="0" w:firstRowFirstColumn="0" w:firstRowLastColumn="0" w:lastRowFirstColumn="0" w:lastRowLastColumn="0"/>
            <w:tcW w:w="638" w:type="pct"/>
          </w:tcPr>
          <w:p w14:paraId="1815D2DB" w14:textId="77777777" w:rsidR="000C4FCA" w:rsidRPr="00057C3B" w:rsidRDefault="000C4FCA" w:rsidP="00FC61F2">
            <w:pPr>
              <w:pStyle w:val="Tabletextbold"/>
              <w:rPr>
                <w:b/>
              </w:rPr>
            </w:pPr>
            <w:r w:rsidRPr="00057C3B">
              <w:rPr>
                <w:b/>
              </w:rPr>
              <w:t xml:space="preserve">Total: 57 respondents / </w:t>
            </w:r>
            <w:r w:rsidR="00F50A1E" w:rsidRPr="00057C3B">
              <w:rPr>
                <w:b/>
              </w:rPr>
              <w:t>11</w:t>
            </w:r>
            <w:r w:rsidR="00880D51" w:rsidRPr="00057C3B">
              <w:rPr>
                <w:b/>
              </w:rPr>
              <w:t>2</w:t>
            </w:r>
            <w:r w:rsidR="00711CF1" w:rsidRPr="00057C3B">
              <w:rPr>
                <w:b/>
              </w:rPr>
              <w:t xml:space="preserve"> responses</w:t>
            </w:r>
          </w:p>
        </w:tc>
        <w:tc>
          <w:tcPr>
            <w:tcW w:w="545" w:type="pct"/>
          </w:tcPr>
          <w:p w14:paraId="1846DCAD" w14:textId="77777777" w:rsidR="000C4FCA" w:rsidRPr="008D14BB" w:rsidRDefault="00711CF1" w:rsidP="00FC61F2">
            <w:pPr>
              <w:pStyle w:val="Tabletextbold"/>
              <w:cnfStyle w:val="000000000000" w:firstRow="0" w:lastRow="0" w:firstColumn="0" w:lastColumn="0" w:oddVBand="0" w:evenVBand="0" w:oddHBand="0" w:evenHBand="0" w:firstRowFirstColumn="0" w:firstRowLastColumn="0" w:lastRowFirstColumn="0" w:lastRowLastColumn="0"/>
            </w:pPr>
            <w:r w:rsidRPr="00711CF1">
              <w:t>6</w:t>
            </w:r>
            <w:r w:rsidRPr="00711CF1">
              <w:br/>
              <w:t>(</w:t>
            </w:r>
            <w:r w:rsidR="009615A4" w:rsidRPr="00711CF1">
              <w:t>5.</w:t>
            </w:r>
            <w:r w:rsidR="00B66499">
              <w:t>4</w:t>
            </w:r>
            <w:r w:rsidR="00B95A81" w:rsidRPr="00711CF1">
              <w:t>%</w:t>
            </w:r>
            <w:r w:rsidRPr="00711CF1">
              <w:t>)</w:t>
            </w:r>
          </w:p>
        </w:tc>
        <w:tc>
          <w:tcPr>
            <w:tcW w:w="545" w:type="pct"/>
          </w:tcPr>
          <w:p w14:paraId="718C8667" w14:textId="77777777" w:rsidR="000C4FCA" w:rsidRPr="008D14BB" w:rsidRDefault="00711CF1" w:rsidP="00FC61F2">
            <w:pPr>
              <w:pStyle w:val="Tabletextbold"/>
              <w:cnfStyle w:val="000000000000" w:firstRow="0" w:lastRow="0" w:firstColumn="0" w:lastColumn="0" w:oddVBand="0" w:evenVBand="0" w:oddHBand="0" w:evenHBand="0" w:firstRowFirstColumn="0" w:firstRowLastColumn="0" w:lastRowFirstColumn="0" w:lastRowLastColumn="0"/>
            </w:pPr>
            <w:r w:rsidRPr="00711CF1">
              <w:t>1</w:t>
            </w:r>
            <w:r w:rsidR="00041A08">
              <w:t>4</w:t>
            </w:r>
            <w:r w:rsidRPr="00711CF1">
              <w:br/>
              <w:t>(</w:t>
            </w:r>
            <w:r w:rsidR="00041A08" w:rsidRPr="001E2734">
              <w:t>12.</w:t>
            </w:r>
            <w:r w:rsidR="00F50A1E" w:rsidRPr="001E2734">
              <w:t>5</w:t>
            </w:r>
            <w:r w:rsidR="00B95A81" w:rsidRPr="00711CF1">
              <w:t>%</w:t>
            </w:r>
            <w:r w:rsidRPr="00711CF1">
              <w:t>)</w:t>
            </w:r>
          </w:p>
        </w:tc>
        <w:tc>
          <w:tcPr>
            <w:tcW w:w="545" w:type="pct"/>
          </w:tcPr>
          <w:p w14:paraId="370D080B" w14:textId="77777777" w:rsidR="000C4FCA" w:rsidRPr="008D14BB" w:rsidRDefault="00711CF1" w:rsidP="00FC61F2">
            <w:pPr>
              <w:pStyle w:val="Tabletextbold"/>
              <w:cnfStyle w:val="000000000000" w:firstRow="0" w:lastRow="0" w:firstColumn="0" w:lastColumn="0" w:oddVBand="0" w:evenVBand="0" w:oddHBand="0" w:evenHBand="0" w:firstRowFirstColumn="0" w:firstRowLastColumn="0" w:lastRowFirstColumn="0" w:lastRowLastColumn="0"/>
            </w:pPr>
            <w:r w:rsidRPr="00711CF1">
              <w:t>30</w:t>
            </w:r>
            <w:r w:rsidRPr="00711CF1">
              <w:br/>
              <w:t>(</w:t>
            </w:r>
            <w:r w:rsidR="00F50A1E" w:rsidRPr="001E2734">
              <w:t>26.</w:t>
            </w:r>
            <w:r w:rsidR="00DC3F12">
              <w:t>8</w:t>
            </w:r>
            <w:r w:rsidR="00B95A81" w:rsidRPr="00711CF1">
              <w:t>%</w:t>
            </w:r>
            <w:r w:rsidRPr="00711CF1">
              <w:t>)</w:t>
            </w:r>
          </w:p>
        </w:tc>
        <w:tc>
          <w:tcPr>
            <w:tcW w:w="546" w:type="pct"/>
          </w:tcPr>
          <w:p w14:paraId="09FA53C2" w14:textId="77777777" w:rsidR="000C4FCA" w:rsidRPr="008D14BB" w:rsidRDefault="00711CF1" w:rsidP="00FC61F2">
            <w:pPr>
              <w:pStyle w:val="Tabletextbold"/>
              <w:cnfStyle w:val="000000000000" w:firstRow="0" w:lastRow="0" w:firstColumn="0" w:lastColumn="0" w:oddVBand="0" w:evenVBand="0" w:oddHBand="0" w:evenHBand="0" w:firstRowFirstColumn="0" w:firstRowLastColumn="0" w:lastRowFirstColumn="0" w:lastRowLastColumn="0"/>
            </w:pPr>
            <w:r w:rsidRPr="00711CF1">
              <w:t>17</w:t>
            </w:r>
            <w:r w:rsidRPr="00711CF1">
              <w:br/>
              <w:t>(</w:t>
            </w:r>
            <w:r w:rsidR="009615A4" w:rsidRPr="00711CF1">
              <w:t>15.</w:t>
            </w:r>
            <w:r w:rsidR="00F50A1E" w:rsidRPr="001E2734">
              <w:t>18</w:t>
            </w:r>
            <w:r w:rsidR="00B95A81" w:rsidRPr="00711CF1">
              <w:t>%</w:t>
            </w:r>
            <w:r w:rsidRPr="00711CF1">
              <w:t>)</w:t>
            </w:r>
          </w:p>
        </w:tc>
        <w:tc>
          <w:tcPr>
            <w:tcW w:w="545" w:type="pct"/>
          </w:tcPr>
          <w:p w14:paraId="636BF112" w14:textId="77777777" w:rsidR="000C4FCA" w:rsidRPr="008D14BB" w:rsidRDefault="00711CF1" w:rsidP="00FC61F2">
            <w:pPr>
              <w:pStyle w:val="Tabletextbold"/>
              <w:cnfStyle w:val="000000000000" w:firstRow="0" w:lastRow="0" w:firstColumn="0" w:lastColumn="0" w:oddVBand="0" w:evenVBand="0" w:oddHBand="0" w:evenHBand="0" w:firstRowFirstColumn="0" w:firstRowLastColumn="0" w:lastRowFirstColumn="0" w:lastRowLastColumn="0"/>
            </w:pPr>
            <w:r w:rsidRPr="00711CF1">
              <w:t>13</w:t>
            </w:r>
            <w:r w:rsidRPr="00711CF1">
              <w:br/>
              <w:t>(</w:t>
            </w:r>
            <w:proofErr w:type="gramStart"/>
            <w:r w:rsidR="009615A4" w:rsidRPr="00711CF1">
              <w:t>11</w:t>
            </w:r>
            <w:r w:rsidR="00F50A1E" w:rsidRPr="001E2734">
              <w:t>.%</w:t>
            </w:r>
            <w:proofErr w:type="gramEnd"/>
            <w:r w:rsidR="00F50A1E" w:rsidRPr="001E2734">
              <w:t>)</w:t>
            </w:r>
          </w:p>
        </w:tc>
        <w:tc>
          <w:tcPr>
            <w:tcW w:w="545" w:type="pct"/>
          </w:tcPr>
          <w:p w14:paraId="3F0C3733" w14:textId="77777777" w:rsidR="0098606B" w:rsidRPr="008D14BB" w:rsidRDefault="00711CF1" w:rsidP="00FC61F2">
            <w:pPr>
              <w:pStyle w:val="Tabletextbold"/>
              <w:cnfStyle w:val="000000000000" w:firstRow="0" w:lastRow="0" w:firstColumn="0" w:lastColumn="0" w:oddVBand="0" w:evenVBand="0" w:oddHBand="0" w:evenHBand="0" w:firstRowFirstColumn="0" w:firstRowLastColumn="0" w:lastRowFirstColumn="0" w:lastRowLastColumn="0"/>
            </w:pPr>
            <w:r w:rsidRPr="00711CF1">
              <w:t>7</w:t>
            </w:r>
            <w:r w:rsidRPr="00711CF1">
              <w:br/>
              <w:t>(</w:t>
            </w:r>
            <w:r w:rsidR="009615A4" w:rsidRPr="00711CF1">
              <w:t>6.</w:t>
            </w:r>
            <w:r w:rsidR="00F50A1E" w:rsidRPr="001E2734">
              <w:t>25</w:t>
            </w:r>
            <w:r w:rsidR="00B95A81" w:rsidRPr="00711CF1">
              <w:t>%</w:t>
            </w:r>
            <w:r w:rsidRPr="00711CF1">
              <w:t>)</w:t>
            </w:r>
          </w:p>
        </w:tc>
        <w:tc>
          <w:tcPr>
            <w:tcW w:w="545" w:type="pct"/>
          </w:tcPr>
          <w:p w14:paraId="52AE7C70" w14:textId="77777777" w:rsidR="0098606B" w:rsidRPr="008D14BB" w:rsidRDefault="00711CF1" w:rsidP="00FC61F2">
            <w:pPr>
              <w:pStyle w:val="Tabletextbold"/>
              <w:cnfStyle w:val="000000000000" w:firstRow="0" w:lastRow="0" w:firstColumn="0" w:lastColumn="0" w:oddVBand="0" w:evenVBand="0" w:oddHBand="0" w:evenHBand="0" w:firstRowFirstColumn="0" w:firstRowLastColumn="0" w:lastRowFirstColumn="0" w:lastRowLastColumn="0"/>
            </w:pPr>
            <w:r w:rsidRPr="00711CF1">
              <w:t>20</w:t>
            </w:r>
            <w:r w:rsidRPr="00711CF1">
              <w:br/>
              <w:t>(</w:t>
            </w:r>
            <w:r w:rsidR="00F50A1E" w:rsidRPr="001E2734">
              <w:t>17.</w:t>
            </w:r>
            <w:r w:rsidR="00DC6BF9">
              <w:t>9</w:t>
            </w:r>
            <w:r w:rsidR="00B95A81" w:rsidRPr="00711CF1">
              <w:t>%</w:t>
            </w:r>
            <w:r w:rsidRPr="00711CF1">
              <w:t>)</w:t>
            </w:r>
          </w:p>
        </w:tc>
        <w:tc>
          <w:tcPr>
            <w:tcW w:w="546" w:type="pct"/>
          </w:tcPr>
          <w:p w14:paraId="0AE8B785" w14:textId="77777777" w:rsidR="0098606B" w:rsidRPr="008D14BB" w:rsidRDefault="00711CF1" w:rsidP="00FC61F2">
            <w:pPr>
              <w:pStyle w:val="Tabletextbold"/>
              <w:cnfStyle w:val="000000000000" w:firstRow="0" w:lastRow="0" w:firstColumn="0" w:lastColumn="0" w:oddVBand="0" w:evenVBand="0" w:oddHBand="0" w:evenHBand="0" w:firstRowFirstColumn="0" w:firstRowLastColumn="0" w:lastRowFirstColumn="0" w:lastRowLastColumn="0"/>
            </w:pPr>
            <w:r w:rsidRPr="00711CF1">
              <w:t>5</w:t>
            </w:r>
            <w:r w:rsidRPr="00711CF1">
              <w:br/>
              <w:t>(</w:t>
            </w:r>
            <w:r w:rsidR="009615A4" w:rsidRPr="00711CF1">
              <w:t>4.</w:t>
            </w:r>
            <w:r w:rsidR="00DC6BF9">
              <w:t>5</w:t>
            </w:r>
            <w:r w:rsidR="00B95A81" w:rsidRPr="00711CF1">
              <w:t>%</w:t>
            </w:r>
            <w:r w:rsidRPr="00711CF1">
              <w:t>)</w:t>
            </w:r>
          </w:p>
        </w:tc>
      </w:tr>
    </w:tbl>
    <w:p w14:paraId="3A19E2C0" w14:textId="1F17F929" w:rsidR="000C4FCA" w:rsidRPr="00D50E7B" w:rsidRDefault="000C4FCA" w:rsidP="000730D0">
      <w:pPr>
        <w:pStyle w:val="Caption-Source"/>
      </w:pPr>
      <w:r w:rsidRPr="007148C5">
        <w:t xml:space="preserve">Source: </w:t>
      </w:r>
      <w:r w:rsidR="00B26691">
        <w:t>Independent reviewer</w:t>
      </w:r>
      <w:r w:rsidR="00584D02" w:rsidRPr="00D50E7B">
        <w:t xml:space="preserve"> (</w:t>
      </w:r>
      <w:r w:rsidRPr="00D50E7B">
        <w:t>2025</w:t>
      </w:r>
      <w:r w:rsidR="00584D02" w:rsidRPr="00D50E7B">
        <w:t>)</w:t>
      </w:r>
    </w:p>
    <w:p w14:paraId="67EA988E" w14:textId="695273EF" w:rsidR="000730D0" w:rsidRDefault="000730D0" w:rsidP="000730D0">
      <w:pPr>
        <w:pStyle w:val="Caption"/>
      </w:pPr>
      <w:bookmarkStart w:id="269" w:name="_Toc207348660"/>
      <w:r>
        <w:t xml:space="preserve">Table </w:t>
      </w:r>
      <w:r w:rsidR="00E6799D">
        <w:fldChar w:fldCharType="begin"/>
      </w:r>
      <w:r w:rsidR="00E6799D">
        <w:instrText xml:space="preserve"> SEQ Table \* ARABIC </w:instrText>
      </w:r>
      <w:r w:rsidR="00E6799D">
        <w:fldChar w:fldCharType="separate"/>
      </w:r>
      <w:r w:rsidR="00E6799D">
        <w:rPr>
          <w:noProof/>
        </w:rPr>
        <w:t>95</w:t>
      </w:r>
      <w:r w:rsidR="00E6799D">
        <w:rPr>
          <w:noProof/>
        </w:rPr>
        <w:fldChar w:fldCharType="end"/>
      </w:r>
      <w:r>
        <w:t>: Response to question 5 by remoteness</w:t>
      </w:r>
      <w:bookmarkEnd w:id="269"/>
    </w:p>
    <w:tbl>
      <w:tblPr>
        <w:tblStyle w:val="KPMGTable"/>
        <w:tblW w:w="5000" w:type="pct"/>
        <w:tblLayout w:type="fixed"/>
        <w:tblLook w:val="04A0" w:firstRow="1" w:lastRow="0" w:firstColumn="1" w:lastColumn="0" w:noHBand="0" w:noVBand="1"/>
      </w:tblPr>
      <w:tblGrid>
        <w:gridCol w:w="1303"/>
        <w:gridCol w:w="1113"/>
        <w:gridCol w:w="1113"/>
        <w:gridCol w:w="1113"/>
        <w:gridCol w:w="1113"/>
        <w:gridCol w:w="1113"/>
        <w:gridCol w:w="1112"/>
        <w:gridCol w:w="1112"/>
        <w:gridCol w:w="1112"/>
      </w:tblGrid>
      <w:tr w:rsidR="00210A81" w:rsidRPr="00386CBC" w14:paraId="4F333718" w14:textId="77777777" w:rsidTr="007A7F51">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638" w:type="pct"/>
          </w:tcPr>
          <w:p w14:paraId="7E481030" w14:textId="77777777" w:rsidR="00BF4D99" w:rsidRPr="007B154A" w:rsidRDefault="00BF4D99" w:rsidP="000730D0">
            <w:pPr>
              <w:pStyle w:val="TableHeading"/>
              <w:rPr>
                <w:b w:val="0"/>
                <w:color w:val="FFFFFF" w:themeColor="background1"/>
                <w:szCs w:val="20"/>
              </w:rPr>
            </w:pPr>
            <w:r>
              <w:t>Response</w:t>
            </w:r>
          </w:p>
        </w:tc>
        <w:tc>
          <w:tcPr>
            <w:tcW w:w="545" w:type="pct"/>
          </w:tcPr>
          <w:p w14:paraId="2DA208C2" w14:textId="77777777" w:rsidR="00BF4D99" w:rsidRDefault="00BF4D99"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NDIS</w:t>
            </w:r>
          </w:p>
        </w:tc>
        <w:tc>
          <w:tcPr>
            <w:tcW w:w="545" w:type="pct"/>
          </w:tcPr>
          <w:p w14:paraId="3C36D61D" w14:textId="77777777" w:rsidR="00BF4D99" w:rsidRDefault="00BF4D99"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DVA</w:t>
            </w:r>
          </w:p>
        </w:tc>
        <w:tc>
          <w:tcPr>
            <w:tcW w:w="545" w:type="pct"/>
          </w:tcPr>
          <w:p w14:paraId="1EC0F5FF" w14:textId="0766E56B" w:rsidR="00BF4D99" w:rsidRPr="008B4C8E" w:rsidRDefault="00BF4D99" w:rsidP="000730D0">
            <w:pPr>
              <w:pStyle w:val="TableHeading"/>
              <w:cnfStyle w:val="100000000000" w:firstRow="1" w:lastRow="0" w:firstColumn="0" w:lastColumn="0" w:oddVBand="0" w:evenVBand="0" w:oddHBand="0" w:evenHBand="0" w:firstRowFirstColumn="0" w:firstRowLastColumn="0" w:lastRowFirstColumn="0" w:lastRowLastColumn="0"/>
              <w:rPr>
                <w:b w:val="0"/>
                <w:szCs w:val="20"/>
              </w:rPr>
            </w:pPr>
            <w:r w:rsidRPr="008B4C8E">
              <w:t xml:space="preserve">State / </w:t>
            </w:r>
            <w:r w:rsidRPr="008B4C8E">
              <w:rPr>
                <w:b w:val="0"/>
                <w:szCs w:val="20"/>
              </w:rPr>
              <w:t>territory health depart-</w:t>
            </w:r>
            <w:proofErr w:type="spellStart"/>
            <w:r w:rsidRPr="008B4C8E">
              <w:rPr>
                <w:b w:val="0"/>
                <w:szCs w:val="20"/>
              </w:rPr>
              <w:t>ment</w:t>
            </w:r>
            <w:proofErr w:type="spellEnd"/>
          </w:p>
        </w:tc>
        <w:tc>
          <w:tcPr>
            <w:tcW w:w="545" w:type="pct"/>
          </w:tcPr>
          <w:p w14:paraId="6BA9FAD8" w14:textId="77777777" w:rsidR="00BF4D99" w:rsidRDefault="00BF4D99"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Private health insurance</w:t>
            </w:r>
          </w:p>
        </w:tc>
        <w:tc>
          <w:tcPr>
            <w:tcW w:w="545" w:type="pct"/>
          </w:tcPr>
          <w:p w14:paraId="73092E0C" w14:textId="77777777" w:rsidR="00BF4D99" w:rsidRDefault="00BF4D99"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Charity</w:t>
            </w:r>
          </w:p>
        </w:tc>
        <w:tc>
          <w:tcPr>
            <w:tcW w:w="545" w:type="pct"/>
          </w:tcPr>
          <w:p w14:paraId="42386CAF" w14:textId="61C572A6" w:rsidR="00BF4D99" w:rsidRDefault="00BF4D99"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proofErr w:type="spellStart"/>
            <w:r>
              <w:t>Philanth-ropic</w:t>
            </w:r>
            <w:proofErr w:type="spellEnd"/>
            <w:r>
              <w:t xml:space="preserve"> source</w:t>
            </w:r>
          </w:p>
        </w:tc>
        <w:tc>
          <w:tcPr>
            <w:tcW w:w="545" w:type="pct"/>
          </w:tcPr>
          <w:p w14:paraId="09AE45D3" w14:textId="77777777" w:rsidR="00BF4D99" w:rsidRDefault="00BF4D99"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Family / friends/ other relatives</w:t>
            </w:r>
          </w:p>
        </w:tc>
        <w:tc>
          <w:tcPr>
            <w:tcW w:w="545" w:type="pct"/>
          </w:tcPr>
          <w:p w14:paraId="7DB977BB" w14:textId="77777777" w:rsidR="00BF4D99" w:rsidRDefault="00BF4D99"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Other</w:t>
            </w:r>
          </w:p>
        </w:tc>
      </w:tr>
      <w:tr w:rsidR="00AE1E92" w:rsidRPr="006D20D0" w14:paraId="1A5F2B26"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638" w:type="pct"/>
          </w:tcPr>
          <w:p w14:paraId="7AD57ECA" w14:textId="77777777" w:rsidR="00711CF1" w:rsidRPr="00057C3B" w:rsidRDefault="008D3B65" w:rsidP="000730D0">
            <w:pPr>
              <w:pStyle w:val="TableText"/>
            </w:pPr>
            <w:r w:rsidRPr="00057C3B">
              <w:t>Metropolitan</w:t>
            </w:r>
          </w:p>
        </w:tc>
        <w:tc>
          <w:tcPr>
            <w:tcW w:w="545" w:type="pct"/>
          </w:tcPr>
          <w:p w14:paraId="6B6DFAE0" w14:textId="77777777" w:rsidR="00711CF1" w:rsidRPr="009615A4" w:rsidRDefault="00155F60" w:rsidP="000730D0">
            <w:pPr>
              <w:pStyle w:val="TableText"/>
              <w:cnfStyle w:val="000000000000" w:firstRow="0" w:lastRow="0" w:firstColumn="0" w:lastColumn="0" w:oddVBand="0" w:evenVBand="0" w:oddHBand="0" w:evenHBand="0" w:firstRowFirstColumn="0" w:firstRowLastColumn="0" w:lastRowFirstColumn="0" w:lastRowLastColumn="0"/>
            </w:pPr>
            <w:r w:rsidRPr="001E2734">
              <w:t xml:space="preserve">4 </w:t>
            </w:r>
            <w:r w:rsidR="001E2734">
              <w:br/>
            </w:r>
            <w:r w:rsidRPr="001E2734">
              <w:t>(</w:t>
            </w:r>
            <w:r w:rsidR="00407EA6" w:rsidRPr="001E2734">
              <w:t>4.6%</w:t>
            </w:r>
            <w:r w:rsidRPr="001E2734">
              <w:t>)</w:t>
            </w:r>
          </w:p>
        </w:tc>
        <w:tc>
          <w:tcPr>
            <w:tcW w:w="545" w:type="pct"/>
          </w:tcPr>
          <w:p w14:paraId="753E4800" w14:textId="77777777" w:rsidR="00711CF1" w:rsidRPr="009615A4" w:rsidRDefault="00155F60" w:rsidP="000730D0">
            <w:pPr>
              <w:pStyle w:val="TableText"/>
              <w:cnfStyle w:val="000000000000" w:firstRow="0" w:lastRow="0" w:firstColumn="0" w:lastColumn="0" w:oddVBand="0" w:evenVBand="0" w:oddHBand="0" w:evenHBand="0" w:firstRowFirstColumn="0" w:firstRowLastColumn="0" w:lastRowFirstColumn="0" w:lastRowLastColumn="0"/>
            </w:pPr>
            <w:r w:rsidRPr="001E2734">
              <w:t xml:space="preserve">11 </w:t>
            </w:r>
            <w:r w:rsidR="00102589">
              <w:br/>
            </w:r>
            <w:r w:rsidRPr="001E2734">
              <w:t>(</w:t>
            </w:r>
            <w:r w:rsidR="00407EA6" w:rsidRPr="001E2734">
              <w:t>12.6%</w:t>
            </w:r>
            <w:r w:rsidRPr="001E2734">
              <w:t>)</w:t>
            </w:r>
          </w:p>
        </w:tc>
        <w:tc>
          <w:tcPr>
            <w:tcW w:w="545" w:type="pct"/>
          </w:tcPr>
          <w:p w14:paraId="715D261A" w14:textId="77777777" w:rsidR="00711CF1" w:rsidRPr="009615A4" w:rsidRDefault="00155F60" w:rsidP="000730D0">
            <w:pPr>
              <w:pStyle w:val="TableText"/>
              <w:cnfStyle w:val="000000000000" w:firstRow="0" w:lastRow="0" w:firstColumn="0" w:lastColumn="0" w:oddVBand="0" w:evenVBand="0" w:oddHBand="0" w:evenHBand="0" w:firstRowFirstColumn="0" w:firstRowLastColumn="0" w:lastRowFirstColumn="0" w:lastRowLastColumn="0"/>
            </w:pPr>
            <w:r w:rsidRPr="001E2734">
              <w:t xml:space="preserve">25 </w:t>
            </w:r>
            <w:r w:rsidR="00DC6BF9">
              <w:br/>
            </w:r>
            <w:r w:rsidRPr="001E2734">
              <w:t>(</w:t>
            </w:r>
            <w:r w:rsidR="00407EA6" w:rsidRPr="001E2734">
              <w:t>28.7%</w:t>
            </w:r>
            <w:r w:rsidRPr="001E2734">
              <w:t>)</w:t>
            </w:r>
          </w:p>
        </w:tc>
        <w:tc>
          <w:tcPr>
            <w:tcW w:w="545" w:type="pct"/>
          </w:tcPr>
          <w:p w14:paraId="1D8BA843" w14:textId="77777777" w:rsidR="00711CF1" w:rsidRPr="009615A4" w:rsidRDefault="00155F60" w:rsidP="000730D0">
            <w:pPr>
              <w:pStyle w:val="TableText"/>
              <w:cnfStyle w:val="000000000000" w:firstRow="0" w:lastRow="0" w:firstColumn="0" w:lastColumn="0" w:oddVBand="0" w:evenVBand="0" w:oddHBand="0" w:evenHBand="0" w:firstRowFirstColumn="0" w:firstRowLastColumn="0" w:lastRowFirstColumn="0" w:lastRowLastColumn="0"/>
            </w:pPr>
            <w:r w:rsidRPr="001E2734">
              <w:t xml:space="preserve">13 </w:t>
            </w:r>
            <w:r w:rsidR="005B4F89">
              <w:br/>
            </w:r>
            <w:r w:rsidRPr="001E2734">
              <w:t>(</w:t>
            </w:r>
            <w:r w:rsidR="00407EA6" w:rsidRPr="001E2734">
              <w:t>14.9%</w:t>
            </w:r>
            <w:r w:rsidRPr="001E2734">
              <w:t>)</w:t>
            </w:r>
          </w:p>
        </w:tc>
        <w:tc>
          <w:tcPr>
            <w:tcW w:w="545" w:type="pct"/>
          </w:tcPr>
          <w:p w14:paraId="11C2CCB6" w14:textId="77777777" w:rsidR="00711CF1" w:rsidRPr="009615A4" w:rsidRDefault="00C35932" w:rsidP="000730D0">
            <w:pPr>
              <w:pStyle w:val="TableText"/>
              <w:cnfStyle w:val="000000000000" w:firstRow="0" w:lastRow="0" w:firstColumn="0" w:lastColumn="0" w:oddVBand="0" w:evenVBand="0" w:oddHBand="0" w:evenHBand="0" w:firstRowFirstColumn="0" w:firstRowLastColumn="0" w:lastRowFirstColumn="0" w:lastRowLastColumn="0"/>
            </w:pPr>
            <w:r w:rsidRPr="001E2734">
              <w:t xml:space="preserve">9 </w:t>
            </w:r>
            <w:r w:rsidR="001E2734">
              <w:br/>
            </w:r>
            <w:r w:rsidRPr="001E2734">
              <w:t>(</w:t>
            </w:r>
            <w:r w:rsidR="00407EA6" w:rsidRPr="001E2734">
              <w:t>10.3%</w:t>
            </w:r>
            <w:r w:rsidRPr="001E2734">
              <w:t>)</w:t>
            </w:r>
          </w:p>
        </w:tc>
        <w:tc>
          <w:tcPr>
            <w:tcW w:w="545" w:type="pct"/>
          </w:tcPr>
          <w:p w14:paraId="793428B2" w14:textId="77777777" w:rsidR="00711CF1" w:rsidRPr="009615A4" w:rsidRDefault="00C35932" w:rsidP="000730D0">
            <w:pPr>
              <w:pStyle w:val="TableText"/>
              <w:cnfStyle w:val="000000000000" w:firstRow="0" w:lastRow="0" w:firstColumn="0" w:lastColumn="0" w:oddVBand="0" w:evenVBand="0" w:oddHBand="0" w:evenHBand="0" w:firstRowFirstColumn="0" w:firstRowLastColumn="0" w:lastRowFirstColumn="0" w:lastRowLastColumn="0"/>
            </w:pPr>
            <w:r w:rsidRPr="001E2734">
              <w:t>6</w:t>
            </w:r>
            <w:r w:rsidR="001E2734">
              <w:br/>
            </w:r>
            <w:r w:rsidRPr="001E2734">
              <w:t>(</w:t>
            </w:r>
            <w:r w:rsidR="00407EA6" w:rsidRPr="001E2734">
              <w:t>6.9%</w:t>
            </w:r>
            <w:r w:rsidRPr="001E2734">
              <w:t>)</w:t>
            </w:r>
          </w:p>
        </w:tc>
        <w:tc>
          <w:tcPr>
            <w:tcW w:w="545" w:type="pct"/>
          </w:tcPr>
          <w:p w14:paraId="610A38E9" w14:textId="77777777" w:rsidR="00711CF1" w:rsidRPr="009615A4" w:rsidRDefault="00C35932" w:rsidP="000730D0">
            <w:pPr>
              <w:pStyle w:val="TableText"/>
              <w:cnfStyle w:val="000000000000" w:firstRow="0" w:lastRow="0" w:firstColumn="0" w:lastColumn="0" w:oddVBand="0" w:evenVBand="0" w:oddHBand="0" w:evenHBand="0" w:firstRowFirstColumn="0" w:firstRowLastColumn="0" w:lastRowFirstColumn="0" w:lastRowLastColumn="0"/>
            </w:pPr>
            <w:r w:rsidRPr="001E2734">
              <w:t xml:space="preserve">14 </w:t>
            </w:r>
            <w:r w:rsidR="005B4F89">
              <w:br/>
            </w:r>
            <w:r w:rsidR="001E2734">
              <w:t>(</w:t>
            </w:r>
            <w:r w:rsidR="00407EA6" w:rsidRPr="001E2734">
              <w:t>16.</w:t>
            </w:r>
            <w:r w:rsidR="005B4F89">
              <w:t>1</w:t>
            </w:r>
            <w:r w:rsidR="00407EA6" w:rsidRPr="001E2734">
              <w:t>%</w:t>
            </w:r>
            <w:r w:rsidRPr="001E2734">
              <w:t>)</w:t>
            </w:r>
          </w:p>
        </w:tc>
        <w:tc>
          <w:tcPr>
            <w:tcW w:w="545" w:type="pct"/>
          </w:tcPr>
          <w:p w14:paraId="60363369" w14:textId="77777777" w:rsidR="00711CF1" w:rsidRPr="009615A4" w:rsidRDefault="00C35932" w:rsidP="000730D0">
            <w:pPr>
              <w:pStyle w:val="TableText"/>
              <w:cnfStyle w:val="000000000000" w:firstRow="0" w:lastRow="0" w:firstColumn="0" w:lastColumn="0" w:oddVBand="0" w:evenVBand="0" w:oddHBand="0" w:evenHBand="0" w:firstRowFirstColumn="0" w:firstRowLastColumn="0" w:lastRowFirstColumn="0" w:lastRowLastColumn="0"/>
            </w:pPr>
            <w:r w:rsidRPr="001E2734">
              <w:t xml:space="preserve">5 </w:t>
            </w:r>
            <w:r w:rsidR="001E2734">
              <w:br/>
            </w:r>
            <w:r w:rsidRPr="001E2734">
              <w:t>(</w:t>
            </w:r>
            <w:r w:rsidR="00407EA6" w:rsidRPr="001E2734">
              <w:t>5.</w:t>
            </w:r>
            <w:r w:rsidR="00A75966">
              <w:t>8</w:t>
            </w:r>
            <w:r w:rsidR="00407EA6" w:rsidRPr="001E2734">
              <w:t>%</w:t>
            </w:r>
            <w:r w:rsidRPr="001E2734">
              <w:t>)</w:t>
            </w:r>
          </w:p>
        </w:tc>
      </w:tr>
      <w:tr w:rsidR="00AE1E92" w:rsidRPr="009C1931" w14:paraId="40B2185B"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638" w:type="pct"/>
          </w:tcPr>
          <w:p w14:paraId="500708C7" w14:textId="77777777" w:rsidR="00711CF1" w:rsidRPr="00057C3B" w:rsidRDefault="008D3B65" w:rsidP="000730D0">
            <w:pPr>
              <w:pStyle w:val="TableText"/>
              <w:rPr>
                <w:szCs w:val="18"/>
              </w:rPr>
            </w:pPr>
            <w:r w:rsidRPr="00057C3B">
              <w:rPr>
                <w:szCs w:val="18"/>
              </w:rPr>
              <w:t>Regional centre</w:t>
            </w:r>
          </w:p>
        </w:tc>
        <w:tc>
          <w:tcPr>
            <w:tcW w:w="545" w:type="pct"/>
          </w:tcPr>
          <w:p w14:paraId="38E88812" w14:textId="77777777" w:rsidR="00711CF1" w:rsidRPr="009615A4" w:rsidRDefault="00C35932" w:rsidP="000730D0">
            <w:pPr>
              <w:pStyle w:val="TableText"/>
              <w:cnfStyle w:val="000000000000" w:firstRow="0" w:lastRow="0" w:firstColumn="0" w:lastColumn="0" w:oddVBand="0" w:evenVBand="0" w:oddHBand="0" w:evenHBand="0" w:firstRowFirstColumn="0" w:firstRowLastColumn="0" w:lastRowFirstColumn="0" w:lastRowLastColumn="0"/>
            </w:pPr>
            <w:r w:rsidRPr="001E2734">
              <w:t xml:space="preserve">2 </w:t>
            </w:r>
            <w:r w:rsidR="001E2734">
              <w:br/>
            </w:r>
            <w:r w:rsidRPr="001E2734">
              <w:t>(</w:t>
            </w:r>
            <w:r w:rsidR="00407EA6" w:rsidRPr="001E2734">
              <w:t>9.5%</w:t>
            </w:r>
            <w:r w:rsidRPr="001E2734">
              <w:t>)</w:t>
            </w:r>
          </w:p>
        </w:tc>
        <w:tc>
          <w:tcPr>
            <w:tcW w:w="545" w:type="pct"/>
          </w:tcPr>
          <w:p w14:paraId="4BB8E2D8" w14:textId="77777777" w:rsidR="00711CF1" w:rsidRPr="009615A4" w:rsidRDefault="00C35932" w:rsidP="000730D0">
            <w:pPr>
              <w:pStyle w:val="TableText"/>
              <w:cnfStyle w:val="000000000000" w:firstRow="0" w:lastRow="0" w:firstColumn="0" w:lastColumn="0" w:oddVBand="0" w:evenVBand="0" w:oddHBand="0" w:evenHBand="0" w:firstRowFirstColumn="0" w:firstRowLastColumn="0" w:lastRowFirstColumn="0" w:lastRowLastColumn="0"/>
            </w:pPr>
            <w:r w:rsidRPr="001E2734">
              <w:t xml:space="preserve">3 </w:t>
            </w:r>
            <w:r w:rsidR="001E2734">
              <w:br/>
            </w:r>
            <w:r w:rsidRPr="001E2734">
              <w:t>(</w:t>
            </w:r>
            <w:r w:rsidR="00407EA6" w:rsidRPr="001E2734">
              <w:t>14.</w:t>
            </w:r>
            <w:r w:rsidR="00DC6BF9">
              <w:t>3</w:t>
            </w:r>
            <w:r w:rsidR="00407EA6" w:rsidRPr="001E2734">
              <w:t>%</w:t>
            </w:r>
            <w:r w:rsidRPr="001E2734">
              <w:t>)</w:t>
            </w:r>
          </w:p>
        </w:tc>
        <w:tc>
          <w:tcPr>
            <w:tcW w:w="545" w:type="pct"/>
          </w:tcPr>
          <w:p w14:paraId="0EE35D2D" w14:textId="77777777" w:rsidR="00711CF1" w:rsidRPr="009615A4" w:rsidRDefault="00C35932" w:rsidP="000730D0">
            <w:pPr>
              <w:pStyle w:val="TableText"/>
              <w:cnfStyle w:val="000000000000" w:firstRow="0" w:lastRow="0" w:firstColumn="0" w:lastColumn="0" w:oddVBand="0" w:evenVBand="0" w:oddHBand="0" w:evenHBand="0" w:firstRowFirstColumn="0" w:firstRowLastColumn="0" w:lastRowFirstColumn="0" w:lastRowLastColumn="0"/>
            </w:pPr>
            <w:r w:rsidRPr="001E2734">
              <w:t xml:space="preserve">5 </w:t>
            </w:r>
            <w:r w:rsidR="001E2734">
              <w:br/>
            </w:r>
            <w:r w:rsidRPr="001E2734">
              <w:t>(</w:t>
            </w:r>
            <w:r w:rsidR="00407EA6" w:rsidRPr="001E2734">
              <w:t>23.8%</w:t>
            </w:r>
            <w:r w:rsidRPr="001E2734">
              <w:t>)</w:t>
            </w:r>
          </w:p>
        </w:tc>
        <w:tc>
          <w:tcPr>
            <w:tcW w:w="545" w:type="pct"/>
          </w:tcPr>
          <w:p w14:paraId="437A3F9E" w14:textId="77777777" w:rsidR="00711CF1" w:rsidRPr="009615A4" w:rsidRDefault="00C35932" w:rsidP="000730D0">
            <w:pPr>
              <w:pStyle w:val="TableText"/>
              <w:cnfStyle w:val="000000000000" w:firstRow="0" w:lastRow="0" w:firstColumn="0" w:lastColumn="0" w:oddVBand="0" w:evenVBand="0" w:oddHBand="0" w:evenHBand="0" w:firstRowFirstColumn="0" w:firstRowLastColumn="0" w:lastRowFirstColumn="0" w:lastRowLastColumn="0"/>
            </w:pPr>
            <w:r w:rsidRPr="001E2734">
              <w:t xml:space="preserve">2 </w:t>
            </w:r>
            <w:r w:rsidR="001E2734">
              <w:br/>
            </w:r>
            <w:r w:rsidRPr="001E2734">
              <w:t>(</w:t>
            </w:r>
            <w:r w:rsidR="00407EA6" w:rsidRPr="001E2734">
              <w:t>9.5%</w:t>
            </w:r>
            <w:r w:rsidRPr="001E2734">
              <w:t>)</w:t>
            </w:r>
          </w:p>
        </w:tc>
        <w:tc>
          <w:tcPr>
            <w:tcW w:w="545" w:type="pct"/>
          </w:tcPr>
          <w:p w14:paraId="43E77A0C" w14:textId="77777777" w:rsidR="00711CF1" w:rsidRPr="009615A4" w:rsidRDefault="00C35932" w:rsidP="000730D0">
            <w:pPr>
              <w:pStyle w:val="TableText"/>
              <w:cnfStyle w:val="000000000000" w:firstRow="0" w:lastRow="0" w:firstColumn="0" w:lastColumn="0" w:oddVBand="0" w:evenVBand="0" w:oddHBand="0" w:evenHBand="0" w:firstRowFirstColumn="0" w:firstRowLastColumn="0" w:lastRowFirstColumn="0" w:lastRowLastColumn="0"/>
            </w:pPr>
            <w:r w:rsidRPr="001E2734">
              <w:t xml:space="preserve">3 </w:t>
            </w:r>
            <w:r w:rsidR="001E2734">
              <w:br/>
            </w:r>
            <w:r w:rsidRPr="001E2734">
              <w:t>(</w:t>
            </w:r>
            <w:r w:rsidR="00407EA6" w:rsidRPr="001E2734">
              <w:t>14.</w:t>
            </w:r>
            <w:r w:rsidR="005B4F89">
              <w:t>3</w:t>
            </w:r>
            <w:r w:rsidR="00407EA6" w:rsidRPr="001E2734">
              <w:t>%</w:t>
            </w:r>
            <w:r w:rsidRPr="001E2734">
              <w:t>)</w:t>
            </w:r>
          </w:p>
        </w:tc>
        <w:tc>
          <w:tcPr>
            <w:tcW w:w="545" w:type="pct"/>
          </w:tcPr>
          <w:p w14:paraId="2241FC8C" w14:textId="77777777" w:rsidR="00711CF1" w:rsidRPr="009615A4" w:rsidRDefault="00C35932" w:rsidP="000730D0">
            <w:pPr>
              <w:pStyle w:val="TableText"/>
              <w:cnfStyle w:val="000000000000" w:firstRow="0" w:lastRow="0" w:firstColumn="0" w:lastColumn="0" w:oddVBand="0" w:evenVBand="0" w:oddHBand="0" w:evenHBand="0" w:firstRowFirstColumn="0" w:firstRowLastColumn="0" w:lastRowFirstColumn="0" w:lastRowLastColumn="0"/>
            </w:pPr>
            <w:r w:rsidRPr="001E2734">
              <w:t xml:space="preserve">1 </w:t>
            </w:r>
            <w:r w:rsidR="001E2734">
              <w:br/>
            </w:r>
            <w:r w:rsidRPr="001E2734">
              <w:t>(</w:t>
            </w:r>
            <w:r w:rsidR="00407EA6" w:rsidRPr="001E2734">
              <w:t>4.</w:t>
            </w:r>
            <w:r w:rsidR="005B4F89">
              <w:t>8</w:t>
            </w:r>
            <w:r w:rsidR="00407EA6" w:rsidRPr="001E2734">
              <w:t>%</w:t>
            </w:r>
            <w:r w:rsidRPr="001E2734">
              <w:t>)</w:t>
            </w:r>
          </w:p>
        </w:tc>
        <w:tc>
          <w:tcPr>
            <w:tcW w:w="545" w:type="pct"/>
          </w:tcPr>
          <w:p w14:paraId="588246B2" w14:textId="77777777" w:rsidR="00711CF1" w:rsidRPr="009615A4" w:rsidRDefault="001E2734" w:rsidP="000730D0">
            <w:pPr>
              <w:pStyle w:val="TableText"/>
              <w:cnfStyle w:val="000000000000" w:firstRow="0" w:lastRow="0" w:firstColumn="0" w:lastColumn="0" w:oddVBand="0" w:evenVBand="0" w:oddHBand="0" w:evenHBand="0" w:firstRowFirstColumn="0" w:firstRowLastColumn="0" w:lastRowFirstColumn="0" w:lastRowLastColumn="0"/>
            </w:pPr>
            <w:r w:rsidRPr="001E2734">
              <w:t xml:space="preserve">5 </w:t>
            </w:r>
            <w:r>
              <w:br/>
            </w:r>
            <w:r w:rsidRPr="001E2734">
              <w:t>(</w:t>
            </w:r>
            <w:r w:rsidR="00407EA6" w:rsidRPr="001E2734">
              <w:t>23.8%</w:t>
            </w:r>
            <w:r w:rsidRPr="001E2734">
              <w:t>)</w:t>
            </w:r>
          </w:p>
        </w:tc>
        <w:tc>
          <w:tcPr>
            <w:tcW w:w="545" w:type="pct"/>
          </w:tcPr>
          <w:p w14:paraId="18DF1194" w14:textId="77777777" w:rsidR="00711CF1" w:rsidRPr="009615A4" w:rsidRDefault="001E2734" w:rsidP="000730D0">
            <w:pPr>
              <w:pStyle w:val="TableText"/>
              <w:cnfStyle w:val="000000000000" w:firstRow="0" w:lastRow="0" w:firstColumn="0" w:lastColumn="0" w:oddVBand="0" w:evenVBand="0" w:oddHBand="0" w:evenHBand="0" w:firstRowFirstColumn="0" w:firstRowLastColumn="0" w:lastRowFirstColumn="0" w:lastRowLastColumn="0"/>
            </w:pPr>
            <w:r w:rsidRPr="001E2734">
              <w:t xml:space="preserve">0 </w:t>
            </w:r>
            <w:r>
              <w:br/>
            </w:r>
            <w:r w:rsidRPr="001E2734">
              <w:t>(</w:t>
            </w:r>
            <w:r w:rsidR="00407EA6" w:rsidRPr="001E2734">
              <w:t>0.0%</w:t>
            </w:r>
            <w:r w:rsidRPr="001E2734">
              <w:t>)</w:t>
            </w:r>
          </w:p>
        </w:tc>
      </w:tr>
      <w:tr w:rsidR="00AE1E92" w:rsidRPr="009C1931" w14:paraId="5C13EC18"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638" w:type="pct"/>
          </w:tcPr>
          <w:p w14:paraId="0B5D40BD" w14:textId="77777777" w:rsidR="00711CF1" w:rsidRPr="00057C3B" w:rsidRDefault="008D3B65" w:rsidP="000730D0">
            <w:pPr>
              <w:pStyle w:val="TableText"/>
            </w:pPr>
            <w:r w:rsidRPr="00057C3B">
              <w:rPr>
                <w:szCs w:val="18"/>
              </w:rPr>
              <w:t>Rural area</w:t>
            </w:r>
          </w:p>
        </w:tc>
        <w:tc>
          <w:tcPr>
            <w:tcW w:w="545" w:type="pct"/>
          </w:tcPr>
          <w:p w14:paraId="138958CC" w14:textId="77777777" w:rsidR="00711CF1" w:rsidRPr="009615A4" w:rsidRDefault="001E2734" w:rsidP="000730D0">
            <w:pPr>
              <w:pStyle w:val="TableText"/>
              <w:cnfStyle w:val="000000000000" w:firstRow="0" w:lastRow="0" w:firstColumn="0" w:lastColumn="0" w:oddVBand="0" w:evenVBand="0" w:oddHBand="0" w:evenHBand="0" w:firstRowFirstColumn="0" w:firstRowLastColumn="0" w:lastRowFirstColumn="0" w:lastRowLastColumn="0"/>
            </w:pPr>
            <w:r w:rsidRPr="001E2734">
              <w:t xml:space="preserve">0 </w:t>
            </w:r>
            <w:r>
              <w:br/>
            </w:r>
            <w:r w:rsidRPr="001E2734">
              <w:t>(</w:t>
            </w:r>
            <w:r w:rsidR="00407EA6" w:rsidRPr="001E2734">
              <w:t>0.0</w:t>
            </w:r>
            <w:r w:rsidRPr="001E2734">
              <w:t>%)</w:t>
            </w:r>
          </w:p>
        </w:tc>
        <w:tc>
          <w:tcPr>
            <w:tcW w:w="545" w:type="pct"/>
          </w:tcPr>
          <w:p w14:paraId="17203E30" w14:textId="77777777" w:rsidR="00711CF1" w:rsidRPr="009615A4" w:rsidRDefault="001E2734" w:rsidP="000730D0">
            <w:pPr>
              <w:pStyle w:val="TableText"/>
              <w:cnfStyle w:val="000000000000" w:firstRow="0" w:lastRow="0" w:firstColumn="0" w:lastColumn="0" w:oddVBand="0" w:evenVBand="0" w:oddHBand="0" w:evenHBand="0" w:firstRowFirstColumn="0" w:firstRowLastColumn="0" w:lastRowFirstColumn="0" w:lastRowLastColumn="0"/>
            </w:pPr>
            <w:r w:rsidRPr="001E2734">
              <w:t xml:space="preserve">0 </w:t>
            </w:r>
            <w:r>
              <w:br/>
            </w:r>
            <w:r w:rsidRPr="001E2734">
              <w:t>(</w:t>
            </w:r>
            <w:r w:rsidR="00407EA6" w:rsidRPr="001E2734">
              <w:t>0.0</w:t>
            </w:r>
            <w:r w:rsidRPr="001E2734">
              <w:t>%)</w:t>
            </w:r>
          </w:p>
        </w:tc>
        <w:tc>
          <w:tcPr>
            <w:tcW w:w="545" w:type="pct"/>
          </w:tcPr>
          <w:p w14:paraId="4AFE7421" w14:textId="77777777" w:rsidR="00711CF1" w:rsidRPr="009615A4" w:rsidRDefault="001E2734" w:rsidP="000730D0">
            <w:pPr>
              <w:pStyle w:val="TableText"/>
              <w:cnfStyle w:val="000000000000" w:firstRow="0" w:lastRow="0" w:firstColumn="0" w:lastColumn="0" w:oddVBand="0" w:evenVBand="0" w:oddHBand="0" w:evenHBand="0" w:firstRowFirstColumn="0" w:firstRowLastColumn="0" w:lastRowFirstColumn="0" w:lastRowLastColumn="0"/>
            </w:pPr>
            <w:r w:rsidRPr="001E2734">
              <w:t xml:space="preserve">0 </w:t>
            </w:r>
            <w:r>
              <w:br/>
            </w:r>
            <w:r w:rsidRPr="001E2734">
              <w:t>(</w:t>
            </w:r>
            <w:r w:rsidR="00407EA6" w:rsidRPr="001E2734">
              <w:t>0.0</w:t>
            </w:r>
            <w:r w:rsidRPr="001E2734">
              <w:t>%)</w:t>
            </w:r>
          </w:p>
        </w:tc>
        <w:tc>
          <w:tcPr>
            <w:tcW w:w="545" w:type="pct"/>
          </w:tcPr>
          <w:p w14:paraId="1EB9F4C6" w14:textId="77777777" w:rsidR="00711CF1" w:rsidRPr="009615A4" w:rsidRDefault="001E2734" w:rsidP="000730D0">
            <w:pPr>
              <w:pStyle w:val="TableText"/>
              <w:cnfStyle w:val="000000000000" w:firstRow="0" w:lastRow="0" w:firstColumn="0" w:lastColumn="0" w:oddVBand="0" w:evenVBand="0" w:oddHBand="0" w:evenHBand="0" w:firstRowFirstColumn="0" w:firstRowLastColumn="0" w:lastRowFirstColumn="0" w:lastRowLastColumn="0"/>
            </w:pPr>
            <w:r>
              <w:t xml:space="preserve">2 </w:t>
            </w:r>
            <w:r>
              <w:br/>
              <w:t>(</w:t>
            </w:r>
            <w:r w:rsidR="00407EA6" w:rsidRPr="001E2734">
              <w:t>50.0%</w:t>
            </w:r>
            <w:r>
              <w:t>)</w:t>
            </w:r>
          </w:p>
        </w:tc>
        <w:tc>
          <w:tcPr>
            <w:tcW w:w="545" w:type="pct"/>
          </w:tcPr>
          <w:p w14:paraId="5EF02127" w14:textId="77777777" w:rsidR="00711CF1" w:rsidRPr="009615A4" w:rsidRDefault="001E2734" w:rsidP="000730D0">
            <w:pPr>
              <w:pStyle w:val="TableText"/>
              <w:cnfStyle w:val="000000000000" w:firstRow="0" w:lastRow="0" w:firstColumn="0" w:lastColumn="0" w:oddVBand="0" w:evenVBand="0" w:oddHBand="0" w:evenHBand="0" w:firstRowFirstColumn="0" w:firstRowLastColumn="0" w:lastRowFirstColumn="0" w:lastRowLastColumn="0"/>
            </w:pPr>
            <w:r>
              <w:t>1</w:t>
            </w:r>
            <w:r>
              <w:br/>
              <w:t>(</w:t>
            </w:r>
            <w:r w:rsidR="00407EA6" w:rsidRPr="001E2734">
              <w:t>25.0%</w:t>
            </w:r>
            <w:r>
              <w:t>)</w:t>
            </w:r>
          </w:p>
        </w:tc>
        <w:tc>
          <w:tcPr>
            <w:tcW w:w="545" w:type="pct"/>
          </w:tcPr>
          <w:p w14:paraId="3D34AB1C" w14:textId="77777777" w:rsidR="00711CF1" w:rsidRPr="009615A4" w:rsidRDefault="001E2734" w:rsidP="000730D0">
            <w:pPr>
              <w:pStyle w:val="TableText"/>
              <w:cnfStyle w:val="000000000000" w:firstRow="0" w:lastRow="0" w:firstColumn="0" w:lastColumn="0" w:oddVBand="0" w:evenVBand="0" w:oddHBand="0" w:evenHBand="0" w:firstRowFirstColumn="0" w:firstRowLastColumn="0" w:lastRowFirstColumn="0" w:lastRowLastColumn="0"/>
            </w:pPr>
            <w:r w:rsidRPr="001E2734">
              <w:t xml:space="preserve">0 </w:t>
            </w:r>
            <w:r>
              <w:br/>
            </w:r>
            <w:r w:rsidRPr="001E2734">
              <w:t>(</w:t>
            </w:r>
            <w:r w:rsidR="00407EA6" w:rsidRPr="001E2734">
              <w:t>0.0</w:t>
            </w:r>
            <w:r w:rsidRPr="001E2734">
              <w:t>%)</w:t>
            </w:r>
          </w:p>
        </w:tc>
        <w:tc>
          <w:tcPr>
            <w:tcW w:w="545" w:type="pct"/>
          </w:tcPr>
          <w:p w14:paraId="28953820" w14:textId="77777777" w:rsidR="00711CF1" w:rsidRPr="009615A4" w:rsidRDefault="001E2734" w:rsidP="000730D0">
            <w:pPr>
              <w:pStyle w:val="TableText"/>
              <w:cnfStyle w:val="000000000000" w:firstRow="0" w:lastRow="0" w:firstColumn="0" w:lastColumn="0" w:oddVBand="0" w:evenVBand="0" w:oddHBand="0" w:evenHBand="0" w:firstRowFirstColumn="0" w:firstRowLastColumn="0" w:lastRowFirstColumn="0" w:lastRowLastColumn="0"/>
            </w:pPr>
            <w:r>
              <w:t>1</w:t>
            </w:r>
            <w:r>
              <w:br/>
              <w:t>(</w:t>
            </w:r>
            <w:r w:rsidR="00407EA6" w:rsidRPr="001E2734">
              <w:t>25.0%</w:t>
            </w:r>
            <w:r>
              <w:t>)</w:t>
            </w:r>
          </w:p>
        </w:tc>
        <w:tc>
          <w:tcPr>
            <w:tcW w:w="545" w:type="pct"/>
          </w:tcPr>
          <w:p w14:paraId="7F96ED20" w14:textId="77777777" w:rsidR="00711CF1" w:rsidRPr="009615A4" w:rsidRDefault="001E2734" w:rsidP="000730D0">
            <w:pPr>
              <w:pStyle w:val="TableText"/>
              <w:cnfStyle w:val="000000000000" w:firstRow="0" w:lastRow="0" w:firstColumn="0" w:lastColumn="0" w:oddVBand="0" w:evenVBand="0" w:oddHBand="0" w:evenHBand="0" w:firstRowFirstColumn="0" w:firstRowLastColumn="0" w:lastRowFirstColumn="0" w:lastRowLastColumn="0"/>
            </w:pPr>
            <w:r w:rsidRPr="001E2734">
              <w:t xml:space="preserve">0 </w:t>
            </w:r>
            <w:r>
              <w:br/>
            </w:r>
            <w:r w:rsidRPr="001E2734">
              <w:t>(</w:t>
            </w:r>
            <w:r w:rsidR="00407EA6" w:rsidRPr="001E2734">
              <w:t>0.0</w:t>
            </w:r>
            <w:r w:rsidRPr="001E2734">
              <w:t>%)</w:t>
            </w:r>
          </w:p>
        </w:tc>
      </w:tr>
      <w:tr w:rsidR="00AE1E92" w:rsidRPr="009C1931" w14:paraId="299ECDB6"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638" w:type="pct"/>
          </w:tcPr>
          <w:p w14:paraId="03553E26" w14:textId="77777777" w:rsidR="00711CF1" w:rsidRPr="00057C3B" w:rsidRDefault="00711CF1" w:rsidP="000730D0">
            <w:pPr>
              <w:pStyle w:val="Tabletextbold"/>
              <w:rPr>
                <w:rFonts w:eastAsiaTheme="minorEastAsia" w:cs="Arial"/>
                <w:b/>
                <w:szCs w:val="18"/>
              </w:rPr>
            </w:pPr>
            <w:r w:rsidRPr="00057C3B">
              <w:rPr>
                <w:b/>
              </w:rPr>
              <w:t>Total</w:t>
            </w:r>
            <w:r w:rsidRPr="00057C3B">
              <w:rPr>
                <w:rFonts w:eastAsiaTheme="minorEastAsia" w:cs="Arial"/>
                <w:b/>
                <w:szCs w:val="18"/>
              </w:rPr>
              <w:t xml:space="preserve">: 57 respondents / </w:t>
            </w:r>
            <w:r w:rsidR="00155F60" w:rsidRPr="00057C3B">
              <w:rPr>
                <w:rFonts w:eastAsiaTheme="minorEastAsia" w:cs="Arial"/>
                <w:b/>
                <w:szCs w:val="18"/>
              </w:rPr>
              <w:t>112</w:t>
            </w:r>
            <w:r w:rsidRPr="00057C3B">
              <w:rPr>
                <w:rFonts w:eastAsiaTheme="minorEastAsia" w:cs="Arial"/>
                <w:b/>
                <w:szCs w:val="18"/>
              </w:rPr>
              <w:t xml:space="preserve"> responses</w:t>
            </w:r>
          </w:p>
        </w:tc>
        <w:tc>
          <w:tcPr>
            <w:tcW w:w="545" w:type="pct"/>
          </w:tcPr>
          <w:p w14:paraId="783DDAB8" w14:textId="77777777" w:rsidR="00711CF1" w:rsidRPr="008B6161" w:rsidRDefault="001E2734"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6</w:t>
            </w:r>
            <w:r w:rsidRPr="008B6161">
              <w:br/>
              <w:t>(</w:t>
            </w:r>
            <w:r w:rsidR="00155F60" w:rsidRPr="008B6161">
              <w:rPr>
                <w:szCs w:val="20"/>
              </w:rPr>
              <w:t>5.</w:t>
            </w:r>
            <w:r w:rsidR="00DC6BF9" w:rsidRPr="008B6161">
              <w:rPr>
                <w:szCs w:val="20"/>
              </w:rPr>
              <w:t>4</w:t>
            </w:r>
            <w:r w:rsidR="00155F60" w:rsidRPr="008B6161">
              <w:rPr>
                <w:szCs w:val="20"/>
              </w:rPr>
              <w:t>%</w:t>
            </w:r>
            <w:r w:rsidRPr="008B6161">
              <w:rPr>
                <w:szCs w:val="20"/>
              </w:rPr>
              <w:t>)</w:t>
            </w:r>
          </w:p>
        </w:tc>
        <w:tc>
          <w:tcPr>
            <w:tcW w:w="545" w:type="pct"/>
          </w:tcPr>
          <w:p w14:paraId="77FCB769" w14:textId="77777777" w:rsidR="00711CF1" w:rsidRPr="008B6161" w:rsidRDefault="001E2734"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14</w:t>
            </w:r>
            <w:r w:rsidRPr="008B6161">
              <w:br/>
              <w:t>(</w:t>
            </w:r>
            <w:r w:rsidR="00155F60" w:rsidRPr="008B6161">
              <w:rPr>
                <w:szCs w:val="20"/>
              </w:rPr>
              <w:t>12.5%</w:t>
            </w:r>
            <w:r w:rsidRPr="008B6161">
              <w:rPr>
                <w:szCs w:val="20"/>
              </w:rPr>
              <w:t>)</w:t>
            </w:r>
          </w:p>
        </w:tc>
        <w:tc>
          <w:tcPr>
            <w:tcW w:w="545" w:type="pct"/>
          </w:tcPr>
          <w:p w14:paraId="35151D93" w14:textId="77777777" w:rsidR="00711CF1" w:rsidRPr="008B6161" w:rsidRDefault="001E2734"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30</w:t>
            </w:r>
            <w:r w:rsidRPr="008B6161">
              <w:br/>
              <w:t>(</w:t>
            </w:r>
            <w:r w:rsidR="00155F60" w:rsidRPr="008B6161">
              <w:rPr>
                <w:szCs w:val="20"/>
              </w:rPr>
              <w:t>26.</w:t>
            </w:r>
            <w:r w:rsidR="005B4F89" w:rsidRPr="008B6161">
              <w:rPr>
                <w:szCs w:val="20"/>
              </w:rPr>
              <w:t>8</w:t>
            </w:r>
            <w:r w:rsidR="00155F60" w:rsidRPr="008B6161">
              <w:rPr>
                <w:szCs w:val="20"/>
              </w:rPr>
              <w:t>%</w:t>
            </w:r>
            <w:r w:rsidRPr="008B6161">
              <w:rPr>
                <w:szCs w:val="20"/>
              </w:rPr>
              <w:t>)</w:t>
            </w:r>
          </w:p>
        </w:tc>
        <w:tc>
          <w:tcPr>
            <w:tcW w:w="545" w:type="pct"/>
          </w:tcPr>
          <w:p w14:paraId="061C4F92" w14:textId="77777777" w:rsidR="00711CF1" w:rsidRPr="008B6161" w:rsidRDefault="001E2734"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17</w:t>
            </w:r>
            <w:r w:rsidRPr="008B6161">
              <w:br/>
              <w:t>(</w:t>
            </w:r>
            <w:r w:rsidR="00155F60" w:rsidRPr="008B6161">
              <w:rPr>
                <w:szCs w:val="20"/>
              </w:rPr>
              <w:t>15.</w:t>
            </w:r>
            <w:r w:rsidR="005B4F89" w:rsidRPr="008B6161">
              <w:rPr>
                <w:szCs w:val="20"/>
              </w:rPr>
              <w:t>2</w:t>
            </w:r>
            <w:r w:rsidR="00155F60" w:rsidRPr="008B6161">
              <w:rPr>
                <w:szCs w:val="20"/>
              </w:rPr>
              <w:t>%</w:t>
            </w:r>
            <w:r w:rsidRPr="008B6161">
              <w:rPr>
                <w:szCs w:val="20"/>
              </w:rPr>
              <w:t>)</w:t>
            </w:r>
          </w:p>
        </w:tc>
        <w:tc>
          <w:tcPr>
            <w:tcW w:w="545" w:type="pct"/>
          </w:tcPr>
          <w:p w14:paraId="07254C3D" w14:textId="77777777" w:rsidR="00711CF1" w:rsidRPr="008B6161" w:rsidRDefault="001E2734"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13</w:t>
            </w:r>
            <w:r w:rsidRPr="008B6161">
              <w:br/>
              <w:t>(</w:t>
            </w:r>
            <w:r w:rsidR="00155F60" w:rsidRPr="008B6161">
              <w:rPr>
                <w:szCs w:val="20"/>
              </w:rPr>
              <w:t>11.6%</w:t>
            </w:r>
            <w:r w:rsidRPr="008B6161">
              <w:rPr>
                <w:szCs w:val="20"/>
              </w:rPr>
              <w:t>)</w:t>
            </w:r>
          </w:p>
        </w:tc>
        <w:tc>
          <w:tcPr>
            <w:tcW w:w="545" w:type="pct"/>
          </w:tcPr>
          <w:p w14:paraId="3CEA7C7A" w14:textId="77777777" w:rsidR="00711CF1" w:rsidRPr="008B6161" w:rsidRDefault="001E2734"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7</w:t>
            </w:r>
            <w:r w:rsidRPr="008B6161">
              <w:br/>
              <w:t>(</w:t>
            </w:r>
            <w:r w:rsidR="00155F60" w:rsidRPr="008B6161">
              <w:rPr>
                <w:szCs w:val="20"/>
              </w:rPr>
              <w:t>6.</w:t>
            </w:r>
            <w:r w:rsidR="005B4F89" w:rsidRPr="008B6161">
              <w:rPr>
                <w:szCs w:val="20"/>
              </w:rPr>
              <w:t>3</w:t>
            </w:r>
            <w:r w:rsidR="00155F60" w:rsidRPr="008B6161">
              <w:rPr>
                <w:szCs w:val="20"/>
              </w:rPr>
              <w:t>%</w:t>
            </w:r>
            <w:r w:rsidRPr="008B6161">
              <w:rPr>
                <w:szCs w:val="20"/>
              </w:rPr>
              <w:t>)</w:t>
            </w:r>
          </w:p>
        </w:tc>
        <w:tc>
          <w:tcPr>
            <w:tcW w:w="545" w:type="pct"/>
          </w:tcPr>
          <w:p w14:paraId="0AB636A1" w14:textId="77777777" w:rsidR="00711CF1" w:rsidRPr="008B6161" w:rsidRDefault="001E2734"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20</w:t>
            </w:r>
            <w:r w:rsidRPr="008B6161">
              <w:br/>
              <w:t>(</w:t>
            </w:r>
            <w:r w:rsidR="00155F60" w:rsidRPr="008B6161">
              <w:rPr>
                <w:szCs w:val="20"/>
              </w:rPr>
              <w:t>17.</w:t>
            </w:r>
            <w:r w:rsidR="00A75966" w:rsidRPr="008B6161">
              <w:rPr>
                <w:szCs w:val="20"/>
              </w:rPr>
              <w:t>9</w:t>
            </w:r>
            <w:r w:rsidR="00155F60" w:rsidRPr="008B6161">
              <w:rPr>
                <w:szCs w:val="20"/>
              </w:rPr>
              <w:t>%</w:t>
            </w:r>
            <w:r w:rsidRPr="008B6161">
              <w:rPr>
                <w:szCs w:val="20"/>
              </w:rPr>
              <w:t>)</w:t>
            </w:r>
          </w:p>
        </w:tc>
        <w:tc>
          <w:tcPr>
            <w:tcW w:w="545" w:type="pct"/>
          </w:tcPr>
          <w:p w14:paraId="0B5A7DF5" w14:textId="77777777" w:rsidR="00711CF1" w:rsidRPr="008B6161" w:rsidRDefault="001E2734"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5</w:t>
            </w:r>
            <w:r w:rsidRPr="008B6161">
              <w:br/>
              <w:t>(</w:t>
            </w:r>
            <w:r w:rsidR="00155F60" w:rsidRPr="008B6161">
              <w:rPr>
                <w:szCs w:val="20"/>
              </w:rPr>
              <w:t>4.</w:t>
            </w:r>
            <w:r w:rsidR="00A75966" w:rsidRPr="008B6161">
              <w:rPr>
                <w:szCs w:val="20"/>
              </w:rPr>
              <w:t>5</w:t>
            </w:r>
            <w:r w:rsidR="00155F60" w:rsidRPr="008B6161">
              <w:rPr>
                <w:szCs w:val="20"/>
              </w:rPr>
              <w:t>%</w:t>
            </w:r>
            <w:r w:rsidRPr="008B6161">
              <w:rPr>
                <w:szCs w:val="20"/>
              </w:rPr>
              <w:t>)</w:t>
            </w:r>
          </w:p>
        </w:tc>
      </w:tr>
    </w:tbl>
    <w:p w14:paraId="4C469150" w14:textId="6C9F2DDF" w:rsidR="00711CF1" w:rsidRDefault="00711CF1" w:rsidP="000730D0">
      <w:pPr>
        <w:pStyle w:val="Caption-Source"/>
      </w:pPr>
      <w:r w:rsidRPr="007148C5">
        <w:t xml:space="preserve">Source: </w:t>
      </w:r>
      <w:r w:rsidR="00B26691">
        <w:t>Independent reviewer</w:t>
      </w:r>
      <w:r w:rsidR="00584D02">
        <w:t xml:space="preserve"> (</w:t>
      </w:r>
      <w:r w:rsidRPr="007148C5">
        <w:t>2025</w:t>
      </w:r>
      <w:r w:rsidR="00584D02">
        <w:t>)</w:t>
      </w:r>
      <w:r w:rsidR="000730D0">
        <w:br w:type="page"/>
      </w:r>
    </w:p>
    <w:p w14:paraId="171C90EE" w14:textId="6528D902" w:rsidR="000730D0" w:rsidRDefault="000730D0" w:rsidP="000730D0">
      <w:pPr>
        <w:pStyle w:val="Caption"/>
      </w:pPr>
      <w:bookmarkStart w:id="270" w:name="_Toc207348661"/>
      <w:r>
        <w:t xml:space="preserve">Table </w:t>
      </w:r>
      <w:r w:rsidR="00E6799D">
        <w:fldChar w:fldCharType="begin"/>
      </w:r>
      <w:r w:rsidR="00E6799D">
        <w:instrText xml:space="preserve"> SEQ Table \* ARABIC </w:instrText>
      </w:r>
      <w:r w:rsidR="00E6799D">
        <w:fldChar w:fldCharType="separate"/>
      </w:r>
      <w:r w:rsidR="00E6799D">
        <w:rPr>
          <w:noProof/>
        </w:rPr>
        <w:t>96</w:t>
      </w:r>
      <w:r w:rsidR="00E6799D">
        <w:rPr>
          <w:noProof/>
        </w:rPr>
        <w:fldChar w:fldCharType="end"/>
      </w:r>
      <w:r>
        <w:t xml:space="preserve">: </w:t>
      </w:r>
      <w:r w:rsidRPr="002E51E6">
        <w:t xml:space="preserve">Response to question 5 by </w:t>
      </w:r>
      <w:r>
        <w:t>area of practice</w:t>
      </w:r>
      <w:bookmarkEnd w:id="270"/>
    </w:p>
    <w:tbl>
      <w:tblPr>
        <w:tblStyle w:val="KPMGTable"/>
        <w:tblW w:w="5000" w:type="pct"/>
        <w:tblLayout w:type="fixed"/>
        <w:tblLook w:val="04A0" w:firstRow="1" w:lastRow="0" w:firstColumn="1" w:lastColumn="0" w:noHBand="0" w:noVBand="1"/>
      </w:tblPr>
      <w:tblGrid>
        <w:gridCol w:w="1413"/>
        <w:gridCol w:w="1003"/>
        <w:gridCol w:w="1112"/>
        <w:gridCol w:w="1112"/>
        <w:gridCol w:w="1114"/>
        <w:gridCol w:w="1112"/>
        <w:gridCol w:w="1112"/>
        <w:gridCol w:w="1112"/>
        <w:gridCol w:w="1114"/>
      </w:tblGrid>
      <w:tr w:rsidR="00210A81" w:rsidRPr="00386CBC" w14:paraId="518BE766" w14:textId="77777777" w:rsidTr="007A7F51">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692" w:type="pct"/>
          </w:tcPr>
          <w:p w14:paraId="4FEC5564" w14:textId="77777777" w:rsidR="00BF4D99" w:rsidRPr="007B154A" w:rsidRDefault="00BF4D99" w:rsidP="000730D0">
            <w:pPr>
              <w:pStyle w:val="TableHeading"/>
              <w:rPr>
                <w:b w:val="0"/>
                <w:color w:val="FFFFFF" w:themeColor="background1"/>
                <w:szCs w:val="20"/>
              </w:rPr>
            </w:pPr>
            <w:r>
              <w:t>Response</w:t>
            </w:r>
          </w:p>
        </w:tc>
        <w:tc>
          <w:tcPr>
            <w:tcW w:w="491" w:type="pct"/>
          </w:tcPr>
          <w:p w14:paraId="3894ABB4" w14:textId="77777777" w:rsidR="00BF4D99" w:rsidRDefault="00BF4D99"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NDIS</w:t>
            </w:r>
          </w:p>
        </w:tc>
        <w:tc>
          <w:tcPr>
            <w:tcW w:w="545" w:type="pct"/>
          </w:tcPr>
          <w:p w14:paraId="3A8BF215" w14:textId="77777777" w:rsidR="00BF4D99" w:rsidRDefault="00BF4D99"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DVA</w:t>
            </w:r>
          </w:p>
        </w:tc>
        <w:tc>
          <w:tcPr>
            <w:tcW w:w="545" w:type="pct"/>
          </w:tcPr>
          <w:p w14:paraId="25D2D35E" w14:textId="6DC934A0" w:rsidR="00BF4D99" w:rsidRDefault="00BF4D99"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State / territory health depart-</w:t>
            </w:r>
            <w:proofErr w:type="spellStart"/>
            <w:r>
              <w:t>ment</w:t>
            </w:r>
            <w:proofErr w:type="spellEnd"/>
          </w:p>
        </w:tc>
        <w:tc>
          <w:tcPr>
            <w:tcW w:w="546" w:type="pct"/>
          </w:tcPr>
          <w:p w14:paraId="2403786B" w14:textId="77777777" w:rsidR="00BF4D99" w:rsidRDefault="00BF4D99"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Private health insurance</w:t>
            </w:r>
          </w:p>
        </w:tc>
        <w:tc>
          <w:tcPr>
            <w:tcW w:w="545" w:type="pct"/>
          </w:tcPr>
          <w:p w14:paraId="342F6E59" w14:textId="77777777" w:rsidR="00BF4D99" w:rsidRDefault="00BF4D99"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Charity</w:t>
            </w:r>
          </w:p>
        </w:tc>
        <w:tc>
          <w:tcPr>
            <w:tcW w:w="545" w:type="pct"/>
          </w:tcPr>
          <w:p w14:paraId="1AA91F21" w14:textId="39C581DC" w:rsidR="00BF4D99" w:rsidRDefault="00BF4D99"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proofErr w:type="spellStart"/>
            <w:r>
              <w:t>Philanth-ropic</w:t>
            </w:r>
            <w:proofErr w:type="spellEnd"/>
            <w:r>
              <w:t xml:space="preserve"> source</w:t>
            </w:r>
          </w:p>
        </w:tc>
        <w:tc>
          <w:tcPr>
            <w:tcW w:w="545" w:type="pct"/>
          </w:tcPr>
          <w:p w14:paraId="651C03D0" w14:textId="77777777" w:rsidR="00BF4D99" w:rsidRDefault="00BF4D99"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Family / friends/ other relatives</w:t>
            </w:r>
          </w:p>
        </w:tc>
        <w:tc>
          <w:tcPr>
            <w:tcW w:w="546" w:type="pct"/>
          </w:tcPr>
          <w:p w14:paraId="7ECB1FB2" w14:textId="77777777" w:rsidR="00BF4D99" w:rsidRDefault="00BF4D99"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Other</w:t>
            </w:r>
          </w:p>
        </w:tc>
      </w:tr>
      <w:tr w:rsidR="00AE1E92" w:rsidRPr="006D20D0" w14:paraId="51B51012" w14:textId="77777777" w:rsidTr="007A7F51">
        <w:trPr>
          <w:trHeight w:val="71"/>
        </w:trPr>
        <w:tc>
          <w:tcPr>
            <w:cnfStyle w:val="001000000000" w:firstRow="0" w:lastRow="0" w:firstColumn="1" w:lastColumn="0" w:oddVBand="0" w:evenVBand="0" w:oddHBand="0" w:evenHBand="0" w:firstRowFirstColumn="0" w:firstRowLastColumn="0" w:lastRowFirstColumn="0" w:lastRowLastColumn="0"/>
            <w:tcW w:w="692" w:type="pct"/>
          </w:tcPr>
          <w:p w14:paraId="7F391815" w14:textId="77777777" w:rsidR="001E2734" w:rsidRPr="00057C3B" w:rsidRDefault="001E2734" w:rsidP="000730D0">
            <w:pPr>
              <w:pStyle w:val="TableText"/>
              <w:rPr>
                <w:b w:val="0"/>
                <w:bCs/>
              </w:rPr>
            </w:pPr>
            <w:r w:rsidRPr="00057C3B">
              <w:rPr>
                <w:b w:val="0"/>
                <w:bCs/>
              </w:rPr>
              <w:t>Anaesthesia</w:t>
            </w:r>
          </w:p>
        </w:tc>
        <w:tc>
          <w:tcPr>
            <w:tcW w:w="491" w:type="pct"/>
          </w:tcPr>
          <w:p w14:paraId="4C5DCA46" w14:textId="77777777" w:rsidR="001E2734" w:rsidRPr="00D80F7B" w:rsidRDefault="00E63605"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1E2734">
              <w:t xml:space="preserve">0 </w:t>
            </w:r>
            <w:r w:rsidR="00574715">
              <w:br/>
            </w:r>
            <w:r w:rsidRPr="001E2734">
              <w:t>(0.</w:t>
            </w:r>
            <w:r w:rsidR="00A75966" w:rsidRPr="001E2734">
              <w:t>0</w:t>
            </w:r>
            <w:r w:rsidRPr="001E2734">
              <w:t>%)</w:t>
            </w:r>
          </w:p>
        </w:tc>
        <w:tc>
          <w:tcPr>
            <w:tcW w:w="545" w:type="pct"/>
          </w:tcPr>
          <w:p w14:paraId="4525C7F4" w14:textId="77777777" w:rsidR="001E2734" w:rsidRPr="00D80F7B" w:rsidRDefault="00E63605"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1E2734">
              <w:t xml:space="preserve">0 </w:t>
            </w:r>
            <w:r w:rsidR="00574715">
              <w:br/>
            </w:r>
            <w:r w:rsidRPr="001E2734">
              <w:t>(0.</w:t>
            </w:r>
            <w:r w:rsidR="00A75966" w:rsidRPr="001E2734">
              <w:t>0</w:t>
            </w:r>
            <w:r w:rsidRPr="001E2734">
              <w:t>%)</w:t>
            </w:r>
          </w:p>
        </w:tc>
        <w:tc>
          <w:tcPr>
            <w:tcW w:w="545" w:type="pct"/>
          </w:tcPr>
          <w:p w14:paraId="5574C464" w14:textId="77777777" w:rsidR="001E2734" w:rsidRPr="00D80F7B" w:rsidRDefault="00E63605"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1E2734">
              <w:t xml:space="preserve">0 </w:t>
            </w:r>
            <w:r w:rsidR="00574715">
              <w:br/>
            </w:r>
            <w:r w:rsidRPr="001E2734">
              <w:t>(0.</w:t>
            </w:r>
            <w:r w:rsidR="00A75966" w:rsidRPr="001E2734">
              <w:t>0</w:t>
            </w:r>
            <w:r w:rsidRPr="001E2734">
              <w:t>%)</w:t>
            </w:r>
          </w:p>
        </w:tc>
        <w:tc>
          <w:tcPr>
            <w:tcW w:w="546" w:type="pct"/>
          </w:tcPr>
          <w:p w14:paraId="7B9F079E" w14:textId="77777777" w:rsidR="001E2734" w:rsidRPr="00D80F7B" w:rsidRDefault="00E63605"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1E2734">
              <w:t>0</w:t>
            </w:r>
            <w:r w:rsidR="00A75966" w:rsidRPr="001E2734">
              <w:t xml:space="preserve"> </w:t>
            </w:r>
            <w:r w:rsidR="00574715">
              <w:br/>
            </w:r>
            <w:r w:rsidRPr="001E2734">
              <w:t>(0.</w:t>
            </w:r>
            <w:r w:rsidR="00A75966" w:rsidRPr="001E2734">
              <w:t>0</w:t>
            </w:r>
            <w:r w:rsidRPr="001E2734">
              <w:t>%)</w:t>
            </w:r>
          </w:p>
        </w:tc>
        <w:tc>
          <w:tcPr>
            <w:tcW w:w="545" w:type="pct"/>
          </w:tcPr>
          <w:p w14:paraId="1EF429B1" w14:textId="77777777" w:rsidR="001E2734" w:rsidRPr="00D80F7B" w:rsidRDefault="00E63605"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1E2734">
              <w:t xml:space="preserve">0 </w:t>
            </w:r>
            <w:r w:rsidR="00574715">
              <w:br/>
            </w:r>
            <w:r w:rsidRPr="001E2734">
              <w:t>(0.</w:t>
            </w:r>
            <w:r w:rsidR="00A75966" w:rsidRPr="001E2734">
              <w:t>0</w:t>
            </w:r>
            <w:r w:rsidRPr="001E2734">
              <w:t>%)</w:t>
            </w:r>
          </w:p>
        </w:tc>
        <w:tc>
          <w:tcPr>
            <w:tcW w:w="545" w:type="pct"/>
          </w:tcPr>
          <w:p w14:paraId="17F0375B" w14:textId="77777777" w:rsidR="001E2734" w:rsidRPr="00D80F7B" w:rsidRDefault="00E63605"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1E2734">
              <w:t xml:space="preserve">0 </w:t>
            </w:r>
            <w:r w:rsidR="00574715">
              <w:br/>
            </w:r>
            <w:r w:rsidRPr="001E2734">
              <w:t>(0.</w:t>
            </w:r>
            <w:r w:rsidR="00A75966" w:rsidRPr="001E2734">
              <w:t>0</w:t>
            </w:r>
            <w:r w:rsidRPr="001E2734">
              <w:t>%)</w:t>
            </w:r>
          </w:p>
        </w:tc>
        <w:tc>
          <w:tcPr>
            <w:tcW w:w="545" w:type="pct"/>
          </w:tcPr>
          <w:p w14:paraId="75885F8B" w14:textId="77777777" w:rsidR="001E2734" w:rsidRPr="00D80F7B" w:rsidRDefault="00527E4C"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t>1</w:t>
            </w:r>
            <w:r w:rsidR="00A75966">
              <w:br/>
            </w:r>
            <w:r w:rsidR="00A75966" w:rsidRPr="001E2734">
              <w:t>(</w:t>
            </w:r>
            <w:r>
              <w:t>10</w:t>
            </w:r>
            <w:r w:rsidR="00A75966" w:rsidRPr="001E2734">
              <w:t>0</w:t>
            </w:r>
            <w:r w:rsidR="00E63605" w:rsidRPr="001E2734">
              <w:t>.</w:t>
            </w:r>
            <w:r w:rsidR="00A75966" w:rsidRPr="001E2734">
              <w:t>0</w:t>
            </w:r>
            <w:r w:rsidR="00E63605" w:rsidRPr="001E2734">
              <w:t>%)</w:t>
            </w:r>
          </w:p>
        </w:tc>
        <w:tc>
          <w:tcPr>
            <w:tcW w:w="546" w:type="pct"/>
          </w:tcPr>
          <w:p w14:paraId="0BC64E43" w14:textId="77777777" w:rsidR="001E2734" w:rsidRPr="00D80F7B" w:rsidRDefault="00B52EBD"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1E2734">
              <w:t xml:space="preserve">0 </w:t>
            </w:r>
            <w:r w:rsidR="00574715">
              <w:br/>
            </w:r>
            <w:r w:rsidRPr="001E2734">
              <w:t>(</w:t>
            </w:r>
            <w:r w:rsidR="00E63605" w:rsidRPr="001E2734">
              <w:t>0.</w:t>
            </w:r>
            <w:r w:rsidR="00A75966" w:rsidRPr="001E2734">
              <w:t>0</w:t>
            </w:r>
            <w:r w:rsidRPr="001E2734">
              <w:t>%)</w:t>
            </w:r>
          </w:p>
        </w:tc>
      </w:tr>
      <w:tr w:rsidR="00AE1E92" w:rsidRPr="009C1931" w14:paraId="09E668F2" w14:textId="77777777" w:rsidTr="007A7F51">
        <w:trPr>
          <w:trHeight w:val="71"/>
        </w:trPr>
        <w:tc>
          <w:tcPr>
            <w:cnfStyle w:val="001000000000" w:firstRow="0" w:lastRow="0" w:firstColumn="1" w:lastColumn="0" w:oddVBand="0" w:evenVBand="0" w:oddHBand="0" w:evenHBand="0" w:firstRowFirstColumn="0" w:firstRowLastColumn="0" w:lastRowFirstColumn="0" w:lastRowLastColumn="0"/>
            <w:tcW w:w="692" w:type="pct"/>
          </w:tcPr>
          <w:p w14:paraId="2A365111" w14:textId="77777777" w:rsidR="001E2734" w:rsidRPr="00057C3B" w:rsidRDefault="001E2734" w:rsidP="000730D0">
            <w:pPr>
              <w:pStyle w:val="TableText"/>
              <w:rPr>
                <w:b w:val="0"/>
                <w:bCs/>
                <w:szCs w:val="18"/>
              </w:rPr>
            </w:pPr>
            <w:proofErr w:type="spellStart"/>
            <w:r w:rsidRPr="00057C3B">
              <w:rPr>
                <w:b w:val="0"/>
                <w:bCs/>
                <w:szCs w:val="18"/>
              </w:rPr>
              <w:t>Anaplastology</w:t>
            </w:r>
            <w:proofErr w:type="spellEnd"/>
          </w:p>
        </w:tc>
        <w:tc>
          <w:tcPr>
            <w:tcW w:w="491" w:type="pct"/>
          </w:tcPr>
          <w:p w14:paraId="00D0BA71" w14:textId="77777777" w:rsidR="001E2734" w:rsidRPr="00D80F7B" w:rsidRDefault="00B52EBD"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2 </w:t>
            </w:r>
            <w:r w:rsidR="00574715" w:rsidRPr="00D80F7B">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16.</w:t>
            </w:r>
            <w:r w:rsidRPr="00D80F7B">
              <w:rPr>
                <w:rFonts w:asciiTheme="minorHAnsi" w:hAnsiTheme="minorHAnsi" w:cstheme="minorHAnsi"/>
                <w:szCs w:val="18"/>
              </w:rPr>
              <w:t>7%)</w:t>
            </w:r>
          </w:p>
        </w:tc>
        <w:tc>
          <w:tcPr>
            <w:tcW w:w="545" w:type="pct"/>
          </w:tcPr>
          <w:p w14:paraId="628D3C8B" w14:textId="77777777" w:rsidR="001E2734" w:rsidRPr="00D80F7B" w:rsidRDefault="00B52EBD"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2 </w:t>
            </w:r>
            <w:r w:rsidR="00574715" w:rsidRPr="00D80F7B">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16.</w:t>
            </w:r>
            <w:r w:rsidRPr="00D80F7B">
              <w:rPr>
                <w:rFonts w:asciiTheme="minorHAnsi" w:hAnsiTheme="minorHAnsi" w:cstheme="minorHAnsi"/>
                <w:szCs w:val="18"/>
              </w:rPr>
              <w:t>7%)</w:t>
            </w:r>
          </w:p>
        </w:tc>
        <w:tc>
          <w:tcPr>
            <w:tcW w:w="545" w:type="pct"/>
          </w:tcPr>
          <w:p w14:paraId="5F5882E0" w14:textId="77777777" w:rsidR="001E2734" w:rsidRPr="00D80F7B" w:rsidRDefault="00B52EBD"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3 </w:t>
            </w:r>
            <w:r w:rsidR="00574715" w:rsidRPr="00D80F7B">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25.</w:t>
            </w:r>
            <w:r w:rsidRPr="00D80F7B">
              <w:rPr>
                <w:rFonts w:asciiTheme="minorHAnsi" w:hAnsiTheme="minorHAnsi" w:cstheme="minorHAnsi"/>
                <w:szCs w:val="18"/>
              </w:rPr>
              <w:t>0%)</w:t>
            </w:r>
          </w:p>
        </w:tc>
        <w:tc>
          <w:tcPr>
            <w:tcW w:w="546" w:type="pct"/>
          </w:tcPr>
          <w:p w14:paraId="61A1C3A2" w14:textId="77777777" w:rsidR="001E2734" w:rsidRPr="00D80F7B" w:rsidRDefault="00B52EBD"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1 </w:t>
            </w:r>
            <w:r w:rsidR="00574715" w:rsidRPr="00D80F7B">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8.</w:t>
            </w:r>
            <w:r w:rsidRPr="00D80F7B">
              <w:rPr>
                <w:rFonts w:asciiTheme="minorHAnsi" w:hAnsiTheme="minorHAnsi" w:cstheme="minorHAnsi"/>
                <w:szCs w:val="18"/>
              </w:rPr>
              <w:t>3%)</w:t>
            </w:r>
          </w:p>
        </w:tc>
        <w:tc>
          <w:tcPr>
            <w:tcW w:w="545" w:type="pct"/>
          </w:tcPr>
          <w:p w14:paraId="15DB0C26" w14:textId="77777777" w:rsidR="001E2734" w:rsidRPr="00D80F7B" w:rsidRDefault="00B52EBD"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1 </w:t>
            </w:r>
            <w:r w:rsidR="00574715" w:rsidRPr="00D80F7B">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8.</w:t>
            </w:r>
            <w:r w:rsidR="00EF3DBB">
              <w:rPr>
                <w:rFonts w:asciiTheme="minorHAnsi" w:hAnsiTheme="minorHAnsi" w:cstheme="minorHAnsi"/>
                <w:szCs w:val="18"/>
              </w:rPr>
              <w:t>3</w:t>
            </w:r>
            <w:r w:rsidRPr="00D80F7B">
              <w:rPr>
                <w:rFonts w:asciiTheme="minorHAnsi" w:hAnsiTheme="minorHAnsi" w:cstheme="minorHAnsi"/>
                <w:szCs w:val="18"/>
              </w:rPr>
              <w:t>%)</w:t>
            </w:r>
          </w:p>
        </w:tc>
        <w:tc>
          <w:tcPr>
            <w:tcW w:w="545" w:type="pct"/>
          </w:tcPr>
          <w:p w14:paraId="0F6DCFAC" w14:textId="77777777" w:rsidR="001E2734" w:rsidRPr="00D80F7B" w:rsidRDefault="00B52EBD"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1 </w:t>
            </w:r>
            <w:r w:rsidR="00574715" w:rsidRPr="00D80F7B">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8.</w:t>
            </w:r>
            <w:r w:rsidRPr="00D80F7B">
              <w:rPr>
                <w:rFonts w:asciiTheme="minorHAnsi" w:hAnsiTheme="minorHAnsi" w:cstheme="minorHAnsi"/>
                <w:szCs w:val="18"/>
              </w:rPr>
              <w:t>3%)</w:t>
            </w:r>
          </w:p>
        </w:tc>
        <w:tc>
          <w:tcPr>
            <w:tcW w:w="545" w:type="pct"/>
          </w:tcPr>
          <w:p w14:paraId="02C4A000" w14:textId="77777777" w:rsidR="001E2734" w:rsidRPr="00D80F7B" w:rsidRDefault="00B52EBD"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0 </w:t>
            </w:r>
            <w:r w:rsidR="00574715" w:rsidRPr="00D80F7B">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0.</w:t>
            </w:r>
            <w:r w:rsidRPr="00D80F7B">
              <w:rPr>
                <w:rFonts w:asciiTheme="minorHAnsi" w:hAnsiTheme="minorHAnsi" w:cstheme="minorHAnsi"/>
                <w:szCs w:val="18"/>
              </w:rPr>
              <w:t>0%)</w:t>
            </w:r>
          </w:p>
        </w:tc>
        <w:tc>
          <w:tcPr>
            <w:tcW w:w="546" w:type="pct"/>
          </w:tcPr>
          <w:p w14:paraId="4C3AE169" w14:textId="77777777" w:rsidR="001E2734" w:rsidRPr="00D80F7B" w:rsidRDefault="00B52EBD"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0 </w:t>
            </w:r>
            <w:r w:rsidR="00574715" w:rsidRPr="00D80F7B">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0.</w:t>
            </w:r>
            <w:r w:rsidRPr="00D80F7B">
              <w:rPr>
                <w:rFonts w:asciiTheme="minorHAnsi" w:hAnsiTheme="minorHAnsi" w:cstheme="minorHAnsi"/>
                <w:szCs w:val="18"/>
              </w:rPr>
              <w:t>0%)</w:t>
            </w:r>
          </w:p>
        </w:tc>
      </w:tr>
      <w:tr w:rsidR="00AE1E92" w:rsidRPr="009C1931" w14:paraId="54DB9CF2" w14:textId="77777777" w:rsidTr="007A7F51">
        <w:trPr>
          <w:trHeight w:val="71"/>
        </w:trPr>
        <w:tc>
          <w:tcPr>
            <w:cnfStyle w:val="001000000000" w:firstRow="0" w:lastRow="0" w:firstColumn="1" w:lastColumn="0" w:oddVBand="0" w:evenVBand="0" w:oddHBand="0" w:evenHBand="0" w:firstRowFirstColumn="0" w:firstRowLastColumn="0" w:lastRowFirstColumn="0" w:lastRowLastColumn="0"/>
            <w:tcW w:w="692" w:type="pct"/>
          </w:tcPr>
          <w:p w14:paraId="6754B054" w14:textId="77777777" w:rsidR="001E2734" w:rsidRPr="00057C3B" w:rsidRDefault="001E2734" w:rsidP="000730D0">
            <w:pPr>
              <w:pStyle w:val="TableText"/>
              <w:rPr>
                <w:b w:val="0"/>
                <w:bCs/>
              </w:rPr>
            </w:pPr>
            <w:r w:rsidRPr="00057C3B">
              <w:rPr>
                <w:b w:val="0"/>
                <w:bCs/>
              </w:rPr>
              <w:t>Dentistry / dental oncology</w:t>
            </w:r>
          </w:p>
        </w:tc>
        <w:tc>
          <w:tcPr>
            <w:tcW w:w="491" w:type="pct"/>
          </w:tcPr>
          <w:p w14:paraId="36FD6AFF" w14:textId="77777777" w:rsidR="001E2734" w:rsidRPr="00D80F7B" w:rsidRDefault="00B52EBD"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0 </w:t>
            </w:r>
            <w:r w:rsidR="00330E71" w:rsidRPr="00D80F7B">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0.</w:t>
            </w:r>
            <w:r w:rsidRPr="00D80F7B">
              <w:rPr>
                <w:rFonts w:asciiTheme="minorHAnsi" w:hAnsiTheme="minorHAnsi" w:cstheme="minorHAnsi"/>
                <w:szCs w:val="18"/>
              </w:rPr>
              <w:t>0%)</w:t>
            </w:r>
          </w:p>
        </w:tc>
        <w:tc>
          <w:tcPr>
            <w:tcW w:w="545" w:type="pct"/>
          </w:tcPr>
          <w:p w14:paraId="32FE825E" w14:textId="77777777" w:rsidR="001E2734" w:rsidRPr="00D80F7B" w:rsidRDefault="00B52EBD"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0 </w:t>
            </w:r>
            <w:r w:rsidR="00330E71" w:rsidRPr="00D80F7B">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0.</w:t>
            </w:r>
            <w:r w:rsidRPr="00D80F7B">
              <w:rPr>
                <w:rFonts w:asciiTheme="minorHAnsi" w:hAnsiTheme="minorHAnsi" w:cstheme="minorHAnsi"/>
                <w:szCs w:val="18"/>
              </w:rPr>
              <w:t>0%)</w:t>
            </w:r>
          </w:p>
        </w:tc>
        <w:tc>
          <w:tcPr>
            <w:tcW w:w="545" w:type="pct"/>
          </w:tcPr>
          <w:p w14:paraId="68DC1FCC" w14:textId="77777777" w:rsidR="001E2734" w:rsidRPr="00D80F7B" w:rsidRDefault="00572B23"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6 </w:t>
            </w:r>
            <w:r w:rsidR="00330E71" w:rsidRPr="00D80F7B">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40.</w:t>
            </w:r>
            <w:r w:rsidR="00B52EBD" w:rsidRPr="00D80F7B">
              <w:rPr>
                <w:rFonts w:asciiTheme="minorHAnsi" w:hAnsiTheme="minorHAnsi" w:cstheme="minorHAnsi"/>
                <w:szCs w:val="18"/>
              </w:rPr>
              <w:t>0%</w:t>
            </w:r>
            <w:r w:rsidRPr="00D80F7B">
              <w:rPr>
                <w:rFonts w:asciiTheme="minorHAnsi" w:hAnsiTheme="minorHAnsi" w:cstheme="minorHAnsi"/>
                <w:szCs w:val="18"/>
              </w:rPr>
              <w:t>)</w:t>
            </w:r>
          </w:p>
        </w:tc>
        <w:tc>
          <w:tcPr>
            <w:tcW w:w="546" w:type="pct"/>
          </w:tcPr>
          <w:p w14:paraId="5FBCB22B" w14:textId="77777777" w:rsidR="001E2734" w:rsidRPr="00D80F7B" w:rsidRDefault="001C1D3A"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3 </w:t>
            </w:r>
            <w:r w:rsidR="00330E71" w:rsidRPr="00D80F7B">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20.</w:t>
            </w:r>
            <w:r w:rsidR="00B52EBD" w:rsidRPr="00D80F7B">
              <w:rPr>
                <w:rFonts w:asciiTheme="minorHAnsi" w:hAnsiTheme="minorHAnsi" w:cstheme="minorHAnsi"/>
                <w:szCs w:val="18"/>
              </w:rPr>
              <w:t>0%</w:t>
            </w:r>
            <w:r w:rsidRPr="00D80F7B">
              <w:rPr>
                <w:rFonts w:asciiTheme="minorHAnsi" w:hAnsiTheme="minorHAnsi" w:cstheme="minorHAnsi"/>
                <w:szCs w:val="18"/>
              </w:rPr>
              <w:t>)</w:t>
            </w:r>
          </w:p>
        </w:tc>
        <w:tc>
          <w:tcPr>
            <w:tcW w:w="545" w:type="pct"/>
          </w:tcPr>
          <w:p w14:paraId="650C0C63" w14:textId="77777777" w:rsidR="001E2734" w:rsidRPr="00D80F7B" w:rsidRDefault="001C1D3A"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4 </w:t>
            </w:r>
            <w:r w:rsidR="00330E71" w:rsidRPr="00D80F7B">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26.</w:t>
            </w:r>
            <w:r w:rsidR="00EF3DBB">
              <w:rPr>
                <w:rFonts w:asciiTheme="minorHAnsi" w:hAnsiTheme="minorHAnsi" w:cstheme="minorHAnsi"/>
                <w:szCs w:val="18"/>
              </w:rPr>
              <w:t>7</w:t>
            </w:r>
            <w:r w:rsidR="00B52EBD" w:rsidRPr="00D80F7B">
              <w:rPr>
                <w:rFonts w:asciiTheme="minorHAnsi" w:hAnsiTheme="minorHAnsi" w:cstheme="minorHAnsi"/>
                <w:szCs w:val="18"/>
              </w:rPr>
              <w:t>%</w:t>
            </w:r>
            <w:r w:rsidRPr="00D80F7B">
              <w:rPr>
                <w:rFonts w:asciiTheme="minorHAnsi" w:hAnsiTheme="minorHAnsi" w:cstheme="minorHAnsi"/>
                <w:szCs w:val="18"/>
              </w:rPr>
              <w:t>)</w:t>
            </w:r>
          </w:p>
        </w:tc>
        <w:tc>
          <w:tcPr>
            <w:tcW w:w="545" w:type="pct"/>
          </w:tcPr>
          <w:p w14:paraId="1A4419F8" w14:textId="77777777" w:rsidR="001E2734" w:rsidRPr="00D80F7B" w:rsidRDefault="00B52EBD"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0 </w:t>
            </w:r>
            <w:r w:rsidR="00330E71" w:rsidRPr="00D80F7B">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0.</w:t>
            </w:r>
            <w:r w:rsidRPr="00D80F7B">
              <w:rPr>
                <w:rFonts w:asciiTheme="minorHAnsi" w:hAnsiTheme="minorHAnsi" w:cstheme="minorHAnsi"/>
                <w:szCs w:val="18"/>
              </w:rPr>
              <w:t>0%)</w:t>
            </w:r>
          </w:p>
        </w:tc>
        <w:tc>
          <w:tcPr>
            <w:tcW w:w="545" w:type="pct"/>
          </w:tcPr>
          <w:p w14:paraId="41A4F711" w14:textId="77777777" w:rsidR="001E2734" w:rsidRPr="00D80F7B" w:rsidRDefault="00B52EBD"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0</w:t>
            </w:r>
            <w:r w:rsidR="00330E71" w:rsidRPr="00D80F7B">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0.</w:t>
            </w:r>
            <w:r w:rsidRPr="00D80F7B">
              <w:rPr>
                <w:rFonts w:asciiTheme="minorHAnsi" w:hAnsiTheme="minorHAnsi" w:cstheme="minorHAnsi"/>
                <w:szCs w:val="18"/>
              </w:rPr>
              <w:t>0%)</w:t>
            </w:r>
          </w:p>
        </w:tc>
        <w:tc>
          <w:tcPr>
            <w:tcW w:w="546" w:type="pct"/>
          </w:tcPr>
          <w:p w14:paraId="70A714F3" w14:textId="77777777" w:rsidR="001E2734" w:rsidRPr="00D80F7B" w:rsidRDefault="00B52EBD"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0 </w:t>
            </w:r>
            <w:r w:rsidR="00330E71" w:rsidRPr="00D80F7B">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0.</w:t>
            </w:r>
            <w:r w:rsidRPr="00D80F7B">
              <w:rPr>
                <w:rFonts w:asciiTheme="minorHAnsi" w:hAnsiTheme="minorHAnsi" w:cstheme="minorHAnsi"/>
                <w:szCs w:val="18"/>
              </w:rPr>
              <w:t>0%)</w:t>
            </w:r>
          </w:p>
        </w:tc>
      </w:tr>
      <w:tr w:rsidR="00AE1E92" w:rsidRPr="009C1931" w14:paraId="04B21DAF" w14:textId="77777777" w:rsidTr="007A7F51">
        <w:trPr>
          <w:trHeight w:val="71"/>
        </w:trPr>
        <w:tc>
          <w:tcPr>
            <w:cnfStyle w:val="001000000000" w:firstRow="0" w:lastRow="0" w:firstColumn="1" w:lastColumn="0" w:oddVBand="0" w:evenVBand="0" w:oddHBand="0" w:evenHBand="0" w:firstRowFirstColumn="0" w:firstRowLastColumn="0" w:lastRowFirstColumn="0" w:lastRowLastColumn="0"/>
            <w:tcW w:w="692" w:type="pct"/>
          </w:tcPr>
          <w:p w14:paraId="0820D4B2" w14:textId="77777777" w:rsidR="001E2734" w:rsidRPr="00057C3B" w:rsidRDefault="001E2734" w:rsidP="000730D0">
            <w:pPr>
              <w:pStyle w:val="TableText"/>
              <w:rPr>
                <w:b w:val="0"/>
                <w:bCs/>
              </w:rPr>
            </w:pPr>
            <w:r w:rsidRPr="00057C3B">
              <w:rPr>
                <w:b w:val="0"/>
                <w:bCs/>
              </w:rPr>
              <w:t>Lymphatic system</w:t>
            </w:r>
          </w:p>
        </w:tc>
        <w:tc>
          <w:tcPr>
            <w:tcW w:w="491" w:type="pct"/>
          </w:tcPr>
          <w:p w14:paraId="6E8C6FE7" w14:textId="77777777" w:rsidR="001E2734" w:rsidRPr="009478F9" w:rsidRDefault="00C666D0"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9478F9">
              <w:rPr>
                <w:rFonts w:asciiTheme="minorHAnsi" w:hAnsiTheme="minorHAnsi" w:cstheme="minorHAnsi"/>
                <w:szCs w:val="18"/>
              </w:rPr>
              <w:t xml:space="preserve">1 </w:t>
            </w:r>
            <w:r w:rsidR="00330E71" w:rsidRPr="009478F9">
              <w:rPr>
                <w:rFonts w:asciiTheme="minorHAnsi" w:hAnsiTheme="minorHAnsi" w:cstheme="minorHAnsi"/>
                <w:szCs w:val="18"/>
              </w:rPr>
              <w:br/>
            </w:r>
            <w:r w:rsidRPr="009478F9">
              <w:rPr>
                <w:rFonts w:asciiTheme="minorHAnsi" w:hAnsiTheme="minorHAnsi" w:cstheme="minorHAnsi"/>
                <w:szCs w:val="18"/>
              </w:rPr>
              <w:t>(</w:t>
            </w:r>
            <w:r w:rsidR="009478F9" w:rsidRPr="009478F9">
              <w:rPr>
                <w:rFonts w:asciiTheme="minorHAnsi" w:hAnsiTheme="minorHAnsi" w:cstheme="minorHAnsi"/>
                <w:szCs w:val="18"/>
              </w:rPr>
              <w:t>9.</w:t>
            </w:r>
            <w:r w:rsidR="00EF3DBB">
              <w:rPr>
                <w:rFonts w:asciiTheme="minorHAnsi" w:hAnsiTheme="minorHAnsi" w:cstheme="minorHAnsi"/>
                <w:szCs w:val="18"/>
              </w:rPr>
              <w:t>1</w:t>
            </w:r>
            <w:r w:rsidR="00B52EBD" w:rsidRPr="009478F9">
              <w:rPr>
                <w:rFonts w:asciiTheme="minorHAnsi" w:hAnsiTheme="minorHAnsi" w:cstheme="minorHAnsi"/>
                <w:szCs w:val="18"/>
              </w:rPr>
              <w:t>%</w:t>
            </w:r>
            <w:r w:rsidRPr="009478F9">
              <w:rPr>
                <w:rFonts w:asciiTheme="minorHAnsi" w:hAnsiTheme="minorHAnsi" w:cstheme="minorHAnsi"/>
                <w:szCs w:val="18"/>
              </w:rPr>
              <w:t>)</w:t>
            </w:r>
          </w:p>
        </w:tc>
        <w:tc>
          <w:tcPr>
            <w:tcW w:w="545" w:type="pct"/>
          </w:tcPr>
          <w:p w14:paraId="1CADD673" w14:textId="77777777" w:rsidR="001E2734" w:rsidRPr="009478F9" w:rsidRDefault="00B52EBD"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9478F9">
              <w:rPr>
                <w:rFonts w:asciiTheme="minorHAnsi" w:hAnsiTheme="minorHAnsi" w:cstheme="minorHAnsi"/>
                <w:szCs w:val="18"/>
              </w:rPr>
              <w:t xml:space="preserve">0 </w:t>
            </w:r>
            <w:r w:rsidR="00330E71" w:rsidRPr="009478F9">
              <w:rPr>
                <w:rFonts w:asciiTheme="minorHAnsi" w:hAnsiTheme="minorHAnsi" w:cstheme="minorHAnsi"/>
                <w:szCs w:val="18"/>
              </w:rPr>
              <w:br/>
            </w:r>
            <w:r w:rsidRPr="009478F9">
              <w:rPr>
                <w:rFonts w:asciiTheme="minorHAnsi" w:hAnsiTheme="minorHAnsi" w:cstheme="minorHAnsi"/>
                <w:szCs w:val="18"/>
              </w:rPr>
              <w:t>(</w:t>
            </w:r>
            <w:r w:rsidR="00E63605" w:rsidRPr="009478F9">
              <w:rPr>
                <w:rFonts w:asciiTheme="minorHAnsi" w:hAnsiTheme="minorHAnsi" w:cstheme="minorHAnsi"/>
                <w:szCs w:val="18"/>
              </w:rPr>
              <w:t>0.</w:t>
            </w:r>
            <w:r w:rsidR="00EF3DBB">
              <w:rPr>
                <w:rFonts w:asciiTheme="minorHAnsi" w:hAnsiTheme="minorHAnsi" w:cstheme="minorHAnsi"/>
                <w:szCs w:val="18"/>
              </w:rPr>
              <w:t>0</w:t>
            </w:r>
            <w:r w:rsidRPr="009478F9">
              <w:rPr>
                <w:rFonts w:asciiTheme="minorHAnsi" w:hAnsiTheme="minorHAnsi" w:cstheme="minorHAnsi"/>
                <w:szCs w:val="18"/>
              </w:rPr>
              <w:t>%)</w:t>
            </w:r>
          </w:p>
        </w:tc>
        <w:tc>
          <w:tcPr>
            <w:tcW w:w="545" w:type="pct"/>
          </w:tcPr>
          <w:p w14:paraId="5408B20C" w14:textId="77777777" w:rsidR="001E2734" w:rsidRPr="009478F9" w:rsidRDefault="00C666D0"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9478F9">
              <w:rPr>
                <w:rFonts w:asciiTheme="minorHAnsi" w:hAnsiTheme="minorHAnsi" w:cstheme="minorHAnsi"/>
                <w:szCs w:val="18"/>
              </w:rPr>
              <w:t xml:space="preserve">2 </w:t>
            </w:r>
            <w:r w:rsidR="00330E71" w:rsidRPr="009478F9">
              <w:rPr>
                <w:rFonts w:asciiTheme="minorHAnsi" w:hAnsiTheme="minorHAnsi" w:cstheme="minorHAnsi"/>
                <w:szCs w:val="18"/>
              </w:rPr>
              <w:br/>
            </w:r>
            <w:r w:rsidRPr="009478F9">
              <w:rPr>
                <w:rFonts w:asciiTheme="minorHAnsi" w:hAnsiTheme="minorHAnsi" w:cstheme="minorHAnsi"/>
                <w:szCs w:val="18"/>
              </w:rPr>
              <w:t>(</w:t>
            </w:r>
            <w:r w:rsidR="009478F9" w:rsidRPr="009478F9">
              <w:rPr>
                <w:rFonts w:asciiTheme="minorHAnsi" w:hAnsiTheme="minorHAnsi" w:cstheme="minorHAnsi"/>
                <w:szCs w:val="18"/>
              </w:rPr>
              <w:t>18.</w:t>
            </w:r>
            <w:r w:rsidR="00EF3DBB">
              <w:rPr>
                <w:rFonts w:asciiTheme="minorHAnsi" w:hAnsiTheme="minorHAnsi" w:cstheme="minorHAnsi"/>
                <w:szCs w:val="18"/>
              </w:rPr>
              <w:t>2</w:t>
            </w:r>
            <w:r w:rsidR="00B52EBD" w:rsidRPr="009478F9">
              <w:rPr>
                <w:rFonts w:asciiTheme="minorHAnsi" w:hAnsiTheme="minorHAnsi" w:cstheme="minorHAnsi"/>
                <w:szCs w:val="18"/>
              </w:rPr>
              <w:t>%</w:t>
            </w:r>
            <w:r w:rsidRPr="009478F9">
              <w:rPr>
                <w:rFonts w:asciiTheme="minorHAnsi" w:hAnsiTheme="minorHAnsi" w:cstheme="minorHAnsi"/>
                <w:szCs w:val="18"/>
              </w:rPr>
              <w:t>)</w:t>
            </w:r>
          </w:p>
        </w:tc>
        <w:tc>
          <w:tcPr>
            <w:tcW w:w="546" w:type="pct"/>
          </w:tcPr>
          <w:p w14:paraId="6CA36002" w14:textId="77777777" w:rsidR="001E2734" w:rsidRPr="009478F9" w:rsidRDefault="00C666D0"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9478F9">
              <w:rPr>
                <w:rFonts w:asciiTheme="minorHAnsi" w:hAnsiTheme="minorHAnsi" w:cstheme="minorHAnsi"/>
                <w:szCs w:val="18"/>
              </w:rPr>
              <w:t xml:space="preserve">3 </w:t>
            </w:r>
            <w:r w:rsidR="00330E71" w:rsidRPr="009478F9">
              <w:rPr>
                <w:rFonts w:asciiTheme="minorHAnsi" w:hAnsiTheme="minorHAnsi" w:cstheme="minorHAnsi"/>
                <w:szCs w:val="18"/>
              </w:rPr>
              <w:br/>
            </w:r>
            <w:r w:rsidRPr="009478F9">
              <w:rPr>
                <w:rFonts w:asciiTheme="minorHAnsi" w:hAnsiTheme="minorHAnsi" w:cstheme="minorHAnsi"/>
                <w:szCs w:val="18"/>
              </w:rPr>
              <w:t>(</w:t>
            </w:r>
            <w:r w:rsidR="00B52EBD" w:rsidRPr="009478F9">
              <w:rPr>
                <w:rFonts w:asciiTheme="minorHAnsi" w:hAnsiTheme="minorHAnsi" w:cstheme="minorHAnsi"/>
                <w:szCs w:val="18"/>
              </w:rPr>
              <w:t>2</w:t>
            </w:r>
            <w:r w:rsidR="009478F9" w:rsidRPr="009478F9">
              <w:rPr>
                <w:rFonts w:asciiTheme="minorHAnsi" w:hAnsiTheme="minorHAnsi" w:cstheme="minorHAnsi"/>
                <w:szCs w:val="18"/>
              </w:rPr>
              <w:t>7.</w:t>
            </w:r>
            <w:r w:rsidR="00EF3DBB">
              <w:rPr>
                <w:rFonts w:asciiTheme="minorHAnsi" w:hAnsiTheme="minorHAnsi" w:cstheme="minorHAnsi"/>
                <w:szCs w:val="18"/>
              </w:rPr>
              <w:t>3</w:t>
            </w:r>
            <w:r w:rsidR="00B52EBD" w:rsidRPr="009478F9">
              <w:rPr>
                <w:rFonts w:asciiTheme="minorHAnsi" w:hAnsiTheme="minorHAnsi" w:cstheme="minorHAnsi"/>
                <w:szCs w:val="18"/>
              </w:rPr>
              <w:t>%</w:t>
            </w:r>
            <w:r w:rsidRPr="009478F9">
              <w:rPr>
                <w:rFonts w:asciiTheme="minorHAnsi" w:hAnsiTheme="minorHAnsi" w:cstheme="minorHAnsi"/>
                <w:szCs w:val="18"/>
              </w:rPr>
              <w:t>)</w:t>
            </w:r>
          </w:p>
        </w:tc>
        <w:tc>
          <w:tcPr>
            <w:tcW w:w="545" w:type="pct"/>
          </w:tcPr>
          <w:p w14:paraId="52A70AE9" w14:textId="77777777" w:rsidR="001E2734" w:rsidRPr="009478F9" w:rsidRDefault="00207F58"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9478F9">
              <w:rPr>
                <w:rFonts w:asciiTheme="minorHAnsi" w:hAnsiTheme="minorHAnsi" w:cstheme="minorHAnsi"/>
                <w:szCs w:val="18"/>
              </w:rPr>
              <w:t>2</w:t>
            </w:r>
            <w:r w:rsidR="00330E71" w:rsidRPr="009478F9">
              <w:rPr>
                <w:rFonts w:asciiTheme="minorHAnsi" w:hAnsiTheme="minorHAnsi" w:cstheme="minorHAnsi"/>
                <w:szCs w:val="18"/>
              </w:rPr>
              <w:br/>
            </w:r>
            <w:r w:rsidR="00EA46A1" w:rsidRPr="009478F9">
              <w:rPr>
                <w:rFonts w:asciiTheme="minorHAnsi" w:hAnsiTheme="minorHAnsi" w:cstheme="minorHAnsi"/>
                <w:szCs w:val="18"/>
              </w:rPr>
              <w:t>(</w:t>
            </w:r>
            <w:r w:rsidR="009478F9" w:rsidRPr="009478F9">
              <w:rPr>
                <w:rFonts w:asciiTheme="minorHAnsi" w:hAnsiTheme="minorHAnsi" w:cstheme="minorHAnsi"/>
                <w:szCs w:val="18"/>
              </w:rPr>
              <w:t>18.</w:t>
            </w:r>
            <w:r w:rsidR="00EF3DBB">
              <w:rPr>
                <w:rFonts w:asciiTheme="minorHAnsi" w:hAnsiTheme="minorHAnsi" w:cstheme="minorHAnsi"/>
                <w:szCs w:val="18"/>
              </w:rPr>
              <w:t>2</w:t>
            </w:r>
            <w:r w:rsidR="00B52EBD" w:rsidRPr="009478F9">
              <w:rPr>
                <w:rFonts w:asciiTheme="minorHAnsi" w:hAnsiTheme="minorHAnsi" w:cstheme="minorHAnsi"/>
                <w:szCs w:val="18"/>
              </w:rPr>
              <w:t>%</w:t>
            </w:r>
            <w:r w:rsidR="00EA46A1" w:rsidRPr="009478F9">
              <w:rPr>
                <w:rFonts w:asciiTheme="minorHAnsi" w:hAnsiTheme="minorHAnsi" w:cstheme="minorHAnsi"/>
                <w:szCs w:val="18"/>
              </w:rPr>
              <w:t>)</w:t>
            </w:r>
          </w:p>
        </w:tc>
        <w:tc>
          <w:tcPr>
            <w:tcW w:w="545" w:type="pct"/>
          </w:tcPr>
          <w:p w14:paraId="6D5A72EB" w14:textId="77777777" w:rsidR="001E2734" w:rsidRPr="009478F9" w:rsidRDefault="00B52EBD"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9478F9">
              <w:rPr>
                <w:rFonts w:asciiTheme="minorHAnsi" w:hAnsiTheme="minorHAnsi" w:cstheme="minorHAnsi"/>
                <w:szCs w:val="18"/>
              </w:rPr>
              <w:t xml:space="preserve">0 </w:t>
            </w:r>
            <w:r w:rsidR="00330E71" w:rsidRPr="009478F9">
              <w:rPr>
                <w:rFonts w:asciiTheme="minorHAnsi" w:hAnsiTheme="minorHAnsi" w:cstheme="minorHAnsi"/>
                <w:szCs w:val="18"/>
              </w:rPr>
              <w:br/>
            </w:r>
            <w:r w:rsidRPr="009478F9">
              <w:rPr>
                <w:rFonts w:asciiTheme="minorHAnsi" w:hAnsiTheme="minorHAnsi" w:cstheme="minorHAnsi"/>
                <w:szCs w:val="18"/>
              </w:rPr>
              <w:t>(</w:t>
            </w:r>
            <w:r w:rsidR="00E63605" w:rsidRPr="009478F9">
              <w:rPr>
                <w:rFonts w:asciiTheme="minorHAnsi" w:hAnsiTheme="minorHAnsi" w:cstheme="minorHAnsi"/>
                <w:szCs w:val="18"/>
              </w:rPr>
              <w:t>0.</w:t>
            </w:r>
            <w:r w:rsidRPr="009478F9">
              <w:rPr>
                <w:rFonts w:asciiTheme="minorHAnsi" w:hAnsiTheme="minorHAnsi" w:cstheme="minorHAnsi"/>
                <w:szCs w:val="18"/>
              </w:rPr>
              <w:t>0%)</w:t>
            </w:r>
          </w:p>
        </w:tc>
        <w:tc>
          <w:tcPr>
            <w:tcW w:w="545" w:type="pct"/>
          </w:tcPr>
          <w:p w14:paraId="41F79F40" w14:textId="77777777" w:rsidR="001E2734" w:rsidRPr="009478F9" w:rsidRDefault="00EA46A1"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9478F9">
              <w:rPr>
                <w:rFonts w:asciiTheme="minorHAnsi" w:hAnsiTheme="minorHAnsi" w:cstheme="minorHAnsi"/>
                <w:szCs w:val="18"/>
              </w:rPr>
              <w:t xml:space="preserve">2 </w:t>
            </w:r>
            <w:r w:rsidR="00330E71" w:rsidRPr="009478F9">
              <w:rPr>
                <w:rFonts w:asciiTheme="minorHAnsi" w:hAnsiTheme="minorHAnsi" w:cstheme="minorHAnsi"/>
                <w:szCs w:val="18"/>
              </w:rPr>
              <w:br/>
            </w:r>
            <w:r w:rsidRPr="009478F9">
              <w:rPr>
                <w:rFonts w:asciiTheme="minorHAnsi" w:hAnsiTheme="minorHAnsi" w:cstheme="minorHAnsi"/>
                <w:szCs w:val="18"/>
              </w:rPr>
              <w:t>(</w:t>
            </w:r>
            <w:r w:rsidR="009478F9" w:rsidRPr="009478F9">
              <w:rPr>
                <w:rFonts w:asciiTheme="minorHAnsi" w:hAnsiTheme="minorHAnsi" w:cstheme="minorHAnsi"/>
                <w:szCs w:val="18"/>
              </w:rPr>
              <w:t>18.</w:t>
            </w:r>
            <w:r w:rsidR="00EF3DBB">
              <w:rPr>
                <w:rFonts w:asciiTheme="minorHAnsi" w:hAnsiTheme="minorHAnsi" w:cstheme="minorHAnsi"/>
                <w:szCs w:val="18"/>
              </w:rPr>
              <w:t>2</w:t>
            </w:r>
            <w:r w:rsidR="00B52EBD" w:rsidRPr="009478F9">
              <w:rPr>
                <w:rFonts w:asciiTheme="minorHAnsi" w:hAnsiTheme="minorHAnsi" w:cstheme="minorHAnsi"/>
                <w:szCs w:val="18"/>
              </w:rPr>
              <w:t>%</w:t>
            </w:r>
            <w:r w:rsidRPr="009478F9">
              <w:rPr>
                <w:rFonts w:asciiTheme="minorHAnsi" w:hAnsiTheme="minorHAnsi" w:cstheme="minorHAnsi"/>
                <w:szCs w:val="18"/>
              </w:rPr>
              <w:t>)</w:t>
            </w:r>
          </w:p>
        </w:tc>
        <w:tc>
          <w:tcPr>
            <w:tcW w:w="546" w:type="pct"/>
          </w:tcPr>
          <w:p w14:paraId="53A53A15" w14:textId="77777777" w:rsidR="001E2734" w:rsidRPr="009478F9" w:rsidRDefault="002F4E42"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9478F9">
              <w:rPr>
                <w:rFonts w:asciiTheme="minorHAnsi" w:hAnsiTheme="minorHAnsi" w:cstheme="minorHAnsi"/>
                <w:szCs w:val="18"/>
              </w:rPr>
              <w:t>1</w:t>
            </w:r>
            <w:r w:rsidR="00EA46A1" w:rsidRPr="009478F9">
              <w:rPr>
                <w:rFonts w:asciiTheme="minorHAnsi" w:hAnsiTheme="minorHAnsi" w:cstheme="minorHAnsi"/>
                <w:szCs w:val="18"/>
              </w:rPr>
              <w:t xml:space="preserve"> </w:t>
            </w:r>
            <w:r w:rsidR="00330E71" w:rsidRPr="009478F9">
              <w:rPr>
                <w:rFonts w:asciiTheme="minorHAnsi" w:hAnsiTheme="minorHAnsi" w:cstheme="minorHAnsi"/>
                <w:szCs w:val="18"/>
              </w:rPr>
              <w:br/>
            </w:r>
            <w:r w:rsidR="00EA46A1" w:rsidRPr="009478F9">
              <w:rPr>
                <w:rFonts w:asciiTheme="minorHAnsi" w:hAnsiTheme="minorHAnsi" w:cstheme="minorHAnsi"/>
                <w:szCs w:val="18"/>
              </w:rPr>
              <w:t>(</w:t>
            </w:r>
            <w:r w:rsidR="009478F9" w:rsidRPr="009478F9">
              <w:rPr>
                <w:rFonts w:asciiTheme="minorHAnsi" w:hAnsiTheme="minorHAnsi" w:cstheme="minorHAnsi"/>
                <w:szCs w:val="18"/>
              </w:rPr>
              <w:t>9.</w:t>
            </w:r>
            <w:r w:rsidR="00EF3DBB">
              <w:rPr>
                <w:rFonts w:asciiTheme="minorHAnsi" w:hAnsiTheme="minorHAnsi" w:cstheme="minorHAnsi"/>
                <w:szCs w:val="18"/>
              </w:rPr>
              <w:t>1</w:t>
            </w:r>
            <w:r w:rsidR="00B52EBD" w:rsidRPr="009478F9">
              <w:rPr>
                <w:rFonts w:asciiTheme="minorHAnsi" w:hAnsiTheme="minorHAnsi" w:cstheme="minorHAnsi"/>
                <w:szCs w:val="18"/>
              </w:rPr>
              <w:t>%</w:t>
            </w:r>
            <w:r w:rsidR="00EA46A1" w:rsidRPr="009478F9">
              <w:rPr>
                <w:rFonts w:asciiTheme="minorHAnsi" w:hAnsiTheme="minorHAnsi" w:cstheme="minorHAnsi"/>
                <w:szCs w:val="18"/>
              </w:rPr>
              <w:t>)</w:t>
            </w:r>
          </w:p>
        </w:tc>
      </w:tr>
      <w:tr w:rsidR="00AE1E92" w:rsidRPr="009C1931" w14:paraId="772030A0" w14:textId="77777777" w:rsidTr="007A7F51">
        <w:trPr>
          <w:trHeight w:val="71"/>
        </w:trPr>
        <w:tc>
          <w:tcPr>
            <w:cnfStyle w:val="001000000000" w:firstRow="0" w:lastRow="0" w:firstColumn="1" w:lastColumn="0" w:oddVBand="0" w:evenVBand="0" w:oddHBand="0" w:evenHBand="0" w:firstRowFirstColumn="0" w:firstRowLastColumn="0" w:lastRowFirstColumn="0" w:lastRowLastColumn="0"/>
            <w:tcW w:w="692" w:type="pct"/>
          </w:tcPr>
          <w:p w14:paraId="40298530" w14:textId="77777777" w:rsidR="001E2734" w:rsidRPr="00057C3B" w:rsidRDefault="001E2734" w:rsidP="000730D0">
            <w:pPr>
              <w:pStyle w:val="TableText"/>
              <w:rPr>
                <w:b w:val="0"/>
                <w:bCs/>
              </w:rPr>
            </w:pPr>
            <w:r w:rsidRPr="00057C3B">
              <w:rPr>
                <w:b w:val="0"/>
                <w:bCs/>
              </w:rPr>
              <w:t>Oncology</w:t>
            </w:r>
          </w:p>
        </w:tc>
        <w:tc>
          <w:tcPr>
            <w:tcW w:w="491" w:type="pct"/>
          </w:tcPr>
          <w:p w14:paraId="13E74846" w14:textId="77777777" w:rsidR="001E2734" w:rsidRPr="00F11964" w:rsidRDefault="00E52C9F"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F11964">
              <w:rPr>
                <w:rFonts w:asciiTheme="minorHAnsi" w:hAnsiTheme="minorHAnsi" w:cstheme="minorHAnsi"/>
                <w:szCs w:val="18"/>
              </w:rPr>
              <w:t xml:space="preserve">2 </w:t>
            </w:r>
            <w:r w:rsidR="0073662E" w:rsidRPr="00F11964">
              <w:rPr>
                <w:rFonts w:asciiTheme="minorHAnsi" w:hAnsiTheme="minorHAnsi" w:cstheme="minorHAnsi"/>
                <w:szCs w:val="18"/>
              </w:rPr>
              <w:br/>
            </w:r>
            <w:r w:rsidRPr="00F11964">
              <w:rPr>
                <w:rFonts w:asciiTheme="minorHAnsi" w:hAnsiTheme="minorHAnsi" w:cstheme="minorHAnsi"/>
                <w:szCs w:val="18"/>
              </w:rPr>
              <w:t>(</w:t>
            </w:r>
            <w:r w:rsidR="00E63605" w:rsidRPr="00F11964">
              <w:rPr>
                <w:rFonts w:asciiTheme="minorHAnsi" w:hAnsiTheme="minorHAnsi" w:cstheme="minorHAnsi"/>
                <w:szCs w:val="18"/>
              </w:rPr>
              <w:t>10.</w:t>
            </w:r>
            <w:r w:rsidR="00B52EBD" w:rsidRPr="00F11964">
              <w:rPr>
                <w:rFonts w:asciiTheme="minorHAnsi" w:hAnsiTheme="minorHAnsi" w:cstheme="minorHAnsi"/>
                <w:szCs w:val="18"/>
              </w:rPr>
              <w:t>5%</w:t>
            </w:r>
            <w:r w:rsidRPr="00F11964">
              <w:rPr>
                <w:rFonts w:asciiTheme="minorHAnsi" w:hAnsiTheme="minorHAnsi" w:cstheme="minorHAnsi"/>
                <w:szCs w:val="18"/>
              </w:rPr>
              <w:t>)</w:t>
            </w:r>
          </w:p>
        </w:tc>
        <w:tc>
          <w:tcPr>
            <w:tcW w:w="545" w:type="pct"/>
          </w:tcPr>
          <w:p w14:paraId="2ACC63FF" w14:textId="77777777" w:rsidR="001E2734" w:rsidRPr="00F11964" w:rsidRDefault="00E52C9F"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F11964">
              <w:rPr>
                <w:rFonts w:asciiTheme="minorHAnsi" w:hAnsiTheme="minorHAnsi" w:cstheme="minorHAnsi"/>
                <w:szCs w:val="18"/>
              </w:rPr>
              <w:t xml:space="preserve">3 </w:t>
            </w:r>
            <w:r w:rsidR="0073662E" w:rsidRPr="00F11964">
              <w:rPr>
                <w:rFonts w:asciiTheme="minorHAnsi" w:hAnsiTheme="minorHAnsi" w:cstheme="minorHAnsi"/>
                <w:szCs w:val="18"/>
              </w:rPr>
              <w:br/>
            </w:r>
            <w:r w:rsidRPr="00F11964">
              <w:rPr>
                <w:rFonts w:asciiTheme="minorHAnsi" w:hAnsiTheme="minorHAnsi" w:cstheme="minorHAnsi"/>
                <w:szCs w:val="18"/>
              </w:rPr>
              <w:t>(</w:t>
            </w:r>
            <w:r w:rsidR="00E63605" w:rsidRPr="00F11964">
              <w:rPr>
                <w:rFonts w:asciiTheme="minorHAnsi" w:hAnsiTheme="minorHAnsi" w:cstheme="minorHAnsi"/>
                <w:szCs w:val="18"/>
              </w:rPr>
              <w:t>15.</w:t>
            </w:r>
            <w:r w:rsidR="00EF3DBB">
              <w:rPr>
                <w:rFonts w:asciiTheme="minorHAnsi" w:hAnsiTheme="minorHAnsi" w:cstheme="minorHAnsi"/>
                <w:szCs w:val="18"/>
              </w:rPr>
              <w:t>8</w:t>
            </w:r>
            <w:r w:rsidR="00B52EBD" w:rsidRPr="00F11964">
              <w:rPr>
                <w:rFonts w:asciiTheme="minorHAnsi" w:hAnsiTheme="minorHAnsi" w:cstheme="minorHAnsi"/>
                <w:szCs w:val="18"/>
              </w:rPr>
              <w:t>%</w:t>
            </w:r>
            <w:r w:rsidRPr="00F11964">
              <w:rPr>
                <w:rFonts w:asciiTheme="minorHAnsi" w:hAnsiTheme="minorHAnsi" w:cstheme="minorHAnsi"/>
                <w:szCs w:val="18"/>
              </w:rPr>
              <w:t>)</w:t>
            </w:r>
          </w:p>
        </w:tc>
        <w:tc>
          <w:tcPr>
            <w:tcW w:w="545" w:type="pct"/>
          </w:tcPr>
          <w:p w14:paraId="7E24FACF" w14:textId="77777777" w:rsidR="001E2734" w:rsidRPr="00F11964" w:rsidRDefault="00E52C9F"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F11964">
              <w:rPr>
                <w:rFonts w:asciiTheme="minorHAnsi" w:hAnsiTheme="minorHAnsi" w:cstheme="minorHAnsi"/>
                <w:szCs w:val="18"/>
              </w:rPr>
              <w:t xml:space="preserve">5 </w:t>
            </w:r>
            <w:r w:rsidR="0073662E" w:rsidRPr="00F11964">
              <w:rPr>
                <w:rFonts w:asciiTheme="minorHAnsi" w:hAnsiTheme="minorHAnsi" w:cstheme="minorHAnsi"/>
                <w:szCs w:val="18"/>
              </w:rPr>
              <w:br/>
            </w:r>
            <w:r w:rsidRPr="00F11964">
              <w:rPr>
                <w:rFonts w:asciiTheme="minorHAnsi" w:hAnsiTheme="minorHAnsi" w:cstheme="minorHAnsi"/>
                <w:szCs w:val="18"/>
              </w:rPr>
              <w:t>(</w:t>
            </w:r>
            <w:r w:rsidR="00E63605" w:rsidRPr="00F11964">
              <w:rPr>
                <w:rFonts w:asciiTheme="minorHAnsi" w:hAnsiTheme="minorHAnsi" w:cstheme="minorHAnsi"/>
                <w:szCs w:val="18"/>
              </w:rPr>
              <w:t>26.</w:t>
            </w:r>
            <w:r w:rsidR="00B52EBD" w:rsidRPr="00F11964">
              <w:rPr>
                <w:rFonts w:asciiTheme="minorHAnsi" w:hAnsiTheme="minorHAnsi" w:cstheme="minorHAnsi"/>
                <w:szCs w:val="18"/>
              </w:rPr>
              <w:t>3%</w:t>
            </w:r>
            <w:r w:rsidRPr="00F11964">
              <w:rPr>
                <w:rFonts w:asciiTheme="minorHAnsi" w:hAnsiTheme="minorHAnsi" w:cstheme="minorHAnsi"/>
                <w:szCs w:val="18"/>
              </w:rPr>
              <w:t>)</w:t>
            </w:r>
          </w:p>
        </w:tc>
        <w:tc>
          <w:tcPr>
            <w:tcW w:w="546" w:type="pct"/>
          </w:tcPr>
          <w:p w14:paraId="6BB6DAD9" w14:textId="77777777" w:rsidR="001E2734" w:rsidRPr="00F11964" w:rsidRDefault="00E52C9F"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F11964">
              <w:rPr>
                <w:rFonts w:asciiTheme="minorHAnsi" w:hAnsiTheme="minorHAnsi" w:cstheme="minorHAnsi"/>
                <w:szCs w:val="18"/>
              </w:rPr>
              <w:t xml:space="preserve">4 </w:t>
            </w:r>
            <w:r w:rsidR="0073662E" w:rsidRPr="00F11964">
              <w:rPr>
                <w:rFonts w:asciiTheme="minorHAnsi" w:hAnsiTheme="minorHAnsi" w:cstheme="minorHAnsi"/>
                <w:szCs w:val="18"/>
              </w:rPr>
              <w:br/>
            </w:r>
            <w:r w:rsidRPr="00F11964">
              <w:rPr>
                <w:rFonts w:asciiTheme="minorHAnsi" w:hAnsiTheme="minorHAnsi" w:cstheme="minorHAnsi"/>
                <w:szCs w:val="18"/>
              </w:rPr>
              <w:t>(</w:t>
            </w:r>
            <w:r w:rsidR="00E63605" w:rsidRPr="00F11964">
              <w:rPr>
                <w:rFonts w:asciiTheme="minorHAnsi" w:hAnsiTheme="minorHAnsi" w:cstheme="minorHAnsi"/>
                <w:szCs w:val="18"/>
              </w:rPr>
              <w:t>21.</w:t>
            </w:r>
            <w:r w:rsidR="00EF3DBB">
              <w:rPr>
                <w:rFonts w:asciiTheme="minorHAnsi" w:hAnsiTheme="minorHAnsi" w:cstheme="minorHAnsi"/>
                <w:szCs w:val="18"/>
              </w:rPr>
              <w:t>1</w:t>
            </w:r>
            <w:r w:rsidR="00B52EBD" w:rsidRPr="00F11964">
              <w:rPr>
                <w:rFonts w:asciiTheme="minorHAnsi" w:hAnsiTheme="minorHAnsi" w:cstheme="minorHAnsi"/>
                <w:szCs w:val="18"/>
              </w:rPr>
              <w:t>%</w:t>
            </w:r>
            <w:r w:rsidRPr="00F11964">
              <w:rPr>
                <w:rFonts w:asciiTheme="minorHAnsi" w:hAnsiTheme="minorHAnsi" w:cstheme="minorHAnsi"/>
                <w:szCs w:val="18"/>
              </w:rPr>
              <w:t>)</w:t>
            </w:r>
          </w:p>
        </w:tc>
        <w:tc>
          <w:tcPr>
            <w:tcW w:w="545" w:type="pct"/>
          </w:tcPr>
          <w:p w14:paraId="60F69637" w14:textId="77777777" w:rsidR="001E2734" w:rsidRPr="00F11964" w:rsidRDefault="00E52C9F"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F11964">
              <w:rPr>
                <w:rFonts w:asciiTheme="minorHAnsi" w:hAnsiTheme="minorHAnsi" w:cstheme="minorHAnsi"/>
                <w:szCs w:val="18"/>
              </w:rPr>
              <w:t xml:space="preserve">2 </w:t>
            </w:r>
            <w:r w:rsidR="0073662E" w:rsidRPr="00F11964">
              <w:rPr>
                <w:rFonts w:asciiTheme="minorHAnsi" w:hAnsiTheme="minorHAnsi" w:cstheme="minorHAnsi"/>
                <w:szCs w:val="18"/>
              </w:rPr>
              <w:br/>
            </w:r>
            <w:r w:rsidRPr="00F11964">
              <w:rPr>
                <w:rFonts w:asciiTheme="minorHAnsi" w:hAnsiTheme="minorHAnsi" w:cstheme="minorHAnsi"/>
                <w:szCs w:val="18"/>
              </w:rPr>
              <w:t>(</w:t>
            </w:r>
            <w:r w:rsidR="00E63605" w:rsidRPr="00F11964">
              <w:rPr>
                <w:rFonts w:asciiTheme="minorHAnsi" w:hAnsiTheme="minorHAnsi" w:cstheme="minorHAnsi"/>
                <w:szCs w:val="18"/>
              </w:rPr>
              <w:t>10.</w:t>
            </w:r>
            <w:r w:rsidR="00B52EBD" w:rsidRPr="00F11964">
              <w:rPr>
                <w:rFonts w:asciiTheme="minorHAnsi" w:hAnsiTheme="minorHAnsi" w:cstheme="minorHAnsi"/>
                <w:szCs w:val="18"/>
              </w:rPr>
              <w:t>5%</w:t>
            </w:r>
            <w:r w:rsidRPr="00F11964">
              <w:rPr>
                <w:rFonts w:asciiTheme="minorHAnsi" w:hAnsiTheme="minorHAnsi" w:cstheme="minorHAnsi"/>
                <w:szCs w:val="18"/>
              </w:rPr>
              <w:t>)</w:t>
            </w:r>
          </w:p>
        </w:tc>
        <w:tc>
          <w:tcPr>
            <w:tcW w:w="545" w:type="pct"/>
          </w:tcPr>
          <w:p w14:paraId="6EED9EA9" w14:textId="77777777" w:rsidR="001E2734" w:rsidRPr="00F11964" w:rsidRDefault="00E52C9F"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F11964">
              <w:rPr>
                <w:rFonts w:asciiTheme="minorHAnsi" w:hAnsiTheme="minorHAnsi" w:cstheme="minorHAnsi"/>
                <w:szCs w:val="18"/>
              </w:rPr>
              <w:t>1</w:t>
            </w:r>
            <w:r w:rsidR="00F11964" w:rsidRPr="00F11964">
              <w:rPr>
                <w:rFonts w:asciiTheme="minorHAnsi" w:hAnsiTheme="minorHAnsi" w:cstheme="minorHAnsi"/>
                <w:szCs w:val="18"/>
              </w:rPr>
              <w:br/>
              <w:t>(</w:t>
            </w:r>
            <w:r w:rsidR="00B52EBD" w:rsidRPr="00F11964">
              <w:rPr>
                <w:rFonts w:asciiTheme="minorHAnsi" w:hAnsiTheme="minorHAnsi" w:cstheme="minorHAnsi"/>
                <w:szCs w:val="18"/>
              </w:rPr>
              <w:t>5</w:t>
            </w:r>
            <w:r w:rsidR="00E63605" w:rsidRPr="00F11964">
              <w:rPr>
                <w:rFonts w:asciiTheme="minorHAnsi" w:hAnsiTheme="minorHAnsi" w:cstheme="minorHAnsi"/>
                <w:szCs w:val="18"/>
              </w:rPr>
              <w:t>.</w:t>
            </w:r>
            <w:r w:rsidR="00EF3DBB">
              <w:rPr>
                <w:rFonts w:asciiTheme="minorHAnsi" w:hAnsiTheme="minorHAnsi" w:cstheme="minorHAnsi"/>
                <w:szCs w:val="18"/>
              </w:rPr>
              <w:t>3</w:t>
            </w:r>
            <w:r w:rsidR="00B52EBD" w:rsidRPr="00F11964">
              <w:rPr>
                <w:rFonts w:asciiTheme="minorHAnsi" w:hAnsiTheme="minorHAnsi" w:cstheme="minorHAnsi"/>
                <w:szCs w:val="18"/>
              </w:rPr>
              <w:t>%</w:t>
            </w:r>
            <w:r w:rsidR="00F11964" w:rsidRPr="00F11964">
              <w:rPr>
                <w:rFonts w:asciiTheme="minorHAnsi" w:hAnsiTheme="minorHAnsi" w:cstheme="minorHAnsi"/>
                <w:szCs w:val="18"/>
              </w:rPr>
              <w:t>)</w:t>
            </w:r>
          </w:p>
        </w:tc>
        <w:tc>
          <w:tcPr>
            <w:tcW w:w="545" w:type="pct"/>
          </w:tcPr>
          <w:p w14:paraId="2CEC9BB4" w14:textId="77777777" w:rsidR="001E2734" w:rsidRPr="00F11964" w:rsidRDefault="00B52EBD"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F11964">
              <w:rPr>
                <w:rFonts w:asciiTheme="minorHAnsi" w:hAnsiTheme="minorHAnsi" w:cstheme="minorHAnsi"/>
                <w:szCs w:val="18"/>
              </w:rPr>
              <w:t xml:space="preserve">0 </w:t>
            </w:r>
            <w:r w:rsidR="0073662E" w:rsidRPr="00F11964">
              <w:rPr>
                <w:rFonts w:asciiTheme="minorHAnsi" w:hAnsiTheme="minorHAnsi" w:cstheme="minorHAnsi"/>
                <w:szCs w:val="18"/>
              </w:rPr>
              <w:br/>
            </w:r>
            <w:r w:rsidRPr="00F11964">
              <w:rPr>
                <w:rFonts w:asciiTheme="minorHAnsi" w:hAnsiTheme="minorHAnsi" w:cstheme="minorHAnsi"/>
                <w:szCs w:val="18"/>
              </w:rPr>
              <w:t>(</w:t>
            </w:r>
            <w:r w:rsidR="00E63605" w:rsidRPr="00F11964">
              <w:rPr>
                <w:rFonts w:asciiTheme="minorHAnsi" w:hAnsiTheme="minorHAnsi" w:cstheme="minorHAnsi"/>
                <w:szCs w:val="18"/>
              </w:rPr>
              <w:t>0.</w:t>
            </w:r>
            <w:r w:rsidRPr="00F11964">
              <w:rPr>
                <w:rFonts w:asciiTheme="minorHAnsi" w:hAnsiTheme="minorHAnsi" w:cstheme="minorHAnsi"/>
                <w:szCs w:val="18"/>
              </w:rPr>
              <w:t>0%)</w:t>
            </w:r>
          </w:p>
        </w:tc>
        <w:tc>
          <w:tcPr>
            <w:tcW w:w="546" w:type="pct"/>
          </w:tcPr>
          <w:p w14:paraId="0C1E07DC" w14:textId="77777777" w:rsidR="001E2734" w:rsidRPr="00F11964" w:rsidRDefault="00B52EBD"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F11964">
              <w:rPr>
                <w:rFonts w:asciiTheme="minorHAnsi" w:hAnsiTheme="minorHAnsi" w:cstheme="minorHAnsi"/>
                <w:szCs w:val="18"/>
              </w:rPr>
              <w:t xml:space="preserve">0 </w:t>
            </w:r>
            <w:r w:rsidR="0073662E" w:rsidRPr="00F11964">
              <w:rPr>
                <w:rFonts w:asciiTheme="minorHAnsi" w:hAnsiTheme="minorHAnsi" w:cstheme="minorHAnsi"/>
                <w:szCs w:val="18"/>
              </w:rPr>
              <w:br/>
            </w:r>
            <w:r w:rsidRPr="00F11964">
              <w:rPr>
                <w:rFonts w:asciiTheme="minorHAnsi" w:hAnsiTheme="minorHAnsi" w:cstheme="minorHAnsi"/>
                <w:szCs w:val="18"/>
              </w:rPr>
              <w:t>(</w:t>
            </w:r>
            <w:r w:rsidR="00E63605" w:rsidRPr="00F11964">
              <w:rPr>
                <w:rFonts w:asciiTheme="minorHAnsi" w:hAnsiTheme="minorHAnsi" w:cstheme="minorHAnsi"/>
                <w:szCs w:val="18"/>
              </w:rPr>
              <w:t>0.</w:t>
            </w:r>
            <w:r w:rsidRPr="00F11964">
              <w:rPr>
                <w:rFonts w:asciiTheme="minorHAnsi" w:hAnsiTheme="minorHAnsi" w:cstheme="minorHAnsi"/>
                <w:szCs w:val="18"/>
              </w:rPr>
              <w:t>0%)</w:t>
            </w:r>
          </w:p>
        </w:tc>
      </w:tr>
      <w:tr w:rsidR="00AE1E92" w:rsidRPr="009C1931" w14:paraId="195DCFFB" w14:textId="77777777" w:rsidTr="007A7F51">
        <w:trPr>
          <w:trHeight w:val="71"/>
        </w:trPr>
        <w:tc>
          <w:tcPr>
            <w:cnfStyle w:val="001000000000" w:firstRow="0" w:lastRow="0" w:firstColumn="1" w:lastColumn="0" w:oddVBand="0" w:evenVBand="0" w:oddHBand="0" w:evenHBand="0" w:firstRowFirstColumn="0" w:firstRowLastColumn="0" w:lastRowFirstColumn="0" w:lastRowLastColumn="0"/>
            <w:tcW w:w="692" w:type="pct"/>
          </w:tcPr>
          <w:p w14:paraId="28F662B0" w14:textId="77777777" w:rsidR="001E2734" w:rsidRPr="00057C3B" w:rsidRDefault="001E2734" w:rsidP="000730D0">
            <w:pPr>
              <w:pStyle w:val="TableText"/>
              <w:rPr>
                <w:b w:val="0"/>
                <w:bCs/>
              </w:rPr>
            </w:pPr>
            <w:r w:rsidRPr="00057C3B">
              <w:rPr>
                <w:b w:val="0"/>
                <w:bCs/>
              </w:rPr>
              <w:t>Oral and maxillofacial</w:t>
            </w:r>
          </w:p>
        </w:tc>
        <w:tc>
          <w:tcPr>
            <w:tcW w:w="491" w:type="pct"/>
          </w:tcPr>
          <w:p w14:paraId="0F34B775" w14:textId="77777777" w:rsidR="001E2734" w:rsidRPr="00D80F7B" w:rsidRDefault="00B52EBD"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0 </w:t>
            </w:r>
            <w:r w:rsidR="00330E71" w:rsidRPr="00D80F7B">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0.</w:t>
            </w:r>
            <w:r w:rsidR="00EF3DBB" w:rsidRPr="00D80F7B">
              <w:rPr>
                <w:rFonts w:asciiTheme="minorHAnsi" w:hAnsiTheme="minorHAnsi" w:cstheme="minorHAnsi"/>
                <w:szCs w:val="18"/>
              </w:rPr>
              <w:t>0</w:t>
            </w:r>
            <w:r w:rsidRPr="00D80F7B">
              <w:rPr>
                <w:rFonts w:asciiTheme="minorHAnsi" w:hAnsiTheme="minorHAnsi" w:cstheme="minorHAnsi"/>
                <w:szCs w:val="18"/>
              </w:rPr>
              <w:t>%)</w:t>
            </w:r>
          </w:p>
        </w:tc>
        <w:tc>
          <w:tcPr>
            <w:tcW w:w="545" w:type="pct"/>
          </w:tcPr>
          <w:p w14:paraId="746EBBD9" w14:textId="77777777" w:rsidR="001E2734" w:rsidRPr="00D80F7B" w:rsidRDefault="00A86208"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3 </w:t>
            </w:r>
            <w:r w:rsidRPr="00D80F7B">
              <w:rPr>
                <w:rFonts w:asciiTheme="minorHAnsi" w:hAnsiTheme="minorHAnsi" w:cstheme="minorHAnsi"/>
                <w:szCs w:val="18"/>
              </w:rPr>
              <w:br/>
              <w:t>(</w:t>
            </w:r>
            <w:r w:rsidR="00E63605" w:rsidRPr="00D80F7B">
              <w:rPr>
                <w:rFonts w:asciiTheme="minorHAnsi" w:hAnsiTheme="minorHAnsi" w:cstheme="minorHAnsi"/>
                <w:szCs w:val="18"/>
              </w:rPr>
              <w:t>18.</w:t>
            </w:r>
            <w:r w:rsidR="00EF3DBB">
              <w:rPr>
                <w:rFonts w:asciiTheme="minorHAnsi" w:hAnsiTheme="minorHAnsi" w:cstheme="minorHAnsi"/>
                <w:szCs w:val="18"/>
              </w:rPr>
              <w:t>8</w:t>
            </w:r>
            <w:r w:rsidR="00B52EBD" w:rsidRPr="00D80F7B">
              <w:rPr>
                <w:rFonts w:asciiTheme="minorHAnsi" w:hAnsiTheme="minorHAnsi" w:cstheme="minorHAnsi"/>
                <w:szCs w:val="18"/>
              </w:rPr>
              <w:t>%</w:t>
            </w:r>
            <w:r w:rsidRPr="00D80F7B">
              <w:rPr>
                <w:rFonts w:asciiTheme="minorHAnsi" w:hAnsiTheme="minorHAnsi" w:cstheme="minorHAnsi"/>
                <w:szCs w:val="18"/>
              </w:rPr>
              <w:t>)</w:t>
            </w:r>
          </w:p>
        </w:tc>
        <w:tc>
          <w:tcPr>
            <w:tcW w:w="545" w:type="pct"/>
          </w:tcPr>
          <w:p w14:paraId="57296473" w14:textId="77777777" w:rsidR="001E2734" w:rsidRPr="00D80F7B" w:rsidRDefault="00617CB4"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4 </w:t>
            </w:r>
            <w:r w:rsidRPr="00D80F7B">
              <w:rPr>
                <w:rFonts w:asciiTheme="minorHAnsi" w:hAnsiTheme="minorHAnsi" w:cstheme="minorHAnsi"/>
                <w:szCs w:val="18"/>
              </w:rPr>
              <w:br/>
              <w:t>(</w:t>
            </w:r>
            <w:proofErr w:type="gramStart"/>
            <w:r w:rsidR="00E63605" w:rsidRPr="00D80F7B">
              <w:rPr>
                <w:rFonts w:asciiTheme="minorHAnsi" w:hAnsiTheme="minorHAnsi" w:cstheme="minorHAnsi"/>
                <w:szCs w:val="18"/>
              </w:rPr>
              <w:t>25</w:t>
            </w:r>
            <w:r w:rsidR="00EF3DBB" w:rsidRPr="00D80F7B">
              <w:rPr>
                <w:rFonts w:asciiTheme="minorHAnsi" w:hAnsiTheme="minorHAnsi" w:cstheme="minorHAnsi"/>
                <w:szCs w:val="18"/>
              </w:rPr>
              <w:t>.%</w:t>
            </w:r>
            <w:proofErr w:type="gramEnd"/>
            <w:r w:rsidR="00EF3DBB" w:rsidRPr="00D80F7B">
              <w:rPr>
                <w:rFonts w:asciiTheme="minorHAnsi" w:hAnsiTheme="minorHAnsi" w:cstheme="minorHAnsi"/>
                <w:szCs w:val="18"/>
              </w:rPr>
              <w:t>)</w:t>
            </w:r>
          </w:p>
        </w:tc>
        <w:tc>
          <w:tcPr>
            <w:tcW w:w="546" w:type="pct"/>
          </w:tcPr>
          <w:p w14:paraId="69FF69EA" w14:textId="77777777" w:rsidR="001E2734" w:rsidRPr="00D80F7B" w:rsidRDefault="00617CB4"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3</w:t>
            </w:r>
            <w:r w:rsidRPr="00D80F7B">
              <w:rPr>
                <w:rFonts w:asciiTheme="minorHAnsi" w:hAnsiTheme="minorHAnsi" w:cstheme="minorHAnsi"/>
                <w:szCs w:val="18"/>
              </w:rPr>
              <w:br/>
              <w:t>(</w:t>
            </w:r>
            <w:r w:rsidR="00E63605" w:rsidRPr="00D80F7B">
              <w:rPr>
                <w:rFonts w:asciiTheme="minorHAnsi" w:hAnsiTheme="minorHAnsi" w:cstheme="minorHAnsi"/>
                <w:szCs w:val="18"/>
              </w:rPr>
              <w:t>18.</w:t>
            </w:r>
            <w:r w:rsidR="00EF3DBB">
              <w:rPr>
                <w:rFonts w:asciiTheme="minorHAnsi" w:hAnsiTheme="minorHAnsi" w:cstheme="minorHAnsi"/>
                <w:szCs w:val="18"/>
              </w:rPr>
              <w:t>8</w:t>
            </w:r>
            <w:r w:rsidR="00B52EBD" w:rsidRPr="00D80F7B">
              <w:rPr>
                <w:rFonts w:asciiTheme="minorHAnsi" w:hAnsiTheme="minorHAnsi" w:cstheme="minorHAnsi"/>
                <w:szCs w:val="18"/>
              </w:rPr>
              <w:t>%</w:t>
            </w:r>
            <w:r w:rsidRPr="00D80F7B">
              <w:rPr>
                <w:rFonts w:asciiTheme="minorHAnsi" w:hAnsiTheme="minorHAnsi" w:cstheme="minorHAnsi"/>
                <w:szCs w:val="18"/>
              </w:rPr>
              <w:t>)</w:t>
            </w:r>
          </w:p>
        </w:tc>
        <w:tc>
          <w:tcPr>
            <w:tcW w:w="545" w:type="pct"/>
          </w:tcPr>
          <w:p w14:paraId="068F238F" w14:textId="77777777" w:rsidR="001E2734" w:rsidRPr="00D80F7B" w:rsidRDefault="00617CB4"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1 </w:t>
            </w:r>
            <w:r w:rsidRPr="00D80F7B">
              <w:rPr>
                <w:rFonts w:asciiTheme="minorHAnsi" w:hAnsiTheme="minorHAnsi" w:cstheme="minorHAnsi"/>
                <w:szCs w:val="18"/>
              </w:rPr>
              <w:br/>
              <w:t>(</w:t>
            </w:r>
            <w:r w:rsidR="00E63605" w:rsidRPr="00D80F7B">
              <w:rPr>
                <w:rFonts w:asciiTheme="minorHAnsi" w:hAnsiTheme="minorHAnsi" w:cstheme="minorHAnsi"/>
                <w:szCs w:val="18"/>
              </w:rPr>
              <w:t>6.</w:t>
            </w:r>
            <w:r w:rsidR="00EF3DBB">
              <w:rPr>
                <w:rFonts w:asciiTheme="minorHAnsi" w:hAnsiTheme="minorHAnsi" w:cstheme="minorHAnsi"/>
                <w:szCs w:val="18"/>
              </w:rPr>
              <w:t>3</w:t>
            </w:r>
            <w:r w:rsidR="00B52EBD" w:rsidRPr="00D80F7B">
              <w:rPr>
                <w:rFonts w:asciiTheme="minorHAnsi" w:hAnsiTheme="minorHAnsi" w:cstheme="minorHAnsi"/>
                <w:szCs w:val="18"/>
              </w:rPr>
              <w:t>%</w:t>
            </w:r>
            <w:r w:rsidRPr="00D80F7B">
              <w:rPr>
                <w:rFonts w:asciiTheme="minorHAnsi" w:hAnsiTheme="minorHAnsi" w:cstheme="minorHAnsi"/>
                <w:szCs w:val="18"/>
              </w:rPr>
              <w:t>)</w:t>
            </w:r>
          </w:p>
        </w:tc>
        <w:tc>
          <w:tcPr>
            <w:tcW w:w="545" w:type="pct"/>
          </w:tcPr>
          <w:p w14:paraId="3C53C77E" w14:textId="77777777" w:rsidR="001E2734" w:rsidRPr="00D80F7B" w:rsidRDefault="00617CB4"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1</w:t>
            </w:r>
            <w:r w:rsidRPr="00D80F7B">
              <w:rPr>
                <w:rFonts w:asciiTheme="minorHAnsi" w:hAnsiTheme="minorHAnsi" w:cstheme="minorHAnsi"/>
                <w:szCs w:val="18"/>
              </w:rPr>
              <w:br/>
              <w:t>(</w:t>
            </w:r>
            <w:r w:rsidR="00E63605" w:rsidRPr="00D80F7B">
              <w:rPr>
                <w:rFonts w:asciiTheme="minorHAnsi" w:hAnsiTheme="minorHAnsi" w:cstheme="minorHAnsi"/>
                <w:szCs w:val="18"/>
              </w:rPr>
              <w:t>6.</w:t>
            </w:r>
            <w:r w:rsidR="00EF3DBB">
              <w:rPr>
                <w:rFonts w:asciiTheme="minorHAnsi" w:hAnsiTheme="minorHAnsi" w:cstheme="minorHAnsi"/>
                <w:szCs w:val="18"/>
              </w:rPr>
              <w:t>3</w:t>
            </w:r>
            <w:r w:rsidR="00B52EBD" w:rsidRPr="00D80F7B">
              <w:rPr>
                <w:rFonts w:asciiTheme="minorHAnsi" w:hAnsiTheme="minorHAnsi" w:cstheme="minorHAnsi"/>
                <w:szCs w:val="18"/>
              </w:rPr>
              <w:t>%</w:t>
            </w:r>
            <w:r w:rsidRPr="00D80F7B">
              <w:rPr>
                <w:rFonts w:asciiTheme="minorHAnsi" w:hAnsiTheme="minorHAnsi" w:cstheme="minorHAnsi"/>
                <w:szCs w:val="18"/>
              </w:rPr>
              <w:t>)</w:t>
            </w:r>
          </w:p>
        </w:tc>
        <w:tc>
          <w:tcPr>
            <w:tcW w:w="545" w:type="pct"/>
          </w:tcPr>
          <w:p w14:paraId="7518FC7F" w14:textId="77777777" w:rsidR="001E2734" w:rsidRPr="00D80F7B" w:rsidRDefault="00A35217"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1 </w:t>
            </w:r>
            <w:r w:rsidRPr="00D80F7B">
              <w:rPr>
                <w:rFonts w:asciiTheme="minorHAnsi" w:hAnsiTheme="minorHAnsi" w:cstheme="minorHAnsi"/>
                <w:szCs w:val="18"/>
              </w:rPr>
              <w:br/>
              <w:t>(</w:t>
            </w:r>
            <w:r w:rsidR="00E63605" w:rsidRPr="00D80F7B">
              <w:rPr>
                <w:rFonts w:asciiTheme="minorHAnsi" w:hAnsiTheme="minorHAnsi" w:cstheme="minorHAnsi"/>
                <w:szCs w:val="18"/>
              </w:rPr>
              <w:t>6.</w:t>
            </w:r>
            <w:r w:rsidR="00EF3DBB">
              <w:rPr>
                <w:rFonts w:asciiTheme="minorHAnsi" w:hAnsiTheme="minorHAnsi" w:cstheme="minorHAnsi"/>
                <w:szCs w:val="18"/>
              </w:rPr>
              <w:t>3</w:t>
            </w:r>
            <w:r w:rsidR="00B52EBD" w:rsidRPr="00D80F7B">
              <w:rPr>
                <w:rFonts w:asciiTheme="minorHAnsi" w:hAnsiTheme="minorHAnsi" w:cstheme="minorHAnsi"/>
                <w:szCs w:val="18"/>
              </w:rPr>
              <w:t>%</w:t>
            </w:r>
            <w:r w:rsidRPr="00D80F7B">
              <w:rPr>
                <w:rFonts w:asciiTheme="minorHAnsi" w:hAnsiTheme="minorHAnsi" w:cstheme="minorHAnsi"/>
                <w:szCs w:val="18"/>
              </w:rPr>
              <w:t>)</w:t>
            </w:r>
          </w:p>
        </w:tc>
        <w:tc>
          <w:tcPr>
            <w:tcW w:w="546" w:type="pct"/>
          </w:tcPr>
          <w:p w14:paraId="5A9B782A" w14:textId="77777777" w:rsidR="001E2734" w:rsidRPr="00D80F7B" w:rsidRDefault="00A35217"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1</w:t>
            </w:r>
            <w:r w:rsidRPr="00D80F7B">
              <w:rPr>
                <w:rFonts w:asciiTheme="minorHAnsi" w:hAnsiTheme="minorHAnsi" w:cstheme="minorHAnsi"/>
                <w:szCs w:val="18"/>
              </w:rPr>
              <w:br/>
              <w:t>(</w:t>
            </w:r>
            <w:r w:rsidR="00E63605" w:rsidRPr="00D80F7B">
              <w:rPr>
                <w:rFonts w:asciiTheme="minorHAnsi" w:hAnsiTheme="minorHAnsi" w:cstheme="minorHAnsi"/>
                <w:szCs w:val="18"/>
              </w:rPr>
              <w:t>6.</w:t>
            </w:r>
            <w:r w:rsidR="00EF3DBB">
              <w:rPr>
                <w:rFonts w:asciiTheme="minorHAnsi" w:hAnsiTheme="minorHAnsi" w:cstheme="minorHAnsi"/>
                <w:szCs w:val="18"/>
              </w:rPr>
              <w:t>3</w:t>
            </w:r>
            <w:r w:rsidR="00B52EBD" w:rsidRPr="00D80F7B">
              <w:rPr>
                <w:rFonts w:asciiTheme="minorHAnsi" w:hAnsiTheme="minorHAnsi" w:cstheme="minorHAnsi"/>
                <w:szCs w:val="18"/>
              </w:rPr>
              <w:t>%</w:t>
            </w:r>
            <w:r w:rsidRPr="00D80F7B">
              <w:rPr>
                <w:rFonts w:asciiTheme="minorHAnsi" w:hAnsiTheme="minorHAnsi" w:cstheme="minorHAnsi"/>
                <w:szCs w:val="18"/>
              </w:rPr>
              <w:t>)</w:t>
            </w:r>
          </w:p>
        </w:tc>
      </w:tr>
      <w:tr w:rsidR="00AE1E92" w:rsidRPr="009C1931" w14:paraId="7AF832A3" w14:textId="77777777" w:rsidTr="007A7F51">
        <w:trPr>
          <w:trHeight w:val="71"/>
        </w:trPr>
        <w:tc>
          <w:tcPr>
            <w:cnfStyle w:val="001000000000" w:firstRow="0" w:lastRow="0" w:firstColumn="1" w:lastColumn="0" w:oddVBand="0" w:evenVBand="0" w:oddHBand="0" w:evenHBand="0" w:firstRowFirstColumn="0" w:firstRowLastColumn="0" w:lastRowFirstColumn="0" w:lastRowLastColumn="0"/>
            <w:tcW w:w="692" w:type="pct"/>
          </w:tcPr>
          <w:p w14:paraId="3F00992A" w14:textId="77777777" w:rsidR="001E2734" w:rsidRPr="00057C3B" w:rsidRDefault="001E2734" w:rsidP="000730D0">
            <w:pPr>
              <w:pStyle w:val="TableText"/>
              <w:rPr>
                <w:b w:val="0"/>
                <w:bCs/>
              </w:rPr>
            </w:pPr>
            <w:r w:rsidRPr="00057C3B">
              <w:rPr>
                <w:b w:val="0"/>
                <w:bCs/>
              </w:rPr>
              <w:t>Otolaryngology head and neck surgery</w:t>
            </w:r>
          </w:p>
        </w:tc>
        <w:tc>
          <w:tcPr>
            <w:tcW w:w="491" w:type="pct"/>
          </w:tcPr>
          <w:p w14:paraId="1500B6F4" w14:textId="77777777" w:rsidR="001E2734" w:rsidRPr="00D80F7B" w:rsidRDefault="00B52EBD"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0 </w:t>
            </w:r>
            <w:r w:rsidR="00070241" w:rsidRPr="00D80F7B">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0.</w:t>
            </w:r>
            <w:r w:rsidR="00EF3DBB">
              <w:rPr>
                <w:rFonts w:asciiTheme="minorHAnsi" w:hAnsiTheme="minorHAnsi" w:cstheme="minorHAnsi"/>
                <w:szCs w:val="18"/>
              </w:rPr>
              <w:t>0</w:t>
            </w:r>
            <w:r w:rsidRPr="00D80F7B">
              <w:rPr>
                <w:rFonts w:asciiTheme="minorHAnsi" w:hAnsiTheme="minorHAnsi" w:cstheme="minorHAnsi"/>
                <w:szCs w:val="18"/>
              </w:rPr>
              <w:t>%)</w:t>
            </w:r>
          </w:p>
        </w:tc>
        <w:tc>
          <w:tcPr>
            <w:tcW w:w="545" w:type="pct"/>
          </w:tcPr>
          <w:p w14:paraId="5777682F" w14:textId="77777777" w:rsidR="001E2734" w:rsidRPr="00D80F7B" w:rsidRDefault="00974B37"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3 </w:t>
            </w:r>
            <w:r w:rsidRPr="00D80F7B">
              <w:rPr>
                <w:rFonts w:asciiTheme="minorHAnsi" w:hAnsiTheme="minorHAnsi" w:cstheme="minorHAnsi"/>
                <w:szCs w:val="18"/>
              </w:rPr>
              <w:br/>
              <w:t>(</w:t>
            </w:r>
            <w:r w:rsidR="00E63605" w:rsidRPr="00D80F7B">
              <w:rPr>
                <w:rFonts w:asciiTheme="minorHAnsi" w:hAnsiTheme="minorHAnsi" w:cstheme="minorHAnsi"/>
                <w:szCs w:val="18"/>
              </w:rPr>
              <w:t>18.</w:t>
            </w:r>
            <w:r w:rsidR="00EF3DBB">
              <w:rPr>
                <w:rFonts w:asciiTheme="minorHAnsi" w:hAnsiTheme="minorHAnsi" w:cstheme="minorHAnsi"/>
                <w:szCs w:val="18"/>
              </w:rPr>
              <w:t>8</w:t>
            </w:r>
            <w:r w:rsidR="00B52EBD" w:rsidRPr="00D80F7B">
              <w:rPr>
                <w:rFonts w:asciiTheme="minorHAnsi" w:hAnsiTheme="minorHAnsi" w:cstheme="minorHAnsi"/>
                <w:szCs w:val="18"/>
              </w:rPr>
              <w:t>%</w:t>
            </w:r>
            <w:r w:rsidRPr="00D80F7B">
              <w:rPr>
                <w:rFonts w:asciiTheme="minorHAnsi" w:hAnsiTheme="minorHAnsi" w:cstheme="minorHAnsi"/>
                <w:szCs w:val="18"/>
              </w:rPr>
              <w:t>)</w:t>
            </w:r>
          </w:p>
        </w:tc>
        <w:tc>
          <w:tcPr>
            <w:tcW w:w="545" w:type="pct"/>
          </w:tcPr>
          <w:p w14:paraId="1AE4C019" w14:textId="77777777" w:rsidR="001E2734" w:rsidRPr="00D80F7B" w:rsidRDefault="00974B37"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3 </w:t>
            </w:r>
            <w:r w:rsidRPr="00D80F7B">
              <w:rPr>
                <w:rFonts w:asciiTheme="minorHAnsi" w:hAnsiTheme="minorHAnsi" w:cstheme="minorHAnsi"/>
                <w:szCs w:val="18"/>
              </w:rPr>
              <w:br/>
              <w:t>(</w:t>
            </w:r>
            <w:r w:rsidR="00E63605" w:rsidRPr="00D80F7B">
              <w:rPr>
                <w:rFonts w:asciiTheme="minorHAnsi" w:hAnsiTheme="minorHAnsi" w:cstheme="minorHAnsi"/>
                <w:szCs w:val="18"/>
              </w:rPr>
              <w:t>18.</w:t>
            </w:r>
            <w:r w:rsidR="00EF3DBB">
              <w:rPr>
                <w:rFonts w:asciiTheme="minorHAnsi" w:hAnsiTheme="minorHAnsi" w:cstheme="minorHAnsi"/>
                <w:szCs w:val="18"/>
              </w:rPr>
              <w:t>8</w:t>
            </w:r>
            <w:r w:rsidR="00B52EBD" w:rsidRPr="00D80F7B">
              <w:rPr>
                <w:rFonts w:asciiTheme="minorHAnsi" w:hAnsiTheme="minorHAnsi" w:cstheme="minorHAnsi"/>
                <w:szCs w:val="18"/>
              </w:rPr>
              <w:t>%</w:t>
            </w:r>
            <w:r w:rsidRPr="00D80F7B">
              <w:rPr>
                <w:rFonts w:asciiTheme="minorHAnsi" w:hAnsiTheme="minorHAnsi" w:cstheme="minorHAnsi"/>
                <w:szCs w:val="18"/>
              </w:rPr>
              <w:t>)</w:t>
            </w:r>
          </w:p>
        </w:tc>
        <w:tc>
          <w:tcPr>
            <w:tcW w:w="546" w:type="pct"/>
          </w:tcPr>
          <w:p w14:paraId="54AA3D92" w14:textId="77777777" w:rsidR="001E2734" w:rsidRPr="00D80F7B" w:rsidRDefault="003B4DF1"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1 </w:t>
            </w:r>
            <w:r w:rsidRPr="00D80F7B">
              <w:rPr>
                <w:rFonts w:asciiTheme="minorHAnsi" w:hAnsiTheme="minorHAnsi" w:cstheme="minorHAnsi"/>
                <w:szCs w:val="18"/>
              </w:rPr>
              <w:br/>
              <w:t>(</w:t>
            </w:r>
            <w:r w:rsidR="00E63605" w:rsidRPr="00D80F7B">
              <w:rPr>
                <w:rFonts w:asciiTheme="minorHAnsi" w:hAnsiTheme="minorHAnsi" w:cstheme="minorHAnsi"/>
                <w:szCs w:val="18"/>
              </w:rPr>
              <w:t>6.</w:t>
            </w:r>
            <w:r w:rsidR="00EF3DBB">
              <w:rPr>
                <w:rFonts w:asciiTheme="minorHAnsi" w:hAnsiTheme="minorHAnsi" w:cstheme="minorHAnsi"/>
                <w:szCs w:val="18"/>
              </w:rPr>
              <w:t>3</w:t>
            </w:r>
            <w:r w:rsidR="00B52EBD" w:rsidRPr="00D80F7B">
              <w:rPr>
                <w:rFonts w:asciiTheme="minorHAnsi" w:hAnsiTheme="minorHAnsi" w:cstheme="minorHAnsi"/>
                <w:szCs w:val="18"/>
              </w:rPr>
              <w:t>%</w:t>
            </w:r>
            <w:r w:rsidRPr="00D80F7B">
              <w:rPr>
                <w:rFonts w:asciiTheme="minorHAnsi" w:hAnsiTheme="minorHAnsi" w:cstheme="minorHAnsi"/>
                <w:szCs w:val="18"/>
              </w:rPr>
              <w:t>)</w:t>
            </w:r>
          </w:p>
        </w:tc>
        <w:tc>
          <w:tcPr>
            <w:tcW w:w="545" w:type="pct"/>
          </w:tcPr>
          <w:p w14:paraId="2208F69D" w14:textId="77777777" w:rsidR="001E2734" w:rsidRPr="00D80F7B" w:rsidRDefault="003B4DF1"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1 </w:t>
            </w:r>
            <w:r w:rsidRPr="00D80F7B">
              <w:rPr>
                <w:rFonts w:asciiTheme="minorHAnsi" w:hAnsiTheme="minorHAnsi" w:cstheme="minorHAnsi"/>
                <w:szCs w:val="18"/>
              </w:rPr>
              <w:br/>
              <w:t>(</w:t>
            </w:r>
            <w:r w:rsidR="00E63605" w:rsidRPr="00D80F7B">
              <w:rPr>
                <w:rFonts w:asciiTheme="minorHAnsi" w:hAnsiTheme="minorHAnsi" w:cstheme="minorHAnsi"/>
                <w:szCs w:val="18"/>
              </w:rPr>
              <w:t>6.</w:t>
            </w:r>
            <w:r w:rsidR="00EF3DBB">
              <w:rPr>
                <w:rFonts w:asciiTheme="minorHAnsi" w:hAnsiTheme="minorHAnsi" w:cstheme="minorHAnsi"/>
                <w:szCs w:val="18"/>
              </w:rPr>
              <w:t>3</w:t>
            </w:r>
            <w:r w:rsidR="00B52EBD" w:rsidRPr="00D80F7B">
              <w:rPr>
                <w:rFonts w:asciiTheme="minorHAnsi" w:hAnsiTheme="minorHAnsi" w:cstheme="minorHAnsi"/>
                <w:szCs w:val="18"/>
              </w:rPr>
              <w:t>%</w:t>
            </w:r>
            <w:r w:rsidRPr="00D80F7B">
              <w:rPr>
                <w:rFonts w:asciiTheme="minorHAnsi" w:hAnsiTheme="minorHAnsi" w:cstheme="minorHAnsi"/>
                <w:szCs w:val="18"/>
              </w:rPr>
              <w:t>)</w:t>
            </w:r>
          </w:p>
        </w:tc>
        <w:tc>
          <w:tcPr>
            <w:tcW w:w="545" w:type="pct"/>
          </w:tcPr>
          <w:p w14:paraId="4CE9A014" w14:textId="77777777" w:rsidR="001E2734" w:rsidRPr="00D80F7B" w:rsidRDefault="00C44009"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3</w:t>
            </w:r>
            <w:r w:rsidRPr="00D80F7B">
              <w:rPr>
                <w:rFonts w:asciiTheme="minorHAnsi" w:hAnsiTheme="minorHAnsi" w:cstheme="minorHAnsi"/>
                <w:szCs w:val="18"/>
              </w:rPr>
              <w:br/>
              <w:t>(</w:t>
            </w:r>
            <w:r w:rsidR="00E63605" w:rsidRPr="00D80F7B">
              <w:rPr>
                <w:rFonts w:asciiTheme="minorHAnsi" w:hAnsiTheme="minorHAnsi" w:cstheme="minorHAnsi"/>
                <w:szCs w:val="18"/>
              </w:rPr>
              <w:t>18.</w:t>
            </w:r>
            <w:r w:rsidR="00EF3DBB">
              <w:rPr>
                <w:rFonts w:asciiTheme="minorHAnsi" w:hAnsiTheme="minorHAnsi" w:cstheme="minorHAnsi"/>
                <w:szCs w:val="18"/>
              </w:rPr>
              <w:t>8</w:t>
            </w:r>
            <w:r w:rsidRPr="00D80F7B">
              <w:rPr>
                <w:rFonts w:asciiTheme="minorHAnsi" w:hAnsiTheme="minorHAnsi" w:cstheme="minorHAnsi"/>
                <w:szCs w:val="18"/>
              </w:rPr>
              <w:t>%)</w:t>
            </w:r>
          </w:p>
        </w:tc>
        <w:tc>
          <w:tcPr>
            <w:tcW w:w="545" w:type="pct"/>
          </w:tcPr>
          <w:p w14:paraId="39AEFE33" w14:textId="77777777" w:rsidR="001E2734" w:rsidRPr="00D80F7B" w:rsidRDefault="00C44009"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1 </w:t>
            </w:r>
            <w:r w:rsidRPr="00D80F7B">
              <w:rPr>
                <w:rFonts w:asciiTheme="minorHAnsi" w:hAnsiTheme="minorHAnsi" w:cstheme="minorHAnsi"/>
                <w:szCs w:val="18"/>
              </w:rPr>
              <w:br/>
              <w:t>(</w:t>
            </w:r>
            <w:r w:rsidR="00E63605" w:rsidRPr="00D80F7B">
              <w:rPr>
                <w:rFonts w:asciiTheme="minorHAnsi" w:hAnsiTheme="minorHAnsi" w:cstheme="minorHAnsi"/>
                <w:szCs w:val="18"/>
              </w:rPr>
              <w:t>6.</w:t>
            </w:r>
            <w:r w:rsidR="00EF3DBB">
              <w:rPr>
                <w:rFonts w:asciiTheme="minorHAnsi" w:hAnsiTheme="minorHAnsi" w:cstheme="minorHAnsi"/>
                <w:szCs w:val="18"/>
              </w:rPr>
              <w:t>3</w:t>
            </w:r>
            <w:r w:rsidRPr="00D80F7B">
              <w:rPr>
                <w:rFonts w:asciiTheme="minorHAnsi" w:hAnsiTheme="minorHAnsi" w:cstheme="minorHAnsi"/>
                <w:szCs w:val="18"/>
              </w:rPr>
              <w:t>%)</w:t>
            </w:r>
          </w:p>
        </w:tc>
        <w:tc>
          <w:tcPr>
            <w:tcW w:w="546" w:type="pct"/>
          </w:tcPr>
          <w:p w14:paraId="095AC9B1" w14:textId="77777777" w:rsidR="001E2734" w:rsidRPr="00D80F7B" w:rsidRDefault="00C44009"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1</w:t>
            </w:r>
            <w:r w:rsidR="00EF3DBB" w:rsidRPr="00D80F7B">
              <w:rPr>
                <w:rFonts w:asciiTheme="minorHAnsi" w:hAnsiTheme="minorHAnsi" w:cstheme="minorHAnsi"/>
                <w:szCs w:val="18"/>
              </w:rPr>
              <w:t xml:space="preserve"> </w:t>
            </w:r>
            <w:r w:rsidRPr="00D80F7B">
              <w:rPr>
                <w:rFonts w:asciiTheme="minorHAnsi" w:hAnsiTheme="minorHAnsi" w:cstheme="minorHAnsi"/>
                <w:szCs w:val="18"/>
              </w:rPr>
              <w:br/>
              <w:t>(</w:t>
            </w:r>
            <w:r w:rsidR="00E63605" w:rsidRPr="00D80F7B">
              <w:rPr>
                <w:rFonts w:asciiTheme="minorHAnsi" w:hAnsiTheme="minorHAnsi" w:cstheme="minorHAnsi"/>
                <w:szCs w:val="18"/>
              </w:rPr>
              <w:t>6.</w:t>
            </w:r>
            <w:r w:rsidR="00EF3DBB">
              <w:rPr>
                <w:rFonts w:asciiTheme="minorHAnsi" w:hAnsiTheme="minorHAnsi" w:cstheme="minorHAnsi"/>
                <w:szCs w:val="18"/>
              </w:rPr>
              <w:t>3</w:t>
            </w:r>
            <w:r w:rsidRPr="00D80F7B">
              <w:rPr>
                <w:rFonts w:asciiTheme="minorHAnsi" w:hAnsiTheme="minorHAnsi" w:cstheme="minorHAnsi"/>
                <w:szCs w:val="18"/>
              </w:rPr>
              <w:t>%)</w:t>
            </w:r>
          </w:p>
        </w:tc>
      </w:tr>
      <w:tr w:rsidR="00AE1E92" w:rsidRPr="009C1931" w14:paraId="28B59C77" w14:textId="77777777" w:rsidTr="007A7F51">
        <w:trPr>
          <w:trHeight w:val="71"/>
        </w:trPr>
        <w:tc>
          <w:tcPr>
            <w:cnfStyle w:val="001000000000" w:firstRow="0" w:lastRow="0" w:firstColumn="1" w:lastColumn="0" w:oddVBand="0" w:evenVBand="0" w:oddHBand="0" w:evenHBand="0" w:firstRowFirstColumn="0" w:firstRowLastColumn="0" w:lastRowFirstColumn="0" w:lastRowLastColumn="0"/>
            <w:tcW w:w="692" w:type="pct"/>
          </w:tcPr>
          <w:p w14:paraId="1EBB7EEB" w14:textId="77777777" w:rsidR="001E2734" w:rsidRPr="00057C3B" w:rsidRDefault="001E2734" w:rsidP="000730D0">
            <w:pPr>
              <w:pStyle w:val="TableText"/>
              <w:rPr>
                <w:b w:val="0"/>
                <w:bCs/>
              </w:rPr>
            </w:pPr>
            <w:r w:rsidRPr="00057C3B">
              <w:rPr>
                <w:b w:val="0"/>
                <w:bCs/>
              </w:rPr>
              <w:t>Plastic and reconstructive surgery</w:t>
            </w:r>
          </w:p>
        </w:tc>
        <w:tc>
          <w:tcPr>
            <w:tcW w:w="491" w:type="pct"/>
          </w:tcPr>
          <w:p w14:paraId="1A00BFD6" w14:textId="77777777" w:rsidR="001E2734" w:rsidRPr="00D80F7B" w:rsidRDefault="00B52EBD"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1E2734">
              <w:t xml:space="preserve">0 </w:t>
            </w:r>
            <w:r w:rsidR="00C44009">
              <w:br/>
            </w:r>
            <w:r w:rsidRPr="001E2734">
              <w:t>(</w:t>
            </w:r>
            <w:r w:rsidR="00E63605" w:rsidRPr="001E2734">
              <w:t>0.</w:t>
            </w:r>
            <w:r w:rsidR="00EF3DBB" w:rsidRPr="001E2734">
              <w:t>0</w:t>
            </w:r>
            <w:r w:rsidRPr="001E2734">
              <w:t>%)</w:t>
            </w:r>
          </w:p>
        </w:tc>
        <w:tc>
          <w:tcPr>
            <w:tcW w:w="545" w:type="pct"/>
          </w:tcPr>
          <w:p w14:paraId="29CC2CA4" w14:textId="77777777" w:rsidR="001E2734" w:rsidRPr="00D80F7B" w:rsidRDefault="00C44009"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1E2734">
              <w:t xml:space="preserve">0 </w:t>
            </w:r>
            <w:r>
              <w:br/>
            </w:r>
            <w:r w:rsidRPr="001E2734">
              <w:t>(</w:t>
            </w:r>
            <w:r w:rsidR="00E63605" w:rsidRPr="001E2734">
              <w:t>0.</w:t>
            </w:r>
            <w:r w:rsidR="00EF3DBB" w:rsidRPr="001E2734">
              <w:t>0</w:t>
            </w:r>
            <w:r w:rsidRPr="001E2734">
              <w:t>%)</w:t>
            </w:r>
          </w:p>
        </w:tc>
        <w:tc>
          <w:tcPr>
            <w:tcW w:w="545" w:type="pct"/>
          </w:tcPr>
          <w:p w14:paraId="18D95663" w14:textId="77777777" w:rsidR="001E2734" w:rsidRPr="00D80F7B" w:rsidRDefault="00513B96"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2</w:t>
            </w:r>
            <w:r w:rsidRPr="00D80F7B">
              <w:rPr>
                <w:rFonts w:asciiTheme="minorHAnsi" w:hAnsiTheme="minorHAnsi" w:cstheme="minorHAnsi"/>
                <w:szCs w:val="18"/>
              </w:rPr>
              <w:br/>
              <w:t>(</w:t>
            </w:r>
            <w:r w:rsidR="00E63605" w:rsidRPr="00D80F7B">
              <w:rPr>
                <w:rFonts w:asciiTheme="minorHAnsi" w:hAnsiTheme="minorHAnsi" w:cstheme="minorHAnsi"/>
                <w:szCs w:val="18"/>
              </w:rPr>
              <w:t>66.</w:t>
            </w:r>
            <w:r w:rsidR="00EF3DBB" w:rsidRPr="00D80F7B">
              <w:rPr>
                <w:rFonts w:asciiTheme="minorHAnsi" w:hAnsiTheme="minorHAnsi" w:cstheme="minorHAnsi"/>
                <w:szCs w:val="18"/>
              </w:rPr>
              <w:t>7</w:t>
            </w:r>
            <w:r w:rsidR="00C44009" w:rsidRPr="00D80F7B">
              <w:rPr>
                <w:rFonts w:asciiTheme="minorHAnsi" w:hAnsiTheme="minorHAnsi" w:cstheme="minorHAnsi"/>
                <w:szCs w:val="18"/>
              </w:rPr>
              <w:t>%</w:t>
            </w:r>
            <w:r w:rsidRPr="00D80F7B">
              <w:rPr>
                <w:rFonts w:asciiTheme="minorHAnsi" w:hAnsiTheme="minorHAnsi" w:cstheme="minorHAnsi"/>
                <w:szCs w:val="18"/>
              </w:rPr>
              <w:t>)</w:t>
            </w:r>
          </w:p>
        </w:tc>
        <w:tc>
          <w:tcPr>
            <w:tcW w:w="546" w:type="pct"/>
          </w:tcPr>
          <w:p w14:paraId="64D3E064" w14:textId="77777777" w:rsidR="001E2734" w:rsidRPr="00D80F7B" w:rsidRDefault="0057773A"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0 </w:t>
            </w:r>
            <w:r w:rsidR="00C44009" w:rsidRPr="00D80F7B">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0.</w:t>
            </w:r>
            <w:r w:rsidR="00EF3DBB" w:rsidRPr="00D80F7B">
              <w:rPr>
                <w:rFonts w:asciiTheme="minorHAnsi" w:hAnsiTheme="minorHAnsi" w:cstheme="minorHAnsi"/>
                <w:szCs w:val="18"/>
              </w:rPr>
              <w:t>0</w:t>
            </w:r>
            <w:r w:rsidRPr="00D80F7B">
              <w:rPr>
                <w:rFonts w:asciiTheme="minorHAnsi" w:hAnsiTheme="minorHAnsi" w:cstheme="minorHAnsi"/>
                <w:szCs w:val="18"/>
              </w:rPr>
              <w:t>%)</w:t>
            </w:r>
          </w:p>
        </w:tc>
        <w:tc>
          <w:tcPr>
            <w:tcW w:w="545" w:type="pct"/>
          </w:tcPr>
          <w:p w14:paraId="2F5440A9" w14:textId="77777777" w:rsidR="001E2734" w:rsidRPr="00D80F7B" w:rsidRDefault="0057773A"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0 </w:t>
            </w:r>
            <w:r w:rsidR="00C44009" w:rsidRPr="00D80F7B">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00</w:t>
            </w:r>
            <w:r w:rsidRPr="00D80F7B">
              <w:rPr>
                <w:rFonts w:asciiTheme="minorHAnsi" w:hAnsiTheme="minorHAnsi" w:cstheme="minorHAnsi"/>
                <w:szCs w:val="18"/>
              </w:rPr>
              <w:t>%)</w:t>
            </w:r>
          </w:p>
        </w:tc>
        <w:tc>
          <w:tcPr>
            <w:tcW w:w="545" w:type="pct"/>
          </w:tcPr>
          <w:p w14:paraId="4E414F30" w14:textId="77777777" w:rsidR="001E2734" w:rsidRPr="00D80F7B" w:rsidRDefault="0057773A"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0 </w:t>
            </w:r>
            <w:r w:rsidR="00C44009" w:rsidRPr="00D80F7B">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0.</w:t>
            </w:r>
            <w:r w:rsidR="00EF3DBB" w:rsidRPr="00D80F7B">
              <w:rPr>
                <w:rFonts w:asciiTheme="minorHAnsi" w:hAnsiTheme="minorHAnsi" w:cstheme="minorHAnsi"/>
                <w:szCs w:val="18"/>
              </w:rPr>
              <w:t>0</w:t>
            </w:r>
            <w:r w:rsidRPr="00D80F7B">
              <w:rPr>
                <w:rFonts w:asciiTheme="minorHAnsi" w:hAnsiTheme="minorHAnsi" w:cstheme="minorHAnsi"/>
                <w:szCs w:val="18"/>
              </w:rPr>
              <w:t>%)</w:t>
            </w:r>
          </w:p>
        </w:tc>
        <w:tc>
          <w:tcPr>
            <w:tcW w:w="545" w:type="pct"/>
          </w:tcPr>
          <w:p w14:paraId="3A87BC54" w14:textId="77777777" w:rsidR="001E2734" w:rsidRPr="00D80F7B" w:rsidRDefault="00D80F7B"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0</w:t>
            </w:r>
            <w:r w:rsidRPr="00D80F7B">
              <w:rPr>
                <w:rFonts w:asciiTheme="minorHAnsi" w:hAnsiTheme="minorHAnsi" w:cstheme="minorHAnsi"/>
                <w:szCs w:val="18"/>
              </w:rPr>
              <w:br/>
              <w:t>(0.</w:t>
            </w:r>
            <w:r w:rsidR="00EF3DBB" w:rsidRPr="00D80F7B">
              <w:rPr>
                <w:rFonts w:asciiTheme="minorHAnsi" w:hAnsiTheme="minorHAnsi" w:cstheme="minorHAnsi"/>
                <w:szCs w:val="18"/>
              </w:rPr>
              <w:t>0</w:t>
            </w:r>
            <w:r w:rsidRPr="00D80F7B">
              <w:rPr>
                <w:rFonts w:asciiTheme="minorHAnsi" w:hAnsiTheme="minorHAnsi" w:cstheme="minorHAnsi"/>
                <w:szCs w:val="18"/>
              </w:rPr>
              <w:t>%)</w:t>
            </w:r>
          </w:p>
        </w:tc>
        <w:tc>
          <w:tcPr>
            <w:tcW w:w="546" w:type="pct"/>
          </w:tcPr>
          <w:p w14:paraId="0450BED5" w14:textId="77777777" w:rsidR="001E2734" w:rsidRPr="00D80F7B" w:rsidRDefault="00D80F7B"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1</w:t>
            </w:r>
            <w:r w:rsidRPr="00D80F7B">
              <w:rPr>
                <w:rFonts w:asciiTheme="minorHAnsi" w:hAnsiTheme="minorHAnsi" w:cstheme="minorHAnsi"/>
                <w:szCs w:val="18"/>
              </w:rPr>
              <w:br/>
              <w:t>(</w:t>
            </w:r>
            <w:r w:rsidR="00E63605" w:rsidRPr="00D80F7B">
              <w:rPr>
                <w:rFonts w:asciiTheme="minorHAnsi" w:hAnsiTheme="minorHAnsi" w:cstheme="minorHAnsi"/>
                <w:szCs w:val="18"/>
              </w:rPr>
              <w:t>33.</w:t>
            </w:r>
            <w:r w:rsidR="00EF3DBB" w:rsidRPr="00D80F7B">
              <w:rPr>
                <w:rFonts w:asciiTheme="minorHAnsi" w:hAnsiTheme="minorHAnsi" w:cstheme="minorHAnsi"/>
                <w:szCs w:val="18"/>
              </w:rPr>
              <w:t>3</w:t>
            </w:r>
            <w:r w:rsidR="00C44009" w:rsidRPr="00D80F7B">
              <w:rPr>
                <w:rFonts w:asciiTheme="minorHAnsi" w:hAnsiTheme="minorHAnsi" w:cstheme="minorHAnsi"/>
                <w:szCs w:val="18"/>
              </w:rPr>
              <w:t>%</w:t>
            </w:r>
            <w:r w:rsidRPr="00D80F7B">
              <w:rPr>
                <w:rFonts w:asciiTheme="minorHAnsi" w:hAnsiTheme="minorHAnsi" w:cstheme="minorHAnsi"/>
                <w:szCs w:val="18"/>
              </w:rPr>
              <w:t>)</w:t>
            </w:r>
          </w:p>
        </w:tc>
      </w:tr>
      <w:tr w:rsidR="00AE1E92" w:rsidRPr="009C1931" w14:paraId="467D2940" w14:textId="77777777" w:rsidTr="007A7F51">
        <w:trPr>
          <w:trHeight w:val="71"/>
        </w:trPr>
        <w:tc>
          <w:tcPr>
            <w:cnfStyle w:val="001000000000" w:firstRow="0" w:lastRow="0" w:firstColumn="1" w:lastColumn="0" w:oddVBand="0" w:evenVBand="0" w:oddHBand="0" w:evenHBand="0" w:firstRowFirstColumn="0" w:firstRowLastColumn="0" w:lastRowFirstColumn="0" w:lastRowLastColumn="0"/>
            <w:tcW w:w="692" w:type="pct"/>
          </w:tcPr>
          <w:p w14:paraId="5A4045B7" w14:textId="77777777" w:rsidR="001E2734" w:rsidRPr="00057C3B" w:rsidRDefault="001E2734" w:rsidP="000730D0">
            <w:pPr>
              <w:pStyle w:val="TableText"/>
              <w:rPr>
                <w:b w:val="0"/>
                <w:bCs/>
              </w:rPr>
            </w:pPr>
            <w:r w:rsidRPr="00057C3B">
              <w:rPr>
                <w:b w:val="0"/>
                <w:bCs/>
              </w:rPr>
              <w:t>Prosthodontics</w:t>
            </w:r>
          </w:p>
        </w:tc>
        <w:tc>
          <w:tcPr>
            <w:tcW w:w="491" w:type="pct"/>
          </w:tcPr>
          <w:p w14:paraId="6EBF5811" w14:textId="77777777" w:rsidR="001E2734" w:rsidRPr="00D80F7B" w:rsidRDefault="00B52EBD"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0 </w:t>
            </w:r>
            <w:r w:rsidR="00C44009" w:rsidRPr="00D80F7B">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0.</w:t>
            </w:r>
            <w:r w:rsidR="00EF3DBB">
              <w:rPr>
                <w:rFonts w:asciiTheme="minorHAnsi" w:hAnsiTheme="minorHAnsi" w:cstheme="minorHAnsi"/>
                <w:szCs w:val="18"/>
              </w:rPr>
              <w:t>0</w:t>
            </w:r>
            <w:r w:rsidRPr="00D80F7B">
              <w:rPr>
                <w:rFonts w:asciiTheme="minorHAnsi" w:hAnsiTheme="minorHAnsi" w:cstheme="minorHAnsi"/>
                <w:szCs w:val="18"/>
              </w:rPr>
              <w:t>%)</w:t>
            </w:r>
          </w:p>
        </w:tc>
        <w:tc>
          <w:tcPr>
            <w:tcW w:w="545" w:type="pct"/>
          </w:tcPr>
          <w:p w14:paraId="3DA2752B" w14:textId="77777777" w:rsidR="001E2734" w:rsidRPr="00D80F7B" w:rsidRDefault="00D80F7B"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w:t>
            </w:r>
            <w:r>
              <w:rPr>
                <w:rFonts w:asciiTheme="minorHAnsi" w:hAnsiTheme="minorHAnsi" w:cstheme="minorHAnsi"/>
                <w:szCs w:val="18"/>
              </w:rPr>
              <w:br/>
              <w:t>(</w:t>
            </w:r>
            <w:r w:rsidR="00E63605" w:rsidRPr="00D80F7B">
              <w:rPr>
                <w:rFonts w:asciiTheme="minorHAnsi" w:hAnsiTheme="minorHAnsi" w:cstheme="minorHAnsi"/>
                <w:szCs w:val="18"/>
              </w:rPr>
              <w:t>25.</w:t>
            </w:r>
            <w:r w:rsidR="003D0232" w:rsidRPr="00D80F7B">
              <w:rPr>
                <w:rFonts w:asciiTheme="minorHAnsi" w:hAnsiTheme="minorHAnsi" w:cstheme="minorHAnsi"/>
                <w:szCs w:val="18"/>
              </w:rPr>
              <w:t>0</w:t>
            </w:r>
            <w:r w:rsidR="00C44009" w:rsidRPr="00D80F7B">
              <w:rPr>
                <w:rFonts w:asciiTheme="minorHAnsi" w:hAnsiTheme="minorHAnsi" w:cstheme="minorHAnsi"/>
                <w:szCs w:val="18"/>
              </w:rPr>
              <w:t>%</w:t>
            </w:r>
            <w:r>
              <w:rPr>
                <w:rFonts w:asciiTheme="minorHAnsi" w:hAnsiTheme="minorHAnsi" w:cstheme="minorHAnsi"/>
                <w:szCs w:val="18"/>
              </w:rPr>
              <w:t>)</w:t>
            </w:r>
          </w:p>
        </w:tc>
        <w:tc>
          <w:tcPr>
            <w:tcW w:w="545" w:type="pct"/>
          </w:tcPr>
          <w:p w14:paraId="1C75C92A" w14:textId="77777777" w:rsidR="001E2734" w:rsidRPr="00D80F7B" w:rsidRDefault="00D80F7B"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2</w:t>
            </w:r>
            <w:r>
              <w:rPr>
                <w:rFonts w:asciiTheme="minorHAnsi" w:hAnsiTheme="minorHAnsi" w:cstheme="minorHAnsi"/>
                <w:szCs w:val="18"/>
              </w:rPr>
              <w:br/>
              <w:t>(</w:t>
            </w:r>
            <w:r w:rsidR="00E63605" w:rsidRPr="00D80F7B">
              <w:rPr>
                <w:rFonts w:asciiTheme="minorHAnsi" w:hAnsiTheme="minorHAnsi" w:cstheme="minorHAnsi"/>
                <w:szCs w:val="18"/>
              </w:rPr>
              <w:t>50.</w:t>
            </w:r>
            <w:r w:rsidR="003D0232" w:rsidRPr="00D80F7B">
              <w:rPr>
                <w:rFonts w:asciiTheme="minorHAnsi" w:hAnsiTheme="minorHAnsi" w:cstheme="minorHAnsi"/>
                <w:szCs w:val="18"/>
              </w:rPr>
              <w:t>0</w:t>
            </w:r>
            <w:r w:rsidR="00C44009" w:rsidRPr="00D80F7B">
              <w:rPr>
                <w:rFonts w:asciiTheme="minorHAnsi" w:hAnsiTheme="minorHAnsi" w:cstheme="minorHAnsi"/>
                <w:szCs w:val="18"/>
              </w:rPr>
              <w:t>%</w:t>
            </w:r>
            <w:r>
              <w:rPr>
                <w:rFonts w:asciiTheme="minorHAnsi" w:hAnsiTheme="minorHAnsi" w:cstheme="minorHAnsi"/>
                <w:szCs w:val="18"/>
              </w:rPr>
              <w:t>)</w:t>
            </w:r>
          </w:p>
        </w:tc>
        <w:tc>
          <w:tcPr>
            <w:tcW w:w="546" w:type="pct"/>
          </w:tcPr>
          <w:p w14:paraId="6DB3223A" w14:textId="77777777" w:rsidR="001E2734" w:rsidRPr="00D80F7B" w:rsidRDefault="00D80F7B"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w:t>
            </w:r>
            <w:r>
              <w:rPr>
                <w:rFonts w:asciiTheme="minorHAnsi" w:hAnsiTheme="minorHAnsi" w:cstheme="minorHAnsi"/>
                <w:szCs w:val="18"/>
              </w:rPr>
              <w:br/>
              <w:t>(</w:t>
            </w:r>
            <w:r w:rsidR="00E63605" w:rsidRPr="00D80F7B">
              <w:rPr>
                <w:rFonts w:asciiTheme="minorHAnsi" w:hAnsiTheme="minorHAnsi" w:cstheme="minorHAnsi"/>
                <w:szCs w:val="18"/>
              </w:rPr>
              <w:t>25.</w:t>
            </w:r>
            <w:r w:rsidR="003D0232" w:rsidRPr="00D80F7B">
              <w:rPr>
                <w:rFonts w:asciiTheme="minorHAnsi" w:hAnsiTheme="minorHAnsi" w:cstheme="minorHAnsi"/>
                <w:szCs w:val="18"/>
              </w:rPr>
              <w:t>0</w:t>
            </w:r>
            <w:r w:rsidR="00C44009" w:rsidRPr="00D80F7B">
              <w:rPr>
                <w:rFonts w:asciiTheme="minorHAnsi" w:hAnsiTheme="minorHAnsi" w:cstheme="minorHAnsi"/>
                <w:szCs w:val="18"/>
              </w:rPr>
              <w:t>%</w:t>
            </w:r>
            <w:r>
              <w:rPr>
                <w:rFonts w:asciiTheme="minorHAnsi" w:hAnsiTheme="minorHAnsi" w:cstheme="minorHAnsi"/>
                <w:szCs w:val="18"/>
              </w:rPr>
              <w:t>)</w:t>
            </w:r>
          </w:p>
        </w:tc>
        <w:tc>
          <w:tcPr>
            <w:tcW w:w="545" w:type="pct"/>
          </w:tcPr>
          <w:p w14:paraId="0C350056" w14:textId="77777777" w:rsidR="001E2734" w:rsidRPr="00D80F7B" w:rsidRDefault="0057773A"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0 </w:t>
            </w:r>
            <w:r w:rsidR="00C44009" w:rsidRPr="00D80F7B">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0.</w:t>
            </w:r>
            <w:r w:rsidR="003D0232" w:rsidRPr="00D80F7B">
              <w:rPr>
                <w:rFonts w:asciiTheme="minorHAnsi" w:hAnsiTheme="minorHAnsi" w:cstheme="minorHAnsi"/>
                <w:szCs w:val="18"/>
              </w:rPr>
              <w:t>0</w:t>
            </w:r>
            <w:r w:rsidRPr="00D80F7B">
              <w:rPr>
                <w:rFonts w:asciiTheme="minorHAnsi" w:hAnsiTheme="minorHAnsi" w:cstheme="minorHAnsi"/>
                <w:szCs w:val="18"/>
              </w:rPr>
              <w:t>%)</w:t>
            </w:r>
          </w:p>
        </w:tc>
        <w:tc>
          <w:tcPr>
            <w:tcW w:w="545" w:type="pct"/>
          </w:tcPr>
          <w:p w14:paraId="685AA10E" w14:textId="77777777" w:rsidR="001E2734" w:rsidRPr="00D80F7B" w:rsidRDefault="0057773A"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0 </w:t>
            </w:r>
            <w:r w:rsidR="00C44009" w:rsidRPr="00D80F7B">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0.</w:t>
            </w:r>
            <w:r w:rsidR="003D0232" w:rsidRPr="00D80F7B">
              <w:rPr>
                <w:rFonts w:asciiTheme="minorHAnsi" w:hAnsiTheme="minorHAnsi" w:cstheme="minorHAnsi"/>
                <w:szCs w:val="18"/>
              </w:rPr>
              <w:t>0</w:t>
            </w:r>
            <w:r w:rsidRPr="00D80F7B">
              <w:rPr>
                <w:rFonts w:asciiTheme="minorHAnsi" w:hAnsiTheme="minorHAnsi" w:cstheme="minorHAnsi"/>
                <w:szCs w:val="18"/>
              </w:rPr>
              <w:t>%)</w:t>
            </w:r>
          </w:p>
        </w:tc>
        <w:tc>
          <w:tcPr>
            <w:tcW w:w="545" w:type="pct"/>
          </w:tcPr>
          <w:p w14:paraId="77E190AA" w14:textId="77777777" w:rsidR="001E2734" w:rsidRPr="00D80F7B" w:rsidRDefault="0057773A"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0 </w:t>
            </w:r>
            <w:r w:rsidR="00C44009" w:rsidRPr="00D80F7B">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0.</w:t>
            </w:r>
            <w:r w:rsidR="003D0232" w:rsidRPr="00D80F7B">
              <w:rPr>
                <w:rFonts w:asciiTheme="minorHAnsi" w:hAnsiTheme="minorHAnsi" w:cstheme="minorHAnsi"/>
                <w:szCs w:val="18"/>
              </w:rPr>
              <w:t>0</w:t>
            </w:r>
            <w:r w:rsidRPr="00D80F7B">
              <w:rPr>
                <w:rFonts w:asciiTheme="minorHAnsi" w:hAnsiTheme="minorHAnsi" w:cstheme="minorHAnsi"/>
                <w:szCs w:val="18"/>
              </w:rPr>
              <w:t>%)</w:t>
            </w:r>
          </w:p>
        </w:tc>
        <w:tc>
          <w:tcPr>
            <w:tcW w:w="546" w:type="pct"/>
          </w:tcPr>
          <w:p w14:paraId="2377D042" w14:textId="77777777" w:rsidR="001E2734" w:rsidRPr="00D80F7B" w:rsidRDefault="0057773A"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0 </w:t>
            </w:r>
            <w:r w:rsidR="00C44009" w:rsidRPr="00D80F7B">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0.</w:t>
            </w:r>
            <w:r w:rsidR="003D0232" w:rsidRPr="00D80F7B">
              <w:rPr>
                <w:rFonts w:asciiTheme="minorHAnsi" w:hAnsiTheme="minorHAnsi" w:cstheme="minorHAnsi"/>
                <w:szCs w:val="18"/>
              </w:rPr>
              <w:t>0</w:t>
            </w:r>
            <w:r w:rsidRPr="00D80F7B">
              <w:rPr>
                <w:rFonts w:asciiTheme="minorHAnsi" w:hAnsiTheme="minorHAnsi" w:cstheme="minorHAnsi"/>
                <w:szCs w:val="18"/>
              </w:rPr>
              <w:t>%)</w:t>
            </w:r>
          </w:p>
        </w:tc>
      </w:tr>
      <w:tr w:rsidR="00AE1E92" w:rsidRPr="009C1931" w14:paraId="181BED91" w14:textId="77777777" w:rsidTr="007A7F51">
        <w:trPr>
          <w:trHeight w:val="71"/>
        </w:trPr>
        <w:tc>
          <w:tcPr>
            <w:cnfStyle w:val="001000000000" w:firstRow="0" w:lastRow="0" w:firstColumn="1" w:lastColumn="0" w:oddVBand="0" w:evenVBand="0" w:oddHBand="0" w:evenHBand="0" w:firstRowFirstColumn="0" w:firstRowLastColumn="0" w:lastRowFirstColumn="0" w:lastRowLastColumn="0"/>
            <w:tcW w:w="692" w:type="pct"/>
          </w:tcPr>
          <w:p w14:paraId="4AA45BB5" w14:textId="77777777" w:rsidR="001E2734" w:rsidRPr="00057C3B" w:rsidRDefault="001E2734" w:rsidP="000730D0">
            <w:pPr>
              <w:pStyle w:val="TableText"/>
              <w:rPr>
                <w:b w:val="0"/>
                <w:bCs/>
              </w:rPr>
            </w:pPr>
            <w:r w:rsidRPr="00057C3B">
              <w:rPr>
                <w:b w:val="0"/>
                <w:bCs/>
              </w:rPr>
              <w:t>Psychology or social work</w:t>
            </w:r>
          </w:p>
        </w:tc>
        <w:tc>
          <w:tcPr>
            <w:tcW w:w="491" w:type="pct"/>
          </w:tcPr>
          <w:p w14:paraId="1E5F1855" w14:textId="77777777" w:rsidR="001E2734" w:rsidRPr="00D80F7B" w:rsidRDefault="00B52EBD"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1E2734">
              <w:t xml:space="preserve">0 </w:t>
            </w:r>
            <w:r w:rsidR="00D80F7B">
              <w:br/>
            </w:r>
            <w:r w:rsidRPr="001E2734">
              <w:t>(</w:t>
            </w:r>
            <w:r w:rsidR="00E63605" w:rsidRPr="001E2734">
              <w:t>0.</w:t>
            </w:r>
            <w:r w:rsidR="00EF3DBB" w:rsidRPr="001E2734">
              <w:t>0</w:t>
            </w:r>
            <w:r w:rsidRPr="001E2734">
              <w:t>%)</w:t>
            </w:r>
          </w:p>
        </w:tc>
        <w:tc>
          <w:tcPr>
            <w:tcW w:w="545" w:type="pct"/>
          </w:tcPr>
          <w:p w14:paraId="413525BB" w14:textId="77777777" w:rsidR="001E2734" w:rsidRPr="00D80F7B" w:rsidRDefault="00B52EBD"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1E2734">
              <w:t xml:space="preserve">0 </w:t>
            </w:r>
            <w:r w:rsidR="00D80F7B">
              <w:br/>
            </w:r>
            <w:r w:rsidRPr="001E2734">
              <w:t>(</w:t>
            </w:r>
            <w:r w:rsidR="00E63605" w:rsidRPr="001E2734">
              <w:t>0.</w:t>
            </w:r>
            <w:r w:rsidR="00EF3DBB" w:rsidRPr="001E2734">
              <w:t>0</w:t>
            </w:r>
            <w:r w:rsidRPr="001E2734">
              <w:t>%)</w:t>
            </w:r>
          </w:p>
        </w:tc>
        <w:tc>
          <w:tcPr>
            <w:tcW w:w="545" w:type="pct"/>
          </w:tcPr>
          <w:p w14:paraId="2EF56142" w14:textId="77777777" w:rsidR="001E2734" w:rsidRPr="00D80F7B" w:rsidRDefault="0057773A"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1E2734">
              <w:t xml:space="preserve">0 </w:t>
            </w:r>
            <w:r w:rsidR="00D80F7B">
              <w:br/>
            </w:r>
            <w:r w:rsidRPr="001E2734">
              <w:t>(</w:t>
            </w:r>
            <w:r w:rsidR="00E63605" w:rsidRPr="001E2734">
              <w:t>0.</w:t>
            </w:r>
            <w:r w:rsidR="00EF3DBB" w:rsidRPr="001E2734">
              <w:t>0</w:t>
            </w:r>
            <w:r w:rsidRPr="001E2734">
              <w:t>%)</w:t>
            </w:r>
          </w:p>
        </w:tc>
        <w:tc>
          <w:tcPr>
            <w:tcW w:w="546" w:type="pct"/>
          </w:tcPr>
          <w:p w14:paraId="16A0F127" w14:textId="77777777" w:rsidR="001E2734" w:rsidRPr="00D80F7B" w:rsidRDefault="00D80F7B"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w:t>
            </w:r>
            <w:r>
              <w:rPr>
                <w:rFonts w:asciiTheme="minorHAnsi" w:hAnsiTheme="minorHAnsi" w:cstheme="minorHAnsi"/>
                <w:szCs w:val="18"/>
              </w:rPr>
              <w:br/>
              <w:t>(</w:t>
            </w:r>
            <w:r w:rsidR="00E63605" w:rsidRPr="00D80F7B">
              <w:rPr>
                <w:rFonts w:asciiTheme="minorHAnsi" w:hAnsiTheme="minorHAnsi" w:cstheme="minorHAnsi"/>
                <w:szCs w:val="18"/>
              </w:rPr>
              <w:t>25.</w:t>
            </w:r>
            <w:r w:rsidR="00EF3DBB" w:rsidRPr="00D80F7B">
              <w:rPr>
                <w:rFonts w:asciiTheme="minorHAnsi" w:hAnsiTheme="minorHAnsi" w:cstheme="minorHAnsi"/>
                <w:szCs w:val="18"/>
              </w:rPr>
              <w:t>0</w:t>
            </w:r>
            <w:r w:rsidRPr="00D80F7B">
              <w:rPr>
                <w:rFonts w:asciiTheme="minorHAnsi" w:hAnsiTheme="minorHAnsi" w:cstheme="minorHAnsi"/>
                <w:szCs w:val="18"/>
              </w:rPr>
              <w:t>%</w:t>
            </w:r>
            <w:r>
              <w:rPr>
                <w:rFonts w:asciiTheme="minorHAnsi" w:hAnsiTheme="minorHAnsi" w:cstheme="minorHAnsi"/>
                <w:szCs w:val="18"/>
              </w:rPr>
              <w:t>)</w:t>
            </w:r>
          </w:p>
        </w:tc>
        <w:tc>
          <w:tcPr>
            <w:tcW w:w="545" w:type="pct"/>
          </w:tcPr>
          <w:p w14:paraId="37502648" w14:textId="77777777" w:rsidR="001E2734" w:rsidRPr="00D80F7B" w:rsidRDefault="00D80F7B"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w:t>
            </w:r>
            <w:r>
              <w:rPr>
                <w:rFonts w:asciiTheme="minorHAnsi" w:hAnsiTheme="minorHAnsi" w:cstheme="minorHAnsi"/>
                <w:szCs w:val="18"/>
              </w:rPr>
              <w:br/>
              <w:t>(</w:t>
            </w:r>
            <w:r w:rsidR="00E63605" w:rsidRPr="00D80F7B">
              <w:rPr>
                <w:rFonts w:asciiTheme="minorHAnsi" w:hAnsiTheme="minorHAnsi" w:cstheme="minorHAnsi"/>
                <w:szCs w:val="18"/>
              </w:rPr>
              <w:t>25.</w:t>
            </w:r>
            <w:r w:rsidR="00EF3DBB" w:rsidRPr="00D80F7B">
              <w:rPr>
                <w:rFonts w:asciiTheme="minorHAnsi" w:hAnsiTheme="minorHAnsi" w:cstheme="minorHAnsi"/>
                <w:szCs w:val="18"/>
              </w:rPr>
              <w:t>0</w:t>
            </w:r>
            <w:r w:rsidRPr="00D80F7B">
              <w:rPr>
                <w:rFonts w:asciiTheme="minorHAnsi" w:hAnsiTheme="minorHAnsi" w:cstheme="minorHAnsi"/>
                <w:szCs w:val="18"/>
              </w:rPr>
              <w:t>%</w:t>
            </w:r>
            <w:r>
              <w:rPr>
                <w:rFonts w:asciiTheme="minorHAnsi" w:hAnsiTheme="minorHAnsi" w:cstheme="minorHAnsi"/>
                <w:szCs w:val="18"/>
              </w:rPr>
              <w:t>)</w:t>
            </w:r>
          </w:p>
        </w:tc>
        <w:tc>
          <w:tcPr>
            <w:tcW w:w="545" w:type="pct"/>
          </w:tcPr>
          <w:p w14:paraId="18D96C14" w14:textId="77777777" w:rsidR="001E2734" w:rsidRPr="00D80F7B" w:rsidRDefault="003D0232"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w:t>
            </w:r>
            <w:r>
              <w:rPr>
                <w:rFonts w:asciiTheme="minorHAnsi" w:hAnsiTheme="minorHAnsi" w:cstheme="minorHAnsi"/>
                <w:szCs w:val="18"/>
              </w:rPr>
              <w:br/>
              <w:t>(</w:t>
            </w:r>
            <w:r w:rsidR="00E63605" w:rsidRPr="00D80F7B">
              <w:rPr>
                <w:rFonts w:asciiTheme="minorHAnsi" w:hAnsiTheme="minorHAnsi" w:cstheme="minorHAnsi"/>
                <w:szCs w:val="18"/>
              </w:rPr>
              <w:t>25.</w:t>
            </w:r>
            <w:r w:rsidR="00EF3DBB" w:rsidRPr="00D80F7B">
              <w:rPr>
                <w:rFonts w:asciiTheme="minorHAnsi" w:hAnsiTheme="minorHAnsi" w:cstheme="minorHAnsi"/>
                <w:szCs w:val="18"/>
              </w:rPr>
              <w:t>0</w:t>
            </w:r>
            <w:r w:rsidRPr="00D80F7B">
              <w:rPr>
                <w:rFonts w:asciiTheme="minorHAnsi" w:hAnsiTheme="minorHAnsi" w:cstheme="minorHAnsi"/>
                <w:szCs w:val="18"/>
              </w:rPr>
              <w:t>%</w:t>
            </w:r>
            <w:r>
              <w:rPr>
                <w:rFonts w:asciiTheme="minorHAnsi" w:hAnsiTheme="minorHAnsi" w:cstheme="minorHAnsi"/>
                <w:szCs w:val="18"/>
              </w:rPr>
              <w:t>)</w:t>
            </w:r>
          </w:p>
        </w:tc>
        <w:tc>
          <w:tcPr>
            <w:tcW w:w="545" w:type="pct"/>
          </w:tcPr>
          <w:p w14:paraId="6813FF86" w14:textId="77777777" w:rsidR="001E2734" w:rsidRPr="00D80F7B" w:rsidRDefault="003D0232"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w:t>
            </w:r>
            <w:r>
              <w:rPr>
                <w:rFonts w:asciiTheme="minorHAnsi" w:hAnsiTheme="minorHAnsi" w:cstheme="minorHAnsi"/>
                <w:szCs w:val="18"/>
              </w:rPr>
              <w:br/>
              <w:t>(</w:t>
            </w:r>
            <w:r w:rsidRPr="00D80F7B">
              <w:rPr>
                <w:rFonts w:asciiTheme="minorHAnsi" w:hAnsiTheme="minorHAnsi" w:cstheme="minorHAnsi"/>
                <w:szCs w:val="18"/>
              </w:rPr>
              <w:t>25</w:t>
            </w:r>
            <w:r w:rsidR="00E63605" w:rsidRPr="00D80F7B">
              <w:rPr>
                <w:rFonts w:asciiTheme="minorHAnsi" w:hAnsiTheme="minorHAnsi" w:cstheme="minorHAnsi"/>
                <w:szCs w:val="18"/>
              </w:rPr>
              <w:t>.</w:t>
            </w:r>
            <w:r w:rsidR="00EF3DBB" w:rsidRPr="00D80F7B">
              <w:rPr>
                <w:rFonts w:asciiTheme="minorHAnsi" w:hAnsiTheme="minorHAnsi" w:cstheme="minorHAnsi"/>
                <w:szCs w:val="18"/>
              </w:rPr>
              <w:t>0</w:t>
            </w:r>
            <w:r w:rsidR="0057773A" w:rsidRPr="00D80F7B">
              <w:rPr>
                <w:rFonts w:asciiTheme="minorHAnsi" w:hAnsiTheme="minorHAnsi" w:cstheme="minorHAnsi"/>
                <w:szCs w:val="18"/>
              </w:rPr>
              <w:t>%)</w:t>
            </w:r>
          </w:p>
        </w:tc>
        <w:tc>
          <w:tcPr>
            <w:tcW w:w="546" w:type="pct"/>
          </w:tcPr>
          <w:p w14:paraId="623EA3B9" w14:textId="77777777" w:rsidR="001E2734" w:rsidRPr="00D80F7B" w:rsidRDefault="0057773A"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0</w:t>
            </w:r>
            <w:r w:rsidR="003D0232" w:rsidRPr="00D80F7B">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0.</w:t>
            </w:r>
            <w:r w:rsidR="00EF3DBB">
              <w:rPr>
                <w:rFonts w:asciiTheme="minorHAnsi" w:hAnsiTheme="minorHAnsi" w:cstheme="minorHAnsi"/>
                <w:szCs w:val="18"/>
              </w:rPr>
              <w:t>0</w:t>
            </w:r>
            <w:r w:rsidRPr="00D80F7B">
              <w:rPr>
                <w:rFonts w:asciiTheme="minorHAnsi" w:hAnsiTheme="minorHAnsi" w:cstheme="minorHAnsi"/>
                <w:szCs w:val="18"/>
              </w:rPr>
              <w:t>%)</w:t>
            </w:r>
          </w:p>
        </w:tc>
      </w:tr>
      <w:tr w:rsidR="00AE1E92" w:rsidRPr="009C1931" w14:paraId="55FC8A3E" w14:textId="77777777" w:rsidTr="007A7F51">
        <w:trPr>
          <w:trHeight w:val="71"/>
        </w:trPr>
        <w:tc>
          <w:tcPr>
            <w:cnfStyle w:val="001000000000" w:firstRow="0" w:lastRow="0" w:firstColumn="1" w:lastColumn="0" w:oddVBand="0" w:evenVBand="0" w:oddHBand="0" w:evenHBand="0" w:firstRowFirstColumn="0" w:firstRowLastColumn="0" w:lastRowFirstColumn="0" w:lastRowLastColumn="0"/>
            <w:tcW w:w="692" w:type="pct"/>
          </w:tcPr>
          <w:p w14:paraId="027582BC" w14:textId="77777777" w:rsidR="001E2734" w:rsidRPr="00057C3B" w:rsidRDefault="001E2734" w:rsidP="000730D0">
            <w:pPr>
              <w:pStyle w:val="TableText"/>
              <w:rPr>
                <w:b w:val="0"/>
                <w:bCs/>
              </w:rPr>
            </w:pPr>
            <w:r w:rsidRPr="00057C3B">
              <w:rPr>
                <w:b w:val="0"/>
                <w:bCs/>
              </w:rPr>
              <w:t>Research / academia</w:t>
            </w:r>
          </w:p>
        </w:tc>
        <w:tc>
          <w:tcPr>
            <w:tcW w:w="491" w:type="pct"/>
          </w:tcPr>
          <w:p w14:paraId="71251C78" w14:textId="77777777" w:rsidR="001E2734" w:rsidRPr="00D80F7B" w:rsidRDefault="003D0232"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w:t>
            </w:r>
            <w:r>
              <w:rPr>
                <w:rFonts w:asciiTheme="minorHAnsi" w:hAnsiTheme="minorHAnsi" w:cstheme="minorHAnsi"/>
                <w:szCs w:val="18"/>
              </w:rPr>
              <w:br/>
              <w:t>(</w:t>
            </w:r>
            <w:r w:rsidR="00E63605" w:rsidRPr="00D80F7B">
              <w:rPr>
                <w:rFonts w:asciiTheme="minorHAnsi" w:hAnsiTheme="minorHAnsi" w:cstheme="minorHAnsi"/>
                <w:szCs w:val="18"/>
              </w:rPr>
              <w:t>25.</w:t>
            </w:r>
            <w:r w:rsidR="00EF3DBB" w:rsidRPr="00D80F7B">
              <w:rPr>
                <w:rFonts w:asciiTheme="minorHAnsi" w:hAnsiTheme="minorHAnsi" w:cstheme="minorHAnsi"/>
                <w:szCs w:val="18"/>
              </w:rPr>
              <w:t>0</w:t>
            </w:r>
            <w:r w:rsidRPr="00D80F7B">
              <w:rPr>
                <w:rFonts w:asciiTheme="minorHAnsi" w:hAnsiTheme="minorHAnsi" w:cstheme="minorHAnsi"/>
                <w:szCs w:val="18"/>
              </w:rPr>
              <w:t>%</w:t>
            </w:r>
            <w:r>
              <w:rPr>
                <w:rFonts w:asciiTheme="minorHAnsi" w:hAnsiTheme="minorHAnsi" w:cstheme="minorHAnsi"/>
                <w:szCs w:val="18"/>
              </w:rPr>
              <w:t>)</w:t>
            </w:r>
          </w:p>
        </w:tc>
        <w:tc>
          <w:tcPr>
            <w:tcW w:w="545" w:type="pct"/>
          </w:tcPr>
          <w:p w14:paraId="37C20DF3" w14:textId="77777777" w:rsidR="001E2734" w:rsidRPr="00D80F7B" w:rsidRDefault="003D0232"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w:t>
            </w:r>
            <w:r>
              <w:rPr>
                <w:rFonts w:asciiTheme="minorHAnsi" w:hAnsiTheme="minorHAnsi" w:cstheme="minorHAnsi"/>
                <w:szCs w:val="18"/>
              </w:rPr>
              <w:br/>
              <w:t>(</w:t>
            </w:r>
            <w:r w:rsidR="00E63605" w:rsidRPr="00D80F7B">
              <w:rPr>
                <w:rFonts w:asciiTheme="minorHAnsi" w:hAnsiTheme="minorHAnsi" w:cstheme="minorHAnsi"/>
                <w:szCs w:val="18"/>
              </w:rPr>
              <w:t>25.</w:t>
            </w:r>
            <w:r w:rsidR="00EF3DBB" w:rsidRPr="00D80F7B">
              <w:rPr>
                <w:rFonts w:asciiTheme="minorHAnsi" w:hAnsiTheme="minorHAnsi" w:cstheme="minorHAnsi"/>
                <w:szCs w:val="18"/>
              </w:rPr>
              <w:t>0</w:t>
            </w:r>
            <w:r w:rsidRPr="00D80F7B">
              <w:rPr>
                <w:rFonts w:asciiTheme="minorHAnsi" w:hAnsiTheme="minorHAnsi" w:cstheme="minorHAnsi"/>
                <w:szCs w:val="18"/>
              </w:rPr>
              <w:t>%</w:t>
            </w:r>
            <w:r>
              <w:rPr>
                <w:rFonts w:asciiTheme="minorHAnsi" w:hAnsiTheme="minorHAnsi" w:cstheme="minorHAnsi"/>
                <w:szCs w:val="18"/>
              </w:rPr>
              <w:t>)</w:t>
            </w:r>
          </w:p>
        </w:tc>
        <w:tc>
          <w:tcPr>
            <w:tcW w:w="545" w:type="pct"/>
          </w:tcPr>
          <w:p w14:paraId="2A9DF27A" w14:textId="77777777" w:rsidR="001E2734" w:rsidRPr="00D80F7B" w:rsidRDefault="0057773A"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1E2734">
              <w:t xml:space="preserve">0 </w:t>
            </w:r>
            <w:r w:rsidR="003D0232">
              <w:br/>
            </w:r>
            <w:r w:rsidRPr="001E2734">
              <w:t>(</w:t>
            </w:r>
            <w:r w:rsidR="00E63605" w:rsidRPr="001E2734">
              <w:t>0.</w:t>
            </w:r>
            <w:r w:rsidR="00EF3DBB" w:rsidRPr="001E2734">
              <w:t>0</w:t>
            </w:r>
            <w:r w:rsidRPr="001E2734">
              <w:t>%)</w:t>
            </w:r>
          </w:p>
        </w:tc>
        <w:tc>
          <w:tcPr>
            <w:tcW w:w="546" w:type="pct"/>
          </w:tcPr>
          <w:p w14:paraId="086C0BF0" w14:textId="77777777" w:rsidR="001E2734" w:rsidRPr="00D80F7B" w:rsidRDefault="0057773A"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1E2734">
              <w:t xml:space="preserve">0 </w:t>
            </w:r>
            <w:r w:rsidR="003D0232">
              <w:br/>
            </w:r>
            <w:r w:rsidRPr="001E2734">
              <w:t>(</w:t>
            </w:r>
            <w:r w:rsidR="00E63605" w:rsidRPr="001E2734">
              <w:t>0.</w:t>
            </w:r>
            <w:r w:rsidR="00EF3DBB" w:rsidRPr="001E2734">
              <w:t>0</w:t>
            </w:r>
            <w:r w:rsidRPr="001E2734">
              <w:t>%)</w:t>
            </w:r>
          </w:p>
        </w:tc>
        <w:tc>
          <w:tcPr>
            <w:tcW w:w="545" w:type="pct"/>
          </w:tcPr>
          <w:p w14:paraId="3412B2F5" w14:textId="77777777" w:rsidR="001E2734" w:rsidRPr="00D80F7B" w:rsidRDefault="003D0232"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w:t>
            </w:r>
            <w:r>
              <w:rPr>
                <w:rFonts w:asciiTheme="minorHAnsi" w:hAnsiTheme="minorHAnsi" w:cstheme="minorHAnsi"/>
                <w:szCs w:val="18"/>
              </w:rPr>
              <w:br/>
              <w:t>(</w:t>
            </w:r>
            <w:r w:rsidR="00E63605" w:rsidRPr="00D80F7B">
              <w:rPr>
                <w:rFonts w:asciiTheme="minorHAnsi" w:hAnsiTheme="minorHAnsi" w:cstheme="minorHAnsi"/>
                <w:szCs w:val="18"/>
              </w:rPr>
              <w:t>25.</w:t>
            </w:r>
            <w:r w:rsidR="00EF3DBB" w:rsidRPr="00D80F7B">
              <w:rPr>
                <w:rFonts w:asciiTheme="minorHAnsi" w:hAnsiTheme="minorHAnsi" w:cstheme="minorHAnsi"/>
                <w:szCs w:val="18"/>
              </w:rPr>
              <w:t>0</w:t>
            </w:r>
            <w:r w:rsidRPr="00D80F7B">
              <w:rPr>
                <w:rFonts w:asciiTheme="minorHAnsi" w:hAnsiTheme="minorHAnsi" w:cstheme="minorHAnsi"/>
                <w:szCs w:val="18"/>
              </w:rPr>
              <w:t>%</w:t>
            </w:r>
            <w:r>
              <w:rPr>
                <w:rFonts w:asciiTheme="minorHAnsi" w:hAnsiTheme="minorHAnsi" w:cstheme="minorHAnsi"/>
                <w:szCs w:val="18"/>
              </w:rPr>
              <w:t>)</w:t>
            </w:r>
          </w:p>
        </w:tc>
        <w:tc>
          <w:tcPr>
            <w:tcW w:w="545" w:type="pct"/>
          </w:tcPr>
          <w:p w14:paraId="4C682065" w14:textId="77777777" w:rsidR="001E2734" w:rsidRPr="00D80F7B" w:rsidRDefault="0057773A"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0 </w:t>
            </w:r>
            <w:r w:rsidR="003D0232">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0.</w:t>
            </w:r>
            <w:r w:rsidR="00EF3DBB" w:rsidRPr="00D80F7B">
              <w:rPr>
                <w:rFonts w:asciiTheme="minorHAnsi" w:hAnsiTheme="minorHAnsi" w:cstheme="minorHAnsi"/>
                <w:szCs w:val="18"/>
              </w:rPr>
              <w:t>0</w:t>
            </w:r>
            <w:r w:rsidRPr="00D80F7B">
              <w:rPr>
                <w:rFonts w:asciiTheme="minorHAnsi" w:hAnsiTheme="minorHAnsi" w:cstheme="minorHAnsi"/>
                <w:szCs w:val="18"/>
              </w:rPr>
              <w:t>%)</w:t>
            </w:r>
          </w:p>
        </w:tc>
        <w:tc>
          <w:tcPr>
            <w:tcW w:w="545" w:type="pct"/>
          </w:tcPr>
          <w:p w14:paraId="51AF8FCB" w14:textId="77777777" w:rsidR="001E2734" w:rsidRPr="00D80F7B" w:rsidRDefault="003D0232"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w:t>
            </w:r>
            <w:r>
              <w:rPr>
                <w:rFonts w:asciiTheme="minorHAnsi" w:hAnsiTheme="minorHAnsi" w:cstheme="minorHAnsi"/>
                <w:szCs w:val="18"/>
              </w:rPr>
              <w:br/>
              <w:t>(</w:t>
            </w:r>
            <w:r w:rsidRPr="00D80F7B">
              <w:rPr>
                <w:rFonts w:asciiTheme="minorHAnsi" w:hAnsiTheme="minorHAnsi" w:cstheme="minorHAnsi"/>
                <w:szCs w:val="18"/>
              </w:rPr>
              <w:t>25</w:t>
            </w:r>
            <w:r w:rsidR="00E63605" w:rsidRPr="00D80F7B">
              <w:rPr>
                <w:rFonts w:asciiTheme="minorHAnsi" w:hAnsiTheme="minorHAnsi" w:cstheme="minorHAnsi"/>
                <w:szCs w:val="18"/>
              </w:rPr>
              <w:t>.</w:t>
            </w:r>
            <w:r w:rsidR="00EF3DBB" w:rsidRPr="00D80F7B">
              <w:rPr>
                <w:rFonts w:asciiTheme="minorHAnsi" w:hAnsiTheme="minorHAnsi" w:cstheme="minorHAnsi"/>
                <w:szCs w:val="18"/>
              </w:rPr>
              <w:t>0</w:t>
            </w:r>
            <w:r w:rsidR="0057773A" w:rsidRPr="00D80F7B">
              <w:rPr>
                <w:rFonts w:asciiTheme="minorHAnsi" w:hAnsiTheme="minorHAnsi" w:cstheme="minorHAnsi"/>
                <w:szCs w:val="18"/>
              </w:rPr>
              <w:t>%)</w:t>
            </w:r>
          </w:p>
        </w:tc>
        <w:tc>
          <w:tcPr>
            <w:tcW w:w="546" w:type="pct"/>
          </w:tcPr>
          <w:p w14:paraId="572C3510" w14:textId="77777777" w:rsidR="001E2734" w:rsidRPr="00D80F7B" w:rsidRDefault="0057773A"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0 </w:t>
            </w:r>
            <w:r w:rsidR="003D0232" w:rsidRPr="00D80F7B">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0.</w:t>
            </w:r>
            <w:r w:rsidR="00EF3DBB" w:rsidRPr="00D80F7B">
              <w:rPr>
                <w:rFonts w:asciiTheme="minorHAnsi" w:hAnsiTheme="minorHAnsi" w:cstheme="minorHAnsi"/>
                <w:szCs w:val="18"/>
              </w:rPr>
              <w:t>0</w:t>
            </w:r>
            <w:r w:rsidRPr="00D80F7B">
              <w:rPr>
                <w:rFonts w:asciiTheme="minorHAnsi" w:hAnsiTheme="minorHAnsi" w:cstheme="minorHAnsi"/>
                <w:szCs w:val="18"/>
              </w:rPr>
              <w:t>%)</w:t>
            </w:r>
          </w:p>
        </w:tc>
      </w:tr>
      <w:tr w:rsidR="00AE1E92" w:rsidRPr="009C1931" w14:paraId="30736553" w14:textId="77777777" w:rsidTr="007A7F51">
        <w:trPr>
          <w:trHeight w:val="71"/>
        </w:trPr>
        <w:tc>
          <w:tcPr>
            <w:cnfStyle w:val="001000000000" w:firstRow="0" w:lastRow="0" w:firstColumn="1" w:lastColumn="0" w:oddVBand="0" w:evenVBand="0" w:oddHBand="0" w:evenHBand="0" w:firstRowFirstColumn="0" w:firstRowLastColumn="0" w:lastRowFirstColumn="0" w:lastRowLastColumn="0"/>
            <w:tcW w:w="692" w:type="pct"/>
          </w:tcPr>
          <w:p w14:paraId="545047C9" w14:textId="77777777" w:rsidR="001E2734" w:rsidRPr="00057C3B" w:rsidRDefault="001E2734" w:rsidP="000730D0">
            <w:pPr>
              <w:pStyle w:val="TableText"/>
              <w:rPr>
                <w:b w:val="0"/>
                <w:bCs/>
              </w:rPr>
            </w:pPr>
            <w:r w:rsidRPr="00057C3B">
              <w:rPr>
                <w:b w:val="0"/>
                <w:bCs/>
              </w:rPr>
              <w:t>Speech pathology</w:t>
            </w:r>
          </w:p>
        </w:tc>
        <w:tc>
          <w:tcPr>
            <w:tcW w:w="491" w:type="pct"/>
          </w:tcPr>
          <w:p w14:paraId="26DECD00" w14:textId="77777777" w:rsidR="001E2734" w:rsidRPr="00D80F7B" w:rsidRDefault="0057773A"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1E2734">
              <w:t xml:space="preserve">0 </w:t>
            </w:r>
            <w:r w:rsidR="003D0232">
              <w:br/>
            </w:r>
            <w:r w:rsidRPr="001E2734">
              <w:t>(</w:t>
            </w:r>
            <w:r w:rsidR="00E63605" w:rsidRPr="001E2734">
              <w:t>0.</w:t>
            </w:r>
            <w:r w:rsidR="00EF3DBB" w:rsidRPr="001E2734">
              <w:t>0</w:t>
            </w:r>
            <w:r w:rsidRPr="001E2734">
              <w:t>%)</w:t>
            </w:r>
          </w:p>
        </w:tc>
        <w:tc>
          <w:tcPr>
            <w:tcW w:w="545" w:type="pct"/>
          </w:tcPr>
          <w:p w14:paraId="4C6B50D1" w14:textId="77777777" w:rsidR="001E2734" w:rsidRPr="00D80F7B" w:rsidRDefault="0057773A"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1E2734">
              <w:t xml:space="preserve">0 </w:t>
            </w:r>
            <w:r w:rsidR="003D0232">
              <w:br/>
            </w:r>
            <w:r w:rsidRPr="001E2734">
              <w:t>(</w:t>
            </w:r>
            <w:r w:rsidR="00E63605" w:rsidRPr="001E2734">
              <w:t>0.</w:t>
            </w:r>
            <w:r w:rsidR="00EF3DBB" w:rsidRPr="001E2734">
              <w:t>0</w:t>
            </w:r>
            <w:r w:rsidRPr="001E2734">
              <w:t>%)</w:t>
            </w:r>
          </w:p>
        </w:tc>
        <w:tc>
          <w:tcPr>
            <w:tcW w:w="545" w:type="pct"/>
          </w:tcPr>
          <w:p w14:paraId="4C083745" w14:textId="77777777" w:rsidR="001E2734" w:rsidRPr="00D80F7B" w:rsidRDefault="003D0232"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 xml:space="preserve">2 </w:t>
            </w:r>
            <w:r>
              <w:rPr>
                <w:rFonts w:asciiTheme="minorHAnsi" w:hAnsiTheme="minorHAnsi" w:cstheme="minorHAnsi"/>
                <w:szCs w:val="18"/>
              </w:rPr>
              <w:br/>
              <w:t>(</w:t>
            </w:r>
            <w:r w:rsidR="00E63605" w:rsidRPr="00D80F7B">
              <w:rPr>
                <w:rFonts w:asciiTheme="minorHAnsi" w:hAnsiTheme="minorHAnsi" w:cstheme="minorHAnsi"/>
                <w:szCs w:val="18"/>
              </w:rPr>
              <w:t>50.</w:t>
            </w:r>
            <w:r w:rsidR="00EF3DBB" w:rsidRPr="00D80F7B">
              <w:rPr>
                <w:rFonts w:asciiTheme="minorHAnsi" w:hAnsiTheme="minorHAnsi" w:cstheme="minorHAnsi"/>
                <w:szCs w:val="18"/>
              </w:rPr>
              <w:t>0</w:t>
            </w:r>
            <w:r w:rsidRPr="00D80F7B">
              <w:rPr>
                <w:rFonts w:asciiTheme="minorHAnsi" w:hAnsiTheme="minorHAnsi" w:cstheme="minorHAnsi"/>
                <w:szCs w:val="18"/>
              </w:rPr>
              <w:t>%</w:t>
            </w:r>
            <w:r>
              <w:rPr>
                <w:rFonts w:asciiTheme="minorHAnsi" w:hAnsiTheme="minorHAnsi" w:cstheme="minorHAnsi"/>
                <w:szCs w:val="18"/>
              </w:rPr>
              <w:t>)</w:t>
            </w:r>
          </w:p>
        </w:tc>
        <w:tc>
          <w:tcPr>
            <w:tcW w:w="546" w:type="pct"/>
          </w:tcPr>
          <w:p w14:paraId="723D27A2" w14:textId="77777777" w:rsidR="001E2734" w:rsidRPr="00D80F7B" w:rsidRDefault="0057773A"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1E2734">
              <w:t xml:space="preserve">0 </w:t>
            </w:r>
            <w:r w:rsidR="003D0232">
              <w:br/>
            </w:r>
            <w:r w:rsidRPr="001E2734">
              <w:t>(</w:t>
            </w:r>
            <w:r w:rsidR="00E63605" w:rsidRPr="001E2734">
              <w:t>0.</w:t>
            </w:r>
            <w:r w:rsidR="00EF3DBB" w:rsidRPr="001E2734">
              <w:t>0</w:t>
            </w:r>
            <w:r w:rsidRPr="001E2734">
              <w:t>%)</w:t>
            </w:r>
          </w:p>
        </w:tc>
        <w:tc>
          <w:tcPr>
            <w:tcW w:w="545" w:type="pct"/>
          </w:tcPr>
          <w:p w14:paraId="2F265C53" w14:textId="77777777" w:rsidR="001E2734" w:rsidRPr="00D80F7B" w:rsidRDefault="0057773A"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1E2734">
              <w:t xml:space="preserve">0 </w:t>
            </w:r>
            <w:r w:rsidR="003D0232">
              <w:br/>
            </w:r>
            <w:r w:rsidRPr="001E2734">
              <w:t>(</w:t>
            </w:r>
            <w:r w:rsidR="00E63605" w:rsidRPr="001E2734">
              <w:t>0.</w:t>
            </w:r>
            <w:r w:rsidR="00EF3DBB" w:rsidRPr="001E2734">
              <w:t>0</w:t>
            </w:r>
            <w:r w:rsidRPr="001E2734">
              <w:t>%)</w:t>
            </w:r>
          </w:p>
        </w:tc>
        <w:tc>
          <w:tcPr>
            <w:tcW w:w="545" w:type="pct"/>
          </w:tcPr>
          <w:p w14:paraId="6DB0BA56" w14:textId="77777777" w:rsidR="001E2734" w:rsidRPr="00D80F7B" w:rsidRDefault="003D0232"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1E2734">
              <w:t xml:space="preserve">0 </w:t>
            </w:r>
            <w:r>
              <w:br/>
            </w:r>
            <w:r w:rsidRPr="001E2734">
              <w:t>(</w:t>
            </w:r>
            <w:r w:rsidR="00E63605" w:rsidRPr="001E2734">
              <w:t>0.</w:t>
            </w:r>
            <w:r w:rsidR="00EF3DBB" w:rsidRPr="001E2734">
              <w:t>0</w:t>
            </w:r>
            <w:r w:rsidRPr="001E2734">
              <w:t>%)</w:t>
            </w:r>
          </w:p>
        </w:tc>
        <w:tc>
          <w:tcPr>
            <w:tcW w:w="545" w:type="pct"/>
          </w:tcPr>
          <w:p w14:paraId="2FE95B72" w14:textId="77777777" w:rsidR="001E2734" w:rsidRPr="00D80F7B" w:rsidRDefault="003D0232"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w:t>
            </w:r>
            <w:r>
              <w:rPr>
                <w:rFonts w:asciiTheme="minorHAnsi" w:hAnsiTheme="minorHAnsi" w:cstheme="minorHAnsi"/>
                <w:szCs w:val="18"/>
              </w:rPr>
              <w:br/>
              <w:t>(</w:t>
            </w:r>
            <w:r w:rsidR="00E63605" w:rsidRPr="00D80F7B">
              <w:rPr>
                <w:rFonts w:asciiTheme="minorHAnsi" w:hAnsiTheme="minorHAnsi" w:cstheme="minorHAnsi"/>
                <w:szCs w:val="18"/>
              </w:rPr>
              <w:t>25.</w:t>
            </w:r>
            <w:r w:rsidR="00EF3DBB" w:rsidRPr="00D80F7B">
              <w:rPr>
                <w:rFonts w:asciiTheme="minorHAnsi" w:hAnsiTheme="minorHAnsi" w:cstheme="minorHAnsi"/>
                <w:szCs w:val="18"/>
              </w:rPr>
              <w:t>0</w:t>
            </w:r>
            <w:r w:rsidRPr="00D80F7B">
              <w:rPr>
                <w:rFonts w:asciiTheme="minorHAnsi" w:hAnsiTheme="minorHAnsi" w:cstheme="minorHAnsi"/>
                <w:szCs w:val="18"/>
              </w:rPr>
              <w:t>%</w:t>
            </w:r>
            <w:r>
              <w:rPr>
                <w:rFonts w:asciiTheme="minorHAnsi" w:hAnsiTheme="minorHAnsi" w:cstheme="minorHAnsi"/>
                <w:szCs w:val="18"/>
              </w:rPr>
              <w:t>)</w:t>
            </w:r>
          </w:p>
        </w:tc>
        <w:tc>
          <w:tcPr>
            <w:tcW w:w="546" w:type="pct"/>
          </w:tcPr>
          <w:p w14:paraId="2665F4F7" w14:textId="77777777" w:rsidR="001E2734" w:rsidRPr="00D80F7B" w:rsidRDefault="003D0232"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1</w:t>
            </w:r>
            <w:r>
              <w:rPr>
                <w:rFonts w:asciiTheme="minorHAnsi" w:hAnsiTheme="minorHAnsi" w:cstheme="minorHAnsi"/>
                <w:szCs w:val="18"/>
              </w:rPr>
              <w:br/>
              <w:t>(</w:t>
            </w:r>
            <w:r w:rsidR="00E63605" w:rsidRPr="00D80F7B">
              <w:rPr>
                <w:rFonts w:asciiTheme="minorHAnsi" w:hAnsiTheme="minorHAnsi" w:cstheme="minorHAnsi"/>
                <w:szCs w:val="18"/>
              </w:rPr>
              <w:t>25.</w:t>
            </w:r>
            <w:r w:rsidR="00EF3DBB" w:rsidRPr="00D80F7B">
              <w:rPr>
                <w:rFonts w:asciiTheme="minorHAnsi" w:hAnsiTheme="minorHAnsi" w:cstheme="minorHAnsi"/>
                <w:szCs w:val="18"/>
              </w:rPr>
              <w:t>0</w:t>
            </w:r>
            <w:r w:rsidRPr="00D80F7B">
              <w:rPr>
                <w:rFonts w:asciiTheme="minorHAnsi" w:hAnsiTheme="minorHAnsi" w:cstheme="minorHAnsi"/>
                <w:szCs w:val="18"/>
              </w:rPr>
              <w:t>%</w:t>
            </w:r>
            <w:r>
              <w:rPr>
                <w:rFonts w:asciiTheme="minorHAnsi" w:hAnsiTheme="minorHAnsi" w:cstheme="minorHAnsi"/>
                <w:szCs w:val="18"/>
              </w:rPr>
              <w:t>)</w:t>
            </w:r>
          </w:p>
        </w:tc>
      </w:tr>
      <w:tr w:rsidR="00AE1E92" w:rsidRPr="009C1931" w14:paraId="7212F267" w14:textId="77777777" w:rsidTr="007A7F51">
        <w:trPr>
          <w:trHeight w:val="71"/>
        </w:trPr>
        <w:tc>
          <w:tcPr>
            <w:cnfStyle w:val="001000000000" w:firstRow="0" w:lastRow="0" w:firstColumn="1" w:lastColumn="0" w:oddVBand="0" w:evenVBand="0" w:oddHBand="0" w:evenHBand="0" w:firstRowFirstColumn="0" w:firstRowLastColumn="0" w:lastRowFirstColumn="0" w:lastRowLastColumn="0"/>
            <w:tcW w:w="692" w:type="pct"/>
          </w:tcPr>
          <w:p w14:paraId="5602E077" w14:textId="77777777" w:rsidR="009C680C" w:rsidRPr="00057C3B" w:rsidRDefault="009C680C" w:rsidP="000730D0">
            <w:pPr>
              <w:pStyle w:val="TableText"/>
              <w:rPr>
                <w:b w:val="0"/>
                <w:bCs/>
              </w:rPr>
            </w:pPr>
            <w:r w:rsidRPr="00057C3B">
              <w:rPr>
                <w:b w:val="0"/>
                <w:bCs/>
              </w:rPr>
              <w:t>Multiple areas of practice</w:t>
            </w:r>
          </w:p>
        </w:tc>
        <w:tc>
          <w:tcPr>
            <w:tcW w:w="491" w:type="pct"/>
          </w:tcPr>
          <w:p w14:paraId="476A21BA" w14:textId="77777777" w:rsidR="009C680C" w:rsidRPr="00D80F7B" w:rsidRDefault="0057773A"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0 </w:t>
            </w:r>
            <w:r w:rsidR="003D0232">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0.</w:t>
            </w:r>
            <w:r w:rsidR="00EF3DBB" w:rsidRPr="00D80F7B">
              <w:rPr>
                <w:rFonts w:asciiTheme="minorHAnsi" w:hAnsiTheme="minorHAnsi" w:cstheme="minorHAnsi"/>
                <w:szCs w:val="18"/>
              </w:rPr>
              <w:t>0</w:t>
            </w:r>
            <w:r w:rsidRPr="00D80F7B">
              <w:rPr>
                <w:rFonts w:asciiTheme="minorHAnsi" w:hAnsiTheme="minorHAnsi" w:cstheme="minorHAnsi"/>
                <w:szCs w:val="18"/>
              </w:rPr>
              <w:t>%)</w:t>
            </w:r>
          </w:p>
        </w:tc>
        <w:tc>
          <w:tcPr>
            <w:tcW w:w="545" w:type="pct"/>
          </w:tcPr>
          <w:p w14:paraId="4D9CB702" w14:textId="77777777" w:rsidR="009C680C" w:rsidRPr="00D80F7B" w:rsidRDefault="003D0232"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 xml:space="preserve">1 </w:t>
            </w:r>
            <w:r>
              <w:rPr>
                <w:rFonts w:asciiTheme="minorHAnsi" w:hAnsiTheme="minorHAnsi" w:cstheme="minorHAnsi"/>
                <w:szCs w:val="18"/>
              </w:rPr>
              <w:br/>
              <w:t>(</w:t>
            </w:r>
            <w:r w:rsidR="00E63605" w:rsidRPr="00D80F7B">
              <w:rPr>
                <w:rFonts w:asciiTheme="minorHAnsi" w:hAnsiTheme="minorHAnsi" w:cstheme="minorHAnsi"/>
                <w:szCs w:val="18"/>
              </w:rPr>
              <w:t>50.</w:t>
            </w:r>
            <w:r w:rsidR="00EF3DBB" w:rsidRPr="00D80F7B">
              <w:rPr>
                <w:rFonts w:asciiTheme="minorHAnsi" w:hAnsiTheme="minorHAnsi" w:cstheme="minorHAnsi"/>
                <w:szCs w:val="18"/>
              </w:rPr>
              <w:t>0</w:t>
            </w:r>
            <w:r w:rsidRPr="00D80F7B">
              <w:rPr>
                <w:rFonts w:asciiTheme="minorHAnsi" w:hAnsiTheme="minorHAnsi" w:cstheme="minorHAnsi"/>
                <w:szCs w:val="18"/>
              </w:rPr>
              <w:t>%</w:t>
            </w:r>
            <w:r>
              <w:rPr>
                <w:rFonts w:asciiTheme="minorHAnsi" w:hAnsiTheme="minorHAnsi" w:cstheme="minorHAnsi"/>
                <w:szCs w:val="18"/>
              </w:rPr>
              <w:t>)</w:t>
            </w:r>
          </w:p>
        </w:tc>
        <w:tc>
          <w:tcPr>
            <w:tcW w:w="545" w:type="pct"/>
          </w:tcPr>
          <w:p w14:paraId="1025AAC9" w14:textId="77777777" w:rsidR="009C680C" w:rsidRPr="00D80F7B" w:rsidRDefault="003D0232"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Pr>
                <w:rFonts w:asciiTheme="minorHAnsi" w:hAnsiTheme="minorHAnsi" w:cstheme="minorHAnsi"/>
                <w:szCs w:val="18"/>
              </w:rPr>
              <w:t xml:space="preserve">1 </w:t>
            </w:r>
            <w:r>
              <w:rPr>
                <w:rFonts w:asciiTheme="minorHAnsi" w:hAnsiTheme="minorHAnsi" w:cstheme="minorHAnsi"/>
                <w:szCs w:val="18"/>
              </w:rPr>
              <w:br/>
              <w:t>(</w:t>
            </w:r>
            <w:r w:rsidR="00E63605" w:rsidRPr="00D80F7B">
              <w:rPr>
                <w:rFonts w:asciiTheme="minorHAnsi" w:hAnsiTheme="minorHAnsi" w:cstheme="minorHAnsi"/>
                <w:szCs w:val="18"/>
              </w:rPr>
              <w:t>50.</w:t>
            </w:r>
            <w:r w:rsidR="00EF3DBB" w:rsidRPr="00D80F7B">
              <w:rPr>
                <w:rFonts w:asciiTheme="minorHAnsi" w:hAnsiTheme="minorHAnsi" w:cstheme="minorHAnsi"/>
                <w:szCs w:val="18"/>
              </w:rPr>
              <w:t>0</w:t>
            </w:r>
            <w:r w:rsidRPr="00D80F7B">
              <w:rPr>
                <w:rFonts w:asciiTheme="minorHAnsi" w:hAnsiTheme="minorHAnsi" w:cstheme="minorHAnsi"/>
                <w:szCs w:val="18"/>
              </w:rPr>
              <w:t>%</w:t>
            </w:r>
            <w:r>
              <w:rPr>
                <w:rFonts w:asciiTheme="minorHAnsi" w:hAnsiTheme="minorHAnsi" w:cstheme="minorHAnsi"/>
                <w:szCs w:val="18"/>
              </w:rPr>
              <w:t>)</w:t>
            </w:r>
          </w:p>
        </w:tc>
        <w:tc>
          <w:tcPr>
            <w:tcW w:w="546" w:type="pct"/>
          </w:tcPr>
          <w:p w14:paraId="10159972" w14:textId="77777777" w:rsidR="009C680C" w:rsidRPr="00D80F7B" w:rsidRDefault="0057773A"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0 </w:t>
            </w:r>
            <w:r w:rsidR="003D0232">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0.</w:t>
            </w:r>
            <w:r w:rsidR="00EF3DBB" w:rsidRPr="00D80F7B">
              <w:rPr>
                <w:rFonts w:asciiTheme="minorHAnsi" w:hAnsiTheme="minorHAnsi" w:cstheme="minorHAnsi"/>
                <w:szCs w:val="18"/>
              </w:rPr>
              <w:t>0</w:t>
            </w:r>
            <w:r w:rsidRPr="00D80F7B">
              <w:rPr>
                <w:rFonts w:asciiTheme="minorHAnsi" w:hAnsiTheme="minorHAnsi" w:cstheme="minorHAnsi"/>
                <w:szCs w:val="18"/>
              </w:rPr>
              <w:t>%)</w:t>
            </w:r>
          </w:p>
        </w:tc>
        <w:tc>
          <w:tcPr>
            <w:tcW w:w="545" w:type="pct"/>
          </w:tcPr>
          <w:p w14:paraId="27AC5546" w14:textId="77777777" w:rsidR="009C680C" w:rsidRPr="00D80F7B" w:rsidRDefault="0057773A"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0 </w:t>
            </w:r>
            <w:r w:rsidR="003D0232">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0.</w:t>
            </w:r>
            <w:r w:rsidR="00EF3DBB" w:rsidRPr="00D80F7B">
              <w:rPr>
                <w:rFonts w:asciiTheme="minorHAnsi" w:hAnsiTheme="minorHAnsi" w:cstheme="minorHAnsi"/>
                <w:szCs w:val="18"/>
              </w:rPr>
              <w:t>0</w:t>
            </w:r>
            <w:r w:rsidRPr="00D80F7B">
              <w:rPr>
                <w:rFonts w:asciiTheme="minorHAnsi" w:hAnsiTheme="minorHAnsi" w:cstheme="minorHAnsi"/>
                <w:szCs w:val="18"/>
              </w:rPr>
              <w:t>%)</w:t>
            </w:r>
          </w:p>
        </w:tc>
        <w:tc>
          <w:tcPr>
            <w:tcW w:w="545" w:type="pct"/>
          </w:tcPr>
          <w:p w14:paraId="19503460" w14:textId="77777777" w:rsidR="009C680C" w:rsidRPr="00D80F7B" w:rsidRDefault="0057773A"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0 </w:t>
            </w:r>
            <w:r w:rsidR="003D0232">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0.</w:t>
            </w:r>
            <w:r w:rsidR="00EF3DBB" w:rsidRPr="00D80F7B">
              <w:rPr>
                <w:rFonts w:asciiTheme="minorHAnsi" w:hAnsiTheme="minorHAnsi" w:cstheme="minorHAnsi"/>
                <w:szCs w:val="18"/>
              </w:rPr>
              <w:t>0</w:t>
            </w:r>
            <w:r w:rsidRPr="00D80F7B">
              <w:rPr>
                <w:rFonts w:asciiTheme="minorHAnsi" w:hAnsiTheme="minorHAnsi" w:cstheme="minorHAnsi"/>
                <w:szCs w:val="18"/>
              </w:rPr>
              <w:t>%)</w:t>
            </w:r>
          </w:p>
        </w:tc>
        <w:tc>
          <w:tcPr>
            <w:tcW w:w="545" w:type="pct"/>
          </w:tcPr>
          <w:p w14:paraId="34F60777" w14:textId="77777777" w:rsidR="009C680C" w:rsidRPr="00D80F7B" w:rsidRDefault="0057773A"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0 </w:t>
            </w:r>
            <w:r w:rsidR="003D0232">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0.</w:t>
            </w:r>
            <w:r w:rsidR="00EF3DBB" w:rsidRPr="00D80F7B">
              <w:rPr>
                <w:rFonts w:asciiTheme="minorHAnsi" w:hAnsiTheme="minorHAnsi" w:cstheme="minorHAnsi"/>
                <w:szCs w:val="18"/>
              </w:rPr>
              <w:t>0</w:t>
            </w:r>
            <w:r w:rsidRPr="00D80F7B">
              <w:rPr>
                <w:rFonts w:asciiTheme="minorHAnsi" w:hAnsiTheme="minorHAnsi" w:cstheme="minorHAnsi"/>
                <w:szCs w:val="18"/>
              </w:rPr>
              <w:t>%)</w:t>
            </w:r>
          </w:p>
        </w:tc>
        <w:tc>
          <w:tcPr>
            <w:tcW w:w="546" w:type="pct"/>
          </w:tcPr>
          <w:p w14:paraId="5D8929BC" w14:textId="77777777" w:rsidR="009C680C" w:rsidRPr="00D80F7B" w:rsidRDefault="0057773A" w:rsidP="000730D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D80F7B">
              <w:rPr>
                <w:rFonts w:asciiTheme="minorHAnsi" w:hAnsiTheme="minorHAnsi" w:cstheme="minorHAnsi"/>
                <w:szCs w:val="18"/>
              </w:rPr>
              <w:t xml:space="preserve">0 </w:t>
            </w:r>
            <w:r w:rsidR="003D0232">
              <w:rPr>
                <w:rFonts w:asciiTheme="minorHAnsi" w:hAnsiTheme="minorHAnsi" w:cstheme="minorHAnsi"/>
                <w:szCs w:val="18"/>
              </w:rPr>
              <w:br/>
            </w:r>
            <w:r w:rsidRPr="00D80F7B">
              <w:rPr>
                <w:rFonts w:asciiTheme="minorHAnsi" w:hAnsiTheme="minorHAnsi" w:cstheme="minorHAnsi"/>
                <w:szCs w:val="18"/>
              </w:rPr>
              <w:t>(</w:t>
            </w:r>
            <w:r w:rsidR="00E63605" w:rsidRPr="00D80F7B">
              <w:rPr>
                <w:rFonts w:asciiTheme="minorHAnsi" w:hAnsiTheme="minorHAnsi" w:cstheme="minorHAnsi"/>
                <w:szCs w:val="18"/>
              </w:rPr>
              <w:t>0.</w:t>
            </w:r>
            <w:r w:rsidR="00EF3DBB" w:rsidRPr="00D80F7B">
              <w:rPr>
                <w:rFonts w:asciiTheme="minorHAnsi" w:hAnsiTheme="minorHAnsi" w:cstheme="minorHAnsi"/>
                <w:szCs w:val="18"/>
              </w:rPr>
              <w:t>0</w:t>
            </w:r>
            <w:r w:rsidRPr="00D80F7B">
              <w:rPr>
                <w:rFonts w:asciiTheme="minorHAnsi" w:hAnsiTheme="minorHAnsi" w:cstheme="minorHAnsi"/>
                <w:szCs w:val="18"/>
              </w:rPr>
              <w:t>%)</w:t>
            </w:r>
          </w:p>
        </w:tc>
      </w:tr>
      <w:tr w:rsidR="00AE1E92" w:rsidRPr="009C1931" w14:paraId="30347475" w14:textId="77777777" w:rsidTr="007A7F51">
        <w:trPr>
          <w:trHeight w:val="71"/>
        </w:trPr>
        <w:tc>
          <w:tcPr>
            <w:cnfStyle w:val="001000000000" w:firstRow="0" w:lastRow="0" w:firstColumn="1" w:lastColumn="0" w:oddVBand="0" w:evenVBand="0" w:oddHBand="0" w:evenHBand="0" w:firstRowFirstColumn="0" w:firstRowLastColumn="0" w:lastRowFirstColumn="0" w:lastRowLastColumn="0"/>
            <w:tcW w:w="692" w:type="pct"/>
          </w:tcPr>
          <w:p w14:paraId="5BEA42D7" w14:textId="77777777" w:rsidR="001E2734" w:rsidRPr="00057C3B" w:rsidRDefault="001E2734" w:rsidP="000730D0">
            <w:pPr>
              <w:pStyle w:val="Tabletextbold"/>
              <w:rPr>
                <w:rFonts w:eastAsiaTheme="minorEastAsia" w:cs="Arial"/>
                <w:bCs/>
                <w:szCs w:val="18"/>
              </w:rPr>
            </w:pPr>
            <w:r w:rsidRPr="006D20D0">
              <w:rPr>
                <w:b/>
              </w:rPr>
              <w:t>Total</w:t>
            </w:r>
            <w:r w:rsidRPr="00057C3B">
              <w:rPr>
                <w:rFonts w:eastAsiaTheme="minorEastAsia" w:cs="Arial"/>
                <w:bCs/>
                <w:szCs w:val="18"/>
              </w:rPr>
              <w:t xml:space="preserve">: 57 respondents / </w:t>
            </w:r>
            <w:r w:rsidR="00C15060" w:rsidRPr="00057C3B">
              <w:rPr>
                <w:rFonts w:eastAsiaTheme="minorEastAsia" w:cs="Arial"/>
                <w:bCs/>
                <w:szCs w:val="18"/>
              </w:rPr>
              <w:t>11</w:t>
            </w:r>
            <w:r w:rsidR="001E3D7B" w:rsidRPr="00057C3B">
              <w:rPr>
                <w:rFonts w:eastAsiaTheme="minorEastAsia" w:cs="Arial"/>
                <w:bCs/>
                <w:szCs w:val="18"/>
              </w:rPr>
              <w:t>2</w:t>
            </w:r>
            <w:r w:rsidRPr="00057C3B">
              <w:rPr>
                <w:rFonts w:eastAsiaTheme="minorEastAsia" w:cs="Arial"/>
                <w:bCs/>
                <w:szCs w:val="18"/>
              </w:rPr>
              <w:t xml:space="preserve"> responses</w:t>
            </w:r>
          </w:p>
        </w:tc>
        <w:tc>
          <w:tcPr>
            <w:tcW w:w="491" w:type="pct"/>
          </w:tcPr>
          <w:p w14:paraId="451321D3" w14:textId="77777777" w:rsidR="001E2734" w:rsidRPr="008B6161" w:rsidRDefault="00207F58" w:rsidP="000730D0">
            <w:pPr>
              <w:pStyle w:val="Tabletextbold"/>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Cs w:val="18"/>
              </w:rPr>
            </w:pPr>
            <w:r w:rsidRPr="008B6161">
              <w:t>6</w:t>
            </w:r>
            <w:r w:rsidRPr="008B6161">
              <w:br/>
              <w:t>(</w:t>
            </w:r>
            <w:r w:rsidRPr="008B6161">
              <w:rPr>
                <w:szCs w:val="20"/>
              </w:rPr>
              <w:t>5.</w:t>
            </w:r>
            <w:r w:rsidR="00EF3DBB" w:rsidRPr="008B6161">
              <w:rPr>
                <w:szCs w:val="20"/>
              </w:rPr>
              <w:t>4</w:t>
            </w:r>
            <w:r w:rsidRPr="008B6161">
              <w:rPr>
                <w:szCs w:val="20"/>
              </w:rPr>
              <w:t>%)</w:t>
            </w:r>
          </w:p>
        </w:tc>
        <w:tc>
          <w:tcPr>
            <w:tcW w:w="545" w:type="pct"/>
          </w:tcPr>
          <w:p w14:paraId="0A056ED4" w14:textId="77777777" w:rsidR="001E2734" w:rsidRPr="008B6161" w:rsidRDefault="003D0232" w:rsidP="000730D0">
            <w:pPr>
              <w:pStyle w:val="Tabletextbold"/>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Cs w:val="18"/>
              </w:rPr>
            </w:pPr>
            <w:r w:rsidRPr="008B6161">
              <w:t>14</w:t>
            </w:r>
            <w:r w:rsidRPr="008B6161">
              <w:br/>
              <w:t>(</w:t>
            </w:r>
            <w:r w:rsidR="00207F58" w:rsidRPr="008B6161">
              <w:rPr>
                <w:szCs w:val="20"/>
              </w:rPr>
              <w:t>12.</w:t>
            </w:r>
            <w:r w:rsidR="00EF3DBB" w:rsidRPr="008B6161">
              <w:rPr>
                <w:szCs w:val="20"/>
              </w:rPr>
              <w:t>5</w:t>
            </w:r>
            <w:r w:rsidRPr="008B6161">
              <w:rPr>
                <w:szCs w:val="20"/>
              </w:rPr>
              <w:t>%)</w:t>
            </w:r>
          </w:p>
        </w:tc>
        <w:tc>
          <w:tcPr>
            <w:tcW w:w="545" w:type="pct"/>
          </w:tcPr>
          <w:p w14:paraId="0D795FF5" w14:textId="77777777" w:rsidR="001E2734" w:rsidRPr="008B6161" w:rsidRDefault="003D0232" w:rsidP="000730D0">
            <w:pPr>
              <w:pStyle w:val="Tabletextbold"/>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Cs w:val="18"/>
              </w:rPr>
            </w:pPr>
            <w:r w:rsidRPr="008B6161">
              <w:t>30</w:t>
            </w:r>
            <w:r w:rsidRPr="008B6161">
              <w:br/>
              <w:t>(</w:t>
            </w:r>
            <w:r w:rsidR="00207F58" w:rsidRPr="008B6161">
              <w:rPr>
                <w:szCs w:val="20"/>
              </w:rPr>
              <w:t>26.</w:t>
            </w:r>
            <w:r w:rsidR="00EF3DBB" w:rsidRPr="008B6161">
              <w:rPr>
                <w:szCs w:val="20"/>
              </w:rPr>
              <w:t>8</w:t>
            </w:r>
            <w:r w:rsidRPr="008B6161">
              <w:rPr>
                <w:szCs w:val="20"/>
              </w:rPr>
              <w:t>%)</w:t>
            </w:r>
          </w:p>
        </w:tc>
        <w:tc>
          <w:tcPr>
            <w:tcW w:w="546" w:type="pct"/>
          </w:tcPr>
          <w:p w14:paraId="0463028A" w14:textId="77777777" w:rsidR="001E2734" w:rsidRPr="008B6161" w:rsidRDefault="003D0232" w:rsidP="000730D0">
            <w:pPr>
              <w:pStyle w:val="Tabletextbold"/>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Cs w:val="18"/>
              </w:rPr>
            </w:pPr>
            <w:r w:rsidRPr="008B6161">
              <w:t>17</w:t>
            </w:r>
            <w:r w:rsidRPr="008B6161">
              <w:br/>
              <w:t>(</w:t>
            </w:r>
            <w:r w:rsidR="00207F58" w:rsidRPr="008B6161">
              <w:rPr>
                <w:szCs w:val="20"/>
              </w:rPr>
              <w:t>15.</w:t>
            </w:r>
            <w:r w:rsidR="00EF3DBB" w:rsidRPr="008B6161">
              <w:rPr>
                <w:szCs w:val="20"/>
              </w:rPr>
              <w:t>2</w:t>
            </w:r>
            <w:r w:rsidRPr="008B6161">
              <w:rPr>
                <w:szCs w:val="20"/>
              </w:rPr>
              <w:t>%)</w:t>
            </w:r>
          </w:p>
        </w:tc>
        <w:tc>
          <w:tcPr>
            <w:tcW w:w="545" w:type="pct"/>
          </w:tcPr>
          <w:p w14:paraId="65651503" w14:textId="77777777" w:rsidR="001E2734" w:rsidRPr="008B6161" w:rsidRDefault="001E3D7B" w:rsidP="000730D0">
            <w:pPr>
              <w:pStyle w:val="Tabletextbold"/>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Cs w:val="18"/>
              </w:rPr>
            </w:pPr>
            <w:r w:rsidRPr="008B6161">
              <w:t>1</w:t>
            </w:r>
            <w:r w:rsidR="00354D38" w:rsidRPr="008B6161">
              <w:rPr>
                <w:szCs w:val="20"/>
              </w:rPr>
              <w:t>3</w:t>
            </w:r>
            <w:r w:rsidRPr="008B6161">
              <w:rPr>
                <w:szCs w:val="20"/>
              </w:rPr>
              <w:br/>
              <w:t>(</w:t>
            </w:r>
            <w:r w:rsidR="00207F58" w:rsidRPr="008B6161">
              <w:rPr>
                <w:szCs w:val="20"/>
              </w:rPr>
              <w:t>11.</w:t>
            </w:r>
            <w:r w:rsidR="00EF3DBB" w:rsidRPr="008B6161">
              <w:rPr>
                <w:szCs w:val="20"/>
              </w:rPr>
              <w:t>6</w:t>
            </w:r>
            <w:r w:rsidR="00C15060" w:rsidRPr="008B6161">
              <w:rPr>
                <w:szCs w:val="20"/>
              </w:rPr>
              <w:t>%</w:t>
            </w:r>
            <w:r w:rsidRPr="008B6161">
              <w:rPr>
                <w:szCs w:val="20"/>
              </w:rPr>
              <w:t>)</w:t>
            </w:r>
          </w:p>
        </w:tc>
        <w:tc>
          <w:tcPr>
            <w:tcW w:w="545" w:type="pct"/>
          </w:tcPr>
          <w:p w14:paraId="71E40CB9" w14:textId="77777777" w:rsidR="001E2734" w:rsidRPr="008B6161" w:rsidRDefault="001E3D7B" w:rsidP="000730D0">
            <w:pPr>
              <w:pStyle w:val="Tabletextbold"/>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Cs w:val="18"/>
              </w:rPr>
            </w:pPr>
            <w:r w:rsidRPr="008B6161">
              <w:t>7</w:t>
            </w:r>
            <w:r w:rsidRPr="008B6161">
              <w:br/>
              <w:t>(</w:t>
            </w:r>
            <w:r w:rsidR="00C15060" w:rsidRPr="008B6161">
              <w:rPr>
                <w:szCs w:val="20"/>
              </w:rPr>
              <w:t>6.</w:t>
            </w:r>
            <w:r w:rsidR="0011591D" w:rsidRPr="008B6161">
              <w:rPr>
                <w:szCs w:val="20"/>
              </w:rPr>
              <w:t>3</w:t>
            </w:r>
            <w:r w:rsidR="00C15060" w:rsidRPr="008B6161">
              <w:rPr>
                <w:szCs w:val="20"/>
              </w:rPr>
              <w:t>%</w:t>
            </w:r>
            <w:r w:rsidRPr="008B6161">
              <w:rPr>
                <w:szCs w:val="20"/>
              </w:rPr>
              <w:t>)</w:t>
            </w:r>
          </w:p>
        </w:tc>
        <w:tc>
          <w:tcPr>
            <w:tcW w:w="545" w:type="pct"/>
          </w:tcPr>
          <w:p w14:paraId="54C8FFFB" w14:textId="77777777" w:rsidR="001E2734" w:rsidRPr="008B6161" w:rsidRDefault="001E3D7B" w:rsidP="000730D0">
            <w:pPr>
              <w:pStyle w:val="Tabletextbold"/>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Cs w:val="18"/>
              </w:rPr>
            </w:pPr>
            <w:r w:rsidRPr="008B6161">
              <w:t>20</w:t>
            </w:r>
            <w:r w:rsidRPr="008B6161">
              <w:br/>
              <w:t>(</w:t>
            </w:r>
            <w:r w:rsidR="00C15060" w:rsidRPr="008B6161">
              <w:rPr>
                <w:szCs w:val="20"/>
              </w:rPr>
              <w:t>17.</w:t>
            </w:r>
            <w:r w:rsidR="0011591D" w:rsidRPr="008B6161">
              <w:rPr>
                <w:szCs w:val="20"/>
              </w:rPr>
              <w:t>9</w:t>
            </w:r>
            <w:r w:rsidR="00C15060" w:rsidRPr="008B6161">
              <w:rPr>
                <w:szCs w:val="20"/>
              </w:rPr>
              <w:t>%</w:t>
            </w:r>
            <w:r w:rsidRPr="008B6161">
              <w:rPr>
                <w:szCs w:val="20"/>
              </w:rPr>
              <w:t>)</w:t>
            </w:r>
          </w:p>
        </w:tc>
        <w:tc>
          <w:tcPr>
            <w:tcW w:w="546" w:type="pct"/>
          </w:tcPr>
          <w:p w14:paraId="3E1113E1" w14:textId="77777777" w:rsidR="001E2734" w:rsidRPr="008B6161" w:rsidRDefault="00207F58" w:rsidP="000730D0">
            <w:pPr>
              <w:pStyle w:val="Tabletextbold"/>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HAnsi"/>
                <w:szCs w:val="18"/>
              </w:rPr>
            </w:pPr>
            <w:r w:rsidRPr="008B6161">
              <w:t>5</w:t>
            </w:r>
            <w:r w:rsidRPr="008B6161">
              <w:br/>
              <w:t>(</w:t>
            </w:r>
            <w:r w:rsidRPr="008B6161">
              <w:rPr>
                <w:szCs w:val="20"/>
              </w:rPr>
              <w:t>4.</w:t>
            </w:r>
            <w:r w:rsidR="0011591D" w:rsidRPr="008B6161">
              <w:rPr>
                <w:szCs w:val="20"/>
              </w:rPr>
              <w:t>5</w:t>
            </w:r>
            <w:r w:rsidRPr="008B6161">
              <w:rPr>
                <w:szCs w:val="20"/>
              </w:rPr>
              <w:t>%)</w:t>
            </w:r>
          </w:p>
        </w:tc>
      </w:tr>
    </w:tbl>
    <w:p w14:paraId="67647E8C" w14:textId="5D231866" w:rsidR="001E2734" w:rsidRPr="00D50E7B" w:rsidRDefault="001E2734" w:rsidP="000730D0">
      <w:pPr>
        <w:pStyle w:val="Caption-Source"/>
      </w:pPr>
      <w:r w:rsidRPr="007148C5">
        <w:t xml:space="preserve">Source: </w:t>
      </w:r>
      <w:r w:rsidR="00B26691">
        <w:t>Independent reviewer</w:t>
      </w:r>
      <w:r w:rsidR="00584D02" w:rsidRPr="00D50E7B">
        <w:t xml:space="preserve"> (</w:t>
      </w:r>
      <w:r w:rsidRPr="00D50E7B">
        <w:t>2025</w:t>
      </w:r>
      <w:r w:rsidR="00584D02" w:rsidRPr="00D50E7B">
        <w:t>)</w:t>
      </w:r>
    </w:p>
    <w:p w14:paraId="1557BD18" w14:textId="1E8D42F4" w:rsidR="00A73D14" w:rsidRPr="0043000C" w:rsidRDefault="00A73D14" w:rsidP="0043000C">
      <w:pPr>
        <w:pStyle w:val="ListNumber"/>
        <w:numPr>
          <w:ilvl w:val="0"/>
          <w:numId w:val="22"/>
        </w:numPr>
        <w:rPr>
          <w:rStyle w:val="Strong"/>
        </w:rPr>
      </w:pPr>
      <w:r w:rsidRPr="0043000C">
        <w:rPr>
          <w:rStyle w:val="Strong"/>
        </w:rPr>
        <w:t>In your experience, what is the average cost of a prosthesis? When thinking about the cost, please consider the total cost, including parts, labour and fitting of the prosthesis. [free text, not required]</w:t>
      </w:r>
    </w:p>
    <w:p w14:paraId="6EAF848F" w14:textId="77777777" w:rsidR="00D56B57" w:rsidRDefault="00D56B57" w:rsidP="007A7F51">
      <w:r>
        <w:br w:type="page"/>
      </w:r>
    </w:p>
    <w:p w14:paraId="67A0063B" w14:textId="77777777" w:rsidR="00A73D14" w:rsidRPr="0043000C" w:rsidRDefault="00A73D14" w:rsidP="0043000C">
      <w:pPr>
        <w:pStyle w:val="ListNumber"/>
        <w:numPr>
          <w:ilvl w:val="0"/>
          <w:numId w:val="22"/>
        </w:numPr>
        <w:rPr>
          <w:rStyle w:val="Strong"/>
        </w:rPr>
      </w:pPr>
      <w:r w:rsidRPr="0043000C">
        <w:rPr>
          <w:rStyle w:val="Strong"/>
        </w:rPr>
        <w:t>In your experience, are there particular prostheses that are more difficult to access than others through existing schemes? [multi answer, mandatory]</w:t>
      </w:r>
    </w:p>
    <w:p w14:paraId="011BE62C" w14:textId="77777777" w:rsidR="00A73D14" w:rsidRPr="000730D0" w:rsidRDefault="00A73D14" w:rsidP="000730D0">
      <w:pPr>
        <w:pStyle w:val="Bullet1stlevel"/>
      </w:pPr>
      <w:r w:rsidRPr="000730D0">
        <w:t xml:space="preserve">Limb prostheses </w:t>
      </w:r>
      <w:proofErr w:type="gramStart"/>
      <w:r w:rsidRPr="000730D0">
        <w:t>including:</w:t>
      </w:r>
      <w:proofErr w:type="gramEnd"/>
      <w:r w:rsidRPr="000730D0">
        <w:t xml:space="preserve"> Arm prostheses fitted at, above or below the elbow, including hand and finger prostheses and leg prostheses fitted at, above or below the knee, including foot and toe prostheses</w:t>
      </w:r>
    </w:p>
    <w:p w14:paraId="2659C635" w14:textId="77777777" w:rsidR="00A73D14" w:rsidRPr="000730D0" w:rsidRDefault="00A73D14" w:rsidP="000730D0">
      <w:pPr>
        <w:pStyle w:val="Bullet1stlevel"/>
      </w:pPr>
      <w:r w:rsidRPr="000730D0">
        <w:t xml:space="preserve">Facial prostheses </w:t>
      </w:r>
      <w:proofErr w:type="gramStart"/>
      <w:r w:rsidRPr="000730D0">
        <w:t>including:</w:t>
      </w:r>
      <w:proofErr w:type="gramEnd"/>
      <w:r w:rsidRPr="000730D0">
        <w:t xml:space="preserve"> Prosthetic ears, noses, eyeballs, </w:t>
      </w:r>
      <w:r w:rsidR="00102589" w:rsidRPr="000730D0">
        <w:t>orbital</w:t>
      </w:r>
      <w:r w:rsidRPr="000730D0">
        <w:t xml:space="preserve"> prosthetics, </w:t>
      </w:r>
      <w:r w:rsidR="00102589" w:rsidRPr="000730D0">
        <w:t>hemi</w:t>
      </w:r>
      <w:r w:rsidRPr="000730D0">
        <w:t>-facial prosthetics</w:t>
      </w:r>
      <w:r w:rsidR="00102589" w:rsidRPr="000730D0">
        <w:t>, artificial soft or hard palates</w:t>
      </w:r>
    </w:p>
    <w:p w14:paraId="5D1596C7" w14:textId="77777777" w:rsidR="00A73D14" w:rsidRPr="000730D0" w:rsidRDefault="00A73D14" w:rsidP="000730D0">
      <w:pPr>
        <w:pStyle w:val="Bullet1stlevel"/>
      </w:pPr>
      <w:r w:rsidRPr="000730D0">
        <w:t>An artificial breast worn in the bra</w:t>
      </w:r>
    </w:p>
    <w:p w14:paraId="20462620" w14:textId="77777777" w:rsidR="00A73D14" w:rsidRPr="000730D0" w:rsidRDefault="00A73D14" w:rsidP="000730D0">
      <w:pPr>
        <w:pStyle w:val="Bullet1stlevel"/>
      </w:pPr>
      <w:r w:rsidRPr="000730D0">
        <w:t>Other, please specify [free text, not required]</w:t>
      </w:r>
    </w:p>
    <w:p w14:paraId="3E3162E8" w14:textId="03C4F7D2" w:rsidR="00DC767E" w:rsidRPr="00BE0301" w:rsidRDefault="00BE0301" w:rsidP="001A178C">
      <w:pPr>
        <w:spacing w:before="0" w:after="160" w:line="259" w:lineRule="auto"/>
        <w:rPr>
          <w:rFonts w:ascii="Arial" w:hAnsi="Arial" w:cs="Arial"/>
          <w:bCs/>
          <w:szCs w:val="20"/>
        </w:rPr>
      </w:pPr>
      <w:r>
        <w:rPr>
          <w:rFonts w:ascii="Arial" w:hAnsi="Arial" w:cs="Arial"/>
          <w:bCs/>
          <w:szCs w:val="20"/>
        </w:rPr>
        <w:t xml:space="preserve">Of the facial prostheses, </w:t>
      </w:r>
      <w:r w:rsidR="00EB123E">
        <w:rPr>
          <w:rFonts w:ascii="Arial" w:hAnsi="Arial" w:cs="Arial"/>
          <w:bCs/>
          <w:szCs w:val="20"/>
        </w:rPr>
        <w:t xml:space="preserve">the most common prosthesis named as being difficult to access is </w:t>
      </w:r>
      <w:r w:rsidR="00BE1D77">
        <w:rPr>
          <w:rFonts w:ascii="Arial" w:hAnsi="Arial" w:cs="Arial"/>
          <w:bCs/>
          <w:szCs w:val="20"/>
        </w:rPr>
        <w:t>a prosthetic nose</w:t>
      </w:r>
      <w:r w:rsidR="00EB123E">
        <w:rPr>
          <w:rFonts w:ascii="Arial" w:hAnsi="Arial" w:cs="Arial"/>
          <w:bCs/>
          <w:szCs w:val="20"/>
        </w:rPr>
        <w:t xml:space="preserve">. </w:t>
      </w:r>
      <w:r w:rsidR="00736ED5">
        <w:rPr>
          <w:rFonts w:ascii="Arial" w:hAnsi="Arial" w:cs="Arial"/>
          <w:bCs/>
          <w:szCs w:val="20"/>
        </w:rPr>
        <w:t xml:space="preserve">28 out of </w:t>
      </w:r>
      <w:r w:rsidR="00AA26E6">
        <w:rPr>
          <w:rFonts w:ascii="Arial" w:hAnsi="Arial" w:cs="Arial"/>
          <w:bCs/>
          <w:szCs w:val="20"/>
        </w:rPr>
        <w:t>57</w:t>
      </w:r>
      <w:r w:rsidR="00EB123E">
        <w:rPr>
          <w:rFonts w:ascii="Arial" w:hAnsi="Arial" w:cs="Arial"/>
          <w:bCs/>
          <w:szCs w:val="20"/>
        </w:rPr>
        <w:t xml:space="preserve"> </w:t>
      </w:r>
      <w:r w:rsidR="00B30A9D">
        <w:rPr>
          <w:rFonts w:ascii="Arial" w:hAnsi="Arial" w:cs="Arial"/>
          <w:bCs/>
          <w:szCs w:val="20"/>
        </w:rPr>
        <w:t>(</w:t>
      </w:r>
      <w:r w:rsidR="00276AA0">
        <w:rPr>
          <w:rFonts w:ascii="Arial" w:hAnsi="Arial" w:cs="Arial"/>
          <w:bCs/>
          <w:szCs w:val="20"/>
        </w:rPr>
        <w:t>49.1</w:t>
      </w:r>
      <w:r w:rsidR="00B30A9D">
        <w:rPr>
          <w:rFonts w:ascii="Arial" w:hAnsi="Arial" w:cs="Arial"/>
          <w:bCs/>
          <w:szCs w:val="20"/>
        </w:rPr>
        <w:t>%)</w:t>
      </w:r>
      <w:r w:rsidR="00276AA0">
        <w:rPr>
          <w:rFonts w:ascii="Arial" w:hAnsi="Arial" w:cs="Arial"/>
          <w:bCs/>
          <w:szCs w:val="20"/>
        </w:rPr>
        <w:t xml:space="preserve"> respondents selected this option for this question.</w:t>
      </w:r>
      <w:r w:rsidR="00B30A9D">
        <w:rPr>
          <w:rFonts w:ascii="Arial" w:hAnsi="Arial" w:cs="Arial"/>
          <w:bCs/>
          <w:szCs w:val="20"/>
        </w:rPr>
        <w:t xml:space="preserve"> </w:t>
      </w:r>
      <w:r w:rsidR="00EB123E">
        <w:rPr>
          <w:rFonts w:ascii="Arial" w:hAnsi="Arial" w:cs="Arial"/>
          <w:bCs/>
          <w:szCs w:val="20"/>
        </w:rPr>
        <w:t xml:space="preserve"> </w:t>
      </w:r>
      <w:r w:rsidR="00BE7294">
        <w:rPr>
          <w:rFonts w:ascii="Arial" w:hAnsi="Arial" w:cs="Arial"/>
          <w:bCs/>
          <w:szCs w:val="20"/>
        </w:rPr>
        <w:t xml:space="preserve">Of the </w:t>
      </w:r>
      <w:r w:rsidR="00F931A0">
        <w:rPr>
          <w:rFonts w:ascii="Arial" w:hAnsi="Arial" w:cs="Arial"/>
          <w:bCs/>
          <w:szCs w:val="20"/>
        </w:rPr>
        <w:t xml:space="preserve">“other” responses, the most common prosthesis named are dental </w:t>
      </w:r>
      <w:r w:rsidR="00243A26">
        <w:rPr>
          <w:rFonts w:ascii="Arial" w:hAnsi="Arial" w:cs="Arial"/>
          <w:bCs/>
          <w:szCs w:val="20"/>
        </w:rPr>
        <w:t>prostheses</w:t>
      </w:r>
      <w:r w:rsidR="00F931A0">
        <w:rPr>
          <w:rFonts w:ascii="Arial" w:hAnsi="Arial" w:cs="Arial"/>
          <w:bCs/>
          <w:szCs w:val="20"/>
        </w:rPr>
        <w:t xml:space="preserve">, with </w:t>
      </w:r>
      <w:r w:rsidR="00185064">
        <w:rPr>
          <w:rFonts w:ascii="Arial" w:hAnsi="Arial" w:cs="Arial"/>
          <w:bCs/>
          <w:szCs w:val="20"/>
        </w:rPr>
        <w:t xml:space="preserve">eight out of </w:t>
      </w:r>
      <w:r w:rsidR="00A819B2">
        <w:rPr>
          <w:rFonts w:ascii="Arial" w:hAnsi="Arial" w:cs="Arial"/>
          <w:bCs/>
          <w:szCs w:val="20"/>
        </w:rPr>
        <w:t xml:space="preserve">17 respondents </w:t>
      </w:r>
      <w:r w:rsidR="00102589">
        <w:rPr>
          <w:rFonts w:ascii="Arial" w:hAnsi="Arial" w:cs="Arial"/>
          <w:bCs/>
          <w:szCs w:val="20"/>
        </w:rPr>
        <w:t xml:space="preserve">listing that as a response. </w:t>
      </w:r>
    </w:p>
    <w:p w14:paraId="10DB5055" w14:textId="6FDEF618" w:rsidR="000730D0" w:rsidRDefault="000730D0" w:rsidP="000730D0">
      <w:pPr>
        <w:pStyle w:val="Caption"/>
      </w:pPr>
      <w:bookmarkStart w:id="271" w:name="_Toc207348662"/>
      <w:r>
        <w:t xml:space="preserve">Table </w:t>
      </w:r>
      <w:r w:rsidR="00E6799D">
        <w:fldChar w:fldCharType="begin"/>
      </w:r>
      <w:r w:rsidR="00E6799D">
        <w:instrText xml:space="preserve"> SEQ Table \* ARABIC </w:instrText>
      </w:r>
      <w:r w:rsidR="00E6799D">
        <w:fldChar w:fldCharType="separate"/>
      </w:r>
      <w:r w:rsidR="00E6799D">
        <w:rPr>
          <w:noProof/>
        </w:rPr>
        <w:t>97</w:t>
      </w:r>
      <w:r w:rsidR="00E6799D">
        <w:rPr>
          <w:noProof/>
        </w:rPr>
        <w:fldChar w:fldCharType="end"/>
      </w:r>
      <w:r>
        <w:t xml:space="preserve">: </w:t>
      </w:r>
      <w:r w:rsidRPr="00CB1488">
        <w:t xml:space="preserve">Response to question </w:t>
      </w:r>
      <w:r>
        <w:t>7</w:t>
      </w:r>
      <w:r w:rsidRPr="00CB1488">
        <w:t xml:space="preserve"> by </w:t>
      </w:r>
      <w:r>
        <w:t>jurisdiction</w:t>
      </w:r>
      <w:bookmarkEnd w:id="271"/>
      <w:r>
        <w:t xml:space="preserve"> </w:t>
      </w:r>
    </w:p>
    <w:tbl>
      <w:tblPr>
        <w:tblStyle w:val="KPMGTable"/>
        <w:tblW w:w="5000" w:type="pct"/>
        <w:tblLook w:val="04A0" w:firstRow="1" w:lastRow="0" w:firstColumn="1" w:lastColumn="0" w:noHBand="0" w:noVBand="1"/>
      </w:tblPr>
      <w:tblGrid>
        <w:gridCol w:w="2040"/>
        <w:gridCol w:w="2041"/>
        <w:gridCol w:w="2041"/>
        <w:gridCol w:w="2041"/>
        <w:gridCol w:w="2041"/>
      </w:tblGrid>
      <w:tr w:rsidR="00AD6F37" w:rsidRPr="00386CBC" w14:paraId="37E46771" w14:textId="77777777" w:rsidTr="00C76D17">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1000" w:type="pct"/>
          </w:tcPr>
          <w:p w14:paraId="72E6A678" w14:textId="77777777" w:rsidR="001A178C" w:rsidRPr="007B154A" w:rsidRDefault="001A178C" w:rsidP="000730D0">
            <w:pPr>
              <w:pStyle w:val="TableHeading"/>
              <w:rPr>
                <w:b w:val="0"/>
                <w:color w:val="FFFFFF" w:themeColor="background1"/>
                <w:szCs w:val="20"/>
              </w:rPr>
            </w:pPr>
            <w:r>
              <w:t>Response</w:t>
            </w:r>
          </w:p>
        </w:tc>
        <w:tc>
          <w:tcPr>
            <w:tcW w:w="1000" w:type="pct"/>
          </w:tcPr>
          <w:p w14:paraId="158D381E" w14:textId="77777777" w:rsidR="001A178C" w:rsidRDefault="00A70F5D"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Limb prostheses</w:t>
            </w:r>
          </w:p>
        </w:tc>
        <w:tc>
          <w:tcPr>
            <w:tcW w:w="1000" w:type="pct"/>
          </w:tcPr>
          <w:p w14:paraId="65AE8760" w14:textId="77777777" w:rsidR="001A178C" w:rsidRDefault="00A70F5D"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Facial prostheses</w:t>
            </w:r>
          </w:p>
        </w:tc>
        <w:tc>
          <w:tcPr>
            <w:tcW w:w="1000" w:type="pct"/>
          </w:tcPr>
          <w:p w14:paraId="738C5BB8" w14:textId="77777777" w:rsidR="001A178C" w:rsidRDefault="00FE4BF1"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Artificial breast worn in the bra</w:t>
            </w:r>
          </w:p>
        </w:tc>
        <w:tc>
          <w:tcPr>
            <w:tcW w:w="1000" w:type="pct"/>
          </w:tcPr>
          <w:p w14:paraId="6AA7869F" w14:textId="77777777" w:rsidR="001A178C" w:rsidRDefault="00A70F5D"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Other</w:t>
            </w:r>
          </w:p>
        </w:tc>
      </w:tr>
      <w:tr w:rsidR="002E5B6F" w:rsidRPr="006D20D0" w14:paraId="715DB2B0"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5061202F" w14:textId="77777777" w:rsidR="001A178C" w:rsidRPr="00057C3B" w:rsidRDefault="001A178C" w:rsidP="000730D0">
            <w:pPr>
              <w:pStyle w:val="TableText"/>
              <w:rPr>
                <w:b w:val="0"/>
                <w:bCs/>
              </w:rPr>
            </w:pPr>
            <w:r w:rsidRPr="00057C3B">
              <w:rPr>
                <w:b w:val="0"/>
                <w:bCs/>
              </w:rPr>
              <w:t>New South Wales</w:t>
            </w:r>
          </w:p>
        </w:tc>
        <w:tc>
          <w:tcPr>
            <w:tcW w:w="1000" w:type="pct"/>
          </w:tcPr>
          <w:p w14:paraId="391C8583" w14:textId="77777777" w:rsidR="001A178C" w:rsidRDefault="002503A1" w:rsidP="000730D0">
            <w:pPr>
              <w:pStyle w:val="TableText"/>
              <w:cnfStyle w:val="000000000000" w:firstRow="0" w:lastRow="0" w:firstColumn="0" w:lastColumn="0" w:oddVBand="0" w:evenVBand="0" w:oddHBand="0" w:evenHBand="0" w:firstRowFirstColumn="0" w:firstRowLastColumn="0" w:lastRowFirstColumn="0" w:lastRowLastColumn="0"/>
            </w:pPr>
            <w:r>
              <w:t>0</w:t>
            </w:r>
            <w:r w:rsidR="0011591D" w:rsidRPr="001E2734">
              <w:t xml:space="preserve"> </w:t>
            </w:r>
            <w:r>
              <w:br/>
              <w:t>(</w:t>
            </w:r>
            <w:r w:rsidRPr="00941246">
              <w:t>0.</w:t>
            </w:r>
            <w:r w:rsidR="0011591D" w:rsidRPr="001E2734">
              <w:t>0</w:t>
            </w:r>
            <w:r w:rsidRPr="00941246">
              <w:t>%</w:t>
            </w:r>
            <w:r>
              <w:t>)</w:t>
            </w:r>
          </w:p>
        </w:tc>
        <w:tc>
          <w:tcPr>
            <w:tcW w:w="1000" w:type="pct"/>
          </w:tcPr>
          <w:p w14:paraId="163AD5A6" w14:textId="77777777" w:rsidR="001A178C" w:rsidRDefault="009934B2" w:rsidP="000730D0">
            <w:pPr>
              <w:pStyle w:val="TableText"/>
              <w:cnfStyle w:val="000000000000" w:firstRow="0" w:lastRow="0" w:firstColumn="0" w:lastColumn="0" w:oddVBand="0" w:evenVBand="0" w:oddHBand="0" w:evenHBand="0" w:firstRowFirstColumn="0" w:firstRowLastColumn="0" w:lastRowFirstColumn="0" w:lastRowLastColumn="0"/>
            </w:pPr>
            <w:r>
              <w:t>43</w:t>
            </w:r>
            <w:r w:rsidR="00EE0031">
              <w:br/>
              <w:t>(</w:t>
            </w:r>
            <w:r w:rsidR="00F927BC">
              <w:t>93.5</w:t>
            </w:r>
            <w:r w:rsidR="00941246" w:rsidRPr="00941246">
              <w:t>%</w:t>
            </w:r>
            <w:r w:rsidR="00EE0031">
              <w:t>)</w:t>
            </w:r>
          </w:p>
        </w:tc>
        <w:tc>
          <w:tcPr>
            <w:tcW w:w="1000" w:type="pct"/>
          </w:tcPr>
          <w:p w14:paraId="6A22F9B9" w14:textId="77777777" w:rsidR="001A178C" w:rsidRDefault="00373285" w:rsidP="000730D0">
            <w:pPr>
              <w:pStyle w:val="TableText"/>
              <w:cnfStyle w:val="000000000000" w:firstRow="0" w:lastRow="0" w:firstColumn="0" w:lastColumn="0" w:oddVBand="0" w:evenVBand="0" w:oddHBand="0" w:evenHBand="0" w:firstRowFirstColumn="0" w:firstRowLastColumn="0" w:lastRowFirstColumn="0" w:lastRowLastColumn="0"/>
            </w:pPr>
            <w:r>
              <w:t>0</w:t>
            </w:r>
            <w:r w:rsidR="0011591D" w:rsidRPr="001E2734">
              <w:t xml:space="preserve"> </w:t>
            </w:r>
            <w:r w:rsidR="00EE0031">
              <w:br/>
              <w:t>(</w:t>
            </w:r>
            <w:r w:rsidR="00460B7E">
              <w:t>0</w:t>
            </w:r>
            <w:r w:rsidR="00941246" w:rsidRPr="00941246">
              <w:t>.</w:t>
            </w:r>
            <w:r w:rsidR="0011591D" w:rsidRPr="001E2734">
              <w:t>0</w:t>
            </w:r>
            <w:r w:rsidR="00941246" w:rsidRPr="00941246">
              <w:t>%</w:t>
            </w:r>
            <w:r w:rsidR="00EE0031">
              <w:t>)</w:t>
            </w:r>
          </w:p>
        </w:tc>
        <w:tc>
          <w:tcPr>
            <w:tcW w:w="1000" w:type="pct"/>
          </w:tcPr>
          <w:p w14:paraId="5AD325CB" w14:textId="77777777" w:rsidR="001A178C" w:rsidRDefault="00EE0031" w:rsidP="000730D0">
            <w:pPr>
              <w:pStyle w:val="TableText"/>
              <w:cnfStyle w:val="000000000000" w:firstRow="0" w:lastRow="0" w:firstColumn="0" w:lastColumn="0" w:oddVBand="0" w:evenVBand="0" w:oddHBand="0" w:evenHBand="0" w:firstRowFirstColumn="0" w:firstRowLastColumn="0" w:lastRowFirstColumn="0" w:lastRowLastColumn="0"/>
            </w:pPr>
            <w:r>
              <w:t>3</w:t>
            </w:r>
            <w:r>
              <w:br/>
              <w:t>(</w:t>
            </w:r>
            <w:r w:rsidR="00941246" w:rsidRPr="00941246">
              <w:t>6.</w:t>
            </w:r>
            <w:r w:rsidR="0011591D">
              <w:t>5</w:t>
            </w:r>
            <w:r w:rsidR="00941246" w:rsidRPr="00941246">
              <w:t>%</w:t>
            </w:r>
            <w:r>
              <w:t>)</w:t>
            </w:r>
          </w:p>
        </w:tc>
      </w:tr>
      <w:tr w:rsidR="002E5B6F" w:rsidRPr="009C1931" w14:paraId="534C6399"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329CF0E4" w14:textId="77777777" w:rsidR="001A178C" w:rsidRPr="00057C3B" w:rsidRDefault="001A178C" w:rsidP="000730D0">
            <w:pPr>
              <w:pStyle w:val="TableText"/>
              <w:rPr>
                <w:b w:val="0"/>
                <w:bCs/>
                <w:szCs w:val="18"/>
              </w:rPr>
            </w:pPr>
            <w:r w:rsidRPr="00057C3B">
              <w:rPr>
                <w:b w:val="0"/>
                <w:bCs/>
                <w:szCs w:val="18"/>
              </w:rPr>
              <w:t>Victoria</w:t>
            </w:r>
          </w:p>
        </w:tc>
        <w:tc>
          <w:tcPr>
            <w:tcW w:w="1000" w:type="pct"/>
          </w:tcPr>
          <w:p w14:paraId="49D2247B" w14:textId="77777777" w:rsidR="001A178C" w:rsidRPr="009615A4" w:rsidRDefault="002503A1" w:rsidP="000730D0">
            <w:pPr>
              <w:pStyle w:val="TableText"/>
              <w:cnfStyle w:val="000000000000" w:firstRow="0" w:lastRow="0" w:firstColumn="0" w:lastColumn="0" w:oddVBand="0" w:evenVBand="0" w:oddHBand="0" w:evenHBand="0" w:firstRowFirstColumn="0" w:firstRowLastColumn="0" w:lastRowFirstColumn="0" w:lastRowLastColumn="0"/>
            </w:pPr>
            <w:r>
              <w:t>0</w:t>
            </w:r>
            <w:r w:rsidR="0011591D" w:rsidRPr="001E2734">
              <w:t xml:space="preserve"> </w:t>
            </w:r>
            <w:r>
              <w:br/>
              <w:t>(</w:t>
            </w:r>
            <w:r w:rsidRPr="00941246">
              <w:t>0.</w:t>
            </w:r>
            <w:r w:rsidR="0011591D" w:rsidRPr="001E2734">
              <w:t>0</w:t>
            </w:r>
            <w:r w:rsidRPr="00941246">
              <w:t>%</w:t>
            </w:r>
            <w:r>
              <w:t>)</w:t>
            </w:r>
          </w:p>
        </w:tc>
        <w:tc>
          <w:tcPr>
            <w:tcW w:w="1000" w:type="pct"/>
          </w:tcPr>
          <w:p w14:paraId="1DCE71BB" w14:textId="77777777" w:rsidR="001A178C" w:rsidRPr="009615A4" w:rsidRDefault="009934B2" w:rsidP="000730D0">
            <w:pPr>
              <w:pStyle w:val="TableText"/>
              <w:cnfStyle w:val="000000000000" w:firstRow="0" w:lastRow="0" w:firstColumn="0" w:lastColumn="0" w:oddVBand="0" w:evenVBand="0" w:oddHBand="0" w:evenHBand="0" w:firstRowFirstColumn="0" w:firstRowLastColumn="0" w:lastRowFirstColumn="0" w:lastRowLastColumn="0"/>
            </w:pPr>
            <w:r>
              <w:t>42</w:t>
            </w:r>
            <w:r w:rsidR="00EE0031">
              <w:br/>
              <w:t>(</w:t>
            </w:r>
            <w:r w:rsidR="00290E08">
              <w:t>80.8</w:t>
            </w:r>
            <w:r w:rsidR="00941246" w:rsidRPr="00941246">
              <w:t>%</w:t>
            </w:r>
            <w:r w:rsidR="00EE0031">
              <w:t>)</w:t>
            </w:r>
          </w:p>
        </w:tc>
        <w:tc>
          <w:tcPr>
            <w:tcW w:w="1000" w:type="pct"/>
          </w:tcPr>
          <w:p w14:paraId="13EDCDC1" w14:textId="77777777" w:rsidR="001A178C" w:rsidRPr="009615A4" w:rsidRDefault="00EE0031" w:rsidP="000730D0">
            <w:pPr>
              <w:pStyle w:val="TableText"/>
              <w:cnfStyle w:val="000000000000" w:firstRow="0" w:lastRow="0" w:firstColumn="0" w:lastColumn="0" w:oddVBand="0" w:evenVBand="0" w:oddHBand="0" w:evenHBand="0" w:firstRowFirstColumn="0" w:firstRowLastColumn="0" w:lastRowFirstColumn="0" w:lastRowLastColumn="0"/>
            </w:pPr>
            <w:r>
              <w:t>0</w:t>
            </w:r>
            <w:r w:rsidR="0011591D" w:rsidRPr="001E2734">
              <w:t xml:space="preserve"> </w:t>
            </w:r>
            <w:r>
              <w:br/>
              <w:t>(</w:t>
            </w:r>
            <w:r w:rsidR="00941246" w:rsidRPr="00941246">
              <w:t>0.</w:t>
            </w:r>
            <w:r w:rsidR="0011591D" w:rsidRPr="001E2734">
              <w:t>0</w:t>
            </w:r>
            <w:r w:rsidR="00941246" w:rsidRPr="00941246">
              <w:t>%</w:t>
            </w:r>
            <w:r>
              <w:t>)</w:t>
            </w:r>
          </w:p>
        </w:tc>
        <w:tc>
          <w:tcPr>
            <w:tcW w:w="1000" w:type="pct"/>
          </w:tcPr>
          <w:p w14:paraId="24FB2F25" w14:textId="77777777" w:rsidR="001A178C" w:rsidRPr="009615A4" w:rsidRDefault="00EE0031" w:rsidP="000730D0">
            <w:pPr>
              <w:pStyle w:val="TableText"/>
              <w:cnfStyle w:val="000000000000" w:firstRow="0" w:lastRow="0" w:firstColumn="0" w:lastColumn="0" w:oddVBand="0" w:evenVBand="0" w:oddHBand="0" w:evenHBand="0" w:firstRowFirstColumn="0" w:firstRowLastColumn="0" w:lastRowFirstColumn="0" w:lastRowLastColumn="0"/>
            </w:pPr>
            <w:r>
              <w:t>10</w:t>
            </w:r>
            <w:r>
              <w:br/>
              <w:t>(</w:t>
            </w:r>
            <w:r w:rsidR="00941246" w:rsidRPr="00941246">
              <w:t>19.</w:t>
            </w:r>
            <w:r w:rsidR="0011591D" w:rsidRPr="00941246">
              <w:t>2</w:t>
            </w:r>
            <w:r w:rsidR="00941246" w:rsidRPr="00941246">
              <w:t>%</w:t>
            </w:r>
            <w:r>
              <w:t>)</w:t>
            </w:r>
          </w:p>
        </w:tc>
      </w:tr>
      <w:tr w:rsidR="002E5B6F" w:rsidRPr="009C1931" w14:paraId="1B0E1CA6"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3495D786" w14:textId="77777777" w:rsidR="001A178C" w:rsidRPr="00057C3B" w:rsidRDefault="001A178C" w:rsidP="000730D0">
            <w:pPr>
              <w:pStyle w:val="TableText"/>
              <w:rPr>
                <w:b w:val="0"/>
                <w:bCs/>
              </w:rPr>
            </w:pPr>
            <w:r w:rsidRPr="00057C3B">
              <w:rPr>
                <w:b w:val="0"/>
                <w:bCs/>
                <w:szCs w:val="18"/>
              </w:rPr>
              <w:t>Queensland</w:t>
            </w:r>
          </w:p>
        </w:tc>
        <w:tc>
          <w:tcPr>
            <w:tcW w:w="1000" w:type="pct"/>
          </w:tcPr>
          <w:p w14:paraId="7379FB94" w14:textId="77777777" w:rsidR="001A178C" w:rsidRPr="005954C3" w:rsidRDefault="002503A1" w:rsidP="000730D0">
            <w:pPr>
              <w:pStyle w:val="TableText"/>
              <w:cnfStyle w:val="000000000000" w:firstRow="0" w:lastRow="0" w:firstColumn="0" w:lastColumn="0" w:oddVBand="0" w:evenVBand="0" w:oddHBand="0" w:evenHBand="0" w:firstRowFirstColumn="0" w:firstRowLastColumn="0" w:lastRowFirstColumn="0" w:lastRowLastColumn="0"/>
            </w:pPr>
            <w:r>
              <w:t>0</w:t>
            </w:r>
            <w:r w:rsidR="0011591D" w:rsidRPr="001E2734">
              <w:t xml:space="preserve"> </w:t>
            </w:r>
            <w:r>
              <w:br/>
              <w:t>(</w:t>
            </w:r>
            <w:r w:rsidRPr="00941246">
              <w:t>0.</w:t>
            </w:r>
            <w:r w:rsidR="0011591D" w:rsidRPr="001E2734">
              <w:t>0</w:t>
            </w:r>
            <w:r w:rsidRPr="00941246">
              <w:t>%</w:t>
            </w:r>
            <w:r>
              <w:t>)</w:t>
            </w:r>
          </w:p>
        </w:tc>
        <w:tc>
          <w:tcPr>
            <w:tcW w:w="1000" w:type="pct"/>
          </w:tcPr>
          <w:p w14:paraId="29B55D0B" w14:textId="77777777" w:rsidR="001A178C" w:rsidRPr="005954C3" w:rsidRDefault="009934B2" w:rsidP="000730D0">
            <w:pPr>
              <w:pStyle w:val="TableText"/>
              <w:cnfStyle w:val="000000000000" w:firstRow="0" w:lastRow="0" w:firstColumn="0" w:lastColumn="0" w:oddVBand="0" w:evenVBand="0" w:oddHBand="0" w:evenHBand="0" w:firstRowFirstColumn="0" w:firstRowLastColumn="0" w:lastRowFirstColumn="0" w:lastRowLastColumn="0"/>
            </w:pPr>
            <w:r>
              <w:t>13</w:t>
            </w:r>
            <w:r w:rsidR="00EE0031">
              <w:br/>
              <w:t>(</w:t>
            </w:r>
            <w:r w:rsidR="000B5601">
              <w:t>81.3</w:t>
            </w:r>
            <w:r w:rsidR="00941246" w:rsidRPr="00941246">
              <w:t>%</w:t>
            </w:r>
            <w:r w:rsidR="00EE0031">
              <w:t>)</w:t>
            </w:r>
          </w:p>
        </w:tc>
        <w:tc>
          <w:tcPr>
            <w:tcW w:w="1000" w:type="pct"/>
          </w:tcPr>
          <w:p w14:paraId="2DBF47A3" w14:textId="77777777" w:rsidR="001A178C" w:rsidRPr="005954C3" w:rsidRDefault="002503A1" w:rsidP="000730D0">
            <w:pPr>
              <w:pStyle w:val="TableText"/>
              <w:cnfStyle w:val="000000000000" w:firstRow="0" w:lastRow="0" w:firstColumn="0" w:lastColumn="0" w:oddVBand="0" w:evenVBand="0" w:oddHBand="0" w:evenHBand="0" w:firstRowFirstColumn="0" w:firstRowLastColumn="0" w:lastRowFirstColumn="0" w:lastRowLastColumn="0"/>
            </w:pPr>
            <w:r>
              <w:t>0</w:t>
            </w:r>
            <w:r w:rsidR="0011591D" w:rsidRPr="001E2734">
              <w:t xml:space="preserve"> </w:t>
            </w:r>
            <w:r>
              <w:br/>
              <w:t>(</w:t>
            </w:r>
            <w:r w:rsidR="00941246" w:rsidRPr="00941246">
              <w:t>0.</w:t>
            </w:r>
            <w:r w:rsidR="0011591D" w:rsidRPr="001E2734">
              <w:t>0</w:t>
            </w:r>
            <w:r w:rsidRPr="00941246">
              <w:t>%</w:t>
            </w:r>
            <w:r>
              <w:t>)</w:t>
            </w:r>
          </w:p>
        </w:tc>
        <w:tc>
          <w:tcPr>
            <w:tcW w:w="1000" w:type="pct"/>
          </w:tcPr>
          <w:p w14:paraId="1E2C0D7C" w14:textId="77777777" w:rsidR="001A178C" w:rsidRPr="005954C3" w:rsidRDefault="0099481A" w:rsidP="000730D0">
            <w:pPr>
              <w:pStyle w:val="TableText"/>
              <w:cnfStyle w:val="000000000000" w:firstRow="0" w:lastRow="0" w:firstColumn="0" w:lastColumn="0" w:oddVBand="0" w:evenVBand="0" w:oddHBand="0" w:evenHBand="0" w:firstRowFirstColumn="0" w:firstRowLastColumn="0" w:lastRowFirstColumn="0" w:lastRowLastColumn="0"/>
            </w:pPr>
            <w:r>
              <w:t>3</w:t>
            </w:r>
            <w:r>
              <w:br/>
              <w:t>(</w:t>
            </w:r>
            <w:r w:rsidR="00941246" w:rsidRPr="00941246">
              <w:t>18.</w:t>
            </w:r>
            <w:r w:rsidR="0011591D">
              <w:t>8</w:t>
            </w:r>
            <w:r w:rsidR="002503A1" w:rsidRPr="00941246">
              <w:t>%</w:t>
            </w:r>
            <w:r>
              <w:t>)</w:t>
            </w:r>
          </w:p>
        </w:tc>
      </w:tr>
      <w:tr w:rsidR="002E5B6F" w:rsidRPr="009C1931" w14:paraId="4F63DD3F"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076DD48A" w14:textId="77777777" w:rsidR="001A178C" w:rsidRPr="00057C3B" w:rsidRDefault="001A178C" w:rsidP="000730D0">
            <w:pPr>
              <w:pStyle w:val="TableText"/>
              <w:rPr>
                <w:b w:val="0"/>
                <w:bCs/>
              </w:rPr>
            </w:pPr>
            <w:r w:rsidRPr="00057C3B">
              <w:rPr>
                <w:b w:val="0"/>
                <w:bCs/>
              </w:rPr>
              <w:t>South Australia</w:t>
            </w:r>
          </w:p>
        </w:tc>
        <w:tc>
          <w:tcPr>
            <w:tcW w:w="1000" w:type="pct"/>
          </w:tcPr>
          <w:p w14:paraId="1B7F6982" w14:textId="77777777" w:rsidR="001A178C" w:rsidRPr="005954C3" w:rsidRDefault="002503A1" w:rsidP="000730D0">
            <w:pPr>
              <w:pStyle w:val="TableText"/>
              <w:cnfStyle w:val="000000000000" w:firstRow="0" w:lastRow="0" w:firstColumn="0" w:lastColumn="0" w:oddVBand="0" w:evenVBand="0" w:oddHBand="0" w:evenHBand="0" w:firstRowFirstColumn="0" w:firstRowLastColumn="0" w:lastRowFirstColumn="0" w:lastRowLastColumn="0"/>
            </w:pPr>
            <w:r>
              <w:t>0</w:t>
            </w:r>
            <w:r w:rsidR="0011591D" w:rsidRPr="001E2734">
              <w:t xml:space="preserve"> </w:t>
            </w:r>
            <w:r>
              <w:br/>
              <w:t>(</w:t>
            </w:r>
            <w:r w:rsidRPr="00941246">
              <w:t>0.</w:t>
            </w:r>
            <w:r w:rsidR="0011591D" w:rsidRPr="001E2734">
              <w:t>0</w:t>
            </w:r>
            <w:r w:rsidRPr="00941246">
              <w:t>%</w:t>
            </w:r>
            <w:r>
              <w:t>)</w:t>
            </w:r>
          </w:p>
        </w:tc>
        <w:tc>
          <w:tcPr>
            <w:tcW w:w="1000" w:type="pct"/>
          </w:tcPr>
          <w:p w14:paraId="01FF5C9F" w14:textId="77777777" w:rsidR="001A178C" w:rsidRPr="005954C3" w:rsidRDefault="009934B2" w:rsidP="000730D0">
            <w:pPr>
              <w:pStyle w:val="TableText"/>
              <w:cnfStyle w:val="000000000000" w:firstRow="0" w:lastRow="0" w:firstColumn="0" w:lastColumn="0" w:oddVBand="0" w:evenVBand="0" w:oddHBand="0" w:evenHBand="0" w:firstRowFirstColumn="0" w:firstRowLastColumn="0" w:lastRowFirstColumn="0" w:lastRowLastColumn="0"/>
            </w:pPr>
            <w:r>
              <w:t>19</w:t>
            </w:r>
            <w:r w:rsidR="0099481A">
              <w:br/>
              <w:t>(</w:t>
            </w:r>
            <w:r w:rsidRPr="00941246">
              <w:t>9</w:t>
            </w:r>
            <w:r w:rsidR="00AD31B7">
              <w:t>5</w:t>
            </w:r>
            <w:r w:rsidR="00941246" w:rsidRPr="00941246">
              <w:t>.</w:t>
            </w:r>
            <w:r w:rsidR="0011591D" w:rsidRPr="00941246">
              <w:t>0</w:t>
            </w:r>
            <w:r w:rsidR="002503A1" w:rsidRPr="00941246">
              <w:t>%</w:t>
            </w:r>
            <w:r w:rsidR="0099481A">
              <w:t>)</w:t>
            </w:r>
          </w:p>
        </w:tc>
        <w:tc>
          <w:tcPr>
            <w:tcW w:w="1000" w:type="pct"/>
          </w:tcPr>
          <w:p w14:paraId="3C9102AC" w14:textId="77777777" w:rsidR="001A178C" w:rsidRPr="005954C3" w:rsidRDefault="002503A1" w:rsidP="000730D0">
            <w:pPr>
              <w:pStyle w:val="TableText"/>
              <w:cnfStyle w:val="000000000000" w:firstRow="0" w:lastRow="0" w:firstColumn="0" w:lastColumn="0" w:oddVBand="0" w:evenVBand="0" w:oddHBand="0" w:evenHBand="0" w:firstRowFirstColumn="0" w:firstRowLastColumn="0" w:lastRowFirstColumn="0" w:lastRowLastColumn="0"/>
            </w:pPr>
            <w:r>
              <w:t>0</w:t>
            </w:r>
            <w:r w:rsidR="0011591D" w:rsidRPr="001E2734">
              <w:t xml:space="preserve"> </w:t>
            </w:r>
            <w:r>
              <w:br/>
              <w:t>(</w:t>
            </w:r>
            <w:r w:rsidR="00941246" w:rsidRPr="00941246">
              <w:t>0.</w:t>
            </w:r>
            <w:r w:rsidR="0011591D" w:rsidRPr="001E2734">
              <w:t>0</w:t>
            </w:r>
            <w:r w:rsidRPr="00941246">
              <w:t>%</w:t>
            </w:r>
            <w:r>
              <w:t>)</w:t>
            </w:r>
          </w:p>
        </w:tc>
        <w:tc>
          <w:tcPr>
            <w:tcW w:w="1000" w:type="pct"/>
          </w:tcPr>
          <w:p w14:paraId="22206232" w14:textId="77777777" w:rsidR="001A178C" w:rsidRPr="005954C3" w:rsidRDefault="0099481A" w:rsidP="000730D0">
            <w:pPr>
              <w:pStyle w:val="TableText"/>
              <w:cnfStyle w:val="000000000000" w:firstRow="0" w:lastRow="0" w:firstColumn="0" w:lastColumn="0" w:oddVBand="0" w:evenVBand="0" w:oddHBand="0" w:evenHBand="0" w:firstRowFirstColumn="0" w:firstRowLastColumn="0" w:lastRowFirstColumn="0" w:lastRowLastColumn="0"/>
            </w:pPr>
            <w:r>
              <w:t>1</w:t>
            </w:r>
            <w:r>
              <w:br/>
              <w:t>(</w:t>
            </w:r>
            <w:r w:rsidR="00941246" w:rsidRPr="00941246">
              <w:t>5.</w:t>
            </w:r>
            <w:r w:rsidR="0011591D" w:rsidRPr="00941246">
              <w:t>0</w:t>
            </w:r>
            <w:r w:rsidR="002503A1" w:rsidRPr="00941246">
              <w:t>%</w:t>
            </w:r>
            <w:r>
              <w:t>)</w:t>
            </w:r>
          </w:p>
        </w:tc>
      </w:tr>
      <w:tr w:rsidR="002E5B6F" w:rsidRPr="009C1931" w14:paraId="7A478F8E"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452BA5DC" w14:textId="77777777" w:rsidR="001A178C" w:rsidRPr="00057C3B" w:rsidRDefault="001A178C" w:rsidP="000730D0">
            <w:pPr>
              <w:pStyle w:val="TableText"/>
              <w:rPr>
                <w:b w:val="0"/>
                <w:bCs/>
              </w:rPr>
            </w:pPr>
            <w:r w:rsidRPr="00057C3B">
              <w:rPr>
                <w:b w:val="0"/>
                <w:bCs/>
              </w:rPr>
              <w:t>Western Australia</w:t>
            </w:r>
          </w:p>
        </w:tc>
        <w:tc>
          <w:tcPr>
            <w:tcW w:w="1000" w:type="pct"/>
          </w:tcPr>
          <w:p w14:paraId="3686B8F2" w14:textId="77777777" w:rsidR="001A178C" w:rsidRPr="005954C3" w:rsidRDefault="002503A1" w:rsidP="000730D0">
            <w:pPr>
              <w:pStyle w:val="TableText"/>
              <w:cnfStyle w:val="000000000000" w:firstRow="0" w:lastRow="0" w:firstColumn="0" w:lastColumn="0" w:oddVBand="0" w:evenVBand="0" w:oddHBand="0" w:evenHBand="0" w:firstRowFirstColumn="0" w:firstRowLastColumn="0" w:lastRowFirstColumn="0" w:lastRowLastColumn="0"/>
            </w:pPr>
            <w:r>
              <w:t>0</w:t>
            </w:r>
            <w:r w:rsidR="0011591D" w:rsidRPr="001E2734">
              <w:t xml:space="preserve"> </w:t>
            </w:r>
            <w:r>
              <w:br/>
              <w:t>(</w:t>
            </w:r>
            <w:r w:rsidRPr="00941246">
              <w:t>0.</w:t>
            </w:r>
            <w:r w:rsidR="0011591D" w:rsidRPr="001E2734">
              <w:t>0</w:t>
            </w:r>
            <w:r w:rsidRPr="00941246">
              <w:t>%</w:t>
            </w:r>
            <w:r>
              <w:t>)</w:t>
            </w:r>
          </w:p>
        </w:tc>
        <w:tc>
          <w:tcPr>
            <w:tcW w:w="1000" w:type="pct"/>
          </w:tcPr>
          <w:p w14:paraId="6971F573" w14:textId="77777777" w:rsidR="001A178C" w:rsidRPr="005954C3" w:rsidRDefault="009934B2" w:rsidP="000730D0">
            <w:pPr>
              <w:pStyle w:val="TableText"/>
              <w:cnfStyle w:val="000000000000" w:firstRow="0" w:lastRow="0" w:firstColumn="0" w:lastColumn="0" w:oddVBand="0" w:evenVBand="0" w:oddHBand="0" w:evenHBand="0" w:firstRowFirstColumn="0" w:firstRowLastColumn="0" w:lastRowFirstColumn="0" w:lastRowLastColumn="0"/>
            </w:pPr>
            <w:r>
              <w:t>6</w:t>
            </w:r>
            <w:r w:rsidR="00766024">
              <w:br/>
              <w:t>(</w:t>
            </w:r>
            <w:r w:rsidR="00AD31B7">
              <w:t>100.0</w:t>
            </w:r>
            <w:r w:rsidR="002503A1" w:rsidRPr="00941246">
              <w:t>%</w:t>
            </w:r>
            <w:r w:rsidR="00766024">
              <w:t>)</w:t>
            </w:r>
          </w:p>
        </w:tc>
        <w:tc>
          <w:tcPr>
            <w:tcW w:w="1000" w:type="pct"/>
          </w:tcPr>
          <w:p w14:paraId="53E23F4D" w14:textId="77777777" w:rsidR="001A178C" w:rsidRPr="005954C3" w:rsidRDefault="002503A1" w:rsidP="000730D0">
            <w:pPr>
              <w:pStyle w:val="TableText"/>
              <w:cnfStyle w:val="000000000000" w:firstRow="0" w:lastRow="0" w:firstColumn="0" w:lastColumn="0" w:oddVBand="0" w:evenVBand="0" w:oddHBand="0" w:evenHBand="0" w:firstRowFirstColumn="0" w:firstRowLastColumn="0" w:lastRowFirstColumn="0" w:lastRowLastColumn="0"/>
            </w:pPr>
            <w:r>
              <w:t>0</w:t>
            </w:r>
            <w:r w:rsidR="0011591D" w:rsidRPr="001E2734">
              <w:t xml:space="preserve"> </w:t>
            </w:r>
            <w:r>
              <w:br/>
              <w:t>(</w:t>
            </w:r>
            <w:r w:rsidR="00941246" w:rsidRPr="00941246">
              <w:t>0.</w:t>
            </w:r>
            <w:r w:rsidR="0011591D" w:rsidRPr="001E2734">
              <w:t>0</w:t>
            </w:r>
            <w:r w:rsidRPr="00941246">
              <w:t>%</w:t>
            </w:r>
            <w:r>
              <w:t>)</w:t>
            </w:r>
          </w:p>
        </w:tc>
        <w:tc>
          <w:tcPr>
            <w:tcW w:w="1000" w:type="pct"/>
          </w:tcPr>
          <w:p w14:paraId="29A356D9" w14:textId="77777777" w:rsidR="001A178C" w:rsidRPr="005954C3" w:rsidRDefault="002503A1" w:rsidP="000730D0">
            <w:pPr>
              <w:pStyle w:val="TableText"/>
              <w:cnfStyle w:val="000000000000" w:firstRow="0" w:lastRow="0" w:firstColumn="0" w:lastColumn="0" w:oddVBand="0" w:evenVBand="0" w:oddHBand="0" w:evenHBand="0" w:firstRowFirstColumn="0" w:firstRowLastColumn="0" w:lastRowFirstColumn="0" w:lastRowLastColumn="0"/>
            </w:pPr>
            <w:r>
              <w:t>0</w:t>
            </w:r>
            <w:r>
              <w:br/>
              <w:t>(</w:t>
            </w:r>
            <w:r w:rsidR="00941246" w:rsidRPr="00941246">
              <w:t>0.</w:t>
            </w:r>
            <w:r w:rsidR="0011591D" w:rsidRPr="00941246">
              <w:t>0</w:t>
            </w:r>
            <w:r w:rsidRPr="00941246">
              <w:t>%</w:t>
            </w:r>
            <w:r>
              <w:t>)</w:t>
            </w:r>
          </w:p>
        </w:tc>
      </w:tr>
      <w:tr w:rsidR="002E5B6F" w:rsidRPr="009C1931" w14:paraId="24EA9162"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265B3ACA" w14:textId="77777777" w:rsidR="001A178C" w:rsidRPr="00057C3B" w:rsidRDefault="001A178C" w:rsidP="000730D0">
            <w:pPr>
              <w:pStyle w:val="TableText"/>
              <w:rPr>
                <w:b w:val="0"/>
                <w:bCs/>
              </w:rPr>
            </w:pPr>
            <w:r w:rsidRPr="00057C3B">
              <w:rPr>
                <w:b w:val="0"/>
                <w:bCs/>
              </w:rPr>
              <w:t>Northern Territory</w:t>
            </w:r>
          </w:p>
        </w:tc>
        <w:tc>
          <w:tcPr>
            <w:tcW w:w="1000" w:type="pct"/>
          </w:tcPr>
          <w:p w14:paraId="14EB2922" w14:textId="77777777" w:rsidR="001A178C" w:rsidRPr="005954C3" w:rsidRDefault="002503A1" w:rsidP="000730D0">
            <w:pPr>
              <w:pStyle w:val="TableText"/>
              <w:cnfStyle w:val="000000000000" w:firstRow="0" w:lastRow="0" w:firstColumn="0" w:lastColumn="0" w:oddVBand="0" w:evenVBand="0" w:oddHBand="0" w:evenHBand="0" w:firstRowFirstColumn="0" w:firstRowLastColumn="0" w:lastRowFirstColumn="0" w:lastRowLastColumn="0"/>
            </w:pPr>
            <w:r>
              <w:t>0</w:t>
            </w:r>
            <w:r w:rsidR="0011591D" w:rsidRPr="001E2734">
              <w:t xml:space="preserve"> </w:t>
            </w:r>
            <w:r>
              <w:br/>
              <w:t>(</w:t>
            </w:r>
            <w:r w:rsidRPr="00941246">
              <w:t>0.</w:t>
            </w:r>
            <w:r w:rsidR="0011591D" w:rsidRPr="001E2734">
              <w:t>0</w:t>
            </w:r>
            <w:r w:rsidRPr="00941246">
              <w:t>%</w:t>
            </w:r>
            <w:r>
              <w:t>)</w:t>
            </w:r>
          </w:p>
        </w:tc>
        <w:tc>
          <w:tcPr>
            <w:tcW w:w="1000" w:type="pct"/>
          </w:tcPr>
          <w:p w14:paraId="1C95B759" w14:textId="77777777" w:rsidR="001A178C" w:rsidRPr="005954C3" w:rsidRDefault="0099481A" w:rsidP="000730D0">
            <w:pPr>
              <w:pStyle w:val="TableText"/>
              <w:cnfStyle w:val="000000000000" w:firstRow="0" w:lastRow="0" w:firstColumn="0" w:lastColumn="0" w:oddVBand="0" w:evenVBand="0" w:oddHBand="0" w:evenHBand="0" w:firstRowFirstColumn="0" w:firstRowLastColumn="0" w:lastRowFirstColumn="0" w:lastRowLastColumn="0"/>
            </w:pPr>
            <w:r>
              <w:t>2</w:t>
            </w:r>
            <w:r>
              <w:br/>
              <w:t>(</w:t>
            </w:r>
            <w:r w:rsidR="00941246" w:rsidRPr="00941246">
              <w:t>100.</w:t>
            </w:r>
            <w:r w:rsidR="0011591D" w:rsidRPr="00941246">
              <w:t>0</w:t>
            </w:r>
            <w:r w:rsidR="002503A1" w:rsidRPr="00941246">
              <w:t>%</w:t>
            </w:r>
            <w:r>
              <w:t>)</w:t>
            </w:r>
          </w:p>
        </w:tc>
        <w:tc>
          <w:tcPr>
            <w:tcW w:w="1000" w:type="pct"/>
          </w:tcPr>
          <w:p w14:paraId="36A79B70" w14:textId="77777777" w:rsidR="001A178C" w:rsidRPr="005954C3" w:rsidRDefault="002503A1" w:rsidP="000730D0">
            <w:pPr>
              <w:pStyle w:val="TableText"/>
              <w:cnfStyle w:val="000000000000" w:firstRow="0" w:lastRow="0" w:firstColumn="0" w:lastColumn="0" w:oddVBand="0" w:evenVBand="0" w:oddHBand="0" w:evenHBand="0" w:firstRowFirstColumn="0" w:firstRowLastColumn="0" w:lastRowFirstColumn="0" w:lastRowLastColumn="0"/>
            </w:pPr>
            <w:r>
              <w:t>0</w:t>
            </w:r>
            <w:r w:rsidR="0011591D" w:rsidRPr="001E2734">
              <w:t xml:space="preserve"> </w:t>
            </w:r>
            <w:r>
              <w:br/>
              <w:t>(</w:t>
            </w:r>
            <w:r w:rsidR="00941246" w:rsidRPr="00941246">
              <w:t>0.</w:t>
            </w:r>
            <w:r w:rsidR="0011591D" w:rsidRPr="001E2734">
              <w:t>0</w:t>
            </w:r>
            <w:r w:rsidRPr="00941246">
              <w:t>%</w:t>
            </w:r>
            <w:r>
              <w:t>)</w:t>
            </w:r>
          </w:p>
        </w:tc>
        <w:tc>
          <w:tcPr>
            <w:tcW w:w="1000" w:type="pct"/>
          </w:tcPr>
          <w:p w14:paraId="5702E3D0" w14:textId="77777777" w:rsidR="001A178C" w:rsidRPr="005954C3" w:rsidRDefault="002503A1" w:rsidP="000730D0">
            <w:pPr>
              <w:pStyle w:val="TableText"/>
              <w:cnfStyle w:val="000000000000" w:firstRow="0" w:lastRow="0" w:firstColumn="0" w:lastColumn="0" w:oddVBand="0" w:evenVBand="0" w:oddHBand="0" w:evenHBand="0" w:firstRowFirstColumn="0" w:firstRowLastColumn="0" w:lastRowFirstColumn="0" w:lastRowLastColumn="0"/>
            </w:pPr>
            <w:r>
              <w:t>0</w:t>
            </w:r>
            <w:r>
              <w:br/>
              <w:t>(</w:t>
            </w:r>
            <w:r w:rsidR="00941246" w:rsidRPr="00941246">
              <w:t>0.</w:t>
            </w:r>
            <w:r w:rsidR="0011591D" w:rsidRPr="00941246">
              <w:t>0</w:t>
            </w:r>
            <w:r w:rsidRPr="00941246">
              <w:t>%</w:t>
            </w:r>
            <w:r>
              <w:t>)</w:t>
            </w:r>
          </w:p>
        </w:tc>
      </w:tr>
      <w:tr w:rsidR="002E5B6F" w:rsidRPr="009C1931" w14:paraId="2002098E"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55D828E1" w14:textId="77777777" w:rsidR="001A178C" w:rsidRPr="008B6161" w:rsidRDefault="001A178C" w:rsidP="000730D0">
            <w:pPr>
              <w:pStyle w:val="Tabletextbold"/>
              <w:rPr>
                <w:rFonts w:eastAsiaTheme="minorEastAsia" w:cs="Arial"/>
                <w:b/>
                <w:szCs w:val="18"/>
              </w:rPr>
            </w:pPr>
            <w:r w:rsidRPr="008B6161">
              <w:rPr>
                <w:b/>
              </w:rPr>
              <w:t>Total</w:t>
            </w:r>
            <w:r w:rsidRPr="008B6161">
              <w:rPr>
                <w:rFonts w:eastAsiaTheme="minorEastAsia" w:cs="Arial"/>
                <w:b/>
                <w:szCs w:val="18"/>
              </w:rPr>
              <w:t xml:space="preserve">: 57 respondents / </w:t>
            </w:r>
            <w:r w:rsidR="00DB6AB0" w:rsidRPr="008B6161">
              <w:rPr>
                <w:rFonts w:eastAsiaTheme="minorEastAsia" w:cs="Arial"/>
                <w:b/>
                <w:szCs w:val="18"/>
              </w:rPr>
              <w:t>1</w:t>
            </w:r>
            <w:r w:rsidR="00880D51" w:rsidRPr="008B6161">
              <w:rPr>
                <w:rFonts w:eastAsiaTheme="minorEastAsia" w:cs="Arial"/>
                <w:b/>
                <w:szCs w:val="18"/>
              </w:rPr>
              <w:t>42</w:t>
            </w:r>
            <w:r w:rsidRPr="008B6161">
              <w:rPr>
                <w:rFonts w:eastAsiaTheme="minorEastAsia" w:cs="Arial"/>
                <w:b/>
                <w:szCs w:val="18"/>
              </w:rPr>
              <w:t xml:space="preserve"> responses</w:t>
            </w:r>
          </w:p>
        </w:tc>
        <w:tc>
          <w:tcPr>
            <w:tcW w:w="1000" w:type="pct"/>
          </w:tcPr>
          <w:p w14:paraId="60A51621" w14:textId="77777777" w:rsidR="001A178C" w:rsidRPr="008B6161" w:rsidRDefault="002503A1"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0</w:t>
            </w:r>
            <w:r w:rsidR="003D5338" w:rsidRPr="008B6161">
              <w:rPr>
                <w:szCs w:val="20"/>
              </w:rPr>
              <w:br/>
              <w:t>(0.</w:t>
            </w:r>
            <w:r w:rsidR="0011591D" w:rsidRPr="008B6161">
              <w:rPr>
                <w:szCs w:val="20"/>
              </w:rPr>
              <w:t>0</w:t>
            </w:r>
            <w:r w:rsidR="003D5338" w:rsidRPr="008B6161">
              <w:rPr>
                <w:szCs w:val="20"/>
              </w:rPr>
              <w:t>%)</w:t>
            </w:r>
          </w:p>
        </w:tc>
        <w:tc>
          <w:tcPr>
            <w:tcW w:w="1000" w:type="pct"/>
          </w:tcPr>
          <w:p w14:paraId="384EDA63" w14:textId="77777777" w:rsidR="001A178C" w:rsidRPr="008B6161" w:rsidRDefault="009934B2"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125</w:t>
            </w:r>
            <w:r w:rsidR="00766024" w:rsidRPr="008B6161">
              <w:rPr>
                <w:szCs w:val="20"/>
              </w:rPr>
              <w:br/>
            </w:r>
            <w:r w:rsidR="00DB6AB0" w:rsidRPr="008B6161">
              <w:rPr>
                <w:szCs w:val="20"/>
              </w:rPr>
              <w:t xml:space="preserve"> (</w:t>
            </w:r>
            <w:r w:rsidR="00A14214" w:rsidRPr="008B6161">
              <w:rPr>
                <w:szCs w:val="20"/>
              </w:rPr>
              <w:t>88.0</w:t>
            </w:r>
            <w:r w:rsidR="002503A1" w:rsidRPr="008B6161">
              <w:rPr>
                <w:szCs w:val="20"/>
              </w:rPr>
              <w:t>%</w:t>
            </w:r>
            <w:r w:rsidR="00766024" w:rsidRPr="008B6161">
              <w:rPr>
                <w:szCs w:val="20"/>
              </w:rPr>
              <w:t>)</w:t>
            </w:r>
          </w:p>
        </w:tc>
        <w:tc>
          <w:tcPr>
            <w:tcW w:w="1000" w:type="pct"/>
          </w:tcPr>
          <w:p w14:paraId="441CDF1B" w14:textId="77777777" w:rsidR="001A178C" w:rsidRPr="008B6161" w:rsidRDefault="00DB6AB0"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0</w:t>
            </w:r>
            <w:r w:rsidRPr="008B6161">
              <w:br/>
              <w:t>(0.</w:t>
            </w:r>
            <w:r w:rsidR="0011591D" w:rsidRPr="008B6161">
              <w:rPr>
                <w:szCs w:val="20"/>
              </w:rPr>
              <w:t>0</w:t>
            </w:r>
            <w:r w:rsidRPr="008B6161">
              <w:rPr>
                <w:szCs w:val="20"/>
              </w:rPr>
              <w:t>%)</w:t>
            </w:r>
          </w:p>
        </w:tc>
        <w:tc>
          <w:tcPr>
            <w:tcW w:w="1000" w:type="pct"/>
          </w:tcPr>
          <w:p w14:paraId="22A7F22A" w14:textId="77777777" w:rsidR="001A178C" w:rsidRPr="008B6161" w:rsidRDefault="00766024"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17</w:t>
            </w:r>
            <w:r w:rsidRPr="008B6161">
              <w:br/>
              <w:t>(</w:t>
            </w:r>
            <w:r w:rsidR="0011591D" w:rsidRPr="008B6161">
              <w:rPr>
                <w:szCs w:val="20"/>
              </w:rPr>
              <w:t>12.0</w:t>
            </w:r>
            <w:r w:rsidR="002503A1" w:rsidRPr="008B6161">
              <w:rPr>
                <w:szCs w:val="20"/>
              </w:rPr>
              <w:t>%</w:t>
            </w:r>
            <w:r w:rsidRPr="008B6161">
              <w:rPr>
                <w:szCs w:val="20"/>
              </w:rPr>
              <w:t>)</w:t>
            </w:r>
          </w:p>
        </w:tc>
      </w:tr>
    </w:tbl>
    <w:p w14:paraId="09354D54" w14:textId="2C5A3E19" w:rsidR="001A178C" w:rsidRPr="00D50E7B" w:rsidRDefault="001A178C" w:rsidP="000730D0">
      <w:pPr>
        <w:pStyle w:val="Caption-Source"/>
      </w:pPr>
      <w:r w:rsidRPr="001A178C">
        <w:t xml:space="preserve">Source: </w:t>
      </w:r>
      <w:r w:rsidR="00B26691">
        <w:t>Independent reviewer</w:t>
      </w:r>
      <w:r w:rsidR="00B26691" w:rsidRPr="00CD3106">
        <w:t xml:space="preserve"> </w:t>
      </w:r>
      <w:r w:rsidR="00584D02" w:rsidRPr="00D50E7B">
        <w:t>(</w:t>
      </w:r>
      <w:r w:rsidRPr="00D50E7B">
        <w:t>2025</w:t>
      </w:r>
      <w:r w:rsidR="00584D02" w:rsidRPr="00D50E7B">
        <w:t>)</w:t>
      </w:r>
    </w:p>
    <w:p w14:paraId="52192D69" w14:textId="0EF837A0" w:rsidR="000730D0" w:rsidRDefault="000730D0" w:rsidP="000730D0">
      <w:pPr>
        <w:pStyle w:val="Caption"/>
      </w:pPr>
      <w:bookmarkStart w:id="272" w:name="_Toc207348663"/>
      <w:r>
        <w:t xml:space="preserve">Table </w:t>
      </w:r>
      <w:r w:rsidR="00E6799D">
        <w:fldChar w:fldCharType="begin"/>
      </w:r>
      <w:r w:rsidR="00E6799D">
        <w:instrText xml:space="preserve"> SEQ Table \* ARABIC </w:instrText>
      </w:r>
      <w:r w:rsidR="00E6799D">
        <w:fldChar w:fldCharType="separate"/>
      </w:r>
      <w:r w:rsidR="00E6799D">
        <w:rPr>
          <w:noProof/>
        </w:rPr>
        <w:t>98</w:t>
      </w:r>
      <w:r w:rsidR="00E6799D">
        <w:rPr>
          <w:noProof/>
        </w:rPr>
        <w:fldChar w:fldCharType="end"/>
      </w:r>
      <w:r>
        <w:t xml:space="preserve">: </w:t>
      </w:r>
      <w:r w:rsidRPr="0038669F">
        <w:t xml:space="preserve">Response to question 7 by </w:t>
      </w:r>
      <w:r>
        <w:t>remoteness</w:t>
      </w:r>
      <w:bookmarkEnd w:id="272"/>
    </w:p>
    <w:tbl>
      <w:tblPr>
        <w:tblStyle w:val="KPMGTable"/>
        <w:tblW w:w="5000" w:type="pct"/>
        <w:tblLook w:val="04A0" w:firstRow="1" w:lastRow="0" w:firstColumn="1" w:lastColumn="0" w:noHBand="0" w:noVBand="1"/>
      </w:tblPr>
      <w:tblGrid>
        <w:gridCol w:w="2040"/>
        <w:gridCol w:w="2041"/>
        <w:gridCol w:w="2041"/>
        <w:gridCol w:w="2041"/>
        <w:gridCol w:w="2041"/>
      </w:tblGrid>
      <w:tr w:rsidR="00AD6F37" w:rsidRPr="00386CBC" w14:paraId="07E9EE1D" w14:textId="77777777" w:rsidTr="00C76D17">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1000" w:type="pct"/>
          </w:tcPr>
          <w:p w14:paraId="3B8EE016" w14:textId="77777777" w:rsidR="00E2162B" w:rsidRPr="007B154A" w:rsidRDefault="00E2162B" w:rsidP="000730D0">
            <w:pPr>
              <w:pStyle w:val="TableHeading"/>
              <w:rPr>
                <w:b w:val="0"/>
                <w:color w:val="FFFFFF" w:themeColor="background1"/>
                <w:szCs w:val="20"/>
              </w:rPr>
            </w:pPr>
            <w:r>
              <w:t>Response</w:t>
            </w:r>
          </w:p>
        </w:tc>
        <w:tc>
          <w:tcPr>
            <w:tcW w:w="1000" w:type="pct"/>
          </w:tcPr>
          <w:p w14:paraId="73376FCD" w14:textId="77777777" w:rsidR="00E2162B" w:rsidRDefault="00E2162B"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Limb prostheses</w:t>
            </w:r>
          </w:p>
        </w:tc>
        <w:tc>
          <w:tcPr>
            <w:tcW w:w="1000" w:type="pct"/>
          </w:tcPr>
          <w:p w14:paraId="30C8F413" w14:textId="77777777" w:rsidR="00E2162B" w:rsidRDefault="00E2162B"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Facial prostheses</w:t>
            </w:r>
          </w:p>
        </w:tc>
        <w:tc>
          <w:tcPr>
            <w:tcW w:w="1000" w:type="pct"/>
          </w:tcPr>
          <w:p w14:paraId="28484642" w14:textId="77777777" w:rsidR="00E2162B" w:rsidRDefault="00E2162B"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Artificial breast worn in the bra</w:t>
            </w:r>
          </w:p>
        </w:tc>
        <w:tc>
          <w:tcPr>
            <w:tcW w:w="1000" w:type="pct"/>
          </w:tcPr>
          <w:p w14:paraId="77BC2525" w14:textId="77777777" w:rsidR="00E2162B" w:rsidRDefault="00E2162B"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Other</w:t>
            </w:r>
          </w:p>
        </w:tc>
      </w:tr>
      <w:tr w:rsidR="002E5B6F" w:rsidRPr="006D20D0" w14:paraId="3D9ED331"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346070C7" w14:textId="77777777" w:rsidR="00E2162B" w:rsidRPr="00057C3B" w:rsidRDefault="00007289" w:rsidP="000730D0">
            <w:pPr>
              <w:pStyle w:val="TableText"/>
              <w:rPr>
                <w:b w:val="0"/>
                <w:bCs/>
              </w:rPr>
            </w:pPr>
            <w:r w:rsidRPr="00057C3B">
              <w:rPr>
                <w:b w:val="0"/>
                <w:bCs/>
              </w:rPr>
              <w:t>Metropolitan</w:t>
            </w:r>
          </w:p>
        </w:tc>
        <w:tc>
          <w:tcPr>
            <w:tcW w:w="1000" w:type="pct"/>
          </w:tcPr>
          <w:p w14:paraId="72D35C81" w14:textId="77777777" w:rsidR="00E2162B" w:rsidRDefault="005C0F19" w:rsidP="000730D0">
            <w:pPr>
              <w:pStyle w:val="TableText"/>
              <w:cnfStyle w:val="000000000000" w:firstRow="0" w:lastRow="0" w:firstColumn="0" w:lastColumn="0" w:oddVBand="0" w:evenVBand="0" w:oddHBand="0" w:evenHBand="0" w:firstRowFirstColumn="0" w:firstRowLastColumn="0" w:lastRowFirstColumn="0" w:lastRowLastColumn="0"/>
            </w:pPr>
            <w:r w:rsidRPr="005C0F19">
              <w:t>0</w:t>
            </w:r>
            <w:r w:rsidR="0011591D" w:rsidRPr="001E2734">
              <w:t xml:space="preserve"> </w:t>
            </w:r>
            <w:r w:rsidRPr="005C0F19">
              <w:br/>
              <w:t>(0.</w:t>
            </w:r>
            <w:r w:rsidR="0011591D" w:rsidRPr="001E2734">
              <w:t>0</w:t>
            </w:r>
            <w:r w:rsidRPr="005C0F19">
              <w:t>%)</w:t>
            </w:r>
          </w:p>
        </w:tc>
        <w:tc>
          <w:tcPr>
            <w:tcW w:w="1000" w:type="pct"/>
          </w:tcPr>
          <w:p w14:paraId="3190B561" w14:textId="77777777" w:rsidR="00E2162B" w:rsidRPr="00941246" w:rsidRDefault="00D70C58" w:rsidP="000730D0">
            <w:pPr>
              <w:pStyle w:val="TableText"/>
              <w:cnfStyle w:val="000000000000" w:firstRow="0" w:lastRow="0" w:firstColumn="0" w:lastColumn="0" w:oddVBand="0" w:evenVBand="0" w:oddHBand="0" w:evenHBand="0" w:firstRowFirstColumn="0" w:firstRowLastColumn="0" w:lastRowFirstColumn="0" w:lastRowLastColumn="0"/>
            </w:pPr>
            <w:r>
              <w:t>97</w:t>
            </w:r>
            <w:r w:rsidR="005C0F19" w:rsidRPr="005C0F19">
              <w:br/>
              <w:t>(</w:t>
            </w:r>
            <w:r w:rsidR="008F4041">
              <w:t>86.6</w:t>
            </w:r>
            <w:r w:rsidR="005C0F19" w:rsidRPr="005C0F19">
              <w:t>%)</w:t>
            </w:r>
          </w:p>
        </w:tc>
        <w:tc>
          <w:tcPr>
            <w:tcW w:w="1000" w:type="pct"/>
          </w:tcPr>
          <w:p w14:paraId="178B0F1A" w14:textId="77777777" w:rsidR="00E2162B" w:rsidRPr="00941246" w:rsidRDefault="005C0F19" w:rsidP="000730D0">
            <w:pPr>
              <w:pStyle w:val="TableText"/>
              <w:cnfStyle w:val="000000000000" w:firstRow="0" w:lastRow="0" w:firstColumn="0" w:lastColumn="0" w:oddVBand="0" w:evenVBand="0" w:oddHBand="0" w:evenHBand="0" w:firstRowFirstColumn="0" w:firstRowLastColumn="0" w:lastRowFirstColumn="0" w:lastRowLastColumn="0"/>
            </w:pPr>
            <w:r w:rsidRPr="005C0F19">
              <w:t>0</w:t>
            </w:r>
            <w:r w:rsidRPr="005C0F19">
              <w:br/>
              <w:t>(0.00%)</w:t>
            </w:r>
          </w:p>
        </w:tc>
        <w:tc>
          <w:tcPr>
            <w:tcW w:w="1000" w:type="pct"/>
          </w:tcPr>
          <w:p w14:paraId="4CCF0926" w14:textId="77777777" w:rsidR="00E2162B" w:rsidRPr="004C3F13" w:rsidRDefault="005C0F19" w:rsidP="000730D0">
            <w:pPr>
              <w:pStyle w:val="TableText"/>
              <w:cnfStyle w:val="000000000000" w:firstRow="0" w:lastRow="0" w:firstColumn="0" w:lastColumn="0" w:oddVBand="0" w:evenVBand="0" w:oddHBand="0" w:evenHBand="0" w:firstRowFirstColumn="0" w:firstRowLastColumn="0" w:lastRowFirstColumn="0" w:lastRowLastColumn="0"/>
            </w:pPr>
            <w:r w:rsidRPr="005C0F19">
              <w:t>15</w:t>
            </w:r>
            <w:r w:rsidRPr="005C0F19">
              <w:br/>
              <w:t>(13.</w:t>
            </w:r>
            <w:r w:rsidR="00502BDF">
              <w:t>4</w:t>
            </w:r>
            <w:r w:rsidRPr="005C0F19">
              <w:t>%)</w:t>
            </w:r>
          </w:p>
        </w:tc>
      </w:tr>
      <w:tr w:rsidR="002E5B6F" w:rsidRPr="009C1931" w14:paraId="760DC9D2"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1118D738" w14:textId="77777777" w:rsidR="00E2162B" w:rsidRPr="00057C3B" w:rsidRDefault="00007289" w:rsidP="000730D0">
            <w:pPr>
              <w:pStyle w:val="TableText"/>
              <w:rPr>
                <w:b w:val="0"/>
                <w:bCs/>
                <w:szCs w:val="18"/>
              </w:rPr>
            </w:pPr>
            <w:r w:rsidRPr="00057C3B">
              <w:rPr>
                <w:b w:val="0"/>
                <w:bCs/>
                <w:szCs w:val="18"/>
              </w:rPr>
              <w:t>Regional centre</w:t>
            </w:r>
          </w:p>
        </w:tc>
        <w:tc>
          <w:tcPr>
            <w:tcW w:w="1000" w:type="pct"/>
          </w:tcPr>
          <w:p w14:paraId="01053FB6" w14:textId="77777777" w:rsidR="00E2162B" w:rsidRPr="009615A4" w:rsidRDefault="005C0F19" w:rsidP="000730D0">
            <w:pPr>
              <w:pStyle w:val="TableText"/>
              <w:cnfStyle w:val="000000000000" w:firstRow="0" w:lastRow="0" w:firstColumn="0" w:lastColumn="0" w:oddVBand="0" w:evenVBand="0" w:oddHBand="0" w:evenHBand="0" w:firstRowFirstColumn="0" w:firstRowLastColumn="0" w:lastRowFirstColumn="0" w:lastRowLastColumn="0"/>
            </w:pPr>
            <w:r w:rsidRPr="005C0F19">
              <w:t>0</w:t>
            </w:r>
            <w:r w:rsidR="0011591D" w:rsidRPr="001E2734">
              <w:t xml:space="preserve"> </w:t>
            </w:r>
            <w:r w:rsidRPr="005C0F19">
              <w:br/>
              <w:t>(0.</w:t>
            </w:r>
            <w:r w:rsidR="0011591D" w:rsidRPr="001E2734">
              <w:t>0</w:t>
            </w:r>
            <w:r w:rsidRPr="005C0F19">
              <w:t>%)</w:t>
            </w:r>
          </w:p>
        </w:tc>
        <w:tc>
          <w:tcPr>
            <w:tcW w:w="1000" w:type="pct"/>
          </w:tcPr>
          <w:p w14:paraId="4169DDB8" w14:textId="77777777" w:rsidR="00E2162B" w:rsidRPr="00941246" w:rsidRDefault="005C0F19" w:rsidP="000730D0">
            <w:pPr>
              <w:pStyle w:val="TableText"/>
              <w:cnfStyle w:val="000000000000" w:firstRow="0" w:lastRow="0" w:firstColumn="0" w:lastColumn="0" w:oddVBand="0" w:evenVBand="0" w:oddHBand="0" w:evenHBand="0" w:firstRowFirstColumn="0" w:firstRowLastColumn="0" w:lastRowFirstColumn="0" w:lastRowLastColumn="0"/>
            </w:pPr>
            <w:r w:rsidRPr="005C0F19">
              <w:t>19</w:t>
            </w:r>
            <w:r w:rsidRPr="005C0F19">
              <w:br/>
              <w:t>(90.</w:t>
            </w:r>
            <w:r w:rsidR="00BC413F">
              <w:t>5</w:t>
            </w:r>
            <w:r w:rsidRPr="005C0F19">
              <w:t>%)</w:t>
            </w:r>
          </w:p>
        </w:tc>
        <w:tc>
          <w:tcPr>
            <w:tcW w:w="1000" w:type="pct"/>
          </w:tcPr>
          <w:p w14:paraId="156BA2F4" w14:textId="77777777" w:rsidR="00E2162B" w:rsidRPr="00941246" w:rsidRDefault="005C0F19" w:rsidP="000730D0">
            <w:pPr>
              <w:pStyle w:val="TableText"/>
              <w:cnfStyle w:val="000000000000" w:firstRow="0" w:lastRow="0" w:firstColumn="0" w:lastColumn="0" w:oddVBand="0" w:evenVBand="0" w:oddHBand="0" w:evenHBand="0" w:firstRowFirstColumn="0" w:firstRowLastColumn="0" w:lastRowFirstColumn="0" w:lastRowLastColumn="0"/>
            </w:pPr>
            <w:r w:rsidRPr="005C0F19">
              <w:t>0</w:t>
            </w:r>
            <w:r w:rsidRPr="005C0F19">
              <w:br/>
              <w:t>(0.00%)</w:t>
            </w:r>
          </w:p>
        </w:tc>
        <w:tc>
          <w:tcPr>
            <w:tcW w:w="1000" w:type="pct"/>
          </w:tcPr>
          <w:p w14:paraId="5D57380A" w14:textId="77777777" w:rsidR="00E2162B" w:rsidRPr="00941246" w:rsidRDefault="005C0F19" w:rsidP="000730D0">
            <w:pPr>
              <w:pStyle w:val="TableText"/>
              <w:cnfStyle w:val="000000000000" w:firstRow="0" w:lastRow="0" w:firstColumn="0" w:lastColumn="0" w:oddVBand="0" w:evenVBand="0" w:oddHBand="0" w:evenHBand="0" w:firstRowFirstColumn="0" w:firstRowLastColumn="0" w:lastRowFirstColumn="0" w:lastRowLastColumn="0"/>
            </w:pPr>
            <w:r w:rsidRPr="005C0F19">
              <w:t>2</w:t>
            </w:r>
            <w:r w:rsidRPr="005C0F19">
              <w:br/>
              <w:t>(9.</w:t>
            </w:r>
            <w:r w:rsidR="0011591D" w:rsidRPr="005C0F19">
              <w:t>5</w:t>
            </w:r>
            <w:r w:rsidRPr="005C0F19">
              <w:t>%)</w:t>
            </w:r>
          </w:p>
        </w:tc>
      </w:tr>
      <w:tr w:rsidR="002E5B6F" w:rsidRPr="009C1931" w14:paraId="3B345680"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0A04769A" w14:textId="77777777" w:rsidR="00E2162B" w:rsidRPr="00057C3B" w:rsidRDefault="00007289" w:rsidP="000730D0">
            <w:pPr>
              <w:pStyle w:val="TableText"/>
              <w:rPr>
                <w:b w:val="0"/>
                <w:bCs/>
              </w:rPr>
            </w:pPr>
            <w:r w:rsidRPr="00057C3B">
              <w:rPr>
                <w:b w:val="0"/>
                <w:bCs/>
                <w:szCs w:val="18"/>
              </w:rPr>
              <w:t>Rural area</w:t>
            </w:r>
          </w:p>
        </w:tc>
        <w:tc>
          <w:tcPr>
            <w:tcW w:w="1000" w:type="pct"/>
          </w:tcPr>
          <w:p w14:paraId="6846A86B" w14:textId="77777777" w:rsidR="00E2162B" w:rsidRPr="005954C3" w:rsidRDefault="005C0F19" w:rsidP="000730D0">
            <w:pPr>
              <w:pStyle w:val="TableText"/>
              <w:cnfStyle w:val="000000000000" w:firstRow="0" w:lastRow="0" w:firstColumn="0" w:lastColumn="0" w:oddVBand="0" w:evenVBand="0" w:oddHBand="0" w:evenHBand="0" w:firstRowFirstColumn="0" w:firstRowLastColumn="0" w:lastRowFirstColumn="0" w:lastRowLastColumn="0"/>
            </w:pPr>
            <w:r w:rsidRPr="005C0F19">
              <w:t>0</w:t>
            </w:r>
            <w:r w:rsidR="0011591D" w:rsidRPr="001E2734">
              <w:t xml:space="preserve"> </w:t>
            </w:r>
            <w:r w:rsidRPr="005C0F19">
              <w:br/>
              <w:t>(0.</w:t>
            </w:r>
            <w:r w:rsidR="0011591D" w:rsidRPr="001E2734">
              <w:t>0</w:t>
            </w:r>
            <w:r w:rsidRPr="005C0F19">
              <w:t>%)</w:t>
            </w:r>
          </w:p>
        </w:tc>
        <w:tc>
          <w:tcPr>
            <w:tcW w:w="1000" w:type="pct"/>
          </w:tcPr>
          <w:p w14:paraId="79B7ECBB" w14:textId="77777777" w:rsidR="00E2162B" w:rsidRPr="00941246" w:rsidRDefault="00D70C58" w:rsidP="000730D0">
            <w:pPr>
              <w:pStyle w:val="TableText"/>
              <w:cnfStyle w:val="000000000000" w:firstRow="0" w:lastRow="0" w:firstColumn="0" w:lastColumn="0" w:oddVBand="0" w:evenVBand="0" w:oddHBand="0" w:evenHBand="0" w:firstRowFirstColumn="0" w:firstRowLastColumn="0" w:lastRowFirstColumn="0" w:lastRowLastColumn="0"/>
            </w:pPr>
            <w:r>
              <w:t>9</w:t>
            </w:r>
            <w:r w:rsidR="005C0F19" w:rsidRPr="005C0F19">
              <w:br/>
              <w:t>(</w:t>
            </w:r>
            <w:proofErr w:type="gramStart"/>
            <w:r w:rsidR="007C5013">
              <w:t>100.</w:t>
            </w:r>
            <w:r w:rsidRPr="005C0F19">
              <w:t>%</w:t>
            </w:r>
            <w:proofErr w:type="gramEnd"/>
            <w:r w:rsidRPr="005C0F19">
              <w:t>)</w:t>
            </w:r>
          </w:p>
        </w:tc>
        <w:tc>
          <w:tcPr>
            <w:tcW w:w="1000" w:type="pct"/>
          </w:tcPr>
          <w:p w14:paraId="2001B64D" w14:textId="77777777" w:rsidR="00E2162B" w:rsidRPr="00941246" w:rsidRDefault="005C0F19" w:rsidP="000730D0">
            <w:pPr>
              <w:pStyle w:val="TableText"/>
              <w:cnfStyle w:val="000000000000" w:firstRow="0" w:lastRow="0" w:firstColumn="0" w:lastColumn="0" w:oddVBand="0" w:evenVBand="0" w:oddHBand="0" w:evenHBand="0" w:firstRowFirstColumn="0" w:firstRowLastColumn="0" w:lastRowFirstColumn="0" w:lastRowLastColumn="0"/>
            </w:pPr>
            <w:r w:rsidRPr="005C0F19">
              <w:t>0</w:t>
            </w:r>
            <w:r w:rsidRPr="005C0F19">
              <w:br/>
              <w:t>(0.00%)</w:t>
            </w:r>
          </w:p>
        </w:tc>
        <w:tc>
          <w:tcPr>
            <w:tcW w:w="1000" w:type="pct"/>
          </w:tcPr>
          <w:p w14:paraId="7CBB5EE4" w14:textId="77777777" w:rsidR="00E2162B" w:rsidRPr="00941246" w:rsidRDefault="005C0F19" w:rsidP="000730D0">
            <w:pPr>
              <w:pStyle w:val="TableText"/>
              <w:cnfStyle w:val="000000000000" w:firstRow="0" w:lastRow="0" w:firstColumn="0" w:lastColumn="0" w:oddVBand="0" w:evenVBand="0" w:oddHBand="0" w:evenHBand="0" w:firstRowFirstColumn="0" w:firstRowLastColumn="0" w:lastRowFirstColumn="0" w:lastRowLastColumn="0"/>
            </w:pPr>
            <w:r w:rsidRPr="005C0F19">
              <w:t>0</w:t>
            </w:r>
            <w:r w:rsidRPr="005C0F19">
              <w:br/>
              <w:t>(0.</w:t>
            </w:r>
            <w:r w:rsidR="0011591D" w:rsidRPr="005C0F19">
              <w:t>0</w:t>
            </w:r>
            <w:r w:rsidRPr="005C0F19">
              <w:t>%)</w:t>
            </w:r>
          </w:p>
        </w:tc>
      </w:tr>
      <w:tr w:rsidR="002E5B6F" w:rsidRPr="009C1931" w14:paraId="0992E964"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61E74823" w14:textId="77777777" w:rsidR="00E2162B" w:rsidRPr="008B6161" w:rsidRDefault="00E2162B" w:rsidP="000730D0">
            <w:pPr>
              <w:pStyle w:val="Tabletextbold"/>
              <w:rPr>
                <w:rFonts w:eastAsiaTheme="minorEastAsia" w:cs="Arial"/>
                <w:b/>
                <w:szCs w:val="18"/>
              </w:rPr>
            </w:pPr>
            <w:r w:rsidRPr="008B6161">
              <w:rPr>
                <w:b/>
              </w:rPr>
              <w:t>Total</w:t>
            </w:r>
            <w:r w:rsidRPr="008B6161">
              <w:rPr>
                <w:rFonts w:eastAsiaTheme="minorEastAsia" w:cs="Arial"/>
                <w:b/>
                <w:szCs w:val="18"/>
              </w:rPr>
              <w:t xml:space="preserve">: 57 respondents / </w:t>
            </w:r>
            <w:r w:rsidR="005C0F19" w:rsidRPr="008B6161">
              <w:rPr>
                <w:rFonts w:eastAsiaTheme="minorEastAsia" w:cs="Arial"/>
                <w:b/>
                <w:szCs w:val="18"/>
              </w:rPr>
              <w:t>142</w:t>
            </w:r>
            <w:r w:rsidRPr="008B6161">
              <w:rPr>
                <w:rFonts w:eastAsiaTheme="minorEastAsia" w:cs="Arial"/>
                <w:b/>
                <w:szCs w:val="18"/>
              </w:rPr>
              <w:t xml:space="preserve"> responses</w:t>
            </w:r>
          </w:p>
        </w:tc>
        <w:tc>
          <w:tcPr>
            <w:tcW w:w="1000" w:type="pct"/>
          </w:tcPr>
          <w:p w14:paraId="00C7462D" w14:textId="77777777" w:rsidR="00E2162B" w:rsidRPr="008B6161" w:rsidRDefault="005C0F19"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0</w:t>
            </w:r>
            <w:r w:rsidRPr="008B6161">
              <w:br/>
              <w:t>(0.</w:t>
            </w:r>
            <w:r w:rsidR="0011591D" w:rsidRPr="008B6161">
              <w:rPr>
                <w:szCs w:val="20"/>
              </w:rPr>
              <w:t>0</w:t>
            </w:r>
            <w:r w:rsidRPr="008B6161">
              <w:rPr>
                <w:szCs w:val="20"/>
              </w:rPr>
              <w:t>%)</w:t>
            </w:r>
          </w:p>
        </w:tc>
        <w:tc>
          <w:tcPr>
            <w:tcW w:w="1000" w:type="pct"/>
          </w:tcPr>
          <w:p w14:paraId="77DBEF8E" w14:textId="77777777" w:rsidR="00E2162B" w:rsidRPr="008B6161" w:rsidRDefault="00D70C58"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125</w:t>
            </w:r>
            <w:r w:rsidRPr="008B6161">
              <w:rPr>
                <w:szCs w:val="20"/>
              </w:rPr>
              <w:br/>
              <w:t xml:space="preserve"> (88.0%)</w:t>
            </w:r>
          </w:p>
        </w:tc>
        <w:tc>
          <w:tcPr>
            <w:tcW w:w="1000" w:type="pct"/>
          </w:tcPr>
          <w:p w14:paraId="4B82182B" w14:textId="77777777" w:rsidR="00E2162B" w:rsidRPr="008B6161" w:rsidRDefault="005C0F19"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0</w:t>
            </w:r>
            <w:r w:rsidRPr="008B6161">
              <w:br/>
              <w:t>(0.</w:t>
            </w:r>
            <w:r w:rsidR="00D70C58" w:rsidRPr="008B6161">
              <w:rPr>
                <w:szCs w:val="20"/>
              </w:rPr>
              <w:t>0</w:t>
            </w:r>
            <w:r w:rsidRPr="008B6161">
              <w:rPr>
                <w:szCs w:val="20"/>
              </w:rPr>
              <w:t>%)</w:t>
            </w:r>
          </w:p>
        </w:tc>
        <w:tc>
          <w:tcPr>
            <w:tcW w:w="1000" w:type="pct"/>
          </w:tcPr>
          <w:p w14:paraId="58E5F91E" w14:textId="77777777" w:rsidR="00E2162B" w:rsidRPr="008B6161" w:rsidRDefault="005C0F19"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17</w:t>
            </w:r>
            <w:r w:rsidRPr="008B6161">
              <w:br/>
              <w:t>(</w:t>
            </w:r>
            <w:r w:rsidR="0011591D" w:rsidRPr="008B6161">
              <w:rPr>
                <w:szCs w:val="20"/>
              </w:rPr>
              <w:t>1</w:t>
            </w:r>
            <w:r w:rsidR="00502BDF" w:rsidRPr="008B6161">
              <w:rPr>
                <w:szCs w:val="20"/>
              </w:rPr>
              <w:t>2.0</w:t>
            </w:r>
            <w:r w:rsidRPr="008B6161">
              <w:rPr>
                <w:szCs w:val="20"/>
              </w:rPr>
              <w:t>%)</w:t>
            </w:r>
          </w:p>
        </w:tc>
      </w:tr>
    </w:tbl>
    <w:p w14:paraId="0FB43F6E" w14:textId="3BA98491" w:rsidR="00BF4D99" w:rsidRPr="000730D0" w:rsidRDefault="00E2162B" w:rsidP="000730D0">
      <w:pPr>
        <w:pStyle w:val="Caption-Source"/>
      </w:pPr>
      <w:r w:rsidRPr="001A178C">
        <w:t xml:space="preserve">Source: </w:t>
      </w:r>
      <w:r w:rsidR="00B26691">
        <w:t>Independent reviewer</w:t>
      </w:r>
      <w:r w:rsidR="00584D02">
        <w:t xml:space="preserve"> (</w:t>
      </w:r>
      <w:r w:rsidRPr="001A178C">
        <w:t>2025</w:t>
      </w:r>
      <w:r w:rsidR="00584D02">
        <w:t>)</w:t>
      </w:r>
      <w:r w:rsidR="00BF4D99">
        <w:rPr>
          <w:rFonts w:ascii="Arial" w:hAnsi="Arial" w:cs="Arial"/>
          <w:b/>
          <w:szCs w:val="20"/>
        </w:rPr>
        <w:br w:type="page"/>
      </w:r>
    </w:p>
    <w:p w14:paraId="08FBFA72" w14:textId="31E23560" w:rsidR="000730D0" w:rsidRDefault="000730D0" w:rsidP="000730D0">
      <w:pPr>
        <w:pStyle w:val="Caption"/>
      </w:pPr>
      <w:bookmarkStart w:id="273" w:name="_Toc207348664"/>
      <w:r>
        <w:t xml:space="preserve">Table </w:t>
      </w:r>
      <w:r w:rsidR="00E6799D">
        <w:fldChar w:fldCharType="begin"/>
      </w:r>
      <w:r w:rsidR="00E6799D">
        <w:instrText xml:space="preserve"> SEQ Table \* ARABIC </w:instrText>
      </w:r>
      <w:r w:rsidR="00E6799D">
        <w:fldChar w:fldCharType="separate"/>
      </w:r>
      <w:r w:rsidR="00E6799D">
        <w:rPr>
          <w:noProof/>
        </w:rPr>
        <w:t>99</w:t>
      </w:r>
      <w:r w:rsidR="00E6799D">
        <w:rPr>
          <w:noProof/>
        </w:rPr>
        <w:fldChar w:fldCharType="end"/>
      </w:r>
      <w:r>
        <w:t xml:space="preserve">: </w:t>
      </w:r>
      <w:r w:rsidRPr="007A2604">
        <w:t xml:space="preserve">Response to question 7 by </w:t>
      </w:r>
      <w:r>
        <w:t>area of practice</w:t>
      </w:r>
      <w:bookmarkEnd w:id="273"/>
    </w:p>
    <w:tbl>
      <w:tblPr>
        <w:tblStyle w:val="KPMGTable"/>
        <w:tblW w:w="5000" w:type="pct"/>
        <w:tblLook w:val="04A0" w:firstRow="1" w:lastRow="0" w:firstColumn="1" w:lastColumn="0" w:noHBand="0" w:noVBand="1"/>
      </w:tblPr>
      <w:tblGrid>
        <w:gridCol w:w="2040"/>
        <w:gridCol w:w="2041"/>
        <w:gridCol w:w="2041"/>
        <w:gridCol w:w="2041"/>
        <w:gridCol w:w="2041"/>
      </w:tblGrid>
      <w:tr w:rsidR="00AD6F37" w:rsidRPr="009256F7" w14:paraId="5891DBAF" w14:textId="77777777" w:rsidTr="00C76D17">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1000" w:type="pct"/>
          </w:tcPr>
          <w:p w14:paraId="668D831C" w14:textId="77777777" w:rsidR="00CD0134" w:rsidRPr="007B154A" w:rsidRDefault="00CD0134" w:rsidP="000730D0">
            <w:pPr>
              <w:pStyle w:val="TableHeading"/>
              <w:rPr>
                <w:b w:val="0"/>
                <w:color w:val="FFFFFF" w:themeColor="background1"/>
                <w:szCs w:val="20"/>
              </w:rPr>
            </w:pPr>
            <w:r>
              <w:t>Response</w:t>
            </w:r>
          </w:p>
        </w:tc>
        <w:tc>
          <w:tcPr>
            <w:tcW w:w="1000" w:type="pct"/>
          </w:tcPr>
          <w:p w14:paraId="5DEBC028" w14:textId="77777777" w:rsidR="00CD0134" w:rsidRDefault="00CD0134"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Limb prostheses</w:t>
            </w:r>
          </w:p>
        </w:tc>
        <w:tc>
          <w:tcPr>
            <w:tcW w:w="1000" w:type="pct"/>
          </w:tcPr>
          <w:p w14:paraId="3837A974" w14:textId="77777777" w:rsidR="00CD0134" w:rsidRDefault="00CD0134"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Facial prostheses</w:t>
            </w:r>
          </w:p>
        </w:tc>
        <w:tc>
          <w:tcPr>
            <w:tcW w:w="1000" w:type="pct"/>
          </w:tcPr>
          <w:p w14:paraId="4A6CA8B2" w14:textId="77777777" w:rsidR="00CD0134" w:rsidRDefault="00CD0134"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Artificial breast worn in the bra</w:t>
            </w:r>
          </w:p>
        </w:tc>
        <w:tc>
          <w:tcPr>
            <w:tcW w:w="1000" w:type="pct"/>
          </w:tcPr>
          <w:p w14:paraId="4590A189" w14:textId="77777777" w:rsidR="00CD0134" w:rsidRDefault="00CD0134"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Other</w:t>
            </w:r>
          </w:p>
        </w:tc>
      </w:tr>
      <w:tr w:rsidR="002E5B6F" w:rsidRPr="009256F7" w14:paraId="146BDFDD"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6EA5BD63" w14:textId="77777777" w:rsidR="00CD0134" w:rsidRPr="00E90673" w:rsidRDefault="00CD0134" w:rsidP="000730D0">
            <w:pPr>
              <w:pStyle w:val="TableText"/>
              <w:rPr>
                <w:szCs w:val="20"/>
              </w:rPr>
            </w:pPr>
            <w:r w:rsidRPr="009256F7">
              <w:t>Anaesthesia</w:t>
            </w:r>
          </w:p>
        </w:tc>
        <w:tc>
          <w:tcPr>
            <w:tcW w:w="1000" w:type="pct"/>
          </w:tcPr>
          <w:p w14:paraId="675F5F9F" w14:textId="77777777" w:rsidR="00CD0134" w:rsidRDefault="00001BA1"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0</w:t>
            </w:r>
            <w:r w:rsidR="00E71F75" w:rsidRPr="001E2734">
              <w:rPr>
                <w:szCs w:val="20"/>
              </w:rPr>
              <w:t xml:space="preserve"> </w:t>
            </w:r>
            <w:r>
              <w:rPr>
                <w:szCs w:val="20"/>
              </w:rPr>
              <w:br/>
              <w:t>(</w:t>
            </w:r>
            <w:r w:rsidRPr="00941246">
              <w:rPr>
                <w:szCs w:val="20"/>
              </w:rPr>
              <w:t>0.</w:t>
            </w:r>
            <w:r w:rsidR="00E71F75" w:rsidRPr="001E2734">
              <w:rPr>
                <w:szCs w:val="20"/>
              </w:rPr>
              <w:t>0</w:t>
            </w:r>
            <w:r w:rsidRPr="00941246">
              <w:rPr>
                <w:szCs w:val="20"/>
              </w:rPr>
              <w:t>%</w:t>
            </w:r>
            <w:r>
              <w:rPr>
                <w:szCs w:val="20"/>
              </w:rPr>
              <w:t>)</w:t>
            </w:r>
          </w:p>
        </w:tc>
        <w:tc>
          <w:tcPr>
            <w:tcW w:w="1000" w:type="pct"/>
          </w:tcPr>
          <w:p w14:paraId="50E43CE3" w14:textId="77777777" w:rsidR="00CD0134" w:rsidRPr="00941246" w:rsidRDefault="00E71F75"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0</w:t>
            </w:r>
            <w:r w:rsidR="004D41C2">
              <w:rPr>
                <w:szCs w:val="20"/>
              </w:rPr>
              <w:br/>
              <w:t>(0.0%)</w:t>
            </w:r>
          </w:p>
        </w:tc>
        <w:tc>
          <w:tcPr>
            <w:tcW w:w="1000" w:type="pct"/>
          </w:tcPr>
          <w:p w14:paraId="5F00C068" w14:textId="77777777" w:rsidR="00CD0134" w:rsidRPr="00941246" w:rsidRDefault="00001BA1"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0</w:t>
            </w:r>
            <w:r>
              <w:rPr>
                <w:szCs w:val="20"/>
              </w:rPr>
              <w:br/>
              <w:t>(</w:t>
            </w:r>
            <w:r w:rsidRPr="00941246">
              <w:rPr>
                <w:szCs w:val="20"/>
              </w:rPr>
              <w:t>0.</w:t>
            </w:r>
            <w:r w:rsidR="00E71F75" w:rsidRPr="001E2734">
              <w:rPr>
                <w:szCs w:val="20"/>
              </w:rPr>
              <w:t>0</w:t>
            </w:r>
            <w:r w:rsidRPr="00941246">
              <w:rPr>
                <w:szCs w:val="20"/>
              </w:rPr>
              <w:t>%</w:t>
            </w:r>
            <w:r>
              <w:rPr>
                <w:szCs w:val="20"/>
              </w:rPr>
              <w:t>)</w:t>
            </w:r>
          </w:p>
        </w:tc>
        <w:tc>
          <w:tcPr>
            <w:tcW w:w="1000" w:type="pct"/>
          </w:tcPr>
          <w:p w14:paraId="3AE23DDB" w14:textId="77777777" w:rsidR="00CD0134" w:rsidRPr="004C3F13" w:rsidRDefault="00917715"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sidRPr="001E2734">
              <w:rPr>
                <w:szCs w:val="20"/>
              </w:rPr>
              <w:t xml:space="preserve">0 </w:t>
            </w:r>
            <w:r>
              <w:rPr>
                <w:szCs w:val="20"/>
              </w:rPr>
              <w:br/>
            </w:r>
            <w:r w:rsidRPr="001E2734">
              <w:rPr>
                <w:szCs w:val="20"/>
              </w:rPr>
              <w:t>(0.0%)</w:t>
            </w:r>
          </w:p>
        </w:tc>
      </w:tr>
      <w:tr w:rsidR="002E5B6F" w:rsidRPr="009256F7" w14:paraId="77527DE9"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0977EAF1" w14:textId="77777777" w:rsidR="00CD0134" w:rsidRPr="00E90673" w:rsidRDefault="00CD0134" w:rsidP="000730D0">
            <w:pPr>
              <w:pStyle w:val="TableText"/>
              <w:rPr>
                <w:szCs w:val="20"/>
              </w:rPr>
            </w:pPr>
            <w:proofErr w:type="spellStart"/>
            <w:r w:rsidRPr="009256F7">
              <w:t>Anaplastology</w:t>
            </w:r>
            <w:proofErr w:type="spellEnd"/>
          </w:p>
        </w:tc>
        <w:tc>
          <w:tcPr>
            <w:tcW w:w="1000" w:type="pct"/>
          </w:tcPr>
          <w:p w14:paraId="587CE83B" w14:textId="77777777" w:rsidR="00CD0134" w:rsidRDefault="00001BA1"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0</w:t>
            </w:r>
            <w:r w:rsidR="00E71F75" w:rsidRPr="001E2734">
              <w:rPr>
                <w:szCs w:val="20"/>
              </w:rPr>
              <w:t xml:space="preserve"> </w:t>
            </w:r>
            <w:r>
              <w:rPr>
                <w:szCs w:val="20"/>
              </w:rPr>
              <w:br/>
              <w:t>(</w:t>
            </w:r>
            <w:r w:rsidRPr="00941246">
              <w:rPr>
                <w:szCs w:val="20"/>
              </w:rPr>
              <w:t>0.</w:t>
            </w:r>
            <w:r w:rsidR="00E71F75" w:rsidRPr="001E2734">
              <w:rPr>
                <w:szCs w:val="20"/>
              </w:rPr>
              <w:t>0</w:t>
            </w:r>
            <w:r w:rsidRPr="00941246">
              <w:rPr>
                <w:szCs w:val="20"/>
              </w:rPr>
              <w:t>%</w:t>
            </w:r>
            <w:r>
              <w:rPr>
                <w:szCs w:val="20"/>
              </w:rPr>
              <w:t>)</w:t>
            </w:r>
          </w:p>
        </w:tc>
        <w:tc>
          <w:tcPr>
            <w:tcW w:w="1000" w:type="pct"/>
          </w:tcPr>
          <w:p w14:paraId="4AE6009E" w14:textId="77777777" w:rsidR="00CD0134" w:rsidRPr="00941246" w:rsidRDefault="00917715"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18</w:t>
            </w:r>
            <w:r w:rsidR="00B64784">
              <w:rPr>
                <w:szCs w:val="20"/>
              </w:rPr>
              <w:br/>
              <w:t>(94.7%)</w:t>
            </w:r>
          </w:p>
        </w:tc>
        <w:tc>
          <w:tcPr>
            <w:tcW w:w="1000" w:type="pct"/>
          </w:tcPr>
          <w:p w14:paraId="74B2776D" w14:textId="77777777" w:rsidR="00CD0134" w:rsidRPr="00941246" w:rsidRDefault="00001BA1"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0</w:t>
            </w:r>
            <w:r w:rsidR="00E71F75" w:rsidRPr="001E2734">
              <w:rPr>
                <w:szCs w:val="20"/>
              </w:rPr>
              <w:t xml:space="preserve"> </w:t>
            </w:r>
            <w:r>
              <w:rPr>
                <w:szCs w:val="20"/>
              </w:rPr>
              <w:br/>
              <w:t>(</w:t>
            </w:r>
            <w:r w:rsidRPr="00941246">
              <w:rPr>
                <w:szCs w:val="20"/>
              </w:rPr>
              <w:t>0.</w:t>
            </w:r>
            <w:r w:rsidR="00E71F75" w:rsidRPr="001E2734">
              <w:rPr>
                <w:szCs w:val="20"/>
              </w:rPr>
              <w:t>0</w:t>
            </w:r>
            <w:r w:rsidRPr="00941246">
              <w:rPr>
                <w:szCs w:val="20"/>
              </w:rPr>
              <w:t>%</w:t>
            </w:r>
            <w:r>
              <w:rPr>
                <w:szCs w:val="20"/>
              </w:rPr>
              <w:t>)</w:t>
            </w:r>
          </w:p>
        </w:tc>
        <w:tc>
          <w:tcPr>
            <w:tcW w:w="1000" w:type="pct"/>
          </w:tcPr>
          <w:p w14:paraId="7D9C7C1E" w14:textId="77777777" w:rsidR="00CD0134" w:rsidRPr="004C3F13" w:rsidRDefault="009E1A03"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1</w:t>
            </w:r>
            <w:r w:rsidR="002A7FA0">
              <w:rPr>
                <w:szCs w:val="20"/>
              </w:rPr>
              <w:br/>
              <w:t>(5.3%)</w:t>
            </w:r>
          </w:p>
        </w:tc>
      </w:tr>
      <w:tr w:rsidR="002E5B6F" w:rsidRPr="009256F7" w14:paraId="6DB990A8"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32B54CF4" w14:textId="77777777" w:rsidR="00CD0134" w:rsidRPr="00E90673" w:rsidRDefault="00CD0134" w:rsidP="000730D0">
            <w:pPr>
              <w:pStyle w:val="TableText"/>
              <w:rPr>
                <w:szCs w:val="20"/>
              </w:rPr>
            </w:pPr>
            <w:r w:rsidRPr="009256F7">
              <w:t>Dentistry / dental oncology</w:t>
            </w:r>
          </w:p>
        </w:tc>
        <w:tc>
          <w:tcPr>
            <w:tcW w:w="1000" w:type="pct"/>
          </w:tcPr>
          <w:p w14:paraId="70560979" w14:textId="77777777" w:rsidR="00CD0134" w:rsidRDefault="00001BA1"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0</w:t>
            </w:r>
            <w:r w:rsidR="00E71F75" w:rsidRPr="001E2734">
              <w:rPr>
                <w:szCs w:val="20"/>
              </w:rPr>
              <w:t xml:space="preserve"> </w:t>
            </w:r>
            <w:r>
              <w:rPr>
                <w:szCs w:val="20"/>
              </w:rPr>
              <w:br/>
              <w:t>(</w:t>
            </w:r>
            <w:r w:rsidRPr="00941246">
              <w:rPr>
                <w:szCs w:val="20"/>
              </w:rPr>
              <w:t>0.</w:t>
            </w:r>
            <w:r w:rsidR="00E71F75" w:rsidRPr="001E2734">
              <w:rPr>
                <w:szCs w:val="20"/>
              </w:rPr>
              <w:t>0</w:t>
            </w:r>
            <w:r w:rsidRPr="00941246">
              <w:rPr>
                <w:szCs w:val="20"/>
              </w:rPr>
              <w:t>%</w:t>
            </w:r>
            <w:r>
              <w:rPr>
                <w:szCs w:val="20"/>
              </w:rPr>
              <w:t>)</w:t>
            </w:r>
          </w:p>
        </w:tc>
        <w:tc>
          <w:tcPr>
            <w:tcW w:w="1000" w:type="pct"/>
          </w:tcPr>
          <w:p w14:paraId="2FB6692F" w14:textId="77777777" w:rsidR="00CD0134" w:rsidRPr="00941246" w:rsidRDefault="00917715"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1</w:t>
            </w:r>
            <w:r w:rsidR="009E5AA6">
              <w:rPr>
                <w:szCs w:val="20"/>
              </w:rPr>
              <w:t>1</w:t>
            </w:r>
            <w:r w:rsidR="008A27F5">
              <w:rPr>
                <w:szCs w:val="20"/>
              </w:rPr>
              <w:br/>
              <w:t>(78.6%)</w:t>
            </w:r>
          </w:p>
        </w:tc>
        <w:tc>
          <w:tcPr>
            <w:tcW w:w="1000" w:type="pct"/>
          </w:tcPr>
          <w:p w14:paraId="03EDFE3A" w14:textId="77777777" w:rsidR="00CD0134" w:rsidRPr="00941246" w:rsidRDefault="00001BA1"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0</w:t>
            </w:r>
            <w:r w:rsidR="00E71F75" w:rsidRPr="001E2734">
              <w:rPr>
                <w:szCs w:val="20"/>
              </w:rPr>
              <w:t xml:space="preserve"> </w:t>
            </w:r>
            <w:r>
              <w:rPr>
                <w:szCs w:val="20"/>
              </w:rPr>
              <w:br/>
              <w:t>(</w:t>
            </w:r>
            <w:r w:rsidRPr="00941246">
              <w:rPr>
                <w:szCs w:val="20"/>
              </w:rPr>
              <w:t>0.</w:t>
            </w:r>
            <w:r w:rsidR="00E71F75" w:rsidRPr="001E2734">
              <w:rPr>
                <w:szCs w:val="20"/>
              </w:rPr>
              <w:t>0</w:t>
            </w:r>
            <w:r w:rsidRPr="00941246">
              <w:rPr>
                <w:szCs w:val="20"/>
              </w:rPr>
              <w:t>%</w:t>
            </w:r>
            <w:r>
              <w:rPr>
                <w:szCs w:val="20"/>
              </w:rPr>
              <w:t>)</w:t>
            </w:r>
          </w:p>
        </w:tc>
        <w:tc>
          <w:tcPr>
            <w:tcW w:w="1000" w:type="pct"/>
          </w:tcPr>
          <w:p w14:paraId="5C3EBBDA" w14:textId="77777777" w:rsidR="00CD0134" w:rsidRPr="004C3F13" w:rsidRDefault="009E1A03"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3</w:t>
            </w:r>
            <w:r w:rsidR="008D5DF4">
              <w:rPr>
                <w:szCs w:val="20"/>
              </w:rPr>
              <w:br/>
              <w:t>(21.4%)</w:t>
            </w:r>
          </w:p>
        </w:tc>
      </w:tr>
      <w:tr w:rsidR="002E5B6F" w:rsidRPr="009256F7" w14:paraId="6D4B648F"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02EF5D8B" w14:textId="77777777" w:rsidR="00CD0134" w:rsidRPr="00E90673" w:rsidRDefault="00CD0134" w:rsidP="000730D0">
            <w:pPr>
              <w:pStyle w:val="TableText"/>
              <w:rPr>
                <w:szCs w:val="20"/>
              </w:rPr>
            </w:pPr>
            <w:r w:rsidRPr="009256F7">
              <w:t>Lymphatic system</w:t>
            </w:r>
          </w:p>
        </w:tc>
        <w:tc>
          <w:tcPr>
            <w:tcW w:w="1000" w:type="pct"/>
          </w:tcPr>
          <w:p w14:paraId="33E44F2D" w14:textId="77777777" w:rsidR="00CD0134" w:rsidRDefault="00001BA1"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0</w:t>
            </w:r>
            <w:r w:rsidR="00E71F75" w:rsidRPr="001E2734">
              <w:rPr>
                <w:szCs w:val="20"/>
              </w:rPr>
              <w:t xml:space="preserve"> </w:t>
            </w:r>
            <w:r>
              <w:rPr>
                <w:szCs w:val="20"/>
              </w:rPr>
              <w:br/>
              <w:t>(</w:t>
            </w:r>
            <w:r w:rsidRPr="00941246">
              <w:rPr>
                <w:szCs w:val="20"/>
              </w:rPr>
              <w:t>0.</w:t>
            </w:r>
            <w:r w:rsidR="00E71F75" w:rsidRPr="001E2734">
              <w:rPr>
                <w:szCs w:val="20"/>
              </w:rPr>
              <w:t>0</w:t>
            </w:r>
            <w:r w:rsidRPr="00941246">
              <w:rPr>
                <w:szCs w:val="20"/>
              </w:rPr>
              <w:t>%</w:t>
            </w:r>
            <w:r>
              <w:rPr>
                <w:szCs w:val="20"/>
              </w:rPr>
              <w:t>)</w:t>
            </w:r>
          </w:p>
        </w:tc>
        <w:tc>
          <w:tcPr>
            <w:tcW w:w="1000" w:type="pct"/>
          </w:tcPr>
          <w:p w14:paraId="58BE353C" w14:textId="77777777" w:rsidR="00CD0134" w:rsidRPr="00941246" w:rsidRDefault="00917715"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6</w:t>
            </w:r>
            <w:r w:rsidR="00847D9E">
              <w:rPr>
                <w:szCs w:val="20"/>
              </w:rPr>
              <w:br/>
              <w:t>(75.0%)</w:t>
            </w:r>
          </w:p>
        </w:tc>
        <w:tc>
          <w:tcPr>
            <w:tcW w:w="1000" w:type="pct"/>
          </w:tcPr>
          <w:p w14:paraId="140D1F02" w14:textId="77777777" w:rsidR="00CD0134" w:rsidRPr="00941246" w:rsidRDefault="00001BA1"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0</w:t>
            </w:r>
            <w:r w:rsidR="00E71F75" w:rsidRPr="001E2734">
              <w:rPr>
                <w:szCs w:val="20"/>
              </w:rPr>
              <w:t xml:space="preserve"> </w:t>
            </w:r>
            <w:r>
              <w:rPr>
                <w:szCs w:val="20"/>
              </w:rPr>
              <w:br/>
              <w:t>(</w:t>
            </w:r>
            <w:r w:rsidRPr="00941246">
              <w:rPr>
                <w:szCs w:val="20"/>
              </w:rPr>
              <w:t>0.</w:t>
            </w:r>
            <w:r w:rsidR="00E71F75" w:rsidRPr="001E2734">
              <w:rPr>
                <w:szCs w:val="20"/>
              </w:rPr>
              <w:t>0</w:t>
            </w:r>
            <w:r w:rsidRPr="00941246">
              <w:rPr>
                <w:szCs w:val="20"/>
              </w:rPr>
              <w:t>%</w:t>
            </w:r>
            <w:r>
              <w:rPr>
                <w:szCs w:val="20"/>
              </w:rPr>
              <w:t>)</w:t>
            </w:r>
          </w:p>
        </w:tc>
        <w:tc>
          <w:tcPr>
            <w:tcW w:w="1000" w:type="pct"/>
          </w:tcPr>
          <w:p w14:paraId="566B4BE5" w14:textId="77777777" w:rsidR="00CD0134" w:rsidRPr="004C3F13" w:rsidRDefault="009E1A03"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2</w:t>
            </w:r>
            <w:r w:rsidR="005B20B1">
              <w:rPr>
                <w:szCs w:val="20"/>
              </w:rPr>
              <w:br/>
              <w:t>(25.0%)</w:t>
            </w:r>
          </w:p>
        </w:tc>
      </w:tr>
      <w:tr w:rsidR="002E5B6F" w:rsidRPr="009256F7" w14:paraId="37045A21"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005DB006" w14:textId="77777777" w:rsidR="00CD0134" w:rsidRPr="00E90673" w:rsidRDefault="00CD0134" w:rsidP="000730D0">
            <w:pPr>
              <w:pStyle w:val="TableText"/>
              <w:rPr>
                <w:szCs w:val="20"/>
              </w:rPr>
            </w:pPr>
            <w:r w:rsidRPr="009256F7">
              <w:t>Oncology</w:t>
            </w:r>
          </w:p>
        </w:tc>
        <w:tc>
          <w:tcPr>
            <w:tcW w:w="1000" w:type="pct"/>
          </w:tcPr>
          <w:p w14:paraId="25368337" w14:textId="77777777" w:rsidR="00CD0134" w:rsidRDefault="00001BA1"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0</w:t>
            </w:r>
            <w:r w:rsidR="00E71F75" w:rsidRPr="001E2734">
              <w:rPr>
                <w:szCs w:val="20"/>
              </w:rPr>
              <w:t xml:space="preserve"> </w:t>
            </w:r>
            <w:r>
              <w:rPr>
                <w:szCs w:val="20"/>
              </w:rPr>
              <w:br/>
              <w:t>(</w:t>
            </w:r>
            <w:r w:rsidRPr="00941246">
              <w:rPr>
                <w:szCs w:val="20"/>
              </w:rPr>
              <w:t>0.</w:t>
            </w:r>
            <w:r w:rsidR="00E71F75" w:rsidRPr="001E2734">
              <w:rPr>
                <w:szCs w:val="20"/>
              </w:rPr>
              <w:t>0</w:t>
            </w:r>
            <w:r w:rsidRPr="00941246">
              <w:rPr>
                <w:szCs w:val="20"/>
              </w:rPr>
              <w:t>%</w:t>
            </w:r>
            <w:r>
              <w:rPr>
                <w:szCs w:val="20"/>
              </w:rPr>
              <w:t>)</w:t>
            </w:r>
          </w:p>
        </w:tc>
        <w:tc>
          <w:tcPr>
            <w:tcW w:w="1000" w:type="pct"/>
          </w:tcPr>
          <w:p w14:paraId="37548ED4" w14:textId="77777777" w:rsidR="00CD0134" w:rsidRPr="00941246" w:rsidRDefault="00665372"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22</w:t>
            </w:r>
            <w:r w:rsidR="005B20B1">
              <w:rPr>
                <w:szCs w:val="20"/>
              </w:rPr>
              <w:br/>
              <w:t>(95.7%)</w:t>
            </w:r>
          </w:p>
        </w:tc>
        <w:tc>
          <w:tcPr>
            <w:tcW w:w="1000" w:type="pct"/>
          </w:tcPr>
          <w:p w14:paraId="41F82592" w14:textId="77777777" w:rsidR="00CD0134" w:rsidRPr="00941246" w:rsidRDefault="00001BA1"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0</w:t>
            </w:r>
            <w:r w:rsidR="00E71F75" w:rsidRPr="001E2734">
              <w:rPr>
                <w:szCs w:val="20"/>
              </w:rPr>
              <w:t xml:space="preserve"> </w:t>
            </w:r>
            <w:r>
              <w:rPr>
                <w:szCs w:val="20"/>
              </w:rPr>
              <w:br/>
              <w:t>(</w:t>
            </w:r>
            <w:r w:rsidRPr="00941246">
              <w:rPr>
                <w:szCs w:val="20"/>
              </w:rPr>
              <w:t>0.</w:t>
            </w:r>
            <w:r w:rsidR="00E71F75" w:rsidRPr="001E2734">
              <w:rPr>
                <w:szCs w:val="20"/>
              </w:rPr>
              <w:t>0</w:t>
            </w:r>
            <w:r w:rsidRPr="00941246">
              <w:rPr>
                <w:szCs w:val="20"/>
              </w:rPr>
              <w:t>%</w:t>
            </w:r>
            <w:r>
              <w:rPr>
                <w:szCs w:val="20"/>
              </w:rPr>
              <w:t>)</w:t>
            </w:r>
          </w:p>
        </w:tc>
        <w:tc>
          <w:tcPr>
            <w:tcW w:w="1000" w:type="pct"/>
          </w:tcPr>
          <w:p w14:paraId="67C6219C" w14:textId="77777777" w:rsidR="00CD0134" w:rsidRPr="004C3F13" w:rsidRDefault="009E1A03"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1</w:t>
            </w:r>
            <w:r w:rsidR="001B3542">
              <w:rPr>
                <w:szCs w:val="20"/>
              </w:rPr>
              <w:br/>
              <w:t>(4.3%)</w:t>
            </w:r>
          </w:p>
        </w:tc>
      </w:tr>
      <w:tr w:rsidR="002E5B6F" w:rsidRPr="009256F7" w14:paraId="52D8AB66"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3D027283" w14:textId="77777777" w:rsidR="00CD0134" w:rsidRPr="00E90673" w:rsidRDefault="00CD0134" w:rsidP="000730D0">
            <w:pPr>
              <w:pStyle w:val="TableText"/>
              <w:rPr>
                <w:szCs w:val="20"/>
              </w:rPr>
            </w:pPr>
            <w:r w:rsidRPr="009256F7">
              <w:t>Oral and maxillofacial</w:t>
            </w:r>
          </w:p>
        </w:tc>
        <w:tc>
          <w:tcPr>
            <w:tcW w:w="1000" w:type="pct"/>
          </w:tcPr>
          <w:p w14:paraId="21EFF338" w14:textId="77777777" w:rsidR="00CD0134" w:rsidRDefault="00001BA1"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0</w:t>
            </w:r>
            <w:r w:rsidR="00E71F75" w:rsidRPr="001E2734">
              <w:rPr>
                <w:szCs w:val="20"/>
              </w:rPr>
              <w:t xml:space="preserve"> </w:t>
            </w:r>
            <w:r>
              <w:rPr>
                <w:szCs w:val="20"/>
              </w:rPr>
              <w:br/>
              <w:t>(</w:t>
            </w:r>
            <w:r w:rsidRPr="00941246">
              <w:rPr>
                <w:szCs w:val="20"/>
              </w:rPr>
              <w:t>0.</w:t>
            </w:r>
            <w:r w:rsidR="00E71F75" w:rsidRPr="001E2734">
              <w:rPr>
                <w:szCs w:val="20"/>
              </w:rPr>
              <w:t>0</w:t>
            </w:r>
            <w:r w:rsidRPr="00941246">
              <w:rPr>
                <w:szCs w:val="20"/>
              </w:rPr>
              <w:t>%</w:t>
            </w:r>
            <w:r>
              <w:rPr>
                <w:szCs w:val="20"/>
              </w:rPr>
              <w:t>)</w:t>
            </w:r>
          </w:p>
        </w:tc>
        <w:tc>
          <w:tcPr>
            <w:tcW w:w="1000" w:type="pct"/>
          </w:tcPr>
          <w:p w14:paraId="0D5266D7" w14:textId="77777777" w:rsidR="00CD0134" w:rsidRPr="00941246" w:rsidRDefault="00157E9A"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21</w:t>
            </w:r>
            <w:r w:rsidR="001D7330">
              <w:rPr>
                <w:szCs w:val="20"/>
              </w:rPr>
              <w:br/>
              <w:t>(87.5%)</w:t>
            </w:r>
          </w:p>
        </w:tc>
        <w:tc>
          <w:tcPr>
            <w:tcW w:w="1000" w:type="pct"/>
          </w:tcPr>
          <w:p w14:paraId="2D400220" w14:textId="77777777" w:rsidR="00CD0134" w:rsidRPr="00941246" w:rsidRDefault="00001BA1"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0</w:t>
            </w:r>
            <w:r w:rsidR="00E71F75" w:rsidRPr="001E2734">
              <w:rPr>
                <w:szCs w:val="20"/>
              </w:rPr>
              <w:t xml:space="preserve"> </w:t>
            </w:r>
            <w:r>
              <w:rPr>
                <w:szCs w:val="20"/>
              </w:rPr>
              <w:br/>
              <w:t>(</w:t>
            </w:r>
            <w:r w:rsidRPr="00941246">
              <w:rPr>
                <w:szCs w:val="20"/>
              </w:rPr>
              <w:t>0.</w:t>
            </w:r>
            <w:r w:rsidR="00E71F75" w:rsidRPr="001E2734">
              <w:rPr>
                <w:szCs w:val="20"/>
              </w:rPr>
              <w:t>0</w:t>
            </w:r>
            <w:r w:rsidRPr="00941246">
              <w:rPr>
                <w:szCs w:val="20"/>
              </w:rPr>
              <w:t>%</w:t>
            </w:r>
            <w:r>
              <w:rPr>
                <w:szCs w:val="20"/>
              </w:rPr>
              <w:t>)</w:t>
            </w:r>
          </w:p>
        </w:tc>
        <w:tc>
          <w:tcPr>
            <w:tcW w:w="1000" w:type="pct"/>
          </w:tcPr>
          <w:p w14:paraId="0B9E4C10" w14:textId="77777777" w:rsidR="00CD0134" w:rsidRPr="004C3F13" w:rsidRDefault="00AA6694"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3</w:t>
            </w:r>
            <w:r w:rsidR="001D7330">
              <w:rPr>
                <w:szCs w:val="20"/>
              </w:rPr>
              <w:br/>
            </w:r>
            <w:r w:rsidR="00C8017A">
              <w:rPr>
                <w:szCs w:val="20"/>
              </w:rPr>
              <w:t>(12.5%)</w:t>
            </w:r>
          </w:p>
        </w:tc>
      </w:tr>
      <w:tr w:rsidR="002E5B6F" w:rsidRPr="009256F7" w14:paraId="070AA7F5"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5D343AA0" w14:textId="77777777" w:rsidR="00CD0134" w:rsidRPr="00E90673" w:rsidRDefault="00CD0134" w:rsidP="000730D0">
            <w:pPr>
              <w:pStyle w:val="TableText"/>
              <w:rPr>
                <w:szCs w:val="20"/>
              </w:rPr>
            </w:pPr>
            <w:r w:rsidRPr="009256F7">
              <w:t>Otolaryngology head and neck surgery</w:t>
            </w:r>
          </w:p>
        </w:tc>
        <w:tc>
          <w:tcPr>
            <w:tcW w:w="1000" w:type="pct"/>
          </w:tcPr>
          <w:p w14:paraId="37B9EC69" w14:textId="77777777" w:rsidR="00CD0134" w:rsidRDefault="00001BA1"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0</w:t>
            </w:r>
            <w:r w:rsidR="00E71F75" w:rsidRPr="001E2734">
              <w:rPr>
                <w:szCs w:val="20"/>
              </w:rPr>
              <w:t xml:space="preserve"> </w:t>
            </w:r>
            <w:r>
              <w:rPr>
                <w:szCs w:val="20"/>
              </w:rPr>
              <w:br/>
              <w:t>(</w:t>
            </w:r>
            <w:r w:rsidRPr="00941246">
              <w:rPr>
                <w:szCs w:val="20"/>
              </w:rPr>
              <w:t>0.</w:t>
            </w:r>
            <w:r w:rsidR="00E71F75" w:rsidRPr="001E2734">
              <w:rPr>
                <w:szCs w:val="20"/>
              </w:rPr>
              <w:t>0</w:t>
            </w:r>
            <w:r w:rsidRPr="00941246">
              <w:rPr>
                <w:szCs w:val="20"/>
              </w:rPr>
              <w:t>%</w:t>
            </w:r>
            <w:r>
              <w:rPr>
                <w:szCs w:val="20"/>
              </w:rPr>
              <w:t>)</w:t>
            </w:r>
          </w:p>
        </w:tc>
        <w:tc>
          <w:tcPr>
            <w:tcW w:w="1000" w:type="pct"/>
          </w:tcPr>
          <w:p w14:paraId="72AF3B47" w14:textId="77777777" w:rsidR="00CD0134" w:rsidRPr="00941246" w:rsidRDefault="00157E9A"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20</w:t>
            </w:r>
            <w:r w:rsidR="00DC25F7">
              <w:rPr>
                <w:szCs w:val="20"/>
              </w:rPr>
              <w:br/>
              <w:t>(83.3%)</w:t>
            </w:r>
          </w:p>
        </w:tc>
        <w:tc>
          <w:tcPr>
            <w:tcW w:w="1000" w:type="pct"/>
          </w:tcPr>
          <w:p w14:paraId="47820968" w14:textId="77777777" w:rsidR="00CD0134" w:rsidRPr="00941246" w:rsidRDefault="00001BA1"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0</w:t>
            </w:r>
            <w:r w:rsidR="00E71F75" w:rsidRPr="001E2734">
              <w:rPr>
                <w:szCs w:val="20"/>
              </w:rPr>
              <w:t xml:space="preserve"> </w:t>
            </w:r>
            <w:r>
              <w:rPr>
                <w:szCs w:val="20"/>
              </w:rPr>
              <w:br/>
              <w:t>(</w:t>
            </w:r>
            <w:r w:rsidRPr="00941246">
              <w:rPr>
                <w:szCs w:val="20"/>
              </w:rPr>
              <w:t>0.</w:t>
            </w:r>
            <w:r w:rsidR="00E71F75" w:rsidRPr="001E2734">
              <w:rPr>
                <w:szCs w:val="20"/>
              </w:rPr>
              <w:t>0</w:t>
            </w:r>
            <w:r w:rsidRPr="00941246">
              <w:rPr>
                <w:szCs w:val="20"/>
              </w:rPr>
              <w:t>%</w:t>
            </w:r>
            <w:r>
              <w:rPr>
                <w:szCs w:val="20"/>
              </w:rPr>
              <w:t>)</w:t>
            </w:r>
          </w:p>
        </w:tc>
        <w:tc>
          <w:tcPr>
            <w:tcW w:w="1000" w:type="pct"/>
          </w:tcPr>
          <w:p w14:paraId="62AFA2EF" w14:textId="77777777" w:rsidR="00CD0134" w:rsidRPr="004C3F13" w:rsidRDefault="00AA6694"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4</w:t>
            </w:r>
            <w:r w:rsidR="00DC25F7">
              <w:rPr>
                <w:szCs w:val="20"/>
              </w:rPr>
              <w:br/>
              <w:t>(16.7%)</w:t>
            </w:r>
          </w:p>
        </w:tc>
      </w:tr>
      <w:tr w:rsidR="002E5B6F" w:rsidRPr="009256F7" w14:paraId="3F23A599"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3EDA2284" w14:textId="77777777" w:rsidR="00CD0134" w:rsidRPr="00E90673" w:rsidRDefault="00CD0134" w:rsidP="000730D0">
            <w:pPr>
              <w:pStyle w:val="TableText"/>
              <w:rPr>
                <w:szCs w:val="20"/>
              </w:rPr>
            </w:pPr>
            <w:r w:rsidRPr="009256F7">
              <w:t>Plastic and reconstructive surgery</w:t>
            </w:r>
          </w:p>
        </w:tc>
        <w:tc>
          <w:tcPr>
            <w:tcW w:w="1000" w:type="pct"/>
          </w:tcPr>
          <w:p w14:paraId="516B0ADA" w14:textId="77777777" w:rsidR="00CD0134" w:rsidRDefault="00001BA1"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0</w:t>
            </w:r>
            <w:r w:rsidR="00E71F75" w:rsidRPr="001E2734">
              <w:rPr>
                <w:szCs w:val="20"/>
              </w:rPr>
              <w:t xml:space="preserve"> </w:t>
            </w:r>
            <w:r>
              <w:rPr>
                <w:szCs w:val="20"/>
              </w:rPr>
              <w:br/>
              <w:t>(</w:t>
            </w:r>
            <w:r w:rsidRPr="00941246">
              <w:rPr>
                <w:szCs w:val="20"/>
              </w:rPr>
              <w:t>0.</w:t>
            </w:r>
            <w:r w:rsidR="00E71F75" w:rsidRPr="001E2734">
              <w:rPr>
                <w:szCs w:val="20"/>
              </w:rPr>
              <w:t>0</w:t>
            </w:r>
            <w:r w:rsidRPr="00941246">
              <w:rPr>
                <w:szCs w:val="20"/>
              </w:rPr>
              <w:t>%</w:t>
            </w:r>
            <w:r>
              <w:rPr>
                <w:szCs w:val="20"/>
              </w:rPr>
              <w:t>)</w:t>
            </w:r>
          </w:p>
        </w:tc>
        <w:tc>
          <w:tcPr>
            <w:tcW w:w="1000" w:type="pct"/>
          </w:tcPr>
          <w:p w14:paraId="128C326D" w14:textId="77777777" w:rsidR="00CD0134" w:rsidRPr="00941246" w:rsidRDefault="00917715"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4</w:t>
            </w:r>
            <w:r w:rsidR="00DC25F7">
              <w:rPr>
                <w:szCs w:val="20"/>
              </w:rPr>
              <w:br/>
              <w:t>(100.0%)</w:t>
            </w:r>
          </w:p>
        </w:tc>
        <w:tc>
          <w:tcPr>
            <w:tcW w:w="1000" w:type="pct"/>
          </w:tcPr>
          <w:p w14:paraId="27774249" w14:textId="77777777" w:rsidR="00CD0134" w:rsidRPr="00941246" w:rsidRDefault="00001BA1"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0</w:t>
            </w:r>
            <w:r w:rsidR="00E71F75" w:rsidRPr="001E2734">
              <w:rPr>
                <w:szCs w:val="20"/>
              </w:rPr>
              <w:t xml:space="preserve"> </w:t>
            </w:r>
            <w:r>
              <w:rPr>
                <w:szCs w:val="20"/>
              </w:rPr>
              <w:br/>
              <w:t>(</w:t>
            </w:r>
            <w:r w:rsidRPr="00941246">
              <w:rPr>
                <w:szCs w:val="20"/>
              </w:rPr>
              <w:t>0.</w:t>
            </w:r>
            <w:r w:rsidR="00E71F75" w:rsidRPr="001E2734">
              <w:rPr>
                <w:szCs w:val="20"/>
              </w:rPr>
              <w:t>0</w:t>
            </w:r>
            <w:r w:rsidRPr="00941246">
              <w:rPr>
                <w:szCs w:val="20"/>
              </w:rPr>
              <w:t>%</w:t>
            </w:r>
            <w:r>
              <w:rPr>
                <w:szCs w:val="20"/>
              </w:rPr>
              <w:t>)</w:t>
            </w:r>
          </w:p>
        </w:tc>
        <w:tc>
          <w:tcPr>
            <w:tcW w:w="1000" w:type="pct"/>
          </w:tcPr>
          <w:p w14:paraId="2536B753" w14:textId="77777777" w:rsidR="00CD0134" w:rsidRPr="004C3F13" w:rsidRDefault="00AA6694"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0</w:t>
            </w:r>
            <w:r w:rsidR="00191328">
              <w:rPr>
                <w:szCs w:val="20"/>
              </w:rPr>
              <w:br/>
              <w:t>(0.0%)</w:t>
            </w:r>
          </w:p>
        </w:tc>
      </w:tr>
      <w:tr w:rsidR="002E5B6F" w:rsidRPr="009256F7" w14:paraId="335F2455"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5594AC22" w14:textId="77777777" w:rsidR="00CD0134" w:rsidRPr="009256F7" w:rsidRDefault="00CD0134" w:rsidP="000730D0">
            <w:pPr>
              <w:pStyle w:val="TableText"/>
            </w:pPr>
            <w:r w:rsidRPr="009256F7">
              <w:t>Prosthodontics</w:t>
            </w:r>
          </w:p>
        </w:tc>
        <w:tc>
          <w:tcPr>
            <w:tcW w:w="1000" w:type="pct"/>
          </w:tcPr>
          <w:p w14:paraId="439C6E1E" w14:textId="77777777" w:rsidR="00CD0134" w:rsidRPr="009615A4" w:rsidRDefault="00001BA1"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0</w:t>
            </w:r>
            <w:r w:rsidR="00E71F75" w:rsidRPr="001E2734">
              <w:rPr>
                <w:szCs w:val="20"/>
              </w:rPr>
              <w:t xml:space="preserve"> </w:t>
            </w:r>
            <w:r>
              <w:rPr>
                <w:szCs w:val="20"/>
              </w:rPr>
              <w:br/>
              <w:t>(</w:t>
            </w:r>
            <w:r w:rsidRPr="00941246">
              <w:rPr>
                <w:szCs w:val="20"/>
              </w:rPr>
              <w:t>0.</w:t>
            </w:r>
            <w:r w:rsidR="00E71F75" w:rsidRPr="001E2734">
              <w:rPr>
                <w:szCs w:val="20"/>
              </w:rPr>
              <w:t>0</w:t>
            </w:r>
            <w:r w:rsidRPr="00941246">
              <w:rPr>
                <w:szCs w:val="20"/>
              </w:rPr>
              <w:t>%</w:t>
            </w:r>
            <w:r>
              <w:rPr>
                <w:szCs w:val="20"/>
              </w:rPr>
              <w:t>)</w:t>
            </w:r>
          </w:p>
        </w:tc>
        <w:tc>
          <w:tcPr>
            <w:tcW w:w="1000" w:type="pct"/>
          </w:tcPr>
          <w:p w14:paraId="63393F9A" w14:textId="77777777" w:rsidR="00CD0134" w:rsidRPr="00941246" w:rsidRDefault="00157E9A"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1</w:t>
            </w:r>
            <w:r w:rsidR="00191328">
              <w:rPr>
                <w:szCs w:val="20"/>
              </w:rPr>
              <w:br/>
              <w:t>(50.0%)</w:t>
            </w:r>
          </w:p>
        </w:tc>
        <w:tc>
          <w:tcPr>
            <w:tcW w:w="1000" w:type="pct"/>
          </w:tcPr>
          <w:p w14:paraId="2649D475" w14:textId="77777777" w:rsidR="00CD0134" w:rsidRPr="00941246" w:rsidRDefault="00001BA1"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0</w:t>
            </w:r>
            <w:r w:rsidR="00E71F75" w:rsidRPr="001E2734">
              <w:rPr>
                <w:szCs w:val="20"/>
              </w:rPr>
              <w:t xml:space="preserve"> </w:t>
            </w:r>
            <w:r>
              <w:rPr>
                <w:szCs w:val="20"/>
              </w:rPr>
              <w:br/>
              <w:t>(</w:t>
            </w:r>
            <w:r w:rsidRPr="00941246">
              <w:rPr>
                <w:szCs w:val="20"/>
              </w:rPr>
              <w:t>0.</w:t>
            </w:r>
            <w:r w:rsidR="00E71F75" w:rsidRPr="001E2734">
              <w:rPr>
                <w:szCs w:val="20"/>
              </w:rPr>
              <w:t>0</w:t>
            </w:r>
            <w:r w:rsidRPr="00941246">
              <w:rPr>
                <w:szCs w:val="20"/>
              </w:rPr>
              <w:t>%</w:t>
            </w:r>
            <w:r>
              <w:rPr>
                <w:szCs w:val="20"/>
              </w:rPr>
              <w:t>)</w:t>
            </w:r>
          </w:p>
        </w:tc>
        <w:tc>
          <w:tcPr>
            <w:tcW w:w="1000" w:type="pct"/>
          </w:tcPr>
          <w:p w14:paraId="79685A5A" w14:textId="77777777" w:rsidR="00CD0134" w:rsidRPr="00941246" w:rsidRDefault="00AA6694"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1</w:t>
            </w:r>
            <w:r w:rsidR="00191328">
              <w:rPr>
                <w:szCs w:val="20"/>
              </w:rPr>
              <w:br/>
              <w:t>(50.0%)</w:t>
            </w:r>
          </w:p>
        </w:tc>
      </w:tr>
      <w:tr w:rsidR="002E5B6F" w:rsidRPr="009256F7" w14:paraId="72162CBD"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6401B19C" w14:textId="77777777" w:rsidR="00CD0134" w:rsidRDefault="00CD0134" w:rsidP="000730D0">
            <w:pPr>
              <w:pStyle w:val="TableText"/>
              <w:rPr>
                <w:szCs w:val="20"/>
              </w:rPr>
            </w:pPr>
            <w:r w:rsidRPr="009256F7">
              <w:t>Psychology or social work</w:t>
            </w:r>
          </w:p>
        </w:tc>
        <w:tc>
          <w:tcPr>
            <w:tcW w:w="1000" w:type="pct"/>
          </w:tcPr>
          <w:p w14:paraId="30079A9E" w14:textId="77777777" w:rsidR="00CD0134" w:rsidRPr="005954C3" w:rsidRDefault="00001BA1"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0</w:t>
            </w:r>
            <w:r w:rsidR="00E71F75" w:rsidRPr="001E2734">
              <w:rPr>
                <w:szCs w:val="20"/>
              </w:rPr>
              <w:t xml:space="preserve"> </w:t>
            </w:r>
            <w:r>
              <w:rPr>
                <w:szCs w:val="20"/>
              </w:rPr>
              <w:br/>
              <w:t>(</w:t>
            </w:r>
            <w:r w:rsidRPr="00941246">
              <w:rPr>
                <w:szCs w:val="20"/>
              </w:rPr>
              <w:t>0.</w:t>
            </w:r>
            <w:r w:rsidR="00E71F75" w:rsidRPr="001E2734">
              <w:rPr>
                <w:szCs w:val="20"/>
              </w:rPr>
              <w:t>0</w:t>
            </w:r>
            <w:r w:rsidRPr="00941246">
              <w:rPr>
                <w:szCs w:val="20"/>
              </w:rPr>
              <w:t>%</w:t>
            </w:r>
            <w:r>
              <w:rPr>
                <w:szCs w:val="20"/>
              </w:rPr>
              <w:t>)</w:t>
            </w:r>
          </w:p>
        </w:tc>
        <w:tc>
          <w:tcPr>
            <w:tcW w:w="1000" w:type="pct"/>
          </w:tcPr>
          <w:p w14:paraId="2EC37D49" w14:textId="77777777" w:rsidR="00CD0134" w:rsidRPr="00941246" w:rsidRDefault="00191328"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6</w:t>
            </w:r>
            <w:r>
              <w:rPr>
                <w:szCs w:val="20"/>
              </w:rPr>
              <w:br/>
              <w:t>(100.0%)</w:t>
            </w:r>
          </w:p>
        </w:tc>
        <w:tc>
          <w:tcPr>
            <w:tcW w:w="1000" w:type="pct"/>
          </w:tcPr>
          <w:p w14:paraId="1CAA23DA" w14:textId="77777777" w:rsidR="00CD0134" w:rsidRPr="00941246" w:rsidRDefault="00001BA1"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0</w:t>
            </w:r>
            <w:r w:rsidR="00E71F75" w:rsidRPr="001E2734">
              <w:rPr>
                <w:szCs w:val="20"/>
              </w:rPr>
              <w:t xml:space="preserve"> </w:t>
            </w:r>
            <w:r>
              <w:rPr>
                <w:szCs w:val="20"/>
              </w:rPr>
              <w:br/>
              <w:t>(</w:t>
            </w:r>
            <w:r w:rsidRPr="00941246">
              <w:rPr>
                <w:szCs w:val="20"/>
              </w:rPr>
              <w:t>0.</w:t>
            </w:r>
            <w:r w:rsidR="00E71F75" w:rsidRPr="001E2734">
              <w:rPr>
                <w:szCs w:val="20"/>
              </w:rPr>
              <w:t>0</w:t>
            </w:r>
            <w:r w:rsidRPr="00941246">
              <w:rPr>
                <w:szCs w:val="20"/>
              </w:rPr>
              <w:t>%</w:t>
            </w:r>
            <w:r>
              <w:rPr>
                <w:szCs w:val="20"/>
              </w:rPr>
              <w:t>)</w:t>
            </w:r>
          </w:p>
        </w:tc>
        <w:tc>
          <w:tcPr>
            <w:tcW w:w="1000" w:type="pct"/>
          </w:tcPr>
          <w:p w14:paraId="462E1CDD" w14:textId="77777777" w:rsidR="00CD0134" w:rsidRPr="00941246" w:rsidRDefault="00191328"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sidRPr="001E2734">
              <w:rPr>
                <w:szCs w:val="20"/>
              </w:rPr>
              <w:t xml:space="preserve">0 </w:t>
            </w:r>
            <w:r>
              <w:rPr>
                <w:szCs w:val="20"/>
              </w:rPr>
              <w:br/>
            </w:r>
            <w:r w:rsidRPr="001E2734">
              <w:rPr>
                <w:szCs w:val="20"/>
              </w:rPr>
              <w:t>(0.0%)</w:t>
            </w:r>
          </w:p>
        </w:tc>
      </w:tr>
      <w:tr w:rsidR="002E5B6F" w:rsidRPr="009256F7" w14:paraId="62E9B880"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57BF426C" w14:textId="77777777" w:rsidR="00CD0134" w:rsidRPr="00E90673" w:rsidRDefault="00CD0134" w:rsidP="000730D0">
            <w:pPr>
              <w:pStyle w:val="TableText"/>
              <w:rPr>
                <w:szCs w:val="20"/>
              </w:rPr>
            </w:pPr>
            <w:r w:rsidRPr="009256F7">
              <w:t>Research / academia</w:t>
            </w:r>
          </w:p>
        </w:tc>
        <w:tc>
          <w:tcPr>
            <w:tcW w:w="1000" w:type="pct"/>
          </w:tcPr>
          <w:p w14:paraId="5F641B80" w14:textId="77777777" w:rsidR="00CD0134" w:rsidRPr="005954C3" w:rsidRDefault="00001BA1"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0</w:t>
            </w:r>
            <w:r w:rsidR="00E71F75" w:rsidRPr="001E2734">
              <w:rPr>
                <w:szCs w:val="20"/>
              </w:rPr>
              <w:t xml:space="preserve"> </w:t>
            </w:r>
            <w:r>
              <w:rPr>
                <w:szCs w:val="20"/>
              </w:rPr>
              <w:br/>
              <w:t>(</w:t>
            </w:r>
            <w:r w:rsidRPr="00941246">
              <w:rPr>
                <w:szCs w:val="20"/>
              </w:rPr>
              <w:t>0.</w:t>
            </w:r>
            <w:r w:rsidR="00E71F75" w:rsidRPr="001E2734">
              <w:rPr>
                <w:szCs w:val="20"/>
              </w:rPr>
              <w:t>0</w:t>
            </w:r>
            <w:r w:rsidRPr="00941246">
              <w:rPr>
                <w:szCs w:val="20"/>
              </w:rPr>
              <w:t>%</w:t>
            </w:r>
            <w:r>
              <w:rPr>
                <w:szCs w:val="20"/>
              </w:rPr>
              <w:t>)</w:t>
            </w:r>
          </w:p>
        </w:tc>
        <w:tc>
          <w:tcPr>
            <w:tcW w:w="1000" w:type="pct"/>
          </w:tcPr>
          <w:p w14:paraId="1E7FD76B" w14:textId="77777777" w:rsidR="00CD0134" w:rsidRPr="00941246" w:rsidRDefault="00191328"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3</w:t>
            </w:r>
            <w:r>
              <w:rPr>
                <w:szCs w:val="20"/>
              </w:rPr>
              <w:br/>
              <w:t>(100.0%)</w:t>
            </w:r>
          </w:p>
        </w:tc>
        <w:tc>
          <w:tcPr>
            <w:tcW w:w="1000" w:type="pct"/>
          </w:tcPr>
          <w:p w14:paraId="2977D626" w14:textId="77777777" w:rsidR="00CD0134" w:rsidRPr="00941246" w:rsidRDefault="00001BA1"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0</w:t>
            </w:r>
            <w:r w:rsidR="00E71F75" w:rsidRPr="001E2734">
              <w:rPr>
                <w:szCs w:val="20"/>
              </w:rPr>
              <w:t xml:space="preserve"> </w:t>
            </w:r>
            <w:r>
              <w:rPr>
                <w:szCs w:val="20"/>
              </w:rPr>
              <w:br/>
              <w:t>(</w:t>
            </w:r>
            <w:r w:rsidRPr="00941246">
              <w:rPr>
                <w:szCs w:val="20"/>
              </w:rPr>
              <w:t>0.</w:t>
            </w:r>
            <w:r w:rsidR="00E71F75" w:rsidRPr="001E2734">
              <w:rPr>
                <w:szCs w:val="20"/>
              </w:rPr>
              <w:t>0</w:t>
            </w:r>
            <w:r w:rsidRPr="00941246">
              <w:rPr>
                <w:szCs w:val="20"/>
              </w:rPr>
              <w:t>%</w:t>
            </w:r>
            <w:r>
              <w:rPr>
                <w:szCs w:val="20"/>
              </w:rPr>
              <w:t>)</w:t>
            </w:r>
          </w:p>
        </w:tc>
        <w:tc>
          <w:tcPr>
            <w:tcW w:w="1000" w:type="pct"/>
          </w:tcPr>
          <w:p w14:paraId="755F4512" w14:textId="77777777" w:rsidR="00CD0134" w:rsidRPr="00941246" w:rsidRDefault="00191328"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sidRPr="001E2734">
              <w:rPr>
                <w:szCs w:val="20"/>
              </w:rPr>
              <w:t xml:space="preserve">0 </w:t>
            </w:r>
            <w:r>
              <w:rPr>
                <w:szCs w:val="20"/>
              </w:rPr>
              <w:br/>
            </w:r>
            <w:r w:rsidRPr="001E2734">
              <w:rPr>
                <w:szCs w:val="20"/>
              </w:rPr>
              <w:t>(0.0%)</w:t>
            </w:r>
          </w:p>
        </w:tc>
      </w:tr>
      <w:tr w:rsidR="002E5B6F" w:rsidRPr="009256F7" w14:paraId="07A5318B"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3B57F52B" w14:textId="77777777" w:rsidR="00CD0134" w:rsidRDefault="00CD0134" w:rsidP="000730D0">
            <w:pPr>
              <w:pStyle w:val="TableText"/>
              <w:rPr>
                <w:szCs w:val="20"/>
              </w:rPr>
            </w:pPr>
            <w:r w:rsidRPr="009256F7">
              <w:t>Speech pathology</w:t>
            </w:r>
          </w:p>
        </w:tc>
        <w:tc>
          <w:tcPr>
            <w:tcW w:w="1000" w:type="pct"/>
          </w:tcPr>
          <w:p w14:paraId="38655753" w14:textId="77777777" w:rsidR="00CD0134" w:rsidRPr="005954C3" w:rsidRDefault="00001BA1"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0</w:t>
            </w:r>
            <w:r w:rsidR="00E71F75" w:rsidRPr="001E2734">
              <w:rPr>
                <w:szCs w:val="20"/>
              </w:rPr>
              <w:t xml:space="preserve"> </w:t>
            </w:r>
            <w:r>
              <w:rPr>
                <w:szCs w:val="20"/>
              </w:rPr>
              <w:br/>
              <w:t>(</w:t>
            </w:r>
            <w:r w:rsidRPr="00941246">
              <w:rPr>
                <w:szCs w:val="20"/>
              </w:rPr>
              <w:t>0.</w:t>
            </w:r>
            <w:r w:rsidR="00E71F75" w:rsidRPr="001E2734">
              <w:rPr>
                <w:szCs w:val="20"/>
              </w:rPr>
              <w:t>0</w:t>
            </w:r>
            <w:r w:rsidRPr="00941246">
              <w:rPr>
                <w:szCs w:val="20"/>
              </w:rPr>
              <w:t>%</w:t>
            </w:r>
            <w:r>
              <w:rPr>
                <w:szCs w:val="20"/>
              </w:rPr>
              <w:t>)</w:t>
            </w:r>
          </w:p>
        </w:tc>
        <w:tc>
          <w:tcPr>
            <w:tcW w:w="1000" w:type="pct"/>
          </w:tcPr>
          <w:p w14:paraId="22D3E9CA" w14:textId="77777777" w:rsidR="00CD0134" w:rsidRPr="00941246" w:rsidRDefault="003C47AD"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8</w:t>
            </w:r>
            <w:r w:rsidR="007D5095">
              <w:rPr>
                <w:szCs w:val="20"/>
              </w:rPr>
              <w:br/>
              <w:t>(88.9%)</w:t>
            </w:r>
          </w:p>
        </w:tc>
        <w:tc>
          <w:tcPr>
            <w:tcW w:w="1000" w:type="pct"/>
          </w:tcPr>
          <w:p w14:paraId="36BCADAB" w14:textId="77777777" w:rsidR="00CD0134" w:rsidRPr="00941246" w:rsidRDefault="00001BA1"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0</w:t>
            </w:r>
            <w:r w:rsidR="00E71F75" w:rsidRPr="001E2734">
              <w:rPr>
                <w:szCs w:val="20"/>
              </w:rPr>
              <w:t xml:space="preserve"> </w:t>
            </w:r>
            <w:r>
              <w:rPr>
                <w:szCs w:val="20"/>
              </w:rPr>
              <w:br/>
              <w:t>(</w:t>
            </w:r>
            <w:r w:rsidRPr="00941246">
              <w:rPr>
                <w:szCs w:val="20"/>
              </w:rPr>
              <w:t>0.</w:t>
            </w:r>
            <w:r w:rsidR="00E71F75" w:rsidRPr="001E2734">
              <w:rPr>
                <w:szCs w:val="20"/>
              </w:rPr>
              <w:t>0</w:t>
            </w:r>
            <w:r w:rsidRPr="00941246">
              <w:rPr>
                <w:szCs w:val="20"/>
              </w:rPr>
              <w:t>%</w:t>
            </w:r>
            <w:r>
              <w:rPr>
                <w:szCs w:val="20"/>
              </w:rPr>
              <w:t>)</w:t>
            </w:r>
          </w:p>
        </w:tc>
        <w:tc>
          <w:tcPr>
            <w:tcW w:w="1000" w:type="pct"/>
          </w:tcPr>
          <w:p w14:paraId="7F5F574D" w14:textId="77777777" w:rsidR="00CD0134" w:rsidRPr="00941246" w:rsidRDefault="00AA6694"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1</w:t>
            </w:r>
            <w:r w:rsidR="000A75DF">
              <w:rPr>
                <w:szCs w:val="20"/>
              </w:rPr>
              <w:br/>
              <w:t>(1.1%)</w:t>
            </w:r>
          </w:p>
        </w:tc>
      </w:tr>
      <w:tr w:rsidR="002E5B6F" w:rsidRPr="009256F7" w14:paraId="082F7D05"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676A4BAE" w14:textId="77777777" w:rsidR="00CD0134" w:rsidRDefault="00CD0134" w:rsidP="000730D0">
            <w:pPr>
              <w:pStyle w:val="TableText"/>
              <w:rPr>
                <w:szCs w:val="20"/>
              </w:rPr>
            </w:pPr>
            <w:r w:rsidRPr="009256F7">
              <w:t>Multiple areas of practice</w:t>
            </w:r>
          </w:p>
        </w:tc>
        <w:tc>
          <w:tcPr>
            <w:tcW w:w="1000" w:type="pct"/>
          </w:tcPr>
          <w:p w14:paraId="73E6362A" w14:textId="77777777" w:rsidR="00CD0134" w:rsidRPr="005954C3" w:rsidRDefault="00001BA1"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0</w:t>
            </w:r>
            <w:r w:rsidR="00E71F75" w:rsidRPr="001E2734">
              <w:rPr>
                <w:szCs w:val="20"/>
              </w:rPr>
              <w:t xml:space="preserve"> </w:t>
            </w:r>
            <w:r>
              <w:rPr>
                <w:szCs w:val="20"/>
              </w:rPr>
              <w:br/>
              <w:t>(</w:t>
            </w:r>
            <w:r w:rsidRPr="00941246">
              <w:rPr>
                <w:szCs w:val="20"/>
              </w:rPr>
              <w:t>0.</w:t>
            </w:r>
            <w:r w:rsidR="00E71F75" w:rsidRPr="001E2734">
              <w:rPr>
                <w:szCs w:val="20"/>
              </w:rPr>
              <w:t>0</w:t>
            </w:r>
            <w:r w:rsidRPr="00941246">
              <w:rPr>
                <w:szCs w:val="20"/>
              </w:rPr>
              <w:t>%</w:t>
            </w:r>
            <w:r>
              <w:rPr>
                <w:szCs w:val="20"/>
              </w:rPr>
              <w:t>)</w:t>
            </w:r>
          </w:p>
        </w:tc>
        <w:tc>
          <w:tcPr>
            <w:tcW w:w="1000" w:type="pct"/>
          </w:tcPr>
          <w:p w14:paraId="61B8CEEF" w14:textId="77777777" w:rsidR="00CD0134" w:rsidRPr="00941246" w:rsidRDefault="00FD12FF"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5</w:t>
            </w:r>
            <w:r w:rsidR="00286805">
              <w:rPr>
                <w:szCs w:val="20"/>
              </w:rPr>
              <w:br/>
              <w:t>(83.3%)</w:t>
            </w:r>
          </w:p>
        </w:tc>
        <w:tc>
          <w:tcPr>
            <w:tcW w:w="1000" w:type="pct"/>
          </w:tcPr>
          <w:p w14:paraId="09E79366" w14:textId="77777777" w:rsidR="00CD0134" w:rsidRPr="00941246" w:rsidRDefault="00001BA1"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0</w:t>
            </w:r>
            <w:r w:rsidR="00E71F75" w:rsidRPr="001E2734">
              <w:rPr>
                <w:szCs w:val="20"/>
              </w:rPr>
              <w:t xml:space="preserve"> </w:t>
            </w:r>
            <w:r>
              <w:rPr>
                <w:szCs w:val="20"/>
              </w:rPr>
              <w:br/>
              <w:t>(</w:t>
            </w:r>
            <w:r w:rsidRPr="00941246">
              <w:rPr>
                <w:szCs w:val="20"/>
              </w:rPr>
              <w:t>0.</w:t>
            </w:r>
            <w:r w:rsidR="00E71F75" w:rsidRPr="001E2734">
              <w:rPr>
                <w:szCs w:val="20"/>
              </w:rPr>
              <w:t>0</w:t>
            </w:r>
            <w:r w:rsidRPr="00941246">
              <w:rPr>
                <w:szCs w:val="20"/>
              </w:rPr>
              <w:t>%</w:t>
            </w:r>
            <w:r>
              <w:rPr>
                <w:szCs w:val="20"/>
              </w:rPr>
              <w:t>)</w:t>
            </w:r>
          </w:p>
        </w:tc>
        <w:tc>
          <w:tcPr>
            <w:tcW w:w="1000" w:type="pct"/>
          </w:tcPr>
          <w:p w14:paraId="140E6B1A" w14:textId="77777777" w:rsidR="00CD0134" w:rsidRPr="00941246" w:rsidRDefault="00AA6694" w:rsidP="000730D0">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1</w:t>
            </w:r>
            <w:r w:rsidR="00286805">
              <w:rPr>
                <w:szCs w:val="20"/>
              </w:rPr>
              <w:br/>
              <w:t>(16.7%)</w:t>
            </w:r>
          </w:p>
        </w:tc>
      </w:tr>
      <w:tr w:rsidR="002E5B6F" w:rsidRPr="009256F7" w14:paraId="190488CC"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1000" w:type="pct"/>
          </w:tcPr>
          <w:p w14:paraId="20DBE19D" w14:textId="77777777" w:rsidR="00CD0134" w:rsidRPr="008B6161" w:rsidRDefault="00CD0134" w:rsidP="000730D0">
            <w:pPr>
              <w:pStyle w:val="Tabletextbold"/>
              <w:rPr>
                <w:rFonts w:eastAsiaTheme="minorEastAsia" w:cs="Arial"/>
                <w:b/>
                <w:szCs w:val="18"/>
              </w:rPr>
            </w:pPr>
            <w:r w:rsidRPr="008B6161">
              <w:rPr>
                <w:b/>
              </w:rPr>
              <w:t xml:space="preserve">Total: 57 respondents / 111 </w:t>
            </w:r>
            <w:r w:rsidRPr="008B6161">
              <w:rPr>
                <w:rFonts w:eastAsiaTheme="minorEastAsia" w:cs="Arial"/>
                <w:b/>
                <w:szCs w:val="18"/>
              </w:rPr>
              <w:t>responses</w:t>
            </w:r>
          </w:p>
        </w:tc>
        <w:tc>
          <w:tcPr>
            <w:tcW w:w="1000" w:type="pct"/>
          </w:tcPr>
          <w:p w14:paraId="2E6B11BD" w14:textId="77777777" w:rsidR="00CD0134" w:rsidRPr="008B6161" w:rsidRDefault="00CD0134"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rPr>
                <w:szCs w:val="20"/>
              </w:rPr>
              <w:t>0</w:t>
            </w:r>
            <w:r w:rsidRPr="008B6161">
              <w:rPr>
                <w:szCs w:val="20"/>
              </w:rPr>
              <w:br/>
              <w:t>(0.</w:t>
            </w:r>
            <w:r w:rsidR="00001BA1" w:rsidRPr="008B6161">
              <w:rPr>
                <w:szCs w:val="20"/>
              </w:rPr>
              <w:t>0</w:t>
            </w:r>
            <w:r w:rsidRPr="008B6161">
              <w:rPr>
                <w:szCs w:val="20"/>
              </w:rPr>
              <w:t>%)</w:t>
            </w:r>
          </w:p>
        </w:tc>
        <w:tc>
          <w:tcPr>
            <w:tcW w:w="1000" w:type="pct"/>
          </w:tcPr>
          <w:p w14:paraId="5C9440FF" w14:textId="77777777" w:rsidR="00CD0134" w:rsidRPr="008B6161" w:rsidRDefault="000170FC"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rPr>
                <w:szCs w:val="20"/>
              </w:rPr>
              <w:t>125</w:t>
            </w:r>
            <w:r w:rsidRPr="008B6161">
              <w:rPr>
                <w:szCs w:val="20"/>
              </w:rPr>
              <w:br/>
              <w:t xml:space="preserve"> (88.0%)</w:t>
            </w:r>
          </w:p>
        </w:tc>
        <w:tc>
          <w:tcPr>
            <w:tcW w:w="1000" w:type="pct"/>
          </w:tcPr>
          <w:p w14:paraId="3E8E5F76" w14:textId="77777777" w:rsidR="00CD0134" w:rsidRPr="008B6161" w:rsidRDefault="00CD0134"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rPr>
                <w:szCs w:val="20"/>
              </w:rPr>
              <w:t>0</w:t>
            </w:r>
            <w:r w:rsidRPr="008B6161">
              <w:rPr>
                <w:szCs w:val="20"/>
              </w:rPr>
              <w:br/>
              <w:t>(0.</w:t>
            </w:r>
            <w:r w:rsidR="00001BA1" w:rsidRPr="008B6161">
              <w:rPr>
                <w:szCs w:val="20"/>
              </w:rPr>
              <w:t>0</w:t>
            </w:r>
            <w:r w:rsidRPr="008B6161">
              <w:rPr>
                <w:szCs w:val="20"/>
              </w:rPr>
              <w:t>%)</w:t>
            </w:r>
          </w:p>
        </w:tc>
        <w:tc>
          <w:tcPr>
            <w:tcW w:w="1000" w:type="pct"/>
          </w:tcPr>
          <w:p w14:paraId="76F11020" w14:textId="77777777" w:rsidR="00CD0134" w:rsidRPr="008B6161" w:rsidRDefault="00CD0134"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rPr>
                <w:szCs w:val="20"/>
              </w:rPr>
              <w:t>17</w:t>
            </w:r>
            <w:r w:rsidRPr="008B6161">
              <w:rPr>
                <w:szCs w:val="20"/>
              </w:rPr>
              <w:br/>
              <w:t>(</w:t>
            </w:r>
            <w:r w:rsidR="000170FC" w:rsidRPr="008B6161">
              <w:rPr>
                <w:szCs w:val="20"/>
              </w:rPr>
              <w:t>12.0</w:t>
            </w:r>
            <w:r w:rsidRPr="008B6161">
              <w:rPr>
                <w:szCs w:val="20"/>
              </w:rPr>
              <w:t>%)</w:t>
            </w:r>
          </w:p>
        </w:tc>
      </w:tr>
    </w:tbl>
    <w:p w14:paraId="5E00C69C" w14:textId="77479C66" w:rsidR="00CD0134" w:rsidRPr="00D50E7B" w:rsidRDefault="00CD0134" w:rsidP="000730D0">
      <w:pPr>
        <w:pStyle w:val="Caption-Source"/>
      </w:pPr>
      <w:r w:rsidRPr="001A178C">
        <w:t xml:space="preserve">Source: </w:t>
      </w:r>
      <w:r w:rsidR="00B26691">
        <w:t>Independent reviewer</w:t>
      </w:r>
      <w:r w:rsidR="00584D02" w:rsidRPr="00D50E7B">
        <w:t xml:space="preserve"> (</w:t>
      </w:r>
      <w:r w:rsidRPr="00D50E7B">
        <w:t>2025</w:t>
      </w:r>
      <w:r w:rsidR="00584D02" w:rsidRPr="00D50E7B">
        <w:t>)</w:t>
      </w:r>
    </w:p>
    <w:p w14:paraId="5ED039F8" w14:textId="77777777" w:rsidR="00A73D14" w:rsidRPr="0043000C" w:rsidRDefault="00A73D14" w:rsidP="0043000C">
      <w:pPr>
        <w:pStyle w:val="ListNumber"/>
        <w:numPr>
          <w:ilvl w:val="0"/>
          <w:numId w:val="22"/>
        </w:numPr>
        <w:rPr>
          <w:rStyle w:val="Strong"/>
        </w:rPr>
      </w:pPr>
      <w:r w:rsidRPr="0043000C">
        <w:rPr>
          <w:rStyle w:val="Strong"/>
        </w:rPr>
        <w:t>If a national Cancer Prosthesis Program were to be implemented, what factors would you consider to be most important for the successful implementation of the program? [multi answer (max 3), mandatory]</w:t>
      </w:r>
    </w:p>
    <w:p w14:paraId="754CBD20" w14:textId="77777777" w:rsidR="00A73D14" w:rsidRDefault="00A73D14" w:rsidP="000730D0">
      <w:pPr>
        <w:pStyle w:val="Bullet1KeyFinding"/>
      </w:pPr>
      <w:r>
        <w:t>Appropriate funding</w:t>
      </w:r>
    </w:p>
    <w:p w14:paraId="1C007342" w14:textId="77777777" w:rsidR="00A73D14" w:rsidRDefault="00A73D14" w:rsidP="000730D0">
      <w:pPr>
        <w:pStyle w:val="Bullet1KeyFinding"/>
      </w:pPr>
      <w:r>
        <w:t>Availability of a workforce of the requisite skills / education / training to deliver prostheses services included in the Program</w:t>
      </w:r>
    </w:p>
    <w:p w14:paraId="58525D8D" w14:textId="77777777" w:rsidR="00A73D14" w:rsidRDefault="00A73D14" w:rsidP="000730D0">
      <w:pPr>
        <w:pStyle w:val="Bullet1KeyFinding"/>
      </w:pPr>
      <w:r>
        <w:t>Clearly defined referral pathways</w:t>
      </w:r>
    </w:p>
    <w:p w14:paraId="6ADBDB5D" w14:textId="77777777" w:rsidR="00A73D14" w:rsidRDefault="00A73D14" w:rsidP="000730D0">
      <w:pPr>
        <w:pStyle w:val="Bullet1KeyFinding"/>
      </w:pPr>
      <w:r>
        <w:t>Patient education / information</w:t>
      </w:r>
    </w:p>
    <w:p w14:paraId="0F7B6344" w14:textId="77777777" w:rsidR="00A73D14" w:rsidRDefault="00A73D14" w:rsidP="000730D0">
      <w:pPr>
        <w:pStyle w:val="Bullet1KeyFinding"/>
      </w:pPr>
      <w:r>
        <w:t>Clearly defined eligibility guidelines and delineation from other schemes or programs (e.g. NDIS, DVA)</w:t>
      </w:r>
    </w:p>
    <w:p w14:paraId="0B9BF183" w14:textId="77777777" w:rsidR="00A73D14" w:rsidRDefault="00A73D14" w:rsidP="000730D0">
      <w:pPr>
        <w:pStyle w:val="Bullet1KeyFinding"/>
      </w:pPr>
      <w:r>
        <w:t>Breadth / scope of prostheses included in the Program</w:t>
      </w:r>
    </w:p>
    <w:p w14:paraId="6ED3C358" w14:textId="6CD7479E" w:rsidR="009256F7" w:rsidRDefault="00A73D14" w:rsidP="000730D0">
      <w:pPr>
        <w:pStyle w:val="Bullet1KeyFinding"/>
      </w:pPr>
      <w:r w:rsidRPr="000730D0">
        <w:t>Other, please specify [free text, not required]</w:t>
      </w:r>
      <w:r w:rsidR="000730D0">
        <w:br w:type="page"/>
      </w:r>
    </w:p>
    <w:p w14:paraId="4BB73AF7" w14:textId="67D31D93" w:rsidR="000730D0" w:rsidRDefault="000730D0" w:rsidP="000730D0">
      <w:pPr>
        <w:pStyle w:val="Caption"/>
      </w:pPr>
      <w:bookmarkStart w:id="274" w:name="_Toc207348665"/>
      <w:r>
        <w:t xml:space="preserve">Table </w:t>
      </w:r>
      <w:r w:rsidR="00E6799D">
        <w:fldChar w:fldCharType="begin"/>
      </w:r>
      <w:r w:rsidR="00E6799D">
        <w:instrText xml:space="preserve"> SEQ Table \* ARABIC </w:instrText>
      </w:r>
      <w:r w:rsidR="00E6799D">
        <w:fldChar w:fldCharType="separate"/>
      </w:r>
      <w:r w:rsidR="00E6799D">
        <w:rPr>
          <w:noProof/>
        </w:rPr>
        <w:t>100</w:t>
      </w:r>
      <w:r w:rsidR="00E6799D">
        <w:rPr>
          <w:noProof/>
        </w:rPr>
        <w:fldChar w:fldCharType="end"/>
      </w:r>
      <w:r>
        <w:t xml:space="preserve">: </w:t>
      </w:r>
      <w:r w:rsidRPr="00753A7F">
        <w:t xml:space="preserve">Response to question </w:t>
      </w:r>
      <w:r>
        <w:t xml:space="preserve">8 </w:t>
      </w:r>
      <w:r w:rsidRPr="00753A7F">
        <w:t xml:space="preserve">by </w:t>
      </w:r>
      <w:r>
        <w:t>jurisdiction</w:t>
      </w:r>
      <w:bookmarkEnd w:id="274"/>
    </w:p>
    <w:tbl>
      <w:tblPr>
        <w:tblStyle w:val="KPMGTable"/>
        <w:tblW w:w="5000" w:type="pct"/>
        <w:tblLook w:val="04A0" w:firstRow="1" w:lastRow="0" w:firstColumn="1" w:lastColumn="0" w:noHBand="0" w:noVBand="1"/>
      </w:tblPr>
      <w:tblGrid>
        <w:gridCol w:w="1303"/>
        <w:gridCol w:w="1272"/>
        <w:gridCol w:w="1272"/>
        <w:gridCol w:w="1271"/>
        <w:gridCol w:w="1271"/>
        <w:gridCol w:w="1273"/>
        <w:gridCol w:w="1273"/>
        <w:gridCol w:w="1269"/>
      </w:tblGrid>
      <w:tr w:rsidR="00210A81" w:rsidRPr="00386CBC" w14:paraId="39DFF64D" w14:textId="77777777" w:rsidTr="00C76D17">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638" w:type="pct"/>
          </w:tcPr>
          <w:p w14:paraId="53BF5515" w14:textId="77777777" w:rsidR="00BE7294" w:rsidRPr="007B154A" w:rsidRDefault="00BE7294" w:rsidP="000730D0">
            <w:pPr>
              <w:pStyle w:val="TableHeading"/>
              <w:rPr>
                <w:b w:val="0"/>
                <w:color w:val="FFFFFF" w:themeColor="background1"/>
                <w:szCs w:val="20"/>
              </w:rPr>
            </w:pPr>
            <w:r>
              <w:t>Response</w:t>
            </w:r>
          </w:p>
        </w:tc>
        <w:tc>
          <w:tcPr>
            <w:tcW w:w="623" w:type="pct"/>
          </w:tcPr>
          <w:p w14:paraId="6E2FF2BF" w14:textId="77777777" w:rsidR="00BE7294" w:rsidRDefault="009A4C00"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Appropriate funding</w:t>
            </w:r>
          </w:p>
        </w:tc>
        <w:tc>
          <w:tcPr>
            <w:tcW w:w="623" w:type="pct"/>
          </w:tcPr>
          <w:p w14:paraId="40808DB6" w14:textId="77777777" w:rsidR="00BE7294" w:rsidRDefault="009A4C00"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Availability of a workforce</w:t>
            </w:r>
          </w:p>
        </w:tc>
        <w:tc>
          <w:tcPr>
            <w:tcW w:w="623" w:type="pct"/>
          </w:tcPr>
          <w:p w14:paraId="1EC95091" w14:textId="77777777" w:rsidR="00BE7294" w:rsidRDefault="00FC7E42"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Clearly defined referral pathways</w:t>
            </w:r>
          </w:p>
        </w:tc>
        <w:tc>
          <w:tcPr>
            <w:tcW w:w="623" w:type="pct"/>
          </w:tcPr>
          <w:p w14:paraId="2C248F29" w14:textId="77777777" w:rsidR="00BE7294" w:rsidRDefault="00FC7E42"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Patient education / information</w:t>
            </w:r>
          </w:p>
        </w:tc>
        <w:tc>
          <w:tcPr>
            <w:tcW w:w="624" w:type="pct"/>
          </w:tcPr>
          <w:p w14:paraId="1194F27C" w14:textId="77777777" w:rsidR="00583823" w:rsidRDefault="007670DE"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Clearly defined delineation from other schemes</w:t>
            </w:r>
          </w:p>
        </w:tc>
        <w:tc>
          <w:tcPr>
            <w:tcW w:w="624" w:type="pct"/>
          </w:tcPr>
          <w:p w14:paraId="1A2749AE" w14:textId="77777777" w:rsidR="00583823" w:rsidRDefault="007670DE"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Breadth / scope of prostheses</w:t>
            </w:r>
          </w:p>
        </w:tc>
        <w:tc>
          <w:tcPr>
            <w:tcW w:w="623" w:type="pct"/>
          </w:tcPr>
          <w:p w14:paraId="70424863" w14:textId="77777777" w:rsidR="007670DE" w:rsidRDefault="007670DE"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Other</w:t>
            </w:r>
          </w:p>
        </w:tc>
      </w:tr>
      <w:tr w:rsidR="00AE1E92" w:rsidRPr="006D20D0" w14:paraId="669FB921"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638" w:type="pct"/>
          </w:tcPr>
          <w:p w14:paraId="5FF8B705" w14:textId="77777777" w:rsidR="00BE7294" w:rsidRPr="00E90673" w:rsidRDefault="00BE7294" w:rsidP="000730D0">
            <w:pPr>
              <w:pStyle w:val="TableText"/>
            </w:pPr>
            <w:r>
              <w:t>New South Wales</w:t>
            </w:r>
          </w:p>
        </w:tc>
        <w:tc>
          <w:tcPr>
            <w:tcW w:w="623" w:type="pct"/>
          </w:tcPr>
          <w:p w14:paraId="63922CDB" w14:textId="77777777" w:rsidR="00BE7294" w:rsidRDefault="00131490" w:rsidP="000730D0">
            <w:pPr>
              <w:pStyle w:val="TableText"/>
              <w:cnfStyle w:val="000000000000" w:firstRow="0" w:lastRow="0" w:firstColumn="0" w:lastColumn="0" w:oddVBand="0" w:evenVBand="0" w:oddHBand="0" w:evenHBand="0" w:firstRowFirstColumn="0" w:firstRowLastColumn="0" w:lastRowFirstColumn="0" w:lastRowLastColumn="0"/>
            </w:pPr>
            <w:r>
              <w:t>16</w:t>
            </w:r>
            <w:r>
              <w:br/>
              <w:t>(</w:t>
            </w:r>
            <w:r w:rsidRPr="00131490">
              <w:t>35.6%</w:t>
            </w:r>
            <w:r>
              <w:t>)</w:t>
            </w:r>
          </w:p>
        </w:tc>
        <w:tc>
          <w:tcPr>
            <w:tcW w:w="623" w:type="pct"/>
          </w:tcPr>
          <w:p w14:paraId="79CFB8ED" w14:textId="77777777" w:rsidR="00BE7294" w:rsidRPr="00941246" w:rsidRDefault="00131490" w:rsidP="000730D0">
            <w:pPr>
              <w:pStyle w:val="TableText"/>
              <w:cnfStyle w:val="000000000000" w:firstRow="0" w:lastRow="0" w:firstColumn="0" w:lastColumn="0" w:oddVBand="0" w:evenVBand="0" w:oddHBand="0" w:evenHBand="0" w:firstRowFirstColumn="0" w:firstRowLastColumn="0" w:lastRowFirstColumn="0" w:lastRowLastColumn="0"/>
            </w:pPr>
            <w:r>
              <w:t>11</w:t>
            </w:r>
            <w:r>
              <w:br/>
              <w:t>(</w:t>
            </w:r>
            <w:r w:rsidRPr="00131490">
              <w:t>24.4%</w:t>
            </w:r>
            <w:r>
              <w:t>)</w:t>
            </w:r>
          </w:p>
        </w:tc>
        <w:tc>
          <w:tcPr>
            <w:tcW w:w="623" w:type="pct"/>
          </w:tcPr>
          <w:p w14:paraId="30F66777" w14:textId="77777777" w:rsidR="00BE7294" w:rsidRPr="00941246" w:rsidRDefault="00131490" w:rsidP="000730D0">
            <w:pPr>
              <w:pStyle w:val="TableText"/>
              <w:cnfStyle w:val="000000000000" w:firstRow="0" w:lastRow="0" w:firstColumn="0" w:lastColumn="0" w:oddVBand="0" w:evenVBand="0" w:oddHBand="0" w:evenHBand="0" w:firstRowFirstColumn="0" w:firstRowLastColumn="0" w:lastRowFirstColumn="0" w:lastRowLastColumn="0"/>
            </w:pPr>
            <w:r>
              <w:t>9</w:t>
            </w:r>
            <w:r>
              <w:br/>
              <w:t>(</w:t>
            </w:r>
            <w:r w:rsidRPr="00131490">
              <w:t>20.0%</w:t>
            </w:r>
            <w:r>
              <w:t>)</w:t>
            </w:r>
          </w:p>
        </w:tc>
        <w:tc>
          <w:tcPr>
            <w:tcW w:w="623" w:type="pct"/>
          </w:tcPr>
          <w:p w14:paraId="77EC145F" w14:textId="77777777" w:rsidR="00BE7294" w:rsidRPr="004C3F13" w:rsidRDefault="000875A4" w:rsidP="000730D0">
            <w:pPr>
              <w:pStyle w:val="TableText"/>
              <w:cnfStyle w:val="000000000000" w:firstRow="0" w:lastRow="0" w:firstColumn="0" w:lastColumn="0" w:oddVBand="0" w:evenVBand="0" w:oddHBand="0" w:evenHBand="0" w:firstRowFirstColumn="0" w:firstRowLastColumn="0" w:lastRowFirstColumn="0" w:lastRowLastColumn="0"/>
            </w:pPr>
            <w:r>
              <w:t xml:space="preserve">1 </w:t>
            </w:r>
            <w:r w:rsidR="0039597E">
              <w:br/>
            </w:r>
            <w:r>
              <w:t>(</w:t>
            </w:r>
            <w:r w:rsidR="00131490" w:rsidRPr="00131490">
              <w:t>2.2%</w:t>
            </w:r>
            <w:r>
              <w:t>)</w:t>
            </w:r>
          </w:p>
        </w:tc>
        <w:tc>
          <w:tcPr>
            <w:tcW w:w="624" w:type="pct"/>
          </w:tcPr>
          <w:p w14:paraId="36D6800A" w14:textId="77777777" w:rsidR="00583823" w:rsidRPr="004C3F13" w:rsidRDefault="000875A4" w:rsidP="000730D0">
            <w:pPr>
              <w:pStyle w:val="TableText"/>
              <w:cnfStyle w:val="000000000000" w:firstRow="0" w:lastRow="0" w:firstColumn="0" w:lastColumn="0" w:oddVBand="0" w:evenVBand="0" w:oddHBand="0" w:evenHBand="0" w:firstRowFirstColumn="0" w:firstRowLastColumn="0" w:lastRowFirstColumn="0" w:lastRowLastColumn="0"/>
            </w:pPr>
            <w:r>
              <w:t>4</w:t>
            </w:r>
            <w:r>
              <w:br/>
              <w:t>(</w:t>
            </w:r>
            <w:r w:rsidR="00131490" w:rsidRPr="00131490">
              <w:t>8.</w:t>
            </w:r>
            <w:r w:rsidR="002B37E3">
              <w:t>9</w:t>
            </w:r>
            <w:r w:rsidR="00131490" w:rsidRPr="00131490">
              <w:t>%</w:t>
            </w:r>
            <w:r>
              <w:t>)</w:t>
            </w:r>
          </w:p>
        </w:tc>
        <w:tc>
          <w:tcPr>
            <w:tcW w:w="624" w:type="pct"/>
          </w:tcPr>
          <w:p w14:paraId="5DFADF77" w14:textId="77777777" w:rsidR="00583823" w:rsidRPr="004C3F13" w:rsidRDefault="000875A4" w:rsidP="000730D0">
            <w:pPr>
              <w:pStyle w:val="TableText"/>
              <w:cnfStyle w:val="000000000000" w:firstRow="0" w:lastRow="0" w:firstColumn="0" w:lastColumn="0" w:oddVBand="0" w:evenVBand="0" w:oddHBand="0" w:evenHBand="0" w:firstRowFirstColumn="0" w:firstRowLastColumn="0" w:lastRowFirstColumn="0" w:lastRowLastColumn="0"/>
            </w:pPr>
            <w:r>
              <w:t xml:space="preserve">3 </w:t>
            </w:r>
            <w:r>
              <w:br/>
              <w:t>(</w:t>
            </w:r>
            <w:r w:rsidR="00131490" w:rsidRPr="00131490">
              <w:t>6.7%</w:t>
            </w:r>
            <w:r>
              <w:t>)</w:t>
            </w:r>
          </w:p>
        </w:tc>
        <w:tc>
          <w:tcPr>
            <w:tcW w:w="623" w:type="pct"/>
          </w:tcPr>
          <w:p w14:paraId="7C5BBE48" w14:textId="77777777" w:rsidR="007670DE" w:rsidRPr="004C3F13" w:rsidRDefault="000875A4" w:rsidP="000730D0">
            <w:pPr>
              <w:pStyle w:val="TableText"/>
              <w:cnfStyle w:val="000000000000" w:firstRow="0" w:lastRow="0" w:firstColumn="0" w:lastColumn="0" w:oddVBand="0" w:evenVBand="0" w:oddHBand="0" w:evenHBand="0" w:firstRowFirstColumn="0" w:firstRowLastColumn="0" w:lastRowFirstColumn="0" w:lastRowLastColumn="0"/>
            </w:pPr>
            <w:r>
              <w:t>1</w:t>
            </w:r>
            <w:r>
              <w:br/>
              <w:t>(</w:t>
            </w:r>
            <w:r w:rsidR="00131490" w:rsidRPr="00131490">
              <w:t>2.2%</w:t>
            </w:r>
            <w:r>
              <w:t>)</w:t>
            </w:r>
          </w:p>
        </w:tc>
      </w:tr>
      <w:tr w:rsidR="00AE1E92" w:rsidRPr="009C1931" w14:paraId="0F04FC06"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638" w:type="pct"/>
          </w:tcPr>
          <w:p w14:paraId="188E1343" w14:textId="77777777" w:rsidR="00BE7294" w:rsidRPr="006D20D0" w:rsidRDefault="00BE7294" w:rsidP="000730D0">
            <w:pPr>
              <w:pStyle w:val="TableText"/>
              <w:rPr>
                <w:szCs w:val="18"/>
              </w:rPr>
            </w:pPr>
            <w:r>
              <w:rPr>
                <w:szCs w:val="18"/>
              </w:rPr>
              <w:t>Victoria</w:t>
            </w:r>
          </w:p>
        </w:tc>
        <w:tc>
          <w:tcPr>
            <w:tcW w:w="623" w:type="pct"/>
          </w:tcPr>
          <w:p w14:paraId="1D85B6E0" w14:textId="77777777" w:rsidR="00BE7294" w:rsidRPr="009615A4" w:rsidRDefault="000875A4" w:rsidP="000730D0">
            <w:pPr>
              <w:pStyle w:val="TableText"/>
              <w:cnfStyle w:val="000000000000" w:firstRow="0" w:lastRow="0" w:firstColumn="0" w:lastColumn="0" w:oddVBand="0" w:evenVBand="0" w:oddHBand="0" w:evenHBand="0" w:firstRowFirstColumn="0" w:firstRowLastColumn="0" w:lastRowFirstColumn="0" w:lastRowLastColumn="0"/>
            </w:pPr>
            <w:r>
              <w:t>18</w:t>
            </w:r>
            <w:r>
              <w:br/>
              <w:t>(</w:t>
            </w:r>
            <w:r w:rsidR="00131490" w:rsidRPr="00131490">
              <w:t>3</w:t>
            </w:r>
            <w:r w:rsidR="002B37E3">
              <w:t>4.0</w:t>
            </w:r>
            <w:r w:rsidR="00131490" w:rsidRPr="00131490">
              <w:t>%</w:t>
            </w:r>
            <w:r>
              <w:t>)</w:t>
            </w:r>
          </w:p>
        </w:tc>
        <w:tc>
          <w:tcPr>
            <w:tcW w:w="623" w:type="pct"/>
          </w:tcPr>
          <w:p w14:paraId="2DC5786E" w14:textId="77777777" w:rsidR="00BE7294" w:rsidRPr="00941246" w:rsidRDefault="000875A4" w:rsidP="000730D0">
            <w:pPr>
              <w:pStyle w:val="TableText"/>
              <w:cnfStyle w:val="000000000000" w:firstRow="0" w:lastRow="0" w:firstColumn="0" w:lastColumn="0" w:oddVBand="0" w:evenVBand="0" w:oddHBand="0" w:evenHBand="0" w:firstRowFirstColumn="0" w:firstRowLastColumn="0" w:lastRowFirstColumn="0" w:lastRowLastColumn="0"/>
            </w:pPr>
            <w:r>
              <w:t>13</w:t>
            </w:r>
            <w:r>
              <w:br/>
              <w:t>(</w:t>
            </w:r>
            <w:r w:rsidR="00131490" w:rsidRPr="00131490">
              <w:t>24.5%</w:t>
            </w:r>
            <w:r>
              <w:t>)</w:t>
            </w:r>
          </w:p>
        </w:tc>
        <w:tc>
          <w:tcPr>
            <w:tcW w:w="623" w:type="pct"/>
          </w:tcPr>
          <w:p w14:paraId="0BA9F1A0" w14:textId="77777777" w:rsidR="00BE7294" w:rsidRPr="00941246" w:rsidRDefault="000875A4" w:rsidP="000730D0">
            <w:pPr>
              <w:pStyle w:val="TableText"/>
              <w:cnfStyle w:val="000000000000" w:firstRow="0" w:lastRow="0" w:firstColumn="0" w:lastColumn="0" w:oddVBand="0" w:evenVBand="0" w:oddHBand="0" w:evenHBand="0" w:firstRowFirstColumn="0" w:firstRowLastColumn="0" w:lastRowFirstColumn="0" w:lastRowLastColumn="0"/>
            </w:pPr>
            <w:r>
              <w:t>7</w:t>
            </w:r>
            <w:r>
              <w:br/>
              <w:t>(</w:t>
            </w:r>
            <w:r w:rsidR="00131490" w:rsidRPr="00131490">
              <w:t>13.2%</w:t>
            </w:r>
            <w:r>
              <w:t>)</w:t>
            </w:r>
          </w:p>
        </w:tc>
        <w:tc>
          <w:tcPr>
            <w:tcW w:w="623" w:type="pct"/>
          </w:tcPr>
          <w:p w14:paraId="11A73C8D" w14:textId="77777777" w:rsidR="00BE7294" w:rsidRPr="00941246" w:rsidRDefault="000875A4" w:rsidP="000730D0">
            <w:pPr>
              <w:pStyle w:val="TableText"/>
              <w:cnfStyle w:val="000000000000" w:firstRow="0" w:lastRow="0" w:firstColumn="0" w:lastColumn="0" w:oddVBand="0" w:evenVBand="0" w:oddHBand="0" w:evenHBand="0" w:firstRowFirstColumn="0" w:firstRowLastColumn="0" w:lastRowFirstColumn="0" w:lastRowLastColumn="0"/>
            </w:pPr>
            <w:r>
              <w:t>3</w:t>
            </w:r>
            <w:r>
              <w:br/>
              <w:t>(</w:t>
            </w:r>
            <w:r w:rsidR="00131490" w:rsidRPr="00131490">
              <w:t>5.</w:t>
            </w:r>
            <w:r w:rsidR="002B37E3">
              <w:t>7</w:t>
            </w:r>
            <w:r w:rsidR="00131490" w:rsidRPr="00131490">
              <w:t>%</w:t>
            </w:r>
            <w:r>
              <w:t>)</w:t>
            </w:r>
          </w:p>
        </w:tc>
        <w:tc>
          <w:tcPr>
            <w:tcW w:w="624" w:type="pct"/>
          </w:tcPr>
          <w:p w14:paraId="57CAB441" w14:textId="77777777" w:rsidR="00583823" w:rsidRPr="00941246" w:rsidRDefault="000875A4" w:rsidP="000730D0">
            <w:pPr>
              <w:pStyle w:val="TableText"/>
              <w:cnfStyle w:val="000000000000" w:firstRow="0" w:lastRow="0" w:firstColumn="0" w:lastColumn="0" w:oddVBand="0" w:evenVBand="0" w:oddHBand="0" w:evenHBand="0" w:firstRowFirstColumn="0" w:firstRowLastColumn="0" w:lastRowFirstColumn="0" w:lastRowLastColumn="0"/>
            </w:pPr>
            <w:r>
              <w:t>8</w:t>
            </w:r>
            <w:r>
              <w:br/>
              <w:t>(</w:t>
            </w:r>
            <w:r w:rsidR="00131490" w:rsidRPr="00131490">
              <w:t>15.</w:t>
            </w:r>
            <w:r w:rsidR="002B37E3">
              <w:t>1</w:t>
            </w:r>
            <w:r w:rsidR="00131490" w:rsidRPr="00131490">
              <w:t>%</w:t>
            </w:r>
            <w:r>
              <w:t>)</w:t>
            </w:r>
          </w:p>
        </w:tc>
        <w:tc>
          <w:tcPr>
            <w:tcW w:w="624" w:type="pct"/>
          </w:tcPr>
          <w:p w14:paraId="167202F3" w14:textId="77777777" w:rsidR="00583823" w:rsidRPr="00941246" w:rsidRDefault="000875A4" w:rsidP="000730D0">
            <w:pPr>
              <w:pStyle w:val="TableText"/>
              <w:cnfStyle w:val="000000000000" w:firstRow="0" w:lastRow="0" w:firstColumn="0" w:lastColumn="0" w:oddVBand="0" w:evenVBand="0" w:oddHBand="0" w:evenHBand="0" w:firstRowFirstColumn="0" w:firstRowLastColumn="0" w:lastRowFirstColumn="0" w:lastRowLastColumn="0"/>
            </w:pPr>
            <w:r>
              <w:t>4</w:t>
            </w:r>
            <w:r>
              <w:br/>
              <w:t>(</w:t>
            </w:r>
            <w:r w:rsidR="00131490" w:rsidRPr="00131490">
              <w:t>7.</w:t>
            </w:r>
            <w:r w:rsidR="002B37E3">
              <w:t>5</w:t>
            </w:r>
            <w:r w:rsidR="00131490" w:rsidRPr="00131490">
              <w:t>%</w:t>
            </w:r>
            <w:r>
              <w:t>)</w:t>
            </w:r>
          </w:p>
        </w:tc>
        <w:tc>
          <w:tcPr>
            <w:tcW w:w="623" w:type="pct"/>
          </w:tcPr>
          <w:p w14:paraId="2EE7D5E2" w14:textId="77777777" w:rsidR="007670DE" w:rsidRPr="00941246" w:rsidRDefault="002B37E3" w:rsidP="000730D0">
            <w:pPr>
              <w:pStyle w:val="TableText"/>
              <w:cnfStyle w:val="000000000000" w:firstRow="0" w:lastRow="0" w:firstColumn="0" w:lastColumn="0" w:oddVBand="0" w:evenVBand="0" w:oddHBand="0" w:evenHBand="0" w:firstRowFirstColumn="0" w:firstRowLastColumn="0" w:lastRowFirstColumn="0" w:lastRowLastColumn="0"/>
            </w:pPr>
            <w:r>
              <w:t>0</w:t>
            </w:r>
            <w:r>
              <w:br/>
              <w:t>(</w:t>
            </w:r>
            <w:r w:rsidR="000875A4">
              <w:t>0</w:t>
            </w:r>
            <w:r w:rsidR="00131490" w:rsidRPr="00131490">
              <w:t>.0%</w:t>
            </w:r>
            <w:r>
              <w:t>)</w:t>
            </w:r>
          </w:p>
        </w:tc>
      </w:tr>
      <w:tr w:rsidR="00AE1E92" w:rsidRPr="009C1931" w14:paraId="5D157BCE"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638" w:type="pct"/>
          </w:tcPr>
          <w:p w14:paraId="4D451924" w14:textId="77777777" w:rsidR="00BE7294" w:rsidRDefault="00BE7294" w:rsidP="000730D0">
            <w:pPr>
              <w:pStyle w:val="TableText"/>
            </w:pPr>
            <w:r>
              <w:rPr>
                <w:szCs w:val="18"/>
              </w:rPr>
              <w:t>Queensland</w:t>
            </w:r>
          </w:p>
        </w:tc>
        <w:tc>
          <w:tcPr>
            <w:tcW w:w="623" w:type="pct"/>
          </w:tcPr>
          <w:p w14:paraId="6EE2654C" w14:textId="77777777" w:rsidR="00BE7294" w:rsidRPr="005954C3" w:rsidRDefault="00C442A4" w:rsidP="000730D0">
            <w:pPr>
              <w:pStyle w:val="TableText"/>
              <w:cnfStyle w:val="000000000000" w:firstRow="0" w:lastRow="0" w:firstColumn="0" w:lastColumn="0" w:oddVBand="0" w:evenVBand="0" w:oddHBand="0" w:evenHBand="0" w:firstRowFirstColumn="0" w:firstRowLastColumn="0" w:lastRowFirstColumn="0" w:lastRowLastColumn="0"/>
            </w:pPr>
            <w:r>
              <w:t xml:space="preserve">6 </w:t>
            </w:r>
            <w:r>
              <w:br/>
              <w:t>(</w:t>
            </w:r>
            <w:r w:rsidR="00131490" w:rsidRPr="00131490">
              <w:t>21.</w:t>
            </w:r>
            <w:r w:rsidR="008F0372" w:rsidRPr="008F0372">
              <w:t>4%</w:t>
            </w:r>
            <w:r>
              <w:t>)</w:t>
            </w:r>
          </w:p>
        </w:tc>
        <w:tc>
          <w:tcPr>
            <w:tcW w:w="623" w:type="pct"/>
          </w:tcPr>
          <w:p w14:paraId="7E551209" w14:textId="77777777" w:rsidR="00BE7294" w:rsidRPr="00941246" w:rsidRDefault="00C442A4" w:rsidP="000730D0">
            <w:pPr>
              <w:pStyle w:val="TableText"/>
              <w:cnfStyle w:val="000000000000" w:firstRow="0" w:lastRow="0" w:firstColumn="0" w:lastColumn="0" w:oddVBand="0" w:evenVBand="0" w:oddHBand="0" w:evenHBand="0" w:firstRowFirstColumn="0" w:firstRowLastColumn="0" w:lastRowFirstColumn="0" w:lastRowLastColumn="0"/>
            </w:pPr>
            <w:r>
              <w:t>7</w:t>
            </w:r>
            <w:r>
              <w:br/>
              <w:t>(</w:t>
            </w:r>
            <w:r w:rsidR="00131490" w:rsidRPr="00131490">
              <w:t>25.</w:t>
            </w:r>
            <w:r w:rsidR="008F0372" w:rsidRPr="008F0372">
              <w:t>0%</w:t>
            </w:r>
            <w:r>
              <w:t>)</w:t>
            </w:r>
          </w:p>
        </w:tc>
        <w:tc>
          <w:tcPr>
            <w:tcW w:w="623" w:type="pct"/>
          </w:tcPr>
          <w:p w14:paraId="20A1E62C" w14:textId="77777777" w:rsidR="00BE7294" w:rsidRPr="00941246" w:rsidRDefault="0046676E" w:rsidP="000730D0">
            <w:pPr>
              <w:pStyle w:val="TableText"/>
              <w:cnfStyle w:val="000000000000" w:firstRow="0" w:lastRow="0" w:firstColumn="0" w:lastColumn="0" w:oddVBand="0" w:evenVBand="0" w:oddHBand="0" w:evenHBand="0" w:firstRowFirstColumn="0" w:firstRowLastColumn="0" w:lastRowFirstColumn="0" w:lastRowLastColumn="0"/>
            </w:pPr>
            <w:r>
              <w:t>5</w:t>
            </w:r>
            <w:r>
              <w:br/>
              <w:t>(</w:t>
            </w:r>
            <w:r w:rsidR="00131490" w:rsidRPr="00131490">
              <w:t>17.</w:t>
            </w:r>
            <w:r w:rsidR="008F0372" w:rsidRPr="008F0372">
              <w:t>9%</w:t>
            </w:r>
            <w:r>
              <w:t>)</w:t>
            </w:r>
          </w:p>
        </w:tc>
        <w:tc>
          <w:tcPr>
            <w:tcW w:w="623" w:type="pct"/>
          </w:tcPr>
          <w:p w14:paraId="7E07E60B" w14:textId="77777777" w:rsidR="00BE7294" w:rsidRPr="00941246" w:rsidRDefault="00E37B32" w:rsidP="000730D0">
            <w:pPr>
              <w:pStyle w:val="TableText"/>
              <w:cnfStyle w:val="000000000000" w:firstRow="0" w:lastRow="0" w:firstColumn="0" w:lastColumn="0" w:oddVBand="0" w:evenVBand="0" w:oddHBand="0" w:evenHBand="0" w:firstRowFirstColumn="0" w:firstRowLastColumn="0" w:lastRowFirstColumn="0" w:lastRowLastColumn="0"/>
            </w:pPr>
            <w:r>
              <w:t>4</w:t>
            </w:r>
            <w:r w:rsidR="0046676E">
              <w:br/>
              <w:t>(</w:t>
            </w:r>
            <w:r w:rsidR="00131490" w:rsidRPr="00131490">
              <w:t>14.</w:t>
            </w:r>
            <w:r w:rsidR="008F0372" w:rsidRPr="008F0372">
              <w:t>3%</w:t>
            </w:r>
            <w:r w:rsidR="0046676E">
              <w:t>)</w:t>
            </w:r>
          </w:p>
        </w:tc>
        <w:tc>
          <w:tcPr>
            <w:tcW w:w="624" w:type="pct"/>
          </w:tcPr>
          <w:p w14:paraId="10113FD1" w14:textId="77777777" w:rsidR="00583823" w:rsidRPr="00941246" w:rsidRDefault="00E37B32" w:rsidP="000730D0">
            <w:pPr>
              <w:pStyle w:val="TableText"/>
              <w:cnfStyle w:val="000000000000" w:firstRow="0" w:lastRow="0" w:firstColumn="0" w:lastColumn="0" w:oddVBand="0" w:evenVBand="0" w:oddHBand="0" w:evenHBand="0" w:firstRowFirstColumn="0" w:firstRowLastColumn="0" w:lastRowFirstColumn="0" w:lastRowLastColumn="0"/>
            </w:pPr>
            <w:r>
              <w:t>3</w:t>
            </w:r>
            <w:r>
              <w:br/>
              <w:t>(</w:t>
            </w:r>
            <w:r w:rsidR="00131490" w:rsidRPr="00131490">
              <w:t>10.</w:t>
            </w:r>
            <w:r w:rsidR="008F0372" w:rsidRPr="008F0372">
              <w:t>7%</w:t>
            </w:r>
            <w:r>
              <w:t>)</w:t>
            </w:r>
          </w:p>
        </w:tc>
        <w:tc>
          <w:tcPr>
            <w:tcW w:w="624" w:type="pct"/>
          </w:tcPr>
          <w:p w14:paraId="00C9E64F" w14:textId="77777777" w:rsidR="00583823" w:rsidRPr="00941246" w:rsidRDefault="00E37B32" w:rsidP="000730D0">
            <w:pPr>
              <w:pStyle w:val="TableText"/>
              <w:cnfStyle w:val="000000000000" w:firstRow="0" w:lastRow="0" w:firstColumn="0" w:lastColumn="0" w:oddVBand="0" w:evenVBand="0" w:oddHBand="0" w:evenHBand="0" w:firstRowFirstColumn="0" w:firstRowLastColumn="0" w:lastRowFirstColumn="0" w:lastRowLastColumn="0"/>
            </w:pPr>
            <w:r>
              <w:t>3</w:t>
            </w:r>
            <w:r>
              <w:br/>
              <w:t>(</w:t>
            </w:r>
            <w:r w:rsidR="00131490" w:rsidRPr="00131490">
              <w:t>10.</w:t>
            </w:r>
            <w:r w:rsidR="008F0372" w:rsidRPr="008F0372">
              <w:t>7%</w:t>
            </w:r>
            <w:r>
              <w:t>)</w:t>
            </w:r>
          </w:p>
        </w:tc>
        <w:tc>
          <w:tcPr>
            <w:tcW w:w="623" w:type="pct"/>
          </w:tcPr>
          <w:p w14:paraId="5C950CB6" w14:textId="77777777" w:rsidR="007670DE" w:rsidRPr="00941246" w:rsidRDefault="00E2672F" w:rsidP="000730D0">
            <w:pPr>
              <w:pStyle w:val="TableText"/>
              <w:cnfStyle w:val="000000000000" w:firstRow="0" w:lastRow="0" w:firstColumn="0" w:lastColumn="0" w:oddVBand="0" w:evenVBand="0" w:oddHBand="0" w:evenHBand="0" w:firstRowFirstColumn="0" w:firstRowLastColumn="0" w:lastRowFirstColumn="0" w:lastRowLastColumn="0"/>
            </w:pPr>
            <w:r>
              <w:t>0</w:t>
            </w:r>
            <w:r>
              <w:br/>
              <w:t>(</w:t>
            </w:r>
            <w:r w:rsidRPr="008F0372">
              <w:t>0.0%</w:t>
            </w:r>
            <w:r>
              <w:t>)</w:t>
            </w:r>
          </w:p>
        </w:tc>
      </w:tr>
      <w:tr w:rsidR="00AE1E92" w:rsidRPr="009C1931" w14:paraId="108BC02A"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638" w:type="pct"/>
          </w:tcPr>
          <w:p w14:paraId="1C3B8367" w14:textId="77777777" w:rsidR="00BE7294" w:rsidRPr="00E90673" w:rsidRDefault="00BE7294" w:rsidP="000730D0">
            <w:pPr>
              <w:pStyle w:val="TableText"/>
            </w:pPr>
            <w:r>
              <w:t>South Australia</w:t>
            </w:r>
          </w:p>
        </w:tc>
        <w:tc>
          <w:tcPr>
            <w:tcW w:w="623" w:type="pct"/>
          </w:tcPr>
          <w:p w14:paraId="322CB9AC" w14:textId="77777777" w:rsidR="00BE7294" w:rsidRPr="005954C3" w:rsidRDefault="00E2672F" w:rsidP="000730D0">
            <w:pPr>
              <w:pStyle w:val="TableText"/>
              <w:cnfStyle w:val="000000000000" w:firstRow="0" w:lastRow="0" w:firstColumn="0" w:lastColumn="0" w:oddVBand="0" w:evenVBand="0" w:oddHBand="0" w:evenHBand="0" w:firstRowFirstColumn="0" w:firstRowLastColumn="0" w:lastRowFirstColumn="0" w:lastRowLastColumn="0"/>
            </w:pPr>
            <w:r>
              <w:t>4</w:t>
            </w:r>
            <w:r>
              <w:br/>
              <w:t>(</w:t>
            </w:r>
            <w:r w:rsidR="00131490" w:rsidRPr="00131490">
              <w:t>26.</w:t>
            </w:r>
            <w:r w:rsidR="008F0372" w:rsidRPr="008F0372">
              <w:t>7</w:t>
            </w:r>
            <w:r w:rsidRPr="008F0372">
              <w:t>%</w:t>
            </w:r>
            <w:r>
              <w:t>)</w:t>
            </w:r>
          </w:p>
        </w:tc>
        <w:tc>
          <w:tcPr>
            <w:tcW w:w="623" w:type="pct"/>
          </w:tcPr>
          <w:p w14:paraId="78DBB840" w14:textId="77777777" w:rsidR="00BE7294" w:rsidRPr="00941246" w:rsidRDefault="00E2672F" w:rsidP="000730D0">
            <w:pPr>
              <w:pStyle w:val="TableText"/>
              <w:cnfStyle w:val="000000000000" w:firstRow="0" w:lastRow="0" w:firstColumn="0" w:lastColumn="0" w:oddVBand="0" w:evenVBand="0" w:oddHBand="0" w:evenHBand="0" w:firstRowFirstColumn="0" w:firstRowLastColumn="0" w:lastRowFirstColumn="0" w:lastRowLastColumn="0"/>
            </w:pPr>
            <w:r w:rsidRPr="00783CD4">
              <w:t>4</w:t>
            </w:r>
            <w:r w:rsidRPr="00783CD4">
              <w:br/>
              <w:t>(</w:t>
            </w:r>
            <w:r w:rsidR="00131490" w:rsidRPr="00131490">
              <w:t>26.</w:t>
            </w:r>
            <w:r w:rsidR="008F0372" w:rsidRPr="008F0372">
              <w:t>7</w:t>
            </w:r>
            <w:r w:rsidRPr="00783CD4">
              <w:t>%)</w:t>
            </w:r>
          </w:p>
        </w:tc>
        <w:tc>
          <w:tcPr>
            <w:tcW w:w="623" w:type="pct"/>
          </w:tcPr>
          <w:p w14:paraId="20385501" w14:textId="77777777" w:rsidR="00BE7294" w:rsidRPr="00941246" w:rsidRDefault="00E2672F" w:rsidP="000730D0">
            <w:pPr>
              <w:pStyle w:val="TableText"/>
              <w:cnfStyle w:val="000000000000" w:firstRow="0" w:lastRow="0" w:firstColumn="0" w:lastColumn="0" w:oddVBand="0" w:evenVBand="0" w:oddHBand="0" w:evenHBand="0" w:firstRowFirstColumn="0" w:firstRowLastColumn="0" w:lastRowFirstColumn="0" w:lastRowLastColumn="0"/>
            </w:pPr>
            <w:r w:rsidRPr="00783CD4">
              <w:t>4</w:t>
            </w:r>
            <w:r w:rsidRPr="00783CD4">
              <w:br/>
              <w:t>(</w:t>
            </w:r>
            <w:r w:rsidR="00131490" w:rsidRPr="00131490">
              <w:t>26.</w:t>
            </w:r>
            <w:r w:rsidR="008F0372" w:rsidRPr="008F0372">
              <w:t>7</w:t>
            </w:r>
            <w:r w:rsidRPr="00783CD4">
              <w:t>%)</w:t>
            </w:r>
          </w:p>
        </w:tc>
        <w:tc>
          <w:tcPr>
            <w:tcW w:w="623" w:type="pct"/>
          </w:tcPr>
          <w:p w14:paraId="2C21D49E" w14:textId="77777777" w:rsidR="00BE7294" w:rsidRPr="00941246" w:rsidRDefault="00E2672F" w:rsidP="000730D0">
            <w:pPr>
              <w:pStyle w:val="TableText"/>
              <w:cnfStyle w:val="000000000000" w:firstRow="0" w:lastRow="0" w:firstColumn="0" w:lastColumn="0" w:oddVBand="0" w:evenVBand="0" w:oddHBand="0" w:evenHBand="0" w:firstRowFirstColumn="0" w:firstRowLastColumn="0" w:lastRowFirstColumn="0" w:lastRowLastColumn="0"/>
            </w:pPr>
            <w:r>
              <w:t>1</w:t>
            </w:r>
            <w:r>
              <w:br/>
              <w:t>(</w:t>
            </w:r>
            <w:r w:rsidR="00131490" w:rsidRPr="00131490">
              <w:t>6.</w:t>
            </w:r>
            <w:r w:rsidR="008F0372" w:rsidRPr="008F0372">
              <w:t>7</w:t>
            </w:r>
            <w:r w:rsidRPr="008F0372">
              <w:t>%</w:t>
            </w:r>
            <w:r>
              <w:t>)</w:t>
            </w:r>
          </w:p>
        </w:tc>
        <w:tc>
          <w:tcPr>
            <w:tcW w:w="624" w:type="pct"/>
          </w:tcPr>
          <w:p w14:paraId="28E66F4A" w14:textId="77777777" w:rsidR="00583823" w:rsidRPr="00941246" w:rsidRDefault="00E2672F" w:rsidP="000730D0">
            <w:pPr>
              <w:pStyle w:val="TableText"/>
              <w:cnfStyle w:val="000000000000" w:firstRow="0" w:lastRow="0" w:firstColumn="0" w:lastColumn="0" w:oddVBand="0" w:evenVBand="0" w:oddHBand="0" w:evenHBand="0" w:firstRowFirstColumn="0" w:firstRowLastColumn="0" w:lastRowFirstColumn="0" w:lastRowLastColumn="0"/>
            </w:pPr>
            <w:r>
              <w:t>1</w:t>
            </w:r>
            <w:r>
              <w:br/>
              <w:t>(</w:t>
            </w:r>
            <w:r w:rsidR="00131490" w:rsidRPr="00131490">
              <w:t>6.</w:t>
            </w:r>
            <w:r w:rsidR="008F0372" w:rsidRPr="008F0372">
              <w:t>7</w:t>
            </w:r>
            <w:r w:rsidRPr="008F0372">
              <w:t>%</w:t>
            </w:r>
            <w:r>
              <w:t>)</w:t>
            </w:r>
          </w:p>
        </w:tc>
        <w:tc>
          <w:tcPr>
            <w:tcW w:w="624" w:type="pct"/>
          </w:tcPr>
          <w:p w14:paraId="2B484512" w14:textId="77777777" w:rsidR="00583823" w:rsidRPr="00941246" w:rsidRDefault="00E2672F" w:rsidP="000730D0">
            <w:pPr>
              <w:pStyle w:val="TableText"/>
              <w:cnfStyle w:val="000000000000" w:firstRow="0" w:lastRow="0" w:firstColumn="0" w:lastColumn="0" w:oddVBand="0" w:evenVBand="0" w:oddHBand="0" w:evenHBand="0" w:firstRowFirstColumn="0" w:firstRowLastColumn="0" w:lastRowFirstColumn="0" w:lastRowLastColumn="0"/>
            </w:pPr>
            <w:r>
              <w:t xml:space="preserve">1 </w:t>
            </w:r>
            <w:r>
              <w:br/>
              <w:t>(</w:t>
            </w:r>
            <w:r w:rsidR="00131490" w:rsidRPr="00131490">
              <w:t>6.</w:t>
            </w:r>
            <w:r w:rsidR="008F0372" w:rsidRPr="008F0372">
              <w:t>7</w:t>
            </w:r>
            <w:r w:rsidRPr="008F0372">
              <w:t>%</w:t>
            </w:r>
            <w:r>
              <w:t>)</w:t>
            </w:r>
          </w:p>
        </w:tc>
        <w:tc>
          <w:tcPr>
            <w:tcW w:w="623" w:type="pct"/>
          </w:tcPr>
          <w:p w14:paraId="0E8E9F8E" w14:textId="77777777" w:rsidR="007670DE" w:rsidRPr="00941246" w:rsidRDefault="00E2672F" w:rsidP="000730D0">
            <w:pPr>
              <w:pStyle w:val="TableText"/>
              <w:cnfStyle w:val="000000000000" w:firstRow="0" w:lastRow="0" w:firstColumn="0" w:lastColumn="0" w:oddVBand="0" w:evenVBand="0" w:oddHBand="0" w:evenHBand="0" w:firstRowFirstColumn="0" w:firstRowLastColumn="0" w:lastRowFirstColumn="0" w:lastRowLastColumn="0"/>
            </w:pPr>
            <w:r>
              <w:t>0</w:t>
            </w:r>
            <w:r>
              <w:br/>
              <w:t>(</w:t>
            </w:r>
            <w:r w:rsidRPr="008F0372">
              <w:t>0.0%</w:t>
            </w:r>
            <w:r>
              <w:t>)</w:t>
            </w:r>
          </w:p>
        </w:tc>
      </w:tr>
      <w:tr w:rsidR="00AE1E92" w:rsidRPr="009C1931" w14:paraId="5C3469B0"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638" w:type="pct"/>
          </w:tcPr>
          <w:p w14:paraId="5C57B9DD" w14:textId="77777777" w:rsidR="00BE7294" w:rsidRDefault="00BE7294" w:rsidP="000730D0">
            <w:pPr>
              <w:pStyle w:val="TableText"/>
            </w:pPr>
            <w:r>
              <w:t>Western Australia</w:t>
            </w:r>
          </w:p>
        </w:tc>
        <w:tc>
          <w:tcPr>
            <w:tcW w:w="623" w:type="pct"/>
          </w:tcPr>
          <w:p w14:paraId="2C822C60" w14:textId="77777777" w:rsidR="00BE7294" w:rsidRPr="005954C3" w:rsidRDefault="00E2672F" w:rsidP="000730D0">
            <w:pPr>
              <w:pStyle w:val="TableText"/>
              <w:cnfStyle w:val="000000000000" w:firstRow="0" w:lastRow="0" w:firstColumn="0" w:lastColumn="0" w:oddVBand="0" w:evenVBand="0" w:oddHBand="0" w:evenHBand="0" w:firstRowFirstColumn="0" w:firstRowLastColumn="0" w:lastRowFirstColumn="0" w:lastRowLastColumn="0"/>
            </w:pPr>
            <w:r>
              <w:t>2</w:t>
            </w:r>
            <w:r>
              <w:br/>
              <w:t>(</w:t>
            </w:r>
            <w:r w:rsidR="00131490" w:rsidRPr="00131490">
              <w:t>22.</w:t>
            </w:r>
            <w:r w:rsidR="008F0372" w:rsidRPr="008F0372">
              <w:t>2</w:t>
            </w:r>
            <w:r w:rsidRPr="008F0372">
              <w:t>%</w:t>
            </w:r>
            <w:r>
              <w:t>)</w:t>
            </w:r>
          </w:p>
        </w:tc>
        <w:tc>
          <w:tcPr>
            <w:tcW w:w="623" w:type="pct"/>
          </w:tcPr>
          <w:p w14:paraId="18ED3798" w14:textId="77777777" w:rsidR="00BE7294" w:rsidRPr="00941246" w:rsidRDefault="00E2672F" w:rsidP="000730D0">
            <w:pPr>
              <w:pStyle w:val="TableText"/>
              <w:cnfStyle w:val="000000000000" w:firstRow="0" w:lastRow="0" w:firstColumn="0" w:lastColumn="0" w:oddVBand="0" w:evenVBand="0" w:oddHBand="0" w:evenHBand="0" w:firstRowFirstColumn="0" w:firstRowLastColumn="0" w:lastRowFirstColumn="0" w:lastRowLastColumn="0"/>
            </w:pPr>
            <w:r>
              <w:t>3</w:t>
            </w:r>
            <w:r>
              <w:br/>
              <w:t>(</w:t>
            </w:r>
            <w:r w:rsidR="00131490" w:rsidRPr="00131490">
              <w:t>33.</w:t>
            </w:r>
            <w:r w:rsidR="008F0372" w:rsidRPr="008F0372">
              <w:t>3</w:t>
            </w:r>
            <w:r w:rsidRPr="008F0372">
              <w:t>%</w:t>
            </w:r>
            <w:r>
              <w:t>)</w:t>
            </w:r>
          </w:p>
        </w:tc>
        <w:tc>
          <w:tcPr>
            <w:tcW w:w="623" w:type="pct"/>
          </w:tcPr>
          <w:p w14:paraId="5F7A7817" w14:textId="77777777" w:rsidR="00BE7294" w:rsidRPr="00941246" w:rsidRDefault="00E2672F" w:rsidP="000730D0">
            <w:pPr>
              <w:pStyle w:val="TableText"/>
              <w:cnfStyle w:val="000000000000" w:firstRow="0" w:lastRow="0" w:firstColumn="0" w:lastColumn="0" w:oddVBand="0" w:evenVBand="0" w:oddHBand="0" w:evenHBand="0" w:firstRowFirstColumn="0" w:firstRowLastColumn="0" w:lastRowFirstColumn="0" w:lastRowLastColumn="0"/>
            </w:pPr>
            <w:r>
              <w:t>1</w:t>
            </w:r>
            <w:r>
              <w:br/>
              <w:t>(</w:t>
            </w:r>
            <w:r w:rsidR="00131490" w:rsidRPr="00131490">
              <w:t>11.</w:t>
            </w:r>
            <w:r w:rsidR="008F0372" w:rsidRPr="008F0372">
              <w:t>1</w:t>
            </w:r>
            <w:r w:rsidRPr="008F0372">
              <w:t>%</w:t>
            </w:r>
            <w:r>
              <w:t>)</w:t>
            </w:r>
          </w:p>
        </w:tc>
        <w:tc>
          <w:tcPr>
            <w:tcW w:w="623" w:type="pct"/>
          </w:tcPr>
          <w:p w14:paraId="785DFB32" w14:textId="77777777" w:rsidR="00BE7294" w:rsidRPr="00941246" w:rsidRDefault="00E2672F" w:rsidP="000730D0">
            <w:pPr>
              <w:pStyle w:val="TableText"/>
              <w:cnfStyle w:val="000000000000" w:firstRow="0" w:lastRow="0" w:firstColumn="0" w:lastColumn="0" w:oddVBand="0" w:evenVBand="0" w:oddHBand="0" w:evenHBand="0" w:firstRowFirstColumn="0" w:firstRowLastColumn="0" w:lastRowFirstColumn="0" w:lastRowLastColumn="0"/>
            </w:pPr>
            <w:r>
              <w:t>0</w:t>
            </w:r>
            <w:r>
              <w:br/>
              <w:t>(</w:t>
            </w:r>
            <w:r w:rsidRPr="008F0372">
              <w:t>0.0%</w:t>
            </w:r>
            <w:r>
              <w:t>)</w:t>
            </w:r>
          </w:p>
        </w:tc>
        <w:tc>
          <w:tcPr>
            <w:tcW w:w="624" w:type="pct"/>
          </w:tcPr>
          <w:p w14:paraId="487A9C22" w14:textId="77777777" w:rsidR="00583823" w:rsidRPr="00941246" w:rsidRDefault="00E2672F" w:rsidP="000730D0">
            <w:pPr>
              <w:pStyle w:val="TableText"/>
              <w:cnfStyle w:val="000000000000" w:firstRow="0" w:lastRow="0" w:firstColumn="0" w:lastColumn="0" w:oddVBand="0" w:evenVBand="0" w:oddHBand="0" w:evenHBand="0" w:firstRowFirstColumn="0" w:firstRowLastColumn="0" w:lastRowFirstColumn="0" w:lastRowLastColumn="0"/>
            </w:pPr>
            <w:r>
              <w:t xml:space="preserve">2 </w:t>
            </w:r>
            <w:r>
              <w:br/>
              <w:t>(</w:t>
            </w:r>
            <w:r w:rsidR="00131490" w:rsidRPr="00131490">
              <w:t>22.</w:t>
            </w:r>
            <w:r w:rsidR="008F0372" w:rsidRPr="008F0372">
              <w:t>2</w:t>
            </w:r>
            <w:r w:rsidRPr="008F0372">
              <w:t>%</w:t>
            </w:r>
            <w:r>
              <w:t>)</w:t>
            </w:r>
          </w:p>
        </w:tc>
        <w:tc>
          <w:tcPr>
            <w:tcW w:w="624" w:type="pct"/>
          </w:tcPr>
          <w:p w14:paraId="22C49EA4" w14:textId="77777777" w:rsidR="00583823" w:rsidRPr="00941246" w:rsidRDefault="00E2672F" w:rsidP="000730D0">
            <w:pPr>
              <w:pStyle w:val="TableText"/>
              <w:cnfStyle w:val="000000000000" w:firstRow="0" w:lastRow="0" w:firstColumn="0" w:lastColumn="0" w:oddVBand="0" w:evenVBand="0" w:oddHBand="0" w:evenHBand="0" w:firstRowFirstColumn="0" w:firstRowLastColumn="0" w:lastRowFirstColumn="0" w:lastRowLastColumn="0"/>
            </w:pPr>
            <w:r>
              <w:t>1</w:t>
            </w:r>
            <w:r>
              <w:br/>
              <w:t>(</w:t>
            </w:r>
            <w:r w:rsidR="00131490" w:rsidRPr="00131490">
              <w:t>11.</w:t>
            </w:r>
            <w:r w:rsidR="008F0372" w:rsidRPr="008F0372">
              <w:t>1</w:t>
            </w:r>
            <w:r w:rsidRPr="008F0372">
              <w:t>%</w:t>
            </w:r>
            <w:r>
              <w:t>)</w:t>
            </w:r>
          </w:p>
        </w:tc>
        <w:tc>
          <w:tcPr>
            <w:tcW w:w="623" w:type="pct"/>
          </w:tcPr>
          <w:p w14:paraId="6C06CEB2" w14:textId="77777777" w:rsidR="007670DE" w:rsidRPr="00941246" w:rsidRDefault="00E2672F" w:rsidP="000730D0">
            <w:pPr>
              <w:pStyle w:val="TableText"/>
              <w:cnfStyle w:val="000000000000" w:firstRow="0" w:lastRow="0" w:firstColumn="0" w:lastColumn="0" w:oddVBand="0" w:evenVBand="0" w:oddHBand="0" w:evenHBand="0" w:firstRowFirstColumn="0" w:firstRowLastColumn="0" w:lastRowFirstColumn="0" w:lastRowLastColumn="0"/>
            </w:pPr>
            <w:r>
              <w:t>0</w:t>
            </w:r>
            <w:r>
              <w:br/>
              <w:t>(</w:t>
            </w:r>
            <w:r w:rsidRPr="008F0372">
              <w:t>0.0%</w:t>
            </w:r>
            <w:r>
              <w:t>)</w:t>
            </w:r>
          </w:p>
        </w:tc>
      </w:tr>
      <w:tr w:rsidR="00AE1E92" w:rsidRPr="009C1931" w14:paraId="20B2A115"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638" w:type="pct"/>
          </w:tcPr>
          <w:p w14:paraId="61C77BD9" w14:textId="77777777" w:rsidR="00BE7294" w:rsidRDefault="00BE7294" w:rsidP="000730D0">
            <w:pPr>
              <w:pStyle w:val="TableText"/>
            </w:pPr>
            <w:r>
              <w:t>Northern Territory</w:t>
            </w:r>
          </w:p>
        </w:tc>
        <w:tc>
          <w:tcPr>
            <w:tcW w:w="623" w:type="pct"/>
          </w:tcPr>
          <w:p w14:paraId="3CE717C9" w14:textId="77777777" w:rsidR="00BE7294" w:rsidRPr="005954C3" w:rsidRDefault="00E2672F" w:rsidP="000730D0">
            <w:pPr>
              <w:pStyle w:val="TableText"/>
              <w:cnfStyle w:val="000000000000" w:firstRow="0" w:lastRow="0" w:firstColumn="0" w:lastColumn="0" w:oddVBand="0" w:evenVBand="0" w:oddHBand="0" w:evenHBand="0" w:firstRowFirstColumn="0" w:firstRowLastColumn="0" w:lastRowFirstColumn="0" w:lastRowLastColumn="0"/>
            </w:pPr>
            <w:r>
              <w:t xml:space="preserve">2 </w:t>
            </w:r>
            <w:r>
              <w:br/>
              <w:t>(</w:t>
            </w:r>
            <w:r w:rsidR="00131490" w:rsidRPr="00131490">
              <w:t>33.</w:t>
            </w:r>
            <w:r w:rsidR="008F0372" w:rsidRPr="008F0372">
              <w:t>3</w:t>
            </w:r>
            <w:r w:rsidRPr="008F0372">
              <w:t>%</w:t>
            </w:r>
            <w:r>
              <w:t>)</w:t>
            </w:r>
          </w:p>
        </w:tc>
        <w:tc>
          <w:tcPr>
            <w:tcW w:w="623" w:type="pct"/>
          </w:tcPr>
          <w:p w14:paraId="08885FB3" w14:textId="77777777" w:rsidR="00BE7294" w:rsidRPr="00941246" w:rsidRDefault="00E2672F" w:rsidP="000730D0">
            <w:pPr>
              <w:pStyle w:val="TableText"/>
              <w:cnfStyle w:val="000000000000" w:firstRow="0" w:lastRow="0" w:firstColumn="0" w:lastColumn="0" w:oddVBand="0" w:evenVBand="0" w:oddHBand="0" w:evenHBand="0" w:firstRowFirstColumn="0" w:firstRowLastColumn="0" w:lastRowFirstColumn="0" w:lastRowLastColumn="0"/>
            </w:pPr>
            <w:r>
              <w:t>1</w:t>
            </w:r>
            <w:r>
              <w:br/>
              <w:t>(</w:t>
            </w:r>
            <w:r w:rsidR="00131490" w:rsidRPr="00131490">
              <w:t>16.</w:t>
            </w:r>
            <w:r w:rsidR="008F0372" w:rsidRPr="008F0372">
              <w:t>7</w:t>
            </w:r>
            <w:r w:rsidRPr="008F0372">
              <w:t>%</w:t>
            </w:r>
            <w:r>
              <w:t>)</w:t>
            </w:r>
          </w:p>
        </w:tc>
        <w:tc>
          <w:tcPr>
            <w:tcW w:w="623" w:type="pct"/>
          </w:tcPr>
          <w:p w14:paraId="72CC1C28" w14:textId="77777777" w:rsidR="00BE7294" w:rsidRPr="00941246" w:rsidRDefault="00E2672F" w:rsidP="000730D0">
            <w:pPr>
              <w:pStyle w:val="TableText"/>
              <w:cnfStyle w:val="000000000000" w:firstRow="0" w:lastRow="0" w:firstColumn="0" w:lastColumn="0" w:oddVBand="0" w:evenVBand="0" w:oddHBand="0" w:evenHBand="0" w:firstRowFirstColumn="0" w:firstRowLastColumn="0" w:lastRowFirstColumn="0" w:lastRowLastColumn="0"/>
            </w:pPr>
            <w:r>
              <w:t>2</w:t>
            </w:r>
            <w:r>
              <w:br/>
              <w:t>(</w:t>
            </w:r>
            <w:r w:rsidR="00131490" w:rsidRPr="00131490">
              <w:t>33.</w:t>
            </w:r>
            <w:r w:rsidR="008F0372" w:rsidRPr="008F0372">
              <w:t>3</w:t>
            </w:r>
            <w:r w:rsidRPr="008F0372">
              <w:t>%</w:t>
            </w:r>
            <w:r>
              <w:t>)</w:t>
            </w:r>
          </w:p>
        </w:tc>
        <w:tc>
          <w:tcPr>
            <w:tcW w:w="623" w:type="pct"/>
          </w:tcPr>
          <w:p w14:paraId="1B612B56" w14:textId="77777777" w:rsidR="00BE7294" w:rsidRPr="00941246" w:rsidRDefault="00E2672F" w:rsidP="000730D0">
            <w:pPr>
              <w:pStyle w:val="TableText"/>
              <w:cnfStyle w:val="000000000000" w:firstRow="0" w:lastRow="0" w:firstColumn="0" w:lastColumn="0" w:oddVBand="0" w:evenVBand="0" w:oddHBand="0" w:evenHBand="0" w:firstRowFirstColumn="0" w:firstRowLastColumn="0" w:lastRowFirstColumn="0" w:lastRowLastColumn="0"/>
            </w:pPr>
            <w:r>
              <w:t>0</w:t>
            </w:r>
            <w:r>
              <w:br/>
              <w:t>(</w:t>
            </w:r>
            <w:r w:rsidRPr="008F0372">
              <w:t>0.0%</w:t>
            </w:r>
            <w:r>
              <w:t>)</w:t>
            </w:r>
          </w:p>
        </w:tc>
        <w:tc>
          <w:tcPr>
            <w:tcW w:w="624" w:type="pct"/>
          </w:tcPr>
          <w:p w14:paraId="79C83F01" w14:textId="77777777" w:rsidR="00583823" w:rsidRPr="00941246" w:rsidRDefault="00E2672F" w:rsidP="000730D0">
            <w:pPr>
              <w:pStyle w:val="TableText"/>
              <w:cnfStyle w:val="000000000000" w:firstRow="0" w:lastRow="0" w:firstColumn="0" w:lastColumn="0" w:oddVBand="0" w:evenVBand="0" w:oddHBand="0" w:evenHBand="0" w:firstRowFirstColumn="0" w:firstRowLastColumn="0" w:lastRowFirstColumn="0" w:lastRowLastColumn="0"/>
            </w:pPr>
            <w:r>
              <w:t>1</w:t>
            </w:r>
            <w:r>
              <w:br/>
              <w:t>(</w:t>
            </w:r>
            <w:r w:rsidR="00131490" w:rsidRPr="00131490">
              <w:t>16.</w:t>
            </w:r>
            <w:r w:rsidR="008F0372" w:rsidRPr="008F0372">
              <w:t>7</w:t>
            </w:r>
            <w:r w:rsidRPr="008F0372">
              <w:t>%</w:t>
            </w:r>
            <w:r>
              <w:t>)</w:t>
            </w:r>
          </w:p>
        </w:tc>
        <w:tc>
          <w:tcPr>
            <w:tcW w:w="624" w:type="pct"/>
          </w:tcPr>
          <w:p w14:paraId="1226157B" w14:textId="77777777" w:rsidR="00583823" w:rsidRPr="00941246" w:rsidRDefault="00E2672F" w:rsidP="000730D0">
            <w:pPr>
              <w:pStyle w:val="TableText"/>
              <w:cnfStyle w:val="000000000000" w:firstRow="0" w:lastRow="0" w:firstColumn="0" w:lastColumn="0" w:oddVBand="0" w:evenVBand="0" w:oddHBand="0" w:evenHBand="0" w:firstRowFirstColumn="0" w:firstRowLastColumn="0" w:lastRowFirstColumn="0" w:lastRowLastColumn="0"/>
            </w:pPr>
            <w:r>
              <w:t>0</w:t>
            </w:r>
            <w:r>
              <w:br/>
              <w:t>(</w:t>
            </w:r>
            <w:r w:rsidRPr="008F0372">
              <w:t>0.0%</w:t>
            </w:r>
            <w:r>
              <w:t>)</w:t>
            </w:r>
          </w:p>
        </w:tc>
        <w:tc>
          <w:tcPr>
            <w:tcW w:w="623" w:type="pct"/>
          </w:tcPr>
          <w:p w14:paraId="5A12DCEF" w14:textId="77777777" w:rsidR="007670DE" w:rsidRPr="00941246" w:rsidRDefault="00E2672F" w:rsidP="000730D0">
            <w:pPr>
              <w:pStyle w:val="TableText"/>
              <w:cnfStyle w:val="000000000000" w:firstRow="0" w:lastRow="0" w:firstColumn="0" w:lastColumn="0" w:oddVBand="0" w:evenVBand="0" w:oddHBand="0" w:evenHBand="0" w:firstRowFirstColumn="0" w:firstRowLastColumn="0" w:lastRowFirstColumn="0" w:lastRowLastColumn="0"/>
            </w:pPr>
            <w:r>
              <w:t>0</w:t>
            </w:r>
            <w:r>
              <w:br/>
              <w:t>(</w:t>
            </w:r>
            <w:r w:rsidRPr="008F0372">
              <w:t>0.0%</w:t>
            </w:r>
            <w:r>
              <w:t>)</w:t>
            </w:r>
          </w:p>
        </w:tc>
      </w:tr>
      <w:tr w:rsidR="00AE1E92" w:rsidRPr="009C1931" w14:paraId="48F6D5E9"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638" w:type="pct"/>
          </w:tcPr>
          <w:p w14:paraId="7FDA5773" w14:textId="77777777" w:rsidR="00BE7294" w:rsidRPr="008B6161" w:rsidRDefault="00BE7294" w:rsidP="000730D0">
            <w:pPr>
              <w:pStyle w:val="Tabletextbold"/>
              <w:rPr>
                <w:rFonts w:eastAsiaTheme="minorEastAsia" w:cs="Arial"/>
                <w:b/>
                <w:szCs w:val="18"/>
              </w:rPr>
            </w:pPr>
            <w:r w:rsidRPr="008B6161">
              <w:rPr>
                <w:b/>
              </w:rPr>
              <w:t>Total</w:t>
            </w:r>
            <w:r w:rsidRPr="008B6161">
              <w:rPr>
                <w:rFonts w:eastAsiaTheme="minorEastAsia" w:cs="Arial"/>
                <w:b/>
                <w:szCs w:val="18"/>
              </w:rPr>
              <w:t xml:space="preserve">: 57 respondents / </w:t>
            </w:r>
            <w:r w:rsidR="00E2672F" w:rsidRPr="008B6161">
              <w:rPr>
                <w:rFonts w:eastAsiaTheme="minorEastAsia" w:cs="Arial"/>
                <w:b/>
                <w:szCs w:val="18"/>
              </w:rPr>
              <w:t>1</w:t>
            </w:r>
            <w:r w:rsidR="00F36D7D" w:rsidRPr="008B6161">
              <w:rPr>
                <w:rFonts w:eastAsiaTheme="minorEastAsia" w:cs="Arial"/>
                <w:b/>
                <w:szCs w:val="18"/>
              </w:rPr>
              <w:t>56</w:t>
            </w:r>
            <w:r w:rsidRPr="008B6161">
              <w:rPr>
                <w:rFonts w:eastAsiaTheme="minorEastAsia" w:cs="Arial"/>
                <w:b/>
                <w:szCs w:val="18"/>
              </w:rPr>
              <w:t xml:space="preserve"> responses</w:t>
            </w:r>
          </w:p>
        </w:tc>
        <w:tc>
          <w:tcPr>
            <w:tcW w:w="623" w:type="pct"/>
          </w:tcPr>
          <w:p w14:paraId="7659D926" w14:textId="77777777" w:rsidR="00BE7294" w:rsidRPr="008B6161" w:rsidRDefault="00E2672F"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48</w:t>
            </w:r>
            <w:r w:rsidRPr="008B6161">
              <w:br/>
              <w:t>(</w:t>
            </w:r>
            <w:r w:rsidR="00131490" w:rsidRPr="008B6161">
              <w:rPr>
                <w:szCs w:val="20"/>
              </w:rPr>
              <w:t>30.</w:t>
            </w:r>
            <w:r w:rsidR="008F0372" w:rsidRPr="008B6161">
              <w:rPr>
                <w:szCs w:val="20"/>
              </w:rPr>
              <w:t>8</w:t>
            </w:r>
            <w:r w:rsidRPr="008B6161">
              <w:rPr>
                <w:szCs w:val="20"/>
              </w:rPr>
              <w:t>%)</w:t>
            </w:r>
          </w:p>
        </w:tc>
        <w:tc>
          <w:tcPr>
            <w:tcW w:w="623" w:type="pct"/>
          </w:tcPr>
          <w:p w14:paraId="6FEC891A" w14:textId="77777777" w:rsidR="00BE7294" w:rsidRPr="008B6161" w:rsidRDefault="00F36D7D"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39</w:t>
            </w:r>
            <w:r w:rsidRPr="008B6161">
              <w:br/>
              <w:t>(</w:t>
            </w:r>
            <w:r w:rsidR="00131490" w:rsidRPr="008B6161">
              <w:rPr>
                <w:szCs w:val="20"/>
              </w:rPr>
              <w:t>25.</w:t>
            </w:r>
            <w:r w:rsidR="008F0372" w:rsidRPr="008B6161">
              <w:rPr>
                <w:szCs w:val="20"/>
              </w:rPr>
              <w:t>0</w:t>
            </w:r>
            <w:r w:rsidR="00E2672F" w:rsidRPr="008B6161">
              <w:rPr>
                <w:szCs w:val="20"/>
              </w:rPr>
              <w:t>%</w:t>
            </w:r>
            <w:r w:rsidRPr="008B6161">
              <w:rPr>
                <w:szCs w:val="20"/>
              </w:rPr>
              <w:t>)</w:t>
            </w:r>
          </w:p>
        </w:tc>
        <w:tc>
          <w:tcPr>
            <w:tcW w:w="623" w:type="pct"/>
          </w:tcPr>
          <w:p w14:paraId="6054A5DA" w14:textId="77777777" w:rsidR="00BE7294" w:rsidRPr="008B6161" w:rsidRDefault="00F36D7D"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28</w:t>
            </w:r>
            <w:r w:rsidRPr="008B6161">
              <w:br/>
              <w:t>(</w:t>
            </w:r>
            <w:r w:rsidR="00131490" w:rsidRPr="008B6161">
              <w:rPr>
                <w:szCs w:val="20"/>
              </w:rPr>
              <w:t>17.</w:t>
            </w:r>
            <w:r w:rsidR="008F0372" w:rsidRPr="008B6161">
              <w:rPr>
                <w:szCs w:val="20"/>
              </w:rPr>
              <w:t>9</w:t>
            </w:r>
            <w:r w:rsidR="00E2672F" w:rsidRPr="008B6161">
              <w:rPr>
                <w:szCs w:val="20"/>
              </w:rPr>
              <w:t>%</w:t>
            </w:r>
            <w:r w:rsidRPr="008B6161">
              <w:rPr>
                <w:szCs w:val="20"/>
              </w:rPr>
              <w:t>)</w:t>
            </w:r>
          </w:p>
        </w:tc>
        <w:tc>
          <w:tcPr>
            <w:tcW w:w="623" w:type="pct"/>
          </w:tcPr>
          <w:p w14:paraId="2A6B7C54" w14:textId="77777777" w:rsidR="00BE7294" w:rsidRPr="008B6161" w:rsidRDefault="00F36D7D"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9</w:t>
            </w:r>
            <w:r w:rsidRPr="008B6161">
              <w:br/>
              <w:t>(</w:t>
            </w:r>
            <w:r w:rsidR="00131490" w:rsidRPr="008B6161">
              <w:rPr>
                <w:szCs w:val="20"/>
              </w:rPr>
              <w:t>5.</w:t>
            </w:r>
            <w:r w:rsidR="008F0372" w:rsidRPr="008B6161">
              <w:rPr>
                <w:szCs w:val="20"/>
              </w:rPr>
              <w:t>8</w:t>
            </w:r>
            <w:r w:rsidR="00E2672F" w:rsidRPr="008B6161">
              <w:rPr>
                <w:szCs w:val="20"/>
              </w:rPr>
              <w:t>%</w:t>
            </w:r>
            <w:r w:rsidRPr="008B6161">
              <w:rPr>
                <w:szCs w:val="20"/>
              </w:rPr>
              <w:t>)</w:t>
            </w:r>
          </w:p>
        </w:tc>
        <w:tc>
          <w:tcPr>
            <w:tcW w:w="624" w:type="pct"/>
          </w:tcPr>
          <w:p w14:paraId="788D7E13" w14:textId="77777777" w:rsidR="00583823" w:rsidRPr="008B6161" w:rsidRDefault="00F36D7D"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19</w:t>
            </w:r>
            <w:r w:rsidRPr="008B6161">
              <w:br/>
              <w:t>(</w:t>
            </w:r>
            <w:r w:rsidR="00131490" w:rsidRPr="008B6161">
              <w:rPr>
                <w:szCs w:val="20"/>
              </w:rPr>
              <w:t>12.</w:t>
            </w:r>
            <w:r w:rsidR="008F0372" w:rsidRPr="008B6161">
              <w:rPr>
                <w:szCs w:val="20"/>
              </w:rPr>
              <w:t>2</w:t>
            </w:r>
            <w:r w:rsidR="00E2672F" w:rsidRPr="008B6161">
              <w:rPr>
                <w:szCs w:val="20"/>
              </w:rPr>
              <w:t>%</w:t>
            </w:r>
            <w:r w:rsidRPr="008B6161">
              <w:rPr>
                <w:szCs w:val="20"/>
              </w:rPr>
              <w:t>)</w:t>
            </w:r>
          </w:p>
        </w:tc>
        <w:tc>
          <w:tcPr>
            <w:tcW w:w="624" w:type="pct"/>
          </w:tcPr>
          <w:p w14:paraId="672A9DC1" w14:textId="77777777" w:rsidR="00583823" w:rsidRPr="008B6161" w:rsidRDefault="00F36D7D"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12</w:t>
            </w:r>
            <w:r w:rsidRPr="008B6161">
              <w:br/>
              <w:t>(</w:t>
            </w:r>
            <w:r w:rsidR="00131490" w:rsidRPr="008B6161">
              <w:rPr>
                <w:szCs w:val="20"/>
              </w:rPr>
              <w:t>7.</w:t>
            </w:r>
            <w:r w:rsidR="008F0372" w:rsidRPr="008B6161">
              <w:rPr>
                <w:szCs w:val="20"/>
              </w:rPr>
              <w:t>7</w:t>
            </w:r>
            <w:r w:rsidR="00E2672F" w:rsidRPr="008B6161">
              <w:rPr>
                <w:szCs w:val="20"/>
              </w:rPr>
              <w:t>%</w:t>
            </w:r>
            <w:r w:rsidRPr="008B6161">
              <w:rPr>
                <w:szCs w:val="20"/>
              </w:rPr>
              <w:t>)</w:t>
            </w:r>
          </w:p>
        </w:tc>
        <w:tc>
          <w:tcPr>
            <w:tcW w:w="623" w:type="pct"/>
          </w:tcPr>
          <w:p w14:paraId="68F2E2E2" w14:textId="77777777" w:rsidR="007670DE" w:rsidRPr="008B6161" w:rsidRDefault="00F36D7D"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1</w:t>
            </w:r>
            <w:r w:rsidRPr="008B6161">
              <w:br/>
              <w:t>(</w:t>
            </w:r>
            <w:r w:rsidR="00E2672F" w:rsidRPr="008B6161">
              <w:rPr>
                <w:rFonts w:eastAsiaTheme="minorEastAsia" w:cs="Arial"/>
                <w:szCs w:val="20"/>
              </w:rPr>
              <w:t>0.6%</w:t>
            </w:r>
            <w:r w:rsidRPr="008B6161">
              <w:rPr>
                <w:rFonts w:eastAsiaTheme="minorEastAsia" w:cs="Arial"/>
                <w:szCs w:val="20"/>
              </w:rPr>
              <w:t>)</w:t>
            </w:r>
          </w:p>
        </w:tc>
      </w:tr>
    </w:tbl>
    <w:p w14:paraId="4079355E" w14:textId="446B4752" w:rsidR="00BE7294" w:rsidRPr="00D50E7B" w:rsidRDefault="00BE7294" w:rsidP="000730D0">
      <w:pPr>
        <w:pStyle w:val="Caption-Source"/>
      </w:pPr>
      <w:r w:rsidRPr="00BE7294">
        <w:t xml:space="preserve">Source: </w:t>
      </w:r>
      <w:r w:rsidR="00B26691">
        <w:t>Independent reviewer</w:t>
      </w:r>
      <w:r w:rsidR="00584D02" w:rsidRPr="00D50E7B">
        <w:t xml:space="preserve"> (</w:t>
      </w:r>
      <w:r w:rsidRPr="00D50E7B">
        <w:t>2025</w:t>
      </w:r>
      <w:r w:rsidR="00584D02" w:rsidRPr="00D50E7B">
        <w:t>)</w:t>
      </w:r>
    </w:p>
    <w:p w14:paraId="5B88B759" w14:textId="14FE0FD9" w:rsidR="000730D0" w:rsidRDefault="000730D0" w:rsidP="000730D0">
      <w:pPr>
        <w:pStyle w:val="Caption"/>
      </w:pPr>
      <w:bookmarkStart w:id="275" w:name="_Toc207348666"/>
      <w:r>
        <w:t xml:space="preserve">Table </w:t>
      </w:r>
      <w:r w:rsidR="00E6799D">
        <w:fldChar w:fldCharType="begin"/>
      </w:r>
      <w:r w:rsidR="00E6799D">
        <w:instrText xml:space="preserve"> SEQ Table \* ARABIC </w:instrText>
      </w:r>
      <w:r w:rsidR="00E6799D">
        <w:fldChar w:fldCharType="separate"/>
      </w:r>
      <w:r w:rsidR="00E6799D">
        <w:rPr>
          <w:noProof/>
        </w:rPr>
        <w:t>101</w:t>
      </w:r>
      <w:r w:rsidR="00E6799D">
        <w:rPr>
          <w:noProof/>
        </w:rPr>
        <w:fldChar w:fldCharType="end"/>
      </w:r>
      <w:r>
        <w:t xml:space="preserve">: </w:t>
      </w:r>
      <w:r w:rsidRPr="00344C42">
        <w:t xml:space="preserve">Response to question 8 by </w:t>
      </w:r>
      <w:r>
        <w:t>remoteness</w:t>
      </w:r>
      <w:bookmarkEnd w:id="275"/>
    </w:p>
    <w:tbl>
      <w:tblPr>
        <w:tblStyle w:val="KPMGTable"/>
        <w:tblW w:w="5000" w:type="pct"/>
        <w:tblLayout w:type="fixed"/>
        <w:tblLook w:val="04A0" w:firstRow="1" w:lastRow="0" w:firstColumn="1" w:lastColumn="0" w:noHBand="0" w:noVBand="1"/>
      </w:tblPr>
      <w:tblGrid>
        <w:gridCol w:w="1275"/>
        <w:gridCol w:w="1275"/>
        <w:gridCol w:w="1275"/>
        <w:gridCol w:w="1275"/>
        <w:gridCol w:w="1276"/>
        <w:gridCol w:w="1276"/>
        <w:gridCol w:w="1276"/>
        <w:gridCol w:w="1276"/>
      </w:tblGrid>
      <w:tr w:rsidR="00210A81" w:rsidRPr="00386CBC" w14:paraId="2C5A6447" w14:textId="77777777" w:rsidTr="00C76D17">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625" w:type="pct"/>
          </w:tcPr>
          <w:p w14:paraId="1B73380E" w14:textId="77777777" w:rsidR="00F36D7D" w:rsidRPr="007B154A" w:rsidRDefault="00F36D7D" w:rsidP="000730D0">
            <w:pPr>
              <w:pStyle w:val="TableHeading"/>
              <w:rPr>
                <w:b w:val="0"/>
                <w:color w:val="FFFFFF" w:themeColor="background1"/>
                <w:szCs w:val="20"/>
              </w:rPr>
            </w:pPr>
            <w:r>
              <w:t>Response</w:t>
            </w:r>
          </w:p>
        </w:tc>
        <w:tc>
          <w:tcPr>
            <w:tcW w:w="625" w:type="pct"/>
          </w:tcPr>
          <w:p w14:paraId="2E3A4203" w14:textId="77777777" w:rsidR="00F36D7D" w:rsidRDefault="00F36D7D"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Appropriate funding</w:t>
            </w:r>
          </w:p>
        </w:tc>
        <w:tc>
          <w:tcPr>
            <w:tcW w:w="625" w:type="pct"/>
          </w:tcPr>
          <w:p w14:paraId="0C03272A" w14:textId="77777777" w:rsidR="00F36D7D" w:rsidRPr="008B4C8E" w:rsidRDefault="00F36D7D" w:rsidP="000730D0">
            <w:pPr>
              <w:pStyle w:val="TableHeading"/>
              <w:cnfStyle w:val="100000000000" w:firstRow="1" w:lastRow="0" w:firstColumn="0" w:lastColumn="0" w:oddVBand="0" w:evenVBand="0" w:oddHBand="0" w:evenHBand="0" w:firstRowFirstColumn="0" w:firstRowLastColumn="0" w:lastRowFirstColumn="0" w:lastRowLastColumn="0"/>
              <w:rPr>
                <w:b w:val="0"/>
                <w:szCs w:val="20"/>
              </w:rPr>
            </w:pPr>
            <w:r w:rsidRPr="008B4C8E">
              <w:t xml:space="preserve">Availability of a </w:t>
            </w:r>
            <w:r w:rsidRPr="008B4C8E">
              <w:rPr>
                <w:b w:val="0"/>
                <w:szCs w:val="20"/>
              </w:rPr>
              <w:t>workforce</w:t>
            </w:r>
          </w:p>
        </w:tc>
        <w:tc>
          <w:tcPr>
            <w:tcW w:w="625" w:type="pct"/>
          </w:tcPr>
          <w:p w14:paraId="700220F7" w14:textId="77777777" w:rsidR="00F36D7D" w:rsidRDefault="00F36D7D"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Clearly defined referral pathways</w:t>
            </w:r>
          </w:p>
        </w:tc>
        <w:tc>
          <w:tcPr>
            <w:tcW w:w="625" w:type="pct"/>
          </w:tcPr>
          <w:p w14:paraId="1CB7921A" w14:textId="77777777" w:rsidR="00F36D7D" w:rsidRDefault="00F36D7D"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Patient education / information</w:t>
            </w:r>
          </w:p>
        </w:tc>
        <w:tc>
          <w:tcPr>
            <w:tcW w:w="625" w:type="pct"/>
          </w:tcPr>
          <w:p w14:paraId="496CB85A" w14:textId="77777777" w:rsidR="00F36D7D" w:rsidRDefault="00F36D7D"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Clearly defined delineation from other schemes</w:t>
            </w:r>
          </w:p>
        </w:tc>
        <w:tc>
          <w:tcPr>
            <w:tcW w:w="625" w:type="pct"/>
          </w:tcPr>
          <w:p w14:paraId="6AE9246B" w14:textId="77777777" w:rsidR="00F36D7D" w:rsidRDefault="00F36D7D"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Breadth / scope of prostheses</w:t>
            </w:r>
          </w:p>
        </w:tc>
        <w:tc>
          <w:tcPr>
            <w:tcW w:w="625" w:type="pct"/>
          </w:tcPr>
          <w:p w14:paraId="0D2700E7" w14:textId="77777777" w:rsidR="00F36D7D" w:rsidRDefault="00F36D7D" w:rsidP="000730D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Other</w:t>
            </w:r>
          </w:p>
        </w:tc>
      </w:tr>
      <w:tr w:rsidR="002E5B6F" w:rsidRPr="006D20D0" w14:paraId="3946BCB0"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625" w:type="pct"/>
          </w:tcPr>
          <w:p w14:paraId="22C5C0C6" w14:textId="77777777" w:rsidR="00F36D7D" w:rsidRPr="00E90673" w:rsidRDefault="000F1B44" w:rsidP="000730D0">
            <w:pPr>
              <w:pStyle w:val="TableText"/>
            </w:pPr>
            <w:r>
              <w:t>Metropolitan</w:t>
            </w:r>
          </w:p>
        </w:tc>
        <w:tc>
          <w:tcPr>
            <w:tcW w:w="625" w:type="pct"/>
          </w:tcPr>
          <w:p w14:paraId="178142A0" w14:textId="77777777" w:rsidR="00F36D7D" w:rsidRPr="00131490" w:rsidRDefault="005B07DA" w:rsidP="000730D0">
            <w:pPr>
              <w:pStyle w:val="TableText"/>
              <w:cnfStyle w:val="000000000000" w:firstRow="0" w:lastRow="0" w:firstColumn="0" w:lastColumn="0" w:oddVBand="0" w:evenVBand="0" w:oddHBand="0" w:evenHBand="0" w:firstRowFirstColumn="0" w:firstRowLastColumn="0" w:lastRowFirstColumn="0" w:lastRowLastColumn="0"/>
            </w:pPr>
            <w:r w:rsidRPr="00307594">
              <w:rPr>
                <w:szCs w:val="18"/>
              </w:rPr>
              <w:t>36</w:t>
            </w:r>
            <w:r w:rsidRPr="00307594">
              <w:rPr>
                <w:szCs w:val="18"/>
              </w:rPr>
              <w:br/>
              <w:t>(</w:t>
            </w:r>
            <w:r w:rsidR="00D9760E" w:rsidRPr="00307594">
              <w:rPr>
                <w:szCs w:val="18"/>
              </w:rPr>
              <w:t>29.</w:t>
            </w:r>
            <w:r w:rsidR="00252019" w:rsidRPr="00307594">
              <w:rPr>
                <w:szCs w:val="18"/>
              </w:rPr>
              <w:t>0</w:t>
            </w:r>
            <w:r w:rsidR="00D9760E" w:rsidRPr="00307594">
              <w:rPr>
                <w:szCs w:val="18"/>
              </w:rPr>
              <w:t>%</w:t>
            </w:r>
            <w:r w:rsidRPr="00307594">
              <w:rPr>
                <w:szCs w:val="18"/>
              </w:rPr>
              <w:t>)</w:t>
            </w:r>
          </w:p>
        </w:tc>
        <w:tc>
          <w:tcPr>
            <w:tcW w:w="625" w:type="pct"/>
          </w:tcPr>
          <w:p w14:paraId="54E5ADAB" w14:textId="77777777" w:rsidR="00F36D7D" w:rsidRPr="00131490" w:rsidRDefault="005B07DA" w:rsidP="000730D0">
            <w:pPr>
              <w:pStyle w:val="TableText"/>
              <w:cnfStyle w:val="000000000000" w:firstRow="0" w:lastRow="0" w:firstColumn="0" w:lastColumn="0" w:oddVBand="0" w:evenVBand="0" w:oddHBand="0" w:evenHBand="0" w:firstRowFirstColumn="0" w:firstRowLastColumn="0" w:lastRowFirstColumn="0" w:lastRowLastColumn="0"/>
            </w:pPr>
            <w:r w:rsidRPr="00307594">
              <w:rPr>
                <w:szCs w:val="18"/>
              </w:rPr>
              <w:t>3</w:t>
            </w:r>
            <w:r w:rsidR="00305790" w:rsidRPr="00307594">
              <w:rPr>
                <w:szCs w:val="18"/>
              </w:rPr>
              <w:t>2</w:t>
            </w:r>
            <w:r w:rsidRPr="00307594">
              <w:rPr>
                <w:szCs w:val="18"/>
              </w:rPr>
              <w:br/>
              <w:t>(</w:t>
            </w:r>
            <w:r w:rsidR="00D9760E" w:rsidRPr="00307594">
              <w:rPr>
                <w:szCs w:val="18"/>
              </w:rPr>
              <w:t>25.</w:t>
            </w:r>
            <w:r w:rsidR="00252019" w:rsidRPr="00307594">
              <w:rPr>
                <w:szCs w:val="18"/>
              </w:rPr>
              <w:t>8</w:t>
            </w:r>
            <w:r w:rsidR="00D9760E" w:rsidRPr="00307594">
              <w:rPr>
                <w:szCs w:val="18"/>
              </w:rPr>
              <w:t>%</w:t>
            </w:r>
            <w:r w:rsidRPr="00307594">
              <w:rPr>
                <w:szCs w:val="18"/>
              </w:rPr>
              <w:t>)</w:t>
            </w:r>
          </w:p>
        </w:tc>
        <w:tc>
          <w:tcPr>
            <w:tcW w:w="625" w:type="pct"/>
          </w:tcPr>
          <w:p w14:paraId="0A446625" w14:textId="77777777" w:rsidR="00F36D7D" w:rsidRPr="00131490" w:rsidRDefault="005B07DA" w:rsidP="000730D0">
            <w:pPr>
              <w:pStyle w:val="TableText"/>
              <w:cnfStyle w:val="000000000000" w:firstRow="0" w:lastRow="0" w:firstColumn="0" w:lastColumn="0" w:oddVBand="0" w:evenVBand="0" w:oddHBand="0" w:evenHBand="0" w:firstRowFirstColumn="0" w:firstRowLastColumn="0" w:lastRowFirstColumn="0" w:lastRowLastColumn="0"/>
            </w:pPr>
            <w:r w:rsidRPr="00307594">
              <w:rPr>
                <w:szCs w:val="18"/>
              </w:rPr>
              <w:t>19</w:t>
            </w:r>
            <w:r w:rsidRPr="00307594">
              <w:rPr>
                <w:szCs w:val="18"/>
              </w:rPr>
              <w:br/>
              <w:t>(</w:t>
            </w:r>
            <w:r w:rsidR="00D9760E" w:rsidRPr="00307594">
              <w:rPr>
                <w:szCs w:val="18"/>
              </w:rPr>
              <w:t>15.</w:t>
            </w:r>
            <w:r w:rsidR="00252019" w:rsidRPr="00307594">
              <w:rPr>
                <w:szCs w:val="18"/>
              </w:rPr>
              <w:t>3</w:t>
            </w:r>
            <w:r w:rsidR="00D9760E" w:rsidRPr="00307594">
              <w:rPr>
                <w:szCs w:val="18"/>
              </w:rPr>
              <w:t>%</w:t>
            </w:r>
            <w:r w:rsidRPr="00307594">
              <w:rPr>
                <w:szCs w:val="18"/>
              </w:rPr>
              <w:t>)</w:t>
            </w:r>
          </w:p>
        </w:tc>
        <w:tc>
          <w:tcPr>
            <w:tcW w:w="625" w:type="pct"/>
          </w:tcPr>
          <w:p w14:paraId="7D0F57EE" w14:textId="77777777" w:rsidR="00F36D7D" w:rsidRPr="00131490" w:rsidRDefault="005B07DA" w:rsidP="000730D0">
            <w:pPr>
              <w:pStyle w:val="TableText"/>
              <w:cnfStyle w:val="000000000000" w:firstRow="0" w:lastRow="0" w:firstColumn="0" w:lastColumn="0" w:oddVBand="0" w:evenVBand="0" w:oddHBand="0" w:evenHBand="0" w:firstRowFirstColumn="0" w:firstRowLastColumn="0" w:lastRowFirstColumn="0" w:lastRowLastColumn="0"/>
            </w:pPr>
            <w:r w:rsidRPr="00307594">
              <w:rPr>
                <w:szCs w:val="18"/>
              </w:rPr>
              <w:t>8</w:t>
            </w:r>
            <w:r w:rsidRPr="00307594">
              <w:rPr>
                <w:szCs w:val="18"/>
              </w:rPr>
              <w:br/>
              <w:t>(</w:t>
            </w:r>
            <w:r w:rsidR="00D9760E" w:rsidRPr="00307594">
              <w:rPr>
                <w:szCs w:val="18"/>
              </w:rPr>
              <w:t>6.5%</w:t>
            </w:r>
            <w:r w:rsidRPr="00307594">
              <w:rPr>
                <w:szCs w:val="18"/>
              </w:rPr>
              <w:t>)</w:t>
            </w:r>
          </w:p>
        </w:tc>
        <w:tc>
          <w:tcPr>
            <w:tcW w:w="625" w:type="pct"/>
          </w:tcPr>
          <w:p w14:paraId="50AD3208" w14:textId="77777777" w:rsidR="00F36D7D" w:rsidRPr="00131490" w:rsidRDefault="005B07DA" w:rsidP="000730D0">
            <w:pPr>
              <w:pStyle w:val="TableText"/>
              <w:cnfStyle w:val="000000000000" w:firstRow="0" w:lastRow="0" w:firstColumn="0" w:lastColumn="0" w:oddVBand="0" w:evenVBand="0" w:oddHBand="0" w:evenHBand="0" w:firstRowFirstColumn="0" w:firstRowLastColumn="0" w:lastRowFirstColumn="0" w:lastRowLastColumn="0"/>
            </w:pPr>
            <w:r w:rsidRPr="00307594">
              <w:rPr>
                <w:szCs w:val="18"/>
              </w:rPr>
              <w:t>18</w:t>
            </w:r>
            <w:r w:rsidRPr="00307594">
              <w:rPr>
                <w:szCs w:val="18"/>
              </w:rPr>
              <w:br/>
              <w:t>(</w:t>
            </w:r>
            <w:r w:rsidR="00D9760E" w:rsidRPr="00307594">
              <w:rPr>
                <w:szCs w:val="18"/>
              </w:rPr>
              <w:t>14.</w:t>
            </w:r>
            <w:r w:rsidR="00252019" w:rsidRPr="00307594">
              <w:rPr>
                <w:szCs w:val="18"/>
              </w:rPr>
              <w:t>5</w:t>
            </w:r>
            <w:r w:rsidR="00D9760E" w:rsidRPr="00307594">
              <w:rPr>
                <w:szCs w:val="18"/>
              </w:rPr>
              <w:t>%</w:t>
            </w:r>
            <w:r w:rsidRPr="00307594">
              <w:rPr>
                <w:szCs w:val="18"/>
              </w:rPr>
              <w:t>)</w:t>
            </w:r>
          </w:p>
        </w:tc>
        <w:tc>
          <w:tcPr>
            <w:tcW w:w="625" w:type="pct"/>
          </w:tcPr>
          <w:p w14:paraId="1F653E64" w14:textId="77777777" w:rsidR="00F36D7D" w:rsidRPr="00131490" w:rsidRDefault="005B07DA" w:rsidP="000730D0">
            <w:pPr>
              <w:pStyle w:val="TableText"/>
              <w:cnfStyle w:val="000000000000" w:firstRow="0" w:lastRow="0" w:firstColumn="0" w:lastColumn="0" w:oddVBand="0" w:evenVBand="0" w:oddHBand="0" w:evenHBand="0" w:firstRowFirstColumn="0" w:firstRowLastColumn="0" w:lastRowFirstColumn="0" w:lastRowLastColumn="0"/>
            </w:pPr>
            <w:r w:rsidRPr="00307594">
              <w:rPr>
                <w:szCs w:val="18"/>
              </w:rPr>
              <w:t>10</w:t>
            </w:r>
            <w:r w:rsidRPr="00307594">
              <w:rPr>
                <w:szCs w:val="18"/>
              </w:rPr>
              <w:br/>
              <w:t>(</w:t>
            </w:r>
            <w:r w:rsidR="00D9760E" w:rsidRPr="00307594">
              <w:rPr>
                <w:szCs w:val="18"/>
              </w:rPr>
              <w:t>8.1%</w:t>
            </w:r>
            <w:r w:rsidRPr="00307594">
              <w:rPr>
                <w:szCs w:val="18"/>
              </w:rPr>
              <w:t>)</w:t>
            </w:r>
          </w:p>
        </w:tc>
        <w:tc>
          <w:tcPr>
            <w:tcW w:w="625" w:type="pct"/>
          </w:tcPr>
          <w:p w14:paraId="0A1741DF" w14:textId="77777777" w:rsidR="00F36D7D" w:rsidRPr="00131490" w:rsidRDefault="005B07DA" w:rsidP="000730D0">
            <w:pPr>
              <w:pStyle w:val="TableText"/>
              <w:cnfStyle w:val="000000000000" w:firstRow="0" w:lastRow="0" w:firstColumn="0" w:lastColumn="0" w:oddVBand="0" w:evenVBand="0" w:oddHBand="0" w:evenHBand="0" w:firstRowFirstColumn="0" w:firstRowLastColumn="0" w:lastRowFirstColumn="0" w:lastRowLastColumn="0"/>
            </w:pPr>
            <w:r w:rsidRPr="00307594">
              <w:rPr>
                <w:szCs w:val="18"/>
              </w:rPr>
              <w:t>1</w:t>
            </w:r>
            <w:r w:rsidRPr="00307594">
              <w:rPr>
                <w:szCs w:val="18"/>
              </w:rPr>
              <w:br/>
              <w:t>(</w:t>
            </w:r>
            <w:r w:rsidR="00D9760E" w:rsidRPr="00307594">
              <w:rPr>
                <w:szCs w:val="18"/>
              </w:rPr>
              <w:t>0.8%</w:t>
            </w:r>
            <w:r w:rsidRPr="00307594">
              <w:rPr>
                <w:szCs w:val="18"/>
              </w:rPr>
              <w:t>)</w:t>
            </w:r>
          </w:p>
        </w:tc>
      </w:tr>
      <w:tr w:rsidR="002E5B6F" w:rsidRPr="009C1931" w14:paraId="63D5E051"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625" w:type="pct"/>
          </w:tcPr>
          <w:p w14:paraId="69C17A03" w14:textId="77777777" w:rsidR="00F36D7D" w:rsidRPr="006D20D0" w:rsidRDefault="000F1B44" w:rsidP="000730D0">
            <w:pPr>
              <w:pStyle w:val="TableText"/>
              <w:rPr>
                <w:szCs w:val="18"/>
              </w:rPr>
            </w:pPr>
            <w:r>
              <w:rPr>
                <w:szCs w:val="18"/>
              </w:rPr>
              <w:t>Regional centre</w:t>
            </w:r>
          </w:p>
        </w:tc>
        <w:tc>
          <w:tcPr>
            <w:tcW w:w="625" w:type="pct"/>
          </w:tcPr>
          <w:p w14:paraId="3E72A945" w14:textId="77777777" w:rsidR="00F36D7D" w:rsidRPr="00131490" w:rsidRDefault="006817FD" w:rsidP="000730D0">
            <w:pPr>
              <w:pStyle w:val="TableText"/>
              <w:cnfStyle w:val="000000000000" w:firstRow="0" w:lastRow="0" w:firstColumn="0" w:lastColumn="0" w:oddVBand="0" w:evenVBand="0" w:oddHBand="0" w:evenHBand="0" w:firstRowFirstColumn="0" w:firstRowLastColumn="0" w:lastRowFirstColumn="0" w:lastRowLastColumn="0"/>
            </w:pPr>
            <w:r w:rsidRPr="00307594">
              <w:rPr>
                <w:szCs w:val="18"/>
              </w:rPr>
              <w:t>10</w:t>
            </w:r>
            <w:r w:rsidRPr="00307594">
              <w:rPr>
                <w:szCs w:val="18"/>
              </w:rPr>
              <w:br/>
              <w:t>(</w:t>
            </w:r>
            <w:r w:rsidR="00D9760E" w:rsidRPr="00307594">
              <w:rPr>
                <w:szCs w:val="18"/>
              </w:rPr>
              <w:t>38.5%</w:t>
            </w:r>
            <w:r w:rsidRPr="00307594">
              <w:rPr>
                <w:szCs w:val="18"/>
              </w:rPr>
              <w:t>)</w:t>
            </w:r>
          </w:p>
        </w:tc>
        <w:tc>
          <w:tcPr>
            <w:tcW w:w="625" w:type="pct"/>
          </w:tcPr>
          <w:p w14:paraId="4FD49049" w14:textId="77777777" w:rsidR="00F36D7D" w:rsidRPr="00131490" w:rsidRDefault="006817FD" w:rsidP="000730D0">
            <w:pPr>
              <w:pStyle w:val="TableText"/>
              <w:cnfStyle w:val="000000000000" w:firstRow="0" w:lastRow="0" w:firstColumn="0" w:lastColumn="0" w:oddVBand="0" w:evenVBand="0" w:oddHBand="0" w:evenHBand="0" w:firstRowFirstColumn="0" w:firstRowLastColumn="0" w:lastRowFirstColumn="0" w:lastRowLastColumn="0"/>
            </w:pPr>
            <w:r w:rsidRPr="00307594">
              <w:rPr>
                <w:szCs w:val="18"/>
              </w:rPr>
              <w:t>5</w:t>
            </w:r>
            <w:r w:rsidRPr="00307594">
              <w:rPr>
                <w:szCs w:val="18"/>
              </w:rPr>
              <w:br/>
              <w:t>(</w:t>
            </w:r>
            <w:r w:rsidR="00D9760E" w:rsidRPr="00307594">
              <w:rPr>
                <w:szCs w:val="18"/>
              </w:rPr>
              <w:t>19.2%</w:t>
            </w:r>
            <w:r w:rsidRPr="00307594">
              <w:rPr>
                <w:szCs w:val="18"/>
              </w:rPr>
              <w:t>)</w:t>
            </w:r>
          </w:p>
        </w:tc>
        <w:tc>
          <w:tcPr>
            <w:tcW w:w="625" w:type="pct"/>
          </w:tcPr>
          <w:p w14:paraId="28B020A7" w14:textId="77777777" w:rsidR="00F36D7D" w:rsidRPr="00131490" w:rsidRDefault="006817FD" w:rsidP="000730D0">
            <w:pPr>
              <w:pStyle w:val="TableText"/>
              <w:cnfStyle w:val="000000000000" w:firstRow="0" w:lastRow="0" w:firstColumn="0" w:lastColumn="0" w:oddVBand="0" w:evenVBand="0" w:oddHBand="0" w:evenHBand="0" w:firstRowFirstColumn="0" w:firstRowLastColumn="0" w:lastRowFirstColumn="0" w:lastRowLastColumn="0"/>
            </w:pPr>
            <w:r w:rsidRPr="00307594">
              <w:rPr>
                <w:szCs w:val="18"/>
              </w:rPr>
              <w:t>7</w:t>
            </w:r>
            <w:r w:rsidRPr="00307594">
              <w:rPr>
                <w:szCs w:val="18"/>
              </w:rPr>
              <w:br/>
              <w:t>(</w:t>
            </w:r>
            <w:r w:rsidR="00D9760E" w:rsidRPr="00307594">
              <w:rPr>
                <w:szCs w:val="18"/>
              </w:rPr>
              <w:t>26.9%</w:t>
            </w:r>
            <w:r w:rsidRPr="00307594">
              <w:rPr>
                <w:szCs w:val="18"/>
              </w:rPr>
              <w:t>)</w:t>
            </w:r>
          </w:p>
        </w:tc>
        <w:tc>
          <w:tcPr>
            <w:tcW w:w="625" w:type="pct"/>
          </w:tcPr>
          <w:p w14:paraId="07E1823C" w14:textId="77777777" w:rsidR="00F36D7D" w:rsidRPr="00131490" w:rsidRDefault="006817FD" w:rsidP="000730D0">
            <w:pPr>
              <w:pStyle w:val="TableText"/>
              <w:cnfStyle w:val="000000000000" w:firstRow="0" w:lastRow="0" w:firstColumn="0" w:lastColumn="0" w:oddVBand="0" w:evenVBand="0" w:oddHBand="0" w:evenHBand="0" w:firstRowFirstColumn="0" w:firstRowLastColumn="0" w:lastRowFirstColumn="0" w:lastRowLastColumn="0"/>
            </w:pPr>
            <w:r w:rsidRPr="00307594">
              <w:rPr>
                <w:szCs w:val="18"/>
              </w:rPr>
              <w:t>1</w:t>
            </w:r>
            <w:r w:rsidRPr="00307594">
              <w:rPr>
                <w:szCs w:val="18"/>
              </w:rPr>
              <w:br/>
              <w:t>(</w:t>
            </w:r>
            <w:r w:rsidR="00D9760E" w:rsidRPr="00307594">
              <w:rPr>
                <w:szCs w:val="18"/>
              </w:rPr>
              <w:t>3.8%</w:t>
            </w:r>
            <w:r w:rsidRPr="00307594">
              <w:rPr>
                <w:szCs w:val="18"/>
              </w:rPr>
              <w:t>)</w:t>
            </w:r>
          </w:p>
        </w:tc>
        <w:tc>
          <w:tcPr>
            <w:tcW w:w="625" w:type="pct"/>
          </w:tcPr>
          <w:p w14:paraId="714DE9EC" w14:textId="77777777" w:rsidR="00F36D7D" w:rsidRPr="00131490" w:rsidRDefault="006817FD" w:rsidP="000730D0">
            <w:pPr>
              <w:pStyle w:val="TableText"/>
              <w:cnfStyle w:val="000000000000" w:firstRow="0" w:lastRow="0" w:firstColumn="0" w:lastColumn="0" w:oddVBand="0" w:evenVBand="0" w:oddHBand="0" w:evenHBand="0" w:firstRowFirstColumn="0" w:firstRowLastColumn="0" w:lastRowFirstColumn="0" w:lastRowLastColumn="0"/>
            </w:pPr>
            <w:r w:rsidRPr="00307594">
              <w:rPr>
                <w:szCs w:val="18"/>
              </w:rPr>
              <w:t>1</w:t>
            </w:r>
            <w:r w:rsidRPr="00307594">
              <w:rPr>
                <w:szCs w:val="18"/>
              </w:rPr>
              <w:br/>
              <w:t>(</w:t>
            </w:r>
            <w:r w:rsidR="00D9760E" w:rsidRPr="00307594">
              <w:rPr>
                <w:szCs w:val="18"/>
              </w:rPr>
              <w:t>3.8%</w:t>
            </w:r>
            <w:r w:rsidRPr="00307594">
              <w:rPr>
                <w:szCs w:val="18"/>
              </w:rPr>
              <w:t>)</w:t>
            </w:r>
          </w:p>
        </w:tc>
        <w:tc>
          <w:tcPr>
            <w:tcW w:w="625" w:type="pct"/>
          </w:tcPr>
          <w:p w14:paraId="5513F06E" w14:textId="77777777" w:rsidR="00F36D7D" w:rsidRPr="00131490" w:rsidRDefault="006817FD" w:rsidP="000730D0">
            <w:pPr>
              <w:pStyle w:val="TableText"/>
              <w:cnfStyle w:val="000000000000" w:firstRow="0" w:lastRow="0" w:firstColumn="0" w:lastColumn="0" w:oddVBand="0" w:evenVBand="0" w:oddHBand="0" w:evenHBand="0" w:firstRowFirstColumn="0" w:firstRowLastColumn="0" w:lastRowFirstColumn="0" w:lastRowLastColumn="0"/>
            </w:pPr>
            <w:r w:rsidRPr="00307594">
              <w:rPr>
                <w:szCs w:val="18"/>
              </w:rPr>
              <w:t>2</w:t>
            </w:r>
            <w:r w:rsidRPr="00307594">
              <w:rPr>
                <w:szCs w:val="18"/>
              </w:rPr>
              <w:br/>
              <w:t>(</w:t>
            </w:r>
            <w:r w:rsidR="00D9760E" w:rsidRPr="00307594">
              <w:rPr>
                <w:szCs w:val="18"/>
              </w:rPr>
              <w:t>7.7%</w:t>
            </w:r>
            <w:r w:rsidRPr="00307594">
              <w:rPr>
                <w:szCs w:val="18"/>
              </w:rPr>
              <w:t>)</w:t>
            </w:r>
          </w:p>
        </w:tc>
        <w:tc>
          <w:tcPr>
            <w:tcW w:w="625" w:type="pct"/>
          </w:tcPr>
          <w:p w14:paraId="78FB82CD" w14:textId="77777777" w:rsidR="00F36D7D" w:rsidRPr="00131490" w:rsidRDefault="006817FD" w:rsidP="000730D0">
            <w:pPr>
              <w:pStyle w:val="TableText"/>
              <w:cnfStyle w:val="000000000000" w:firstRow="0" w:lastRow="0" w:firstColumn="0" w:lastColumn="0" w:oddVBand="0" w:evenVBand="0" w:oddHBand="0" w:evenHBand="0" w:firstRowFirstColumn="0" w:firstRowLastColumn="0" w:lastRowFirstColumn="0" w:lastRowLastColumn="0"/>
            </w:pPr>
            <w:r w:rsidRPr="00307594">
              <w:rPr>
                <w:szCs w:val="18"/>
              </w:rPr>
              <w:t>0</w:t>
            </w:r>
            <w:r w:rsidRPr="00307594">
              <w:rPr>
                <w:szCs w:val="18"/>
              </w:rPr>
              <w:br/>
              <w:t>(</w:t>
            </w:r>
            <w:r w:rsidR="00D9760E" w:rsidRPr="00307594">
              <w:rPr>
                <w:szCs w:val="18"/>
              </w:rPr>
              <w:t>0.0%</w:t>
            </w:r>
            <w:r w:rsidRPr="00307594">
              <w:rPr>
                <w:szCs w:val="18"/>
              </w:rPr>
              <w:t>)</w:t>
            </w:r>
          </w:p>
        </w:tc>
      </w:tr>
      <w:tr w:rsidR="002E5B6F" w:rsidRPr="009C1931" w14:paraId="493D8624"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625" w:type="pct"/>
          </w:tcPr>
          <w:p w14:paraId="1F0B685B" w14:textId="77777777" w:rsidR="00F36D7D" w:rsidRDefault="000F1B44" w:rsidP="000730D0">
            <w:pPr>
              <w:pStyle w:val="TableText"/>
            </w:pPr>
            <w:r>
              <w:rPr>
                <w:szCs w:val="18"/>
              </w:rPr>
              <w:t>Rural area</w:t>
            </w:r>
          </w:p>
        </w:tc>
        <w:tc>
          <w:tcPr>
            <w:tcW w:w="625" w:type="pct"/>
          </w:tcPr>
          <w:p w14:paraId="13AF383D" w14:textId="77777777" w:rsidR="00F36D7D" w:rsidRPr="008F0372" w:rsidRDefault="006817FD" w:rsidP="000730D0">
            <w:pPr>
              <w:pStyle w:val="TableText"/>
              <w:cnfStyle w:val="000000000000" w:firstRow="0" w:lastRow="0" w:firstColumn="0" w:lastColumn="0" w:oddVBand="0" w:evenVBand="0" w:oddHBand="0" w:evenHBand="0" w:firstRowFirstColumn="0" w:firstRowLastColumn="0" w:lastRowFirstColumn="0" w:lastRowLastColumn="0"/>
            </w:pPr>
            <w:r w:rsidRPr="00307594">
              <w:rPr>
                <w:szCs w:val="18"/>
              </w:rPr>
              <w:t>2</w:t>
            </w:r>
            <w:r w:rsidRPr="00307594">
              <w:rPr>
                <w:szCs w:val="18"/>
              </w:rPr>
              <w:br/>
              <w:t>(</w:t>
            </w:r>
            <w:r w:rsidR="00D9760E" w:rsidRPr="00307594">
              <w:rPr>
                <w:szCs w:val="18"/>
              </w:rPr>
              <w:t>33.3</w:t>
            </w:r>
            <w:r w:rsidRPr="00307594">
              <w:rPr>
                <w:szCs w:val="18"/>
              </w:rPr>
              <w:t>%)</w:t>
            </w:r>
          </w:p>
        </w:tc>
        <w:tc>
          <w:tcPr>
            <w:tcW w:w="625" w:type="pct"/>
          </w:tcPr>
          <w:p w14:paraId="440D3315" w14:textId="77777777" w:rsidR="00F36D7D" w:rsidRPr="008F0372" w:rsidRDefault="006817FD" w:rsidP="000730D0">
            <w:pPr>
              <w:pStyle w:val="TableText"/>
              <w:cnfStyle w:val="000000000000" w:firstRow="0" w:lastRow="0" w:firstColumn="0" w:lastColumn="0" w:oddVBand="0" w:evenVBand="0" w:oddHBand="0" w:evenHBand="0" w:firstRowFirstColumn="0" w:firstRowLastColumn="0" w:lastRowFirstColumn="0" w:lastRowLastColumn="0"/>
            </w:pPr>
            <w:r w:rsidRPr="00307594">
              <w:rPr>
                <w:szCs w:val="18"/>
              </w:rPr>
              <w:t>2</w:t>
            </w:r>
            <w:r w:rsidRPr="00307594">
              <w:rPr>
                <w:szCs w:val="18"/>
              </w:rPr>
              <w:br/>
              <w:t>(</w:t>
            </w:r>
            <w:r w:rsidR="00D9760E" w:rsidRPr="00307594">
              <w:rPr>
                <w:szCs w:val="18"/>
              </w:rPr>
              <w:t>33.3</w:t>
            </w:r>
            <w:r w:rsidRPr="00307594">
              <w:rPr>
                <w:szCs w:val="18"/>
              </w:rPr>
              <w:t>%)</w:t>
            </w:r>
          </w:p>
        </w:tc>
        <w:tc>
          <w:tcPr>
            <w:tcW w:w="625" w:type="pct"/>
          </w:tcPr>
          <w:p w14:paraId="496D8BF0" w14:textId="77777777" w:rsidR="00F36D7D" w:rsidRPr="008F0372" w:rsidRDefault="006817FD" w:rsidP="000730D0">
            <w:pPr>
              <w:pStyle w:val="TableText"/>
              <w:cnfStyle w:val="000000000000" w:firstRow="0" w:lastRow="0" w:firstColumn="0" w:lastColumn="0" w:oddVBand="0" w:evenVBand="0" w:oddHBand="0" w:evenHBand="0" w:firstRowFirstColumn="0" w:firstRowLastColumn="0" w:lastRowFirstColumn="0" w:lastRowLastColumn="0"/>
            </w:pPr>
            <w:r w:rsidRPr="00307594">
              <w:rPr>
                <w:szCs w:val="18"/>
              </w:rPr>
              <w:t>2</w:t>
            </w:r>
            <w:r w:rsidRPr="00307594">
              <w:rPr>
                <w:szCs w:val="18"/>
              </w:rPr>
              <w:br/>
              <w:t>(</w:t>
            </w:r>
            <w:r w:rsidR="00D9760E" w:rsidRPr="00307594">
              <w:rPr>
                <w:szCs w:val="18"/>
              </w:rPr>
              <w:t>33.3</w:t>
            </w:r>
            <w:r w:rsidRPr="00307594">
              <w:rPr>
                <w:szCs w:val="18"/>
              </w:rPr>
              <w:t>%)</w:t>
            </w:r>
          </w:p>
        </w:tc>
        <w:tc>
          <w:tcPr>
            <w:tcW w:w="625" w:type="pct"/>
          </w:tcPr>
          <w:p w14:paraId="0A9E51D4" w14:textId="77777777" w:rsidR="00F36D7D" w:rsidRPr="008F0372" w:rsidRDefault="006817FD" w:rsidP="000730D0">
            <w:pPr>
              <w:pStyle w:val="TableText"/>
              <w:cnfStyle w:val="000000000000" w:firstRow="0" w:lastRow="0" w:firstColumn="0" w:lastColumn="0" w:oddVBand="0" w:evenVBand="0" w:oddHBand="0" w:evenHBand="0" w:firstRowFirstColumn="0" w:firstRowLastColumn="0" w:lastRowFirstColumn="0" w:lastRowLastColumn="0"/>
            </w:pPr>
            <w:r w:rsidRPr="00307594">
              <w:rPr>
                <w:szCs w:val="18"/>
              </w:rPr>
              <w:t>0</w:t>
            </w:r>
            <w:r w:rsidRPr="00307594">
              <w:rPr>
                <w:szCs w:val="18"/>
              </w:rPr>
              <w:br/>
              <w:t>(0.0%)</w:t>
            </w:r>
          </w:p>
        </w:tc>
        <w:tc>
          <w:tcPr>
            <w:tcW w:w="625" w:type="pct"/>
          </w:tcPr>
          <w:p w14:paraId="76B5EB1C" w14:textId="77777777" w:rsidR="00F36D7D" w:rsidRPr="008F0372" w:rsidRDefault="006817FD" w:rsidP="000730D0">
            <w:pPr>
              <w:pStyle w:val="TableText"/>
              <w:cnfStyle w:val="000000000000" w:firstRow="0" w:lastRow="0" w:firstColumn="0" w:lastColumn="0" w:oddVBand="0" w:evenVBand="0" w:oddHBand="0" w:evenHBand="0" w:firstRowFirstColumn="0" w:firstRowLastColumn="0" w:lastRowFirstColumn="0" w:lastRowLastColumn="0"/>
            </w:pPr>
            <w:r w:rsidRPr="00307594">
              <w:rPr>
                <w:szCs w:val="18"/>
              </w:rPr>
              <w:t>0</w:t>
            </w:r>
            <w:r w:rsidRPr="00307594">
              <w:rPr>
                <w:szCs w:val="18"/>
              </w:rPr>
              <w:br/>
              <w:t>(0.0%)</w:t>
            </w:r>
          </w:p>
        </w:tc>
        <w:tc>
          <w:tcPr>
            <w:tcW w:w="625" w:type="pct"/>
          </w:tcPr>
          <w:p w14:paraId="3C097ABF" w14:textId="77777777" w:rsidR="00F36D7D" w:rsidRPr="008F0372" w:rsidRDefault="006817FD" w:rsidP="000730D0">
            <w:pPr>
              <w:pStyle w:val="TableText"/>
              <w:cnfStyle w:val="000000000000" w:firstRow="0" w:lastRow="0" w:firstColumn="0" w:lastColumn="0" w:oddVBand="0" w:evenVBand="0" w:oddHBand="0" w:evenHBand="0" w:firstRowFirstColumn="0" w:firstRowLastColumn="0" w:lastRowFirstColumn="0" w:lastRowLastColumn="0"/>
            </w:pPr>
            <w:r w:rsidRPr="00307594">
              <w:rPr>
                <w:szCs w:val="18"/>
              </w:rPr>
              <w:t>0</w:t>
            </w:r>
            <w:r w:rsidRPr="00307594">
              <w:rPr>
                <w:szCs w:val="18"/>
              </w:rPr>
              <w:br/>
              <w:t>(0.0%)</w:t>
            </w:r>
          </w:p>
        </w:tc>
        <w:tc>
          <w:tcPr>
            <w:tcW w:w="625" w:type="pct"/>
          </w:tcPr>
          <w:p w14:paraId="52B6C8AD" w14:textId="77777777" w:rsidR="00F36D7D" w:rsidRPr="008F0372" w:rsidRDefault="006817FD" w:rsidP="000730D0">
            <w:pPr>
              <w:pStyle w:val="TableText"/>
              <w:cnfStyle w:val="000000000000" w:firstRow="0" w:lastRow="0" w:firstColumn="0" w:lastColumn="0" w:oddVBand="0" w:evenVBand="0" w:oddHBand="0" w:evenHBand="0" w:firstRowFirstColumn="0" w:firstRowLastColumn="0" w:lastRowFirstColumn="0" w:lastRowLastColumn="0"/>
            </w:pPr>
            <w:r w:rsidRPr="00307594">
              <w:rPr>
                <w:szCs w:val="18"/>
              </w:rPr>
              <w:t>0</w:t>
            </w:r>
            <w:r w:rsidRPr="00307594">
              <w:rPr>
                <w:szCs w:val="18"/>
              </w:rPr>
              <w:br/>
              <w:t>(0.0%)</w:t>
            </w:r>
          </w:p>
        </w:tc>
      </w:tr>
      <w:tr w:rsidR="002E5B6F" w:rsidRPr="009C1931" w14:paraId="3B74F15D"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625" w:type="pct"/>
          </w:tcPr>
          <w:p w14:paraId="584FDF21" w14:textId="77777777" w:rsidR="00F36D7D" w:rsidRPr="008B6161" w:rsidRDefault="00F36D7D" w:rsidP="000730D0">
            <w:pPr>
              <w:pStyle w:val="Tabletextbold"/>
              <w:rPr>
                <w:rFonts w:eastAsiaTheme="minorEastAsia" w:cs="Arial"/>
                <w:b/>
                <w:szCs w:val="18"/>
              </w:rPr>
            </w:pPr>
            <w:r w:rsidRPr="008B6161">
              <w:rPr>
                <w:b/>
              </w:rPr>
              <w:t>Total</w:t>
            </w:r>
            <w:r w:rsidRPr="008B6161">
              <w:rPr>
                <w:rFonts w:eastAsiaTheme="minorEastAsia" w:cs="Arial"/>
                <w:b/>
                <w:szCs w:val="18"/>
              </w:rPr>
              <w:t>: 57 respondents / 156 responses</w:t>
            </w:r>
          </w:p>
        </w:tc>
        <w:tc>
          <w:tcPr>
            <w:tcW w:w="625" w:type="pct"/>
          </w:tcPr>
          <w:p w14:paraId="0B2FDCD8" w14:textId="77777777" w:rsidR="00F36D7D" w:rsidRPr="008B6161" w:rsidRDefault="00F36D7D"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48</w:t>
            </w:r>
            <w:r w:rsidRPr="008B6161">
              <w:br/>
              <w:t>(30.8%)</w:t>
            </w:r>
          </w:p>
        </w:tc>
        <w:tc>
          <w:tcPr>
            <w:tcW w:w="625" w:type="pct"/>
          </w:tcPr>
          <w:p w14:paraId="4637F481" w14:textId="77777777" w:rsidR="00F36D7D" w:rsidRPr="008B6161" w:rsidRDefault="00F36D7D"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39</w:t>
            </w:r>
            <w:r w:rsidRPr="008B6161">
              <w:br/>
              <w:t>(25.0%)</w:t>
            </w:r>
          </w:p>
        </w:tc>
        <w:tc>
          <w:tcPr>
            <w:tcW w:w="625" w:type="pct"/>
          </w:tcPr>
          <w:p w14:paraId="6BABCEE1" w14:textId="77777777" w:rsidR="00F36D7D" w:rsidRPr="008B6161" w:rsidRDefault="00F36D7D"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28</w:t>
            </w:r>
            <w:r w:rsidRPr="008B6161">
              <w:br/>
              <w:t>(17.9%)</w:t>
            </w:r>
          </w:p>
        </w:tc>
        <w:tc>
          <w:tcPr>
            <w:tcW w:w="625" w:type="pct"/>
          </w:tcPr>
          <w:p w14:paraId="392C7BA9" w14:textId="77777777" w:rsidR="00F36D7D" w:rsidRPr="008B6161" w:rsidRDefault="00F36D7D"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9</w:t>
            </w:r>
            <w:r w:rsidRPr="008B6161">
              <w:br/>
              <w:t>(5.8%)</w:t>
            </w:r>
          </w:p>
        </w:tc>
        <w:tc>
          <w:tcPr>
            <w:tcW w:w="625" w:type="pct"/>
          </w:tcPr>
          <w:p w14:paraId="7A90C7DA" w14:textId="77777777" w:rsidR="00F36D7D" w:rsidRPr="008B6161" w:rsidRDefault="00F36D7D"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19</w:t>
            </w:r>
            <w:r w:rsidRPr="008B6161">
              <w:br/>
            </w:r>
            <w:r w:rsidRPr="008B6161">
              <w:rPr>
                <w:szCs w:val="20"/>
              </w:rPr>
              <w:t>(12.2%)</w:t>
            </w:r>
          </w:p>
        </w:tc>
        <w:tc>
          <w:tcPr>
            <w:tcW w:w="625" w:type="pct"/>
          </w:tcPr>
          <w:p w14:paraId="1F4FDEA6" w14:textId="77777777" w:rsidR="00F36D7D" w:rsidRPr="008B6161" w:rsidRDefault="00F36D7D"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12</w:t>
            </w:r>
            <w:r w:rsidRPr="008B6161">
              <w:br/>
              <w:t>(7.7%)</w:t>
            </w:r>
          </w:p>
        </w:tc>
        <w:tc>
          <w:tcPr>
            <w:tcW w:w="625" w:type="pct"/>
          </w:tcPr>
          <w:p w14:paraId="561D41DF" w14:textId="77777777" w:rsidR="00F36D7D" w:rsidRPr="008B6161" w:rsidRDefault="00F36D7D" w:rsidP="000730D0">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szCs w:val="20"/>
              </w:rPr>
            </w:pPr>
            <w:r w:rsidRPr="008B6161">
              <w:t>1</w:t>
            </w:r>
            <w:r w:rsidRPr="008B6161">
              <w:br/>
              <w:t>(0.6%)</w:t>
            </w:r>
          </w:p>
        </w:tc>
      </w:tr>
    </w:tbl>
    <w:p w14:paraId="3E831D5A" w14:textId="77777777" w:rsidR="00DD71E7" w:rsidRDefault="00F36D7D" w:rsidP="000730D0">
      <w:pPr>
        <w:pStyle w:val="Caption-Source"/>
      </w:pPr>
      <w:r w:rsidRPr="00F36D7D">
        <w:t xml:space="preserve">Source: </w:t>
      </w:r>
      <w:r w:rsidR="00B26691">
        <w:t>Independent reviewer</w:t>
      </w:r>
      <w:r w:rsidR="00584D02">
        <w:t xml:space="preserve"> (</w:t>
      </w:r>
      <w:r w:rsidRPr="00F36D7D">
        <w:t>2025</w:t>
      </w:r>
      <w:r w:rsidR="00584D02">
        <w:t>)</w:t>
      </w:r>
    </w:p>
    <w:p w14:paraId="41E8F23B" w14:textId="375477C2" w:rsidR="00BF4D99" w:rsidRPr="00DD71E7" w:rsidRDefault="00BF4D99" w:rsidP="00DD71E7">
      <w:r w:rsidRPr="00DD71E7">
        <w:br w:type="page"/>
      </w:r>
    </w:p>
    <w:p w14:paraId="711A6546" w14:textId="06B683DA" w:rsidR="000730D0" w:rsidRDefault="000730D0" w:rsidP="000730D0">
      <w:pPr>
        <w:pStyle w:val="Caption"/>
      </w:pPr>
      <w:bookmarkStart w:id="276" w:name="_Toc207348667"/>
      <w:r>
        <w:t xml:space="preserve">Table </w:t>
      </w:r>
      <w:r w:rsidR="00E6799D">
        <w:fldChar w:fldCharType="begin"/>
      </w:r>
      <w:r w:rsidR="00E6799D">
        <w:instrText xml:space="preserve"> SEQ Table \* ARABIC </w:instrText>
      </w:r>
      <w:r w:rsidR="00E6799D">
        <w:fldChar w:fldCharType="separate"/>
      </w:r>
      <w:r w:rsidR="00E6799D">
        <w:rPr>
          <w:noProof/>
        </w:rPr>
        <w:t>102</w:t>
      </w:r>
      <w:r w:rsidR="00E6799D">
        <w:rPr>
          <w:noProof/>
        </w:rPr>
        <w:fldChar w:fldCharType="end"/>
      </w:r>
      <w:r>
        <w:t xml:space="preserve">: </w:t>
      </w:r>
      <w:r w:rsidRPr="00E879CE">
        <w:t xml:space="preserve">Response to question 8 by </w:t>
      </w:r>
      <w:r>
        <w:t>area of practice</w:t>
      </w:r>
      <w:bookmarkEnd w:id="276"/>
    </w:p>
    <w:tbl>
      <w:tblPr>
        <w:tblStyle w:val="KPMGTable"/>
        <w:tblW w:w="5000" w:type="pct"/>
        <w:tblLayout w:type="fixed"/>
        <w:tblLook w:val="04A0" w:firstRow="1" w:lastRow="0" w:firstColumn="1" w:lastColumn="0" w:noHBand="0" w:noVBand="1"/>
      </w:tblPr>
      <w:tblGrid>
        <w:gridCol w:w="1419"/>
        <w:gridCol w:w="1375"/>
        <w:gridCol w:w="1235"/>
        <w:gridCol w:w="1235"/>
        <w:gridCol w:w="1235"/>
        <w:gridCol w:w="1237"/>
        <w:gridCol w:w="1237"/>
        <w:gridCol w:w="1231"/>
      </w:tblGrid>
      <w:tr w:rsidR="00210A81" w:rsidRPr="00386CBC" w14:paraId="72C18688" w14:textId="77777777" w:rsidTr="00C76D17">
        <w:trPr>
          <w:cnfStyle w:val="100000000000" w:firstRow="1" w:lastRow="0" w:firstColumn="0" w:lastColumn="0" w:oddVBand="0" w:evenVBand="0" w:oddHBand="0" w:evenHBand="0" w:firstRowFirstColumn="0" w:firstRowLastColumn="0" w:lastRowFirstColumn="0" w:lastRowLastColumn="0"/>
          <w:trHeight w:val="343"/>
          <w:tblHeader/>
        </w:trPr>
        <w:tc>
          <w:tcPr>
            <w:cnfStyle w:val="001000000000" w:firstRow="0" w:lastRow="0" w:firstColumn="1" w:lastColumn="0" w:oddVBand="0" w:evenVBand="0" w:oddHBand="0" w:evenHBand="0" w:firstRowFirstColumn="0" w:firstRowLastColumn="0" w:lastRowFirstColumn="0" w:lastRowLastColumn="0"/>
            <w:tcW w:w="696" w:type="pct"/>
          </w:tcPr>
          <w:p w14:paraId="594ACED4" w14:textId="77777777" w:rsidR="00307594" w:rsidRPr="00957DDB" w:rsidRDefault="00307594" w:rsidP="00957DDB">
            <w:pPr>
              <w:pStyle w:val="TableHeading"/>
            </w:pPr>
            <w:r w:rsidRPr="00957DDB">
              <w:t>Response</w:t>
            </w:r>
          </w:p>
        </w:tc>
        <w:tc>
          <w:tcPr>
            <w:tcW w:w="674" w:type="pct"/>
          </w:tcPr>
          <w:p w14:paraId="25ED8D0F" w14:textId="77777777" w:rsidR="00307594" w:rsidRPr="00957DDB" w:rsidRDefault="00307594" w:rsidP="00957DDB">
            <w:pPr>
              <w:pStyle w:val="TableHeading"/>
              <w:cnfStyle w:val="100000000000" w:firstRow="1" w:lastRow="0" w:firstColumn="0" w:lastColumn="0" w:oddVBand="0" w:evenVBand="0" w:oddHBand="0" w:evenHBand="0" w:firstRowFirstColumn="0" w:firstRowLastColumn="0" w:lastRowFirstColumn="0" w:lastRowLastColumn="0"/>
            </w:pPr>
            <w:r w:rsidRPr="00957DDB">
              <w:t>Appropriate funding</w:t>
            </w:r>
          </w:p>
        </w:tc>
        <w:tc>
          <w:tcPr>
            <w:tcW w:w="605" w:type="pct"/>
          </w:tcPr>
          <w:p w14:paraId="25493D76" w14:textId="77777777" w:rsidR="00307594" w:rsidRPr="00957DDB" w:rsidRDefault="00307594" w:rsidP="00957DDB">
            <w:pPr>
              <w:pStyle w:val="TableHeading"/>
              <w:cnfStyle w:val="100000000000" w:firstRow="1" w:lastRow="0" w:firstColumn="0" w:lastColumn="0" w:oddVBand="0" w:evenVBand="0" w:oddHBand="0" w:evenHBand="0" w:firstRowFirstColumn="0" w:firstRowLastColumn="0" w:lastRowFirstColumn="0" w:lastRowLastColumn="0"/>
            </w:pPr>
            <w:r w:rsidRPr="00957DDB">
              <w:t>Availability of a workforce</w:t>
            </w:r>
          </w:p>
        </w:tc>
        <w:tc>
          <w:tcPr>
            <w:tcW w:w="605" w:type="pct"/>
          </w:tcPr>
          <w:p w14:paraId="05C79683" w14:textId="77777777" w:rsidR="00307594" w:rsidRPr="00957DDB" w:rsidRDefault="00307594" w:rsidP="00957DDB">
            <w:pPr>
              <w:pStyle w:val="TableHeading"/>
              <w:cnfStyle w:val="100000000000" w:firstRow="1" w:lastRow="0" w:firstColumn="0" w:lastColumn="0" w:oddVBand="0" w:evenVBand="0" w:oddHBand="0" w:evenHBand="0" w:firstRowFirstColumn="0" w:firstRowLastColumn="0" w:lastRowFirstColumn="0" w:lastRowLastColumn="0"/>
            </w:pPr>
            <w:r w:rsidRPr="00957DDB">
              <w:t>Clearly defined referral pathways</w:t>
            </w:r>
          </w:p>
        </w:tc>
        <w:tc>
          <w:tcPr>
            <w:tcW w:w="605" w:type="pct"/>
          </w:tcPr>
          <w:p w14:paraId="54E5CD5F" w14:textId="77777777" w:rsidR="00307594" w:rsidRPr="00957DDB" w:rsidRDefault="00307594" w:rsidP="00957DDB">
            <w:pPr>
              <w:pStyle w:val="TableHeading"/>
              <w:cnfStyle w:val="100000000000" w:firstRow="1" w:lastRow="0" w:firstColumn="0" w:lastColumn="0" w:oddVBand="0" w:evenVBand="0" w:oddHBand="0" w:evenHBand="0" w:firstRowFirstColumn="0" w:firstRowLastColumn="0" w:lastRowFirstColumn="0" w:lastRowLastColumn="0"/>
            </w:pPr>
            <w:r w:rsidRPr="00957DDB">
              <w:t>Patient education / information</w:t>
            </w:r>
          </w:p>
        </w:tc>
        <w:tc>
          <w:tcPr>
            <w:tcW w:w="606" w:type="pct"/>
          </w:tcPr>
          <w:p w14:paraId="0F048EAE" w14:textId="77777777" w:rsidR="00307594" w:rsidRPr="00957DDB" w:rsidRDefault="00307594" w:rsidP="00957DDB">
            <w:pPr>
              <w:pStyle w:val="TableHeading"/>
              <w:cnfStyle w:val="100000000000" w:firstRow="1" w:lastRow="0" w:firstColumn="0" w:lastColumn="0" w:oddVBand="0" w:evenVBand="0" w:oddHBand="0" w:evenHBand="0" w:firstRowFirstColumn="0" w:firstRowLastColumn="0" w:lastRowFirstColumn="0" w:lastRowLastColumn="0"/>
            </w:pPr>
            <w:r w:rsidRPr="00957DDB">
              <w:t>Clearly defined delineation from other schemes</w:t>
            </w:r>
          </w:p>
        </w:tc>
        <w:tc>
          <w:tcPr>
            <w:tcW w:w="606" w:type="pct"/>
          </w:tcPr>
          <w:p w14:paraId="3CE26288" w14:textId="77777777" w:rsidR="00307594" w:rsidRPr="00957DDB" w:rsidRDefault="00307594" w:rsidP="00957DDB">
            <w:pPr>
              <w:pStyle w:val="TableHeading"/>
              <w:cnfStyle w:val="100000000000" w:firstRow="1" w:lastRow="0" w:firstColumn="0" w:lastColumn="0" w:oddVBand="0" w:evenVBand="0" w:oddHBand="0" w:evenHBand="0" w:firstRowFirstColumn="0" w:firstRowLastColumn="0" w:lastRowFirstColumn="0" w:lastRowLastColumn="0"/>
            </w:pPr>
            <w:r w:rsidRPr="00957DDB">
              <w:t>Breadth / scope of prostheses</w:t>
            </w:r>
          </w:p>
        </w:tc>
        <w:tc>
          <w:tcPr>
            <w:tcW w:w="603" w:type="pct"/>
          </w:tcPr>
          <w:p w14:paraId="53EAD385" w14:textId="77777777" w:rsidR="00307594" w:rsidRPr="00957DDB" w:rsidRDefault="00307594" w:rsidP="00957DDB">
            <w:pPr>
              <w:pStyle w:val="TableHeading"/>
              <w:cnfStyle w:val="100000000000" w:firstRow="1" w:lastRow="0" w:firstColumn="0" w:lastColumn="0" w:oddVBand="0" w:evenVBand="0" w:oddHBand="0" w:evenHBand="0" w:firstRowFirstColumn="0" w:firstRowLastColumn="0" w:lastRowFirstColumn="0" w:lastRowLastColumn="0"/>
            </w:pPr>
            <w:r w:rsidRPr="00957DDB">
              <w:t>Other</w:t>
            </w:r>
          </w:p>
        </w:tc>
      </w:tr>
      <w:tr w:rsidR="00AE1E92" w:rsidRPr="006D20D0" w14:paraId="6749E974"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696" w:type="pct"/>
          </w:tcPr>
          <w:p w14:paraId="0552FADB" w14:textId="77777777" w:rsidR="00307594" w:rsidRPr="00102589" w:rsidRDefault="00307594" w:rsidP="00655F84">
            <w:pPr>
              <w:pStyle w:val="TableText"/>
            </w:pPr>
            <w:r w:rsidRPr="00102589">
              <w:t>Anaesthesia</w:t>
            </w:r>
          </w:p>
        </w:tc>
        <w:tc>
          <w:tcPr>
            <w:tcW w:w="674" w:type="pct"/>
          </w:tcPr>
          <w:p w14:paraId="5B6E6951" w14:textId="77777777" w:rsidR="00307594" w:rsidRPr="00102589" w:rsidRDefault="00C40429" w:rsidP="00655F84">
            <w:pPr>
              <w:pStyle w:val="TableText"/>
              <w:cnfStyle w:val="000000000000" w:firstRow="0" w:lastRow="0" w:firstColumn="0" w:lastColumn="0" w:oddVBand="0" w:evenVBand="0" w:oddHBand="0" w:evenHBand="0" w:firstRowFirstColumn="0" w:firstRowLastColumn="0" w:lastRowFirstColumn="0" w:lastRowLastColumn="0"/>
            </w:pPr>
            <w:r w:rsidRPr="00102589">
              <w:t>1</w:t>
            </w:r>
            <w:r w:rsidRPr="00102589">
              <w:br/>
              <w:t>(100.0%)</w:t>
            </w:r>
          </w:p>
        </w:tc>
        <w:tc>
          <w:tcPr>
            <w:tcW w:w="605" w:type="pct"/>
          </w:tcPr>
          <w:p w14:paraId="35CB2663" w14:textId="77777777" w:rsidR="00307594" w:rsidRPr="00102589" w:rsidRDefault="00102589" w:rsidP="00655F84">
            <w:pPr>
              <w:pStyle w:val="TableText"/>
              <w:cnfStyle w:val="000000000000" w:firstRow="0" w:lastRow="0" w:firstColumn="0" w:lastColumn="0" w:oddVBand="0" w:evenVBand="0" w:oddHBand="0" w:evenHBand="0" w:firstRowFirstColumn="0" w:firstRowLastColumn="0" w:lastRowFirstColumn="0" w:lastRowLastColumn="0"/>
            </w:pPr>
            <w:r w:rsidRPr="00102589">
              <w:t>0</w:t>
            </w:r>
            <w:r w:rsidRPr="00102589">
              <w:br/>
              <w:t>(0.0%)</w:t>
            </w:r>
          </w:p>
        </w:tc>
        <w:tc>
          <w:tcPr>
            <w:tcW w:w="605" w:type="pct"/>
          </w:tcPr>
          <w:p w14:paraId="4D8C7543" w14:textId="77777777" w:rsidR="00307594" w:rsidRPr="00102589" w:rsidRDefault="00102589" w:rsidP="00655F84">
            <w:pPr>
              <w:pStyle w:val="TableText"/>
              <w:cnfStyle w:val="000000000000" w:firstRow="0" w:lastRow="0" w:firstColumn="0" w:lastColumn="0" w:oddVBand="0" w:evenVBand="0" w:oddHBand="0" w:evenHBand="0" w:firstRowFirstColumn="0" w:firstRowLastColumn="0" w:lastRowFirstColumn="0" w:lastRowLastColumn="0"/>
            </w:pPr>
            <w:r w:rsidRPr="00102589">
              <w:t>0</w:t>
            </w:r>
            <w:r w:rsidRPr="00102589">
              <w:br/>
              <w:t>(0.0%)</w:t>
            </w:r>
          </w:p>
        </w:tc>
        <w:tc>
          <w:tcPr>
            <w:tcW w:w="605" w:type="pct"/>
          </w:tcPr>
          <w:p w14:paraId="207B6841" w14:textId="77777777" w:rsidR="00307594" w:rsidRPr="00102589" w:rsidRDefault="00102589" w:rsidP="00655F84">
            <w:pPr>
              <w:pStyle w:val="TableText"/>
              <w:cnfStyle w:val="000000000000" w:firstRow="0" w:lastRow="0" w:firstColumn="0" w:lastColumn="0" w:oddVBand="0" w:evenVBand="0" w:oddHBand="0" w:evenHBand="0" w:firstRowFirstColumn="0" w:firstRowLastColumn="0" w:lastRowFirstColumn="0" w:lastRowLastColumn="0"/>
            </w:pPr>
            <w:r w:rsidRPr="00102589">
              <w:t>0</w:t>
            </w:r>
            <w:r w:rsidRPr="00102589">
              <w:br/>
              <w:t>(0.0%)</w:t>
            </w:r>
          </w:p>
        </w:tc>
        <w:tc>
          <w:tcPr>
            <w:tcW w:w="606" w:type="pct"/>
          </w:tcPr>
          <w:p w14:paraId="395B4215" w14:textId="77777777" w:rsidR="00307594" w:rsidRPr="00102589" w:rsidRDefault="00102589" w:rsidP="00655F84">
            <w:pPr>
              <w:pStyle w:val="TableText"/>
              <w:cnfStyle w:val="000000000000" w:firstRow="0" w:lastRow="0" w:firstColumn="0" w:lastColumn="0" w:oddVBand="0" w:evenVBand="0" w:oddHBand="0" w:evenHBand="0" w:firstRowFirstColumn="0" w:firstRowLastColumn="0" w:lastRowFirstColumn="0" w:lastRowLastColumn="0"/>
            </w:pPr>
            <w:r w:rsidRPr="00102589">
              <w:t>0</w:t>
            </w:r>
            <w:r w:rsidRPr="00102589">
              <w:br/>
              <w:t>(0.0%)</w:t>
            </w:r>
          </w:p>
        </w:tc>
        <w:tc>
          <w:tcPr>
            <w:tcW w:w="606" w:type="pct"/>
          </w:tcPr>
          <w:p w14:paraId="7D02E981" w14:textId="77777777" w:rsidR="00307594" w:rsidRPr="00102589" w:rsidRDefault="00102589" w:rsidP="00655F84">
            <w:pPr>
              <w:pStyle w:val="TableText"/>
              <w:cnfStyle w:val="000000000000" w:firstRow="0" w:lastRow="0" w:firstColumn="0" w:lastColumn="0" w:oddVBand="0" w:evenVBand="0" w:oddHBand="0" w:evenHBand="0" w:firstRowFirstColumn="0" w:firstRowLastColumn="0" w:lastRowFirstColumn="0" w:lastRowLastColumn="0"/>
            </w:pPr>
            <w:r w:rsidRPr="00102589">
              <w:t>0</w:t>
            </w:r>
            <w:r w:rsidRPr="00102589">
              <w:br/>
              <w:t>(0.0%)</w:t>
            </w:r>
          </w:p>
        </w:tc>
        <w:tc>
          <w:tcPr>
            <w:tcW w:w="603" w:type="pct"/>
          </w:tcPr>
          <w:p w14:paraId="73C4FDCF" w14:textId="77777777" w:rsidR="00307594" w:rsidRPr="00102589" w:rsidRDefault="00102589" w:rsidP="00655F84">
            <w:pPr>
              <w:pStyle w:val="TableText"/>
              <w:cnfStyle w:val="000000000000" w:firstRow="0" w:lastRow="0" w:firstColumn="0" w:lastColumn="0" w:oddVBand="0" w:evenVBand="0" w:oddHBand="0" w:evenHBand="0" w:firstRowFirstColumn="0" w:firstRowLastColumn="0" w:lastRowFirstColumn="0" w:lastRowLastColumn="0"/>
            </w:pPr>
            <w:r w:rsidRPr="00102589">
              <w:t>0</w:t>
            </w:r>
            <w:r w:rsidRPr="00102589">
              <w:br/>
              <w:t>(0.0%)</w:t>
            </w:r>
          </w:p>
        </w:tc>
      </w:tr>
      <w:tr w:rsidR="00AE1E92" w:rsidRPr="009C1931" w14:paraId="1F8A5660"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696" w:type="pct"/>
          </w:tcPr>
          <w:p w14:paraId="198DFFB4" w14:textId="77777777" w:rsidR="00307594" w:rsidRPr="00102589" w:rsidRDefault="00307594" w:rsidP="00655F84">
            <w:pPr>
              <w:pStyle w:val="TableText"/>
            </w:pPr>
            <w:proofErr w:type="spellStart"/>
            <w:r w:rsidRPr="00102589">
              <w:t>Anaplastology</w:t>
            </w:r>
            <w:proofErr w:type="spellEnd"/>
          </w:p>
        </w:tc>
        <w:tc>
          <w:tcPr>
            <w:tcW w:w="674" w:type="pct"/>
          </w:tcPr>
          <w:p w14:paraId="779759D4" w14:textId="77777777" w:rsidR="00307594" w:rsidRPr="00102589" w:rsidRDefault="00337E89" w:rsidP="00655F84">
            <w:pPr>
              <w:pStyle w:val="TableText"/>
              <w:cnfStyle w:val="000000000000" w:firstRow="0" w:lastRow="0" w:firstColumn="0" w:lastColumn="0" w:oddVBand="0" w:evenVBand="0" w:oddHBand="0" w:evenHBand="0" w:firstRowFirstColumn="0" w:firstRowLastColumn="0" w:lastRowFirstColumn="0" w:lastRowLastColumn="0"/>
            </w:pPr>
            <w:r w:rsidRPr="00102589">
              <w:t>5</w:t>
            </w:r>
            <w:r w:rsidRPr="00102589">
              <w:br/>
              <w:t>(38.5%)</w:t>
            </w:r>
          </w:p>
        </w:tc>
        <w:tc>
          <w:tcPr>
            <w:tcW w:w="605" w:type="pct"/>
          </w:tcPr>
          <w:p w14:paraId="045E1820" w14:textId="77777777" w:rsidR="00307594" w:rsidRPr="00102589" w:rsidRDefault="00337E89" w:rsidP="00655F84">
            <w:pPr>
              <w:pStyle w:val="TableText"/>
              <w:cnfStyle w:val="000000000000" w:firstRow="0" w:lastRow="0" w:firstColumn="0" w:lastColumn="0" w:oddVBand="0" w:evenVBand="0" w:oddHBand="0" w:evenHBand="0" w:firstRowFirstColumn="0" w:firstRowLastColumn="0" w:lastRowFirstColumn="0" w:lastRowLastColumn="0"/>
            </w:pPr>
            <w:r w:rsidRPr="00102589">
              <w:t>3</w:t>
            </w:r>
            <w:r w:rsidRPr="00102589">
              <w:br/>
              <w:t>(23.1%)</w:t>
            </w:r>
          </w:p>
        </w:tc>
        <w:tc>
          <w:tcPr>
            <w:tcW w:w="605" w:type="pct"/>
          </w:tcPr>
          <w:p w14:paraId="28D02BB7" w14:textId="77777777" w:rsidR="00307594" w:rsidRPr="00102589" w:rsidRDefault="00337E89" w:rsidP="00655F84">
            <w:pPr>
              <w:pStyle w:val="TableText"/>
              <w:cnfStyle w:val="000000000000" w:firstRow="0" w:lastRow="0" w:firstColumn="0" w:lastColumn="0" w:oddVBand="0" w:evenVBand="0" w:oddHBand="0" w:evenHBand="0" w:firstRowFirstColumn="0" w:firstRowLastColumn="0" w:lastRowFirstColumn="0" w:lastRowLastColumn="0"/>
            </w:pPr>
            <w:r w:rsidRPr="00102589">
              <w:t>2</w:t>
            </w:r>
            <w:r w:rsidRPr="00102589">
              <w:br/>
              <w:t>(15.4%)</w:t>
            </w:r>
          </w:p>
        </w:tc>
        <w:tc>
          <w:tcPr>
            <w:tcW w:w="605" w:type="pct"/>
          </w:tcPr>
          <w:p w14:paraId="5529C5C6" w14:textId="77777777" w:rsidR="00307594" w:rsidRPr="00102589" w:rsidRDefault="00337E89" w:rsidP="00655F84">
            <w:pPr>
              <w:pStyle w:val="TableText"/>
              <w:cnfStyle w:val="000000000000" w:firstRow="0" w:lastRow="0" w:firstColumn="0" w:lastColumn="0" w:oddVBand="0" w:evenVBand="0" w:oddHBand="0" w:evenHBand="0" w:firstRowFirstColumn="0" w:firstRowLastColumn="0" w:lastRowFirstColumn="0" w:lastRowLastColumn="0"/>
            </w:pPr>
            <w:r w:rsidRPr="00102589">
              <w:t>0</w:t>
            </w:r>
            <w:r w:rsidRPr="00102589">
              <w:br/>
              <w:t>(0.0%)</w:t>
            </w:r>
          </w:p>
        </w:tc>
        <w:tc>
          <w:tcPr>
            <w:tcW w:w="606" w:type="pct"/>
          </w:tcPr>
          <w:p w14:paraId="3E9522E8" w14:textId="77777777" w:rsidR="00307594" w:rsidRPr="00102589" w:rsidRDefault="00337E89" w:rsidP="00655F84">
            <w:pPr>
              <w:pStyle w:val="TableText"/>
              <w:cnfStyle w:val="000000000000" w:firstRow="0" w:lastRow="0" w:firstColumn="0" w:lastColumn="0" w:oddVBand="0" w:evenVBand="0" w:oddHBand="0" w:evenHBand="0" w:firstRowFirstColumn="0" w:firstRowLastColumn="0" w:lastRowFirstColumn="0" w:lastRowLastColumn="0"/>
            </w:pPr>
            <w:r w:rsidRPr="00102589">
              <w:t>2</w:t>
            </w:r>
            <w:r w:rsidRPr="00102589">
              <w:br/>
              <w:t>(15.4%)</w:t>
            </w:r>
          </w:p>
        </w:tc>
        <w:tc>
          <w:tcPr>
            <w:tcW w:w="606" w:type="pct"/>
          </w:tcPr>
          <w:p w14:paraId="7A690049" w14:textId="77777777" w:rsidR="00307594" w:rsidRPr="00102589" w:rsidRDefault="00337E89" w:rsidP="00655F84">
            <w:pPr>
              <w:pStyle w:val="TableText"/>
              <w:cnfStyle w:val="000000000000" w:firstRow="0" w:lastRow="0" w:firstColumn="0" w:lastColumn="0" w:oddVBand="0" w:evenVBand="0" w:oddHBand="0" w:evenHBand="0" w:firstRowFirstColumn="0" w:firstRowLastColumn="0" w:lastRowFirstColumn="0" w:lastRowLastColumn="0"/>
            </w:pPr>
            <w:r w:rsidRPr="00102589">
              <w:t>1</w:t>
            </w:r>
            <w:r w:rsidRPr="00102589">
              <w:br/>
              <w:t>(7.7%)</w:t>
            </w:r>
          </w:p>
        </w:tc>
        <w:tc>
          <w:tcPr>
            <w:tcW w:w="603" w:type="pct"/>
          </w:tcPr>
          <w:p w14:paraId="293CE0D7" w14:textId="77777777" w:rsidR="00307594" w:rsidRPr="00102589" w:rsidRDefault="00337E89" w:rsidP="00655F84">
            <w:pPr>
              <w:pStyle w:val="TableText"/>
              <w:cnfStyle w:val="000000000000" w:firstRow="0" w:lastRow="0" w:firstColumn="0" w:lastColumn="0" w:oddVBand="0" w:evenVBand="0" w:oddHBand="0" w:evenHBand="0" w:firstRowFirstColumn="0" w:firstRowLastColumn="0" w:lastRowFirstColumn="0" w:lastRowLastColumn="0"/>
            </w:pPr>
            <w:r w:rsidRPr="00102589">
              <w:t>0</w:t>
            </w:r>
            <w:r w:rsidRPr="00102589">
              <w:br/>
              <w:t>(0.0%)</w:t>
            </w:r>
          </w:p>
        </w:tc>
      </w:tr>
      <w:tr w:rsidR="00AE1E92" w:rsidRPr="009C1931" w14:paraId="7FE8595E"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696" w:type="pct"/>
          </w:tcPr>
          <w:p w14:paraId="1920522E" w14:textId="77777777" w:rsidR="00307594" w:rsidRPr="00102589" w:rsidRDefault="00307594" w:rsidP="00655F84">
            <w:pPr>
              <w:pStyle w:val="TableText"/>
            </w:pPr>
            <w:r w:rsidRPr="00102589">
              <w:t>Dentistry / dental oncology</w:t>
            </w:r>
          </w:p>
        </w:tc>
        <w:tc>
          <w:tcPr>
            <w:tcW w:w="674" w:type="pct"/>
          </w:tcPr>
          <w:p w14:paraId="07FD761F" w14:textId="77777777" w:rsidR="00307594" w:rsidRPr="00102589" w:rsidRDefault="00337E89" w:rsidP="00655F84">
            <w:pPr>
              <w:pStyle w:val="TableText"/>
              <w:cnfStyle w:val="000000000000" w:firstRow="0" w:lastRow="0" w:firstColumn="0" w:lastColumn="0" w:oddVBand="0" w:evenVBand="0" w:oddHBand="0" w:evenHBand="0" w:firstRowFirstColumn="0" w:firstRowLastColumn="0" w:lastRowFirstColumn="0" w:lastRowLastColumn="0"/>
            </w:pPr>
            <w:r w:rsidRPr="00102589">
              <w:t>7</w:t>
            </w:r>
            <w:r w:rsidRPr="00102589">
              <w:br/>
              <w:t>(29.2%)</w:t>
            </w:r>
          </w:p>
        </w:tc>
        <w:tc>
          <w:tcPr>
            <w:tcW w:w="605" w:type="pct"/>
          </w:tcPr>
          <w:p w14:paraId="21A93AB6" w14:textId="77777777" w:rsidR="00307594" w:rsidRPr="00102589" w:rsidRDefault="00337E89" w:rsidP="00655F84">
            <w:pPr>
              <w:pStyle w:val="TableText"/>
              <w:cnfStyle w:val="000000000000" w:firstRow="0" w:lastRow="0" w:firstColumn="0" w:lastColumn="0" w:oddVBand="0" w:evenVBand="0" w:oddHBand="0" w:evenHBand="0" w:firstRowFirstColumn="0" w:firstRowLastColumn="0" w:lastRowFirstColumn="0" w:lastRowLastColumn="0"/>
            </w:pPr>
            <w:r w:rsidRPr="00102589">
              <w:t>7</w:t>
            </w:r>
            <w:r w:rsidRPr="00102589">
              <w:br/>
              <w:t>(29.2%)</w:t>
            </w:r>
          </w:p>
        </w:tc>
        <w:tc>
          <w:tcPr>
            <w:tcW w:w="605" w:type="pct"/>
          </w:tcPr>
          <w:p w14:paraId="743E1B7A" w14:textId="77777777" w:rsidR="00307594" w:rsidRPr="00102589" w:rsidRDefault="00337E89" w:rsidP="00655F84">
            <w:pPr>
              <w:pStyle w:val="TableText"/>
              <w:cnfStyle w:val="000000000000" w:firstRow="0" w:lastRow="0" w:firstColumn="0" w:lastColumn="0" w:oddVBand="0" w:evenVBand="0" w:oddHBand="0" w:evenHBand="0" w:firstRowFirstColumn="0" w:firstRowLastColumn="0" w:lastRowFirstColumn="0" w:lastRowLastColumn="0"/>
            </w:pPr>
            <w:r w:rsidRPr="00102589">
              <w:t>5</w:t>
            </w:r>
            <w:r w:rsidRPr="00102589">
              <w:br/>
              <w:t>(20.8%)</w:t>
            </w:r>
          </w:p>
        </w:tc>
        <w:tc>
          <w:tcPr>
            <w:tcW w:w="605" w:type="pct"/>
          </w:tcPr>
          <w:p w14:paraId="0DB0FC7A" w14:textId="77777777" w:rsidR="00307594" w:rsidRPr="00102589" w:rsidRDefault="00337E89" w:rsidP="00655F84">
            <w:pPr>
              <w:pStyle w:val="TableText"/>
              <w:cnfStyle w:val="000000000000" w:firstRow="0" w:lastRow="0" w:firstColumn="0" w:lastColumn="0" w:oddVBand="0" w:evenVBand="0" w:oddHBand="0" w:evenHBand="0" w:firstRowFirstColumn="0" w:firstRowLastColumn="0" w:lastRowFirstColumn="0" w:lastRowLastColumn="0"/>
            </w:pPr>
            <w:r w:rsidRPr="00102589">
              <w:t>1</w:t>
            </w:r>
            <w:r w:rsidRPr="00102589">
              <w:br/>
              <w:t>(4.2%)</w:t>
            </w:r>
          </w:p>
        </w:tc>
        <w:tc>
          <w:tcPr>
            <w:tcW w:w="606" w:type="pct"/>
          </w:tcPr>
          <w:p w14:paraId="59D29030" w14:textId="77777777" w:rsidR="00307594" w:rsidRPr="00102589" w:rsidRDefault="00337E89" w:rsidP="00655F84">
            <w:pPr>
              <w:pStyle w:val="TableText"/>
              <w:cnfStyle w:val="000000000000" w:firstRow="0" w:lastRow="0" w:firstColumn="0" w:lastColumn="0" w:oddVBand="0" w:evenVBand="0" w:oddHBand="0" w:evenHBand="0" w:firstRowFirstColumn="0" w:firstRowLastColumn="0" w:lastRowFirstColumn="0" w:lastRowLastColumn="0"/>
            </w:pPr>
            <w:r w:rsidRPr="00102589">
              <w:t>3</w:t>
            </w:r>
            <w:r w:rsidRPr="00102589">
              <w:br/>
              <w:t>(12.5%)</w:t>
            </w:r>
          </w:p>
        </w:tc>
        <w:tc>
          <w:tcPr>
            <w:tcW w:w="606" w:type="pct"/>
          </w:tcPr>
          <w:p w14:paraId="7DF2604B" w14:textId="77777777" w:rsidR="00307594" w:rsidRPr="00102589" w:rsidRDefault="00337E89" w:rsidP="00655F84">
            <w:pPr>
              <w:pStyle w:val="TableText"/>
              <w:cnfStyle w:val="000000000000" w:firstRow="0" w:lastRow="0" w:firstColumn="0" w:lastColumn="0" w:oddVBand="0" w:evenVBand="0" w:oddHBand="0" w:evenHBand="0" w:firstRowFirstColumn="0" w:firstRowLastColumn="0" w:lastRowFirstColumn="0" w:lastRowLastColumn="0"/>
            </w:pPr>
            <w:r w:rsidRPr="00102589">
              <w:t>1</w:t>
            </w:r>
            <w:r w:rsidRPr="00102589">
              <w:br/>
              <w:t>(4.2%)</w:t>
            </w:r>
          </w:p>
        </w:tc>
        <w:tc>
          <w:tcPr>
            <w:tcW w:w="603" w:type="pct"/>
          </w:tcPr>
          <w:p w14:paraId="56651BCD" w14:textId="77777777" w:rsidR="00307594" w:rsidRPr="00102589" w:rsidRDefault="00337E89" w:rsidP="00655F84">
            <w:pPr>
              <w:pStyle w:val="TableText"/>
              <w:cnfStyle w:val="000000000000" w:firstRow="0" w:lastRow="0" w:firstColumn="0" w:lastColumn="0" w:oddVBand="0" w:evenVBand="0" w:oddHBand="0" w:evenHBand="0" w:firstRowFirstColumn="0" w:firstRowLastColumn="0" w:lastRowFirstColumn="0" w:lastRowLastColumn="0"/>
            </w:pPr>
            <w:r w:rsidRPr="00102589">
              <w:t>0</w:t>
            </w:r>
            <w:r w:rsidRPr="00102589">
              <w:br/>
              <w:t>(0.0%)</w:t>
            </w:r>
          </w:p>
        </w:tc>
      </w:tr>
      <w:tr w:rsidR="00AE1E92" w:rsidRPr="009C1931" w14:paraId="446B85B7"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696" w:type="pct"/>
          </w:tcPr>
          <w:p w14:paraId="0FB95972" w14:textId="77777777" w:rsidR="00307594" w:rsidRPr="00102589" w:rsidRDefault="00307594" w:rsidP="00655F84">
            <w:pPr>
              <w:pStyle w:val="TableText"/>
            </w:pPr>
            <w:r w:rsidRPr="00102589">
              <w:t>Lymphatic system</w:t>
            </w:r>
          </w:p>
        </w:tc>
        <w:tc>
          <w:tcPr>
            <w:tcW w:w="674" w:type="pct"/>
          </w:tcPr>
          <w:p w14:paraId="54A92C46" w14:textId="77777777" w:rsidR="00307594" w:rsidRPr="00102589" w:rsidRDefault="00337E89" w:rsidP="00655F84">
            <w:pPr>
              <w:pStyle w:val="TableText"/>
              <w:cnfStyle w:val="000000000000" w:firstRow="0" w:lastRow="0" w:firstColumn="0" w:lastColumn="0" w:oddVBand="0" w:evenVBand="0" w:oddHBand="0" w:evenHBand="0" w:firstRowFirstColumn="0" w:firstRowLastColumn="0" w:lastRowFirstColumn="0" w:lastRowLastColumn="0"/>
            </w:pPr>
            <w:r w:rsidRPr="00102589">
              <w:t>4</w:t>
            </w:r>
            <w:r w:rsidRPr="00102589">
              <w:br/>
              <w:t>(22.2%)</w:t>
            </w:r>
          </w:p>
        </w:tc>
        <w:tc>
          <w:tcPr>
            <w:tcW w:w="605" w:type="pct"/>
          </w:tcPr>
          <w:p w14:paraId="79146CAB" w14:textId="77777777" w:rsidR="00307594" w:rsidRPr="00102589" w:rsidRDefault="00337E89" w:rsidP="00655F84">
            <w:pPr>
              <w:pStyle w:val="TableText"/>
              <w:cnfStyle w:val="000000000000" w:firstRow="0" w:lastRow="0" w:firstColumn="0" w:lastColumn="0" w:oddVBand="0" w:evenVBand="0" w:oddHBand="0" w:evenHBand="0" w:firstRowFirstColumn="0" w:firstRowLastColumn="0" w:lastRowFirstColumn="0" w:lastRowLastColumn="0"/>
            </w:pPr>
            <w:r w:rsidRPr="00102589">
              <w:t>4</w:t>
            </w:r>
            <w:r w:rsidRPr="00102589">
              <w:br/>
              <w:t>(22.2%)</w:t>
            </w:r>
          </w:p>
        </w:tc>
        <w:tc>
          <w:tcPr>
            <w:tcW w:w="605" w:type="pct"/>
          </w:tcPr>
          <w:p w14:paraId="1F99C3E6" w14:textId="77777777" w:rsidR="00307594" w:rsidRPr="00102589" w:rsidRDefault="000F1B36" w:rsidP="00655F84">
            <w:pPr>
              <w:pStyle w:val="TableText"/>
              <w:cnfStyle w:val="000000000000" w:firstRow="0" w:lastRow="0" w:firstColumn="0" w:lastColumn="0" w:oddVBand="0" w:evenVBand="0" w:oddHBand="0" w:evenHBand="0" w:firstRowFirstColumn="0" w:firstRowLastColumn="0" w:lastRowFirstColumn="0" w:lastRowLastColumn="0"/>
            </w:pPr>
            <w:r w:rsidRPr="00102589">
              <w:t>2</w:t>
            </w:r>
            <w:r w:rsidRPr="00102589">
              <w:br/>
              <w:t>(</w:t>
            </w:r>
            <w:r w:rsidR="00337E89" w:rsidRPr="00102589">
              <w:t>11.1%</w:t>
            </w:r>
            <w:r w:rsidRPr="00102589">
              <w:t>)</w:t>
            </w:r>
          </w:p>
        </w:tc>
        <w:tc>
          <w:tcPr>
            <w:tcW w:w="605" w:type="pct"/>
          </w:tcPr>
          <w:p w14:paraId="68FD180F" w14:textId="77777777" w:rsidR="00307594" w:rsidRPr="00102589" w:rsidRDefault="000F1B36" w:rsidP="00655F84">
            <w:pPr>
              <w:pStyle w:val="TableText"/>
              <w:cnfStyle w:val="000000000000" w:firstRow="0" w:lastRow="0" w:firstColumn="0" w:lastColumn="0" w:oddVBand="0" w:evenVBand="0" w:oddHBand="0" w:evenHBand="0" w:firstRowFirstColumn="0" w:firstRowLastColumn="0" w:lastRowFirstColumn="0" w:lastRowLastColumn="0"/>
            </w:pPr>
            <w:r w:rsidRPr="00102589">
              <w:t>1</w:t>
            </w:r>
            <w:r w:rsidRPr="00102589">
              <w:br/>
              <w:t>(</w:t>
            </w:r>
            <w:r w:rsidR="00337E89" w:rsidRPr="00102589">
              <w:t>5.6%</w:t>
            </w:r>
            <w:r w:rsidRPr="00102589">
              <w:t>)</w:t>
            </w:r>
          </w:p>
        </w:tc>
        <w:tc>
          <w:tcPr>
            <w:tcW w:w="606" w:type="pct"/>
          </w:tcPr>
          <w:p w14:paraId="5090D88E" w14:textId="77777777" w:rsidR="00307594" w:rsidRPr="00102589" w:rsidRDefault="000F1B36" w:rsidP="00655F84">
            <w:pPr>
              <w:pStyle w:val="TableText"/>
              <w:cnfStyle w:val="000000000000" w:firstRow="0" w:lastRow="0" w:firstColumn="0" w:lastColumn="0" w:oddVBand="0" w:evenVBand="0" w:oddHBand="0" w:evenHBand="0" w:firstRowFirstColumn="0" w:firstRowLastColumn="0" w:lastRowFirstColumn="0" w:lastRowLastColumn="0"/>
            </w:pPr>
            <w:r w:rsidRPr="00102589">
              <w:t>3</w:t>
            </w:r>
            <w:r w:rsidRPr="00102589">
              <w:br/>
              <w:t>(</w:t>
            </w:r>
            <w:r w:rsidR="00337E89" w:rsidRPr="00102589">
              <w:t>16.7%</w:t>
            </w:r>
            <w:r w:rsidRPr="00102589">
              <w:t>)</w:t>
            </w:r>
          </w:p>
        </w:tc>
        <w:tc>
          <w:tcPr>
            <w:tcW w:w="606" w:type="pct"/>
          </w:tcPr>
          <w:p w14:paraId="5FD0A902" w14:textId="77777777" w:rsidR="00307594" w:rsidRPr="00102589" w:rsidRDefault="000F1B36" w:rsidP="00655F84">
            <w:pPr>
              <w:pStyle w:val="TableText"/>
              <w:cnfStyle w:val="000000000000" w:firstRow="0" w:lastRow="0" w:firstColumn="0" w:lastColumn="0" w:oddVBand="0" w:evenVBand="0" w:oddHBand="0" w:evenHBand="0" w:firstRowFirstColumn="0" w:firstRowLastColumn="0" w:lastRowFirstColumn="0" w:lastRowLastColumn="0"/>
            </w:pPr>
            <w:r w:rsidRPr="00102589">
              <w:t>4</w:t>
            </w:r>
            <w:r w:rsidRPr="00102589">
              <w:br/>
              <w:t>(</w:t>
            </w:r>
            <w:r w:rsidR="00337E89" w:rsidRPr="00102589">
              <w:t>22.2%</w:t>
            </w:r>
            <w:r w:rsidRPr="00102589">
              <w:t>)</w:t>
            </w:r>
          </w:p>
        </w:tc>
        <w:tc>
          <w:tcPr>
            <w:tcW w:w="603" w:type="pct"/>
          </w:tcPr>
          <w:p w14:paraId="62F0A15E" w14:textId="77777777" w:rsidR="00307594" w:rsidRPr="00102589" w:rsidRDefault="000F1B36" w:rsidP="00655F84">
            <w:pPr>
              <w:pStyle w:val="TableText"/>
              <w:cnfStyle w:val="000000000000" w:firstRow="0" w:lastRow="0" w:firstColumn="0" w:lastColumn="0" w:oddVBand="0" w:evenVBand="0" w:oddHBand="0" w:evenHBand="0" w:firstRowFirstColumn="0" w:firstRowLastColumn="0" w:lastRowFirstColumn="0" w:lastRowLastColumn="0"/>
            </w:pPr>
            <w:r w:rsidRPr="00102589">
              <w:t>0</w:t>
            </w:r>
            <w:r w:rsidRPr="00102589">
              <w:br/>
              <w:t>(</w:t>
            </w:r>
            <w:r w:rsidR="00337E89" w:rsidRPr="00102589">
              <w:t>0.0%</w:t>
            </w:r>
            <w:r w:rsidRPr="00102589">
              <w:t>)</w:t>
            </w:r>
          </w:p>
        </w:tc>
      </w:tr>
      <w:tr w:rsidR="00AE1E92" w:rsidRPr="009C1931" w14:paraId="55521940"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696" w:type="pct"/>
          </w:tcPr>
          <w:p w14:paraId="6BF58CE7" w14:textId="77777777" w:rsidR="00307594" w:rsidRPr="00102589" w:rsidRDefault="00307594" w:rsidP="00655F84">
            <w:pPr>
              <w:pStyle w:val="TableText"/>
            </w:pPr>
            <w:r w:rsidRPr="00102589">
              <w:t>Oncology</w:t>
            </w:r>
          </w:p>
        </w:tc>
        <w:tc>
          <w:tcPr>
            <w:tcW w:w="674" w:type="pct"/>
          </w:tcPr>
          <w:p w14:paraId="462B6870" w14:textId="77777777" w:rsidR="00307594" w:rsidRPr="00102589" w:rsidRDefault="00AF2941" w:rsidP="00655F84">
            <w:pPr>
              <w:pStyle w:val="TableText"/>
              <w:cnfStyle w:val="000000000000" w:firstRow="0" w:lastRow="0" w:firstColumn="0" w:lastColumn="0" w:oddVBand="0" w:evenVBand="0" w:oddHBand="0" w:evenHBand="0" w:firstRowFirstColumn="0" w:firstRowLastColumn="0" w:lastRowFirstColumn="0" w:lastRowLastColumn="0"/>
            </w:pPr>
            <w:r w:rsidRPr="00102589">
              <w:t>9</w:t>
            </w:r>
            <w:r w:rsidRPr="00102589">
              <w:br/>
              <w:t>(</w:t>
            </w:r>
            <w:r w:rsidR="00337E89" w:rsidRPr="00102589">
              <w:t>32.1%</w:t>
            </w:r>
            <w:r w:rsidRPr="00102589">
              <w:t>)</w:t>
            </w:r>
          </w:p>
        </w:tc>
        <w:tc>
          <w:tcPr>
            <w:tcW w:w="605" w:type="pct"/>
          </w:tcPr>
          <w:p w14:paraId="0A526788" w14:textId="77777777" w:rsidR="00307594" w:rsidRPr="00102589" w:rsidRDefault="00AF2941" w:rsidP="00655F84">
            <w:pPr>
              <w:pStyle w:val="TableText"/>
              <w:cnfStyle w:val="000000000000" w:firstRow="0" w:lastRow="0" w:firstColumn="0" w:lastColumn="0" w:oddVBand="0" w:evenVBand="0" w:oddHBand="0" w:evenHBand="0" w:firstRowFirstColumn="0" w:firstRowLastColumn="0" w:lastRowFirstColumn="0" w:lastRowLastColumn="0"/>
            </w:pPr>
            <w:r w:rsidRPr="00102589">
              <w:t>8</w:t>
            </w:r>
            <w:r w:rsidRPr="00102589">
              <w:br/>
              <w:t>(</w:t>
            </w:r>
            <w:r w:rsidR="00337E89" w:rsidRPr="00102589">
              <w:t>28.6%</w:t>
            </w:r>
            <w:r w:rsidRPr="00102589">
              <w:t>)</w:t>
            </w:r>
          </w:p>
        </w:tc>
        <w:tc>
          <w:tcPr>
            <w:tcW w:w="605" w:type="pct"/>
          </w:tcPr>
          <w:p w14:paraId="165A93E4" w14:textId="77777777" w:rsidR="00307594" w:rsidRPr="00102589" w:rsidRDefault="00AF2941" w:rsidP="00655F84">
            <w:pPr>
              <w:pStyle w:val="TableText"/>
              <w:cnfStyle w:val="000000000000" w:firstRow="0" w:lastRow="0" w:firstColumn="0" w:lastColumn="0" w:oddVBand="0" w:evenVBand="0" w:oddHBand="0" w:evenHBand="0" w:firstRowFirstColumn="0" w:firstRowLastColumn="0" w:lastRowFirstColumn="0" w:lastRowLastColumn="0"/>
            </w:pPr>
            <w:r w:rsidRPr="00102589">
              <w:t>7</w:t>
            </w:r>
            <w:r w:rsidRPr="00102589">
              <w:br/>
              <w:t>(</w:t>
            </w:r>
            <w:r w:rsidR="00337E89" w:rsidRPr="00102589">
              <w:t>25.0%</w:t>
            </w:r>
            <w:r w:rsidRPr="00102589">
              <w:t>)</w:t>
            </w:r>
          </w:p>
        </w:tc>
        <w:tc>
          <w:tcPr>
            <w:tcW w:w="605" w:type="pct"/>
          </w:tcPr>
          <w:p w14:paraId="2BE8503F" w14:textId="77777777" w:rsidR="00307594" w:rsidRPr="00102589" w:rsidRDefault="00AF2941" w:rsidP="00655F84">
            <w:pPr>
              <w:pStyle w:val="TableText"/>
              <w:cnfStyle w:val="000000000000" w:firstRow="0" w:lastRow="0" w:firstColumn="0" w:lastColumn="0" w:oddVBand="0" w:evenVBand="0" w:oddHBand="0" w:evenHBand="0" w:firstRowFirstColumn="0" w:firstRowLastColumn="0" w:lastRowFirstColumn="0" w:lastRowLastColumn="0"/>
            </w:pPr>
            <w:r w:rsidRPr="00102589">
              <w:t>2</w:t>
            </w:r>
            <w:r w:rsidRPr="00102589">
              <w:br/>
              <w:t>(</w:t>
            </w:r>
            <w:r w:rsidR="00337E89" w:rsidRPr="00102589">
              <w:t>7.1%</w:t>
            </w:r>
            <w:r w:rsidRPr="00102589">
              <w:t>)</w:t>
            </w:r>
          </w:p>
        </w:tc>
        <w:tc>
          <w:tcPr>
            <w:tcW w:w="606" w:type="pct"/>
          </w:tcPr>
          <w:p w14:paraId="0A5B4021" w14:textId="77777777" w:rsidR="00307594" w:rsidRPr="00102589" w:rsidRDefault="00AF2941" w:rsidP="00655F84">
            <w:pPr>
              <w:pStyle w:val="TableText"/>
              <w:cnfStyle w:val="000000000000" w:firstRow="0" w:lastRow="0" w:firstColumn="0" w:lastColumn="0" w:oddVBand="0" w:evenVBand="0" w:oddHBand="0" w:evenHBand="0" w:firstRowFirstColumn="0" w:firstRowLastColumn="0" w:lastRowFirstColumn="0" w:lastRowLastColumn="0"/>
            </w:pPr>
            <w:r w:rsidRPr="00102589">
              <w:t>2</w:t>
            </w:r>
            <w:r w:rsidRPr="00102589">
              <w:br/>
              <w:t>(</w:t>
            </w:r>
            <w:r w:rsidR="00337E89" w:rsidRPr="00102589">
              <w:t>7.1%</w:t>
            </w:r>
            <w:r w:rsidRPr="00102589">
              <w:t>)</w:t>
            </w:r>
          </w:p>
        </w:tc>
        <w:tc>
          <w:tcPr>
            <w:tcW w:w="606" w:type="pct"/>
          </w:tcPr>
          <w:p w14:paraId="69B7F127" w14:textId="77777777" w:rsidR="00307594" w:rsidRPr="00102589" w:rsidRDefault="00AF2941" w:rsidP="00655F84">
            <w:pPr>
              <w:pStyle w:val="TableText"/>
              <w:cnfStyle w:val="000000000000" w:firstRow="0" w:lastRow="0" w:firstColumn="0" w:lastColumn="0" w:oddVBand="0" w:evenVBand="0" w:oddHBand="0" w:evenHBand="0" w:firstRowFirstColumn="0" w:firstRowLastColumn="0" w:lastRowFirstColumn="0" w:lastRowLastColumn="0"/>
            </w:pPr>
            <w:r w:rsidRPr="00102589">
              <w:t>0</w:t>
            </w:r>
            <w:r w:rsidRPr="00102589">
              <w:br/>
              <w:t>(</w:t>
            </w:r>
            <w:r w:rsidR="00337E89" w:rsidRPr="00102589">
              <w:t>0.0%</w:t>
            </w:r>
            <w:r w:rsidRPr="00102589">
              <w:t>)</w:t>
            </w:r>
          </w:p>
        </w:tc>
        <w:tc>
          <w:tcPr>
            <w:tcW w:w="603" w:type="pct"/>
          </w:tcPr>
          <w:p w14:paraId="50AB43BA" w14:textId="77777777" w:rsidR="00307594" w:rsidRPr="00102589" w:rsidRDefault="00AF2941" w:rsidP="00655F84">
            <w:pPr>
              <w:pStyle w:val="TableText"/>
              <w:cnfStyle w:val="000000000000" w:firstRow="0" w:lastRow="0" w:firstColumn="0" w:lastColumn="0" w:oddVBand="0" w:evenVBand="0" w:oddHBand="0" w:evenHBand="0" w:firstRowFirstColumn="0" w:firstRowLastColumn="0" w:lastRowFirstColumn="0" w:lastRowLastColumn="0"/>
            </w:pPr>
            <w:r w:rsidRPr="00102589">
              <w:t>0</w:t>
            </w:r>
            <w:r w:rsidRPr="00102589">
              <w:br/>
              <w:t>(</w:t>
            </w:r>
            <w:r w:rsidR="00337E89" w:rsidRPr="00102589">
              <w:t>0.0%</w:t>
            </w:r>
            <w:r w:rsidRPr="00102589">
              <w:t>)</w:t>
            </w:r>
          </w:p>
        </w:tc>
      </w:tr>
      <w:tr w:rsidR="00AE1E92" w:rsidRPr="009C1931" w14:paraId="7C81F00A"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696" w:type="pct"/>
          </w:tcPr>
          <w:p w14:paraId="499F8E8E" w14:textId="77777777" w:rsidR="00307594" w:rsidRPr="00102589" w:rsidRDefault="00307594" w:rsidP="00655F84">
            <w:pPr>
              <w:pStyle w:val="TableText"/>
            </w:pPr>
            <w:r w:rsidRPr="00102589">
              <w:t>Oral and maxillofacial</w:t>
            </w:r>
          </w:p>
        </w:tc>
        <w:tc>
          <w:tcPr>
            <w:tcW w:w="674" w:type="pct"/>
          </w:tcPr>
          <w:p w14:paraId="092CC36B" w14:textId="77777777" w:rsidR="00307594" w:rsidRPr="00102589" w:rsidRDefault="00D24B9E" w:rsidP="00655F84">
            <w:pPr>
              <w:pStyle w:val="TableText"/>
              <w:cnfStyle w:val="000000000000" w:firstRow="0" w:lastRow="0" w:firstColumn="0" w:lastColumn="0" w:oddVBand="0" w:evenVBand="0" w:oddHBand="0" w:evenHBand="0" w:firstRowFirstColumn="0" w:firstRowLastColumn="0" w:lastRowFirstColumn="0" w:lastRowLastColumn="0"/>
            </w:pPr>
            <w:r w:rsidRPr="00102589">
              <w:t>7</w:t>
            </w:r>
            <w:r w:rsidRPr="00102589">
              <w:br/>
              <w:t>(</w:t>
            </w:r>
            <w:r w:rsidR="00337E89" w:rsidRPr="00102589">
              <w:t>36.8</w:t>
            </w:r>
            <w:r w:rsidRPr="00102589">
              <w:t>%)</w:t>
            </w:r>
          </w:p>
        </w:tc>
        <w:tc>
          <w:tcPr>
            <w:tcW w:w="605" w:type="pct"/>
          </w:tcPr>
          <w:p w14:paraId="15518D95" w14:textId="77777777" w:rsidR="00307594" w:rsidRPr="00102589" w:rsidRDefault="00D24B9E" w:rsidP="00655F84">
            <w:pPr>
              <w:pStyle w:val="TableText"/>
              <w:cnfStyle w:val="000000000000" w:firstRow="0" w:lastRow="0" w:firstColumn="0" w:lastColumn="0" w:oddVBand="0" w:evenVBand="0" w:oddHBand="0" w:evenHBand="0" w:firstRowFirstColumn="0" w:firstRowLastColumn="0" w:lastRowFirstColumn="0" w:lastRowLastColumn="0"/>
            </w:pPr>
            <w:r w:rsidRPr="00102589">
              <w:t>5</w:t>
            </w:r>
            <w:r w:rsidRPr="00102589">
              <w:br/>
              <w:t>(</w:t>
            </w:r>
            <w:r w:rsidR="00337E89" w:rsidRPr="00102589">
              <w:t>26.3</w:t>
            </w:r>
            <w:r w:rsidRPr="00102589">
              <w:t>%)</w:t>
            </w:r>
          </w:p>
        </w:tc>
        <w:tc>
          <w:tcPr>
            <w:tcW w:w="605" w:type="pct"/>
          </w:tcPr>
          <w:p w14:paraId="74B138F6" w14:textId="77777777" w:rsidR="00307594" w:rsidRPr="00102589" w:rsidRDefault="00D24B9E" w:rsidP="00655F84">
            <w:pPr>
              <w:pStyle w:val="TableText"/>
              <w:cnfStyle w:val="000000000000" w:firstRow="0" w:lastRow="0" w:firstColumn="0" w:lastColumn="0" w:oddVBand="0" w:evenVBand="0" w:oddHBand="0" w:evenHBand="0" w:firstRowFirstColumn="0" w:firstRowLastColumn="0" w:lastRowFirstColumn="0" w:lastRowLastColumn="0"/>
            </w:pPr>
            <w:r w:rsidRPr="00102589">
              <w:t>3</w:t>
            </w:r>
            <w:r w:rsidRPr="00102589">
              <w:br/>
              <w:t>(</w:t>
            </w:r>
            <w:r w:rsidR="00337E89" w:rsidRPr="00102589">
              <w:t>15.8</w:t>
            </w:r>
            <w:r w:rsidRPr="00102589">
              <w:t>%)</w:t>
            </w:r>
          </w:p>
        </w:tc>
        <w:tc>
          <w:tcPr>
            <w:tcW w:w="605" w:type="pct"/>
          </w:tcPr>
          <w:p w14:paraId="4DE3192C" w14:textId="77777777" w:rsidR="00307594" w:rsidRPr="00102589" w:rsidRDefault="00D24B9E" w:rsidP="00655F84">
            <w:pPr>
              <w:pStyle w:val="TableText"/>
              <w:cnfStyle w:val="000000000000" w:firstRow="0" w:lastRow="0" w:firstColumn="0" w:lastColumn="0" w:oddVBand="0" w:evenVBand="0" w:oddHBand="0" w:evenHBand="0" w:firstRowFirstColumn="0" w:firstRowLastColumn="0" w:lastRowFirstColumn="0" w:lastRowLastColumn="0"/>
            </w:pPr>
            <w:r w:rsidRPr="00102589">
              <w:t>0</w:t>
            </w:r>
            <w:r w:rsidRPr="00102589">
              <w:br/>
              <w:t>(0.0%)</w:t>
            </w:r>
          </w:p>
        </w:tc>
        <w:tc>
          <w:tcPr>
            <w:tcW w:w="606" w:type="pct"/>
          </w:tcPr>
          <w:p w14:paraId="1C4984BA" w14:textId="77777777" w:rsidR="00307594" w:rsidRPr="00102589" w:rsidRDefault="00D24B9E" w:rsidP="00655F84">
            <w:pPr>
              <w:pStyle w:val="TableText"/>
              <w:cnfStyle w:val="000000000000" w:firstRow="0" w:lastRow="0" w:firstColumn="0" w:lastColumn="0" w:oddVBand="0" w:evenVBand="0" w:oddHBand="0" w:evenHBand="0" w:firstRowFirstColumn="0" w:firstRowLastColumn="0" w:lastRowFirstColumn="0" w:lastRowLastColumn="0"/>
            </w:pPr>
            <w:r w:rsidRPr="00102589">
              <w:t>4</w:t>
            </w:r>
            <w:r w:rsidRPr="00102589">
              <w:br/>
              <w:t>(</w:t>
            </w:r>
            <w:r w:rsidR="00337E89" w:rsidRPr="00102589">
              <w:t>21.1</w:t>
            </w:r>
            <w:r w:rsidRPr="00102589">
              <w:t>%)</w:t>
            </w:r>
          </w:p>
        </w:tc>
        <w:tc>
          <w:tcPr>
            <w:tcW w:w="606" w:type="pct"/>
          </w:tcPr>
          <w:p w14:paraId="4B75A1F2" w14:textId="77777777" w:rsidR="00307594" w:rsidRPr="00102589" w:rsidRDefault="00D24B9E" w:rsidP="00655F84">
            <w:pPr>
              <w:pStyle w:val="TableText"/>
              <w:cnfStyle w:val="000000000000" w:firstRow="0" w:lastRow="0" w:firstColumn="0" w:lastColumn="0" w:oddVBand="0" w:evenVBand="0" w:oddHBand="0" w:evenHBand="0" w:firstRowFirstColumn="0" w:firstRowLastColumn="0" w:lastRowFirstColumn="0" w:lastRowLastColumn="0"/>
            </w:pPr>
            <w:r w:rsidRPr="00102589">
              <w:t>0</w:t>
            </w:r>
            <w:r w:rsidRPr="00102589">
              <w:br/>
              <w:t>(0.0%)</w:t>
            </w:r>
          </w:p>
        </w:tc>
        <w:tc>
          <w:tcPr>
            <w:tcW w:w="603" w:type="pct"/>
          </w:tcPr>
          <w:p w14:paraId="7AD29A9A" w14:textId="77777777" w:rsidR="00307594" w:rsidRPr="00102589" w:rsidRDefault="00D24B9E" w:rsidP="00655F84">
            <w:pPr>
              <w:pStyle w:val="TableText"/>
              <w:cnfStyle w:val="000000000000" w:firstRow="0" w:lastRow="0" w:firstColumn="0" w:lastColumn="0" w:oddVBand="0" w:evenVBand="0" w:oddHBand="0" w:evenHBand="0" w:firstRowFirstColumn="0" w:firstRowLastColumn="0" w:lastRowFirstColumn="0" w:lastRowLastColumn="0"/>
            </w:pPr>
            <w:r w:rsidRPr="00102589">
              <w:t>0</w:t>
            </w:r>
            <w:r w:rsidRPr="00102589">
              <w:br/>
              <w:t>(0.0%)</w:t>
            </w:r>
          </w:p>
        </w:tc>
      </w:tr>
      <w:tr w:rsidR="00AE1E92" w:rsidRPr="009C1931" w14:paraId="7C2AF1E7"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696" w:type="pct"/>
          </w:tcPr>
          <w:p w14:paraId="1FE2B7A1" w14:textId="77777777" w:rsidR="00307594" w:rsidRPr="00102589" w:rsidRDefault="00307594" w:rsidP="00655F84">
            <w:pPr>
              <w:pStyle w:val="TableText"/>
            </w:pPr>
            <w:r w:rsidRPr="00102589">
              <w:t>Otolaryngology head and neck surgery</w:t>
            </w:r>
          </w:p>
        </w:tc>
        <w:tc>
          <w:tcPr>
            <w:tcW w:w="674" w:type="pct"/>
          </w:tcPr>
          <w:p w14:paraId="57AB690A" w14:textId="77777777" w:rsidR="00307594" w:rsidRPr="00102589" w:rsidRDefault="00A93B10" w:rsidP="00655F84">
            <w:pPr>
              <w:pStyle w:val="TableText"/>
              <w:cnfStyle w:val="000000000000" w:firstRow="0" w:lastRow="0" w:firstColumn="0" w:lastColumn="0" w:oddVBand="0" w:evenVBand="0" w:oddHBand="0" w:evenHBand="0" w:firstRowFirstColumn="0" w:firstRowLastColumn="0" w:lastRowFirstColumn="0" w:lastRowLastColumn="0"/>
            </w:pPr>
            <w:r w:rsidRPr="00102589">
              <w:t>8</w:t>
            </w:r>
            <w:r w:rsidRPr="00102589">
              <w:br/>
              <w:t>(</w:t>
            </w:r>
            <w:r w:rsidR="00337E89" w:rsidRPr="00102589">
              <w:t>36.4</w:t>
            </w:r>
            <w:r w:rsidR="00D24B9E" w:rsidRPr="00102589">
              <w:t>%</w:t>
            </w:r>
            <w:r w:rsidRPr="00102589">
              <w:t>)</w:t>
            </w:r>
          </w:p>
        </w:tc>
        <w:tc>
          <w:tcPr>
            <w:tcW w:w="605" w:type="pct"/>
          </w:tcPr>
          <w:p w14:paraId="65E97E65" w14:textId="77777777" w:rsidR="00307594" w:rsidRPr="00102589" w:rsidRDefault="00A93B10" w:rsidP="00655F84">
            <w:pPr>
              <w:pStyle w:val="TableText"/>
              <w:cnfStyle w:val="000000000000" w:firstRow="0" w:lastRow="0" w:firstColumn="0" w:lastColumn="0" w:oddVBand="0" w:evenVBand="0" w:oddHBand="0" w:evenHBand="0" w:firstRowFirstColumn="0" w:firstRowLastColumn="0" w:lastRowFirstColumn="0" w:lastRowLastColumn="0"/>
            </w:pPr>
            <w:r w:rsidRPr="00102589">
              <w:t>5</w:t>
            </w:r>
            <w:r w:rsidRPr="00102589">
              <w:br/>
              <w:t>(</w:t>
            </w:r>
            <w:r w:rsidR="00337E89" w:rsidRPr="00102589">
              <w:t>22.7</w:t>
            </w:r>
            <w:r w:rsidR="00D24B9E" w:rsidRPr="00102589">
              <w:t>%</w:t>
            </w:r>
            <w:r w:rsidRPr="00102589">
              <w:t>)</w:t>
            </w:r>
          </w:p>
        </w:tc>
        <w:tc>
          <w:tcPr>
            <w:tcW w:w="605" w:type="pct"/>
          </w:tcPr>
          <w:p w14:paraId="49A2D9C2" w14:textId="77777777" w:rsidR="00307594" w:rsidRPr="00102589" w:rsidRDefault="00A93B10" w:rsidP="00655F84">
            <w:pPr>
              <w:pStyle w:val="TableText"/>
              <w:cnfStyle w:val="000000000000" w:firstRow="0" w:lastRow="0" w:firstColumn="0" w:lastColumn="0" w:oddVBand="0" w:evenVBand="0" w:oddHBand="0" w:evenHBand="0" w:firstRowFirstColumn="0" w:firstRowLastColumn="0" w:lastRowFirstColumn="0" w:lastRowLastColumn="0"/>
            </w:pPr>
            <w:r w:rsidRPr="00102589">
              <w:t>4</w:t>
            </w:r>
            <w:r w:rsidRPr="00102589">
              <w:br/>
              <w:t>(</w:t>
            </w:r>
            <w:r w:rsidR="00337E89" w:rsidRPr="00102589">
              <w:t>18.2</w:t>
            </w:r>
            <w:r w:rsidR="00D24B9E" w:rsidRPr="00102589">
              <w:t>%</w:t>
            </w:r>
            <w:r w:rsidRPr="00102589">
              <w:t>)</w:t>
            </w:r>
          </w:p>
        </w:tc>
        <w:tc>
          <w:tcPr>
            <w:tcW w:w="605" w:type="pct"/>
          </w:tcPr>
          <w:p w14:paraId="0788C4FE" w14:textId="77777777" w:rsidR="00307594" w:rsidRPr="00102589" w:rsidRDefault="00A93B10" w:rsidP="00655F84">
            <w:pPr>
              <w:pStyle w:val="TableText"/>
              <w:cnfStyle w:val="000000000000" w:firstRow="0" w:lastRow="0" w:firstColumn="0" w:lastColumn="0" w:oddVBand="0" w:evenVBand="0" w:oddHBand="0" w:evenHBand="0" w:firstRowFirstColumn="0" w:firstRowLastColumn="0" w:lastRowFirstColumn="0" w:lastRowLastColumn="0"/>
            </w:pPr>
            <w:r w:rsidRPr="00102589">
              <w:t>1</w:t>
            </w:r>
            <w:r w:rsidRPr="00102589">
              <w:br/>
              <w:t>(</w:t>
            </w:r>
            <w:r w:rsidR="00337E89" w:rsidRPr="00102589">
              <w:t>4.5</w:t>
            </w:r>
            <w:r w:rsidR="00D24B9E" w:rsidRPr="00102589">
              <w:t>%</w:t>
            </w:r>
            <w:r w:rsidRPr="00102589">
              <w:t>)</w:t>
            </w:r>
          </w:p>
        </w:tc>
        <w:tc>
          <w:tcPr>
            <w:tcW w:w="606" w:type="pct"/>
          </w:tcPr>
          <w:p w14:paraId="24F9EBC3" w14:textId="77777777" w:rsidR="00307594" w:rsidRPr="00102589" w:rsidRDefault="00A93B10" w:rsidP="00655F84">
            <w:pPr>
              <w:pStyle w:val="TableText"/>
              <w:cnfStyle w:val="000000000000" w:firstRow="0" w:lastRow="0" w:firstColumn="0" w:lastColumn="0" w:oddVBand="0" w:evenVBand="0" w:oddHBand="0" w:evenHBand="0" w:firstRowFirstColumn="0" w:firstRowLastColumn="0" w:lastRowFirstColumn="0" w:lastRowLastColumn="0"/>
            </w:pPr>
            <w:r w:rsidRPr="00102589">
              <w:t>2</w:t>
            </w:r>
            <w:r w:rsidRPr="00102589">
              <w:br/>
              <w:t>(</w:t>
            </w:r>
            <w:r w:rsidR="00337E89" w:rsidRPr="00102589">
              <w:t>9.1</w:t>
            </w:r>
            <w:r w:rsidR="00D24B9E" w:rsidRPr="00102589">
              <w:t>%</w:t>
            </w:r>
            <w:r w:rsidRPr="00102589">
              <w:t>)</w:t>
            </w:r>
          </w:p>
        </w:tc>
        <w:tc>
          <w:tcPr>
            <w:tcW w:w="606" w:type="pct"/>
          </w:tcPr>
          <w:p w14:paraId="22D6671E" w14:textId="77777777" w:rsidR="00307594" w:rsidRPr="00102589" w:rsidRDefault="00A93B10" w:rsidP="00655F84">
            <w:pPr>
              <w:pStyle w:val="TableText"/>
              <w:cnfStyle w:val="000000000000" w:firstRow="0" w:lastRow="0" w:firstColumn="0" w:lastColumn="0" w:oddVBand="0" w:evenVBand="0" w:oddHBand="0" w:evenHBand="0" w:firstRowFirstColumn="0" w:firstRowLastColumn="0" w:lastRowFirstColumn="0" w:lastRowLastColumn="0"/>
            </w:pPr>
            <w:r w:rsidRPr="00102589">
              <w:t>2</w:t>
            </w:r>
            <w:r w:rsidRPr="00102589">
              <w:br/>
              <w:t>(</w:t>
            </w:r>
            <w:r w:rsidR="00337E89" w:rsidRPr="00102589">
              <w:t>9.1</w:t>
            </w:r>
            <w:r w:rsidR="00D24B9E" w:rsidRPr="00102589">
              <w:t>%</w:t>
            </w:r>
            <w:r w:rsidRPr="00102589">
              <w:t>)</w:t>
            </w:r>
          </w:p>
        </w:tc>
        <w:tc>
          <w:tcPr>
            <w:tcW w:w="603" w:type="pct"/>
          </w:tcPr>
          <w:p w14:paraId="163EA41F" w14:textId="77777777" w:rsidR="00307594" w:rsidRPr="00102589" w:rsidRDefault="00D24B9E" w:rsidP="00655F84">
            <w:pPr>
              <w:pStyle w:val="TableText"/>
              <w:cnfStyle w:val="000000000000" w:firstRow="0" w:lastRow="0" w:firstColumn="0" w:lastColumn="0" w:oddVBand="0" w:evenVBand="0" w:oddHBand="0" w:evenHBand="0" w:firstRowFirstColumn="0" w:firstRowLastColumn="0" w:lastRowFirstColumn="0" w:lastRowLastColumn="0"/>
            </w:pPr>
            <w:r w:rsidRPr="00102589">
              <w:t>0</w:t>
            </w:r>
            <w:r w:rsidRPr="00102589">
              <w:br/>
              <w:t>(0.0%)</w:t>
            </w:r>
          </w:p>
        </w:tc>
      </w:tr>
      <w:tr w:rsidR="00AE1E92" w:rsidRPr="009C1931" w14:paraId="0FD6AE82"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696" w:type="pct"/>
          </w:tcPr>
          <w:p w14:paraId="168F3769" w14:textId="77777777" w:rsidR="00307594" w:rsidRPr="00102589" w:rsidRDefault="00307594" w:rsidP="00655F84">
            <w:pPr>
              <w:pStyle w:val="TableText"/>
            </w:pPr>
            <w:r w:rsidRPr="00102589">
              <w:t>Plastic and reconstructive surgery</w:t>
            </w:r>
          </w:p>
        </w:tc>
        <w:tc>
          <w:tcPr>
            <w:tcW w:w="674" w:type="pct"/>
          </w:tcPr>
          <w:p w14:paraId="0F4D80CD" w14:textId="77777777" w:rsidR="00307594" w:rsidRPr="00102589" w:rsidRDefault="0025177F" w:rsidP="00655F84">
            <w:pPr>
              <w:pStyle w:val="TableText"/>
              <w:cnfStyle w:val="000000000000" w:firstRow="0" w:lastRow="0" w:firstColumn="0" w:lastColumn="0" w:oddVBand="0" w:evenVBand="0" w:oddHBand="0" w:evenHBand="0" w:firstRowFirstColumn="0" w:firstRowLastColumn="0" w:lastRowFirstColumn="0" w:lastRowLastColumn="0"/>
            </w:pPr>
            <w:r w:rsidRPr="00102589">
              <w:t>1</w:t>
            </w:r>
            <w:r w:rsidRPr="00102589">
              <w:br/>
              <w:t>(</w:t>
            </w:r>
            <w:r w:rsidR="00337E89" w:rsidRPr="00102589">
              <w:t>20.0</w:t>
            </w:r>
            <w:r w:rsidRPr="00102589">
              <w:t>%)</w:t>
            </w:r>
          </w:p>
        </w:tc>
        <w:tc>
          <w:tcPr>
            <w:tcW w:w="605" w:type="pct"/>
          </w:tcPr>
          <w:p w14:paraId="2B530128" w14:textId="77777777" w:rsidR="00307594" w:rsidRPr="00102589" w:rsidRDefault="0025177F" w:rsidP="00655F84">
            <w:pPr>
              <w:pStyle w:val="TableText"/>
              <w:cnfStyle w:val="000000000000" w:firstRow="0" w:lastRow="0" w:firstColumn="0" w:lastColumn="0" w:oddVBand="0" w:evenVBand="0" w:oddHBand="0" w:evenHBand="0" w:firstRowFirstColumn="0" w:firstRowLastColumn="0" w:lastRowFirstColumn="0" w:lastRowLastColumn="0"/>
            </w:pPr>
            <w:r w:rsidRPr="00102589">
              <w:t>1</w:t>
            </w:r>
            <w:r w:rsidRPr="00102589">
              <w:br/>
              <w:t>(</w:t>
            </w:r>
            <w:r w:rsidR="00337E89" w:rsidRPr="00102589">
              <w:t>20.0</w:t>
            </w:r>
            <w:r w:rsidRPr="00102589">
              <w:t>%)</w:t>
            </w:r>
          </w:p>
        </w:tc>
        <w:tc>
          <w:tcPr>
            <w:tcW w:w="605" w:type="pct"/>
          </w:tcPr>
          <w:p w14:paraId="2A60165A" w14:textId="77777777" w:rsidR="00307594" w:rsidRPr="00102589" w:rsidRDefault="0025177F" w:rsidP="00655F84">
            <w:pPr>
              <w:pStyle w:val="TableText"/>
              <w:cnfStyle w:val="000000000000" w:firstRow="0" w:lastRow="0" w:firstColumn="0" w:lastColumn="0" w:oddVBand="0" w:evenVBand="0" w:oddHBand="0" w:evenHBand="0" w:firstRowFirstColumn="0" w:firstRowLastColumn="0" w:lastRowFirstColumn="0" w:lastRowLastColumn="0"/>
            </w:pPr>
            <w:r w:rsidRPr="00102589">
              <w:t>1</w:t>
            </w:r>
            <w:r w:rsidRPr="00102589">
              <w:br/>
              <w:t>(</w:t>
            </w:r>
            <w:r w:rsidR="00337E89" w:rsidRPr="00102589">
              <w:t>20.0</w:t>
            </w:r>
            <w:r w:rsidRPr="00102589">
              <w:t>%)</w:t>
            </w:r>
          </w:p>
        </w:tc>
        <w:tc>
          <w:tcPr>
            <w:tcW w:w="605" w:type="pct"/>
          </w:tcPr>
          <w:p w14:paraId="434644B9" w14:textId="77777777" w:rsidR="00307594" w:rsidRPr="00102589" w:rsidRDefault="0025177F" w:rsidP="00655F84">
            <w:pPr>
              <w:pStyle w:val="TableText"/>
              <w:cnfStyle w:val="000000000000" w:firstRow="0" w:lastRow="0" w:firstColumn="0" w:lastColumn="0" w:oddVBand="0" w:evenVBand="0" w:oddHBand="0" w:evenHBand="0" w:firstRowFirstColumn="0" w:firstRowLastColumn="0" w:lastRowFirstColumn="0" w:lastRowLastColumn="0"/>
            </w:pPr>
            <w:r w:rsidRPr="00102589">
              <w:t>1</w:t>
            </w:r>
            <w:r w:rsidRPr="00102589">
              <w:br/>
              <w:t>(</w:t>
            </w:r>
            <w:r w:rsidR="00337E89" w:rsidRPr="00102589">
              <w:t>20.0</w:t>
            </w:r>
            <w:r w:rsidRPr="00102589">
              <w:t>%)</w:t>
            </w:r>
          </w:p>
        </w:tc>
        <w:tc>
          <w:tcPr>
            <w:tcW w:w="606" w:type="pct"/>
          </w:tcPr>
          <w:p w14:paraId="79C758BA" w14:textId="77777777" w:rsidR="00307594" w:rsidRPr="00102589" w:rsidRDefault="00D24B9E" w:rsidP="00655F84">
            <w:pPr>
              <w:pStyle w:val="TableText"/>
              <w:cnfStyle w:val="000000000000" w:firstRow="0" w:lastRow="0" w:firstColumn="0" w:lastColumn="0" w:oddVBand="0" w:evenVBand="0" w:oddHBand="0" w:evenHBand="0" w:firstRowFirstColumn="0" w:firstRowLastColumn="0" w:lastRowFirstColumn="0" w:lastRowLastColumn="0"/>
            </w:pPr>
            <w:r w:rsidRPr="00102589">
              <w:t>0</w:t>
            </w:r>
            <w:r w:rsidRPr="00102589">
              <w:br/>
              <w:t>(0.0%)</w:t>
            </w:r>
          </w:p>
        </w:tc>
        <w:tc>
          <w:tcPr>
            <w:tcW w:w="606" w:type="pct"/>
          </w:tcPr>
          <w:p w14:paraId="6FA3CA82" w14:textId="77777777" w:rsidR="00307594" w:rsidRPr="00102589" w:rsidRDefault="0025177F" w:rsidP="00655F84">
            <w:pPr>
              <w:pStyle w:val="TableText"/>
              <w:cnfStyle w:val="000000000000" w:firstRow="0" w:lastRow="0" w:firstColumn="0" w:lastColumn="0" w:oddVBand="0" w:evenVBand="0" w:oddHBand="0" w:evenHBand="0" w:firstRowFirstColumn="0" w:firstRowLastColumn="0" w:lastRowFirstColumn="0" w:lastRowLastColumn="0"/>
            </w:pPr>
            <w:r w:rsidRPr="00102589">
              <w:t>1</w:t>
            </w:r>
            <w:r w:rsidRPr="00102589">
              <w:br/>
              <w:t>(</w:t>
            </w:r>
            <w:r w:rsidR="00337E89" w:rsidRPr="00102589">
              <w:t>20.0</w:t>
            </w:r>
            <w:r w:rsidRPr="00102589">
              <w:t>%)</w:t>
            </w:r>
          </w:p>
        </w:tc>
        <w:tc>
          <w:tcPr>
            <w:tcW w:w="603" w:type="pct"/>
          </w:tcPr>
          <w:p w14:paraId="799CCFA4" w14:textId="77777777" w:rsidR="00307594" w:rsidRPr="00102589" w:rsidRDefault="00D24B9E" w:rsidP="00655F84">
            <w:pPr>
              <w:pStyle w:val="TableText"/>
              <w:cnfStyle w:val="000000000000" w:firstRow="0" w:lastRow="0" w:firstColumn="0" w:lastColumn="0" w:oddVBand="0" w:evenVBand="0" w:oddHBand="0" w:evenHBand="0" w:firstRowFirstColumn="0" w:firstRowLastColumn="0" w:lastRowFirstColumn="0" w:lastRowLastColumn="0"/>
            </w:pPr>
            <w:r w:rsidRPr="00102589">
              <w:t>0</w:t>
            </w:r>
            <w:r w:rsidRPr="00102589">
              <w:br/>
              <w:t>(0.0%)</w:t>
            </w:r>
          </w:p>
        </w:tc>
      </w:tr>
      <w:tr w:rsidR="00AE1E92" w:rsidRPr="009C1931" w14:paraId="17308302"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696" w:type="pct"/>
          </w:tcPr>
          <w:p w14:paraId="39F1624E" w14:textId="77777777" w:rsidR="00307594" w:rsidRPr="00102589" w:rsidRDefault="00307594" w:rsidP="00655F84">
            <w:pPr>
              <w:pStyle w:val="TableText"/>
            </w:pPr>
            <w:r w:rsidRPr="00102589">
              <w:t>Prosthodontics</w:t>
            </w:r>
          </w:p>
        </w:tc>
        <w:tc>
          <w:tcPr>
            <w:tcW w:w="674" w:type="pct"/>
          </w:tcPr>
          <w:p w14:paraId="7C552333" w14:textId="77777777" w:rsidR="00307594" w:rsidRPr="00102589" w:rsidRDefault="00483839" w:rsidP="00655F84">
            <w:pPr>
              <w:pStyle w:val="TableText"/>
              <w:cnfStyle w:val="000000000000" w:firstRow="0" w:lastRow="0" w:firstColumn="0" w:lastColumn="0" w:oddVBand="0" w:evenVBand="0" w:oddHBand="0" w:evenHBand="0" w:firstRowFirstColumn="0" w:firstRowLastColumn="0" w:lastRowFirstColumn="0" w:lastRowLastColumn="0"/>
            </w:pPr>
            <w:r w:rsidRPr="00102589">
              <w:t>1</w:t>
            </w:r>
            <w:r w:rsidRPr="00102589">
              <w:br/>
              <w:t>(</w:t>
            </w:r>
            <w:r w:rsidR="00337E89" w:rsidRPr="00102589">
              <w:t>16.7</w:t>
            </w:r>
            <w:r w:rsidRPr="00102589">
              <w:t>%)</w:t>
            </w:r>
          </w:p>
        </w:tc>
        <w:tc>
          <w:tcPr>
            <w:tcW w:w="605" w:type="pct"/>
          </w:tcPr>
          <w:p w14:paraId="693445B3" w14:textId="77777777" w:rsidR="00307594" w:rsidRPr="00102589" w:rsidRDefault="00483839" w:rsidP="00655F84">
            <w:pPr>
              <w:pStyle w:val="TableText"/>
              <w:cnfStyle w:val="000000000000" w:firstRow="0" w:lastRow="0" w:firstColumn="0" w:lastColumn="0" w:oddVBand="0" w:evenVBand="0" w:oddHBand="0" w:evenHBand="0" w:firstRowFirstColumn="0" w:firstRowLastColumn="0" w:lastRowFirstColumn="0" w:lastRowLastColumn="0"/>
            </w:pPr>
            <w:r w:rsidRPr="00102589">
              <w:t>1</w:t>
            </w:r>
            <w:r w:rsidRPr="00102589">
              <w:br/>
              <w:t>(</w:t>
            </w:r>
            <w:r w:rsidR="00337E89" w:rsidRPr="00102589">
              <w:t>16.7</w:t>
            </w:r>
            <w:r w:rsidRPr="00102589">
              <w:t>%)</w:t>
            </w:r>
          </w:p>
        </w:tc>
        <w:tc>
          <w:tcPr>
            <w:tcW w:w="605" w:type="pct"/>
          </w:tcPr>
          <w:p w14:paraId="1562CCB5" w14:textId="77777777" w:rsidR="00307594" w:rsidRPr="00102589" w:rsidRDefault="00483839" w:rsidP="00655F84">
            <w:pPr>
              <w:pStyle w:val="TableText"/>
              <w:cnfStyle w:val="000000000000" w:firstRow="0" w:lastRow="0" w:firstColumn="0" w:lastColumn="0" w:oddVBand="0" w:evenVBand="0" w:oddHBand="0" w:evenHBand="0" w:firstRowFirstColumn="0" w:firstRowLastColumn="0" w:lastRowFirstColumn="0" w:lastRowLastColumn="0"/>
            </w:pPr>
            <w:r w:rsidRPr="00102589">
              <w:t>1</w:t>
            </w:r>
            <w:r w:rsidRPr="00102589">
              <w:br/>
              <w:t>(</w:t>
            </w:r>
            <w:r w:rsidR="00337E89" w:rsidRPr="00102589">
              <w:t>16.7</w:t>
            </w:r>
            <w:r w:rsidRPr="00102589">
              <w:t>%)</w:t>
            </w:r>
          </w:p>
        </w:tc>
        <w:tc>
          <w:tcPr>
            <w:tcW w:w="605" w:type="pct"/>
          </w:tcPr>
          <w:p w14:paraId="0A53E5B8" w14:textId="77777777" w:rsidR="00307594" w:rsidRPr="00102589" w:rsidRDefault="00483839" w:rsidP="00655F84">
            <w:pPr>
              <w:pStyle w:val="TableText"/>
              <w:cnfStyle w:val="000000000000" w:firstRow="0" w:lastRow="0" w:firstColumn="0" w:lastColumn="0" w:oddVBand="0" w:evenVBand="0" w:oddHBand="0" w:evenHBand="0" w:firstRowFirstColumn="0" w:firstRowLastColumn="0" w:lastRowFirstColumn="0" w:lastRowLastColumn="0"/>
            </w:pPr>
            <w:r w:rsidRPr="00102589">
              <w:t>1</w:t>
            </w:r>
            <w:r w:rsidRPr="00102589">
              <w:br/>
              <w:t>(</w:t>
            </w:r>
            <w:r w:rsidR="00337E89" w:rsidRPr="00102589">
              <w:t>16.7</w:t>
            </w:r>
            <w:r w:rsidRPr="00102589">
              <w:t>%)</w:t>
            </w:r>
          </w:p>
        </w:tc>
        <w:tc>
          <w:tcPr>
            <w:tcW w:w="606" w:type="pct"/>
          </w:tcPr>
          <w:p w14:paraId="4FA06C87" w14:textId="77777777" w:rsidR="00307594" w:rsidRPr="00102589" w:rsidRDefault="00D24B9E" w:rsidP="00655F84">
            <w:pPr>
              <w:pStyle w:val="TableText"/>
              <w:cnfStyle w:val="000000000000" w:firstRow="0" w:lastRow="0" w:firstColumn="0" w:lastColumn="0" w:oddVBand="0" w:evenVBand="0" w:oddHBand="0" w:evenHBand="0" w:firstRowFirstColumn="0" w:firstRowLastColumn="0" w:lastRowFirstColumn="0" w:lastRowLastColumn="0"/>
            </w:pPr>
            <w:r w:rsidRPr="00102589">
              <w:t>0</w:t>
            </w:r>
            <w:r w:rsidRPr="00102589">
              <w:br/>
              <w:t>(0.0%)</w:t>
            </w:r>
          </w:p>
        </w:tc>
        <w:tc>
          <w:tcPr>
            <w:tcW w:w="606" w:type="pct"/>
          </w:tcPr>
          <w:p w14:paraId="58706915" w14:textId="77777777" w:rsidR="00307594" w:rsidRPr="00102589" w:rsidRDefault="00483839" w:rsidP="00655F84">
            <w:pPr>
              <w:pStyle w:val="TableText"/>
              <w:cnfStyle w:val="000000000000" w:firstRow="0" w:lastRow="0" w:firstColumn="0" w:lastColumn="0" w:oddVBand="0" w:evenVBand="0" w:oddHBand="0" w:evenHBand="0" w:firstRowFirstColumn="0" w:firstRowLastColumn="0" w:lastRowFirstColumn="0" w:lastRowLastColumn="0"/>
            </w:pPr>
            <w:r w:rsidRPr="00102589">
              <w:t>1</w:t>
            </w:r>
            <w:r w:rsidRPr="00102589">
              <w:br/>
              <w:t>(</w:t>
            </w:r>
            <w:r w:rsidR="00337E89" w:rsidRPr="00102589">
              <w:t>16.7</w:t>
            </w:r>
            <w:r w:rsidRPr="00102589">
              <w:t>%)</w:t>
            </w:r>
          </w:p>
        </w:tc>
        <w:tc>
          <w:tcPr>
            <w:tcW w:w="603" w:type="pct"/>
          </w:tcPr>
          <w:p w14:paraId="6B7C3600" w14:textId="77777777" w:rsidR="00307594" w:rsidRPr="00102589" w:rsidRDefault="00483839" w:rsidP="00655F84">
            <w:pPr>
              <w:pStyle w:val="TableText"/>
              <w:cnfStyle w:val="000000000000" w:firstRow="0" w:lastRow="0" w:firstColumn="0" w:lastColumn="0" w:oddVBand="0" w:evenVBand="0" w:oddHBand="0" w:evenHBand="0" w:firstRowFirstColumn="0" w:firstRowLastColumn="0" w:lastRowFirstColumn="0" w:lastRowLastColumn="0"/>
            </w:pPr>
            <w:r w:rsidRPr="00102589">
              <w:t>1</w:t>
            </w:r>
            <w:r w:rsidRPr="00102589">
              <w:br/>
              <w:t>(</w:t>
            </w:r>
            <w:r w:rsidR="00337E89" w:rsidRPr="00102589">
              <w:t>16.7</w:t>
            </w:r>
            <w:r w:rsidRPr="00102589">
              <w:t>%)</w:t>
            </w:r>
          </w:p>
        </w:tc>
      </w:tr>
      <w:tr w:rsidR="00AE1E92" w:rsidRPr="009C1931" w14:paraId="10A7D3B3"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696" w:type="pct"/>
          </w:tcPr>
          <w:p w14:paraId="3B1E9182" w14:textId="77777777" w:rsidR="00307594" w:rsidRPr="00102589" w:rsidRDefault="00307594" w:rsidP="00655F84">
            <w:pPr>
              <w:pStyle w:val="TableText"/>
            </w:pPr>
            <w:r w:rsidRPr="00102589">
              <w:t>Psychology or social work</w:t>
            </w:r>
          </w:p>
        </w:tc>
        <w:tc>
          <w:tcPr>
            <w:tcW w:w="674" w:type="pct"/>
          </w:tcPr>
          <w:p w14:paraId="1EC10165" w14:textId="77777777" w:rsidR="00307594" w:rsidRPr="00102589" w:rsidRDefault="00483839" w:rsidP="00655F84">
            <w:pPr>
              <w:pStyle w:val="TableText"/>
              <w:cnfStyle w:val="000000000000" w:firstRow="0" w:lastRow="0" w:firstColumn="0" w:lastColumn="0" w:oddVBand="0" w:evenVBand="0" w:oddHBand="0" w:evenHBand="0" w:firstRowFirstColumn="0" w:firstRowLastColumn="0" w:lastRowFirstColumn="0" w:lastRowLastColumn="0"/>
            </w:pPr>
            <w:r w:rsidRPr="00102589">
              <w:t>2</w:t>
            </w:r>
            <w:r w:rsidRPr="00102589">
              <w:br/>
              <w:t>(</w:t>
            </w:r>
            <w:r w:rsidR="00337E89" w:rsidRPr="00102589">
              <w:t>33.3</w:t>
            </w:r>
            <w:r w:rsidRPr="00102589">
              <w:t>%)</w:t>
            </w:r>
          </w:p>
        </w:tc>
        <w:tc>
          <w:tcPr>
            <w:tcW w:w="605" w:type="pct"/>
          </w:tcPr>
          <w:p w14:paraId="6D5F3902" w14:textId="77777777" w:rsidR="00307594" w:rsidRPr="00102589" w:rsidRDefault="00483839" w:rsidP="00655F84">
            <w:pPr>
              <w:pStyle w:val="TableText"/>
              <w:cnfStyle w:val="000000000000" w:firstRow="0" w:lastRow="0" w:firstColumn="0" w:lastColumn="0" w:oddVBand="0" w:evenVBand="0" w:oddHBand="0" w:evenHBand="0" w:firstRowFirstColumn="0" w:firstRowLastColumn="0" w:lastRowFirstColumn="0" w:lastRowLastColumn="0"/>
            </w:pPr>
            <w:r w:rsidRPr="00102589">
              <w:t>1</w:t>
            </w:r>
            <w:r w:rsidRPr="00102589">
              <w:br/>
              <w:t>(</w:t>
            </w:r>
            <w:r w:rsidR="00337E89" w:rsidRPr="00102589">
              <w:t>16.7</w:t>
            </w:r>
            <w:r w:rsidRPr="00102589">
              <w:t>%)</w:t>
            </w:r>
          </w:p>
        </w:tc>
        <w:tc>
          <w:tcPr>
            <w:tcW w:w="605" w:type="pct"/>
          </w:tcPr>
          <w:p w14:paraId="791B0034" w14:textId="77777777" w:rsidR="00307594" w:rsidRPr="00102589" w:rsidRDefault="00483839" w:rsidP="00655F84">
            <w:pPr>
              <w:pStyle w:val="TableText"/>
              <w:cnfStyle w:val="000000000000" w:firstRow="0" w:lastRow="0" w:firstColumn="0" w:lastColumn="0" w:oddVBand="0" w:evenVBand="0" w:oddHBand="0" w:evenHBand="0" w:firstRowFirstColumn="0" w:firstRowLastColumn="0" w:lastRowFirstColumn="0" w:lastRowLastColumn="0"/>
            </w:pPr>
            <w:r w:rsidRPr="00102589">
              <w:t>2</w:t>
            </w:r>
            <w:r w:rsidRPr="00102589">
              <w:br/>
              <w:t>(</w:t>
            </w:r>
            <w:r w:rsidR="00337E89" w:rsidRPr="00102589">
              <w:t>33.3</w:t>
            </w:r>
            <w:r w:rsidRPr="00102589">
              <w:t>%)</w:t>
            </w:r>
          </w:p>
        </w:tc>
        <w:tc>
          <w:tcPr>
            <w:tcW w:w="605" w:type="pct"/>
          </w:tcPr>
          <w:p w14:paraId="1BE3BC1C" w14:textId="77777777" w:rsidR="00307594" w:rsidRPr="00102589" w:rsidRDefault="00483839" w:rsidP="00655F84">
            <w:pPr>
              <w:pStyle w:val="TableText"/>
              <w:cnfStyle w:val="000000000000" w:firstRow="0" w:lastRow="0" w:firstColumn="0" w:lastColumn="0" w:oddVBand="0" w:evenVBand="0" w:oddHBand="0" w:evenHBand="0" w:firstRowFirstColumn="0" w:firstRowLastColumn="0" w:lastRowFirstColumn="0" w:lastRowLastColumn="0"/>
            </w:pPr>
            <w:r w:rsidRPr="00102589">
              <w:t>1</w:t>
            </w:r>
            <w:r w:rsidRPr="00102589">
              <w:br/>
              <w:t>(</w:t>
            </w:r>
            <w:r w:rsidR="00337E89" w:rsidRPr="00102589">
              <w:t>16.7</w:t>
            </w:r>
            <w:r w:rsidRPr="00102589">
              <w:t>%)</w:t>
            </w:r>
          </w:p>
        </w:tc>
        <w:tc>
          <w:tcPr>
            <w:tcW w:w="606" w:type="pct"/>
          </w:tcPr>
          <w:p w14:paraId="0AB44356" w14:textId="77777777" w:rsidR="00307594" w:rsidRPr="00102589" w:rsidRDefault="00D24B9E" w:rsidP="00655F84">
            <w:pPr>
              <w:pStyle w:val="TableText"/>
              <w:cnfStyle w:val="000000000000" w:firstRow="0" w:lastRow="0" w:firstColumn="0" w:lastColumn="0" w:oddVBand="0" w:evenVBand="0" w:oddHBand="0" w:evenHBand="0" w:firstRowFirstColumn="0" w:firstRowLastColumn="0" w:lastRowFirstColumn="0" w:lastRowLastColumn="0"/>
            </w:pPr>
            <w:r w:rsidRPr="00102589">
              <w:t>0</w:t>
            </w:r>
            <w:r w:rsidRPr="00102589">
              <w:br/>
              <w:t>(0.0%)</w:t>
            </w:r>
          </w:p>
        </w:tc>
        <w:tc>
          <w:tcPr>
            <w:tcW w:w="606" w:type="pct"/>
          </w:tcPr>
          <w:p w14:paraId="4087E075" w14:textId="77777777" w:rsidR="00307594" w:rsidRPr="00102589" w:rsidRDefault="00D24B9E" w:rsidP="00655F84">
            <w:pPr>
              <w:pStyle w:val="TableText"/>
              <w:cnfStyle w:val="000000000000" w:firstRow="0" w:lastRow="0" w:firstColumn="0" w:lastColumn="0" w:oddVBand="0" w:evenVBand="0" w:oddHBand="0" w:evenHBand="0" w:firstRowFirstColumn="0" w:firstRowLastColumn="0" w:lastRowFirstColumn="0" w:lastRowLastColumn="0"/>
            </w:pPr>
            <w:r w:rsidRPr="00102589">
              <w:t>0</w:t>
            </w:r>
            <w:r w:rsidRPr="00102589">
              <w:br/>
              <w:t>(0.0%)</w:t>
            </w:r>
          </w:p>
        </w:tc>
        <w:tc>
          <w:tcPr>
            <w:tcW w:w="603" w:type="pct"/>
          </w:tcPr>
          <w:p w14:paraId="37BAB468" w14:textId="77777777" w:rsidR="00307594" w:rsidRPr="00102589" w:rsidRDefault="00D24B9E" w:rsidP="00655F84">
            <w:pPr>
              <w:pStyle w:val="TableText"/>
              <w:cnfStyle w:val="000000000000" w:firstRow="0" w:lastRow="0" w:firstColumn="0" w:lastColumn="0" w:oddVBand="0" w:evenVBand="0" w:oddHBand="0" w:evenHBand="0" w:firstRowFirstColumn="0" w:firstRowLastColumn="0" w:lastRowFirstColumn="0" w:lastRowLastColumn="0"/>
            </w:pPr>
            <w:r w:rsidRPr="00102589">
              <w:t>0</w:t>
            </w:r>
            <w:r w:rsidRPr="00102589">
              <w:br/>
              <w:t>(0.0%)</w:t>
            </w:r>
          </w:p>
        </w:tc>
      </w:tr>
      <w:tr w:rsidR="00AE1E92" w:rsidRPr="009C1931" w14:paraId="52F42DFD"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696" w:type="pct"/>
          </w:tcPr>
          <w:p w14:paraId="11712C4F" w14:textId="77777777" w:rsidR="00307594" w:rsidRPr="00307594" w:rsidRDefault="00307594" w:rsidP="00655F84">
            <w:pPr>
              <w:pStyle w:val="TableText"/>
            </w:pPr>
            <w:r w:rsidRPr="00102589">
              <w:t>Research / academia</w:t>
            </w:r>
          </w:p>
        </w:tc>
        <w:tc>
          <w:tcPr>
            <w:tcW w:w="674" w:type="pct"/>
          </w:tcPr>
          <w:p w14:paraId="3DBD819B" w14:textId="77777777" w:rsidR="00307594" w:rsidRPr="00307594" w:rsidRDefault="00CD1B4E" w:rsidP="00655F84">
            <w:pPr>
              <w:pStyle w:val="TableText"/>
              <w:cnfStyle w:val="000000000000" w:firstRow="0" w:lastRow="0" w:firstColumn="0" w:lastColumn="0" w:oddVBand="0" w:evenVBand="0" w:oddHBand="0" w:evenHBand="0" w:firstRowFirstColumn="0" w:firstRowLastColumn="0" w:lastRowFirstColumn="0" w:lastRowLastColumn="0"/>
            </w:pPr>
            <w:r w:rsidRPr="00102589">
              <w:t>0</w:t>
            </w:r>
            <w:r w:rsidRPr="00102589">
              <w:br/>
              <w:t>(0.0%)</w:t>
            </w:r>
          </w:p>
        </w:tc>
        <w:tc>
          <w:tcPr>
            <w:tcW w:w="605" w:type="pct"/>
          </w:tcPr>
          <w:p w14:paraId="2A21E5E9" w14:textId="77777777" w:rsidR="00307594" w:rsidRPr="00307594" w:rsidRDefault="00CD1B4E" w:rsidP="00655F84">
            <w:pPr>
              <w:pStyle w:val="TableText"/>
              <w:cnfStyle w:val="000000000000" w:firstRow="0" w:lastRow="0" w:firstColumn="0" w:lastColumn="0" w:oddVBand="0" w:evenVBand="0" w:oddHBand="0" w:evenHBand="0" w:firstRowFirstColumn="0" w:firstRowLastColumn="0" w:lastRowFirstColumn="0" w:lastRowLastColumn="0"/>
            </w:pPr>
            <w:r w:rsidRPr="00102589">
              <w:t>1</w:t>
            </w:r>
            <w:r w:rsidRPr="00102589">
              <w:br/>
              <w:t>(</w:t>
            </w:r>
            <w:r w:rsidR="00337E89" w:rsidRPr="00102589">
              <w:t>33.3</w:t>
            </w:r>
            <w:r w:rsidRPr="00102589">
              <w:t>%)</w:t>
            </w:r>
          </w:p>
        </w:tc>
        <w:tc>
          <w:tcPr>
            <w:tcW w:w="605" w:type="pct"/>
          </w:tcPr>
          <w:p w14:paraId="717DE3DF" w14:textId="77777777" w:rsidR="00307594" w:rsidRPr="00307594" w:rsidRDefault="00CD1B4E" w:rsidP="00655F84">
            <w:pPr>
              <w:pStyle w:val="TableText"/>
              <w:cnfStyle w:val="000000000000" w:firstRow="0" w:lastRow="0" w:firstColumn="0" w:lastColumn="0" w:oddVBand="0" w:evenVBand="0" w:oddHBand="0" w:evenHBand="0" w:firstRowFirstColumn="0" w:firstRowLastColumn="0" w:lastRowFirstColumn="0" w:lastRowLastColumn="0"/>
            </w:pPr>
            <w:r w:rsidRPr="00102589">
              <w:t>0</w:t>
            </w:r>
            <w:r w:rsidRPr="00102589">
              <w:br/>
              <w:t>(0.0%)</w:t>
            </w:r>
          </w:p>
        </w:tc>
        <w:tc>
          <w:tcPr>
            <w:tcW w:w="605" w:type="pct"/>
          </w:tcPr>
          <w:p w14:paraId="059BE61D" w14:textId="77777777" w:rsidR="00307594" w:rsidRPr="00307594" w:rsidRDefault="00CD1B4E" w:rsidP="00655F84">
            <w:pPr>
              <w:pStyle w:val="TableText"/>
              <w:cnfStyle w:val="000000000000" w:firstRow="0" w:lastRow="0" w:firstColumn="0" w:lastColumn="0" w:oddVBand="0" w:evenVBand="0" w:oddHBand="0" w:evenHBand="0" w:firstRowFirstColumn="0" w:firstRowLastColumn="0" w:lastRowFirstColumn="0" w:lastRowLastColumn="0"/>
            </w:pPr>
            <w:r w:rsidRPr="00102589">
              <w:t>0</w:t>
            </w:r>
            <w:r w:rsidRPr="00102589">
              <w:br/>
              <w:t>(0.0%)</w:t>
            </w:r>
          </w:p>
        </w:tc>
        <w:tc>
          <w:tcPr>
            <w:tcW w:w="606" w:type="pct"/>
          </w:tcPr>
          <w:p w14:paraId="48D7A301" w14:textId="77777777" w:rsidR="00307594" w:rsidRPr="00307594" w:rsidRDefault="00CD1B4E" w:rsidP="00655F84">
            <w:pPr>
              <w:pStyle w:val="TableText"/>
              <w:cnfStyle w:val="000000000000" w:firstRow="0" w:lastRow="0" w:firstColumn="0" w:lastColumn="0" w:oddVBand="0" w:evenVBand="0" w:oddHBand="0" w:evenHBand="0" w:firstRowFirstColumn="0" w:firstRowLastColumn="0" w:lastRowFirstColumn="0" w:lastRowLastColumn="0"/>
            </w:pPr>
            <w:r w:rsidRPr="00102589">
              <w:t>1</w:t>
            </w:r>
            <w:r w:rsidRPr="00102589">
              <w:br/>
              <w:t>(</w:t>
            </w:r>
            <w:r w:rsidR="00337E89" w:rsidRPr="00102589">
              <w:t>33.3</w:t>
            </w:r>
            <w:r w:rsidRPr="00102589">
              <w:t>%)</w:t>
            </w:r>
          </w:p>
        </w:tc>
        <w:tc>
          <w:tcPr>
            <w:tcW w:w="606" w:type="pct"/>
          </w:tcPr>
          <w:p w14:paraId="1395273F" w14:textId="77777777" w:rsidR="00307594" w:rsidRPr="00307594" w:rsidRDefault="00CD1B4E" w:rsidP="00655F84">
            <w:pPr>
              <w:pStyle w:val="TableText"/>
              <w:cnfStyle w:val="000000000000" w:firstRow="0" w:lastRow="0" w:firstColumn="0" w:lastColumn="0" w:oddVBand="0" w:evenVBand="0" w:oddHBand="0" w:evenHBand="0" w:firstRowFirstColumn="0" w:firstRowLastColumn="0" w:lastRowFirstColumn="0" w:lastRowLastColumn="0"/>
            </w:pPr>
            <w:r w:rsidRPr="00102589">
              <w:t>1</w:t>
            </w:r>
            <w:r w:rsidRPr="00102589">
              <w:br/>
              <w:t>(</w:t>
            </w:r>
            <w:r w:rsidR="00337E89" w:rsidRPr="00102589">
              <w:t>33.3</w:t>
            </w:r>
            <w:r w:rsidRPr="00102589">
              <w:t>%)</w:t>
            </w:r>
          </w:p>
        </w:tc>
        <w:tc>
          <w:tcPr>
            <w:tcW w:w="603" w:type="pct"/>
          </w:tcPr>
          <w:p w14:paraId="5C0F531C" w14:textId="77777777" w:rsidR="00307594" w:rsidRPr="00307594" w:rsidRDefault="00CD1B4E" w:rsidP="00655F84">
            <w:pPr>
              <w:pStyle w:val="TableText"/>
              <w:cnfStyle w:val="000000000000" w:firstRow="0" w:lastRow="0" w:firstColumn="0" w:lastColumn="0" w:oddVBand="0" w:evenVBand="0" w:oddHBand="0" w:evenHBand="0" w:firstRowFirstColumn="0" w:firstRowLastColumn="0" w:lastRowFirstColumn="0" w:lastRowLastColumn="0"/>
            </w:pPr>
            <w:r w:rsidRPr="00102589">
              <w:t>0</w:t>
            </w:r>
            <w:r w:rsidRPr="00102589">
              <w:br/>
              <w:t>(0.0%)</w:t>
            </w:r>
          </w:p>
        </w:tc>
      </w:tr>
      <w:tr w:rsidR="00AE1E92" w:rsidRPr="009C1931" w14:paraId="528B47E1"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696" w:type="pct"/>
          </w:tcPr>
          <w:p w14:paraId="7C95346C" w14:textId="77777777" w:rsidR="00307594" w:rsidRPr="00307594" w:rsidRDefault="00307594" w:rsidP="00655F84">
            <w:pPr>
              <w:pStyle w:val="TableText"/>
            </w:pPr>
            <w:r w:rsidRPr="00102589">
              <w:t>Speech pathology</w:t>
            </w:r>
          </w:p>
        </w:tc>
        <w:tc>
          <w:tcPr>
            <w:tcW w:w="674" w:type="pct"/>
          </w:tcPr>
          <w:p w14:paraId="03091A8F" w14:textId="77777777" w:rsidR="00307594" w:rsidRPr="00307594" w:rsidRDefault="00CD1B4E" w:rsidP="00655F84">
            <w:pPr>
              <w:pStyle w:val="TableText"/>
              <w:cnfStyle w:val="000000000000" w:firstRow="0" w:lastRow="0" w:firstColumn="0" w:lastColumn="0" w:oddVBand="0" w:evenVBand="0" w:oddHBand="0" w:evenHBand="0" w:firstRowFirstColumn="0" w:firstRowLastColumn="0" w:lastRowFirstColumn="0" w:lastRowLastColumn="0"/>
            </w:pPr>
            <w:r w:rsidRPr="00102589">
              <w:t xml:space="preserve">2 </w:t>
            </w:r>
            <w:r w:rsidRPr="00102589">
              <w:br/>
              <w:t>(</w:t>
            </w:r>
            <w:r w:rsidR="00337E89" w:rsidRPr="00102589">
              <w:t>25.0</w:t>
            </w:r>
            <w:r w:rsidRPr="00102589">
              <w:t>%)</w:t>
            </w:r>
          </w:p>
        </w:tc>
        <w:tc>
          <w:tcPr>
            <w:tcW w:w="605" w:type="pct"/>
          </w:tcPr>
          <w:p w14:paraId="0F4C953A" w14:textId="77777777" w:rsidR="00307594" w:rsidRPr="00307594" w:rsidRDefault="00CD1B4E" w:rsidP="00655F84">
            <w:pPr>
              <w:pStyle w:val="TableText"/>
              <w:cnfStyle w:val="000000000000" w:firstRow="0" w:lastRow="0" w:firstColumn="0" w:lastColumn="0" w:oddVBand="0" w:evenVBand="0" w:oddHBand="0" w:evenHBand="0" w:firstRowFirstColumn="0" w:firstRowLastColumn="0" w:lastRowFirstColumn="0" w:lastRowLastColumn="0"/>
            </w:pPr>
            <w:r w:rsidRPr="00102589">
              <w:t>2</w:t>
            </w:r>
            <w:r w:rsidRPr="00102589">
              <w:br/>
              <w:t>(</w:t>
            </w:r>
            <w:r w:rsidR="00337E89" w:rsidRPr="00102589">
              <w:t>25.0</w:t>
            </w:r>
            <w:r w:rsidRPr="00102589">
              <w:t>%)</w:t>
            </w:r>
          </w:p>
        </w:tc>
        <w:tc>
          <w:tcPr>
            <w:tcW w:w="605" w:type="pct"/>
          </w:tcPr>
          <w:p w14:paraId="08058B2C" w14:textId="77777777" w:rsidR="00307594" w:rsidRPr="00307594" w:rsidRDefault="00CD1B4E" w:rsidP="00655F84">
            <w:pPr>
              <w:pStyle w:val="TableText"/>
              <w:cnfStyle w:val="000000000000" w:firstRow="0" w:lastRow="0" w:firstColumn="0" w:lastColumn="0" w:oddVBand="0" w:evenVBand="0" w:oddHBand="0" w:evenHBand="0" w:firstRowFirstColumn="0" w:firstRowLastColumn="0" w:lastRowFirstColumn="0" w:lastRowLastColumn="0"/>
            </w:pPr>
            <w:r w:rsidRPr="00102589">
              <w:t>0</w:t>
            </w:r>
            <w:r w:rsidRPr="00102589">
              <w:br/>
              <w:t>(0.0%)</w:t>
            </w:r>
          </w:p>
        </w:tc>
        <w:tc>
          <w:tcPr>
            <w:tcW w:w="605" w:type="pct"/>
          </w:tcPr>
          <w:p w14:paraId="57B8CAD5" w14:textId="77777777" w:rsidR="00307594" w:rsidRPr="00307594" w:rsidRDefault="00CD1B4E" w:rsidP="00655F84">
            <w:pPr>
              <w:pStyle w:val="TableText"/>
              <w:cnfStyle w:val="000000000000" w:firstRow="0" w:lastRow="0" w:firstColumn="0" w:lastColumn="0" w:oddVBand="0" w:evenVBand="0" w:oddHBand="0" w:evenHBand="0" w:firstRowFirstColumn="0" w:firstRowLastColumn="0" w:lastRowFirstColumn="0" w:lastRowLastColumn="0"/>
            </w:pPr>
            <w:r w:rsidRPr="00102589">
              <w:t>1</w:t>
            </w:r>
            <w:r w:rsidRPr="00102589">
              <w:br/>
              <w:t>(</w:t>
            </w:r>
            <w:r w:rsidR="00337E89" w:rsidRPr="00102589">
              <w:t>12.5</w:t>
            </w:r>
            <w:r w:rsidRPr="00102589">
              <w:t>%)</w:t>
            </w:r>
          </w:p>
        </w:tc>
        <w:tc>
          <w:tcPr>
            <w:tcW w:w="606" w:type="pct"/>
          </w:tcPr>
          <w:p w14:paraId="674A41E4" w14:textId="77777777" w:rsidR="00307594" w:rsidRPr="00307594" w:rsidRDefault="00CD1B4E" w:rsidP="00655F84">
            <w:pPr>
              <w:pStyle w:val="TableText"/>
              <w:cnfStyle w:val="000000000000" w:firstRow="0" w:lastRow="0" w:firstColumn="0" w:lastColumn="0" w:oddVBand="0" w:evenVBand="0" w:oddHBand="0" w:evenHBand="0" w:firstRowFirstColumn="0" w:firstRowLastColumn="0" w:lastRowFirstColumn="0" w:lastRowLastColumn="0"/>
            </w:pPr>
            <w:r w:rsidRPr="00102589">
              <w:t>2</w:t>
            </w:r>
            <w:r w:rsidRPr="00102589">
              <w:br/>
              <w:t>(</w:t>
            </w:r>
            <w:r w:rsidR="00337E89" w:rsidRPr="00102589">
              <w:t>25.0</w:t>
            </w:r>
            <w:r w:rsidRPr="00102589">
              <w:t>%)</w:t>
            </w:r>
          </w:p>
        </w:tc>
        <w:tc>
          <w:tcPr>
            <w:tcW w:w="606" w:type="pct"/>
          </w:tcPr>
          <w:p w14:paraId="26CEB2FA" w14:textId="77777777" w:rsidR="00307594" w:rsidRPr="00307594" w:rsidRDefault="00CD1B4E" w:rsidP="00655F84">
            <w:pPr>
              <w:pStyle w:val="TableText"/>
              <w:cnfStyle w:val="000000000000" w:firstRow="0" w:lastRow="0" w:firstColumn="0" w:lastColumn="0" w:oddVBand="0" w:evenVBand="0" w:oddHBand="0" w:evenHBand="0" w:firstRowFirstColumn="0" w:firstRowLastColumn="0" w:lastRowFirstColumn="0" w:lastRowLastColumn="0"/>
            </w:pPr>
            <w:r w:rsidRPr="00102589">
              <w:t xml:space="preserve">1 </w:t>
            </w:r>
            <w:r w:rsidRPr="00102589">
              <w:br/>
              <w:t>(</w:t>
            </w:r>
            <w:r w:rsidR="00337E89" w:rsidRPr="00102589">
              <w:t>12.5</w:t>
            </w:r>
            <w:r w:rsidRPr="00102589">
              <w:t>%)</w:t>
            </w:r>
          </w:p>
        </w:tc>
        <w:tc>
          <w:tcPr>
            <w:tcW w:w="603" w:type="pct"/>
          </w:tcPr>
          <w:p w14:paraId="62B4F0EB" w14:textId="77777777" w:rsidR="00307594" w:rsidRPr="00307594" w:rsidRDefault="00CD1B4E" w:rsidP="00655F84">
            <w:pPr>
              <w:pStyle w:val="TableText"/>
              <w:cnfStyle w:val="000000000000" w:firstRow="0" w:lastRow="0" w:firstColumn="0" w:lastColumn="0" w:oddVBand="0" w:evenVBand="0" w:oddHBand="0" w:evenHBand="0" w:firstRowFirstColumn="0" w:firstRowLastColumn="0" w:lastRowFirstColumn="0" w:lastRowLastColumn="0"/>
            </w:pPr>
            <w:r w:rsidRPr="00102589">
              <w:t>0</w:t>
            </w:r>
            <w:r w:rsidRPr="00102589">
              <w:br/>
              <w:t>(0.0%)</w:t>
            </w:r>
          </w:p>
        </w:tc>
      </w:tr>
      <w:tr w:rsidR="00AE1E92" w:rsidRPr="009C1931" w14:paraId="146A6F84"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696" w:type="pct"/>
          </w:tcPr>
          <w:p w14:paraId="44515AC7" w14:textId="77777777" w:rsidR="00307594" w:rsidRPr="00307594" w:rsidRDefault="00307594" w:rsidP="00655F84">
            <w:pPr>
              <w:pStyle w:val="TableText"/>
            </w:pPr>
            <w:r w:rsidRPr="00102589">
              <w:t>Multiple areas of practice</w:t>
            </w:r>
          </w:p>
        </w:tc>
        <w:tc>
          <w:tcPr>
            <w:tcW w:w="674" w:type="pct"/>
          </w:tcPr>
          <w:p w14:paraId="00146E8C" w14:textId="77777777" w:rsidR="00307594" w:rsidRPr="00307594" w:rsidRDefault="00CD1B4E" w:rsidP="00655F84">
            <w:pPr>
              <w:pStyle w:val="TableText"/>
              <w:cnfStyle w:val="000000000000" w:firstRow="0" w:lastRow="0" w:firstColumn="0" w:lastColumn="0" w:oddVBand="0" w:evenVBand="0" w:oddHBand="0" w:evenHBand="0" w:firstRowFirstColumn="0" w:firstRowLastColumn="0" w:lastRowFirstColumn="0" w:lastRowLastColumn="0"/>
            </w:pPr>
            <w:r w:rsidRPr="00102589">
              <w:t>1</w:t>
            </w:r>
            <w:r w:rsidRPr="00102589">
              <w:br/>
              <w:t>(</w:t>
            </w:r>
            <w:r w:rsidR="00337E89" w:rsidRPr="00102589">
              <w:t>33.3</w:t>
            </w:r>
            <w:r w:rsidRPr="00102589">
              <w:t>%)</w:t>
            </w:r>
          </w:p>
        </w:tc>
        <w:tc>
          <w:tcPr>
            <w:tcW w:w="605" w:type="pct"/>
          </w:tcPr>
          <w:p w14:paraId="2AE193B4" w14:textId="77777777" w:rsidR="00307594" w:rsidRPr="00307594" w:rsidRDefault="00CD1B4E" w:rsidP="00655F84">
            <w:pPr>
              <w:pStyle w:val="TableText"/>
              <w:cnfStyle w:val="000000000000" w:firstRow="0" w:lastRow="0" w:firstColumn="0" w:lastColumn="0" w:oddVBand="0" w:evenVBand="0" w:oddHBand="0" w:evenHBand="0" w:firstRowFirstColumn="0" w:firstRowLastColumn="0" w:lastRowFirstColumn="0" w:lastRowLastColumn="0"/>
            </w:pPr>
            <w:r w:rsidRPr="00102589">
              <w:t>1</w:t>
            </w:r>
            <w:r w:rsidRPr="00102589">
              <w:br/>
              <w:t>(</w:t>
            </w:r>
            <w:r w:rsidR="00337E89" w:rsidRPr="00102589">
              <w:t>33.3</w:t>
            </w:r>
            <w:r w:rsidRPr="00102589">
              <w:t>%)</w:t>
            </w:r>
          </w:p>
        </w:tc>
        <w:tc>
          <w:tcPr>
            <w:tcW w:w="605" w:type="pct"/>
          </w:tcPr>
          <w:p w14:paraId="2AEC25A1" w14:textId="77777777" w:rsidR="00307594" w:rsidRPr="00307594" w:rsidRDefault="00CD1B4E" w:rsidP="00655F84">
            <w:pPr>
              <w:pStyle w:val="TableText"/>
              <w:cnfStyle w:val="000000000000" w:firstRow="0" w:lastRow="0" w:firstColumn="0" w:lastColumn="0" w:oddVBand="0" w:evenVBand="0" w:oddHBand="0" w:evenHBand="0" w:firstRowFirstColumn="0" w:firstRowLastColumn="0" w:lastRowFirstColumn="0" w:lastRowLastColumn="0"/>
            </w:pPr>
            <w:r w:rsidRPr="00102589">
              <w:t>1</w:t>
            </w:r>
            <w:r w:rsidRPr="00102589">
              <w:br/>
              <w:t>(</w:t>
            </w:r>
            <w:r w:rsidR="00337E89" w:rsidRPr="00102589">
              <w:t>33.3</w:t>
            </w:r>
            <w:r w:rsidRPr="00102589">
              <w:t>%)</w:t>
            </w:r>
          </w:p>
        </w:tc>
        <w:tc>
          <w:tcPr>
            <w:tcW w:w="605" w:type="pct"/>
          </w:tcPr>
          <w:p w14:paraId="406C4C4F" w14:textId="77777777" w:rsidR="00307594" w:rsidRPr="00307594" w:rsidRDefault="00CD1B4E" w:rsidP="00655F84">
            <w:pPr>
              <w:pStyle w:val="TableText"/>
              <w:cnfStyle w:val="000000000000" w:firstRow="0" w:lastRow="0" w:firstColumn="0" w:lastColumn="0" w:oddVBand="0" w:evenVBand="0" w:oddHBand="0" w:evenHBand="0" w:firstRowFirstColumn="0" w:firstRowLastColumn="0" w:lastRowFirstColumn="0" w:lastRowLastColumn="0"/>
            </w:pPr>
            <w:r w:rsidRPr="00102589">
              <w:t>0</w:t>
            </w:r>
            <w:r w:rsidRPr="00102589">
              <w:br/>
              <w:t>(0.0%)</w:t>
            </w:r>
          </w:p>
        </w:tc>
        <w:tc>
          <w:tcPr>
            <w:tcW w:w="606" w:type="pct"/>
          </w:tcPr>
          <w:p w14:paraId="15B83CBB" w14:textId="77777777" w:rsidR="00307594" w:rsidRPr="00307594" w:rsidRDefault="00CD1B4E" w:rsidP="00655F84">
            <w:pPr>
              <w:pStyle w:val="TableText"/>
              <w:cnfStyle w:val="000000000000" w:firstRow="0" w:lastRow="0" w:firstColumn="0" w:lastColumn="0" w:oddVBand="0" w:evenVBand="0" w:oddHBand="0" w:evenHBand="0" w:firstRowFirstColumn="0" w:firstRowLastColumn="0" w:lastRowFirstColumn="0" w:lastRowLastColumn="0"/>
            </w:pPr>
            <w:r w:rsidRPr="00102589">
              <w:t>0</w:t>
            </w:r>
            <w:r w:rsidRPr="00102589">
              <w:br/>
              <w:t>(0.0%)</w:t>
            </w:r>
          </w:p>
        </w:tc>
        <w:tc>
          <w:tcPr>
            <w:tcW w:w="606" w:type="pct"/>
          </w:tcPr>
          <w:p w14:paraId="57FE9717" w14:textId="77777777" w:rsidR="00307594" w:rsidRPr="00307594" w:rsidRDefault="00CD1B4E" w:rsidP="00655F84">
            <w:pPr>
              <w:pStyle w:val="TableText"/>
              <w:cnfStyle w:val="000000000000" w:firstRow="0" w:lastRow="0" w:firstColumn="0" w:lastColumn="0" w:oddVBand="0" w:evenVBand="0" w:oddHBand="0" w:evenHBand="0" w:firstRowFirstColumn="0" w:firstRowLastColumn="0" w:lastRowFirstColumn="0" w:lastRowLastColumn="0"/>
            </w:pPr>
            <w:r w:rsidRPr="00102589">
              <w:t>0</w:t>
            </w:r>
            <w:r w:rsidRPr="00102589">
              <w:br/>
              <w:t>(0.0%)</w:t>
            </w:r>
          </w:p>
        </w:tc>
        <w:tc>
          <w:tcPr>
            <w:tcW w:w="603" w:type="pct"/>
          </w:tcPr>
          <w:p w14:paraId="5CF7404B" w14:textId="77777777" w:rsidR="00307594" w:rsidRPr="00307594" w:rsidRDefault="00CD1B4E" w:rsidP="00655F84">
            <w:pPr>
              <w:pStyle w:val="TableText"/>
              <w:cnfStyle w:val="000000000000" w:firstRow="0" w:lastRow="0" w:firstColumn="0" w:lastColumn="0" w:oddVBand="0" w:evenVBand="0" w:oddHBand="0" w:evenHBand="0" w:firstRowFirstColumn="0" w:firstRowLastColumn="0" w:lastRowFirstColumn="0" w:lastRowLastColumn="0"/>
            </w:pPr>
            <w:r w:rsidRPr="00102589">
              <w:t>0</w:t>
            </w:r>
            <w:r w:rsidRPr="00102589">
              <w:br/>
              <w:t>(0.0%)</w:t>
            </w:r>
          </w:p>
        </w:tc>
      </w:tr>
      <w:tr w:rsidR="00AE1E92" w:rsidRPr="009C1931" w14:paraId="268949D6" w14:textId="77777777" w:rsidTr="000730D0">
        <w:trPr>
          <w:trHeight w:val="71"/>
        </w:trPr>
        <w:tc>
          <w:tcPr>
            <w:cnfStyle w:val="001000000000" w:firstRow="0" w:lastRow="0" w:firstColumn="1" w:lastColumn="0" w:oddVBand="0" w:evenVBand="0" w:oddHBand="0" w:evenHBand="0" w:firstRowFirstColumn="0" w:firstRowLastColumn="0" w:lastRowFirstColumn="0" w:lastRowLastColumn="0"/>
            <w:tcW w:w="696" w:type="pct"/>
          </w:tcPr>
          <w:p w14:paraId="5244CE81" w14:textId="77777777" w:rsidR="00307594" w:rsidRPr="00307594" w:rsidRDefault="00307594" w:rsidP="00655F84">
            <w:pPr>
              <w:pStyle w:val="Tabletextbold"/>
              <w:rPr>
                <w:rFonts w:eastAsiaTheme="minorEastAsia" w:cs="Arial"/>
                <w:szCs w:val="18"/>
              </w:rPr>
            </w:pPr>
            <w:r w:rsidRPr="00307594">
              <w:rPr>
                <w:b/>
              </w:rPr>
              <w:t>Total: 57 respondents / 156 responses</w:t>
            </w:r>
          </w:p>
        </w:tc>
        <w:tc>
          <w:tcPr>
            <w:tcW w:w="674" w:type="pct"/>
          </w:tcPr>
          <w:p w14:paraId="34B30381" w14:textId="77777777" w:rsidR="00307594" w:rsidRPr="00307594" w:rsidRDefault="00307594" w:rsidP="00655F84">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b w:val="0"/>
                <w:szCs w:val="18"/>
              </w:rPr>
            </w:pPr>
            <w:r w:rsidRPr="00307594">
              <w:t>48</w:t>
            </w:r>
            <w:r w:rsidRPr="00307594">
              <w:br/>
              <w:t>(30.8%)</w:t>
            </w:r>
          </w:p>
        </w:tc>
        <w:tc>
          <w:tcPr>
            <w:tcW w:w="605" w:type="pct"/>
          </w:tcPr>
          <w:p w14:paraId="529A4122" w14:textId="77777777" w:rsidR="00307594" w:rsidRPr="00307594" w:rsidRDefault="00307594" w:rsidP="00655F84">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b w:val="0"/>
                <w:szCs w:val="18"/>
              </w:rPr>
            </w:pPr>
            <w:r w:rsidRPr="00307594">
              <w:t>39</w:t>
            </w:r>
            <w:r w:rsidRPr="00307594">
              <w:br/>
              <w:t>(25.0%)</w:t>
            </w:r>
          </w:p>
        </w:tc>
        <w:tc>
          <w:tcPr>
            <w:tcW w:w="605" w:type="pct"/>
          </w:tcPr>
          <w:p w14:paraId="02C183F5" w14:textId="77777777" w:rsidR="00307594" w:rsidRPr="00307594" w:rsidRDefault="00307594" w:rsidP="00655F84">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b w:val="0"/>
                <w:szCs w:val="18"/>
              </w:rPr>
            </w:pPr>
            <w:r w:rsidRPr="00307594">
              <w:t>28</w:t>
            </w:r>
            <w:r w:rsidRPr="00307594">
              <w:br/>
              <w:t>(17.9%)</w:t>
            </w:r>
          </w:p>
        </w:tc>
        <w:tc>
          <w:tcPr>
            <w:tcW w:w="605" w:type="pct"/>
          </w:tcPr>
          <w:p w14:paraId="54EFEFDF" w14:textId="77777777" w:rsidR="00307594" w:rsidRPr="00307594" w:rsidRDefault="00307594" w:rsidP="00655F84">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b w:val="0"/>
                <w:szCs w:val="18"/>
              </w:rPr>
            </w:pPr>
            <w:r w:rsidRPr="00307594">
              <w:t>9</w:t>
            </w:r>
            <w:r w:rsidRPr="00307594">
              <w:br/>
              <w:t>(5.8%)</w:t>
            </w:r>
          </w:p>
        </w:tc>
        <w:tc>
          <w:tcPr>
            <w:tcW w:w="606" w:type="pct"/>
          </w:tcPr>
          <w:p w14:paraId="13D21BC1" w14:textId="77777777" w:rsidR="00307594" w:rsidRPr="00307594" w:rsidRDefault="00307594" w:rsidP="00655F84">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b w:val="0"/>
                <w:szCs w:val="18"/>
              </w:rPr>
            </w:pPr>
            <w:r w:rsidRPr="00307594">
              <w:t>19</w:t>
            </w:r>
            <w:r w:rsidRPr="00307594">
              <w:br/>
              <w:t>(12.2%)</w:t>
            </w:r>
          </w:p>
        </w:tc>
        <w:tc>
          <w:tcPr>
            <w:tcW w:w="606" w:type="pct"/>
          </w:tcPr>
          <w:p w14:paraId="7E7F6824" w14:textId="77777777" w:rsidR="00307594" w:rsidRPr="00307594" w:rsidRDefault="00307594" w:rsidP="00655F84">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b w:val="0"/>
                <w:szCs w:val="18"/>
              </w:rPr>
            </w:pPr>
            <w:r w:rsidRPr="00307594">
              <w:t>1</w:t>
            </w:r>
            <w:r w:rsidR="00405350">
              <w:rPr>
                <w:b w:val="0"/>
                <w:szCs w:val="18"/>
              </w:rPr>
              <w:t>3</w:t>
            </w:r>
            <w:r w:rsidRPr="00307594">
              <w:rPr>
                <w:b w:val="0"/>
                <w:szCs w:val="18"/>
              </w:rPr>
              <w:br/>
              <w:t>(7.7%)</w:t>
            </w:r>
          </w:p>
        </w:tc>
        <w:tc>
          <w:tcPr>
            <w:tcW w:w="603" w:type="pct"/>
          </w:tcPr>
          <w:p w14:paraId="78CB33A5" w14:textId="77777777" w:rsidR="00307594" w:rsidRPr="00307594" w:rsidRDefault="00307594" w:rsidP="00655F84">
            <w:pPr>
              <w:pStyle w:val="Tabletextbold"/>
              <w:cnfStyle w:val="000000000000" w:firstRow="0" w:lastRow="0" w:firstColumn="0" w:lastColumn="0" w:oddVBand="0" w:evenVBand="0" w:oddHBand="0" w:evenHBand="0" w:firstRowFirstColumn="0" w:firstRowLastColumn="0" w:lastRowFirstColumn="0" w:lastRowLastColumn="0"/>
              <w:rPr>
                <w:rFonts w:eastAsiaTheme="minorEastAsia" w:cs="Arial"/>
                <w:b w:val="0"/>
                <w:szCs w:val="18"/>
              </w:rPr>
            </w:pPr>
            <w:r w:rsidRPr="00307594">
              <w:t>1</w:t>
            </w:r>
            <w:r w:rsidRPr="00307594">
              <w:br/>
              <w:t>(0.6%)</w:t>
            </w:r>
          </w:p>
        </w:tc>
      </w:tr>
    </w:tbl>
    <w:p w14:paraId="3657DEE4" w14:textId="77777777" w:rsidR="00C76D17" w:rsidRDefault="00307594" w:rsidP="00655F84">
      <w:pPr>
        <w:pStyle w:val="Caption-Source"/>
      </w:pPr>
      <w:r w:rsidRPr="00F36D7D">
        <w:t xml:space="preserve">Source: </w:t>
      </w:r>
      <w:r w:rsidR="00B26691">
        <w:t>Independent reviewer</w:t>
      </w:r>
      <w:r w:rsidR="00584D02">
        <w:t xml:space="preserve"> (</w:t>
      </w:r>
      <w:r w:rsidRPr="00F36D7D">
        <w:t>2025</w:t>
      </w:r>
      <w:r w:rsidR="00584D02">
        <w:t>)</w:t>
      </w:r>
    </w:p>
    <w:p w14:paraId="72C03EBF" w14:textId="05555984" w:rsidR="00BF4D99" w:rsidRPr="00C76D17" w:rsidRDefault="00BF4D99" w:rsidP="00C76D17">
      <w:r w:rsidRPr="00C76D17">
        <w:br w:type="page"/>
      </w:r>
    </w:p>
    <w:p w14:paraId="3836DF1D" w14:textId="77777777" w:rsidR="00A73D14" w:rsidRPr="0043000C" w:rsidRDefault="00A73D14" w:rsidP="0043000C">
      <w:pPr>
        <w:pStyle w:val="ListNumber"/>
        <w:numPr>
          <w:ilvl w:val="0"/>
          <w:numId w:val="22"/>
        </w:numPr>
        <w:rPr>
          <w:rStyle w:val="Strong"/>
        </w:rPr>
      </w:pPr>
      <w:r w:rsidRPr="0043000C">
        <w:rPr>
          <w:rStyle w:val="Strong"/>
        </w:rPr>
        <w:t>If you could recommend one immediate change to improve access to prostheses for people living with or have lived experience of cancer, what would it be? [free text, not required]</w:t>
      </w:r>
    </w:p>
    <w:p w14:paraId="4B4D221C" w14:textId="7BEFF424" w:rsidR="00655F84" w:rsidRDefault="00655F84" w:rsidP="00655F84">
      <w:pPr>
        <w:pStyle w:val="Caption"/>
      </w:pPr>
      <w:bookmarkStart w:id="277" w:name="_Toc207348668"/>
      <w:r>
        <w:t xml:space="preserve">Table </w:t>
      </w:r>
      <w:r w:rsidR="00E6799D">
        <w:fldChar w:fldCharType="begin"/>
      </w:r>
      <w:r w:rsidR="00E6799D">
        <w:instrText xml:space="preserve"> SEQ Table \* ARABIC </w:instrText>
      </w:r>
      <w:r w:rsidR="00E6799D">
        <w:fldChar w:fldCharType="separate"/>
      </w:r>
      <w:r w:rsidR="00E6799D">
        <w:rPr>
          <w:noProof/>
        </w:rPr>
        <w:t>103</w:t>
      </w:r>
      <w:r w:rsidR="00E6799D">
        <w:rPr>
          <w:noProof/>
        </w:rPr>
        <w:fldChar w:fldCharType="end"/>
      </w:r>
      <w:r>
        <w:t xml:space="preserve">: </w:t>
      </w:r>
      <w:r w:rsidRPr="0020595B">
        <w:t xml:space="preserve">Response to question </w:t>
      </w:r>
      <w:r>
        <w:t>9</w:t>
      </w:r>
      <w:r w:rsidRPr="0020595B">
        <w:t xml:space="preserve"> by </w:t>
      </w:r>
      <w:r>
        <w:t>theme</w:t>
      </w:r>
      <w:bookmarkEnd w:id="277"/>
    </w:p>
    <w:tbl>
      <w:tblPr>
        <w:tblStyle w:val="KPMGTable"/>
        <w:tblW w:w="10028" w:type="dxa"/>
        <w:tblLook w:val="04A0" w:firstRow="1" w:lastRow="0" w:firstColumn="1" w:lastColumn="0" w:noHBand="0" w:noVBand="1"/>
      </w:tblPr>
      <w:tblGrid>
        <w:gridCol w:w="3342"/>
        <w:gridCol w:w="6686"/>
      </w:tblGrid>
      <w:tr w:rsidR="00467133" w:rsidRPr="00386CBC" w14:paraId="33EE6C8F" w14:textId="77777777" w:rsidTr="00655F84">
        <w:trPr>
          <w:cnfStyle w:val="100000000000" w:firstRow="1" w:lastRow="0" w:firstColumn="0" w:lastColumn="0" w:oddVBand="0" w:evenVBand="0" w:oddHBand="0"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3342" w:type="dxa"/>
          </w:tcPr>
          <w:p w14:paraId="2C1A2AE3" w14:textId="77777777" w:rsidR="008523BF" w:rsidRPr="007B154A" w:rsidRDefault="008523BF" w:rsidP="00655F84">
            <w:pPr>
              <w:pStyle w:val="TableHeading"/>
              <w:rPr>
                <w:b w:val="0"/>
                <w:color w:val="FFFFFF" w:themeColor="background1"/>
                <w:szCs w:val="20"/>
              </w:rPr>
            </w:pPr>
            <w:r>
              <w:t>Theme</w:t>
            </w:r>
          </w:p>
        </w:tc>
        <w:tc>
          <w:tcPr>
            <w:tcW w:w="6686" w:type="dxa"/>
          </w:tcPr>
          <w:p w14:paraId="02EC07A8" w14:textId="77777777" w:rsidR="008523BF" w:rsidRPr="00386CBC" w:rsidRDefault="008523BF" w:rsidP="00655F84">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Details</w:t>
            </w:r>
          </w:p>
        </w:tc>
      </w:tr>
      <w:tr w:rsidR="00BC6DD3" w:rsidRPr="003647E2" w14:paraId="6FB8256D" w14:textId="77777777" w:rsidTr="00655F84">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5CC76A17" w14:textId="77777777" w:rsidR="008523BF" w:rsidRPr="00E90673" w:rsidRDefault="00781341" w:rsidP="00655F84">
            <w:pPr>
              <w:pStyle w:val="TableText"/>
            </w:pPr>
            <w:r>
              <w:t>Funding</w:t>
            </w:r>
            <w:r w:rsidR="00F34D9B">
              <w:t xml:space="preserve"> support</w:t>
            </w:r>
          </w:p>
        </w:tc>
        <w:tc>
          <w:tcPr>
            <w:tcW w:w="6686" w:type="dxa"/>
          </w:tcPr>
          <w:p w14:paraId="693DD16A" w14:textId="77777777" w:rsidR="008523BF" w:rsidRDefault="00384DE7" w:rsidP="00655F84">
            <w:pPr>
              <w:pStyle w:val="TableText"/>
              <w:cnfStyle w:val="000000000000" w:firstRow="0" w:lastRow="0" w:firstColumn="0" w:lastColumn="0" w:oddVBand="0" w:evenVBand="0" w:oddHBand="0" w:evenHBand="0" w:firstRowFirstColumn="0" w:firstRowLastColumn="0" w:lastRowFirstColumn="0" w:lastRowLastColumn="0"/>
            </w:pPr>
            <w:r>
              <w:t>Increased funding for facial prostheses, dental prostheses, voice prostheses</w:t>
            </w:r>
          </w:p>
          <w:p w14:paraId="0397C047" w14:textId="77777777" w:rsidR="008523BF" w:rsidRPr="003647E2" w:rsidRDefault="00550950" w:rsidP="00655F84">
            <w:pPr>
              <w:pStyle w:val="TableText"/>
              <w:cnfStyle w:val="000000000000" w:firstRow="0" w:lastRow="0" w:firstColumn="0" w:lastColumn="0" w:oddVBand="0" w:evenVBand="0" w:oddHBand="0" w:evenHBand="0" w:firstRowFirstColumn="0" w:firstRowLastColumn="0" w:lastRowFirstColumn="0" w:lastRowLastColumn="0"/>
            </w:pPr>
            <w:r>
              <w:t>Increased funding for support items (e.g., medical compression garments)</w:t>
            </w:r>
          </w:p>
        </w:tc>
      </w:tr>
      <w:tr w:rsidR="00BC6DD3" w14:paraId="35B14E71" w14:textId="77777777" w:rsidTr="00655F84">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0680CB4D" w14:textId="77777777" w:rsidR="008523BF" w:rsidRDefault="00A80D94" w:rsidP="00655F84">
            <w:pPr>
              <w:pStyle w:val="TableText"/>
            </w:pPr>
            <w:r>
              <w:t>Workforce availability</w:t>
            </w:r>
            <w:r w:rsidR="00311A77">
              <w:t xml:space="preserve"> and qualifications</w:t>
            </w:r>
          </w:p>
        </w:tc>
        <w:tc>
          <w:tcPr>
            <w:tcW w:w="6686" w:type="dxa"/>
          </w:tcPr>
          <w:p w14:paraId="1603F076" w14:textId="77777777" w:rsidR="008523BF" w:rsidRDefault="00592297" w:rsidP="00655F84">
            <w:pPr>
              <w:pStyle w:val="TableText"/>
              <w:cnfStyle w:val="000000000000" w:firstRow="0" w:lastRow="0" w:firstColumn="0" w:lastColumn="0" w:oddVBand="0" w:evenVBand="0" w:oddHBand="0" w:evenHBand="0" w:firstRowFirstColumn="0" w:firstRowLastColumn="0" w:lastRowFirstColumn="0" w:lastRowLastColumn="0"/>
            </w:pPr>
            <w:r>
              <w:t>Increased number of technicians and anaplastologists to deliver services</w:t>
            </w:r>
          </w:p>
          <w:p w14:paraId="302CAE25" w14:textId="77777777" w:rsidR="00592297" w:rsidRDefault="00D273CA" w:rsidP="00655F84">
            <w:pPr>
              <w:pStyle w:val="TableText"/>
              <w:cnfStyle w:val="000000000000" w:firstRow="0" w:lastRow="0" w:firstColumn="0" w:lastColumn="0" w:oddVBand="0" w:evenVBand="0" w:oddHBand="0" w:evenHBand="0" w:firstRowFirstColumn="0" w:firstRowLastColumn="0" w:lastRowFirstColumn="0" w:lastRowLastColumn="0"/>
            </w:pPr>
            <w:r>
              <w:t>More education and training pathways for support staff</w:t>
            </w:r>
          </w:p>
          <w:p w14:paraId="3D217BA9" w14:textId="77777777" w:rsidR="00D273CA" w:rsidRDefault="00D273CA" w:rsidP="00655F84">
            <w:pPr>
              <w:pStyle w:val="TableText"/>
              <w:cnfStyle w:val="000000000000" w:firstRow="0" w:lastRow="0" w:firstColumn="0" w:lastColumn="0" w:oddVBand="0" w:evenVBand="0" w:oddHBand="0" w:evenHBand="0" w:firstRowFirstColumn="0" w:firstRowLastColumn="0" w:lastRowFirstColumn="0" w:lastRowLastColumn="0"/>
            </w:pPr>
            <w:r>
              <w:t xml:space="preserve">A national training program to ensure nationally consistent </w:t>
            </w:r>
            <w:r w:rsidR="001D14F3">
              <w:t>skilled workforce</w:t>
            </w:r>
          </w:p>
          <w:p w14:paraId="4891E167" w14:textId="77777777" w:rsidR="001D14F3" w:rsidRDefault="00DC0EA8" w:rsidP="00655F84">
            <w:pPr>
              <w:pStyle w:val="TableText"/>
              <w:cnfStyle w:val="000000000000" w:firstRow="0" w:lastRow="0" w:firstColumn="0" w:lastColumn="0" w:oddVBand="0" w:evenVBand="0" w:oddHBand="0" w:evenHBand="0" w:firstRowFirstColumn="0" w:firstRowLastColumn="0" w:lastRowFirstColumn="0" w:lastRowLastColumn="0"/>
            </w:pPr>
            <w:r>
              <w:t>A national body / regulation agency to ensure a skilled workforce</w:t>
            </w:r>
          </w:p>
          <w:p w14:paraId="1F81128C" w14:textId="77777777" w:rsidR="008523BF" w:rsidRDefault="000115A4" w:rsidP="00655F84">
            <w:pPr>
              <w:pStyle w:val="TableText"/>
              <w:cnfStyle w:val="000000000000" w:firstRow="0" w:lastRow="0" w:firstColumn="0" w:lastColumn="0" w:oddVBand="0" w:evenVBand="0" w:oddHBand="0" w:evenHBand="0" w:firstRowFirstColumn="0" w:firstRowLastColumn="0" w:lastRowFirstColumn="0" w:lastRowLastColumn="0"/>
            </w:pPr>
            <w:r>
              <w:t xml:space="preserve">More community awareness of </w:t>
            </w:r>
            <w:r w:rsidR="00C61646">
              <w:t xml:space="preserve">the importance of facial prostheses, to </w:t>
            </w:r>
            <w:r w:rsidR="003C5C0F">
              <w:t>attract more people into the workforce</w:t>
            </w:r>
          </w:p>
        </w:tc>
      </w:tr>
      <w:tr w:rsidR="00BC6DD3" w:rsidRPr="007B10EB" w14:paraId="2CC614C4" w14:textId="77777777" w:rsidTr="00655F84">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6E1B06C3" w14:textId="77777777" w:rsidR="008523BF" w:rsidRDefault="004A1DEA" w:rsidP="00655F84">
            <w:pPr>
              <w:pStyle w:val="TableText"/>
            </w:pPr>
            <w:r>
              <w:t>Centralised database of information</w:t>
            </w:r>
          </w:p>
        </w:tc>
        <w:tc>
          <w:tcPr>
            <w:tcW w:w="6686" w:type="dxa"/>
          </w:tcPr>
          <w:p w14:paraId="1DDF4C25" w14:textId="77777777" w:rsidR="008B0577" w:rsidRDefault="00207389" w:rsidP="00655F84">
            <w:pPr>
              <w:pStyle w:val="TableText"/>
              <w:cnfStyle w:val="000000000000" w:firstRow="0" w:lastRow="0" w:firstColumn="0" w:lastColumn="0" w:oddVBand="0" w:evenVBand="0" w:oddHBand="0" w:evenHBand="0" w:firstRowFirstColumn="0" w:firstRowLastColumn="0" w:lastRowFirstColumn="0" w:lastRowLastColumn="0"/>
            </w:pPr>
            <w:r>
              <w:t xml:space="preserve">To ensure consistency of information </w:t>
            </w:r>
            <w:r w:rsidR="00E77627">
              <w:t>and awareness</w:t>
            </w:r>
          </w:p>
          <w:p w14:paraId="1A78F119" w14:textId="748612F7" w:rsidR="008523BF" w:rsidRPr="007B10EB" w:rsidRDefault="006105BD" w:rsidP="00655F84">
            <w:pPr>
              <w:pStyle w:val="TableText"/>
              <w:cnfStyle w:val="000000000000" w:firstRow="0" w:lastRow="0" w:firstColumn="0" w:lastColumn="0" w:oddVBand="0" w:evenVBand="0" w:oddHBand="0" w:evenHBand="0" w:firstRowFirstColumn="0" w:firstRowLastColumn="0" w:lastRowFirstColumn="0" w:lastRowLastColumn="0"/>
            </w:pPr>
            <w:r>
              <w:t xml:space="preserve">Having a single point of manufacture and fabrication in each state that each </w:t>
            </w:r>
            <w:r w:rsidR="00725A1D">
              <w:t>person with lived experience of cancer</w:t>
            </w:r>
            <w:r>
              <w:t xml:space="preserve"> can be aware of. This also assists with consistency of service delivery</w:t>
            </w:r>
            <w:r w:rsidR="00003B0A">
              <w:t>, as there is significant variability depending on site and local services</w:t>
            </w:r>
          </w:p>
        </w:tc>
      </w:tr>
    </w:tbl>
    <w:p w14:paraId="3ED4543B" w14:textId="06D11EEE" w:rsidR="00DC3741" w:rsidRPr="00DC3741" w:rsidRDefault="00DC3741" w:rsidP="00DC3741">
      <w:pPr>
        <w:pStyle w:val="Caption-Source"/>
        <w:rPr>
          <w:rFonts w:ascii="Arial" w:eastAsia="SimSun" w:hAnsi="Arial" w:cs="Arial"/>
          <w:szCs w:val="20"/>
        </w:rPr>
      </w:pPr>
      <w:r w:rsidRPr="00F36D7D">
        <w:t xml:space="preserve">Source: </w:t>
      </w:r>
      <w:r w:rsidR="00B26691">
        <w:t>Independent reviewer</w:t>
      </w:r>
      <w:r>
        <w:t xml:space="preserve"> (</w:t>
      </w:r>
      <w:r w:rsidRPr="00F36D7D">
        <w:t>2025</w:t>
      </w:r>
      <w:r>
        <w:t>)</w:t>
      </w:r>
    </w:p>
    <w:p w14:paraId="46175E06" w14:textId="22E4CE8A" w:rsidR="00A73D14" w:rsidRPr="0043000C" w:rsidRDefault="00A73D14" w:rsidP="0043000C">
      <w:pPr>
        <w:pStyle w:val="ListNumber"/>
        <w:numPr>
          <w:ilvl w:val="0"/>
          <w:numId w:val="22"/>
        </w:numPr>
        <w:rPr>
          <w:rStyle w:val="Strong"/>
        </w:rPr>
      </w:pPr>
      <w:r w:rsidRPr="0043000C">
        <w:rPr>
          <w:rStyle w:val="Strong"/>
        </w:rPr>
        <w:t>Is there anything else you would like to share? [free text, not required]</w:t>
      </w:r>
    </w:p>
    <w:p w14:paraId="37E7B0AC" w14:textId="5740209B" w:rsidR="00DC3741" w:rsidRDefault="00DC3741" w:rsidP="00DC3741">
      <w:pPr>
        <w:pStyle w:val="Caption"/>
      </w:pPr>
      <w:bookmarkStart w:id="278" w:name="_Toc207348669"/>
      <w:r>
        <w:t xml:space="preserve">Table </w:t>
      </w:r>
      <w:r w:rsidR="00E6799D">
        <w:fldChar w:fldCharType="begin"/>
      </w:r>
      <w:r w:rsidR="00E6799D">
        <w:instrText xml:space="preserve"> SEQ Table \* ARABIC </w:instrText>
      </w:r>
      <w:r w:rsidR="00E6799D">
        <w:fldChar w:fldCharType="separate"/>
      </w:r>
      <w:r w:rsidR="00E6799D">
        <w:rPr>
          <w:noProof/>
        </w:rPr>
        <w:t>104</w:t>
      </w:r>
      <w:r w:rsidR="00E6799D">
        <w:rPr>
          <w:noProof/>
        </w:rPr>
        <w:fldChar w:fldCharType="end"/>
      </w:r>
      <w:r>
        <w:t xml:space="preserve">: </w:t>
      </w:r>
      <w:r w:rsidRPr="00A87575">
        <w:t xml:space="preserve">Response to question </w:t>
      </w:r>
      <w:r w:rsidR="00B84CB0" w:rsidRPr="00B84CB0">
        <w:t>1</w:t>
      </w:r>
      <w:r w:rsidR="00B84CB0">
        <w:t>0</w:t>
      </w:r>
      <w:r w:rsidRPr="00A87575">
        <w:t xml:space="preserve"> by theme</w:t>
      </w:r>
      <w:bookmarkEnd w:id="278"/>
    </w:p>
    <w:tbl>
      <w:tblPr>
        <w:tblStyle w:val="KPMGTable"/>
        <w:tblW w:w="10028" w:type="dxa"/>
        <w:tblLook w:val="04A0" w:firstRow="1" w:lastRow="0" w:firstColumn="1" w:lastColumn="0" w:noHBand="0" w:noVBand="1"/>
      </w:tblPr>
      <w:tblGrid>
        <w:gridCol w:w="3342"/>
        <w:gridCol w:w="6686"/>
      </w:tblGrid>
      <w:tr w:rsidR="00467133" w:rsidRPr="00386CBC" w14:paraId="4CFA90DF" w14:textId="77777777" w:rsidTr="00B84CB0">
        <w:trPr>
          <w:cnfStyle w:val="100000000000" w:firstRow="1" w:lastRow="0" w:firstColumn="0" w:lastColumn="0" w:oddVBand="0" w:evenVBand="0" w:oddHBand="0"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3342" w:type="dxa"/>
          </w:tcPr>
          <w:p w14:paraId="097ED636" w14:textId="77777777" w:rsidR="00135FAD" w:rsidRPr="007B154A" w:rsidRDefault="00135FAD" w:rsidP="00B84CB0">
            <w:pPr>
              <w:pStyle w:val="TableHeading"/>
              <w:rPr>
                <w:b w:val="0"/>
                <w:color w:val="FFFFFF" w:themeColor="background1"/>
                <w:szCs w:val="20"/>
              </w:rPr>
            </w:pPr>
            <w:r>
              <w:t>Theme</w:t>
            </w:r>
          </w:p>
        </w:tc>
        <w:tc>
          <w:tcPr>
            <w:tcW w:w="6686" w:type="dxa"/>
          </w:tcPr>
          <w:p w14:paraId="61EC9AC6" w14:textId="77777777" w:rsidR="00135FAD" w:rsidRPr="00386CBC" w:rsidRDefault="00135FAD" w:rsidP="00B84CB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Details</w:t>
            </w:r>
          </w:p>
        </w:tc>
      </w:tr>
      <w:tr w:rsidR="00BC6DD3" w:rsidRPr="003647E2" w14:paraId="48DF6E60" w14:textId="77777777" w:rsidTr="00B84CB0">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439486EA" w14:textId="77777777" w:rsidR="00135FAD" w:rsidRPr="00E90673" w:rsidRDefault="00A102D9" w:rsidP="00B84CB0">
            <w:pPr>
              <w:pStyle w:val="TableText"/>
            </w:pPr>
            <w:r>
              <w:t>Scope of the review</w:t>
            </w:r>
          </w:p>
        </w:tc>
        <w:tc>
          <w:tcPr>
            <w:tcW w:w="6686" w:type="dxa"/>
          </w:tcPr>
          <w:p w14:paraId="340898EC" w14:textId="3B461A5D" w:rsidR="00135FAD" w:rsidRPr="003647E2" w:rsidRDefault="00725A1D" w:rsidP="00B84CB0">
            <w:pPr>
              <w:pStyle w:val="TableText"/>
              <w:cnfStyle w:val="000000000000" w:firstRow="0" w:lastRow="0" w:firstColumn="0" w:lastColumn="0" w:oddVBand="0" w:evenVBand="0" w:oddHBand="0" w:evenHBand="0" w:firstRowFirstColumn="0" w:firstRowLastColumn="0" w:lastRowFirstColumn="0" w:lastRowLastColumn="0"/>
            </w:pPr>
            <w:r>
              <w:t>Oral</w:t>
            </w:r>
            <w:r w:rsidR="00A102D9">
              <w:t xml:space="preserve"> prostheses and voice prostheses should be included in the review </w:t>
            </w:r>
            <w:r w:rsidR="00612A28">
              <w:t xml:space="preserve">as they are something many </w:t>
            </w:r>
            <w:r>
              <w:t>people with lived experience of</w:t>
            </w:r>
            <w:r w:rsidR="00612A28">
              <w:t xml:space="preserve"> head and neck cancer require</w:t>
            </w:r>
          </w:p>
        </w:tc>
      </w:tr>
      <w:tr w:rsidR="00BC6DD3" w14:paraId="597E4C96" w14:textId="77777777" w:rsidTr="00B84CB0">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3E9A2E25" w14:textId="77777777" w:rsidR="00135FAD" w:rsidRDefault="003E4EDA" w:rsidP="00B84CB0">
            <w:pPr>
              <w:pStyle w:val="TableText"/>
            </w:pPr>
            <w:r>
              <w:t>Availability of funding</w:t>
            </w:r>
          </w:p>
        </w:tc>
        <w:tc>
          <w:tcPr>
            <w:tcW w:w="6686" w:type="dxa"/>
          </w:tcPr>
          <w:p w14:paraId="3BE9100B" w14:textId="5440CA74" w:rsidR="00135FAD" w:rsidRPr="00170700" w:rsidRDefault="003E4EDA" w:rsidP="00B84CB0">
            <w:pPr>
              <w:pStyle w:val="TableText"/>
              <w:cnfStyle w:val="000000000000" w:firstRow="0" w:lastRow="0" w:firstColumn="0" w:lastColumn="0" w:oddVBand="0" w:evenVBand="0" w:oddHBand="0" w:evenHBand="0" w:firstRowFirstColumn="0" w:firstRowLastColumn="0" w:lastRowFirstColumn="0" w:lastRowLastColumn="0"/>
            </w:pPr>
            <w:r>
              <w:t xml:space="preserve">Facial prostheses being classified as </w:t>
            </w:r>
            <w:r w:rsidR="004A73F6">
              <w:t>“</w:t>
            </w:r>
            <w:r>
              <w:t>cosmetic</w:t>
            </w:r>
            <w:r w:rsidR="004A73F6">
              <w:t>”</w:t>
            </w:r>
            <w:r>
              <w:t xml:space="preserve"> by funding sources mean that </w:t>
            </w:r>
            <w:r w:rsidR="00725A1D">
              <w:t>individuals</w:t>
            </w:r>
            <w:r w:rsidR="00FA0E1A">
              <w:t xml:space="preserve"> </w:t>
            </w:r>
            <w:r w:rsidR="00B552A8">
              <w:t xml:space="preserve">do not receive these </w:t>
            </w:r>
            <w:r w:rsidR="00170700">
              <w:t>prostheses in a timely manner and as part of their treatment</w:t>
            </w:r>
            <w:r w:rsidR="00DC74B7">
              <w:t xml:space="preserve"> plan</w:t>
            </w:r>
          </w:p>
          <w:p w14:paraId="77193E39" w14:textId="43EF114C" w:rsidR="006E7D69" w:rsidRDefault="00864AB1" w:rsidP="00B84CB0">
            <w:pPr>
              <w:pStyle w:val="TableText"/>
              <w:cnfStyle w:val="000000000000" w:firstRow="0" w:lastRow="0" w:firstColumn="0" w:lastColumn="0" w:oddVBand="0" w:evenVBand="0" w:oddHBand="0" w:evenHBand="0" w:firstRowFirstColumn="0" w:firstRowLastColumn="0" w:lastRowFirstColumn="0" w:lastRowLastColumn="0"/>
            </w:pPr>
            <w:r>
              <w:t xml:space="preserve">Increased funding addresses the </w:t>
            </w:r>
            <w:r w:rsidR="007E6A87">
              <w:t xml:space="preserve">barrier of </w:t>
            </w:r>
            <w:r w:rsidR="00725A1D">
              <w:t>individuals</w:t>
            </w:r>
            <w:r w:rsidR="007E6A87">
              <w:t xml:space="preserve"> not being able to access prostheses due to </w:t>
            </w:r>
            <w:r w:rsidR="00F13818">
              <w:t xml:space="preserve">financial limits. The impact of </w:t>
            </w:r>
            <w:r w:rsidR="00725A1D">
              <w:t>individuals</w:t>
            </w:r>
            <w:r w:rsidR="00F13818">
              <w:t xml:space="preserve"> being able to access prostheses is an improvement in quality of life, </w:t>
            </w:r>
            <w:r w:rsidR="00FA1AD3">
              <w:t>good recovery outcomes</w:t>
            </w:r>
            <w:r w:rsidR="006E7D69">
              <w:t xml:space="preserve">. Prostheses also restore dignity, enable social reintegration and allow </w:t>
            </w:r>
            <w:r w:rsidR="00725A1D">
              <w:t>them</w:t>
            </w:r>
            <w:r w:rsidR="006E7D69">
              <w:t xml:space="preserve"> to return to work and contribute to the economy</w:t>
            </w:r>
          </w:p>
          <w:p w14:paraId="1E7514CF" w14:textId="77777777" w:rsidR="009E5BCC" w:rsidRDefault="009E5BCC" w:rsidP="00B84CB0">
            <w:pPr>
              <w:pStyle w:val="TableText"/>
              <w:cnfStyle w:val="000000000000" w:firstRow="0" w:lastRow="0" w:firstColumn="0" w:lastColumn="0" w:oddVBand="0" w:evenVBand="0" w:oddHBand="0" w:evenHBand="0" w:firstRowFirstColumn="0" w:firstRowLastColumn="0" w:lastRowFirstColumn="0" w:lastRowLastColumn="0"/>
            </w:pPr>
            <w:r>
              <w:t>Increased funding to allow public sector clinicians to collaborate with private laboratories a</w:t>
            </w:r>
            <w:r w:rsidR="000B3F98">
              <w:t>nd expand capacity to deliver prostheses services</w:t>
            </w:r>
          </w:p>
          <w:p w14:paraId="0CAC05AB" w14:textId="77777777" w:rsidR="00170814" w:rsidRDefault="00961A13" w:rsidP="00B84CB0">
            <w:pPr>
              <w:pStyle w:val="TableText"/>
              <w:cnfStyle w:val="000000000000" w:firstRow="0" w:lastRow="0" w:firstColumn="0" w:lastColumn="0" w:oddVBand="0" w:evenVBand="0" w:oddHBand="0" w:evenHBand="0" w:firstRowFirstColumn="0" w:firstRowLastColumn="0" w:lastRowFirstColumn="0" w:lastRowLastColumn="0"/>
            </w:pPr>
            <w:r>
              <w:t>Increased funding for support items (e.g., lymphoedema garment</w:t>
            </w:r>
            <w:r w:rsidR="00C359BB">
              <w:t>s</w:t>
            </w:r>
            <w:r w:rsidR="004647DB">
              <w:t>)</w:t>
            </w:r>
            <w:r w:rsidR="00C359BB">
              <w:t xml:space="preserve"> for body parts other than limbs</w:t>
            </w:r>
          </w:p>
          <w:p w14:paraId="3E623B00" w14:textId="1F7A8B1A" w:rsidR="00135FAD" w:rsidRDefault="00B91D19" w:rsidP="00B84CB0">
            <w:pPr>
              <w:pStyle w:val="TableText"/>
              <w:cnfStyle w:val="000000000000" w:firstRow="0" w:lastRow="0" w:firstColumn="0" w:lastColumn="0" w:oddVBand="0" w:evenVBand="0" w:oddHBand="0" w:evenHBand="0" w:firstRowFirstColumn="0" w:firstRowLastColumn="0" w:lastRowFirstColumn="0" w:lastRowLastColumn="0"/>
            </w:pPr>
            <w:r>
              <w:t xml:space="preserve">Increased funding for training </w:t>
            </w:r>
            <w:r w:rsidR="00800934">
              <w:t xml:space="preserve">of specialists to support the care of </w:t>
            </w:r>
            <w:r w:rsidR="0059456E">
              <w:t xml:space="preserve">their patients </w:t>
            </w:r>
          </w:p>
        </w:tc>
      </w:tr>
      <w:tr w:rsidR="00BC6DD3" w:rsidRPr="007B10EB" w14:paraId="31E4191D" w14:textId="77777777" w:rsidTr="00B84CB0">
        <w:trPr>
          <w:trHeight w:val="71"/>
        </w:trPr>
        <w:tc>
          <w:tcPr>
            <w:cnfStyle w:val="001000000000" w:firstRow="0" w:lastRow="0" w:firstColumn="1" w:lastColumn="0" w:oddVBand="0" w:evenVBand="0" w:oddHBand="0" w:evenHBand="0" w:firstRowFirstColumn="0" w:firstRowLastColumn="0" w:lastRowFirstColumn="0" w:lastRowLastColumn="0"/>
            <w:tcW w:w="3342" w:type="dxa"/>
          </w:tcPr>
          <w:p w14:paraId="5D4CEB4F" w14:textId="77777777" w:rsidR="00135FAD" w:rsidRDefault="00F73700" w:rsidP="00B84CB0">
            <w:pPr>
              <w:pStyle w:val="TableText"/>
            </w:pPr>
            <w:r>
              <w:t>Workforce availability and qualifications</w:t>
            </w:r>
          </w:p>
        </w:tc>
        <w:tc>
          <w:tcPr>
            <w:tcW w:w="6686" w:type="dxa"/>
          </w:tcPr>
          <w:p w14:paraId="6AEC2737" w14:textId="77777777" w:rsidR="00DC74B7" w:rsidRDefault="00DC74B7" w:rsidP="00B84CB0">
            <w:pPr>
              <w:pStyle w:val="TableText"/>
              <w:cnfStyle w:val="000000000000" w:firstRow="0" w:lastRow="0" w:firstColumn="0" w:lastColumn="0" w:oddVBand="0" w:evenVBand="0" w:oddHBand="0" w:evenHBand="0" w:firstRowFirstColumn="0" w:firstRowLastColumn="0" w:lastRowFirstColumn="0" w:lastRowLastColumn="0"/>
            </w:pPr>
            <w:r>
              <w:t>There are not enough trained anaplastologists or technicians in Australia, lengthening treatment wait times</w:t>
            </w:r>
            <w:r w:rsidR="00170814">
              <w:t xml:space="preserve"> and placing pressure on the existing clinicians</w:t>
            </w:r>
          </w:p>
          <w:p w14:paraId="00A949F1" w14:textId="77777777" w:rsidR="00135FAD" w:rsidRDefault="00075B15" w:rsidP="00B84CB0">
            <w:pPr>
              <w:pStyle w:val="TableText"/>
              <w:cnfStyle w:val="000000000000" w:firstRow="0" w:lastRow="0" w:firstColumn="0" w:lastColumn="0" w:oddVBand="0" w:evenVBand="0" w:oddHBand="0" w:evenHBand="0" w:firstRowFirstColumn="0" w:firstRowLastColumn="0" w:lastRowFirstColumn="0" w:lastRowLastColumn="0"/>
            </w:pPr>
            <w:r>
              <w:t>There should be a board or policy that regulates the profession. This prohibits non-qualified individuals from providing services</w:t>
            </w:r>
          </w:p>
          <w:p w14:paraId="798657D2" w14:textId="77777777" w:rsidR="00135FAD" w:rsidRPr="008B0577" w:rsidRDefault="00796918" w:rsidP="00B84CB0">
            <w:pPr>
              <w:pStyle w:val="TableText"/>
              <w:cnfStyle w:val="000000000000" w:firstRow="0" w:lastRow="0" w:firstColumn="0" w:lastColumn="0" w:oddVBand="0" w:evenVBand="0" w:oddHBand="0" w:evenHBand="0" w:firstRowFirstColumn="0" w:firstRowLastColumn="0" w:lastRowFirstColumn="0" w:lastRowLastColumn="0"/>
            </w:pPr>
            <w:r>
              <w:t>Due to the complexity of cancer</w:t>
            </w:r>
            <w:r w:rsidR="00DA234E">
              <w:t>, a multidisciplinary team providing care and rehabilitation is important. This may include the addition of a maxillofacial prosthodontist into the team</w:t>
            </w:r>
          </w:p>
        </w:tc>
      </w:tr>
    </w:tbl>
    <w:p w14:paraId="16A43C4A" w14:textId="3BA36449" w:rsidR="00EF2A94" w:rsidRPr="00B84CB0" w:rsidRDefault="00B84CB0" w:rsidP="00B84CB0">
      <w:pPr>
        <w:pStyle w:val="Caption-Source"/>
        <w:rPr>
          <w:rFonts w:ascii="Arial" w:eastAsia="SimSun" w:hAnsi="Arial" w:cs="Arial"/>
          <w:szCs w:val="20"/>
        </w:rPr>
      </w:pPr>
      <w:r w:rsidRPr="00F36D7D">
        <w:t xml:space="preserve">Source: </w:t>
      </w:r>
      <w:r w:rsidR="00B26691">
        <w:t>Independent reviewer</w:t>
      </w:r>
      <w:r>
        <w:t xml:space="preserve"> (</w:t>
      </w:r>
      <w:r w:rsidRPr="00F36D7D">
        <w:t>2025</w:t>
      </w:r>
      <w:r>
        <w:t>)</w:t>
      </w:r>
      <w:r w:rsidR="00EF2A94">
        <w:br w:type="page"/>
      </w:r>
    </w:p>
    <w:p w14:paraId="72F9CB2D" w14:textId="46C6586A" w:rsidR="00EF2A94" w:rsidRDefault="00EF2A94" w:rsidP="008239ED">
      <w:pPr>
        <w:pStyle w:val="AppendixHeading2"/>
      </w:pPr>
      <w:bookmarkStart w:id="279" w:name="_Toc207348763"/>
      <w:r>
        <w:t>Literature scan search protocol</w:t>
      </w:r>
      <w:bookmarkEnd w:id="279"/>
    </w:p>
    <w:p w14:paraId="21AD1639" w14:textId="7550BB70" w:rsidR="0048234E" w:rsidRPr="00DD71E7" w:rsidRDefault="0048234E" w:rsidP="00DD71E7">
      <w:r w:rsidRPr="00DD71E7">
        <w:t xml:space="preserve">A literature scan, encompassing academic and grey literature, was conducted to ensure the review was grounded in the best available evidence for what is effective in supporting the needs of people who require a </w:t>
      </w:r>
      <w:proofErr w:type="gramStart"/>
      <w:r w:rsidRPr="00DD71E7">
        <w:t>prostheses</w:t>
      </w:r>
      <w:proofErr w:type="gramEnd"/>
      <w:r w:rsidRPr="00DD71E7">
        <w:t xml:space="preserve"> following diagnosis and treatment for cancer. The</w:t>
      </w:r>
      <w:r w:rsidRPr="00DD71E7" w:rsidDel="00D45254">
        <w:t xml:space="preserve"> </w:t>
      </w:r>
      <w:r w:rsidRPr="00DD71E7">
        <w:t>aim of the literature scan was to draw on both national and international evidence to:</w:t>
      </w:r>
    </w:p>
    <w:p w14:paraId="083A4541" w14:textId="77777777" w:rsidR="0048234E" w:rsidRPr="00E033B3" w:rsidRDefault="0048234E" w:rsidP="0098755B">
      <w:pPr>
        <w:pStyle w:val="Bullet1stlevel"/>
        <w:rPr>
          <w:bCs/>
        </w:rPr>
      </w:pPr>
      <w:r>
        <w:rPr>
          <w:bCs/>
        </w:rPr>
        <w:t>Identify</w:t>
      </w:r>
      <w:r w:rsidRPr="00E033B3">
        <w:rPr>
          <w:bCs/>
        </w:rPr>
        <w:t xml:space="preserve"> </w:t>
      </w:r>
      <w:r>
        <w:rPr>
          <w:bCs/>
        </w:rPr>
        <w:t xml:space="preserve">national and international </w:t>
      </w:r>
      <w:r w:rsidRPr="00E033B3">
        <w:rPr>
          <w:bCs/>
        </w:rPr>
        <w:t>programs</w:t>
      </w:r>
      <w:r>
        <w:rPr>
          <w:bCs/>
        </w:rPr>
        <w:t xml:space="preserve"> </w:t>
      </w:r>
      <w:r w:rsidRPr="00E033B3">
        <w:rPr>
          <w:bCs/>
        </w:rPr>
        <w:t>/</w:t>
      </w:r>
      <w:r>
        <w:rPr>
          <w:bCs/>
        </w:rPr>
        <w:t xml:space="preserve"> </w:t>
      </w:r>
      <w:r w:rsidRPr="00E033B3">
        <w:rPr>
          <w:bCs/>
        </w:rPr>
        <w:t>services to support access to prosthe</w:t>
      </w:r>
      <w:r>
        <w:rPr>
          <w:bCs/>
        </w:rPr>
        <w:t xml:space="preserve">ses </w:t>
      </w:r>
      <w:r w:rsidRPr="00E033B3">
        <w:rPr>
          <w:bCs/>
        </w:rPr>
        <w:t xml:space="preserve">for </w:t>
      </w:r>
      <w:r w:rsidRPr="00EB1DD0">
        <w:t xml:space="preserve">people living with or </w:t>
      </w:r>
      <w:r>
        <w:t xml:space="preserve">who </w:t>
      </w:r>
      <w:r w:rsidRPr="00EB1DD0">
        <w:t xml:space="preserve">have lived experience of cancer </w:t>
      </w:r>
    </w:p>
    <w:p w14:paraId="3E7F7919" w14:textId="77777777" w:rsidR="0048234E" w:rsidRPr="00E033B3" w:rsidRDefault="0048234E" w:rsidP="0098755B">
      <w:pPr>
        <w:pStyle w:val="Bullet1stlevel"/>
        <w:rPr>
          <w:bCs/>
        </w:rPr>
      </w:pPr>
      <w:r>
        <w:rPr>
          <w:bCs/>
        </w:rPr>
        <w:t>Identify</w:t>
      </w:r>
      <w:r w:rsidRPr="00E033B3">
        <w:rPr>
          <w:bCs/>
        </w:rPr>
        <w:t xml:space="preserve"> barriers and enablers to access</w:t>
      </w:r>
    </w:p>
    <w:p w14:paraId="3B558D8C" w14:textId="77777777" w:rsidR="0048234E" w:rsidRDefault="0048234E" w:rsidP="0098755B">
      <w:pPr>
        <w:pStyle w:val="Bullet1stlevel"/>
        <w:rPr>
          <w:bCs/>
        </w:rPr>
      </w:pPr>
      <w:r>
        <w:rPr>
          <w:bCs/>
        </w:rPr>
        <w:t>Identify</w:t>
      </w:r>
      <w:r w:rsidRPr="00E033B3">
        <w:rPr>
          <w:bCs/>
        </w:rPr>
        <w:t xml:space="preserve"> learnings that could be applied to the future development and implementation of a national program or scheme in Australia.</w:t>
      </w:r>
    </w:p>
    <w:p w14:paraId="5C24090D" w14:textId="77777777" w:rsidR="0048234E" w:rsidRDefault="0048234E" w:rsidP="0098755B">
      <w:pPr>
        <w:pStyle w:val="Bullet1stlevel"/>
        <w:rPr>
          <w:bCs/>
        </w:rPr>
      </w:pPr>
      <w:r>
        <w:rPr>
          <w:bCs/>
        </w:rPr>
        <w:t>Insight into the cost of similar programs</w:t>
      </w:r>
    </w:p>
    <w:p w14:paraId="6D7C25B7" w14:textId="77777777" w:rsidR="0048234E" w:rsidRDefault="0048234E" w:rsidP="0098755B">
      <w:pPr>
        <w:pStyle w:val="Bullet1stlevel"/>
        <w:rPr>
          <w:bCs/>
        </w:rPr>
      </w:pPr>
      <w:r>
        <w:rPr>
          <w:bCs/>
        </w:rPr>
        <w:t>Any other additional relevant information.</w:t>
      </w:r>
    </w:p>
    <w:p w14:paraId="4EBFD032" w14:textId="3CB0F878" w:rsidR="0048234E" w:rsidRPr="00DD71E7" w:rsidRDefault="0048234E" w:rsidP="00DD71E7">
      <w:r w:rsidRPr="00DD71E7">
        <w:fldChar w:fldCharType="begin"/>
      </w:r>
      <w:r w:rsidRPr="00DD71E7">
        <w:instrText xml:space="preserve"> REF _Ref193957594 \h </w:instrText>
      </w:r>
      <w:r w:rsidRPr="00DD71E7">
        <w:fldChar w:fldCharType="separate"/>
      </w:r>
      <w:r w:rsidR="00D955D8" w:rsidRPr="00DD71E7">
        <w:t xml:space="preserve">Table </w:t>
      </w:r>
      <w:r w:rsidR="00054604" w:rsidRPr="00DD71E7">
        <w:t>105</w:t>
      </w:r>
      <w:r w:rsidRPr="00DD71E7">
        <w:fldChar w:fldCharType="end"/>
      </w:r>
      <w:r w:rsidRPr="00DD71E7">
        <w:t xml:space="preserve"> </w:t>
      </w:r>
      <w:r w:rsidR="00054604" w:rsidRPr="00DD71E7">
        <w:t xml:space="preserve">and </w:t>
      </w:r>
      <w:r w:rsidR="00054604" w:rsidRPr="00DD71E7">
        <w:fldChar w:fldCharType="begin"/>
      </w:r>
      <w:r w:rsidR="00054604" w:rsidRPr="00DD71E7">
        <w:instrText xml:space="preserve"> REF _Ref207264937 \h </w:instrText>
      </w:r>
      <w:r w:rsidR="00054604" w:rsidRPr="00DD71E7">
        <w:fldChar w:fldCharType="separate"/>
      </w:r>
      <w:r w:rsidR="00054604" w:rsidRPr="00DD71E7">
        <w:t>Table 106</w:t>
      </w:r>
      <w:r w:rsidR="00054604" w:rsidRPr="00DD71E7">
        <w:fldChar w:fldCharType="end"/>
      </w:r>
      <w:r w:rsidR="00956CBF" w:rsidRPr="00DD71E7">
        <w:t xml:space="preserve"> </w:t>
      </w:r>
      <w:r w:rsidRPr="00DD71E7">
        <w:t>below outlines the search protocol used for undertaking the literature scan, including the inclusion and exclusion criteria, sources, as well as the search concepts and terms.</w:t>
      </w:r>
    </w:p>
    <w:p w14:paraId="2FA2EB9A" w14:textId="0EAAC09F" w:rsidR="0048234E" w:rsidRDefault="0048234E" w:rsidP="0048234E">
      <w:pPr>
        <w:pStyle w:val="Caption"/>
        <w:rPr>
          <w:b w:val="0"/>
          <w:bCs/>
        </w:rPr>
      </w:pPr>
      <w:bookmarkStart w:id="280" w:name="_Ref193957594"/>
      <w:bookmarkStart w:id="281" w:name="_Toc207348670"/>
      <w:r>
        <w:t xml:space="preserve">Table </w:t>
      </w:r>
      <w:r w:rsidR="00E6799D">
        <w:fldChar w:fldCharType="begin"/>
      </w:r>
      <w:r w:rsidR="00E6799D">
        <w:instrText xml:space="preserve"> SEQ Table \* ARABIC </w:instrText>
      </w:r>
      <w:r w:rsidR="00E6799D">
        <w:fldChar w:fldCharType="separate"/>
      </w:r>
      <w:r w:rsidR="00E6799D">
        <w:rPr>
          <w:noProof/>
        </w:rPr>
        <w:t>105</w:t>
      </w:r>
      <w:r w:rsidR="00E6799D">
        <w:rPr>
          <w:noProof/>
        </w:rPr>
        <w:fldChar w:fldCharType="end"/>
      </w:r>
      <w:bookmarkEnd w:id="280"/>
      <w:r>
        <w:t>: Literature scan search protocol</w:t>
      </w:r>
      <w:bookmarkEnd w:id="281"/>
    </w:p>
    <w:tbl>
      <w:tblPr>
        <w:tblStyle w:val="KPMGTable"/>
        <w:tblW w:w="0" w:type="auto"/>
        <w:tblLook w:val="04A0" w:firstRow="1" w:lastRow="0" w:firstColumn="1" w:lastColumn="0" w:noHBand="0" w:noVBand="1"/>
      </w:tblPr>
      <w:tblGrid>
        <w:gridCol w:w="1595"/>
        <w:gridCol w:w="8599"/>
      </w:tblGrid>
      <w:tr w:rsidR="00467133" w:rsidRPr="00117664" w14:paraId="6CBE955A" w14:textId="77777777" w:rsidTr="009875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5" w:type="dxa"/>
          </w:tcPr>
          <w:p w14:paraId="183539D5" w14:textId="77777777" w:rsidR="0048234E" w:rsidRPr="00BF4D99" w:rsidDel="00E53D17" w:rsidRDefault="0048234E" w:rsidP="0098755B">
            <w:pPr>
              <w:pStyle w:val="TableHeading"/>
            </w:pPr>
            <w:r w:rsidRPr="00BF4D99">
              <w:t>Element</w:t>
            </w:r>
          </w:p>
        </w:tc>
        <w:tc>
          <w:tcPr>
            <w:tcW w:w="8599" w:type="dxa"/>
          </w:tcPr>
          <w:p w14:paraId="4CF84D69" w14:textId="77777777" w:rsidR="0048234E" w:rsidRPr="00BF4D99" w:rsidRDefault="0048234E" w:rsidP="0098755B">
            <w:pPr>
              <w:pStyle w:val="TableHeading"/>
              <w:cnfStyle w:val="100000000000" w:firstRow="1" w:lastRow="0" w:firstColumn="0" w:lastColumn="0" w:oddVBand="0" w:evenVBand="0" w:oddHBand="0" w:evenHBand="0" w:firstRowFirstColumn="0" w:firstRowLastColumn="0" w:lastRowFirstColumn="0" w:lastRowLastColumn="0"/>
            </w:pPr>
            <w:r w:rsidRPr="00BF4D99">
              <w:t>Detail</w:t>
            </w:r>
          </w:p>
        </w:tc>
      </w:tr>
      <w:tr w:rsidR="00BC6DD3" w:rsidRPr="00117664" w14:paraId="224C5973" w14:textId="77777777" w:rsidTr="0098755B">
        <w:tc>
          <w:tcPr>
            <w:cnfStyle w:val="001000000000" w:firstRow="0" w:lastRow="0" w:firstColumn="1" w:lastColumn="0" w:oddVBand="0" w:evenVBand="0" w:oddHBand="0" w:evenHBand="0" w:firstRowFirstColumn="0" w:firstRowLastColumn="0" w:lastRowFirstColumn="0" w:lastRowLastColumn="0"/>
            <w:tcW w:w="1595" w:type="dxa"/>
          </w:tcPr>
          <w:p w14:paraId="66748039" w14:textId="77777777" w:rsidR="0048234E" w:rsidRPr="00117664" w:rsidDel="00E53D17" w:rsidRDefault="0048234E" w:rsidP="00054604">
            <w:pPr>
              <w:pStyle w:val="Tabletextbold"/>
              <w:rPr>
                <w:b/>
              </w:rPr>
            </w:pPr>
            <w:r w:rsidRPr="00117664">
              <w:rPr>
                <w:b/>
              </w:rPr>
              <w:t>Inclusion criteria</w:t>
            </w:r>
          </w:p>
        </w:tc>
        <w:tc>
          <w:tcPr>
            <w:tcW w:w="8599" w:type="dxa"/>
          </w:tcPr>
          <w:p w14:paraId="1E680584" w14:textId="77777777" w:rsidR="0048234E" w:rsidRPr="00117664" w:rsidRDefault="0048234E" w:rsidP="00054604">
            <w:pPr>
              <w:pStyle w:val="TableBullet1"/>
              <w:cnfStyle w:val="000000000000" w:firstRow="0" w:lastRow="0" w:firstColumn="0" w:lastColumn="0" w:oddVBand="0" w:evenVBand="0" w:oddHBand="0" w:evenHBand="0" w:firstRowFirstColumn="0" w:firstRowLastColumn="0" w:lastRowFirstColumn="0" w:lastRowLastColumn="0"/>
            </w:pPr>
            <w:r w:rsidRPr="00117664">
              <w:t>Peer reviewed studies using all types of methodologies including reviews and primary research</w:t>
            </w:r>
          </w:p>
          <w:p w14:paraId="17A867A1" w14:textId="77777777" w:rsidR="0048234E" w:rsidRPr="00117664" w:rsidRDefault="0048234E" w:rsidP="00054604">
            <w:pPr>
              <w:pStyle w:val="TableBullet1"/>
              <w:cnfStyle w:val="000000000000" w:firstRow="0" w:lastRow="0" w:firstColumn="0" w:lastColumn="0" w:oddVBand="0" w:evenVBand="0" w:oddHBand="0" w:evenHBand="0" w:firstRowFirstColumn="0" w:firstRowLastColumn="0" w:lastRowFirstColumn="0" w:lastRowLastColumn="0"/>
            </w:pPr>
            <w:r w:rsidRPr="00117664">
              <w:t>Grey literature sources including government reports, evaluations and reviews, professional association publications, frameworks and policies</w:t>
            </w:r>
          </w:p>
          <w:p w14:paraId="329C5AB0" w14:textId="77777777" w:rsidR="0048234E" w:rsidRPr="00117664" w:rsidRDefault="0048234E" w:rsidP="00054604">
            <w:pPr>
              <w:pStyle w:val="TableBullet1"/>
              <w:cnfStyle w:val="000000000000" w:firstRow="0" w:lastRow="0" w:firstColumn="0" w:lastColumn="0" w:oddVBand="0" w:evenVBand="0" w:oddHBand="0" w:evenHBand="0" w:firstRowFirstColumn="0" w:firstRowLastColumn="0" w:lastRowFirstColumn="0" w:lastRowLastColumn="0"/>
            </w:pPr>
            <w:r w:rsidRPr="00117664">
              <w:t>Studies or reports published in the last 5 years (2020-2025)</w:t>
            </w:r>
          </w:p>
          <w:p w14:paraId="334FEB8E" w14:textId="77777777" w:rsidR="0048234E" w:rsidRPr="00117664" w:rsidRDefault="0048234E" w:rsidP="00054604">
            <w:pPr>
              <w:pStyle w:val="TableBullet1"/>
              <w:cnfStyle w:val="000000000000" w:firstRow="0" w:lastRow="0" w:firstColumn="0" w:lastColumn="0" w:oddVBand="0" w:evenVBand="0" w:oddHBand="0" w:evenHBand="0" w:firstRowFirstColumn="0" w:firstRowLastColumn="0" w:lastRowFirstColumn="0" w:lastRowLastColumn="0"/>
            </w:pPr>
            <w:r w:rsidRPr="00117664">
              <w:t>Literature specific to Australia or including Australian case studies and comparable jurisdictions including the UK, New Zealand, Canada, and the USA.</w:t>
            </w:r>
          </w:p>
          <w:p w14:paraId="1C0C635B" w14:textId="77777777" w:rsidR="0048234E" w:rsidRPr="00117664" w:rsidRDefault="0048234E" w:rsidP="00054604">
            <w:pPr>
              <w:pStyle w:val="TableBullet1"/>
              <w:cnfStyle w:val="000000000000" w:firstRow="0" w:lastRow="0" w:firstColumn="0" w:lastColumn="0" w:oddVBand="0" w:evenVBand="0" w:oddHBand="0" w:evenHBand="0" w:firstRowFirstColumn="0" w:firstRowLastColumn="0" w:lastRowFirstColumn="0" w:lastRowLastColumn="0"/>
            </w:pPr>
            <w:r w:rsidRPr="00117664">
              <w:t>English language sources.</w:t>
            </w:r>
          </w:p>
        </w:tc>
      </w:tr>
      <w:tr w:rsidR="00BC6DD3" w:rsidRPr="00117664" w14:paraId="66E90B32" w14:textId="77777777" w:rsidTr="0098755B">
        <w:tc>
          <w:tcPr>
            <w:cnfStyle w:val="001000000000" w:firstRow="0" w:lastRow="0" w:firstColumn="1" w:lastColumn="0" w:oddVBand="0" w:evenVBand="0" w:oddHBand="0" w:evenHBand="0" w:firstRowFirstColumn="0" w:firstRowLastColumn="0" w:lastRowFirstColumn="0" w:lastRowLastColumn="0"/>
            <w:tcW w:w="1595" w:type="dxa"/>
          </w:tcPr>
          <w:p w14:paraId="66105DE0" w14:textId="77777777" w:rsidR="0048234E" w:rsidRPr="00117664" w:rsidRDefault="0048234E" w:rsidP="00054604">
            <w:pPr>
              <w:pStyle w:val="Tabletextbold"/>
              <w:rPr>
                <w:b/>
              </w:rPr>
            </w:pPr>
            <w:r w:rsidRPr="00117664">
              <w:rPr>
                <w:b/>
              </w:rPr>
              <w:t>Exclusion criteria</w:t>
            </w:r>
          </w:p>
        </w:tc>
        <w:tc>
          <w:tcPr>
            <w:tcW w:w="8599" w:type="dxa"/>
          </w:tcPr>
          <w:p w14:paraId="1CEE570F" w14:textId="77777777" w:rsidR="0048234E" w:rsidRPr="00117664" w:rsidRDefault="0048234E" w:rsidP="00054604">
            <w:pPr>
              <w:pStyle w:val="TableBullet1"/>
              <w:cnfStyle w:val="000000000000" w:firstRow="0" w:lastRow="0" w:firstColumn="0" w:lastColumn="0" w:oddVBand="0" w:evenVBand="0" w:oddHBand="0" w:evenHBand="0" w:firstRowFirstColumn="0" w:firstRowLastColumn="0" w:lastRowFirstColumn="0" w:lastRowLastColumn="0"/>
            </w:pPr>
            <w:r w:rsidRPr="00117664">
              <w:t>Studies older than 2020 unless highly relevant</w:t>
            </w:r>
          </w:p>
          <w:p w14:paraId="7E8E9783" w14:textId="77777777" w:rsidR="0048234E" w:rsidRPr="00117664" w:rsidRDefault="0048234E" w:rsidP="00054604">
            <w:pPr>
              <w:pStyle w:val="TableBullet1"/>
              <w:cnfStyle w:val="000000000000" w:firstRow="0" w:lastRow="0" w:firstColumn="0" w:lastColumn="0" w:oddVBand="0" w:evenVBand="0" w:oddHBand="0" w:evenHBand="0" w:firstRowFirstColumn="0" w:firstRowLastColumn="0" w:lastRowFirstColumn="0" w:lastRowLastColumn="0"/>
            </w:pPr>
            <w:r w:rsidRPr="00117664">
              <w:t>Studies focused on prostheses for non-cancer related conditions</w:t>
            </w:r>
          </w:p>
          <w:p w14:paraId="3F577E37" w14:textId="77777777" w:rsidR="0048234E" w:rsidRPr="00117664" w:rsidRDefault="0048234E" w:rsidP="00054604">
            <w:pPr>
              <w:pStyle w:val="TableBullet1"/>
              <w:cnfStyle w:val="000000000000" w:firstRow="0" w:lastRow="0" w:firstColumn="0" w:lastColumn="0" w:oddVBand="0" w:evenVBand="0" w:oddHBand="0" w:evenHBand="0" w:firstRowFirstColumn="0" w:firstRowLastColumn="0" w:lastRowFirstColumn="0" w:lastRowLastColumn="0"/>
            </w:pPr>
            <w:r w:rsidRPr="00117664">
              <w:t>Studies that focus on surgically implanted prostheses</w:t>
            </w:r>
          </w:p>
          <w:p w14:paraId="1A91E71D" w14:textId="77777777" w:rsidR="0048234E" w:rsidRPr="00117664" w:rsidRDefault="0048234E" w:rsidP="00054604">
            <w:pPr>
              <w:pStyle w:val="TableBullet1"/>
              <w:cnfStyle w:val="000000000000" w:firstRow="0" w:lastRow="0" w:firstColumn="0" w:lastColumn="0" w:oddVBand="0" w:evenVBand="0" w:oddHBand="0" w:evenHBand="0" w:firstRowFirstColumn="0" w:firstRowLastColumn="0" w:lastRowFirstColumn="0" w:lastRowLastColumn="0"/>
            </w:pPr>
            <w:r w:rsidRPr="00117664">
              <w:t>Studies that are not relevant to Australia or comparable international contexts</w:t>
            </w:r>
          </w:p>
          <w:p w14:paraId="6A5C02EC" w14:textId="77777777" w:rsidR="0048234E" w:rsidRPr="00117664" w:rsidRDefault="0048234E" w:rsidP="00054604">
            <w:pPr>
              <w:pStyle w:val="TableBullet1"/>
              <w:cnfStyle w:val="000000000000" w:firstRow="0" w:lastRow="0" w:firstColumn="0" w:lastColumn="0" w:oddVBand="0" w:evenVBand="0" w:oddHBand="0" w:evenHBand="0" w:firstRowFirstColumn="0" w:firstRowLastColumn="0" w:lastRowFirstColumn="0" w:lastRowLastColumn="0"/>
            </w:pPr>
            <w:r w:rsidRPr="00117664">
              <w:t>Studies published in languages other than English</w:t>
            </w:r>
          </w:p>
        </w:tc>
      </w:tr>
      <w:tr w:rsidR="00BC6DD3" w:rsidRPr="00117664" w14:paraId="7C7364E7" w14:textId="77777777" w:rsidTr="0098755B">
        <w:tc>
          <w:tcPr>
            <w:cnfStyle w:val="001000000000" w:firstRow="0" w:lastRow="0" w:firstColumn="1" w:lastColumn="0" w:oddVBand="0" w:evenVBand="0" w:oddHBand="0" w:evenHBand="0" w:firstRowFirstColumn="0" w:firstRowLastColumn="0" w:lastRowFirstColumn="0" w:lastRowLastColumn="0"/>
            <w:tcW w:w="1595" w:type="dxa"/>
          </w:tcPr>
          <w:p w14:paraId="155F79D9" w14:textId="77777777" w:rsidR="0048234E" w:rsidRPr="00117664" w:rsidRDefault="0048234E" w:rsidP="00054604">
            <w:pPr>
              <w:pStyle w:val="Tabletextbold"/>
              <w:rPr>
                <w:b/>
              </w:rPr>
            </w:pPr>
            <w:r w:rsidRPr="00117664">
              <w:rPr>
                <w:b/>
              </w:rPr>
              <w:t>Sources</w:t>
            </w:r>
          </w:p>
        </w:tc>
        <w:tc>
          <w:tcPr>
            <w:tcW w:w="8599" w:type="dxa"/>
          </w:tcPr>
          <w:p w14:paraId="0AD236E7" w14:textId="77777777" w:rsidR="0048234E" w:rsidRPr="00117664" w:rsidRDefault="0048234E" w:rsidP="00054604">
            <w:pPr>
              <w:pStyle w:val="TableBullet1"/>
              <w:cnfStyle w:val="000000000000" w:firstRow="0" w:lastRow="0" w:firstColumn="0" w:lastColumn="0" w:oddVBand="0" w:evenVBand="0" w:oddHBand="0" w:evenHBand="0" w:firstRowFirstColumn="0" w:firstRowLastColumn="0" w:lastRowFirstColumn="0" w:lastRowLastColumn="0"/>
            </w:pPr>
            <w:r w:rsidRPr="00117664">
              <w:t>Databases including Embase, Medline, PubMed (National Library of Medicine/National Institute of Health), Pan American Health Organization (PAHO) Virtual Health Library (VHL).</w:t>
            </w:r>
          </w:p>
          <w:p w14:paraId="3D90F0D1" w14:textId="5F780FC1" w:rsidR="0048234E" w:rsidRPr="00117664" w:rsidRDefault="0048234E" w:rsidP="00054604">
            <w:pPr>
              <w:pStyle w:val="TableBullet1"/>
              <w:cnfStyle w:val="000000000000" w:firstRow="0" w:lastRow="0" w:firstColumn="0" w:lastColumn="0" w:oddVBand="0" w:evenVBand="0" w:oddHBand="0" w:evenHBand="0" w:firstRowFirstColumn="0" w:firstRowLastColumn="0" w:lastRowFirstColumn="0" w:lastRowLastColumn="0"/>
            </w:pPr>
            <w:r w:rsidRPr="00117664">
              <w:t xml:space="preserve">Grey literature will be sought from the Department of </w:t>
            </w:r>
            <w:r w:rsidR="00640669">
              <w:t>Health, Disability and Ageing</w:t>
            </w:r>
            <w:r w:rsidRPr="00117664">
              <w:t>, Australian Institute of Health and Welfare, as well as key healthcare and policy organisation websites such as the Cancer Australia.</w:t>
            </w:r>
          </w:p>
        </w:tc>
      </w:tr>
    </w:tbl>
    <w:p w14:paraId="2BE32D5E" w14:textId="033F88A1" w:rsidR="00054604" w:rsidRPr="003A2C71" w:rsidRDefault="00054604" w:rsidP="00054604">
      <w:pPr>
        <w:pStyle w:val="Caption-Source"/>
      </w:pPr>
      <w:r w:rsidRPr="00112772">
        <w:t xml:space="preserve">Source: </w:t>
      </w:r>
      <w:r w:rsidR="00B26691">
        <w:t>Independent reviewer</w:t>
      </w:r>
      <w:r w:rsidR="00B26691" w:rsidRPr="00CD3106">
        <w:t xml:space="preserve"> </w:t>
      </w:r>
      <w:r>
        <w:t>(</w:t>
      </w:r>
      <w:r w:rsidRPr="003A2C71">
        <w:t>202</w:t>
      </w:r>
      <w:r>
        <w:t>5)</w:t>
      </w:r>
    </w:p>
    <w:p w14:paraId="1A50EF35" w14:textId="474D633F" w:rsidR="00054604" w:rsidRDefault="00054604" w:rsidP="00054604">
      <w:pPr>
        <w:pStyle w:val="Caption"/>
      </w:pPr>
      <w:bookmarkStart w:id="282" w:name="_Ref207264937"/>
      <w:bookmarkStart w:id="283" w:name="_Toc207348671"/>
      <w:r>
        <w:t xml:space="preserve">Table </w:t>
      </w:r>
      <w:r w:rsidR="00E6799D">
        <w:fldChar w:fldCharType="begin"/>
      </w:r>
      <w:r w:rsidR="00E6799D">
        <w:instrText xml:space="preserve"> SEQ Table \* ARABIC </w:instrText>
      </w:r>
      <w:r w:rsidR="00E6799D">
        <w:fldChar w:fldCharType="separate"/>
      </w:r>
      <w:r w:rsidR="00E6799D">
        <w:rPr>
          <w:noProof/>
        </w:rPr>
        <w:t>106</w:t>
      </w:r>
      <w:r w:rsidR="00E6799D">
        <w:rPr>
          <w:noProof/>
        </w:rPr>
        <w:fldChar w:fldCharType="end"/>
      </w:r>
      <w:bookmarkEnd w:id="282"/>
      <w:r>
        <w:t xml:space="preserve">: </w:t>
      </w:r>
      <w:r w:rsidRPr="0053437D">
        <w:t xml:space="preserve">Literature scan search </w:t>
      </w:r>
      <w:r>
        <w:t>concepts and terms</w:t>
      </w:r>
      <w:bookmarkEnd w:id="283"/>
    </w:p>
    <w:tbl>
      <w:tblPr>
        <w:tblStyle w:val="KPMGTable"/>
        <w:tblW w:w="10206" w:type="dxa"/>
        <w:tblLook w:val="04A0" w:firstRow="1" w:lastRow="0" w:firstColumn="1" w:lastColumn="0" w:noHBand="0" w:noVBand="1"/>
      </w:tblPr>
      <w:tblGrid>
        <w:gridCol w:w="2091"/>
        <w:gridCol w:w="8115"/>
      </w:tblGrid>
      <w:tr w:rsidR="00772257" w:rsidRPr="00117664" w14:paraId="037AD742" w14:textId="77777777" w:rsidTr="00957DDB">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091" w:type="dxa"/>
          </w:tcPr>
          <w:p w14:paraId="0B84B611" w14:textId="7BB2E597" w:rsidR="00054604" w:rsidRPr="00117664" w:rsidRDefault="00054604" w:rsidP="00054604">
            <w:pPr>
              <w:pStyle w:val="TableHeading"/>
            </w:pPr>
            <w:r>
              <w:t>Search concepts</w:t>
            </w:r>
          </w:p>
        </w:tc>
        <w:tc>
          <w:tcPr>
            <w:tcW w:w="8115" w:type="dxa"/>
          </w:tcPr>
          <w:p w14:paraId="7D49637E" w14:textId="7AD67E75" w:rsidR="00054604" w:rsidRPr="00117664" w:rsidRDefault="00054604" w:rsidP="00054604">
            <w:pPr>
              <w:pStyle w:val="TableHeading"/>
              <w:cnfStyle w:val="100000000000" w:firstRow="1" w:lastRow="0" w:firstColumn="0" w:lastColumn="0" w:oddVBand="0" w:evenVBand="0" w:oddHBand="0" w:evenHBand="0" w:firstRowFirstColumn="0" w:firstRowLastColumn="0" w:lastRowFirstColumn="0" w:lastRowLastColumn="0"/>
            </w:pPr>
            <w:r>
              <w:t>Search terms</w:t>
            </w:r>
          </w:p>
        </w:tc>
      </w:tr>
      <w:tr w:rsidR="00BC6DD3" w:rsidRPr="00117664" w14:paraId="0797989B" w14:textId="77777777" w:rsidTr="00957DDB">
        <w:trPr>
          <w:trHeight w:val="170"/>
        </w:trPr>
        <w:tc>
          <w:tcPr>
            <w:cnfStyle w:val="001000000000" w:firstRow="0" w:lastRow="0" w:firstColumn="1" w:lastColumn="0" w:oddVBand="0" w:evenVBand="0" w:oddHBand="0" w:evenHBand="0" w:firstRowFirstColumn="0" w:firstRowLastColumn="0" w:lastRowFirstColumn="0" w:lastRowLastColumn="0"/>
            <w:tcW w:w="2091" w:type="dxa"/>
          </w:tcPr>
          <w:p w14:paraId="0FF1C46E" w14:textId="77777777" w:rsidR="0048234E" w:rsidRPr="00117664" w:rsidRDefault="0048234E" w:rsidP="00054604">
            <w:pPr>
              <w:pStyle w:val="TableText"/>
              <w:rPr>
                <w:color w:val="auto"/>
              </w:rPr>
            </w:pPr>
            <w:r w:rsidRPr="00117664">
              <w:t>Cancer prostheses programs</w:t>
            </w:r>
          </w:p>
        </w:tc>
        <w:tc>
          <w:tcPr>
            <w:tcW w:w="8115" w:type="dxa"/>
          </w:tcPr>
          <w:p w14:paraId="49095F3E" w14:textId="77777777" w:rsidR="0048234E" w:rsidRPr="00117664" w:rsidRDefault="0048234E" w:rsidP="00054604">
            <w:pPr>
              <w:pStyle w:val="TableText"/>
              <w:cnfStyle w:val="000000000000" w:firstRow="0" w:lastRow="0" w:firstColumn="0" w:lastColumn="0" w:oddVBand="0" w:evenVBand="0" w:oddHBand="0" w:evenHBand="0" w:firstRowFirstColumn="0" w:firstRowLastColumn="0" w:lastRowFirstColumn="0" w:lastRowLastColumn="0"/>
              <w:rPr>
                <w:b/>
                <w:color w:val="auto"/>
              </w:rPr>
            </w:pPr>
            <w:r w:rsidRPr="00117664">
              <w:t>“Cancer patients”, “lived experience of cancer” “prostheses”, “policy”, “programs”</w:t>
            </w:r>
          </w:p>
        </w:tc>
      </w:tr>
      <w:tr w:rsidR="00BC6DD3" w:rsidRPr="00117664" w14:paraId="0FD4A0EF" w14:textId="77777777" w:rsidTr="00957DDB">
        <w:trPr>
          <w:trHeight w:val="806"/>
        </w:trPr>
        <w:tc>
          <w:tcPr>
            <w:cnfStyle w:val="001000000000" w:firstRow="0" w:lastRow="0" w:firstColumn="1" w:lastColumn="0" w:oddVBand="0" w:evenVBand="0" w:oddHBand="0" w:evenHBand="0" w:firstRowFirstColumn="0" w:firstRowLastColumn="0" w:lastRowFirstColumn="0" w:lastRowLastColumn="0"/>
            <w:tcW w:w="2091" w:type="dxa"/>
          </w:tcPr>
          <w:p w14:paraId="15AA2170" w14:textId="77777777" w:rsidR="0048234E" w:rsidRPr="00117664" w:rsidRDefault="0048234E" w:rsidP="00054604">
            <w:pPr>
              <w:pStyle w:val="TableText"/>
            </w:pPr>
            <w:r w:rsidRPr="00117664">
              <w:t>Cancer prostheses access</w:t>
            </w:r>
          </w:p>
        </w:tc>
        <w:tc>
          <w:tcPr>
            <w:tcW w:w="8115" w:type="dxa"/>
          </w:tcPr>
          <w:p w14:paraId="3AD17079" w14:textId="77777777" w:rsidR="0048234E" w:rsidRPr="00117664" w:rsidRDefault="0048234E" w:rsidP="00054604">
            <w:pPr>
              <w:pStyle w:val="TableText"/>
              <w:cnfStyle w:val="000000000000" w:firstRow="0" w:lastRow="0" w:firstColumn="0" w:lastColumn="0" w:oddVBand="0" w:evenVBand="0" w:oddHBand="0" w:evenHBand="0" w:firstRowFirstColumn="0" w:firstRowLastColumn="0" w:lastRowFirstColumn="0" w:lastRowLastColumn="0"/>
            </w:pPr>
            <w:r w:rsidRPr="00117664">
              <w:t>“Australia”, “prostheses access”, “barriers”, “enablers”, “equity”, “service provision”, “patient pathways”, “wait times”, “disparity”, “Aboriginal and Torres Strait Islander”, “Culturally and Linguistically Diverse”, “rural and remote”</w:t>
            </w:r>
          </w:p>
        </w:tc>
      </w:tr>
      <w:tr w:rsidR="00BC6DD3" w:rsidRPr="00117664" w14:paraId="5C79A7D0" w14:textId="77777777" w:rsidTr="00957DDB">
        <w:trPr>
          <w:trHeight w:val="610"/>
        </w:trPr>
        <w:tc>
          <w:tcPr>
            <w:cnfStyle w:val="001000000000" w:firstRow="0" w:lastRow="0" w:firstColumn="1" w:lastColumn="0" w:oddVBand="0" w:evenVBand="0" w:oddHBand="0" w:evenHBand="0" w:firstRowFirstColumn="0" w:firstRowLastColumn="0" w:lastRowFirstColumn="0" w:lastRowLastColumn="0"/>
            <w:tcW w:w="2091" w:type="dxa"/>
          </w:tcPr>
          <w:p w14:paraId="79F711E5" w14:textId="77777777" w:rsidR="0048234E" w:rsidRPr="00117664" w:rsidRDefault="0048234E" w:rsidP="00054604">
            <w:pPr>
              <w:pStyle w:val="TableText"/>
            </w:pPr>
            <w:r w:rsidRPr="00117664">
              <w:t>Cancer prostheses reimbursement</w:t>
            </w:r>
          </w:p>
        </w:tc>
        <w:tc>
          <w:tcPr>
            <w:tcW w:w="8115" w:type="dxa"/>
          </w:tcPr>
          <w:p w14:paraId="16768930" w14:textId="77777777" w:rsidR="0048234E" w:rsidRPr="00117664" w:rsidRDefault="0048234E" w:rsidP="00054604">
            <w:pPr>
              <w:pStyle w:val="TableText"/>
              <w:cnfStyle w:val="000000000000" w:firstRow="0" w:lastRow="0" w:firstColumn="0" w:lastColumn="0" w:oddVBand="0" w:evenVBand="0" w:oddHBand="0" w:evenHBand="0" w:firstRowFirstColumn="0" w:firstRowLastColumn="0" w:lastRowFirstColumn="0" w:lastRowLastColumn="0"/>
            </w:pPr>
            <w:r w:rsidRPr="00117664">
              <w:t>“NDIS”, “Government”, “block-funding”, “grants”, “funding”, “Medicare”, “subsidies”, “reimbursement”, “health insurance”</w:t>
            </w:r>
          </w:p>
        </w:tc>
      </w:tr>
      <w:tr w:rsidR="00BC6DD3" w:rsidRPr="00117664" w14:paraId="7BAD9E67" w14:textId="77777777" w:rsidTr="00957DDB">
        <w:trPr>
          <w:trHeight w:val="82"/>
        </w:trPr>
        <w:tc>
          <w:tcPr>
            <w:cnfStyle w:val="001000000000" w:firstRow="0" w:lastRow="0" w:firstColumn="1" w:lastColumn="0" w:oddVBand="0" w:evenVBand="0" w:oddHBand="0" w:evenHBand="0" w:firstRowFirstColumn="0" w:firstRowLastColumn="0" w:lastRowFirstColumn="0" w:lastRowLastColumn="0"/>
            <w:tcW w:w="2091" w:type="dxa"/>
          </w:tcPr>
          <w:p w14:paraId="0BAF22AA" w14:textId="77777777" w:rsidR="0048234E" w:rsidRPr="00117664" w:rsidRDefault="0048234E" w:rsidP="00054604">
            <w:pPr>
              <w:pStyle w:val="TableText"/>
            </w:pPr>
            <w:r w:rsidRPr="00117664">
              <w:t>Cost</w:t>
            </w:r>
          </w:p>
        </w:tc>
        <w:tc>
          <w:tcPr>
            <w:tcW w:w="8115" w:type="dxa"/>
          </w:tcPr>
          <w:p w14:paraId="58D1977E" w14:textId="77777777" w:rsidR="0048234E" w:rsidRPr="00117664" w:rsidRDefault="0048234E" w:rsidP="00054604">
            <w:pPr>
              <w:pStyle w:val="TableText"/>
              <w:cnfStyle w:val="000000000000" w:firstRow="0" w:lastRow="0" w:firstColumn="0" w:lastColumn="0" w:oddVBand="0" w:evenVBand="0" w:oddHBand="0" w:evenHBand="0" w:firstRowFirstColumn="0" w:firstRowLastColumn="0" w:lastRowFirstColumn="0" w:lastRowLastColumn="0"/>
            </w:pPr>
            <w:r w:rsidRPr="00117664">
              <w:t>“Cost”, “pricing”, “prices”, “value”, “cost-effectiveness”, “cost-benefit”, ‘cost-utility”, “health costs’</w:t>
            </w:r>
          </w:p>
        </w:tc>
      </w:tr>
    </w:tbl>
    <w:p w14:paraId="6749B2AA" w14:textId="3DA25BA1" w:rsidR="00EF2A94" w:rsidRDefault="0048234E" w:rsidP="00054604">
      <w:pPr>
        <w:pStyle w:val="Caption-Source"/>
      </w:pPr>
      <w:r w:rsidRPr="00112772">
        <w:t xml:space="preserve">Source: </w:t>
      </w:r>
      <w:r w:rsidR="00B26691">
        <w:t>Independent reviewer</w:t>
      </w:r>
      <w:r w:rsidR="00584D02">
        <w:t xml:space="preserve"> (</w:t>
      </w:r>
      <w:r w:rsidRPr="003A2C71">
        <w:t>202</w:t>
      </w:r>
      <w:r>
        <w:t>5</w:t>
      </w:r>
      <w:r w:rsidR="00584D02">
        <w:t>)</w:t>
      </w:r>
      <w:r w:rsidR="00EF2A94">
        <w:br w:type="page"/>
      </w:r>
    </w:p>
    <w:p w14:paraId="50B9823E" w14:textId="0E4DB3E3" w:rsidR="00EF2A94" w:rsidRDefault="00EF2A94" w:rsidP="008239ED">
      <w:pPr>
        <w:pStyle w:val="AppendixHeading2"/>
      </w:pPr>
      <w:bookmarkStart w:id="284" w:name="_Toc207348764"/>
      <w:r>
        <w:t>List of documents reviewed</w:t>
      </w:r>
      <w:bookmarkEnd w:id="284"/>
    </w:p>
    <w:p w14:paraId="64A592CA" w14:textId="77777777" w:rsidR="005607DD" w:rsidRDefault="005607DD" w:rsidP="00C77FF3">
      <w:pPr>
        <w:pStyle w:val="Caption"/>
        <w:rPr>
          <w:b w:val="0"/>
          <w:i/>
          <w:iCs w:val="0"/>
          <w:color w:val="000000" w:themeColor="text1"/>
          <w:sz w:val="20"/>
          <w:szCs w:val="22"/>
        </w:rPr>
      </w:pPr>
      <w:r w:rsidRPr="005607DD">
        <w:rPr>
          <w:b w:val="0"/>
          <w:iCs w:val="0"/>
          <w:color w:val="000000" w:themeColor="text1"/>
          <w:sz w:val="20"/>
          <w:szCs w:val="22"/>
        </w:rPr>
        <w:t>This section outlines the documents reviewed during the development of this report, including materials provided by the Department and other key stakeholders.</w:t>
      </w:r>
    </w:p>
    <w:p w14:paraId="1378CEBC" w14:textId="3EDD03F6" w:rsidR="00C77FF3" w:rsidRPr="005607DD" w:rsidRDefault="00C77FF3" w:rsidP="00C77FF3">
      <w:pPr>
        <w:pStyle w:val="Caption"/>
        <w:rPr>
          <w:i/>
          <w:iCs w:val="0"/>
        </w:rPr>
      </w:pPr>
      <w:bookmarkStart w:id="285" w:name="_Toc207348672"/>
      <w:r w:rsidRPr="005607DD">
        <w:rPr>
          <w:iCs w:val="0"/>
        </w:rPr>
        <w:t xml:space="preserve">Table </w:t>
      </w:r>
      <w:r w:rsidRPr="005607DD">
        <w:rPr>
          <w:i/>
          <w:iCs w:val="0"/>
        </w:rPr>
        <w:fldChar w:fldCharType="begin"/>
      </w:r>
      <w:r w:rsidRPr="005607DD">
        <w:rPr>
          <w:iCs w:val="0"/>
        </w:rPr>
        <w:instrText xml:space="preserve"> SEQ Table \* ARABIC </w:instrText>
      </w:r>
      <w:r w:rsidRPr="005607DD">
        <w:rPr>
          <w:i/>
          <w:iCs w:val="0"/>
        </w:rPr>
        <w:fldChar w:fldCharType="separate"/>
      </w:r>
      <w:r w:rsidR="00E6799D">
        <w:rPr>
          <w:iCs w:val="0"/>
          <w:noProof/>
        </w:rPr>
        <w:t>107</w:t>
      </w:r>
      <w:r w:rsidRPr="005607DD">
        <w:rPr>
          <w:i/>
          <w:iCs w:val="0"/>
        </w:rPr>
        <w:fldChar w:fldCharType="end"/>
      </w:r>
      <w:r w:rsidRPr="005607DD">
        <w:rPr>
          <w:iCs w:val="0"/>
        </w:rPr>
        <w:t>: List of documents reviewed</w:t>
      </w:r>
      <w:bookmarkEnd w:id="285"/>
    </w:p>
    <w:tbl>
      <w:tblPr>
        <w:tblStyle w:val="KPMGTable"/>
        <w:tblW w:w="0" w:type="auto"/>
        <w:tblLook w:val="04A0" w:firstRow="1" w:lastRow="0" w:firstColumn="1" w:lastColumn="0" w:noHBand="0" w:noVBand="1"/>
      </w:tblPr>
      <w:tblGrid>
        <w:gridCol w:w="3402"/>
        <w:gridCol w:w="6634"/>
      </w:tblGrid>
      <w:tr w:rsidR="00467133" w14:paraId="5E19A7A6" w14:textId="77777777" w:rsidTr="00054604">
        <w:trPr>
          <w:cnfStyle w:val="100000000000" w:firstRow="1" w:lastRow="0" w:firstColumn="0" w:lastColumn="0" w:oddVBand="0" w:evenVBand="0" w:oddHBand="0"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3402" w:type="dxa"/>
          </w:tcPr>
          <w:p w14:paraId="5C02EC96" w14:textId="0EBD5FB1" w:rsidR="005607DD" w:rsidRPr="008E77E9" w:rsidRDefault="005607DD" w:rsidP="00054604">
            <w:pPr>
              <w:pStyle w:val="TableHeading"/>
              <w:rPr>
                <w:b w:val="0"/>
                <w:color w:val="FFFFFF" w:themeColor="background1"/>
                <w:szCs w:val="18"/>
              </w:rPr>
            </w:pPr>
            <w:r>
              <w:t>Document name</w:t>
            </w:r>
          </w:p>
        </w:tc>
        <w:tc>
          <w:tcPr>
            <w:tcW w:w="6634" w:type="dxa"/>
          </w:tcPr>
          <w:p w14:paraId="773B2C80" w14:textId="49F1FA48" w:rsidR="005607DD" w:rsidRPr="008E77E9" w:rsidRDefault="005607DD" w:rsidP="00054604">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t>Provided by</w:t>
            </w:r>
          </w:p>
        </w:tc>
      </w:tr>
      <w:tr w:rsidR="00BC6DD3" w:rsidRPr="00767AB0" w14:paraId="59C1995C" w14:textId="77777777" w:rsidTr="00054604">
        <w:trPr>
          <w:trHeight w:val="468"/>
        </w:trPr>
        <w:tc>
          <w:tcPr>
            <w:cnfStyle w:val="001000000000" w:firstRow="0" w:lastRow="0" w:firstColumn="1" w:lastColumn="0" w:oddVBand="0" w:evenVBand="0" w:oddHBand="0" w:evenHBand="0" w:firstRowFirstColumn="0" w:firstRowLastColumn="0" w:lastRowFirstColumn="0" w:lastRowLastColumn="0"/>
            <w:tcW w:w="3402" w:type="dxa"/>
          </w:tcPr>
          <w:p w14:paraId="1941813F" w14:textId="39A3C252" w:rsidR="005607DD" w:rsidRPr="008E77E9" w:rsidRDefault="005607DD" w:rsidP="00054604">
            <w:pPr>
              <w:pStyle w:val="Tabletextbold"/>
              <w:rPr>
                <w:szCs w:val="18"/>
              </w:rPr>
            </w:pPr>
            <w:r>
              <w:t>Community Affairs Legislation Committee</w:t>
            </w:r>
          </w:p>
        </w:tc>
        <w:tc>
          <w:tcPr>
            <w:tcW w:w="6634" w:type="dxa"/>
          </w:tcPr>
          <w:p w14:paraId="0107FD9F" w14:textId="1A13BC21" w:rsidR="005607DD" w:rsidRPr="000D5A4E" w:rsidRDefault="005607DD" w:rsidP="00054604">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The Department</w:t>
            </w:r>
          </w:p>
        </w:tc>
      </w:tr>
      <w:tr w:rsidR="00BC6DD3" w:rsidRPr="00F56161" w14:paraId="5B002BB8" w14:textId="77777777" w:rsidTr="00054604">
        <w:trPr>
          <w:trHeight w:val="468"/>
        </w:trPr>
        <w:tc>
          <w:tcPr>
            <w:cnfStyle w:val="001000000000" w:firstRow="0" w:lastRow="0" w:firstColumn="1" w:lastColumn="0" w:oddVBand="0" w:evenVBand="0" w:oddHBand="0" w:evenHBand="0" w:firstRowFirstColumn="0" w:firstRowLastColumn="0" w:lastRowFirstColumn="0" w:lastRowLastColumn="0"/>
            <w:tcW w:w="3402" w:type="dxa"/>
          </w:tcPr>
          <w:p w14:paraId="468668C7" w14:textId="3F90F0A8" w:rsidR="005607DD" w:rsidRPr="00C042E7" w:rsidRDefault="005607DD" w:rsidP="00054604">
            <w:pPr>
              <w:pStyle w:val="Tabletextbold"/>
              <w:rPr>
                <w:szCs w:val="18"/>
              </w:rPr>
            </w:pPr>
            <w:r>
              <w:t>EBPRP Final report</w:t>
            </w:r>
          </w:p>
        </w:tc>
        <w:tc>
          <w:tcPr>
            <w:tcW w:w="6634" w:type="dxa"/>
          </w:tcPr>
          <w:p w14:paraId="2D6E67B2" w14:textId="4B4A85EA" w:rsidR="005607DD" w:rsidRDefault="005607DD" w:rsidP="00054604">
            <w:pPr>
              <w:pStyle w:val="TableText"/>
              <w:cnfStyle w:val="000000000000" w:firstRow="0" w:lastRow="0" w:firstColumn="0" w:lastColumn="0" w:oddVBand="0" w:evenVBand="0" w:oddHBand="0" w:evenHBand="0" w:firstRowFirstColumn="0" w:firstRowLastColumn="0" w:lastRowFirstColumn="0" w:lastRowLastColumn="0"/>
            </w:pPr>
            <w:r w:rsidRPr="008B5BEF">
              <w:rPr>
                <w:szCs w:val="20"/>
              </w:rPr>
              <w:t>The Department</w:t>
            </w:r>
          </w:p>
        </w:tc>
      </w:tr>
      <w:tr w:rsidR="00BC6DD3" w:rsidRPr="00F56161" w14:paraId="17A58977" w14:textId="77777777" w:rsidTr="00054604">
        <w:trPr>
          <w:trHeight w:val="468"/>
        </w:trPr>
        <w:tc>
          <w:tcPr>
            <w:cnfStyle w:val="001000000000" w:firstRow="0" w:lastRow="0" w:firstColumn="1" w:lastColumn="0" w:oddVBand="0" w:evenVBand="0" w:oddHBand="0" w:evenHBand="0" w:firstRowFirstColumn="0" w:firstRowLastColumn="0" w:lastRowFirstColumn="0" w:lastRowLastColumn="0"/>
            <w:tcW w:w="3402" w:type="dxa"/>
          </w:tcPr>
          <w:p w14:paraId="042A034E" w14:textId="42741291" w:rsidR="005607DD" w:rsidRDefault="005607DD" w:rsidP="00054604">
            <w:pPr>
              <w:pStyle w:val="Tabletextbold"/>
              <w:rPr>
                <w:szCs w:val="18"/>
              </w:rPr>
            </w:pPr>
            <w:r>
              <w:t>Head and Neck Cancer Funding Proposal 2024</w:t>
            </w:r>
          </w:p>
        </w:tc>
        <w:tc>
          <w:tcPr>
            <w:tcW w:w="6634" w:type="dxa"/>
          </w:tcPr>
          <w:p w14:paraId="5ACD78F1" w14:textId="05003901" w:rsidR="005607DD" w:rsidRDefault="005607DD" w:rsidP="00054604">
            <w:pPr>
              <w:pStyle w:val="TableText"/>
              <w:cnfStyle w:val="000000000000" w:firstRow="0" w:lastRow="0" w:firstColumn="0" w:lastColumn="0" w:oddVBand="0" w:evenVBand="0" w:oddHBand="0" w:evenHBand="0" w:firstRowFirstColumn="0" w:firstRowLastColumn="0" w:lastRowFirstColumn="0" w:lastRowLastColumn="0"/>
            </w:pPr>
            <w:r w:rsidRPr="008B5BEF">
              <w:rPr>
                <w:szCs w:val="20"/>
              </w:rPr>
              <w:t>The Department</w:t>
            </w:r>
          </w:p>
        </w:tc>
      </w:tr>
      <w:tr w:rsidR="00BC6DD3" w:rsidRPr="00F56161" w14:paraId="0DD245B9" w14:textId="77777777" w:rsidTr="00054604">
        <w:trPr>
          <w:trHeight w:val="468"/>
        </w:trPr>
        <w:tc>
          <w:tcPr>
            <w:cnfStyle w:val="001000000000" w:firstRow="0" w:lastRow="0" w:firstColumn="1" w:lastColumn="0" w:oddVBand="0" w:evenVBand="0" w:oddHBand="0" w:evenHBand="0" w:firstRowFirstColumn="0" w:firstRowLastColumn="0" w:lastRowFirstColumn="0" w:lastRowLastColumn="0"/>
            <w:tcW w:w="3402" w:type="dxa"/>
          </w:tcPr>
          <w:p w14:paraId="058A76CE" w14:textId="1221E6E6" w:rsidR="005607DD" w:rsidRDefault="005607DD" w:rsidP="00054604">
            <w:pPr>
              <w:pStyle w:val="Tabletextbold"/>
              <w:rPr>
                <w:szCs w:val="18"/>
              </w:rPr>
            </w:pPr>
            <w:r>
              <w:t xml:space="preserve">Rare and Less </w:t>
            </w:r>
            <w:r>
              <w:rPr>
                <w:szCs w:val="18"/>
              </w:rPr>
              <w:t>Common Cancer Inquiry</w:t>
            </w:r>
          </w:p>
        </w:tc>
        <w:tc>
          <w:tcPr>
            <w:tcW w:w="6634" w:type="dxa"/>
          </w:tcPr>
          <w:p w14:paraId="2BFC6C44" w14:textId="74978A6A" w:rsidR="005607DD" w:rsidRDefault="005607DD" w:rsidP="00054604">
            <w:pPr>
              <w:pStyle w:val="TableText"/>
              <w:cnfStyle w:val="000000000000" w:firstRow="0" w:lastRow="0" w:firstColumn="0" w:lastColumn="0" w:oddVBand="0" w:evenVBand="0" w:oddHBand="0" w:evenHBand="0" w:firstRowFirstColumn="0" w:firstRowLastColumn="0" w:lastRowFirstColumn="0" w:lastRowLastColumn="0"/>
            </w:pPr>
            <w:r w:rsidRPr="008B5BEF">
              <w:rPr>
                <w:szCs w:val="20"/>
              </w:rPr>
              <w:t>The Department</w:t>
            </w:r>
          </w:p>
        </w:tc>
      </w:tr>
      <w:tr w:rsidR="00BC6DD3" w:rsidRPr="00F56161" w14:paraId="648C8389" w14:textId="77777777" w:rsidTr="00054604">
        <w:trPr>
          <w:trHeight w:val="468"/>
        </w:trPr>
        <w:tc>
          <w:tcPr>
            <w:cnfStyle w:val="001000000000" w:firstRow="0" w:lastRow="0" w:firstColumn="1" w:lastColumn="0" w:oddVBand="0" w:evenVBand="0" w:oddHBand="0" w:evenHBand="0" w:firstRowFirstColumn="0" w:firstRowLastColumn="0" w:lastRowFirstColumn="0" w:lastRowLastColumn="0"/>
            <w:tcW w:w="3402" w:type="dxa"/>
          </w:tcPr>
          <w:p w14:paraId="077D146C" w14:textId="10B06B8A" w:rsidR="000E17DD" w:rsidRDefault="000E17DD" w:rsidP="00054604">
            <w:pPr>
              <w:pStyle w:val="Tabletextbold"/>
              <w:rPr>
                <w:szCs w:val="18"/>
              </w:rPr>
            </w:pPr>
            <w:r>
              <w:t>AIHW Health System Expenditure on Prostate cancer</w:t>
            </w:r>
          </w:p>
        </w:tc>
        <w:tc>
          <w:tcPr>
            <w:tcW w:w="6634" w:type="dxa"/>
          </w:tcPr>
          <w:p w14:paraId="64852FED" w14:textId="485EE375" w:rsidR="000E17DD" w:rsidRPr="008B5BEF" w:rsidRDefault="000E17DD" w:rsidP="00054604">
            <w:pPr>
              <w:pStyle w:val="TableText"/>
              <w:cnfStyle w:val="000000000000" w:firstRow="0" w:lastRow="0" w:firstColumn="0" w:lastColumn="0" w:oddVBand="0" w:evenVBand="0" w:oddHBand="0" w:evenHBand="0" w:firstRowFirstColumn="0" w:firstRowLastColumn="0" w:lastRowFirstColumn="0" w:lastRowLastColumn="0"/>
              <w:rPr>
                <w:szCs w:val="20"/>
              </w:rPr>
            </w:pPr>
            <w:r>
              <w:rPr>
                <w:szCs w:val="20"/>
              </w:rPr>
              <w:t>Representative from peak body</w:t>
            </w:r>
          </w:p>
        </w:tc>
      </w:tr>
    </w:tbl>
    <w:p w14:paraId="01E03936" w14:textId="3FFFBB91" w:rsidR="002C385B" w:rsidRDefault="00C77FF3" w:rsidP="00054604">
      <w:pPr>
        <w:pStyle w:val="Caption-Source"/>
        <w:sectPr w:rsidR="002C385B" w:rsidSect="00F528C3">
          <w:pgSz w:w="11906" w:h="16838"/>
          <w:pgMar w:top="1418" w:right="851" w:bottom="1418" w:left="851" w:header="567" w:footer="284" w:gutter="0"/>
          <w:cols w:space="708"/>
          <w:docGrid w:linePitch="360"/>
        </w:sectPr>
      </w:pPr>
      <w:r w:rsidRPr="00C77FF3">
        <w:t xml:space="preserve">Source: </w:t>
      </w:r>
      <w:r w:rsidR="00B26691">
        <w:t>Independent reviewer</w:t>
      </w:r>
      <w:r w:rsidRPr="00C77FF3">
        <w:t xml:space="preserve"> (2025)</w:t>
      </w:r>
    </w:p>
    <w:p w14:paraId="797199AB" w14:textId="3FF110BF" w:rsidR="006249E8" w:rsidRDefault="006249E8" w:rsidP="00321D95">
      <w:pPr>
        <w:pStyle w:val="Appendixheading"/>
        <w:spacing w:after="360"/>
      </w:pPr>
      <w:bookmarkStart w:id="286" w:name="_Ref203123340"/>
      <w:bookmarkStart w:id="287" w:name="_Toc207348765"/>
      <w:bookmarkStart w:id="288" w:name="_Ref200966347"/>
      <w:r>
        <w:t xml:space="preserve">: </w:t>
      </w:r>
      <w:r w:rsidR="00380EBA">
        <w:t>F</w:t>
      </w:r>
      <w:r w:rsidR="00B47900">
        <w:t>acial prostheses services, programs and schemes</w:t>
      </w:r>
      <w:bookmarkEnd w:id="286"/>
      <w:bookmarkEnd w:id="287"/>
    </w:p>
    <w:p w14:paraId="6F62F02D" w14:textId="2F89C36E" w:rsidR="00B27C84" w:rsidRPr="00DD71E7" w:rsidRDefault="00B27C84" w:rsidP="00DD71E7">
      <w:r w:rsidRPr="00DD71E7">
        <w:t>This appendix includes details regarding the</w:t>
      </w:r>
      <w:r w:rsidR="002466F5" w:rsidRPr="00DD71E7">
        <w:t xml:space="preserve"> publicly funded</w:t>
      </w:r>
      <w:r w:rsidRPr="00DD71E7">
        <w:t xml:space="preserve"> facial prostheses services, programs and schemes </w:t>
      </w:r>
      <w:r w:rsidR="00321D95" w:rsidRPr="00DD71E7">
        <w:t xml:space="preserve">available </w:t>
      </w:r>
      <w:r w:rsidR="00110E9D" w:rsidRPr="00DD71E7">
        <w:t xml:space="preserve">via the DVA and </w:t>
      </w:r>
      <w:r w:rsidR="00321D95" w:rsidRPr="00DD71E7">
        <w:t xml:space="preserve">in the ACT, QLD, VIC and WA. </w:t>
      </w:r>
    </w:p>
    <w:p w14:paraId="1621231E" w14:textId="105F1604" w:rsidR="006249E8" w:rsidRDefault="00110E9D" w:rsidP="008239ED">
      <w:pPr>
        <w:pStyle w:val="AppendixHeading2"/>
      </w:pPr>
      <w:bookmarkStart w:id="289" w:name="_Toc207348766"/>
      <w:r>
        <w:t>Department of Veterans’ Affairs</w:t>
      </w:r>
      <w:bookmarkEnd w:id="289"/>
    </w:p>
    <w:p w14:paraId="702AF240" w14:textId="31304487" w:rsidR="00110E9D" w:rsidRDefault="00110E9D" w:rsidP="00110E9D">
      <w:pPr>
        <w:pStyle w:val="Caption"/>
      </w:pPr>
      <w:bookmarkStart w:id="290" w:name="_Ref200714540"/>
      <w:bookmarkStart w:id="291" w:name="_Toc207348673"/>
      <w:r>
        <w:t xml:space="preserve">Table </w:t>
      </w:r>
      <w:r w:rsidR="00E6799D">
        <w:fldChar w:fldCharType="begin"/>
      </w:r>
      <w:r w:rsidR="00E6799D">
        <w:instrText xml:space="preserve"> SEQ Table \* ARABIC </w:instrText>
      </w:r>
      <w:r w:rsidR="00E6799D">
        <w:fldChar w:fldCharType="separate"/>
      </w:r>
      <w:r w:rsidR="00E6799D">
        <w:rPr>
          <w:noProof/>
        </w:rPr>
        <w:t>108</w:t>
      </w:r>
      <w:r w:rsidR="00E6799D">
        <w:rPr>
          <w:noProof/>
        </w:rPr>
        <w:fldChar w:fldCharType="end"/>
      </w:r>
      <w:bookmarkEnd w:id="290"/>
      <w:r>
        <w:t xml:space="preserve">: DVA facial prostheses </w:t>
      </w:r>
      <w:r w:rsidRPr="00465CA6">
        <w:t>details</w:t>
      </w:r>
      <w:bookmarkEnd w:id="291"/>
    </w:p>
    <w:tbl>
      <w:tblPr>
        <w:tblStyle w:val="KPMGTable"/>
        <w:tblW w:w="10145" w:type="dxa"/>
        <w:tblLook w:val="04A0" w:firstRow="1" w:lastRow="0" w:firstColumn="1" w:lastColumn="0" w:noHBand="0" w:noVBand="1"/>
      </w:tblPr>
      <w:tblGrid>
        <w:gridCol w:w="2318"/>
        <w:gridCol w:w="7827"/>
      </w:tblGrid>
      <w:tr w:rsidR="00467133" w:rsidRPr="007B154A" w14:paraId="148ABE23" w14:textId="77777777" w:rsidTr="00054604">
        <w:trPr>
          <w:cnfStyle w:val="100000000000" w:firstRow="1" w:lastRow="0" w:firstColumn="0" w:lastColumn="0" w:oddVBand="0" w:evenVBand="0" w:oddHBand="0"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2318" w:type="dxa"/>
          </w:tcPr>
          <w:p w14:paraId="3A9C808E" w14:textId="77777777" w:rsidR="00110E9D" w:rsidRPr="007B154A" w:rsidRDefault="00110E9D" w:rsidP="00054604">
            <w:pPr>
              <w:pStyle w:val="TableHeading"/>
              <w:rPr>
                <w:b w:val="0"/>
                <w:color w:val="FFFFFF" w:themeColor="background1"/>
                <w:szCs w:val="20"/>
              </w:rPr>
            </w:pPr>
            <w:r>
              <w:t>Category</w:t>
            </w:r>
          </w:p>
        </w:tc>
        <w:tc>
          <w:tcPr>
            <w:tcW w:w="7827" w:type="dxa"/>
          </w:tcPr>
          <w:p w14:paraId="20FC9271" w14:textId="77777777" w:rsidR="00110E9D" w:rsidRPr="007B154A" w:rsidRDefault="00110E9D" w:rsidP="00054604">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 xml:space="preserve">Description </w:t>
            </w:r>
          </w:p>
        </w:tc>
      </w:tr>
      <w:tr w:rsidR="00BC6DD3" w:rsidRPr="001B05CB" w14:paraId="42FB2DB4" w14:textId="77777777" w:rsidTr="00054604">
        <w:trPr>
          <w:trHeight w:val="605"/>
        </w:trPr>
        <w:tc>
          <w:tcPr>
            <w:cnfStyle w:val="001000000000" w:firstRow="0" w:lastRow="0" w:firstColumn="1" w:lastColumn="0" w:oddVBand="0" w:evenVBand="0" w:oddHBand="0" w:evenHBand="0" w:firstRowFirstColumn="0" w:firstRowLastColumn="0" w:lastRowFirstColumn="0" w:lastRowLastColumn="0"/>
            <w:tcW w:w="2318" w:type="dxa"/>
          </w:tcPr>
          <w:p w14:paraId="29AD0A53" w14:textId="77777777" w:rsidR="00110E9D" w:rsidRPr="007B154A" w:rsidRDefault="00110E9D" w:rsidP="00054604">
            <w:pPr>
              <w:pStyle w:val="Tabletextbold"/>
              <w:rPr>
                <w:szCs w:val="20"/>
              </w:rPr>
            </w:pPr>
            <w:r>
              <w:t>Eligibility</w:t>
            </w:r>
            <w:r w:rsidRPr="007B154A">
              <w:rPr>
                <w:szCs w:val="20"/>
              </w:rPr>
              <w:t xml:space="preserve"> </w:t>
            </w:r>
            <w:r>
              <w:rPr>
                <w:szCs w:val="20"/>
              </w:rPr>
              <w:t>criteria</w:t>
            </w:r>
          </w:p>
        </w:tc>
        <w:tc>
          <w:tcPr>
            <w:tcW w:w="7827" w:type="dxa"/>
          </w:tcPr>
          <w:p w14:paraId="6E71E22C" w14:textId="77777777" w:rsidR="00110E9D" w:rsidRPr="005345D2" w:rsidRDefault="00110E9D" w:rsidP="00054604">
            <w:pPr>
              <w:pStyle w:val="TableBullet1"/>
              <w:cnfStyle w:val="000000000000" w:firstRow="0" w:lastRow="0" w:firstColumn="0" w:lastColumn="0" w:oddVBand="0" w:evenVBand="0" w:oddHBand="0" w:evenHBand="0" w:firstRowFirstColumn="0" w:firstRowLastColumn="0" w:lastRowFirstColumn="0" w:lastRowLastColumn="0"/>
            </w:pPr>
            <w:r w:rsidRPr="005345D2">
              <w:t>Holds either a Veteran Gold Card or Veteran White Card that covers cancer</w:t>
            </w:r>
          </w:p>
          <w:p w14:paraId="21FEB1E4" w14:textId="77777777" w:rsidR="00110E9D" w:rsidRPr="005345D2" w:rsidRDefault="00110E9D" w:rsidP="00054604">
            <w:pPr>
              <w:pStyle w:val="TableBullet1"/>
              <w:cnfStyle w:val="000000000000" w:firstRow="0" w:lastRow="0" w:firstColumn="0" w:lastColumn="0" w:oddVBand="0" w:evenVBand="0" w:oddHBand="0" w:evenHBand="0" w:firstRowFirstColumn="0" w:firstRowLastColumn="0" w:lastRowFirstColumn="0" w:lastRowLastColumn="0"/>
            </w:pPr>
            <w:r w:rsidRPr="005345D2">
              <w:t xml:space="preserve">Have a formal diagnosis of the relevant condition </w:t>
            </w:r>
          </w:p>
        </w:tc>
      </w:tr>
      <w:tr w:rsidR="00BC6DD3" w:rsidRPr="00FA30FA" w14:paraId="1D7CB139" w14:textId="77777777" w:rsidTr="00054604">
        <w:trPr>
          <w:trHeight w:val="106"/>
        </w:trPr>
        <w:tc>
          <w:tcPr>
            <w:cnfStyle w:val="001000000000" w:firstRow="0" w:lastRow="0" w:firstColumn="1" w:lastColumn="0" w:oddVBand="0" w:evenVBand="0" w:oddHBand="0" w:evenHBand="0" w:firstRowFirstColumn="0" w:firstRowLastColumn="0" w:lastRowFirstColumn="0" w:lastRowLastColumn="0"/>
            <w:tcW w:w="2318" w:type="dxa"/>
          </w:tcPr>
          <w:p w14:paraId="39151CDF" w14:textId="77777777" w:rsidR="00110E9D" w:rsidRPr="007B154A" w:rsidRDefault="00110E9D" w:rsidP="00054604">
            <w:pPr>
              <w:pStyle w:val="Tabletextbold"/>
              <w:rPr>
                <w:szCs w:val="20"/>
              </w:rPr>
            </w:pPr>
            <w:r>
              <w:t>Products and services included</w:t>
            </w:r>
          </w:p>
        </w:tc>
        <w:tc>
          <w:tcPr>
            <w:tcW w:w="7827" w:type="dxa"/>
          </w:tcPr>
          <w:p w14:paraId="7A015F9D" w14:textId="77777777" w:rsidR="00110E9D" w:rsidRDefault="00110E9D" w:rsidP="00054604">
            <w:pPr>
              <w:pStyle w:val="TableBullet1"/>
              <w:cnfStyle w:val="000000000000" w:firstRow="0" w:lastRow="0" w:firstColumn="0" w:lastColumn="0" w:oddVBand="0" w:evenVBand="0" w:oddHBand="0" w:evenHBand="0" w:firstRowFirstColumn="0" w:firstRowLastColumn="0" w:lastRowFirstColumn="0" w:lastRowLastColumn="0"/>
              <w:rPr>
                <w:szCs w:val="18"/>
              </w:rPr>
            </w:pPr>
            <w:r>
              <w:rPr>
                <w:szCs w:val="18"/>
              </w:rPr>
              <w:t>Ear prostheses</w:t>
            </w:r>
          </w:p>
          <w:p w14:paraId="21BE0A9D" w14:textId="77777777" w:rsidR="00110E9D" w:rsidRDefault="00110E9D" w:rsidP="00054604">
            <w:pPr>
              <w:pStyle w:val="TableBullet1"/>
              <w:cnfStyle w:val="000000000000" w:firstRow="0" w:lastRow="0" w:firstColumn="0" w:lastColumn="0" w:oddVBand="0" w:evenVBand="0" w:oddHBand="0" w:evenHBand="0" w:firstRowFirstColumn="0" w:firstRowLastColumn="0" w:lastRowFirstColumn="0" w:lastRowLastColumn="0"/>
              <w:rPr>
                <w:szCs w:val="18"/>
              </w:rPr>
            </w:pPr>
            <w:r>
              <w:rPr>
                <w:szCs w:val="18"/>
              </w:rPr>
              <w:t xml:space="preserve">Eye prostheses </w:t>
            </w:r>
          </w:p>
          <w:p w14:paraId="12A9F730" w14:textId="77777777" w:rsidR="00110E9D" w:rsidRPr="00A81F13" w:rsidRDefault="00110E9D" w:rsidP="00054604">
            <w:pPr>
              <w:pStyle w:val="TableBullet1"/>
              <w:cnfStyle w:val="000000000000" w:firstRow="0" w:lastRow="0" w:firstColumn="0" w:lastColumn="0" w:oddVBand="0" w:evenVBand="0" w:oddHBand="0" w:evenHBand="0" w:firstRowFirstColumn="0" w:firstRowLastColumn="0" w:lastRowFirstColumn="0" w:lastRowLastColumn="0"/>
              <w:rPr>
                <w:szCs w:val="18"/>
              </w:rPr>
            </w:pPr>
            <w:r>
              <w:rPr>
                <w:szCs w:val="18"/>
              </w:rPr>
              <w:t>Nose prostheses</w:t>
            </w:r>
          </w:p>
        </w:tc>
      </w:tr>
      <w:tr w:rsidR="00BC6DD3" w:rsidRPr="00FA30FA" w14:paraId="06458A03" w14:textId="77777777" w:rsidTr="00054604">
        <w:trPr>
          <w:trHeight w:val="467"/>
        </w:trPr>
        <w:tc>
          <w:tcPr>
            <w:cnfStyle w:val="001000000000" w:firstRow="0" w:lastRow="0" w:firstColumn="1" w:lastColumn="0" w:oddVBand="0" w:evenVBand="0" w:oddHBand="0" w:evenHBand="0" w:firstRowFirstColumn="0" w:firstRowLastColumn="0" w:lastRowFirstColumn="0" w:lastRowLastColumn="0"/>
            <w:tcW w:w="2318" w:type="dxa"/>
          </w:tcPr>
          <w:p w14:paraId="53A7A7CE" w14:textId="77777777" w:rsidR="00110E9D" w:rsidRDefault="00110E9D" w:rsidP="00054604">
            <w:pPr>
              <w:pStyle w:val="Tabletextbold"/>
              <w:rPr>
                <w:szCs w:val="20"/>
              </w:rPr>
            </w:pPr>
            <w:r>
              <w:t xml:space="preserve">Cost </w:t>
            </w:r>
            <w:r>
              <w:rPr>
                <w:szCs w:val="20"/>
              </w:rPr>
              <w:t>coverage</w:t>
            </w:r>
          </w:p>
        </w:tc>
        <w:tc>
          <w:tcPr>
            <w:tcW w:w="7827" w:type="dxa"/>
          </w:tcPr>
          <w:p w14:paraId="61DD6A58" w14:textId="77777777" w:rsidR="00110E9D" w:rsidRPr="009C1931" w:rsidRDefault="00110E9D" w:rsidP="00054604">
            <w:pPr>
              <w:pStyle w:val="TableBullet1"/>
              <w:cnfStyle w:val="000000000000" w:firstRow="0" w:lastRow="0" w:firstColumn="0" w:lastColumn="0" w:oddVBand="0" w:evenVBand="0" w:oddHBand="0" w:evenHBand="0" w:firstRowFirstColumn="0" w:firstRowLastColumn="0" w:lastRowFirstColumn="0" w:lastRowLastColumn="0"/>
            </w:pPr>
            <w:r w:rsidRPr="009C1931">
              <w:t xml:space="preserve">Covers the full cost with </w:t>
            </w:r>
            <w:proofErr w:type="gramStart"/>
            <w:r w:rsidRPr="009C1931">
              <w:t>no</w:t>
            </w:r>
            <w:proofErr w:type="gramEnd"/>
            <w:r w:rsidRPr="009C1931">
              <w:t xml:space="preserve"> out of pocket for the </w:t>
            </w:r>
            <w:r>
              <w:t>individual</w:t>
            </w:r>
          </w:p>
        </w:tc>
      </w:tr>
      <w:tr w:rsidR="00BC6DD3" w:rsidRPr="00FA30FA" w14:paraId="6B3829C6" w14:textId="77777777" w:rsidTr="00054604">
        <w:trPr>
          <w:trHeight w:val="434"/>
        </w:trPr>
        <w:tc>
          <w:tcPr>
            <w:cnfStyle w:val="001000000000" w:firstRow="0" w:lastRow="0" w:firstColumn="1" w:lastColumn="0" w:oddVBand="0" w:evenVBand="0" w:oddHBand="0" w:evenHBand="0" w:firstRowFirstColumn="0" w:firstRowLastColumn="0" w:lastRowFirstColumn="0" w:lastRowLastColumn="0"/>
            <w:tcW w:w="0" w:type="dxa"/>
          </w:tcPr>
          <w:p w14:paraId="34CC58FA" w14:textId="77777777" w:rsidR="00110E9D" w:rsidRDefault="00110E9D" w:rsidP="00054604">
            <w:pPr>
              <w:pStyle w:val="Tabletextbold"/>
              <w:rPr>
                <w:szCs w:val="20"/>
              </w:rPr>
            </w:pPr>
            <w:r>
              <w:t>Repairs and warranty</w:t>
            </w:r>
          </w:p>
        </w:tc>
        <w:tc>
          <w:tcPr>
            <w:tcW w:w="0" w:type="dxa"/>
          </w:tcPr>
          <w:p w14:paraId="1E7E3807" w14:textId="77777777" w:rsidR="00110E9D" w:rsidRPr="009C1931" w:rsidRDefault="00110E9D" w:rsidP="00054604">
            <w:pPr>
              <w:pStyle w:val="TableBullet1"/>
              <w:cnfStyle w:val="000000000000" w:firstRow="0" w:lastRow="0" w:firstColumn="0" w:lastColumn="0" w:oddVBand="0" w:evenVBand="0" w:oddHBand="0" w:evenHBand="0" w:firstRowFirstColumn="0" w:firstRowLastColumn="0" w:lastRowFirstColumn="0" w:lastRowLastColumn="0"/>
            </w:pPr>
            <w:r>
              <w:t xml:space="preserve">DVA accepts the financial responsibility for items not covered under the warranty period. </w:t>
            </w:r>
          </w:p>
        </w:tc>
      </w:tr>
      <w:tr w:rsidR="00BC6DD3" w:rsidRPr="00FA30FA" w14:paraId="56D1BB9F" w14:textId="77777777" w:rsidTr="00054604">
        <w:trPr>
          <w:trHeight w:val="437"/>
        </w:trPr>
        <w:tc>
          <w:tcPr>
            <w:cnfStyle w:val="001000000000" w:firstRow="0" w:lastRow="0" w:firstColumn="1" w:lastColumn="0" w:oddVBand="0" w:evenVBand="0" w:oddHBand="0" w:evenHBand="0" w:firstRowFirstColumn="0" w:firstRowLastColumn="0" w:lastRowFirstColumn="0" w:lastRowLastColumn="0"/>
            <w:tcW w:w="0" w:type="dxa"/>
          </w:tcPr>
          <w:p w14:paraId="64A78AD6" w14:textId="77777777" w:rsidR="00110E9D" w:rsidRDefault="00110E9D" w:rsidP="00054604">
            <w:pPr>
              <w:pStyle w:val="Tabletextbold"/>
              <w:rPr>
                <w:szCs w:val="20"/>
              </w:rPr>
            </w:pPr>
            <w:r>
              <w:t xml:space="preserve">Referral pathway </w:t>
            </w:r>
          </w:p>
        </w:tc>
        <w:tc>
          <w:tcPr>
            <w:tcW w:w="0" w:type="dxa"/>
          </w:tcPr>
          <w:p w14:paraId="0A8621F7" w14:textId="276DF3FE" w:rsidR="00110E9D" w:rsidRPr="008F702F" w:rsidRDefault="00110E9D" w:rsidP="00054604">
            <w:pPr>
              <w:pStyle w:val="TableBullet1"/>
              <w:cnfStyle w:val="000000000000" w:firstRow="0" w:lastRow="0" w:firstColumn="0" w:lastColumn="0" w:oddVBand="0" w:evenVBand="0" w:oddHBand="0" w:evenHBand="0" w:firstRowFirstColumn="0" w:firstRowLastColumn="0" w:lastRowFirstColumn="0" w:lastRowLastColumn="0"/>
            </w:pPr>
            <w:r>
              <w:t>Requires prescription or recommendation from a GP, or specialist who submits a RAP form</w:t>
            </w:r>
          </w:p>
        </w:tc>
      </w:tr>
      <w:tr w:rsidR="00BC6DD3" w:rsidRPr="00FA30FA" w14:paraId="27412CB6" w14:textId="77777777" w:rsidTr="00054604">
        <w:trPr>
          <w:trHeight w:val="602"/>
        </w:trPr>
        <w:tc>
          <w:tcPr>
            <w:cnfStyle w:val="001000000000" w:firstRow="0" w:lastRow="0" w:firstColumn="1" w:lastColumn="0" w:oddVBand="0" w:evenVBand="0" w:oddHBand="0" w:evenHBand="0" w:firstRowFirstColumn="0" w:firstRowLastColumn="0" w:lastRowFirstColumn="0" w:lastRowLastColumn="0"/>
            <w:tcW w:w="2318" w:type="dxa"/>
          </w:tcPr>
          <w:p w14:paraId="4717BA1F" w14:textId="77777777" w:rsidR="00110E9D" w:rsidRPr="00696E09" w:rsidRDefault="00110E9D" w:rsidP="00054604">
            <w:pPr>
              <w:pStyle w:val="Tabletextbold"/>
              <w:rPr>
                <w:szCs w:val="20"/>
              </w:rPr>
            </w:pPr>
            <w:r w:rsidRPr="00696E09">
              <w:t>Settings in which prostheses may be accessed</w:t>
            </w:r>
          </w:p>
        </w:tc>
        <w:tc>
          <w:tcPr>
            <w:tcW w:w="7827" w:type="dxa"/>
          </w:tcPr>
          <w:p w14:paraId="744C1EA9" w14:textId="77777777" w:rsidR="00110E9D" w:rsidRPr="00696E09" w:rsidRDefault="00110E9D" w:rsidP="00054604">
            <w:pPr>
              <w:pStyle w:val="TableBullet1"/>
              <w:cnfStyle w:val="000000000000" w:firstRow="0" w:lastRow="0" w:firstColumn="0" w:lastColumn="0" w:oddVBand="0" w:evenVBand="0" w:oddHBand="0" w:evenHBand="0" w:firstRowFirstColumn="0" w:firstRowLastColumn="0" w:lastRowFirstColumn="0" w:lastRowLastColumn="0"/>
              <w:rPr>
                <w:b/>
                <w:szCs w:val="20"/>
              </w:rPr>
            </w:pPr>
            <w:r>
              <w:t>Facial</w:t>
            </w:r>
            <w:r w:rsidRPr="00696E09">
              <w:t xml:space="preserve"> prostheses do not have a contracted supplier and is therefore up to the discretion of the health care professional to choose a relevant supplier.  </w:t>
            </w:r>
          </w:p>
        </w:tc>
      </w:tr>
      <w:tr w:rsidR="00BC6DD3" w:rsidRPr="00FA30FA" w14:paraId="6B8E6A9A" w14:textId="77777777" w:rsidTr="00054604">
        <w:trPr>
          <w:trHeight w:val="487"/>
        </w:trPr>
        <w:tc>
          <w:tcPr>
            <w:cnfStyle w:val="001000000000" w:firstRow="0" w:lastRow="0" w:firstColumn="1" w:lastColumn="0" w:oddVBand="0" w:evenVBand="0" w:oddHBand="0" w:evenHBand="0" w:firstRowFirstColumn="0" w:firstRowLastColumn="0" w:lastRowFirstColumn="0" w:lastRowLastColumn="0"/>
            <w:tcW w:w="0" w:type="dxa"/>
          </w:tcPr>
          <w:p w14:paraId="0A5D0A94" w14:textId="77777777" w:rsidR="00110E9D" w:rsidRDefault="00110E9D" w:rsidP="00054604">
            <w:pPr>
              <w:pStyle w:val="Tabletextbold"/>
              <w:rPr>
                <w:szCs w:val="20"/>
              </w:rPr>
            </w:pPr>
            <w:r>
              <w:t>Clinicians involved</w:t>
            </w:r>
          </w:p>
        </w:tc>
        <w:tc>
          <w:tcPr>
            <w:tcW w:w="0" w:type="dxa"/>
          </w:tcPr>
          <w:p w14:paraId="2E6B75AE" w14:textId="4036249A" w:rsidR="00110E9D" w:rsidRPr="008F702F" w:rsidRDefault="00110E9D" w:rsidP="00054604">
            <w:pPr>
              <w:pStyle w:val="TableBullet1"/>
              <w:cnfStyle w:val="000000000000" w:firstRow="0" w:lastRow="0" w:firstColumn="0" w:lastColumn="0" w:oddVBand="0" w:evenVBand="0" w:oddHBand="0" w:evenHBand="0" w:firstRowFirstColumn="0" w:firstRowLastColumn="0" w:lastRowFirstColumn="0" w:lastRowLastColumn="0"/>
            </w:pPr>
            <w:r>
              <w:t>GP or specialist provides a prescription and submits a RAP form to DVA</w:t>
            </w:r>
          </w:p>
        </w:tc>
      </w:tr>
      <w:tr w:rsidR="00BC6DD3" w:rsidRPr="00FA30FA" w14:paraId="6EF02086" w14:textId="77777777" w:rsidTr="00054604">
        <w:trPr>
          <w:trHeight w:val="435"/>
        </w:trPr>
        <w:tc>
          <w:tcPr>
            <w:cnfStyle w:val="001000000000" w:firstRow="0" w:lastRow="0" w:firstColumn="1" w:lastColumn="0" w:oddVBand="0" w:evenVBand="0" w:oddHBand="0" w:evenHBand="0" w:firstRowFirstColumn="0" w:firstRowLastColumn="0" w:lastRowFirstColumn="0" w:lastRowLastColumn="0"/>
            <w:tcW w:w="2318" w:type="dxa"/>
          </w:tcPr>
          <w:p w14:paraId="519C8058" w14:textId="77777777" w:rsidR="00110E9D" w:rsidRDefault="00110E9D" w:rsidP="00054604">
            <w:pPr>
              <w:pStyle w:val="Tabletextbold"/>
              <w:rPr>
                <w:szCs w:val="20"/>
              </w:rPr>
            </w:pPr>
            <w:r>
              <w:t>Funded by</w:t>
            </w:r>
          </w:p>
        </w:tc>
        <w:tc>
          <w:tcPr>
            <w:tcW w:w="7827" w:type="dxa"/>
          </w:tcPr>
          <w:p w14:paraId="7BF4871B" w14:textId="77777777" w:rsidR="00110E9D" w:rsidRDefault="00110E9D" w:rsidP="00054604">
            <w:pPr>
              <w:pStyle w:val="TableBullet1"/>
              <w:cnfStyle w:val="000000000000" w:firstRow="0" w:lastRow="0" w:firstColumn="0" w:lastColumn="0" w:oddVBand="0" w:evenVBand="0" w:oddHBand="0" w:evenHBand="0" w:firstRowFirstColumn="0" w:firstRowLastColumn="0" w:lastRowFirstColumn="0" w:lastRowLastColumn="0"/>
            </w:pPr>
            <w:r>
              <w:t xml:space="preserve">Australian Government </w:t>
            </w:r>
          </w:p>
        </w:tc>
      </w:tr>
      <w:tr w:rsidR="00BC6DD3" w:rsidRPr="00FA30FA" w14:paraId="2DBC8410" w14:textId="77777777" w:rsidTr="00054604">
        <w:trPr>
          <w:trHeight w:val="602"/>
        </w:trPr>
        <w:tc>
          <w:tcPr>
            <w:cnfStyle w:val="001000000000" w:firstRow="0" w:lastRow="0" w:firstColumn="1" w:lastColumn="0" w:oddVBand="0" w:evenVBand="0" w:oddHBand="0" w:evenHBand="0" w:firstRowFirstColumn="0" w:firstRowLastColumn="0" w:lastRowFirstColumn="0" w:lastRowLastColumn="0"/>
            <w:tcW w:w="2318" w:type="dxa"/>
          </w:tcPr>
          <w:p w14:paraId="0D1CAF7E" w14:textId="77777777" w:rsidR="00110E9D" w:rsidRDefault="00110E9D" w:rsidP="00054604">
            <w:pPr>
              <w:pStyle w:val="Tabletextbold"/>
              <w:rPr>
                <w:szCs w:val="20"/>
              </w:rPr>
            </w:pPr>
            <w:r>
              <w:t>Role of Australian government</w:t>
            </w:r>
          </w:p>
        </w:tc>
        <w:tc>
          <w:tcPr>
            <w:tcW w:w="7827" w:type="dxa"/>
          </w:tcPr>
          <w:p w14:paraId="20851D29" w14:textId="77777777" w:rsidR="00110E9D" w:rsidRDefault="00110E9D" w:rsidP="00054604">
            <w:pPr>
              <w:pStyle w:val="TableBullet1"/>
              <w:cnfStyle w:val="000000000000" w:firstRow="0" w:lastRow="0" w:firstColumn="0" w:lastColumn="0" w:oddVBand="0" w:evenVBand="0" w:oddHBand="0" w:evenHBand="0" w:firstRowFirstColumn="0" w:firstRowLastColumn="0" w:lastRowFirstColumn="0" w:lastRowLastColumn="0"/>
            </w:pPr>
            <w:r>
              <w:t xml:space="preserve">Funds and administers the DVA </w:t>
            </w:r>
            <w:r w:rsidRPr="008A5D7C">
              <w:t>Rehabilitation Appliances Program</w:t>
            </w:r>
          </w:p>
        </w:tc>
      </w:tr>
      <w:tr w:rsidR="00BC6DD3" w:rsidRPr="00FA30FA" w14:paraId="133F6857" w14:textId="77777777" w:rsidTr="00054604">
        <w:trPr>
          <w:trHeight w:val="602"/>
        </w:trPr>
        <w:tc>
          <w:tcPr>
            <w:cnfStyle w:val="001000000000" w:firstRow="0" w:lastRow="0" w:firstColumn="1" w:lastColumn="0" w:oddVBand="0" w:evenVBand="0" w:oddHBand="0" w:evenHBand="0" w:firstRowFirstColumn="0" w:firstRowLastColumn="0" w:lastRowFirstColumn="0" w:lastRowLastColumn="0"/>
            <w:tcW w:w="2318" w:type="dxa"/>
          </w:tcPr>
          <w:p w14:paraId="34232F4F" w14:textId="77777777" w:rsidR="00110E9D" w:rsidRDefault="00110E9D" w:rsidP="00054604">
            <w:pPr>
              <w:pStyle w:val="Tabletextbold"/>
              <w:rPr>
                <w:szCs w:val="20"/>
              </w:rPr>
            </w:pPr>
            <w:r>
              <w:t>Role of state/territory governments</w:t>
            </w:r>
          </w:p>
        </w:tc>
        <w:tc>
          <w:tcPr>
            <w:tcW w:w="7827" w:type="dxa"/>
          </w:tcPr>
          <w:p w14:paraId="44DAA6D7" w14:textId="77777777" w:rsidR="00110E9D" w:rsidRDefault="00110E9D" w:rsidP="00054604">
            <w:pPr>
              <w:pStyle w:val="TableBullet1"/>
              <w:cnfStyle w:val="000000000000" w:firstRow="0" w:lastRow="0" w:firstColumn="0" w:lastColumn="0" w:oddVBand="0" w:evenVBand="0" w:oddHBand="0" w:evenHBand="0" w:firstRowFirstColumn="0" w:firstRowLastColumn="0" w:lastRowFirstColumn="0" w:lastRowLastColumn="0"/>
            </w:pPr>
            <w:r>
              <w:t xml:space="preserve">None </w:t>
            </w:r>
          </w:p>
        </w:tc>
      </w:tr>
    </w:tbl>
    <w:p w14:paraId="3D23F633" w14:textId="308F4B55" w:rsidR="00110E9D" w:rsidRDefault="00110E9D" w:rsidP="00054604">
      <w:pPr>
        <w:pStyle w:val="Caption-Source"/>
      </w:pPr>
      <w:r w:rsidRPr="00DE7450">
        <w:t>Source: DVA (2023)</w:t>
      </w:r>
      <w:r>
        <w:rPr>
          <w:rFonts w:ascii="ZWAdobeF" w:hAnsi="ZWAdobeF" w:cs="ZWAdobeF"/>
          <w:color w:val="auto"/>
          <w:sz w:val="2"/>
          <w:szCs w:val="2"/>
        </w:rPr>
        <w:t>81F</w:t>
      </w:r>
      <w:r w:rsidRPr="00DE7450">
        <w:rPr>
          <w:rStyle w:val="FootnoteReference"/>
          <w:i/>
          <w:szCs w:val="20"/>
        </w:rPr>
        <w:footnoteReference w:id="172"/>
      </w:r>
    </w:p>
    <w:p w14:paraId="4877DC7B" w14:textId="77777777" w:rsidR="00EA0A4D" w:rsidRPr="00EA0A4D" w:rsidRDefault="00EA0A4D" w:rsidP="00EA0A4D">
      <w:bookmarkStart w:id="292" w:name="_Ref201073066"/>
      <w:r>
        <w:br w:type="page"/>
      </w:r>
    </w:p>
    <w:p w14:paraId="644A5199" w14:textId="77777777" w:rsidR="00110E9D" w:rsidRDefault="00110E9D" w:rsidP="008239ED">
      <w:pPr>
        <w:pStyle w:val="AppendixHeading2"/>
      </w:pPr>
      <w:bookmarkStart w:id="293" w:name="_Toc207348767"/>
      <w:r>
        <w:t>Australian Capital Territory</w:t>
      </w:r>
      <w:bookmarkEnd w:id="293"/>
    </w:p>
    <w:p w14:paraId="23472957" w14:textId="07AF2701" w:rsidR="00C7217D" w:rsidRDefault="00C7217D" w:rsidP="00C7217D">
      <w:pPr>
        <w:pStyle w:val="Caption"/>
      </w:pPr>
      <w:bookmarkStart w:id="294" w:name="_Toc207348674"/>
      <w:r>
        <w:t xml:space="preserve">Table </w:t>
      </w:r>
      <w:r w:rsidR="00E6799D">
        <w:fldChar w:fldCharType="begin"/>
      </w:r>
      <w:r w:rsidR="00E6799D">
        <w:instrText xml:space="preserve"> SEQ Table \* ARABIC </w:instrText>
      </w:r>
      <w:r w:rsidR="00E6799D">
        <w:fldChar w:fldCharType="separate"/>
      </w:r>
      <w:r w:rsidR="00E6799D">
        <w:rPr>
          <w:noProof/>
        </w:rPr>
        <w:t>109</w:t>
      </w:r>
      <w:r w:rsidR="00E6799D">
        <w:rPr>
          <w:noProof/>
        </w:rPr>
        <w:fldChar w:fldCharType="end"/>
      </w:r>
      <w:bookmarkEnd w:id="292"/>
      <w:r>
        <w:t>: Canberra Health Service prosthetic eye scheme details</w:t>
      </w:r>
      <w:bookmarkEnd w:id="294"/>
    </w:p>
    <w:tbl>
      <w:tblPr>
        <w:tblStyle w:val="KPMGTable"/>
        <w:tblW w:w="10201" w:type="dxa"/>
        <w:tblLook w:val="04A0" w:firstRow="1" w:lastRow="0" w:firstColumn="1" w:lastColumn="0" w:noHBand="0" w:noVBand="1"/>
      </w:tblPr>
      <w:tblGrid>
        <w:gridCol w:w="1323"/>
        <w:gridCol w:w="8878"/>
      </w:tblGrid>
      <w:tr w:rsidR="00772257" w:rsidRPr="007B154A" w14:paraId="04BFB505" w14:textId="77777777" w:rsidTr="00694962">
        <w:trPr>
          <w:cnfStyle w:val="100000000000" w:firstRow="1" w:lastRow="0" w:firstColumn="0" w:lastColumn="0" w:oddVBand="0" w:evenVBand="0" w:oddHBand="0"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0" w:type="dxa"/>
          </w:tcPr>
          <w:p w14:paraId="7C09A60D" w14:textId="77777777" w:rsidR="00C7217D" w:rsidRPr="007B154A" w:rsidRDefault="00C7217D" w:rsidP="00694962">
            <w:pPr>
              <w:pStyle w:val="TableHeading"/>
              <w:rPr>
                <w:b w:val="0"/>
                <w:color w:val="FFFFFF" w:themeColor="background1"/>
                <w:szCs w:val="20"/>
              </w:rPr>
            </w:pPr>
            <w:r>
              <w:t>Category</w:t>
            </w:r>
          </w:p>
        </w:tc>
        <w:tc>
          <w:tcPr>
            <w:tcW w:w="8500" w:type="dxa"/>
          </w:tcPr>
          <w:p w14:paraId="19344174" w14:textId="77777777" w:rsidR="00C7217D" w:rsidRPr="007B154A" w:rsidRDefault="00C7217D" w:rsidP="0069496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 xml:space="preserve">Description </w:t>
            </w:r>
          </w:p>
        </w:tc>
      </w:tr>
      <w:tr w:rsidR="00C35284" w:rsidRPr="001B05CB" w14:paraId="1C2CB649" w14:textId="77777777" w:rsidTr="00694962">
        <w:trPr>
          <w:trHeight w:val="578"/>
        </w:trPr>
        <w:tc>
          <w:tcPr>
            <w:cnfStyle w:val="001000000000" w:firstRow="0" w:lastRow="0" w:firstColumn="1" w:lastColumn="0" w:oddVBand="0" w:evenVBand="0" w:oddHBand="0" w:evenHBand="0" w:firstRowFirstColumn="0" w:firstRowLastColumn="0" w:lastRowFirstColumn="0" w:lastRowLastColumn="0"/>
            <w:tcW w:w="0" w:type="dxa"/>
          </w:tcPr>
          <w:p w14:paraId="499024EE" w14:textId="77777777" w:rsidR="00C7217D" w:rsidRPr="007B154A" w:rsidRDefault="00C7217D" w:rsidP="00694962">
            <w:pPr>
              <w:pStyle w:val="Tabletextbold"/>
              <w:rPr>
                <w:szCs w:val="20"/>
              </w:rPr>
            </w:pPr>
            <w:r>
              <w:t>Eligibility</w:t>
            </w:r>
            <w:r w:rsidRPr="007B154A">
              <w:rPr>
                <w:szCs w:val="20"/>
              </w:rPr>
              <w:t xml:space="preserve"> </w:t>
            </w:r>
            <w:r>
              <w:rPr>
                <w:szCs w:val="20"/>
              </w:rPr>
              <w:t>criteria</w:t>
            </w:r>
          </w:p>
        </w:tc>
        <w:tc>
          <w:tcPr>
            <w:tcW w:w="8500" w:type="dxa"/>
          </w:tcPr>
          <w:p w14:paraId="39E5AD6E" w14:textId="77777777" w:rsidR="00C7217D" w:rsidRDefault="00C7217D" w:rsidP="00694962">
            <w:pPr>
              <w:pStyle w:val="TableBullet1"/>
              <w:cnfStyle w:val="000000000000" w:firstRow="0" w:lastRow="0" w:firstColumn="0" w:lastColumn="0" w:oddVBand="0" w:evenVBand="0" w:oddHBand="0" w:evenHBand="0" w:firstRowFirstColumn="0" w:firstRowLastColumn="0" w:lastRowFirstColumn="0" w:lastRowLastColumn="0"/>
            </w:pPr>
            <w:r>
              <w:t>Resident of the ACT</w:t>
            </w:r>
          </w:p>
          <w:p w14:paraId="3B3B2F2D" w14:textId="77777777" w:rsidR="00C7217D" w:rsidRDefault="00C7217D" w:rsidP="00694962">
            <w:pPr>
              <w:pStyle w:val="TableBullet1"/>
              <w:cnfStyle w:val="000000000000" w:firstRow="0" w:lastRow="0" w:firstColumn="0" w:lastColumn="0" w:oddVBand="0" w:evenVBand="0" w:oddHBand="0" w:evenHBand="0" w:firstRowFirstColumn="0" w:firstRowLastColumn="0" w:lastRowFirstColumn="0" w:lastRowLastColumn="0"/>
            </w:pPr>
            <w:r>
              <w:t>Recommendation received by an ophthalmologist</w:t>
            </w:r>
          </w:p>
          <w:p w14:paraId="688D9F7F" w14:textId="7826ECCD" w:rsidR="00C7217D" w:rsidRPr="009C1931" w:rsidRDefault="00C7217D" w:rsidP="00694962">
            <w:pPr>
              <w:pStyle w:val="TableBullet1"/>
              <w:cnfStyle w:val="000000000000" w:firstRow="0" w:lastRow="0" w:firstColumn="0" w:lastColumn="0" w:oddVBand="0" w:evenVBand="0" w:oddHBand="0" w:evenHBand="0" w:firstRowFirstColumn="0" w:firstRowLastColumn="0" w:lastRowFirstColumn="0" w:lastRowLastColumn="0"/>
            </w:pPr>
            <w:r>
              <w:t xml:space="preserve">Remaining biologic eye (if present) has been examined within the last two year by an ophthalmologist or optometrist </w:t>
            </w:r>
          </w:p>
        </w:tc>
      </w:tr>
      <w:tr w:rsidR="00C35284" w:rsidRPr="00FA30FA" w14:paraId="6FDA2352" w14:textId="77777777" w:rsidTr="00694962">
        <w:trPr>
          <w:trHeight w:val="576"/>
        </w:trPr>
        <w:tc>
          <w:tcPr>
            <w:cnfStyle w:val="001000000000" w:firstRow="0" w:lastRow="0" w:firstColumn="1" w:lastColumn="0" w:oddVBand="0" w:evenVBand="0" w:oddHBand="0" w:evenHBand="0" w:firstRowFirstColumn="0" w:firstRowLastColumn="0" w:lastRowFirstColumn="0" w:lastRowLastColumn="0"/>
            <w:tcW w:w="0" w:type="dxa"/>
          </w:tcPr>
          <w:p w14:paraId="7A59DE9D" w14:textId="77777777" w:rsidR="00C7217D" w:rsidRPr="007B154A" w:rsidRDefault="00C7217D" w:rsidP="00694962">
            <w:pPr>
              <w:pStyle w:val="Tabletextbold"/>
              <w:rPr>
                <w:szCs w:val="20"/>
              </w:rPr>
            </w:pPr>
            <w:r>
              <w:t>Products and services included</w:t>
            </w:r>
          </w:p>
        </w:tc>
        <w:tc>
          <w:tcPr>
            <w:tcW w:w="8500" w:type="dxa"/>
          </w:tcPr>
          <w:p w14:paraId="64BE33E7" w14:textId="77777777" w:rsidR="00C7217D" w:rsidRPr="00FD5CFD" w:rsidRDefault="00C7217D" w:rsidP="00694962">
            <w:pPr>
              <w:pStyle w:val="TableBullet1"/>
              <w:cnfStyle w:val="000000000000" w:firstRow="0" w:lastRow="0" w:firstColumn="0" w:lastColumn="0" w:oddVBand="0" w:evenVBand="0" w:oddHBand="0" w:evenHBand="0" w:firstRowFirstColumn="0" w:firstRowLastColumn="0" w:lastRowFirstColumn="0" w:lastRowLastColumn="0"/>
            </w:pPr>
            <w:r>
              <w:t>Prosthetic eye or eyes (if bilaterial prosthetics are required)</w:t>
            </w:r>
          </w:p>
        </w:tc>
      </w:tr>
      <w:tr w:rsidR="00C35284" w:rsidRPr="00FA30FA" w14:paraId="2FDB6815" w14:textId="77777777" w:rsidTr="00694962">
        <w:trPr>
          <w:trHeight w:val="437"/>
        </w:trPr>
        <w:tc>
          <w:tcPr>
            <w:cnfStyle w:val="001000000000" w:firstRow="0" w:lastRow="0" w:firstColumn="1" w:lastColumn="0" w:oddVBand="0" w:evenVBand="0" w:oddHBand="0" w:evenHBand="0" w:firstRowFirstColumn="0" w:firstRowLastColumn="0" w:lastRowFirstColumn="0" w:lastRowLastColumn="0"/>
            <w:tcW w:w="0" w:type="dxa"/>
          </w:tcPr>
          <w:p w14:paraId="1E89EB0A" w14:textId="77777777" w:rsidR="00C7217D" w:rsidRDefault="00C7217D" w:rsidP="00694962">
            <w:pPr>
              <w:pStyle w:val="Tabletextbold"/>
              <w:rPr>
                <w:szCs w:val="20"/>
              </w:rPr>
            </w:pPr>
            <w:r>
              <w:t>Cost coverage</w:t>
            </w:r>
          </w:p>
        </w:tc>
        <w:tc>
          <w:tcPr>
            <w:tcW w:w="8500" w:type="dxa"/>
          </w:tcPr>
          <w:p w14:paraId="2C0AA7FD" w14:textId="085771E8" w:rsidR="00C7217D" w:rsidRPr="009C1931" w:rsidRDefault="00C7217D" w:rsidP="00694962">
            <w:pPr>
              <w:pStyle w:val="TableBullet1"/>
              <w:cnfStyle w:val="000000000000" w:firstRow="0" w:lastRow="0" w:firstColumn="0" w:lastColumn="0" w:oddVBand="0" w:evenVBand="0" w:oddHBand="0" w:evenHBand="0" w:firstRowFirstColumn="0" w:firstRowLastColumn="0" w:lastRowFirstColumn="0" w:lastRowLastColumn="0"/>
            </w:pPr>
            <w:r>
              <w:t>T</w:t>
            </w:r>
            <w:r w:rsidRPr="009C1931">
              <w:t xml:space="preserve">he full cost </w:t>
            </w:r>
            <w:r>
              <w:t xml:space="preserve">of the prosthesis and componentry, </w:t>
            </w:r>
            <w:r w:rsidRPr="009C1931">
              <w:t xml:space="preserve">with </w:t>
            </w:r>
            <w:proofErr w:type="gramStart"/>
            <w:r w:rsidRPr="009C1931">
              <w:t>no</w:t>
            </w:r>
            <w:proofErr w:type="gramEnd"/>
            <w:r w:rsidRPr="009C1931">
              <w:t xml:space="preserve"> out of pocket for the </w:t>
            </w:r>
            <w:r>
              <w:t>individual</w:t>
            </w:r>
          </w:p>
        </w:tc>
      </w:tr>
      <w:tr w:rsidR="00C35284" w:rsidRPr="00FA30FA" w14:paraId="56B4834E" w14:textId="77777777" w:rsidTr="00694962">
        <w:trPr>
          <w:trHeight w:val="576"/>
        </w:trPr>
        <w:tc>
          <w:tcPr>
            <w:cnfStyle w:val="001000000000" w:firstRow="0" w:lastRow="0" w:firstColumn="1" w:lastColumn="0" w:oddVBand="0" w:evenVBand="0" w:oddHBand="0" w:evenHBand="0" w:firstRowFirstColumn="0" w:firstRowLastColumn="0" w:lastRowFirstColumn="0" w:lastRowLastColumn="0"/>
            <w:tcW w:w="0" w:type="dxa"/>
          </w:tcPr>
          <w:p w14:paraId="0F34B8EF" w14:textId="77777777" w:rsidR="00C7217D" w:rsidRDefault="00C7217D" w:rsidP="00694962">
            <w:pPr>
              <w:pStyle w:val="Tabletextbold"/>
              <w:rPr>
                <w:szCs w:val="20"/>
              </w:rPr>
            </w:pPr>
            <w:r>
              <w:t>Repairs and warranty</w:t>
            </w:r>
          </w:p>
        </w:tc>
        <w:tc>
          <w:tcPr>
            <w:tcW w:w="8500" w:type="dxa"/>
          </w:tcPr>
          <w:p w14:paraId="74A7715A" w14:textId="1DB98775" w:rsidR="00C7217D" w:rsidRPr="0092434F" w:rsidRDefault="00C7217D" w:rsidP="00694962">
            <w:pPr>
              <w:pStyle w:val="TableBullet1"/>
              <w:cnfStyle w:val="000000000000" w:firstRow="0" w:lastRow="0" w:firstColumn="0" w:lastColumn="0" w:oddVBand="0" w:evenVBand="0" w:oddHBand="0" w:evenHBand="0" w:firstRowFirstColumn="0" w:firstRowLastColumn="0" w:lastRowFirstColumn="0" w:lastRowLastColumn="0"/>
            </w:pPr>
            <w:r>
              <w:t xml:space="preserve">Replacement of the prosthetic eye every five years or if clinically unsatisfactory </w:t>
            </w:r>
          </w:p>
        </w:tc>
      </w:tr>
      <w:tr w:rsidR="00C35284" w:rsidRPr="00FA30FA" w14:paraId="08F6B535" w14:textId="77777777" w:rsidTr="00694962">
        <w:trPr>
          <w:trHeight w:val="576"/>
        </w:trPr>
        <w:tc>
          <w:tcPr>
            <w:cnfStyle w:val="001000000000" w:firstRow="0" w:lastRow="0" w:firstColumn="1" w:lastColumn="0" w:oddVBand="0" w:evenVBand="0" w:oddHBand="0" w:evenHBand="0" w:firstRowFirstColumn="0" w:firstRowLastColumn="0" w:lastRowFirstColumn="0" w:lastRowLastColumn="0"/>
            <w:tcW w:w="0" w:type="dxa"/>
          </w:tcPr>
          <w:p w14:paraId="661E19AE" w14:textId="77777777" w:rsidR="00C7217D" w:rsidRDefault="00C7217D" w:rsidP="00694962">
            <w:pPr>
              <w:pStyle w:val="Tabletextbold"/>
              <w:rPr>
                <w:szCs w:val="20"/>
              </w:rPr>
            </w:pPr>
            <w:r>
              <w:t>Referral pathway</w:t>
            </w:r>
          </w:p>
        </w:tc>
        <w:tc>
          <w:tcPr>
            <w:tcW w:w="8500" w:type="dxa"/>
          </w:tcPr>
          <w:p w14:paraId="2BCC19F4" w14:textId="77777777" w:rsidR="00C7217D" w:rsidRDefault="00C7217D" w:rsidP="00694962">
            <w:pPr>
              <w:pStyle w:val="TableBullet1"/>
              <w:cnfStyle w:val="000000000000" w:firstRow="0" w:lastRow="0" w:firstColumn="0" w:lastColumn="0" w:oddVBand="0" w:evenVBand="0" w:oddHBand="0" w:evenHBand="0" w:firstRowFirstColumn="0" w:firstRowLastColumn="0" w:lastRowFirstColumn="0" w:lastRowLastColumn="0"/>
            </w:pPr>
            <w:r>
              <w:t xml:space="preserve">Application form is completed by requesting ophthalmologist which includes clinical information about the assessment of remaining biological eye (if present) </w:t>
            </w:r>
          </w:p>
          <w:p w14:paraId="500C7524" w14:textId="7C25E741" w:rsidR="00C7217D" w:rsidRPr="009C1931" w:rsidRDefault="00C7217D" w:rsidP="00694962">
            <w:pPr>
              <w:pStyle w:val="TableBullet1"/>
              <w:cnfStyle w:val="000000000000" w:firstRow="0" w:lastRow="0" w:firstColumn="0" w:lastColumn="0" w:oddVBand="0" w:evenVBand="0" w:oddHBand="0" w:evenHBand="0" w:firstRowFirstColumn="0" w:firstRowLastColumn="0" w:lastRowFirstColumn="0" w:lastRowLastColumn="0"/>
            </w:pPr>
            <w:r>
              <w:t xml:space="preserve">Ophthalmology administrative staff from the Canberra Health Services will notify the individual via phone of the approval and mail a letter of approval to the Ocularist </w:t>
            </w:r>
          </w:p>
        </w:tc>
      </w:tr>
      <w:tr w:rsidR="00C35284" w:rsidRPr="00FA30FA" w14:paraId="23FEC659" w14:textId="77777777" w:rsidTr="00694962">
        <w:trPr>
          <w:trHeight w:val="576"/>
        </w:trPr>
        <w:tc>
          <w:tcPr>
            <w:cnfStyle w:val="001000000000" w:firstRow="0" w:lastRow="0" w:firstColumn="1" w:lastColumn="0" w:oddVBand="0" w:evenVBand="0" w:oddHBand="0" w:evenHBand="0" w:firstRowFirstColumn="0" w:firstRowLastColumn="0" w:lastRowFirstColumn="0" w:lastRowLastColumn="0"/>
            <w:tcW w:w="0" w:type="dxa"/>
          </w:tcPr>
          <w:p w14:paraId="7B925E89" w14:textId="77777777" w:rsidR="00C7217D" w:rsidRDefault="00C7217D" w:rsidP="00694962">
            <w:pPr>
              <w:pStyle w:val="Tabletextbold"/>
              <w:rPr>
                <w:szCs w:val="20"/>
              </w:rPr>
            </w:pPr>
            <w:r>
              <w:t xml:space="preserve">Settings in which prostheses may be accessed </w:t>
            </w:r>
          </w:p>
        </w:tc>
        <w:tc>
          <w:tcPr>
            <w:tcW w:w="8500" w:type="dxa"/>
          </w:tcPr>
          <w:p w14:paraId="39419505" w14:textId="77777777" w:rsidR="00C7217D" w:rsidRPr="00E65271" w:rsidRDefault="00C7217D" w:rsidP="00694962">
            <w:pPr>
              <w:pStyle w:val="TableBullet1"/>
              <w:cnfStyle w:val="000000000000" w:firstRow="0" w:lastRow="0" w:firstColumn="0" w:lastColumn="0" w:oddVBand="0" w:evenVBand="0" w:oddHBand="0" w:evenHBand="0" w:firstRowFirstColumn="0" w:firstRowLastColumn="0" w:lastRowFirstColumn="0" w:lastRowLastColumn="0"/>
            </w:pPr>
            <w:r>
              <w:t>Ocularist of the individual’s choice (there is only one ocularist in Canberra)</w:t>
            </w:r>
          </w:p>
        </w:tc>
      </w:tr>
      <w:tr w:rsidR="00C35284" w:rsidRPr="00FA30FA" w14:paraId="67CE1067" w14:textId="77777777" w:rsidTr="00694962">
        <w:trPr>
          <w:trHeight w:val="576"/>
        </w:trPr>
        <w:tc>
          <w:tcPr>
            <w:cnfStyle w:val="001000000000" w:firstRow="0" w:lastRow="0" w:firstColumn="1" w:lastColumn="0" w:oddVBand="0" w:evenVBand="0" w:oddHBand="0" w:evenHBand="0" w:firstRowFirstColumn="0" w:firstRowLastColumn="0" w:lastRowFirstColumn="0" w:lastRowLastColumn="0"/>
            <w:tcW w:w="0" w:type="dxa"/>
          </w:tcPr>
          <w:p w14:paraId="000BFC88" w14:textId="77777777" w:rsidR="00C7217D" w:rsidRDefault="00C7217D" w:rsidP="00694962">
            <w:pPr>
              <w:pStyle w:val="Tabletextbold"/>
              <w:rPr>
                <w:szCs w:val="20"/>
              </w:rPr>
            </w:pPr>
            <w:r>
              <w:t>Clinicians involved</w:t>
            </w:r>
          </w:p>
        </w:tc>
        <w:tc>
          <w:tcPr>
            <w:tcW w:w="8500" w:type="dxa"/>
          </w:tcPr>
          <w:p w14:paraId="66E3A9B9" w14:textId="77777777" w:rsidR="00C7217D" w:rsidRDefault="00C7217D" w:rsidP="00694962">
            <w:pPr>
              <w:pStyle w:val="TableBullet1"/>
              <w:cnfStyle w:val="000000000000" w:firstRow="0" w:lastRow="0" w:firstColumn="0" w:lastColumn="0" w:oddVBand="0" w:evenVBand="0" w:oddHBand="0" w:evenHBand="0" w:firstRowFirstColumn="0" w:firstRowLastColumn="0" w:lastRowFirstColumn="0" w:lastRowLastColumn="0"/>
            </w:pPr>
            <w:r>
              <w:t>Ophthalmologist: recommendation for the provision of prosthetic eyes, assessment of remaining biological eye (if present), and completion of application</w:t>
            </w:r>
          </w:p>
          <w:p w14:paraId="46F30084" w14:textId="77777777" w:rsidR="00C7217D" w:rsidRDefault="00C7217D" w:rsidP="00694962">
            <w:pPr>
              <w:pStyle w:val="TableBullet1"/>
              <w:cnfStyle w:val="000000000000" w:firstRow="0" w:lastRow="0" w:firstColumn="0" w:lastColumn="0" w:oddVBand="0" w:evenVBand="0" w:oddHBand="0" w:evenHBand="0" w:firstRowFirstColumn="0" w:firstRowLastColumn="0" w:lastRowFirstColumn="0" w:lastRowLastColumn="0"/>
            </w:pPr>
            <w:r>
              <w:t>Optometrist: assessment of remaining biological eye (if present)</w:t>
            </w:r>
          </w:p>
          <w:p w14:paraId="7367950D" w14:textId="77777777" w:rsidR="00C7217D" w:rsidRPr="00E65271" w:rsidRDefault="00C7217D" w:rsidP="00694962">
            <w:pPr>
              <w:pStyle w:val="TableBullet1"/>
              <w:cnfStyle w:val="000000000000" w:firstRow="0" w:lastRow="0" w:firstColumn="0" w:lastColumn="0" w:oddVBand="0" w:evenVBand="0" w:oddHBand="0" w:evenHBand="0" w:firstRowFirstColumn="0" w:firstRowLastColumn="0" w:lastRowFirstColumn="0" w:lastRowLastColumn="0"/>
            </w:pPr>
            <w:r>
              <w:t>Ocularist: creation of the prosthetic eye</w:t>
            </w:r>
          </w:p>
        </w:tc>
      </w:tr>
      <w:tr w:rsidR="00C35284" w:rsidRPr="00FA30FA" w14:paraId="4A190DB3" w14:textId="77777777" w:rsidTr="00694962">
        <w:trPr>
          <w:trHeight w:val="437"/>
        </w:trPr>
        <w:tc>
          <w:tcPr>
            <w:cnfStyle w:val="001000000000" w:firstRow="0" w:lastRow="0" w:firstColumn="1" w:lastColumn="0" w:oddVBand="0" w:evenVBand="0" w:oddHBand="0" w:evenHBand="0" w:firstRowFirstColumn="0" w:firstRowLastColumn="0" w:lastRowFirstColumn="0" w:lastRowLastColumn="0"/>
            <w:tcW w:w="0" w:type="dxa"/>
          </w:tcPr>
          <w:p w14:paraId="675822D9" w14:textId="77777777" w:rsidR="00C7217D" w:rsidRDefault="00C7217D" w:rsidP="00694962">
            <w:pPr>
              <w:pStyle w:val="Tabletextbold"/>
              <w:rPr>
                <w:szCs w:val="20"/>
              </w:rPr>
            </w:pPr>
            <w:r>
              <w:t>Funded by</w:t>
            </w:r>
          </w:p>
        </w:tc>
        <w:tc>
          <w:tcPr>
            <w:tcW w:w="8500" w:type="dxa"/>
          </w:tcPr>
          <w:p w14:paraId="3B3DBA18" w14:textId="77777777" w:rsidR="00C7217D" w:rsidRPr="00F6337B" w:rsidRDefault="00C7217D" w:rsidP="00694962">
            <w:pPr>
              <w:pStyle w:val="TableBullet1"/>
              <w:cnfStyle w:val="000000000000" w:firstRow="0" w:lastRow="0" w:firstColumn="0" w:lastColumn="0" w:oddVBand="0" w:evenVBand="0" w:oddHBand="0" w:evenHBand="0" w:firstRowFirstColumn="0" w:firstRowLastColumn="0" w:lastRowFirstColumn="0" w:lastRowLastColumn="0"/>
            </w:pPr>
            <w:r>
              <w:t>ACT Government</w:t>
            </w:r>
          </w:p>
        </w:tc>
      </w:tr>
      <w:tr w:rsidR="00C35284" w:rsidRPr="00FA30FA" w14:paraId="5C754321" w14:textId="77777777" w:rsidTr="00694962">
        <w:trPr>
          <w:trHeight w:val="576"/>
        </w:trPr>
        <w:tc>
          <w:tcPr>
            <w:cnfStyle w:val="001000000000" w:firstRow="0" w:lastRow="0" w:firstColumn="1" w:lastColumn="0" w:oddVBand="0" w:evenVBand="0" w:oddHBand="0" w:evenHBand="0" w:firstRowFirstColumn="0" w:firstRowLastColumn="0" w:lastRowFirstColumn="0" w:lastRowLastColumn="0"/>
            <w:tcW w:w="0" w:type="dxa"/>
          </w:tcPr>
          <w:p w14:paraId="3E2F63D8" w14:textId="77777777" w:rsidR="00C7217D" w:rsidRDefault="00C7217D" w:rsidP="00694962">
            <w:pPr>
              <w:pStyle w:val="Tabletextbold"/>
              <w:rPr>
                <w:szCs w:val="20"/>
              </w:rPr>
            </w:pPr>
            <w:r>
              <w:t>Role of Australian Government</w:t>
            </w:r>
          </w:p>
        </w:tc>
        <w:tc>
          <w:tcPr>
            <w:tcW w:w="8500" w:type="dxa"/>
          </w:tcPr>
          <w:p w14:paraId="3B162AD0" w14:textId="77777777" w:rsidR="00C7217D" w:rsidRDefault="00C7217D" w:rsidP="00694962">
            <w:pPr>
              <w:pStyle w:val="TableBullet1"/>
              <w:cnfStyle w:val="000000000000" w:firstRow="0" w:lastRow="0" w:firstColumn="0" w:lastColumn="0" w:oddVBand="0" w:evenVBand="0" w:oddHBand="0" w:evenHBand="0" w:firstRowFirstColumn="0" w:firstRowLastColumn="0" w:lastRowFirstColumn="0" w:lastRowLastColumn="0"/>
            </w:pPr>
            <w:r>
              <w:t>None</w:t>
            </w:r>
          </w:p>
        </w:tc>
      </w:tr>
      <w:tr w:rsidR="00C35284" w:rsidRPr="00FA30FA" w14:paraId="36273D0E" w14:textId="77777777" w:rsidTr="00694962">
        <w:trPr>
          <w:trHeight w:val="576"/>
        </w:trPr>
        <w:tc>
          <w:tcPr>
            <w:cnfStyle w:val="001000000000" w:firstRow="0" w:lastRow="0" w:firstColumn="1" w:lastColumn="0" w:oddVBand="0" w:evenVBand="0" w:oddHBand="0" w:evenHBand="0" w:firstRowFirstColumn="0" w:firstRowLastColumn="0" w:lastRowFirstColumn="0" w:lastRowLastColumn="0"/>
            <w:tcW w:w="0" w:type="dxa"/>
          </w:tcPr>
          <w:p w14:paraId="199D3377" w14:textId="77777777" w:rsidR="00C7217D" w:rsidRDefault="00C7217D" w:rsidP="00694962">
            <w:pPr>
              <w:pStyle w:val="Tabletextbold"/>
              <w:rPr>
                <w:szCs w:val="20"/>
              </w:rPr>
            </w:pPr>
            <w:r>
              <w:t xml:space="preserve">Role of </w:t>
            </w:r>
            <w:r>
              <w:rPr>
                <w:szCs w:val="20"/>
              </w:rPr>
              <w:t>state/territory government</w:t>
            </w:r>
          </w:p>
        </w:tc>
        <w:tc>
          <w:tcPr>
            <w:tcW w:w="8500" w:type="dxa"/>
          </w:tcPr>
          <w:p w14:paraId="3ECC13FA" w14:textId="77777777" w:rsidR="00C7217D" w:rsidRDefault="00C7217D" w:rsidP="00694962">
            <w:pPr>
              <w:pStyle w:val="TableBullet1"/>
              <w:cnfStyle w:val="000000000000" w:firstRow="0" w:lastRow="0" w:firstColumn="0" w:lastColumn="0" w:oddVBand="0" w:evenVBand="0" w:oddHBand="0" w:evenHBand="0" w:firstRowFirstColumn="0" w:firstRowLastColumn="0" w:lastRowFirstColumn="0" w:lastRowLastColumn="0"/>
            </w:pPr>
            <w:r>
              <w:t xml:space="preserve">Provide funding and administers the prosthetic eye scheme through CHS </w:t>
            </w:r>
          </w:p>
        </w:tc>
      </w:tr>
    </w:tbl>
    <w:p w14:paraId="1A5E16C2" w14:textId="786407E1" w:rsidR="00C7217D" w:rsidRDefault="00C7217D" w:rsidP="00694962">
      <w:pPr>
        <w:pStyle w:val="Caption-Source"/>
        <w:rPr>
          <w:rFonts w:ascii="ZWAdobeF" w:hAnsi="ZWAdobeF" w:cs="ZWAdobeF"/>
          <w:color w:val="auto"/>
          <w:sz w:val="2"/>
          <w:szCs w:val="2"/>
        </w:rPr>
      </w:pPr>
      <w:r w:rsidRPr="00B027FB">
        <w:t>Source: Canberra Health Services (2023).</w:t>
      </w:r>
      <w:r>
        <w:rPr>
          <w:rFonts w:ascii="ZWAdobeF" w:hAnsi="ZWAdobeF" w:cs="ZWAdobeF"/>
          <w:color w:val="auto"/>
          <w:sz w:val="2"/>
          <w:szCs w:val="2"/>
        </w:rPr>
        <w:t>92F</w:t>
      </w:r>
      <w:r w:rsidRPr="00B027FB">
        <w:rPr>
          <w:rStyle w:val="FootnoteReference"/>
          <w:i/>
          <w:szCs w:val="20"/>
        </w:rPr>
        <w:footnoteReference w:id="173"/>
      </w:r>
    </w:p>
    <w:p w14:paraId="1C752F53" w14:textId="77777777" w:rsidR="00C7217D" w:rsidRDefault="00C7217D" w:rsidP="00694962">
      <w:pPr>
        <w:pStyle w:val="Caption-Source"/>
        <w:rPr>
          <w:rFonts w:ascii="ZWAdobeF" w:hAnsi="ZWAdobeF" w:cs="ZWAdobeF"/>
          <w:color w:val="auto"/>
          <w:sz w:val="2"/>
          <w:szCs w:val="2"/>
        </w:rPr>
      </w:pPr>
    </w:p>
    <w:p w14:paraId="54972B57" w14:textId="77777777" w:rsidR="00EA0A4D" w:rsidRDefault="00EA0A4D" w:rsidP="00EA0A4D">
      <w:r>
        <w:br w:type="page"/>
      </w:r>
    </w:p>
    <w:p w14:paraId="216C78CA" w14:textId="392F3D55" w:rsidR="00C7217D" w:rsidRPr="004A6DB4" w:rsidRDefault="008F122F" w:rsidP="008239ED">
      <w:pPr>
        <w:pStyle w:val="AppendixHeading2"/>
      </w:pPr>
      <w:bookmarkStart w:id="295" w:name="_Toc207348768"/>
      <w:r>
        <w:t>Queensland</w:t>
      </w:r>
      <w:bookmarkEnd w:id="295"/>
    </w:p>
    <w:p w14:paraId="3BDCEC0C" w14:textId="41850554" w:rsidR="008F122F" w:rsidRDefault="008F122F" w:rsidP="008F122F">
      <w:pPr>
        <w:pStyle w:val="Caption"/>
      </w:pPr>
      <w:bookmarkStart w:id="296" w:name="_Ref201140772"/>
      <w:bookmarkStart w:id="297" w:name="_Toc207348675"/>
      <w:r>
        <w:t xml:space="preserve">Table </w:t>
      </w:r>
      <w:r w:rsidR="00E6799D">
        <w:fldChar w:fldCharType="begin"/>
      </w:r>
      <w:r w:rsidR="00E6799D">
        <w:instrText xml:space="preserve"> SEQ Table \* ARABIC </w:instrText>
      </w:r>
      <w:r w:rsidR="00E6799D">
        <w:fldChar w:fldCharType="separate"/>
      </w:r>
      <w:r w:rsidR="00E6799D">
        <w:rPr>
          <w:noProof/>
        </w:rPr>
        <w:t>110</w:t>
      </w:r>
      <w:r w:rsidR="00E6799D">
        <w:rPr>
          <w:noProof/>
        </w:rPr>
        <w:fldChar w:fldCharType="end"/>
      </w:r>
      <w:bookmarkEnd w:id="296"/>
      <w:r>
        <w:t>: Queensland Health facial prosthesis service</w:t>
      </w:r>
      <w:bookmarkEnd w:id="297"/>
    </w:p>
    <w:tbl>
      <w:tblPr>
        <w:tblStyle w:val="KPMGTable"/>
        <w:tblW w:w="9923" w:type="dxa"/>
        <w:tblLook w:val="04A0" w:firstRow="1" w:lastRow="0" w:firstColumn="1" w:lastColumn="0" w:noHBand="0" w:noVBand="1"/>
      </w:tblPr>
      <w:tblGrid>
        <w:gridCol w:w="1701"/>
        <w:gridCol w:w="8222"/>
      </w:tblGrid>
      <w:tr w:rsidR="00467133" w:rsidRPr="007B154A" w14:paraId="39F0561D" w14:textId="77777777" w:rsidTr="001707B4">
        <w:trPr>
          <w:cnfStyle w:val="100000000000" w:firstRow="1" w:lastRow="0" w:firstColumn="0" w:lastColumn="0" w:oddVBand="0" w:evenVBand="0" w:oddHBand="0"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701" w:type="dxa"/>
          </w:tcPr>
          <w:p w14:paraId="255852FD" w14:textId="77777777" w:rsidR="008F122F" w:rsidRPr="007B154A" w:rsidRDefault="008F122F" w:rsidP="001707B4">
            <w:pPr>
              <w:pStyle w:val="TableHeading"/>
              <w:rPr>
                <w:b w:val="0"/>
                <w:color w:val="FFFFFF" w:themeColor="background1"/>
                <w:szCs w:val="20"/>
              </w:rPr>
            </w:pPr>
            <w:r>
              <w:t>Category</w:t>
            </w:r>
          </w:p>
        </w:tc>
        <w:tc>
          <w:tcPr>
            <w:tcW w:w="8222" w:type="dxa"/>
          </w:tcPr>
          <w:p w14:paraId="48748A74" w14:textId="77777777" w:rsidR="008F122F" w:rsidRPr="007B154A" w:rsidRDefault="008F122F" w:rsidP="001707B4">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 xml:space="preserve">Description </w:t>
            </w:r>
          </w:p>
        </w:tc>
      </w:tr>
      <w:tr w:rsidR="00BC6DD3" w:rsidRPr="001B05CB" w14:paraId="20DF4437" w14:textId="77777777" w:rsidTr="001707B4">
        <w:trPr>
          <w:trHeight w:val="578"/>
        </w:trPr>
        <w:tc>
          <w:tcPr>
            <w:cnfStyle w:val="001000000000" w:firstRow="0" w:lastRow="0" w:firstColumn="1" w:lastColumn="0" w:oddVBand="0" w:evenVBand="0" w:oddHBand="0" w:evenHBand="0" w:firstRowFirstColumn="0" w:firstRowLastColumn="0" w:lastRowFirstColumn="0" w:lastRowLastColumn="0"/>
            <w:tcW w:w="1701" w:type="dxa"/>
          </w:tcPr>
          <w:p w14:paraId="5424656F" w14:textId="77777777" w:rsidR="008F122F" w:rsidRPr="007B154A" w:rsidRDefault="008F122F" w:rsidP="001707B4">
            <w:pPr>
              <w:pStyle w:val="Tabletextbold"/>
              <w:rPr>
                <w:szCs w:val="20"/>
              </w:rPr>
            </w:pPr>
            <w:r>
              <w:t>Eligibility</w:t>
            </w:r>
            <w:r w:rsidRPr="007B154A">
              <w:rPr>
                <w:szCs w:val="20"/>
              </w:rPr>
              <w:t xml:space="preserve"> </w:t>
            </w:r>
            <w:r>
              <w:rPr>
                <w:szCs w:val="20"/>
              </w:rPr>
              <w:t>criteria</w:t>
            </w:r>
          </w:p>
        </w:tc>
        <w:tc>
          <w:tcPr>
            <w:tcW w:w="8222" w:type="dxa"/>
          </w:tcPr>
          <w:p w14:paraId="1354376E" w14:textId="77777777" w:rsidR="008F122F" w:rsidRPr="009C1931" w:rsidRDefault="008F122F" w:rsidP="001707B4">
            <w:pPr>
              <w:pStyle w:val="TableBullet1"/>
              <w:cnfStyle w:val="000000000000" w:firstRow="0" w:lastRow="0" w:firstColumn="0" w:lastColumn="0" w:oddVBand="0" w:evenVBand="0" w:oddHBand="0" w:evenHBand="0" w:firstRowFirstColumn="0" w:firstRowLastColumn="0" w:lastRowFirstColumn="0" w:lastRowLastColumn="0"/>
            </w:pPr>
            <w:r>
              <w:t>Must have a Medicare card</w:t>
            </w:r>
          </w:p>
        </w:tc>
      </w:tr>
      <w:tr w:rsidR="00BC6DD3" w:rsidRPr="00FA30FA" w14:paraId="5DAE0008" w14:textId="77777777" w:rsidTr="001707B4">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3048AFDF" w14:textId="77777777" w:rsidR="008F122F" w:rsidRPr="007B154A" w:rsidRDefault="008F122F" w:rsidP="001707B4">
            <w:pPr>
              <w:pStyle w:val="Tabletextbold"/>
              <w:rPr>
                <w:szCs w:val="20"/>
              </w:rPr>
            </w:pPr>
            <w:r>
              <w:t>Products and services included</w:t>
            </w:r>
          </w:p>
        </w:tc>
        <w:tc>
          <w:tcPr>
            <w:tcW w:w="8222" w:type="dxa"/>
          </w:tcPr>
          <w:p w14:paraId="6F8FD932" w14:textId="77777777" w:rsidR="008F122F" w:rsidRDefault="008F122F" w:rsidP="001707B4">
            <w:pPr>
              <w:pStyle w:val="TableBullet1"/>
              <w:cnfStyle w:val="000000000000" w:firstRow="0" w:lastRow="0" w:firstColumn="0" w:lastColumn="0" w:oddVBand="0" w:evenVBand="0" w:oddHBand="0" w:evenHBand="0" w:firstRowFirstColumn="0" w:firstRowLastColumn="0" w:lastRowFirstColumn="0" w:lastRowLastColumn="0"/>
            </w:pPr>
            <w:r>
              <w:t xml:space="preserve">Ocular prosthesis </w:t>
            </w:r>
          </w:p>
          <w:p w14:paraId="7C8C5589" w14:textId="77777777" w:rsidR="008F122F" w:rsidRDefault="008F122F" w:rsidP="001707B4">
            <w:pPr>
              <w:pStyle w:val="TableBullet1"/>
              <w:cnfStyle w:val="000000000000" w:firstRow="0" w:lastRow="0" w:firstColumn="0" w:lastColumn="0" w:oddVBand="0" w:evenVBand="0" w:oddHBand="0" w:evenHBand="0" w:firstRowFirstColumn="0" w:firstRowLastColumn="0" w:lastRowFirstColumn="0" w:lastRowLastColumn="0"/>
            </w:pPr>
            <w:r>
              <w:t>Orbital prostheses</w:t>
            </w:r>
          </w:p>
          <w:p w14:paraId="2EBA6B12" w14:textId="77777777" w:rsidR="008F122F" w:rsidRDefault="008F122F" w:rsidP="001707B4">
            <w:pPr>
              <w:pStyle w:val="TableBullet1"/>
              <w:cnfStyle w:val="000000000000" w:firstRow="0" w:lastRow="0" w:firstColumn="0" w:lastColumn="0" w:oddVBand="0" w:evenVBand="0" w:oddHBand="0" w:evenHBand="0" w:firstRowFirstColumn="0" w:firstRowLastColumn="0" w:lastRowFirstColumn="0" w:lastRowLastColumn="0"/>
            </w:pPr>
            <w:r>
              <w:t>Ear prosthesis</w:t>
            </w:r>
          </w:p>
          <w:p w14:paraId="40AA6695" w14:textId="77777777" w:rsidR="008F122F" w:rsidRDefault="008F122F" w:rsidP="001707B4">
            <w:pPr>
              <w:pStyle w:val="TableBullet1"/>
              <w:cnfStyle w:val="000000000000" w:firstRow="0" w:lastRow="0" w:firstColumn="0" w:lastColumn="0" w:oddVBand="0" w:evenVBand="0" w:oddHBand="0" w:evenHBand="0" w:firstRowFirstColumn="0" w:firstRowLastColumn="0" w:lastRowFirstColumn="0" w:lastRowLastColumn="0"/>
            </w:pPr>
            <w:r>
              <w:t>Hemifacial prostheses</w:t>
            </w:r>
          </w:p>
          <w:p w14:paraId="642E422F" w14:textId="77777777" w:rsidR="008F122F" w:rsidRPr="00FD5CFD" w:rsidRDefault="008F122F" w:rsidP="001707B4">
            <w:pPr>
              <w:pStyle w:val="TableBullet1"/>
              <w:cnfStyle w:val="000000000000" w:firstRow="0" w:lastRow="0" w:firstColumn="0" w:lastColumn="0" w:oddVBand="0" w:evenVBand="0" w:oddHBand="0" w:evenHBand="0" w:firstRowFirstColumn="0" w:firstRowLastColumn="0" w:lastRowFirstColumn="0" w:lastRowLastColumn="0"/>
            </w:pPr>
            <w:r>
              <w:t xml:space="preserve">Nasal prostheses </w:t>
            </w:r>
          </w:p>
        </w:tc>
      </w:tr>
      <w:tr w:rsidR="00BC6DD3" w:rsidRPr="00FA30FA" w14:paraId="6559DFDE" w14:textId="77777777" w:rsidTr="001707B4">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77440F84" w14:textId="77777777" w:rsidR="008F122F" w:rsidRDefault="008F122F" w:rsidP="001707B4">
            <w:pPr>
              <w:pStyle w:val="Tabletextbold"/>
              <w:rPr>
                <w:szCs w:val="20"/>
              </w:rPr>
            </w:pPr>
            <w:r>
              <w:t>Cost coverage</w:t>
            </w:r>
          </w:p>
        </w:tc>
        <w:tc>
          <w:tcPr>
            <w:tcW w:w="8222" w:type="dxa"/>
          </w:tcPr>
          <w:p w14:paraId="09142847" w14:textId="77777777" w:rsidR="008F122F" w:rsidRPr="009C1931" w:rsidRDefault="008F122F" w:rsidP="001707B4">
            <w:pPr>
              <w:pStyle w:val="TableBullet1"/>
              <w:cnfStyle w:val="000000000000" w:firstRow="0" w:lastRow="0" w:firstColumn="0" w:lastColumn="0" w:oddVBand="0" w:evenVBand="0" w:oddHBand="0" w:evenHBand="0" w:firstRowFirstColumn="0" w:firstRowLastColumn="0" w:lastRowFirstColumn="0" w:lastRowLastColumn="0"/>
            </w:pPr>
            <w:r>
              <w:t>T</w:t>
            </w:r>
            <w:r w:rsidRPr="009C1931">
              <w:t xml:space="preserve">he full cost </w:t>
            </w:r>
            <w:r>
              <w:t xml:space="preserve">of the prosthesis and componentry, </w:t>
            </w:r>
            <w:r w:rsidRPr="009C1931">
              <w:t xml:space="preserve">with </w:t>
            </w:r>
            <w:proofErr w:type="gramStart"/>
            <w:r w:rsidRPr="009C1931">
              <w:t>no</w:t>
            </w:r>
            <w:proofErr w:type="gramEnd"/>
            <w:r w:rsidRPr="009C1931">
              <w:t xml:space="preserve"> out of pocket for the </w:t>
            </w:r>
            <w:r>
              <w:t>person</w:t>
            </w:r>
          </w:p>
        </w:tc>
      </w:tr>
      <w:tr w:rsidR="00BC6DD3" w:rsidRPr="00FA30FA" w14:paraId="639E0191" w14:textId="77777777" w:rsidTr="001707B4">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43EE2AB4" w14:textId="77777777" w:rsidR="008F122F" w:rsidRDefault="008F122F" w:rsidP="001707B4">
            <w:pPr>
              <w:pStyle w:val="Tabletextbold"/>
              <w:rPr>
                <w:szCs w:val="20"/>
              </w:rPr>
            </w:pPr>
            <w:r>
              <w:t>Repairs and warranty</w:t>
            </w:r>
          </w:p>
        </w:tc>
        <w:tc>
          <w:tcPr>
            <w:tcW w:w="8222" w:type="dxa"/>
          </w:tcPr>
          <w:p w14:paraId="22E91A2D" w14:textId="77777777" w:rsidR="008F122F" w:rsidRPr="0092434F" w:rsidRDefault="008F122F" w:rsidP="001707B4">
            <w:pPr>
              <w:pStyle w:val="TableBullet1"/>
              <w:cnfStyle w:val="000000000000" w:firstRow="0" w:lastRow="0" w:firstColumn="0" w:lastColumn="0" w:oddVBand="0" w:evenVBand="0" w:oddHBand="0" w:evenHBand="0" w:firstRowFirstColumn="0" w:firstRowLastColumn="0" w:lastRowFirstColumn="0" w:lastRowLastColumn="0"/>
            </w:pPr>
            <w:r w:rsidRPr="00750F45">
              <w:t>Full replacement cost covered; however, limited information is publicly available regarding duration or frequency limits</w:t>
            </w:r>
          </w:p>
        </w:tc>
      </w:tr>
      <w:tr w:rsidR="00BC6DD3" w:rsidRPr="00FA30FA" w14:paraId="6A80E738" w14:textId="77777777" w:rsidTr="001707B4">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3FAF13FB" w14:textId="77777777" w:rsidR="008F122F" w:rsidRDefault="008F122F" w:rsidP="001707B4">
            <w:pPr>
              <w:pStyle w:val="Tabletextbold"/>
              <w:rPr>
                <w:szCs w:val="20"/>
              </w:rPr>
            </w:pPr>
            <w:r>
              <w:t>Referral pathway</w:t>
            </w:r>
          </w:p>
        </w:tc>
        <w:tc>
          <w:tcPr>
            <w:tcW w:w="8222" w:type="dxa"/>
          </w:tcPr>
          <w:p w14:paraId="3A9E6B23" w14:textId="77777777" w:rsidR="008F122F" w:rsidRPr="009C1931" w:rsidRDefault="008F122F" w:rsidP="001707B4">
            <w:pPr>
              <w:pStyle w:val="TableBullet1"/>
              <w:cnfStyle w:val="000000000000" w:firstRow="0" w:lastRow="0" w:firstColumn="0" w:lastColumn="0" w:oddVBand="0" w:evenVBand="0" w:oddHBand="0" w:evenHBand="0" w:firstRowFirstColumn="0" w:firstRowLastColumn="0" w:lastRowFirstColumn="0" w:lastRowLastColumn="0"/>
            </w:pPr>
            <w:r>
              <w:t xml:space="preserve">Referral letter from a GP, or specialist sent to the </w:t>
            </w:r>
            <w:r w:rsidRPr="00F23D54">
              <w:t>Royal Brisbane and Women’s Hospital</w:t>
            </w:r>
          </w:p>
        </w:tc>
      </w:tr>
      <w:tr w:rsidR="00BC6DD3" w:rsidRPr="00FA30FA" w14:paraId="0F26B540" w14:textId="77777777" w:rsidTr="001707B4">
        <w:trPr>
          <w:trHeight w:val="213"/>
        </w:trPr>
        <w:tc>
          <w:tcPr>
            <w:cnfStyle w:val="001000000000" w:firstRow="0" w:lastRow="0" w:firstColumn="1" w:lastColumn="0" w:oddVBand="0" w:evenVBand="0" w:oddHBand="0" w:evenHBand="0" w:firstRowFirstColumn="0" w:firstRowLastColumn="0" w:lastRowFirstColumn="0" w:lastRowLastColumn="0"/>
            <w:tcW w:w="1701" w:type="dxa"/>
          </w:tcPr>
          <w:p w14:paraId="6E333073" w14:textId="77777777" w:rsidR="008F122F" w:rsidRDefault="008F122F" w:rsidP="001707B4">
            <w:pPr>
              <w:pStyle w:val="Tabletextbold"/>
              <w:rPr>
                <w:szCs w:val="20"/>
              </w:rPr>
            </w:pPr>
            <w:r>
              <w:t xml:space="preserve">Settings in which prostheses may be accessed </w:t>
            </w:r>
          </w:p>
        </w:tc>
        <w:tc>
          <w:tcPr>
            <w:tcW w:w="8222" w:type="dxa"/>
          </w:tcPr>
          <w:p w14:paraId="3CD69534" w14:textId="77777777" w:rsidR="008F122F" w:rsidRPr="00E65271" w:rsidRDefault="008F122F" w:rsidP="001707B4">
            <w:pPr>
              <w:pStyle w:val="TableBullet1"/>
              <w:cnfStyle w:val="000000000000" w:firstRow="0" w:lastRow="0" w:firstColumn="0" w:lastColumn="0" w:oddVBand="0" w:evenVBand="0" w:oddHBand="0" w:evenHBand="0" w:firstRowFirstColumn="0" w:firstRowLastColumn="0" w:lastRowFirstColumn="0" w:lastRowLastColumn="0"/>
            </w:pPr>
            <w:r w:rsidRPr="00F23D54">
              <w:t>Royal Brisbane and Women’s Hospital</w:t>
            </w:r>
          </w:p>
        </w:tc>
      </w:tr>
      <w:tr w:rsidR="00BC6DD3" w:rsidRPr="00FA30FA" w14:paraId="0330E431" w14:textId="77777777" w:rsidTr="001707B4">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5B04050E" w14:textId="77777777" w:rsidR="008F122F" w:rsidRDefault="008F122F" w:rsidP="001707B4">
            <w:pPr>
              <w:pStyle w:val="Tabletextbold"/>
              <w:rPr>
                <w:szCs w:val="20"/>
              </w:rPr>
            </w:pPr>
            <w:r>
              <w:t>Clinicians involved</w:t>
            </w:r>
          </w:p>
        </w:tc>
        <w:tc>
          <w:tcPr>
            <w:tcW w:w="8222" w:type="dxa"/>
          </w:tcPr>
          <w:p w14:paraId="4442DBC1" w14:textId="77777777" w:rsidR="008F122F" w:rsidRDefault="008F122F" w:rsidP="001707B4">
            <w:pPr>
              <w:pStyle w:val="TableBullet1"/>
              <w:cnfStyle w:val="000000000000" w:firstRow="0" w:lastRow="0" w:firstColumn="0" w:lastColumn="0" w:oddVBand="0" w:evenVBand="0" w:oddHBand="0" w:evenHBand="0" w:firstRowFirstColumn="0" w:firstRowLastColumn="0" w:lastRowFirstColumn="0" w:lastRowLastColumn="0"/>
            </w:pPr>
            <w:r>
              <w:t>Maxillofacial prosthetist: creation of the facial prostheses</w:t>
            </w:r>
          </w:p>
          <w:p w14:paraId="53F543A5" w14:textId="77777777" w:rsidR="008F122F" w:rsidRPr="00E65271" w:rsidRDefault="008F122F" w:rsidP="001707B4">
            <w:pPr>
              <w:pStyle w:val="TableBullet1"/>
              <w:cnfStyle w:val="000000000000" w:firstRow="0" w:lastRow="0" w:firstColumn="0" w:lastColumn="0" w:oddVBand="0" w:evenVBand="0" w:oddHBand="0" w:evenHBand="0" w:firstRowFirstColumn="0" w:firstRowLastColumn="0" w:lastRowFirstColumn="0" w:lastRowLastColumn="0"/>
            </w:pPr>
            <w:r>
              <w:t>Ocularist: creation of the prosthetic eye</w:t>
            </w:r>
          </w:p>
        </w:tc>
      </w:tr>
      <w:tr w:rsidR="00BC6DD3" w:rsidRPr="00FA30FA" w14:paraId="5E2A96A8" w14:textId="77777777" w:rsidTr="001707B4">
        <w:trPr>
          <w:trHeight w:val="71"/>
        </w:trPr>
        <w:tc>
          <w:tcPr>
            <w:cnfStyle w:val="001000000000" w:firstRow="0" w:lastRow="0" w:firstColumn="1" w:lastColumn="0" w:oddVBand="0" w:evenVBand="0" w:oddHBand="0" w:evenHBand="0" w:firstRowFirstColumn="0" w:firstRowLastColumn="0" w:lastRowFirstColumn="0" w:lastRowLastColumn="0"/>
            <w:tcW w:w="1701" w:type="dxa"/>
          </w:tcPr>
          <w:p w14:paraId="05AED7B6" w14:textId="77777777" w:rsidR="008F122F" w:rsidRDefault="008F122F" w:rsidP="001707B4">
            <w:pPr>
              <w:pStyle w:val="Tabletextbold"/>
              <w:rPr>
                <w:szCs w:val="20"/>
              </w:rPr>
            </w:pPr>
            <w:r>
              <w:t>Funded by</w:t>
            </w:r>
          </w:p>
        </w:tc>
        <w:tc>
          <w:tcPr>
            <w:tcW w:w="8222" w:type="dxa"/>
          </w:tcPr>
          <w:p w14:paraId="1F962588" w14:textId="77777777" w:rsidR="008F122F" w:rsidRPr="00F6337B" w:rsidRDefault="008F122F" w:rsidP="001707B4">
            <w:pPr>
              <w:pStyle w:val="TableBullet1"/>
              <w:cnfStyle w:val="000000000000" w:firstRow="0" w:lastRow="0" w:firstColumn="0" w:lastColumn="0" w:oddVBand="0" w:evenVBand="0" w:oddHBand="0" w:evenHBand="0" w:firstRowFirstColumn="0" w:firstRowLastColumn="0" w:lastRowFirstColumn="0" w:lastRowLastColumn="0"/>
            </w:pPr>
            <w:r>
              <w:t>Queensland Government</w:t>
            </w:r>
          </w:p>
        </w:tc>
      </w:tr>
      <w:tr w:rsidR="00BC6DD3" w:rsidRPr="00FA30FA" w14:paraId="77074994" w14:textId="77777777" w:rsidTr="001707B4">
        <w:trPr>
          <w:trHeight w:val="173"/>
        </w:trPr>
        <w:tc>
          <w:tcPr>
            <w:cnfStyle w:val="001000000000" w:firstRow="0" w:lastRow="0" w:firstColumn="1" w:lastColumn="0" w:oddVBand="0" w:evenVBand="0" w:oddHBand="0" w:evenHBand="0" w:firstRowFirstColumn="0" w:firstRowLastColumn="0" w:lastRowFirstColumn="0" w:lastRowLastColumn="0"/>
            <w:tcW w:w="1701" w:type="dxa"/>
          </w:tcPr>
          <w:p w14:paraId="22E287D5" w14:textId="77777777" w:rsidR="008F122F" w:rsidRDefault="008F122F" w:rsidP="001707B4">
            <w:pPr>
              <w:pStyle w:val="Tabletextbold"/>
              <w:rPr>
                <w:szCs w:val="20"/>
              </w:rPr>
            </w:pPr>
            <w:r>
              <w:t>Role of Australian Government</w:t>
            </w:r>
          </w:p>
        </w:tc>
        <w:tc>
          <w:tcPr>
            <w:tcW w:w="8222" w:type="dxa"/>
          </w:tcPr>
          <w:p w14:paraId="6781BB9C" w14:textId="77777777" w:rsidR="008F122F" w:rsidRDefault="008F122F" w:rsidP="001707B4">
            <w:pPr>
              <w:pStyle w:val="TableBullet1"/>
              <w:cnfStyle w:val="000000000000" w:firstRow="0" w:lastRow="0" w:firstColumn="0" w:lastColumn="0" w:oddVBand="0" w:evenVBand="0" w:oddHBand="0" w:evenHBand="0" w:firstRowFirstColumn="0" w:firstRowLastColumn="0" w:lastRowFirstColumn="0" w:lastRowLastColumn="0"/>
            </w:pPr>
            <w:r>
              <w:t>None</w:t>
            </w:r>
          </w:p>
        </w:tc>
      </w:tr>
      <w:tr w:rsidR="00BC6DD3" w:rsidRPr="00FA30FA" w14:paraId="205439C3" w14:textId="77777777" w:rsidTr="001707B4">
        <w:trPr>
          <w:trHeight w:val="426"/>
        </w:trPr>
        <w:tc>
          <w:tcPr>
            <w:cnfStyle w:val="001000000000" w:firstRow="0" w:lastRow="0" w:firstColumn="1" w:lastColumn="0" w:oddVBand="0" w:evenVBand="0" w:oddHBand="0" w:evenHBand="0" w:firstRowFirstColumn="0" w:firstRowLastColumn="0" w:lastRowFirstColumn="0" w:lastRowLastColumn="0"/>
            <w:tcW w:w="1701" w:type="dxa"/>
          </w:tcPr>
          <w:p w14:paraId="6D9EA0E8" w14:textId="77777777" w:rsidR="008F122F" w:rsidRDefault="008F122F" w:rsidP="001707B4">
            <w:pPr>
              <w:pStyle w:val="Tabletextbold"/>
              <w:rPr>
                <w:szCs w:val="20"/>
              </w:rPr>
            </w:pPr>
            <w:r>
              <w:t>Role of state/territory government</w:t>
            </w:r>
          </w:p>
        </w:tc>
        <w:tc>
          <w:tcPr>
            <w:tcW w:w="8222" w:type="dxa"/>
          </w:tcPr>
          <w:p w14:paraId="798FE514" w14:textId="77777777" w:rsidR="008F122F" w:rsidRDefault="008F122F" w:rsidP="001707B4">
            <w:pPr>
              <w:pStyle w:val="TableBullet1"/>
              <w:cnfStyle w:val="000000000000" w:firstRow="0" w:lastRow="0" w:firstColumn="0" w:lastColumn="0" w:oddVBand="0" w:evenVBand="0" w:oddHBand="0" w:evenHBand="0" w:firstRowFirstColumn="0" w:firstRowLastColumn="0" w:lastRowFirstColumn="0" w:lastRowLastColumn="0"/>
            </w:pPr>
            <w:r>
              <w:t xml:space="preserve">Provide funding to public hospital   </w:t>
            </w:r>
          </w:p>
        </w:tc>
      </w:tr>
    </w:tbl>
    <w:p w14:paraId="5A38AD4E" w14:textId="77777777" w:rsidR="008F122F" w:rsidRDefault="008F122F" w:rsidP="001707B4">
      <w:pPr>
        <w:pStyle w:val="Caption-Source"/>
        <w:rPr>
          <w:rFonts w:ascii="ZWAdobeF" w:hAnsi="ZWAdobeF" w:cs="ZWAdobeF"/>
          <w:color w:val="auto"/>
          <w:sz w:val="2"/>
          <w:szCs w:val="2"/>
        </w:rPr>
      </w:pPr>
      <w:r w:rsidRPr="00DD5C93">
        <w:t>Source: Royal Brisbane and Women’s Hospital (2022).</w:t>
      </w:r>
      <w:r>
        <w:rPr>
          <w:rFonts w:ascii="ZWAdobeF" w:hAnsi="ZWAdobeF" w:cs="ZWAdobeF"/>
          <w:color w:val="auto"/>
          <w:sz w:val="2"/>
          <w:szCs w:val="2"/>
        </w:rPr>
        <w:t>95F</w:t>
      </w:r>
      <w:r w:rsidRPr="00DD5C93">
        <w:rPr>
          <w:rStyle w:val="FootnoteReference"/>
          <w:i/>
          <w:szCs w:val="20"/>
        </w:rPr>
        <w:footnoteReference w:id="174"/>
      </w:r>
    </w:p>
    <w:p w14:paraId="3E572AAA" w14:textId="6379F60D" w:rsidR="008F122F" w:rsidRPr="004A6DB4" w:rsidRDefault="00DB00A2" w:rsidP="006C5D73">
      <w:pPr>
        <w:pStyle w:val="AppendixHeading2"/>
      </w:pPr>
      <w:bookmarkStart w:id="298" w:name="_Toc207348769"/>
      <w:r>
        <w:t>Victoria</w:t>
      </w:r>
      <w:bookmarkEnd w:id="298"/>
    </w:p>
    <w:p w14:paraId="389C5B4F" w14:textId="58A7AB6D" w:rsidR="00DB00A2" w:rsidRDefault="00DB00A2" w:rsidP="00DB00A2">
      <w:pPr>
        <w:pStyle w:val="Caption"/>
      </w:pPr>
      <w:bookmarkStart w:id="299" w:name="_Ref201141726"/>
      <w:bookmarkStart w:id="300" w:name="_Toc207348676"/>
      <w:r>
        <w:t xml:space="preserve">Table </w:t>
      </w:r>
      <w:r w:rsidR="00E6799D">
        <w:fldChar w:fldCharType="begin"/>
      </w:r>
      <w:r w:rsidR="00E6799D">
        <w:instrText xml:space="preserve"> SEQ Table \* ARABIC </w:instrText>
      </w:r>
      <w:r w:rsidR="00E6799D">
        <w:fldChar w:fldCharType="separate"/>
      </w:r>
      <w:r w:rsidR="00E6799D">
        <w:rPr>
          <w:noProof/>
        </w:rPr>
        <w:t>111</w:t>
      </w:r>
      <w:r w:rsidR="00E6799D">
        <w:rPr>
          <w:noProof/>
        </w:rPr>
        <w:fldChar w:fldCharType="end"/>
      </w:r>
      <w:bookmarkEnd w:id="299"/>
      <w:r>
        <w:t>: Facial prosthesis service in Victoria</w:t>
      </w:r>
      <w:bookmarkEnd w:id="300"/>
    </w:p>
    <w:tbl>
      <w:tblPr>
        <w:tblStyle w:val="KPMGTable"/>
        <w:tblW w:w="9923" w:type="dxa"/>
        <w:tblLook w:val="04A0" w:firstRow="1" w:lastRow="0" w:firstColumn="1" w:lastColumn="0" w:noHBand="0" w:noVBand="1"/>
      </w:tblPr>
      <w:tblGrid>
        <w:gridCol w:w="1701"/>
        <w:gridCol w:w="8222"/>
      </w:tblGrid>
      <w:tr w:rsidR="00467133" w:rsidRPr="007B154A" w14:paraId="399D5B83" w14:textId="77777777" w:rsidTr="005E6F9D">
        <w:trPr>
          <w:cnfStyle w:val="100000000000" w:firstRow="1" w:lastRow="0" w:firstColumn="0" w:lastColumn="0" w:oddVBand="0" w:evenVBand="0" w:oddHBand="0" w:evenHBand="0" w:firstRowFirstColumn="0" w:firstRowLastColumn="0" w:lastRowFirstColumn="0" w:lastRowLastColumn="0"/>
          <w:trHeight w:val="233"/>
          <w:tblHeader/>
        </w:trPr>
        <w:tc>
          <w:tcPr>
            <w:cnfStyle w:val="001000000000" w:firstRow="0" w:lastRow="0" w:firstColumn="1" w:lastColumn="0" w:oddVBand="0" w:evenVBand="0" w:oddHBand="0" w:evenHBand="0" w:firstRowFirstColumn="0" w:firstRowLastColumn="0" w:lastRowFirstColumn="0" w:lastRowLastColumn="0"/>
            <w:tcW w:w="1701" w:type="dxa"/>
          </w:tcPr>
          <w:p w14:paraId="6167C6E1" w14:textId="77777777" w:rsidR="00DB00A2" w:rsidRPr="007B154A" w:rsidRDefault="00DB00A2" w:rsidP="007A53E6">
            <w:pPr>
              <w:pStyle w:val="TableHeading"/>
              <w:rPr>
                <w:b w:val="0"/>
                <w:color w:val="FFFFFF" w:themeColor="background1"/>
                <w:szCs w:val="20"/>
              </w:rPr>
            </w:pPr>
            <w:r>
              <w:t>Category</w:t>
            </w:r>
          </w:p>
        </w:tc>
        <w:tc>
          <w:tcPr>
            <w:tcW w:w="8222" w:type="dxa"/>
          </w:tcPr>
          <w:p w14:paraId="65459621" w14:textId="77777777" w:rsidR="00DB00A2" w:rsidRPr="007B154A" w:rsidRDefault="00DB00A2" w:rsidP="007A53E6">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 xml:space="preserve">Description </w:t>
            </w:r>
          </w:p>
        </w:tc>
      </w:tr>
      <w:tr w:rsidR="00BC6DD3" w:rsidRPr="001B05CB" w14:paraId="2C033C98" w14:textId="77777777" w:rsidTr="007A53E6">
        <w:trPr>
          <w:trHeight w:val="578"/>
        </w:trPr>
        <w:tc>
          <w:tcPr>
            <w:cnfStyle w:val="001000000000" w:firstRow="0" w:lastRow="0" w:firstColumn="1" w:lastColumn="0" w:oddVBand="0" w:evenVBand="0" w:oddHBand="0" w:evenHBand="0" w:firstRowFirstColumn="0" w:firstRowLastColumn="0" w:lastRowFirstColumn="0" w:lastRowLastColumn="0"/>
            <w:tcW w:w="1701" w:type="dxa"/>
          </w:tcPr>
          <w:p w14:paraId="64CC7D2A" w14:textId="77777777" w:rsidR="00DB00A2" w:rsidRPr="007B154A" w:rsidRDefault="00DB00A2" w:rsidP="007A53E6">
            <w:pPr>
              <w:pStyle w:val="Tabletextbold"/>
              <w:rPr>
                <w:szCs w:val="20"/>
              </w:rPr>
            </w:pPr>
            <w:r>
              <w:t>Eligibility</w:t>
            </w:r>
            <w:r w:rsidRPr="007B154A">
              <w:rPr>
                <w:szCs w:val="20"/>
              </w:rPr>
              <w:t xml:space="preserve"> </w:t>
            </w:r>
            <w:r>
              <w:rPr>
                <w:szCs w:val="20"/>
              </w:rPr>
              <w:t>criteria</w:t>
            </w:r>
          </w:p>
        </w:tc>
        <w:tc>
          <w:tcPr>
            <w:tcW w:w="8222" w:type="dxa"/>
          </w:tcPr>
          <w:p w14:paraId="13EAA687" w14:textId="77777777" w:rsidR="00DB00A2" w:rsidRPr="009C1931" w:rsidRDefault="00DB00A2" w:rsidP="007A53E6">
            <w:pPr>
              <w:pStyle w:val="TableBullet1"/>
              <w:cnfStyle w:val="000000000000" w:firstRow="0" w:lastRow="0" w:firstColumn="0" w:lastColumn="0" w:oddVBand="0" w:evenVBand="0" w:oddHBand="0" w:evenHBand="0" w:firstRowFirstColumn="0" w:firstRowLastColumn="0" w:lastRowFirstColumn="0" w:lastRowLastColumn="0"/>
            </w:pPr>
            <w:r>
              <w:t>Must have a Medicare card</w:t>
            </w:r>
          </w:p>
        </w:tc>
      </w:tr>
      <w:tr w:rsidR="00BC6DD3" w:rsidRPr="00FA30FA" w14:paraId="53BD2C71" w14:textId="77777777" w:rsidTr="007A53E6">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13386BDD" w14:textId="77777777" w:rsidR="00DB00A2" w:rsidRPr="007B154A" w:rsidRDefault="00DB00A2" w:rsidP="007A53E6">
            <w:pPr>
              <w:pStyle w:val="Tabletextbold"/>
              <w:rPr>
                <w:szCs w:val="20"/>
              </w:rPr>
            </w:pPr>
            <w:r>
              <w:t>Products and services included</w:t>
            </w:r>
          </w:p>
        </w:tc>
        <w:tc>
          <w:tcPr>
            <w:tcW w:w="8222" w:type="dxa"/>
          </w:tcPr>
          <w:p w14:paraId="768EAC30" w14:textId="77777777" w:rsidR="00DB00A2" w:rsidRDefault="00DB00A2" w:rsidP="007A53E6">
            <w:pPr>
              <w:pStyle w:val="TableBullet1"/>
              <w:cnfStyle w:val="000000000000" w:firstRow="0" w:lastRow="0" w:firstColumn="0" w:lastColumn="0" w:oddVBand="0" w:evenVBand="0" w:oddHBand="0" w:evenHBand="0" w:firstRowFirstColumn="0" w:firstRowLastColumn="0" w:lastRowFirstColumn="0" w:lastRowLastColumn="0"/>
            </w:pPr>
            <w:r>
              <w:t xml:space="preserve">Ocular prosthesis </w:t>
            </w:r>
          </w:p>
          <w:p w14:paraId="5A70A266" w14:textId="77777777" w:rsidR="00DB00A2" w:rsidRDefault="00DB00A2" w:rsidP="007A53E6">
            <w:pPr>
              <w:pStyle w:val="TableBullet1"/>
              <w:cnfStyle w:val="000000000000" w:firstRow="0" w:lastRow="0" w:firstColumn="0" w:lastColumn="0" w:oddVBand="0" w:evenVBand="0" w:oddHBand="0" w:evenHBand="0" w:firstRowFirstColumn="0" w:firstRowLastColumn="0" w:lastRowFirstColumn="0" w:lastRowLastColumn="0"/>
            </w:pPr>
            <w:r>
              <w:t>Orbital prostheses</w:t>
            </w:r>
          </w:p>
          <w:p w14:paraId="2E1311BA" w14:textId="77777777" w:rsidR="00DB00A2" w:rsidRDefault="00DB00A2" w:rsidP="007A53E6">
            <w:pPr>
              <w:pStyle w:val="TableBullet1"/>
              <w:cnfStyle w:val="000000000000" w:firstRow="0" w:lastRow="0" w:firstColumn="0" w:lastColumn="0" w:oddVBand="0" w:evenVBand="0" w:oddHBand="0" w:evenHBand="0" w:firstRowFirstColumn="0" w:firstRowLastColumn="0" w:lastRowFirstColumn="0" w:lastRowLastColumn="0"/>
            </w:pPr>
            <w:r>
              <w:t>Ear prosthesis</w:t>
            </w:r>
          </w:p>
          <w:p w14:paraId="2C9BCAEA" w14:textId="77777777" w:rsidR="00DB00A2" w:rsidRDefault="00DB00A2" w:rsidP="007A53E6">
            <w:pPr>
              <w:pStyle w:val="TableBullet1"/>
              <w:cnfStyle w:val="000000000000" w:firstRow="0" w:lastRow="0" w:firstColumn="0" w:lastColumn="0" w:oddVBand="0" w:evenVBand="0" w:oddHBand="0" w:evenHBand="0" w:firstRowFirstColumn="0" w:firstRowLastColumn="0" w:lastRowFirstColumn="0" w:lastRowLastColumn="0"/>
            </w:pPr>
            <w:r>
              <w:t>Hemifacial prostheses</w:t>
            </w:r>
          </w:p>
          <w:p w14:paraId="6FC42B47" w14:textId="77777777" w:rsidR="00DB00A2" w:rsidRPr="00FD5CFD" w:rsidRDefault="00DB00A2" w:rsidP="007A53E6">
            <w:pPr>
              <w:pStyle w:val="TableBullet1"/>
              <w:cnfStyle w:val="000000000000" w:firstRow="0" w:lastRow="0" w:firstColumn="0" w:lastColumn="0" w:oddVBand="0" w:evenVBand="0" w:oddHBand="0" w:evenHBand="0" w:firstRowFirstColumn="0" w:firstRowLastColumn="0" w:lastRowFirstColumn="0" w:lastRowLastColumn="0"/>
            </w:pPr>
            <w:r>
              <w:t xml:space="preserve">Nasal prostheses </w:t>
            </w:r>
          </w:p>
        </w:tc>
      </w:tr>
      <w:tr w:rsidR="00BC6DD3" w:rsidRPr="00FA30FA" w14:paraId="7D364953" w14:textId="77777777" w:rsidTr="007A53E6">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1B5EC963" w14:textId="77777777" w:rsidR="00DB00A2" w:rsidRDefault="00DB00A2" w:rsidP="007A53E6">
            <w:pPr>
              <w:pStyle w:val="Tabletextbold"/>
              <w:rPr>
                <w:szCs w:val="20"/>
              </w:rPr>
            </w:pPr>
            <w:r>
              <w:t>Cost coverage</w:t>
            </w:r>
          </w:p>
        </w:tc>
        <w:tc>
          <w:tcPr>
            <w:tcW w:w="8222" w:type="dxa"/>
          </w:tcPr>
          <w:p w14:paraId="1E60A8BE" w14:textId="77777777" w:rsidR="00DB00A2" w:rsidRPr="009C1931" w:rsidRDefault="00DB00A2" w:rsidP="007A53E6">
            <w:pPr>
              <w:pStyle w:val="TableBullet1"/>
              <w:cnfStyle w:val="000000000000" w:firstRow="0" w:lastRow="0" w:firstColumn="0" w:lastColumn="0" w:oddVBand="0" w:evenVBand="0" w:oddHBand="0" w:evenHBand="0" w:firstRowFirstColumn="0" w:firstRowLastColumn="0" w:lastRowFirstColumn="0" w:lastRowLastColumn="0"/>
            </w:pPr>
            <w:r>
              <w:t>T</w:t>
            </w:r>
            <w:r w:rsidRPr="009C1931">
              <w:t xml:space="preserve">he full cost </w:t>
            </w:r>
            <w:r>
              <w:t xml:space="preserve">of the prosthesis and componentry, </w:t>
            </w:r>
            <w:r w:rsidRPr="009C1931">
              <w:t xml:space="preserve">with </w:t>
            </w:r>
            <w:proofErr w:type="gramStart"/>
            <w:r w:rsidRPr="009C1931">
              <w:t>no</w:t>
            </w:r>
            <w:proofErr w:type="gramEnd"/>
            <w:r w:rsidRPr="009C1931">
              <w:t xml:space="preserve"> out of pocket for the </w:t>
            </w:r>
            <w:r>
              <w:t>person</w:t>
            </w:r>
          </w:p>
        </w:tc>
      </w:tr>
      <w:tr w:rsidR="00BC6DD3" w:rsidRPr="00FA30FA" w14:paraId="7B9F5A77" w14:textId="77777777" w:rsidTr="007A53E6">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26A80039" w14:textId="77777777" w:rsidR="00DB00A2" w:rsidRDefault="00DB00A2" w:rsidP="007A53E6">
            <w:pPr>
              <w:pStyle w:val="Tabletextbold"/>
              <w:rPr>
                <w:szCs w:val="20"/>
              </w:rPr>
            </w:pPr>
            <w:r>
              <w:t>Repairs and warranty</w:t>
            </w:r>
          </w:p>
        </w:tc>
        <w:tc>
          <w:tcPr>
            <w:tcW w:w="8222" w:type="dxa"/>
          </w:tcPr>
          <w:p w14:paraId="161D42FB" w14:textId="77777777" w:rsidR="00DB00A2" w:rsidRPr="0092434F" w:rsidRDefault="00DB00A2" w:rsidP="007A53E6">
            <w:pPr>
              <w:pStyle w:val="TableBullet1"/>
              <w:cnfStyle w:val="000000000000" w:firstRow="0" w:lastRow="0" w:firstColumn="0" w:lastColumn="0" w:oddVBand="0" w:evenVBand="0" w:oddHBand="0" w:evenHBand="0" w:firstRowFirstColumn="0" w:firstRowLastColumn="0" w:lastRowFirstColumn="0" w:lastRowLastColumn="0"/>
            </w:pPr>
            <w:r w:rsidRPr="00750F45">
              <w:t>Full replacement cost covered; however, limited information is publicly available regarding duration or frequency limits</w:t>
            </w:r>
          </w:p>
        </w:tc>
      </w:tr>
      <w:tr w:rsidR="00BC6DD3" w:rsidRPr="00FA30FA" w14:paraId="5FD1B38E" w14:textId="77777777" w:rsidTr="007A53E6">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2B5E8BC8" w14:textId="77777777" w:rsidR="00DB00A2" w:rsidRDefault="00DB00A2" w:rsidP="007A53E6">
            <w:pPr>
              <w:pStyle w:val="Tabletextbold"/>
              <w:rPr>
                <w:szCs w:val="20"/>
              </w:rPr>
            </w:pPr>
            <w:r>
              <w:t>Referral pathway</w:t>
            </w:r>
          </w:p>
        </w:tc>
        <w:tc>
          <w:tcPr>
            <w:tcW w:w="8222" w:type="dxa"/>
          </w:tcPr>
          <w:p w14:paraId="65253791" w14:textId="77777777" w:rsidR="00DB00A2" w:rsidRPr="009C1931" w:rsidRDefault="00DB00A2" w:rsidP="007A53E6">
            <w:pPr>
              <w:pStyle w:val="TableBullet1"/>
              <w:cnfStyle w:val="000000000000" w:firstRow="0" w:lastRow="0" w:firstColumn="0" w:lastColumn="0" w:oddVBand="0" w:evenVBand="0" w:oddHBand="0" w:evenHBand="0" w:firstRowFirstColumn="0" w:firstRowLastColumn="0" w:lastRowFirstColumn="0" w:lastRowLastColumn="0"/>
            </w:pPr>
            <w:r>
              <w:t>Referral letter from a GP, or specialist sent to the Royal Melbourne Hospital</w:t>
            </w:r>
          </w:p>
        </w:tc>
      </w:tr>
      <w:tr w:rsidR="00BC6DD3" w:rsidRPr="00FA30FA" w14:paraId="1992DAB6" w14:textId="77777777" w:rsidTr="007A53E6">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0AE22E6C" w14:textId="77777777" w:rsidR="00DB00A2" w:rsidRDefault="00DB00A2" w:rsidP="007A53E6">
            <w:pPr>
              <w:pStyle w:val="Tabletextbold"/>
              <w:rPr>
                <w:szCs w:val="20"/>
              </w:rPr>
            </w:pPr>
            <w:r>
              <w:t xml:space="preserve">Settings in which prostheses may be accessed </w:t>
            </w:r>
          </w:p>
        </w:tc>
        <w:tc>
          <w:tcPr>
            <w:tcW w:w="8222" w:type="dxa"/>
          </w:tcPr>
          <w:p w14:paraId="221BA4ED" w14:textId="77777777" w:rsidR="00DB00A2" w:rsidRPr="00E65271" w:rsidRDefault="00DB00A2" w:rsidP="007A53E6">
            <w:pPr>
              <w:pStyle w:val="TableBullet1"/>
              <w:cnfStyle w:val="000000000000" w:firstRow="0" w:lastRow="0" w:firstColumn="0" w:lastColumn="0" w:oddVBand="0" w:evenVBand="0" w:oddHBand="0" w:evenHBand="0" w:firstRowFirstColumn="0" w:firstRowLastColumn="0" w:lastRowFirstColumn="0" w:lastRowLastColumn="0"/>
            </w:pPr>
            <w:r w:rsidRPr="00142759">
              <w:t>Royal Melbourne Hospital</w:t>
            </w:r>
          </w:p>
        </w:tc>
      </w:tr>
      <w:tr w:rsidR="00BC6DD3" w:rsidRPr="00FA30FA" w14:paraId="4FDE973F" w14:textId="77777777" w:rsidTr="007A53E6">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31DD3DF4" w14:textId="77777777" w:rsidR="00DB00A2" w:rsidRDefault="00DB00A2" w:rsidP="007A53E6">
            <w:pPr>
              <w:pStyle w:val="Tabletextbold"/>
              <w:rPr>
                <w:szCs w:val="20"/>
              </w:rPr>
            </w:pPr>
            <w:r>
              <w:t>Clinicians involved</w:t>
            </w:r>
          </w:p>
        </w:tc>
        <w:tc>
          <w:tcPr>
            <w:tcW w:w="8222" w:type="dxa"/>
          </w:tcPr>
          <w:p w14:paraId="0F9E7836" w14:textId="77777777" w:rsidR="00DB00A2" w:rsidRDefault="00DB00A2" w:rsidP="007A53E6">
            <w:pPr>
              <w:pStyle w:val="TableBullet1"/>
              <w:cnfStyle w:val="000000000000" w:firstRow="0" w:lastRow="0" w:firstColumn="0" w:lastColumn="0" w:oddVBand="0" w:evenVBand="0" w:oddHBand="0" w:evenHBand="0" w:firstRowFirstColumn="0" w:firstRowLastColumn="0" w:lastRowFirstColumn="0" w:lastRowLastColumn="0"/>
            </w:pPr>
            <w:r>
              <w:t>Maxillofacial prosthetist: creation of the facial prostheses</w:t>
            </w:r>
          </w:p>
          <w:p w14:paraId="4D76566E" w14:textId="77777777" w:rsidR="00DB00A2" w:rsidRPr="00E65271" w:rsidRDefault="00DB00A2" w:rsidP="007A53E6">
            <w:pPr>
              <w:pStyle w:val="TableBullet1"/>
              <w:cnfStyle w:val="000000000000" w:firstRow="0" w:lastRow="0" w:firstColumn="0" w:lastColumn="0" w:oddVBand="0" w:evenVBand="0" w:oddHBand="0" w:evenHBand="0" w:firstRowFirstColumn="0" w:firstRowLastColumn="0" w:lastRowFirstColumn="0" w:lastRowLastColumn="0"/>
            </w:pPr>
            <w:r>
              <w:t>Ocularist: creation of the prosthetic eye</w:t>
            </w:r>
          </w:p>
        </w:tc>
      </w:tr>
      <w:tr w:rsidR="00BC6DD3" w:rsidRPr="00FA30FA" w14:paraId="4EABAFEE" w14:textId="77777777" w:rsidTr="007A53E6">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295D2B32" w14:textId="77777777" w:rsidR="00DB00A2" w:rsidRDefault="00DB00A2" w:rsidP="007A53E6">
            <w:pPr>
              <w:pStyle w:val="Tabletextbold"/>
              <w:rPr>
                <w:szCs w:val="20"/>
              </w:rPr>
            </w:pPr>
            <w:r>
              <w:t>Funded by</w:t>
            </w:r>
          </w:p>
        </w:tc>
        <w:tc>
          <w:tcPr>
            <w:tcW w:w="8222" w:type="dxa"/>
          </w:tcPr>
          <w:p w14:paraId="764EF8CC" w14:textId="77777777" w:rsidR="00DB00A2" w:rsidRPr="00F6337B" w:rsidRDefault="00DB00A2" w:rsidP="007A53E6">
            <w:pPr>
              <w:pStyle w:val="TableBullet1"/>
              <w:cnfStyle w:val="000000000000" w:firstRow="0" w:lastRow="0" w:firstColumn="0" w:lastColumn="0" w:oddVBand="0" w:evenVBand="0" w:oddHBand="0" w:evenHBand="0" w:firstRowFirstColumn="0" w:firstRowLastColumn="0" w:lastRowFirstColumn="0" w:lastRowLastColumn="0"/>
            </w:pPr>
            <w:r>
              <w:t xml:space="preserve">Victorian Government </w:t>
            </w:r>
          </w:p>
        </w:tc>
      </w:tr>
      <w:tr w:rsidR="00BC6DD3" w:rsidRPr="00FA30FA" w14:paraId="706E6226" w14:textId="77777777" w:rsidTr="007A53E6">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2B892730" w14:textId="77777777" w:rsidR="00DB00A2" w:rsidRDefault="00DB00A2" w:rsidP="007A53E6">
            <w:pPr>
              <w:pStyle w:val="Tabletextbold"/>
              <w:rPr>
                <w:szCs w:val="20"/>
              </w:rPr>
            </w:pPr>
            <w:r>
              <w:t>Role of Australian Government</w:t>
            </w:r>
          </w:p>
        </w:tc>
        <w:tc>
          <w:tcPr>
            <w:tcW w:w="8222" w:type="dxa"/>
          </w:tcPr>
          <w:p w14:paraId="47B11B3A" w14:textId="77777777" w:rsidR="00DB00A2" w:rsidRDefault="00DB00A2" w:rsidP="007A53E6">
            <w:pPr>
              <w:pStyle w:val="TableBullet1"/>
              <w:cnfStyle w:val="000000000000" w:firstRow="0" w:lastRow="0" w:firstColumn="0" w:lastColumn="0" w:oddVBand="0" w:evenVBand="0" w:oddHBand="0" w:evenHBand="0" w:firstRowFirstColumn="0" w:firstRowLastColumn="0" w:lastRowFirstColumn="0" w:lastRowLastColumn="0"/>
            </w:pPr>
            <w:r>
              <w:t>None</w:t>
            </w:r>
          </w:p>
        </w:tc>
      </w:tr>
      <w:tr w:rsidR="00BC6DD3" w:rsidRPr="00FA30FA" w14:paraId="30687B75" w14:textId="77777777" w:rsidTr="007A53E6">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55B84317" w14:textId="77777777" w:rsidR="00DB00A2" w:rsidRDefault="00DB00A2" w:rsidP="007A53E6">
            <w:pPr>
              <w:pStyle w:val="Tabletextbold"/>
              <w:rPr>
                <w:szCs w:val="20"/>
              </w:rPr>
            </w:pPr>
            <w:r>
              <w:t>Role of state/territory government</w:t>
            </w:r>
          </w:p>
        </w:tc>
        <w:tc>
          <w:tcPr>
            <w:tcW w:w="8222" w:type="dxa"/>
          </w:tcPr>
          <w:p w14:paraId="18F2A9CA" w14:textId="77777777" w:rsidR="00DB00A2" w:rsidRDefault="00DB00A2" w:rsidP="007A53E6">
            <w:pPr>
              <w:pStyle w:val="TableBullet1"/>
              <w:cnfStyle w:val="000000000000" w:firstRow="0" w:lastRow="0" w:firstColumn="0" w:lastColumn="0" w:oddVBand="0" w:evenVBand="0" w:oddHBand="0" w:evenHBand="0" w:firstRowFirstColumn="0" w:firstRowLastColumn="0" w:lastRowFirstColumn="0" w:lastRowLastColumn="0"/>
            </w:pPr>
            <w:r>
              <w:t xml:space="preserve">Provide funding to public hospitals  </w:t>
            </w:r>
          </w:p>
        </w:tc>
      </w:tr>
    </w:tbl>
    <w:p w14:paraId="3354FF83" w14:textId="77777777" w:rsidR="00DB00A2" w:rsidRPr="00DD5C93" w:rsidRDefault="00DB00A2" w:rsidP="007A53E6">
      <w:pPr>
        <w:pStyle w:val="Caption-Source"/>
        <w:rPr>
          <w:i/>
          <w:szCs w:val="20"/>
        </w:rPr>
      </w:pPr>
      <w:r w:rsidRPr="00DD5C93">
        <w:t>Source: The Royal Melbourne Hospital (2023).</w:t>
      </w:r>
      <w:r>
        <w:rPr>
          <w:rFonts w:ascii="ZWAdobeF" w:hAnsi="ZWAdobeF" w:cs="ZWAdobeF"/>
          <w:color w:val="auto"/>
          <w:sz w:val="2"/>
          <w:szCs w:val="2"/>
        </w:rPr>
        <w:t>98F</w:t>
      </w:r>
      <w:r w:rsidRPr="00DD5C93">
        <w:rPr>
          <w:rStyle w:val="FootnoteReference"/>
          <w:i/>
          <w:szCs w:val="20"/>
        </w:rPr>
        <w:footnoteReference w:id="175"/>
      </w:r>
    </w:p>
    <w:p w14:paraId="72652420" w14:textId="6EF82642" w:rsidR="00DB00A2" w:rsidRPr="004A6DB4" w:rsidRDefault="00B27C84" w:rsidP="00C92BD8">
      <w:pPr>
        <w:pStyle w:val="AppendixHeading2"/>
      </w:pPr>
      <w:bookmarkStart w:id="301" w:name="_Toc207348770"/>
      <w:r>
        <w:t>Western Australia</w:t>
      </w:r>
      <w:bookmarkEnd w:id="301"/>
    </w:p>
    <w:p w14:paraId="55E3D172" w14:textId="260DB957" w:rsidR="00B27C84" w:rsidRDefault="00B27C84" w:rsidP="00B27C84">
      <w:pPr>
        <w:pStyle w:val="Caption"/>
      </w:pPr>
      <w:bookmarkStart w:id="302" w:name="_Toc207348677"/>
      <w:r>
        <w:t xml:space="preserve">Table </w:t>
      </w:r>
      <w:r w:rsidR="00E6799D">
        <w:fldChar w:fldCharType="begin"/>
      </w:r>
      <w:r w:rsidR="00E6799D">
        <w:instrText xml:space="preserve"> SEQ Table \* ARABIC </w:instrText>
      </w:r>
      <w:r w:rsidR="00E6799D">
        <w:fldChar w:fldCharType="separate"/>
      </w:r>
      <w:r w:rsidR="00E6799D">
        <w:rPr>
          <w:noProof/>
        </w:rPr>
        <w:t>112</w:t>
      </w:r>
      <w:r w:rsidR="00E6799D">
        <w:rPr>
          <w:noProof/>
        </w:rPr>
        <w:fldChar w:fldCharType="end"/>
      </w:r>
      <w:r>
        <w:t>: WA facial prosthesis service</w:t>
      </w:r>
      <w:bookmarkEnd w:id="302"/>
    </w:p>
    <w:tbl>
      <w:tblPr>
        <w:tblStyle w:val="KPMGTable"/>
        <w:tblW w:w="9923" w:type="dxa"/>
        <w:tblLook w:val="04A0" w:firstRow="1" w:lastRow="0" w:firstColumn="1" w:lastColumn="0" w:noHBand="0" w:noVBand="1"/>
      </w:tblPr>
      <w:tblGrid>
        <w:gridCol w:w="1701"/>
        <w:gridCol w:w="8222"/>
      </w:tblGrid>
      <w:tr w:rsidR="00467133" w:rsidRPr="007B154A" w14:paraId="703E7B3F" w14:textId="77777777" w:rsidTr="007A53E6">
        <w:trPr>
          <w:cnfStyle w:val="100000000000" w:firstRow="1" w:lastRow="0" w:firstColumn="0" w:lastColumn="0" w:oddVBand="0" w:evenVBand="0" w:oddHBand="0"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701" w:type="dxa"/>
          </w:tcPr>
          <w:p w14:paraId="1FE6D7E9" w14:textId="77777777" w:rsidR="00B27C84" w:rsidRPr="007B154A" w:rsidRDefault="00B27C84" w:rsidP="007A53E6">
            <w:pPr>
              <w:pStyle w:val="TableHeading"/>
              <w:rPr>
                <w:b w:val="0"/>
                <w:color w:val="FFFFFF" w:themeColor="background1"/>
                <w:szCs w:val="20"/>
              </w:rPr>
            </w:pPr>
            <w:r>
              <w:t>Category</w:t>
            </w:r>
          </w:p>
        </w:tc>
        <w:tc>
          <w:tcPr>
            <w:tcW w:w="8222" w:type="dxa"/>
          </w:tcPr>
          <w:p w14:paraId="75F5C2C8" w14:textId="77777777" w:rsidR="00B27C84" w:rsidRPr="007B154A" w:rsidRDefault="00B27C84" w:rsidP="007A53E6">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 xml:space="preserve">Description </w:t>
            </w:r>
          </w:p>
        </w:tc>
      </w:tr>
      <w:tr w:rsidR="00BC6DD3" w:rsidRPr="001B05CB" w14:paraId="2C21BA5F" w14:textId="77777777" w:rsidTr="007A53E6">
        <w:trPr>
          <w:trHeight w:val="578"/>
        </w:trPr>
        <w:tc>
          <w:tcPr>
            <w:cnfStyle w:val="001000000000" w:firstRow="0" w:lastRow="0" w:firstColumn="1" w:lastColumn="0" w:oddVBand="0" w:evenVBand="0" w:oddHBand="0" w:evenHBand="0" w:firstRowFirstColumn="0" w:firstRowLastColumn="0" w:lastRowFirstColumn="0" w:lastRowLastColumn="0"/>
            <w:tcW w:w="1701" w:type="dxa"/>
          </w:tcPr>
          <w:p w14:paraId="280B2530" w14:textId="77777777" w:rsidR="00B27C84" w:rsidRPr="007B154A" w:rsidRDefault="00B27C84" w:rsidP="00F510D0">
            <w:pPr>
              <w:pStyle w:val="Tabletextbold"/>
              <w:rPr>
                <w:szCs w:val="20"/>
              </w:rPr>
            </w:pPr>
            <w:r>
              <w:t>Eligibility</w:t>
            </w:r>
            <w:r w:rsidRPr="007B154A">
              <w:rPr>
                <w:szCs w:val="20"/>
              </w:rPr>
              <w:t xml:space="preserve"> </w:t>
            </w:r>
            <w:r>
              <w:rPr>
                <w:szCs w:val="20"/>
              </w:rPr>
              <w:t>criteria</w:t>
            </w:r>
          </w:p>
        </w:tc>
        <w:tc>
          <w:tcPr>
            <w:tcW w:w="8222" w:type="dxa"/>
          </w:tcPr>
          <w:p w14:paraId="164FCD50" w14:textId="77777777" w:rsidR="00B27C84" w:rsidRDefault="003D6DB0" w:rsidP="00F510D0">
            <w:pPr>
              <w:pStyle w:val="TableBullet1"/>
              <w:cnfStyle w:val="000000000000" w:firstRow="0" w:lastRow="0" w:firstColumn="0" w:lastColumn="0" w:oddVBand="0" w:evenVBand="0" w:oddHBand="0" w:evenHBand="0" w:firstRowFirstColumn="0" w:firstRowLastColumn="0" w:lastRowFirstColumn="0" w:lastRowLastColumn="0"/>
            </w:pPr>
            <w:r>
              <w:t>Must have a Medicare card</w:t>
            </w:r>
          </w:p>
          <w:p w14:paraId="4E9E5B4F" w14:textId="62011854" w:rsidR="003D6DB0" w:rsidRPr="009C1931" w:rsidRDefault="003D6DB0" w:rsidP="00F510D0">
            <w:pPr>
              <w:pStyle w:val="TableBullet1"/>
              <w:cnfStyle w:val="000000000000" w:firstRow="0" w:lastRow="0" w:firstColumn="0" w:lastColumn="0" w:oddVBand="0" w:evenVBand="0" w:oddHBand="0" w:evenHBand="0" w:firstRowFirstColumn="0" w:firstRowLastColumn="0" w:lastRowFirstColumn="0" w:lastRowLastColumn="0"/>
            </w:pPr>
            <w:r>
              <w:t xml:space="preserve">Must require </w:t>
            </w:r>
            <w:r w:rsidR="00F824FF" w:rsidRPr="00F824FF">
              <w:t>a custom-made maxillofacial extraoral prosthesis as an external substitute for a partially or totally absent facial part</w:t>
            </w:r>
          </w:p>
        </w:tc>
      </w:tr>
      <w:tr w:rsidR="00BC6DD3" w:rsidRPr="00FA30FA" w14:paraId="03A62B4F" w14:textId="77777777" w:rsidTr="007A53E6">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24F78BBB" w14:textId="77777777" w:rsidR="00B27C84" w:rsidRPr="007B154A" w:rsidRDefault="00B27C84" w:rsidP="00F510D0">
            <w:pPr>
              <w:pStyle w:val="Tabletextbold"/>
              <w:rPr>
                <w:szCs w:val="20"/>
              </w:rPr>
            </w:pPr>
            <w:r>
              <w:t>Products and services included</w:t>
            </w:r>
          </w:p>
        </w:tc>
        <w:tc>
          <w:tcPr>
            <w:tcW w:w="8222" w:type="dxa"/>
          </w:tcPr>
          <w:p w14:paraId="372C8F77" w14:textId="77777777" w:rsidR="003D6DB0" w:rsidRDefault="003D6DB0" w:rsidP="00F510D0">
            <w:pPr>
              <w:pStyle w:val="TableBullet1"/>
              <w:cnfStyle w:val="000000000000" w:firstRow="0" w:lastRow="0" w:firstColumn="0" w:lastColumn="0" w:oddVBand="0" w:evenVBand="0" w:oddHBand="0" w:evenHBand="0" w:firstRowFirstColumn="0" w:firstRowLastColumn="0" w:lastRowFirstColumn="0" w:lastRowLastColumn="0"/>
            </w:pPr>
            <w:r>
              <w:t xml:space="preserve">Ocular prosthesis </w:t>
            </w:r>
          </w:p>
          <w:p w14:paraId="43888BD1" w14:textId="77777777" w:rsidR="003D6DB0" w:rsidRDefault="003D6DB0" w:rsidP="00F510D0">
            <w:pPr>
              <w:pStyle w:val="TableBullet1"/>
              <w:cnfStyle w:val="000000000000" w:firstRow="0" w:lastRow="0" w:firstColumn="0" w:lastColumn="0" w:oddVBand="0" w:evenVBand="0" w:oddHBand="0" w:evenHBand="0" w:firstRowFirstColumn="0" w:firstRowLastColumn="0" w:lastRowFirstColumn="0" w:lastRowLastColumn="0"/>
            </w:pPr>
            <w:r>
              <w:t>Orbital prostheses</w:t>
            </w:r>
          </w:p>
          <w:p w14:paraId="6868A49E" w14:textId="77777777" w:rsidR="003D6DB0" w:rsidRDefault="003D6DB0" w:rsidP="00F510D0">
            <w:pPr>
              <w:pStyle w:val="TableBullet1"/>
              <w:cnfStyle w:val="000000000000" w:firstRow="0" w:lastRow="0" w:firstColumn="0" w:lastColumn="0" w:oddVBand="0" w:evenVBand="0" w:oddHBand="0" w:evenHBand="0" w:firstRowFirstColumn="0" w:firstRowLastColumn="0" w:lastRowFirstColumn="0" w:lastRowLastColumn="0"/>
            </w:pPr>
            <w:r>
              <w:t>Ear prosthesis</w:t>
            </w:r>
          </w:p>
          <w:p w14:paraId="11803D7C" w14:textId="77777777" w:rsidR="003D6DB0" w:rsidRDefault="003D6DB0" w:rsidP="00F510D0">
            <w:pPr>
              <w:pStyle w:val="TableBullet1"/>
              <w:cnfStyle w:val="000000000000" w:firstRow="0" w:lastRow="0" w:firstColumn="0" w:lastColumn="0" w:oddVBand="0" w:evenVBand="0" w:oddHBand="0" w:evenHBand="0" w:firstRowFirstColumn="0" w:firstRowLastColumn="0" w:lastRowFirstColumn="0" w:lastRowLastColumn="0"/>
            </w:pPr>
            <w:r>
              <w:t>Hemifacial prostheses</w:t>
            </w:r>
          </w:p>
          <w:p w14:paraId="47B847C5" w14:textId="7FC369BA" w:rsidR="00B27C84" w:rsidRPr="00FD5CFD" w:rsidRDefault="003D6DB0" w:rsidP="00F510D0">
            <w:pPr>
              <w:pStyle w:val="TableBullet1"/>
              <w:cnfStyle w:val="000000000000" w:firstRow="0" w:lastRow="0" w:firstColumn="0" w:lastColumn="0" w:oddVBand="0" w:evenVBand="0" w:oddHBand="0" w:evenHBand="0" w:firstRowFirstColumn="0" w:firstRowLastColumn="0" w:lastRowFirstColumn="0" w:lastRowLastColumn="0"/>
            </w:pPr>
            <w:r>
              <w:t>Nasal prostheses</w:t>
            </w:r>
          </w:p>
        </w:tc>
      </w:tr>
      <w:tr w:rsidR="00BC6DD3" w:rsidRPr="00FA30FA" w14:paraId="34D91211" w14:textId="77777777" w:rsidTr="007A53E6">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18D827E7" w14:textId="77777777" w:rsidR="00B27C84" w:rsidRDefault="00B27C84" w:rsidP="00F510D0">
            <w:pPr>
              <w:pStyle w:val="Tabletextbold"/>
              <w:rPr>
                <w:szCs w:val="20"/>
              </w:rPr>
            </w:pPr>
            <w:r>
              <w:t>Cost coverage</w:t>
            </w:r>
          </w:p>
        </w:tc>
        <w:tc>
          <w:tcPr>
            <w:tcW w:w="8222" w:type="dxa"/>
          </w:tcPr>
          <w:p w14:paraId="377F9738" w14:textId="6F77C4F7" w:rsidR="00B27C84" w:rsidRPr="009C1931" w:rsidRDefault="00951BE5" w:rsidP="00F510D0">
            <w:pPr>
              <w:pStyle w:val="TableBullet1"/>
              <w:cnfStyle w:val="000000000000" w:firstRow="0" w:lastRow="0" w:firstColumn="0" w:lastColumn="0" w:oddVBand="0" w:evenVBand="0" w:oddHBand="0" w:evenHBand="0" w:firstRowFirstColumn="0" w:firstRowLastColumn="0" w:lastRowFirstColumn="0" w:lastRowLastColumn="0"/>
            </w:pPr>
            <w:r>
              <w:t>T</w:t>
            </w:r>
            <w:r w:rsidRPr="009C1931">
              <w:t xml:space="preserve">he full cost </w:t>
            </w:r>
            <w:r>
              <w:t xml:space="preserve">of the prosthesis and componentry, </w:t>
            </w:r>
            <w:r w:rsidRPr="009C1931">
              <w:t xml:space="preserve">with </w:t>
            </w:r>
            <w:proofErr w:type="gramStart"/>
            <w:r w:rsidRPr="009C1931">
              <w:t>no</w:t>
            </w:r>
            <w:proofErr w:type="gramEnd"/>
            <w:r w:rsidRPr="009C1931">
              <w:t xml:space="preserve"> out of pocket for the </w:t>
            </w:r>
            <w:r>
              <w:t>individual</w:t>
            </w:r>
          </w:p>
        </w:tc>
      </w:tr>
      <w:tr w:rsidR="00BC6DD3" w:rsidRPr="00FA30FA" w14:paraId="3682AE42" w14:textId="77777777" w:rsidTr="007A53E6">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0696DE09" w14:textId="77777777" w:rsidR="00B27C84" w:rsidRDefault="00B27C84" w:rsidP="00F510D0">
            <w:pPr>
              <w:pStyle w:val="Tabletextbold"/>
              <w:rPr>
                <w:szCs w:val="20"/>
              </w:rPr>
            </w:pPr>
            <w:r>
              <w:t>Repairs and warranty</w:t>
            </w:r>
          </w:p>
        </w:tc>
        <w:tc>
          <w:tcPr>
            <w:tcW w:w="8222" w:type="dxa"/>
          </w:tcPr>
          <w:p w14:paraId="73249D54" w14:textId="77777777" w:rsidR="00F824FF" w:rsidRDefault="00F824FF" w:rsidP="00F510D0">
            <w:pPr>
              <w:pStyle w:val="TableBullet1"/>
              <w:cnfStyle w:val="000000000000" w:firstRow="0" w:lastRow="0" w:firstColumn="0" w:lastColumn="0" w:oddVBand="0" w:evenVBand="0" w:oddHBand="0" w:evenHBand="0" w:firstRowFirstColumn="0" w:firstRowLastColumn="0" w:lastRowFirstColumn="0" w:lastRowLastColumn="0"/>
            </w:pPr>
            <w:r w:rsidRPr="00F824FF">
              <w:t xml:space="preserve">One prosthesis will be provided per facial part. </w:t>
            </w:r>
          </w:p>
          <w:p w14:paraId="4B6A5749" w14:textId="77777777" w:rsidR="00951BE5" w:rsidRDefault="00F824FF" w:rsidP="00F510D0">
            <w:pPr>
              <w:pStyle w:val="TableBullet1"/>
              <w:cnfStyle w:val="000000000000" w:firstRow="0" w:lastRow="0" w:firstColumn="0" w:lastColumn="0" w:oddVBand="0" w:evenVBand="0" w:oddHBand="0" w:evenHBand="0" w:firstRowFirstColumn="0" w:firstRowLastColumn="0" w:lastRowFirstColumn="0" w:lastRowLastColumn="0"/>
            </w:pPr>
            <w:r w:rsidRPr="00F824FF">
              <w:t>Replacement of a prosthesis may be considered due t</w:t>
            </w:r>
            <w:r>
              <w:t xml:space="preserve">o </w:t>
            </w:r>
            <w:r w:rsidRPr="00F824FF">
              <w:t>anatomical changes from physiological growth or atrophy of the face where the prosthesis is attached</w:t>
            </w:r>
            <w:r>
              <w:t xml:space="preserve"> </w:t>
            </w:r>
            <w:r w:rsidR="00951BE5">
              <w:t>and / or</w:t>
            </w:r>
            <w:r>
              <w:t xml:space="preserve"> c</w:t>
            </w:r>
            <w:r w:rsidRPr="00F824FF">
              <w:t xml:space="preserve">hanges in the medical condition of the patient’s face where the prosthesis is attached. </w:t>
            </w:r>
          </w:p>
          <w:p w14:paraId="64D0BA29" w14:textId="39F7B770" w:rsidR="00B27C84" w:rsidRPr="0092434F" w:rsidRDefault="00F824FF" w:rsidP="00F510D0">
            <w:pPr>
              <w:pStyle w:val="TableBullet1"/>
              <w:cnfStyle w:val="000000000000" w:firstRow="0" w:lastRow="0" w:firstColumn="0" w:lastColumn="0" w:oddVBand="0" w:evenVBand="0" w:oddHBand="0" w:evenHBand="0" w:firstRowFirstColumn="0" w:firstRowLastColumn="0" w:lastRowFirstColumn="0" w:lastRowLastColumn="0"/>
            </w:pPr>
            <w:r w:rsidRPr="00F824FF">
              <w:t>Replacement prostheses are not generally provided due to change of aesthetic preference, loss or damage.</w:t>
            </w:r>
          </w:p>
        </w:tc>
      </w:tr>
      <w:tr w:rsidR="00BC6DD3" w:rsidRPr="00FA30FA" w14:paraId="16345F2A" w14:textId="77777777" w:rsidTr="007A53E6">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4E63DB04" w14:textId="77777777" w:rsidR="00B27C84" w:rsidRDefault="00B27C84" w:rsidP="00F510D0">
            <w:pPr>
              <w:pStyle w:val="Tabletextbold"/>
              <w:rPr>
                <w:szCs w:val="20"/>
              </w:rPr>
            </w:pPr>
            <w:r>
              <w:t>Referral pathway</w:t>
            </w:r>
          </w:p>
        </w:tc>
        <w:tc>
          <w:tcPr>
            <w:tcW w:w="8222" w:type="dxa"/>
          </w:tcPr>
          <w:p w14:paraId="67D5F567" w14:textId="77777777" w:rsidR="00B27C84" w:rsidRPr="009C1931" w:rsidRDefault="00B27C84" w:rsidP="00F510D0">
            <w:pPr>
              <w:pStyle w:val="TableBullet1"/>
              <w:cnfStyle w:val="000000000000" w:firstRow="0" w:lastRow="0" w:firstColumn="0" w:lastColumn="0" w:oddVBand="0" w:evenVBand="0" w:oddHBand="0" w:evenHBand="0" w:firstRowFirstColumn="0" w:firstRowLastColumn="0" w:lastRowFirstColumn="0" w:lastRowLastColumn="0"/>
            </w:pPr>
            <w:r>
              <w:t xml:space="preserve">Referral letter from a GP, or specialist sent to Fiona Stanley Hospital </w:t>
            </w:r>
          </w:p>
        </w:tc>
      </w:tr>
      <w:tr w:rsidR="00BC6DD3" w:rsidRPr="00FA30FA" w14:paraId="03C7A777" w14:textId="77777777" w:rsidTr="007A53E6">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72339390" w14:textId="77777777" w:rsidR="00B27C84" w:rsidRDefault="00B27C84" w:rsidP="00F510D0">
            <w:pPr>
              <w:pStyle w:val="Tabletextbold"/>
              <w:rPr>
                <w:szCs w:val="20"/>
              </w:rPr>
            </w:pPr>
            <w:r>
              <w:t xml:space="preserve">Settings in which prostheses may be accessed </w:t>
            </w:r>
          </w:p>
        </w:tc>
        <w:tc>
          <w:tcPr>
            <w:tcW w:w="8222" w:type="dxa"/>
          </w:tcPr>
          <w:p w14:paraId="3FB0FC31" w14:textId="77777777" w:rsidR="00B27C84" w:rsidRPr="00E65271" w:rsidRDefault="00B27C84" w:rsidP="00F510D0">
            <w:pPr>
              <w:pStyle w:val="TableBullet1"/>
              <w:cnfStyle w:val="000000000000" w:firstRow="0" w:lastRow="0" w:firstColumn="0" w:lastColumn="0" w:oddVBand="0" w:evenVBand="0" w:oddHBand="0" w:evenHBand="0" w:firstRowFirstColumn="0" w:firstRowLastColumn="0" w:lastRowFirstColumn="0" w:lastRowLastColumn="0"/>
            </w:pPr>
            <w:r>
              <w:t>Fiona Stanley Hospital</w:t>
            </w:r>
          </w:p>
        </w:tc>
      </w:tr>
      <w:tr w:rsidR="00BC6DD3" w:rsidRPr="00FA30FA" w14:paraId="503A185D" w14:textId="77777777" w:rsidTr="007A53E6">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1D703488" w14:textId="77777777" w:rsidR="00B27C84" w:rsidRDefault="00B27C84" w:rsidP="00F510D0">
            <w:pPr>
              <w:pStyle w:val="Tabletextbold"/>
              <w:rPr>
                <w:szCs w:val="20"/>
              </w:rPr>
            </w:pPr>
            <w:r>
              <w:t>Clinicians involved</w:t>
            </w:r>
          </w:p>
        </w:tc>
        <w:tc>
          <w:tcPr>
            <w:tcW w:w="8222" w:type="dxa"/>
          </w:tcPr>
          <w:p w14:paraId="749C1700" w14:textId="77777777" w:rsidR="00B27C84" w:rsidRDefault="00B27C84" w:rsidP="00F510D0">
            <w:pPr>
              <w:pStyle w:val="TableBullet1"/>
              <w:cnfStyle w:val="000000000000" w:firstRow="0" w:lastRow="0" w:firstColumn="0" w:lastColumn="0" w:oddVBand="0" w:evenVBand="0" w:oddHBand="0" w:evenHBand="0" w:firstRowFirstColumn="0" w:firstRowLastColumn="0" w:lastRowFirstColumn="0" w:lastRowLastColumn="0"/>
            </w:pPr>
            <w:r>
              <w:t>Maxillofacial prosthetist: creation of the facial prostheses</w:t>
            </w:r>
          </w:p>
          <w:p w14:paraId="232B53C9" w14:textId="77777777" w:rsidR="00B27C84" w:rsidRPr="00E65271" w:rsidRDefault="00B27C84" w:rsidP="00F510D0">
            <w:pPr>
              <w:pStyle w:val="TableBullet1"/>
              <w:cnfStyle w:val="000000000000" w:firstRow="0" w:lastRow="0" w:firstColumn="0" w:lastColumn="0" w:oddVBand="0" w:evenVBand="0" w:oddHBand="0" w:evenHBand="0" w:firstRowFirstColumn="0" w:firstRowLastColumn="0" w:lastRowFirstColumn="0" w:lastRowLastColumn="0"/>
            </w:pPr>
            <w:r>
              <w:t>Ocularist: creation of the prosthetic eye</w:t>
            </w:r>
          </w:p>
        </w:tc>
      </w:tr>
      <w:tr w:rsidR="00BC6DD3" w:rsidRPr="00FA30FA" w14:paraId="18B866A0" w14:textId="77777777" w:rsidTr="007A53E6">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5FC59986" w14:textId="77777777" w:rsidR="00B27C84" w:rsidRDefault="00B27C84" w:rsidP="00F510D0">
            <w:pPr>
              <w:pStyle w:val="Tabletextbold"/>
              <w:rPr>
                <w:szCs w:val="20"/>
              </w:rPr>
            </w:pPr>
            <w:r>
              <w:t>Funded by</w:t>
            </w:r>
          </w:p>
        </w:tc>
        <w:tc>
          <w:tcPr>
            <w:tcW w:w="8222" w:type="dxa"/>
          </w:tcPr>
          <w:p w14:paraId="3A9F9F8B" w14:textId="77777777" w:rsidR="00B27C84" w:rsidRPr="00F6337B" w:rsidRDefault="00B27C84" w:rsidP="00F510D0">
            <w:pPr>
              <w:pStyle w:val="TableBullet1"/>
              <w:cnfStyle w:val="000000000000" w:firstRow="0" w:lastRow="0" w:firstColumn="0" w:lastColumn="0" w:oddVBand="0" w:evenVBand="0" w:oddHBand="0" w:evenHBand="0" w:firstRowFirstColumn="0" w:firstRowLastColumn="0" w:lastRowFirstColumn="0" w:lastRowLastColumn="0"/>
            </w:pPr>
            <w:r>
              <w:t>Department of Health WA</w:t>
            </w:r>
          </w:p>
        </w:tc>
      </w:tr>
      <w:tr w:rsidR="00BC6DD3" w:rsidRPr="00FA30FA" w14:paraId="0493D570" w14:textId="77777777" w:rsidTr="007A53E6">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7545B468" w14:textId="77777777" w:rsidR="00B27C84" w:rsidRDefault="00B27C84" w:rsidP="00F510D0">
            <w:pPr>
              <w:pStyle w:val="Tabletextbold"/>
              <w:rPr>
                <w:szCs w:val="20"/>
              </w:rPr>
            </w:pPr>
            <w:r>
              <w:t>Role of Australian Government</w:t>
            </w:r>
          </w:p>
        </w:tc>
        <w:tc>
          <w:tcPr>
            <w:tcW w:w="8222" w:type="dxa"/>
          </w:tcPr>
          <w:p w14:paraId="0E26E109" w14:textId="77777777" w:rsidR="00B27C84" w:rsidRDefault="00B27C84" w:rsidP="00F510D0">
            <w:pPr>
              <w:pStyle w:val="TableBullet1"/>
              <w:cnfStyle w:val="000000000000" w:firstRow="0" w:lastRow="0" w:firstColumn="0" w:lastColumn="0" w:oddVBand="0" w:evenVBand="0" w:oddHBand="0" w:evenHBand="0" w:firstRowFirstColumn="0" w:firstRowLastColumn="0" w:lastRowFirstColumn="0" w:lastRowLastColumn="0"/>
            </w:pPr>
            <w:r>
              <w:t>None</w:t>
            </w:r>
          </w:p>
        </w:tc>
      </w:tr>
      <w:tr w:rsidR="00BC6DD3" w:rsidRPr="00FA30FA" w14:paraId="219B43F7" w14:textId="77777777" w:rsidTr="007A53E6">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366FE1E2" w14:textId="77777777" w:rsidR="00B27C84" w:rsidRDefault="00B27C84" w:rsidP="00F510D0">
            <w:pPr>
              <w:pStyle w:val="Tabletextbold"/>
              <w:rPr>
                <w:szCs w:val="20"/>
              </w:rPr>
            </w:pPr>
            <w:r>
              <w:t>Role of state/territory government</w:t>
            </w:r>
          </w:p>
        </w:tc>
        <w:tc>
          <w:tcPr>
            <w:tcW w:w="8222" w:type="dxa"/>
          </w:tcPr>
          <w:p w14:paraId="7D397DC7" w14:textId="77777777" w:rsidR="00B27C84" w:rsidRDefault="00B27C84" w:rsidP="00F510D0">
            <w:pPr>
              <w:pStyle w:val="TableBullet1"/>
              <w:cnfStyle w:val="000000000000" w:firstRow="0" w:lastRow="0" w:firstColumn="0" w:lastColumn="0" w:oddVBand="0" w:evenVBand="0" w:oddHBand="0" w:evenHBand="0" w:firstRowFirstColumn="0" w:firstRowLastColumn="0" w:lastRowFirstColumn="0" w:lastRowLastColumn="0"/>
            </w:pPr>
            <w:r>
              <w:t xml:space="preserve">Provide funding to public hospitals    </w:t>
            </w:r>
          </w:p>
        </w:tc>
      </w:tr>
    </w:tbl>
    <w:p w14:paraId="5BB25483" w14:textId="6C322B16" w:rsidR="00380EBA" w:rsidRDefault="00B27C84" w:rsidP="00F510D0">
      <w:pPr>
        <w:pStyle w:val="Caption-Source"/>
        <w:rPr>
          <w:i/>
          <w:szCs w:val="20"/>
        </w:rPr>
      </w:pPr>
      <w:r w:rsidRPr="00D9634F">
        <w:t xml:space="preserve">Source: </w:t>
      </w:r>
      <w:r w:rsidR="00B26691">
        <w:t>Independent reviewer</w:t>
      </w:r>
      <w:r w:rsidRPr="00D9634F">
        <w:t xml:space="preserve"> (2025) gathered from stakeholder consultation</w:t>
      </w:r>
      <w:r w:rsidR="00380EBA">
        <w:rPr>
          <w:i/>
          <w:szCs w:val="20"/>
        </w:rPr>
        <w:br w:type="page"/>
      </w:r>
    </w:p>
    <w:p w14:paraId="6FE0176F" w14:textId="63549F14" w:rsidR="00380EBA" w:rsidRDefault="00380EBA" w:rsidP="005828AB">
      <w:pPr>
        <w:pStyle w:val="Appendixheading"/>
        <w:spacing w:before="120" w:after="120"/>
      </w:pPr>
      <w:bookmarkStart w:id="303" w:name="_Ref203125216"/>
      <w:bookmarkStart w:id="304" w:name="_Toc207348771"/>
      <w:r>
        <w:t>: Breast prostheses services, programs and schemes</w:t>
      </w:r>
      <w:bookmarkEnd w:id="303"/>
      <w:bookmarkEnd w:id="304"/>
    </w:p>
    <w:p w14:paraId="63F551B3" w14:textId="77777777" w:rsidR="00380EBA" w:rsidRPr="00DD71E7" w:rsidRDefault="00380EBA" w:rsidP="00DD71E7">
      <w:r w:rsidRPr="00DD71E7">
        <w:t>This appendix includes details regarding external breast prostheses services, programs and schemes available in Australia.</w:t>
      </w:r>
    </w:p>
    <w:p w14:paraId="1E7F6862" w14:textId="3A028522" w:rsidR="00380EBA" w:rsidRPr="004A6DB4" w:rsidRDefault="00380EBA" w:rsidP="008239ED">
      <w:pPr>
        <w:pStyle w:val="AppendixHeading2"/>
      </w:pPr>
      <w:r>
        <w:t xml:space="preserve"> </w:t>
      </w:r>
      <w:bookmarkStart w:id="305" w:name="_Toc207348772"/>
      <w:r w:rsidR="00DC7881">
        <w:t>External Breast Prosthesis Reimbursement Program</w:t>
      </w:r>
      <w:bookmarkEnd w:id="305"/>
    </w:p>
    <w:p w14:paraId="58C5CBCF" w14:textId="7BB6BD16" w:rsidR="00380EBA" w:rsidRDefault="00380EBA" w:rsidP="00380EBA">
      <w:pPr>
        <w:pStyle w:val="Caption"/>
      </w:pPr>
      <w:bookmarkStart w:id="306" w:name="_Ref198289726"/>
      <w:bookmarkStart w:id="307" w:name="_Toc207348678"/>
      <w:r>
        <w:t xml:space="preserve">Table </w:t>
      </w:r>
      <w:r w:rsidR="00E6799D">
        <w:fldChar w:fldCharType="begin"/>
      </w:r>
      <w:r w:rsidR="00E6799D">
        <w:instrText xml:space="preserve"> SEQ Table \* ARABIC </w:instrText>
      </w:r>
      <w:r w:rsidR="00E6799D">
        <w:fldChar w:fldCharType="separate"/>
      </w:r>
      <w:r w:rsidR="00E6799D">
        <w:rPr>
          <w:noProof/>
        </w:rPr>
        <w:t>113</w:t>
      </w:r>
      <w:r w:rsidR="00E6799D">
        <w:rPr>
          <w:noProof/>
        </w:rPr>
        <w:fldChar w:fldCharType="end"/>
      </w:r>
      <w:bookmarkEnd w:id="306"/>
      <w:r>
        <w:t>: EBPRP program details</w:t>
      </w:r>
      <w:bookmarkEnd w:id="307"/>
    </w:p>
    <w:tbl>
      <w:tblPr>
        <w:tblStyle w:val="KPMGTable"/>
        <w:tblW w:w="9977" w:type="dxa"/>
        <w:tblLook w:val="04A0" w:firstRow="1" w:lastRow="0" w:firstColumn="1" w:lastColumn="0" w:noHBand="0" w:noVBand="1"/>
      </w:tblPr>
      <w:tblGrid>
        <w:gridCol w:w="2280"/>
        <w:gridCol w:w="7697"/>
      </w:tblGrid>
      <w:tr w:rsidR="00467133" w:rsidRPr="007B154A" w14:paraId="4496B216" w14:textId="77777777" w:rsidTr="002D5BEE">
        <w:trPr>
          <w:cnfStyle w:val="100000000000" w:firstRow="1" w:lastRow="0" w:firstColumn="0" w:lastColumn="0" w:oddVBand="0" w:evenVBand="0" w:oddHBand="0"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2280" w:type="dxa"/>
          </w:tcPr>
          <w:p w14:paraId="3728A3F5" w14:textId="77777777" w:rsidR="00380EBA" w:rsidRPr="00C10C27" w:rsidRDefault="00380EBA" w:rsidP="002D5BEE">
            <w:pPr>
              <w:pStyle w:val="TableHeading"/>
              <w:rPr>
                <w:b w:val="0"/>
                <w:color w:val="FFFFFF" w:themeColor="background1"/>
                <w:szCs w:val="18"/>
              </w:rPr>
            </w:pPr>
            <w:r w:rsidRPr="00C10C27">
              <w:t>Category</w:t>
            </w:r>
          </w:p>
        </w:tc>
        <w:tc>
          <w:tcPr>
            <w:tcW w:w="7697" w:type="dxa"/>
          </w:tcPr>
          <w:p w14:paraId="2D26CD17" w14:textId="77777777" w:rsidR="00380EBA" w:rsidRPr="00C10C27" w:rsidRDefault="00380EBA" w:rsidP="002D5BEE">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C10C27">
              <w:t xml:space="preserve">Description </w:t>
            </w:r>
          </w:p>
        </w:tc>
      </w:tr>
      <w:tr w:rsidR="00BC6DD3" w:rsidRPr="001B05CB" w14:paraId="578B891D" w14:textId="77777777" w:rsidTr="002D5BEE">
        <w:trPr>
          <w:trHeight w:val="522"/>
        </w:trPr>
        <w:tc>
          <w:tcPr>
            <w:cnfStyle w:val="001000000000" w:firstRow="0" w:lastRow="0" w:firstColumn="1" w:lastColumn="0" w:oddVBand="0" w:evenVBand="0" w:oddHBand="0" w:evenHBand="0" w:firstRowFirstColumn="0" w:firstRowLastColumn="0" w:lastRowFirstColumn="0" w:lastRowLastColumn="0"/>
            <w:tcW w:w="2280" w:type="dxa"/>
          </w:tcPr>
          <w:p w14:paraId="643AE1D0" w14:textId="77777777" w:rsidR="00380EBA" w:rsidRPr="00C10C27" w:rsidRDefault="00380EBA" w:rsidP="002D5BEE">
            <w:pPr>
              <w:pStyle w:val="Tabletextbold"/>
              <w:rPr>
                <w:szCs w:val="18"/>
              </w:rPr>
            </w:pPr>
            <w:r w:rsidRPr="00C10C27">
              <w:t>Eligibility criteria</w:t>
            </w:r>
          </w:p>
        </w:tc>
        <w:tc>
          <w:tcPr>
            <w:tcW w:w="7697" w:type="dxa"/>
          </w:tcPr>
          <w:p w14:paraId="0E6041E0" w14:textId="77777777" w:rsidR="00380EBA" w:rsidRPr="00E9562A" w:rsidRDefault="00380EBA" w:rsidP="002D5BEE">
            <w:pPr>
              <w:pStyle w:val="TableBullet1"/>
              <w:cnfStyle w:val="000000000000" w:firstRow="0" w:lastRow="0" w:firstColumn="0" w:lastColumn="0" w:oddVBand="0" w:evenVBand="0" w:oddHBand="0" w:evenHBand="0" w:firstRowFirstColumn="0" w:firstRowLastColumn="0" w:lastRowFirstColumn="0" w:lastRowLastColumn="0"/>
            </w:pPr>
            <w:r w:rsidRPr="00E9562A">
              <w:t>Be enrolled in Medicare,</w:t>
            </w:r>
          </w:p>
          <w:p w14:paraId="1DCBE36D" w14:textId="77777777" w:rsidR="00380EBA" w:rsidRPr="00E9562A" w:rsidRDefault="00380EBA" w:rsidP="002D5BEE">
            <w:pPr>
              <w:pStyle w:val="TableBullet1"/>
              <w:cnfStyle w:val="000000000000" w:firstRow="0" w:lastRow="0" w:firstColumn="0" w:lastColumn="0" w:oddVBand="0" w:evenVBand="0" w:oddHBand="0" w:evenHBand="0" w:firstRowFirstColumn="0" w:firstRowLastColumn="0" w:lastRowFirstColumn="0" w:lastRowLastColumn="0"/>
            </w:pPr>
            <w:r w:rsidRPr="00E9562A">
              <w:t>Be a permanent resident of Australia,</w:t>
            </w:r>
          </w:p>
          <w:p w14:paraId="31E09727" w14:textId="77777777" w:rsidR="00380EBA" w:rsidRPr="00E9562A" w:rsidRDefault="00380EBA" w:rsidP="002D5BEE">
            <w:pPr>
              <w:pStyle w:val="TableBullet1"/>
              <w:cnfStyle w:val="000000000000" w:firstRow="0" w:lastRow="0" w:firstColumn="0" w:lastColumn="0" w:oddVBand="0" w:evenVBand="0" w:oddHBand="0" w:evenHBand="0" w:firstRowFirstColumn="0" w:firstRowLastColumn="0" w:lastRowFirstColumn="0" w:lastRowLastColumn="0"/>
            </w:pPr>
            <w:r w:rsidRPr="00E9562A">
              <w:t xml:space="preserve">Have undergone breast surgery </w:t>
            </w:r>
            <w:proofErr w:type="gramStart"/>
            <w:r w:rsidRPr="00E9562A">
              <w:t>as a result of</w:t>
            </w:r>
            <w:proofErr w:type="gramEnd"/>
            <w:r w:rsidRPr="00E9562A">
              <w:t xml:space="preserve"> breast cancer. Eligible procedures include double mastectomies, prophylactic (preventative) mastectomies, partial mastectomies, and lumpectomies; and</w:t>
            </w:r>
          </w:p>
          <w:p w14:paraId="101382BF" w14:textId="77777777" w:rsidR="00380EBA" w:rsidRPr="00E9562A" w:rsidRDefault="00380EBA" w:rsidP="002D5BEE">
            <w:pPr>
              <w:pStyle w:val="TableBullet1"/>
              <w:cnfStyle w:val="000000000000" w:firstRow="0" w:lastRow="0" w:firstColumn="0" w:lastColumn="0" w:oddVBand="0" w:evenVBand="0" w:oddHBand="0" w:evenHBand="0" w:firstRowFirstColumn="0" w:firstRowLastColumn="0" w:lastRowFirstColumn="0" w:lastRowLastColumn="0"/>
            </w:pPr>
            <w:r w:rsidRPr="00E9562A">
              <w:t>Not have received a reimbursement under the program within the past two years</w:t>
            </w:r>
            <w:r>
              <w:t xml:space="preserve">. </w:t>
            </w:r>
          </w:p>
        </w:tc>
      </w:tr>
      <w:tr w:rsidR="00BC6DD3" w:rsidRPr="00FA30FA" w14:paraId="35A529D3" w14:textId="77777777" w:rsidTr="002D5BEE">
        <w:trPr>
          <w:trHeight w:val="520"/>
        </w:trPr>
        <w:tc>
          <w:tcPr>
            <w:cnfStyle w:val="001000000000" w:firstRow="0" w:lastRow="0" w:firstColumn="1" w:lastColumn="0" w:oddVBand="0" w:evenVBand="0" w:oddHBand="0" w:evenHBand="0" w:firstRowFirstColumn="0" w:firstRowLastColumn="0" w:lastRowFirstColumn="0" w:lastRowLastColumn="0"/>
            <w:tcW w:w="2280" w:type="dxa"/>
          </w:tcPr>
          <w:p w14:paraId="1F18126D" w14:textId="77777777" w:rsidR="00380EBA" w:rsidRPr="00C10C27" w:rsidRDefault="00380EBA" w:rsidP="002D5BEE">
            <w:pPr>
              <w:pStyle w:val="Tabletextbold"/>
              <w:rPr>
                <w:szCs w:val="18"/>
              </w:rPr>
            </w:pPr>
            <w:r w:rsidRPr="00C10C27">
              <w:t>Products and services included</w:t>
            </w:r>
          </w:p>
        </w:tc>
        <w:tc>
          <w:tcPr>
            <w:tcW w:w="7697" w:type="dxa"/>
          </w:tcPr>
          <w:p w14:paraId="7987A0DB" w14:textId="30A749BD" w:rsidR="00380EBA" w:rsidRDefault="00380EBA" w:rsidP="002D5BEE">
            <w:pPr>
              <w:pStyle w:val="TableBullet1"/>
              <w:cnfStyle w:val="000000000000" w:firstRow="0" w:lastRow="0" w:firstColumn="0" w:lastColumn="0" w:oddVBand="0" w:evenVBand="0" w:oddHBand="0" w:evenHBand="0" w:firstRowFirstColumn="0" w:firstRowLastColumn="0" w:lastRowFirstColumn="0" w:lastRowLastColumn="0"/>
            </w:pPr>
            <w:r>
              <w:t xml:space="preserve">External breast </w:t>
            </w:r>
            <w:r w:rsidR="00243A26">
              <w:t>prostheses</w:t>
            </w:r>
            <w:r>
              <w:t xml:space="preserve"> </w:t>
            </w:r>
          </w:p>
          <w:p w14:paraId="6332F9C7" w14:textId="77777777" w:rsidR="00380EBA" w:rsidRPr="00E9562A" w:rsidRDefault="00380EBA" w:rsidP="002D5BEE">
            <w:pPr>
              <w:pStyle w:val="TableBullet1"/>
              <w:cnfStyle w:val="000000000000" w:firstRow="0" w:lastRow="0" w:firstColumn="0" w:lastColumn="0" w:oddVBand="0" w:evenVBand="0" w:oddHBand="0" w:evenHBand="0" w:firstRowFirstColumn="0" w:firstRowLastColumn="0" w:lastRowFirstColumn="0" w:lastRowLastColumn="0"/>
            </w:pPr>
            <w:r>
              <w:t>Swimming prostheses</w:t>
            </w:r>
          </w:p>
        </w:tc>
      </w:tr>
      <w:tr w:rsidR="00BC6DD3" w:rsidRPr="00FA30FA" w14:paraId="429AA042" w14:textId="77777777" w:rsidTr="002D5BEE">
        <w:trPr>
          <w:trHeight w:val="520"/>
        </w:trPr>
        <w:tc>
          <w:tcPr>
            <w:cnfStyle w:val="001000000000" w:firstRow="0" w:lastRow="0" w:firstColumn="1" w:lastColumn="0" w:oddVBand="0" w:evenVBand="0" w:oddHBand="0" w:evenHBand="0" w:firstRowFirstColumn="0" w:firstRowLastColumn="0" w:lastRowFirstColumn="0" w:lastRowLastColumn="0"/>
            <w:tcW w:w="2280" w:type="dxa"/>
          </w:tcPr>
          <w:p w14:paraId="1C425806" w14:textId="77777777" w:rsidR="00380EBA" w:rsidRPr="00C10C27" w:rsidRDefault="00380EBA" w:rsidP="002D5BEE">
            <w:pPr>
              <w:pStyle w:val="Tabletextbold"/>
              <w:rPr>
                <w:szCs w:val="18"/>
              </w:rPr>
            </w:pPr>
            <w:r w:rsidRPr="00C10C27">
              <w:t>Cost coverage</w:t>
            </w:r>
          </w:p>
        </w:tc>
        <w:tc>
          <w:tcPr>
            <w:tcW w:w="7697" w:type="dxa"/>
          </w:tcPr>
          <w:p w14:paraId="3837A5E3" w14:textId="77777777" w:rsidR="00380EBA" w:rsidRPr="00E9562A" w:rsidRDefault="00380EBA" w:rsidP="002D5BEE">
            <w:pPr>
              <w:pStyle w:val="TableBullet1"/>
              <w:cnfStyle w:val="000000000000" w:firstRow="0" w:lastRow="0" w:firstColumn="0" w:lastColumn="0" w:oddVBand="0" w:evenVBand="0" w:oddHBand="0" w:evenHBand="0" w:firstRowFirstColumn="0" w:firstRowLastColumn="0" w:lastRowFirstColumn="0" w:lastRowLastColumn="0"/>
            </w:pPr>
            <w:r w:rsidRPr="00E9562A">
              <w:t>Up to $400 for each new or replacement breast prosthes</w:t>
            </w:r>
            <w:r>
              <w:t>i</w:t>
            </w:r>
            <w:r w:rsidRPr="00E9562A">
              <w:t>s</w:t>
            </w:r>
            <w:r>
              <w:t xml:space="preserve"> following a unilateral mastectomy</w:t>
            </w:r>
          </w:p>
          <w:p w14:paraId="49E3C8C9" w14:textId="77777777" w:rsidR="00380EBA" w:rsidRPr="00C10C27" w:rsidRDefault="00380EBA" w:rsidP="002D5BEE">
            <w:pPr>
              <w:pStyle w:val="TableBullet1"/>
              <w:cnfStyle w:val="000000000000" w:firstRow="0" w:lastRow="0" w:firstColumn="0" w:lastColumn="0" w:oddVBand="0" w:evenVBand="0" w:oddHBand="0" w:evenHBand="0" w:firstRowFirstColumn="0" w:firstRowLastColumn="0" w:lastRowFirstColumn="0" w:lastRowLastColumn="0"/>
            </w:pPr>
            <w:r w:rsidRPr="00E9562A">
              <w:t>Up to $800 for new or replacement breast prosthes</w:t>
            </w:r>
            <w:r>
              <w:t>e</w:t>
            </w:r>
            <w:r w:rsidRPr="00E9562A">
              <w:t>s following a bilateral mastectomy</w:t>
            </w:r>
          </w:p>
        </w:tc>
      </w:tr>
      <w:tr w:rsidR="00BC6DD3" w:rsidRPr="00FA30FA" w14:paraId="3BCFBE47" w14:textId="77777777" w:rsidTr="002D5BEE">
        <w:trPr>
          <w:trHeight w:val="520"/>
        </w:trPr>
        <w:tc>
          <w:tcPr>
            <w:cnfStyle w:val="001000000000" w:firstRow="0" w:lastRow="0" w:firstColumn="1" w:lastColumn="0" w:oddVBand="0" w:evenVBand="0" w:oddHBand="0" w:evenHBand="0" w:firstRowFirstColumn="0" w:firstRowLastColumn="0" w:lastRowFirstColumn="0" w:lastRowLastColumn="0"/>
            <w:tcW w:w="2280" w:type="dxa"/>
          </w:tcPr>
          <w:p w14:paraId="4102EAA1" w14:textId="77777777" w:rsidR="00380EBA" w:rsidRPr="00C10C27" w:rsidRDefault="00380EBA" w:rsidP="002D5BEE">
            <w:pPr>
              <w:pStyle w:val="Tabletextbold"/>
              <w:rPr>
                <w:szCs w:val="18"/>
              </w:rPr>
            </w:pPr>
            <w:r w:rsidRPr="00C10C27">
              <w:t>Repairs and warranty</w:t>
            </w:r>
          </w:p>
        </w:tc>
        <w:tc>
          <w:tcPr>
            <w:tcW w:w="7697" w:type="dxa"/>
          </w:tcPr>
          <w:p w14:paraId="27EFF67C" w14:textId="77777777" w:rsidR="00380EBA" w:rsidRPr="00C10C27" w:rsidRDefault="00380EBA" w:rsidP="002D5BEE">
            <w:pPr>
              <w:pStyle w:val="TableBullet1"/>
              <w:cnfStyle w:val="000000000000" w:firstRow="0" w:lastRow="0" w:firstColumn="0" w:lastColumn="0" w:oddVBand="0" w:evenVBand="0" w:oddHBand="0" w:evenHBand="0" w:firstRowFirstColumn="0" w:firstRowLastColumn="0" w:lastRowFirstColumn="0" w:lastRowLastColumn="0"/>
            </w:pPr>
            <w:r w:rsidRPr="00C10C27">
              <w:t>Warranty policies and coverage for repairs vary by retailer</w:t>
            </w:r>
          </w:p>
        </w:tc>
      </w:tr>
      <w:tr w:rsidR="00BC6DD3" w:rsidRPr="00FA30FA" w14:paraId="72299497" w14:textId="77777777" w:rsidTr="002D5BEE">
        <w:trPr>
          <w:trHeight w:val="520"/>
        </w:trPr>
        <w:tc>
          <w:tcPr>
            <w:cnfStyle w:val="001000000000" w:firstRow="0" w:lastRow="0" w:firstColumn="1" w:lastColumn="0" w:oddVBand="0" w:evenVBand="0" w:oddHBand="0" w:evenHBand="0" w:firstRowFirstColumn="0" w:firstRowLastColumn="0" w:lastRowFirstColumn="0" w:lastRowLastColumn="0"/>
            <w:tcW w:w="2280" w:type="dxa"/>
          </w:tcPr>
          <w:p w14:paraId="2BC36B5B" w14:textId="77777777" w:rsidR="00380EBA" w:rsidRPr="00C10C27" w:rsidRDefault="00380EBA" w:rsidP="002D5BEE">
            <w:pPr>
              <w:pStyle w:val="Tabletextbold"/>
              <w:rPr>
                <w:szCs w:val="18"/>
              </w:rPr>
            </w:pPr>
            <w:r w:rsidRPr="00C10C27">
              <w:t>Referral pathway</w:t>
            </w:r>
          </w:p>
        </w:tc>
        <w:tc>
          <w:tcPr>
            <w:tcW w:w="7697" w:type="dxa"/>
          </w:tcPr>
          <w:p w14:paraId="02FA596E" w14:textId="77777777" w:rsidR="00380EBA" w:rsidRDefault="00380EBA" w:rsidP="002D5BEE">
            <w:pPr>
              <w:pStyle w:val="TableBullet1"/>
              <w:cnfStyle w:val="000000000000" w:firstRow="0" w:lastRow="0" w:firstColumn="0" w:lastColumn="0" w:oddVBand="0" w:evenVBand="0" w:oddHBand="0" w:evenHBand="0" w:firstRowFirstColumn="0" w:firstRowLastColumn="0" w:lastRowFirstColumn="0" w:lastRowLastColumn="0"/>
            </w:pPr>
            <w:r w:rsidRPr="00E76266">
              <w:t xml:space="preserve">No prescription or referral from a health professional is necessary to claim a reimbursement. </w:t>
            </w:r>
          </w:p>
          <w:p w14:paraId="59457C7E" w14:textId="77777777" w:rsidR="00380EBA" w:rsidRPr="00E76266" w:rsidRDefault="00380EBA" w:rsidP="002D5BEE">
            <w:pPr>
              <w:pStyle w:val="TableBullet1"/>
              <w:cnfStyle w:val="000000000000" w:firstRow="0" w:lastRow="0" w:firstColumn="0" w:lastColumn="0" w:oddVBand="0" w:evenVBand="0" w:oddHBand="0" w:evenHBand="0" w:firstRowFirstColumn="0" w:firstRowLastColumn="0" w:lastRowFirstColumn="0" w:lastRowLastColumn="0"/>
            </w:pPr>
            <w:r>
              <w:t xml:space="preserve">The person can purchase prostheses from their preferred retailer </w:t>
            </w:r>
          </w:p>
          <w:p w14:paraId="59C5DC12" w14:textId="77777777" w:rsidR="00380EBA" w:rsidRDefault="00380EBA" w:rsidP="002D5BEE">
            <w:pPr>
              <w:pStyle w:val="TableBullet1"/>
              <w:cnfStyle w:val="000000000000" w:firstRow="0" w:lastRow="0" w:firstColumn="0" w:lastColumn="0" w:oddVBand="0" w:evenVBand="0" w:oddHBand="0" w:evenHBand="0" w:firstRowFirstColumn="0" w:firstRowLastColumn="0" w:lastRowFirstColumn="0" w:lastRowLastColumn="0"/>
            </w:pPr>
            <w:r>
              <w:t>The person then s</w:t>
            </w:r>
            <w:r w:rsidRPr="00C10C27">
              <w:t>ubmit</w:t>
            </w:r>
            <w:r>
              <w:t>s</w:t>
            </w:r>
            <w:r w:rsidRPr="00C10C27">
              <w:t xml:space="preserve"> a form to Services Australia </w:t>
            </w:r>
            <w:r>
              <w:t xml:space="preserve">with a copy of the purchase receipt with a description of what was purchased, the date and supplier information </w:t>
            </w:r>
          </w:p>
          <w:p w14:paraId="16987768" w14:textId="77777777" w:rsidR="00380EBA" w:rsidRPr="00C10C27" w:rsidRDefault="00380EBA" w:rsidP="002D5BEE">
            <w:pPr>
              <w:pStyle w:val="TableBullet1"/>
              <w:cnfStyle w:val="000000000000" w:firstRow="0" w:lastRow="0" w:firstColumn="0" w:lastColumn="0" w:oddVBand="0" w:evenVBand="0" w:oddHBand="0" w:evenHBand="0" w:firstRowFirstColumn="0" w:firstRowLastColumn="0" w:lastRowFirstColumn="0" w:lastRowLastColumn="0"/>
            </w:pPr>
            <w:r>
              <w:t xml:space="preserve">Services Australia </w:t>
            </w:r>
            <w:r w:rsidRPr="00C10C27">
              <w:t xml:space="preserve">then process the claim </w:t>
            </w:r>
            <w:r>
              <w:t xml:space="preserve">(typically within </w:t>
            </w:r>
            <w:r w:rsidRPr="006213BD">
              <w:t>1</w:t>
            </w:r>
            <w:r>
              <w:t xml:space="preserve">0 business days) </w:t>
            </w:r>
            <w:r w:rsidRPr="00C10C27">
              <w:t>and deposit</w:t>
            </w:r>
            <w:r>
              <w:t>s</w:t>
            </w:r>
            <w:r w:rsidRPr="00C10C27">
              <w:t xml:space="preserve"> </w:t>
            </w:r>
            <w:r>
              <w:t>t</w:t>
            </w:r>
            <w:r w:rsidRPr="00C10C27">
              <w:t xml:space="preserve">he reimbursement directly into the </w:t>
            </w:r>
            <w:r>
              <w:t>persons</w:t>
            </w:r>
            <w:r w:rsidRPr="00C10C27">
              <w:t xml:space="preserve"> nominated bank account</w:t>
            </w:r>
          </w:p>
        </w:tc>
      </w:tr>
      <w:tr w:rsidR="00BC6DD3" w:rsidRPr="00FA30FA" w14:paraId="2C1A4677" w14:textId="77777777" w:rsidTr="002D5BEE">
        <w:trPr>
          <w:trHeight w:val="520"/>
        </w:trPr>
        <w:tc>
          <w:tcPr>
            <w:cnfStyle w:val="001000000000" w:firstRow="0" w:lastRow="0" w:firstColumn="1" w:lastColumn="0" w:oddVBand="0" w:evenVBand="0" w:oddHBand="0" w:evenHBand="0" w:firstRowFirstColumn="0" w:firstRowLastColumn="0" w:lastRowFirstColumn="0" w:lastRowLastColumn="0"/>
            <w:tcW w:w="2280" w:type="dxa"/>
          </w:tcPr>
          <w:p w14:paraId="40364D75" w14:textId="77777777" w:rsidR="00380EBA" w:rsidRPr="00C10C27" w:rsidRDefault="00380EBA" w:rsidP="002D5BEE">
            <w:pPr>
              <w:pStyle w:val="Tabletextbold"/>
              <w:rPr>
                <w:szCs w:val="18"/>
              </w:rPr>
            </w:pPr>
            <w:r w:rsidRPr="00C10C27">
              <w:t xml:space="preserve">Settings in which prostheses may be accessed </w:t>
            </w:r>
          </w:p>
        </w:tc>
        <w:tc>
          <w:tcPr>
            <w:tcW w:w="7697" w:type="dxa"/>
          </w:tcPr>
          <w:p w14:paraId="7E464ADB" w14:textId="77777777" w:rsidR="00380EBA" w:rsidRPr="00C10C27" w:rsidRDefault="00380EBA" w:rsidP="002D5BEE">
            <w:pPr>
              <w:pStyle w:val="TableBullet1"/>
              <w:cnfStyle w:val="000000000000" w:firstRow="0" w:lastRow="0" w:firstColumn="0" w:lastColumn="0" w:oddVBand="0" w:evenVBand="0" w:oddHBand="0" w:evenHBand="0" w:firstRowFirstColumn="0" w:firstRowLastColumn="0" w:lastRowFirstColumn="0" w:lastRowLastColumn="0"/>
            </w:pPr>
            <w:r w:rsidRPr="00C10C27">
              <w:t>Specialist mastectomy stores</w:t>
            </w:r>
          </w:p>
          <w:p w14:paraId="69B2AD17" w14:textId="77777777" w:rsidR="00380EBA" w:rsidRPr="00C10C27" w:rsidRDefault="00380EBA" w:rsidP="002D5BEE">
            <w:pPr>
              <w:pStyle w:val="TableBullet1"/>
              <w:cnfStyle w:val="000000000000" w:firstRow="0" w:lastRow="0" w:firstColumn="0" w:lastColumn="0" w:oddVBand="0" w:evenVBand="0" w:oddHBand="0" w:evenHBand="0" w:firstRowFirstColumn="0" w:firstRowLastColumn="0" w:lastRowFirstColumn="0" w:lastRowLastColumn="0"/>
            </w:pPr>
            <w:r w:rsidRPr="00C10C27">
              <w:t>Mobile fitting services</w:t>
            </w:r>
          </w:p>
          <w:p w14:paraId="06A73D2D" w14:textId="77777777" w:rsidR="00380EBA" w:rsidRPr="00C10C27" w:rsidRDefault="00380EBA" w:rsidP="002D5BEE">
            <w:pPr>
              <w:pStyle w:val="TableBullet1"/>
              <w:cnfStyle w:val="000000000000" w:firstRow="0" w:lastRow="0" w:firstColumn="0" w:lastColumn="0" w:oddVBand="0" w:evenVBand="0" w:oddHBand="0" w:evenHBand="0" w:firstRowFirstColumn="0" w:firstRowLastColumn="0" w:lastRowFirstColumn="0" w:lastRowLastColumn="0"/>
            </w:pPr>
            <w:r w:rsidRPr="00C10C27">
              <w:t>Home fitting services</w:t>
            </w:r>
          </w:p>
          <w:p w14:paraId="58E29773" w14:textId="77777777" w:rsidR="00380EBA" w:rsidRPr="00C10C27" w:rsidRDefault="00380EBA" w:rsidP="002D5BEE">
            <w:pPr>
              <w:pStyle w:val="TableBullet1"/>
              <w:cnfStyle w:val="000000000000" w:firstRow="0" w:lastRow="0" w:firstColumn="0" w:lastColumn="0" w:oddVBand="0" w:evenVBand="0" w:oddHBand="0" w:evenHBand="0" w:firstRowFirstColumn="0" w:firstRowLastColumn="0" w:lastRowFirstColumn="0" w:lastRowLastColumn="0"/>
            </w:pPr>
            <w:r w:rsidRPr="00C10C27">
              <w:t>Major department stores</w:t>
            </w:r>
          </w:p>
          <w:p w14:paraId="07D90826" w14:textId="77777777" w:rsidR="00380EBA" w:rsidRPr="00C10C27" w:rsidRDefault="00380EBA" w:rsidP="002D5BEE">
            <w:pPr>
              <w:pStyle w:val="TableBullet1"/>
              <w:cnfStyle w:val="000000000000" w:firstRow="0" w:lastRow="0" w:firstColumn="0" w:lastColumn="0" w:oddVBand="0" w:evenVBand="0" w:oddHBand="0" w:evenHBand="0" w:firstRowFirstColumn="0" w:firstRowLastColumn="0" w:lastRowFirstColumn="0" w:lastRowLastColumn="0"/>
              <w:rPr>
                <w:b/>
                <w:szCs w:val="18"/>
              </w:rPr>
            </w:pPr>
            <w:r>
              <w:t>Undergarment</w:t>
            </w:r>
            <w:r w:rsidRPr="00C10C27">
              <w:t xml:space="preserve"> stores</w:t>
            </w:r>
          </w:p>
        </w:tc>
      </w:tr>
      <w:tr w:rsidR="00BC6DD3" w:rsidRPr="00FA30FA" w14:paraId="25487B8E" w14:textId="77777777" w:rsidTr="002D5BEE">
        <w:trPr>
          <w:trHeight w:val="520"/>
        </w:trPr>
        <w:tc>
          <w:tcPr>
            <w:cnfStyle w:val="001000000000" w:firstRow="0" w:lastRow="0" w:firstColumn="1" w:lastColumn="0" w:oddVBand="0" w:evenVBand="0" w:oddHBand="0" w:evenHBand="0" w:firstRowFirstColumn="0" w:firstRowLastColumn="0" w:lastRowFirstColumn="0" w:lastRowLastColumn="0"/>
            <w:tcW w:w="2280" w:type="dxa"/>
          </w:tcPr>
          <w:p w14:paraId="070E009A" w14:textId="77777777" w:rsidR="00380EBA" w:rsidRPr="00C10C27" w:rsidRDefault="00380EBA" w:rsidP="002D5BEE">
            <w:pPr>
              <w:pStyle w:val="Tabletextbold"/>
              <w:rPr>
                <w:szCs w:val="18"/>
              </w:rPr>
            </w:pPr>
            <w:r w:rsidRPr="00C10C27">
              <w:t xml:space="preserve">Clinicians involved  </w:t>
            </w:r>
          </w:p>
        </w:tc>
        <w:tc>
          <w:tcPr>
            <w:tcW w:w="7697" w:type="dxa"/>
          </w:tcPr>
          <w:p w14:paraId="3F39BE5B" w14:textId="77777777" w:rsidR="00380EBA" w:rsidRPr="00C10C27" w:rsidRDefault="00380EBA" w:rsidP="002D5BEE">
            <w:pPr>
              <w:pStyle w:val="TableBullet1"/>
              <w:cnfStyle w:val="000000000000" w:firstRow="0" w:lastRow="0" w:firstColumn="0" w:lastColumn="0" w:oddVBand="0" w:evenVBand="0" w:oddHBand="0" w:evenHBand="0" w:firstRowFirstColumn="0" w:firstRowLastColumn="0" w:lastRowFirstColumn="0" w:lastRowLastColumn="0"/>
            </w:pPr>
            <w:r w:rsidRPr="000F6471">
              <w:t>Breast care and McGrath nurses: provide support and education to people with breast cancer about prostheses services available</w:t>
            </w:r>
          </w:p>
        </w:tc>
      </w:tr>
      <w:tr w:rsidR="00BC6DD3" w:rsidRPr="00FA30FA" w14:paraId="1F36C639" w14:textId="77777777" w:rsidTr="002D5BEE">
        <w:trPr>
          <w:trHeight w:val="520"/>
        </w:trPr>
        <w:tc>
          <w:tcPr>
            <w:cnfStyle w:val="001000000000" w:firstRow="0" w:lastRow="0" w:firstColumn="1" w:lastColumn="0" w:oddVBand="0" w:evenVBand="0" w:oddHBand="0" w:evenHBand="0" w:firstRowFirstColumn="0" w:firstRowLastColumn="0" w:lastRowFirstColumn="0" w:lastRowLastColumn="0"/>
            <w:tcW w:w="2280" w:type="dxa"/>
          </w:tcPr>
          <w:p w14:paraId="68B8CFE6" w14:textId="77777777" w:rsidR="00380EBA" w:rsidRPr="00C10C27" w:rsidRDefault="00380EBA" w:rsidP="002D5BEE">
            <w:pPr>
              <w:pStyle w:val="Tabletextbold"/>
              <w:rPr>
                <w:szCs w:val="18"/>
              </w:rPr>
            </w:pPr>
            <w:r w:rsidRPr="00C10C27">
              <w:t>Funded by</w:t>
            </w:r>
          </w:p>
        </w:tc>
        <w:tc>
          <w:tcPr>
            <w:tcW w:w="7697" w:type="dxa"/>
          </w:tcPr>
          <w:p w14:paraId="150C982D" w14:textId="77777777" w:rsidR="00380EBA" w:rsidRPr="00C10C27" w:rsidRDefault="00380EBA" w:rsidP="002D5BEE">
            <w:pPr>
              <w:pStyle w:val="TableBullet1"/>
              <w:cnfStyle w:val="000000000000" w:firstRow="0" w:lastRow="0" w:firstColumn="0" w:lastColumn="0" w:oddVBand="0" w:evenVBand="0" w:oddHBand="0" w:evenHBand="0" w:firstRowFirstColumn="0" w:firstRowLastColumn="0" w:lastRowFirstColumn="0" w:lastRowLastColumn="0"/>
            </w:pPr>
            <w:r w:rsidRPr="00C10C27">
              <w:t>Australian Government</w:t>
            </w:r>
          </w:p>
        </w:tc>
      </w:tr>
      <w:tr w:rsidR="00BC6DD3" w:rsidRPr="00C10C27" w14:paraId="65CF2191" w14:textId="77777777" w:rsidTr="002D5BEE">
        <w:trPr>
          <w:trHeight w:val="520"/>
        </w:trPr>
        <w:tc>
          <w:tcPr>
            <w:cnfStyle w:val="001000000000" w:firstRow="0" w:lastRow="0" w:firstColumn="1" w:lastColumn="0" w:oddVBand="0" w:evenVBand="0" w:oddHBand="0" w:evenHBand="0" w:firstRowFirstColumn="0" w:firstRowLastColumn="0" w:lastRowFirstColumn="0" w:lastRowLastColumn="0"/>
            <w:tcW w:w="2280" w:type="dxa"/>
          </w:tcPr>
          <w:p w14:paraId="135F4450" w14:textId="77777777" w:rsidR="00380EBA" w:rsidRPr="00C10C27" w:rsidRDefault="00380EBA" w:rsidP="002D5BEE">
            <w:pPr>
              <w:pStyle w:val="Tabletextbold"/>
              <w:rPr>
                <w:szCs w:val="18"/>
              </w:rPr>
            </w:pPr>
            <w:r>
              <w:t>Role of Australian Government</w:t>
            </w:r>
          </w:p>
        </w:tc>
        <w:tc>
          <w:tcPr>
            <w:tcW w:w="7697" w:type="dxa"/>
          </w:tcPr>
          <w:p w14:paraId="48CC6F1A" w14:textId="77777777" w:rsidR="00380EBA" w:rsidRPr="00C10C27" w:rsidRDefault="00380EBA" w:rsidP="002D5BEE">
            <w:pPr>
              <w:pStyle w:val="TableBullet1"/>
              <w:cnfStyle w:val="000000000000" w:firstRow="0" w:lastRow="0" w:firstColumn="0" w:lastColumn="0" w:oddVBand="0" w:evenVBand="0" w:oddHBand="0" w:evenHBand="0" w:firstRowFirstColumn="0" w:firstRowLastColumn="0" w:lastRowFirstColumn="0" w:lastRowLastColumn="0"/>
            </w:pPr>
            <w:r>
              <w:t>Funds and administers the EBPRP</w:t>
            </w:r>
          </w:p>
        </w:tc>
      </w:tr>
      <w:tr w:rsidR="00BC6DD3" w:rsidRPr="00C10C27" w14:paraId="387C8864" w14:textId="77777777" w:rsidTr="002D5BEE">
        <w:trPr>
          <w:trHeight w:val="520"/>
        </w:trPr>
        <w:tc>
          <w:tcPr>
            <w:cnfStyle w:val="001000000000" w:firstRow="0" w:lastRow="0" w:firstColumn="1" w:lastColumn="0" w:oddVBand="0" w:evenVBand="0" w:oddHBand="0" w:evenHBand="0" w:firstRowFirstColumn="0" w:firstRowLastColumn="0" w:lastRowFirstColumn="0" w:lastRowLastColumn="0"/>
            <w:tcW w:w="2280" w:type="dxa"/>
          </w:tcPr>
          <w:p w14:paraId="5647B1CF" w14:textId="77777777" w:rsidR="00380EBA" w:rsidRDefault="00380EBA" w:rsidP="002D5BEE">
            <w:pPr>
              <w:pStyle w:val="Tabletextbold"/>
              <w:rPr>
                <w:szCs w:val="18"/>
              </w:rPr>
            </w:pPr>
            <w:r>
              <w:t>Role of state/territory governments</w:t>
            </w:r>
          </w:p>
        </w:tc>
        <w:tc>
          <w:tcPr>
            <w:tcW w:w="7697" w:type="dxa"/>
          </w:tcPr>
          <w:p w14:paraId="177D2EE3" w14:textId="77777777" w:rsidR="00380EBA" w:rsidRDefault="00380EBA" w:rsidP="002D5BEE">
            <w:pPr>
              <w:pStyle w:val="TableBullet1"/>
              <w:cnfStyle w:val="000000000000" w:firstRow="0" w:lastRow="0" w:firstColumn="0" w:lastColumn="0" w:oddVBand="0" w:evenVBand="0" w:oddHBand="0" w:evenHBand="0" w:firstRowFirstColumn="0" w:firstRowLastColumn="0" w:lastRowFirstColumn="0" w:lastRowLastColumn="0"/>
            </w:pPr>
            <w:r>
              <w:t>None</w:t>
            </w:r>
          </w:p>
        </w:tc>
      </w:tr>
    </w:tbl>
    <w:p w14:paraId="1C893A93" w14:textId="546AD185" w:rsidR="00380EBA" w:rsidRDefault="00380EBA" w:rsidP="002D5BEE">
      <w:pPr>
        <w:pStyle w:val="Caption-Source"/>
        <w:rPr>
          <w:rFonts w:ascii="ZWAdobeF" w:hAnsi="ZWAdobeF" w:cs="ZWAdobeF"/>
          <w:color w:val="auto"/>
          <w:sz w:val="2"/>
          <w:szCs w:val="2"/>
        </w:rPr>
      </w:pPr>
      <w:r w:rsidRPr="003221EC">
        <w:t>Source: Adapted from Services Australia, 2024</w:t>
      </w:r>
      <w:r>
        <w:rPr>
          <w:rFonts w:ascii="ZWAdobeF" w:hAnsi="ZWAdobeF" w:cs="ZWAdobeF"/>
          <w:iCs w:val="0"/>
          <w:color w:val="auto"/>
          <w:sz w:val="2"/>
          <w:szCs w:val="2"/>
        </w:rPr>
        <w:t>13F</w:t>
      </w:r>
      <w:r w:rsidRPr="003221EC">
        <w:rPr>
          <w:rStyle w:val="FootnoteReference"/>
          <w:i/>
          <w:iCs w:val="0"/>
          <w:szCs w:val="20"/>
        </w:rPr>
        <w:footnoteReference w:id="176"/>
      </w:r>
      <w:r w:rsidR="008E17E7">
        <w:rPr>
          <w:rFonts w:ascii="ZWAdobeF" w:hAnsi="ZWAdobeF" w:cs="ZWAdobeF"/>
          <w:color w:val="auto"/>
          <w:sz w:val="2"/>
          <w:szCs w:val="2"/>
        </w:rPr>
        <w:br w:type="page"/>
      </w:r>
    </w:p>
    <w:p w14:paraId="3012E21B" w14:textId="0ECC22BE" w:rsidR="00652100" w:rsidRPr="004A6DB4" w:rsidRDefault="00652100" w:rsidP="008239ED">
      <w:pPr>
        <w:pStyle w:val="AppendixHeading2"/>
      </w:pPr>
      <w:bookmarkStart w:id="308" w:name="_Toc207348773"/>
      <w:bookmarkStart w:id="309" w:name="_Ref200699836"/>
      <w:bookmarkStart w:id="310" w:name="_Ref200531759"/>
      <w:r>
        <w:t>Availability of external breast prostheses retailers across Australia</w:t>
      </w:r>
      <w:bookmarkEnd w:id="308"/>
    </w:p>
    <w:p w14:paraId="3B32B725" w14:textId="73E3DA28" w:rsidR="00E10056" w:rsidRDefault="00E10056" w:rsidP="00E10056">
      <w:pPr>
        <w:pStyle w:val="Caption"/>
      </w:pPr>
      <w:bookmarkStart w:id="311" w:name="_Toc207348679"/>
      <w:r>
        <w:t xml:space="preserve">Table </w:t>
      </w:r>
      <w:r w:rsidR="00E6799D">
        <w:fldChar w:fldCharType="begin"/>
      </w:r>
      <w:r w:rsidR="00E6799D">
        <w:instrText xml:space="preserve"> SEQ Table \* ARABIC </w:instrText>
      </w:r>
      <w:r w:rsidR="00E6799D">
        <w:fldChar w:fldCharType="separate"/>
      </w:r>
      <w:r w:rsidR="00E6799D">
        <w:rPr>
          <w:noProof/>
        </w:rPr>
        <w:t>114</w:t>
      </w:r>
      <w:r w:rsidR="00E6799D">
        <w:rPr>
          <w:noProof/>
        </w:rPr>
        <w:fldChar w:fldCharType="end"/>
      </w:r>
      <w:bookmarkEnd w:id="309"/>
      <w:r>
        <w:t>: Availability of external breast prostheses retailers and in-person fittings</w:t>
      </w:r>
      <w:bookmarkEnd w:id="310"/>
      <w:bookmarkEnd w:id="311"/>
    </w:p>
    <w:tbl>
      <w:tblPr>
        <w:tblStyle w:val="KPMGTable"/>
        <w:tblW w:w="9918" w:type="dxa"/>
        <w:tblLayout w:type="fixed"/>
        <w:tblLook w:val="04A0" w:firstRow="1" w:lastRow="0" w:firstColumn="1" w:lastColumn="0" w:noHBand="0" w:noVBand="1"/>
      </w:tblPr>
      <w:tblGrid>
        <w:gridCol w:w="1917"/>
        <w:gridCol w:w="3039"/>
        <w:gridCol w:w="1240"/>
        <w:gridCol w:w="1241"/>
        <w:gridCol w:w="1240"/>
        <w:gridCol w:w="1241"/>
      </w:tblGrid>
      <w:tr w:rsidR="00941228" w:rsidRPr="00635B81" w14:paraId="61065145" w14:textId="77777777" w:rsidTr="00941228">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917" w:type="dxa"/>
          </w:tcPr>
          <w:p w14:paraId="650FF991" w14:textId="4DFC5963" w:rsidR="00941228" w:rsidRPr="00941228" w:rsidRDefault="00941228" w:rsidP="00941228">
            <w:pPr>
              <w:pStyle w:val="TableHeading"/>
            </w:pPr>
            <w:r w:rsidRPr="00941228">
              <w:t>Jurisdiction</w:t>
            </w:r>
          </w:p>
        </w:tc>
        <w:tc>
          <w:tcPr>
            <w:tcW w:w="3039" w:type="dxa"/>
          </w:tcPr>
          <w:p w14:paraId="30E60A44" w14:textId="7A7B19F9" w:rsidR="00941228" w:rsidRPr="00941228" w:rsidRDefault="00941228" w:rsidP="00941228">
            <w:pPr>
              <w:pStyle w:val="TableHeading"/>
              <w:cnfStyle w:val="100000000000" w:firstRow="1" w:lastRow="0" w:firstColumn="0" w:lastColumn="0" w:oddVBand="0" w:evenVBand="0" w:oddHBand="0" w:evenHBand="0" w:firstRowFirstColumn="0" w:firstRowLastColumn="0" w:lastRowFirstColumn="0" w:lastRowLastColumn="0"/>
            </w:pPr>
            <w:r w:rsidRPr="00941228">
              <w:t>Location of accredited limb prostheses service providers</w:t>
            </w:r>
          </w:p>
        </w:tc>
        <w:tc>
          <w:tcPr>
            <w:tcW w:w="1240" w:type="dxa"/>
          </w:tcPr>
          <w:p w14:paraId="04249D56" w14:textId="73657F92" w:rsidR="00941228" w:rsidRPr="00941228" w:rsidRDefault="00941228" w:rsidP="00941228">
            <w:pPr>
              <w:pStyle w:val="TableHeading"/>
              <w:cnfStyle w:val="100000000000" w:firstRow="1" w:lastRow="0" w:firstColumn="0" w:lastColumn="0" w:oddVBand="0" w:evenVBand="0" w:oddHBand="0" w:evenHBand="0" w:firstRowFirstColumn="0" w:firstRowLastColumn="0" w:lastRowFirstColumn="0" w:lastRowLastColumn="0"/>
            </w:pPr>
            <w:r w:rsidRPr="00941228">
              <w:t>MM1</w:t>
            </w:r>
          </w:p>
        </w:tc>
        <w:tc>
          <w:tcPr>
            <w:tcW w:w="1241" w:type="dxa"/>
          </w:tcPr>
          <w:p w14:paraId="0BB49C6D" w14:textId="0DEC2D18" w:rsidR="00941228" w:rsidRPr="00941228" w:rsidRDefault="00941228" w:rsidP="00941228">
            <w:pPr>
              <w:pStyle w:val="TableHeading"/>
              <w:cnfStyle w:val="100000000000" w:firstRow="1" w:lastRow="0" w:firstColumn="0" w:lastColumn="0" w:oddVBand="0" w:evenVBand="0" w:oddHBand="0" w:evenHBand="0" w:firstRowFirstColumn="0" w:firstRowLastColumn="0" w:lastRowFirstColumn="0" w:lastRowLastColumn="0"/>
            </w:pPr>
            <w:r w:rsidRPr="00941228">
              <w:t>MM2</w:t>
            </w:r>
          </w:p>
        </w:tc>
        <w:tc>
          <w:tcPr>
            <w:tcW w:w="1240" w:type="dxa"/>
          </w:tcPr>
          <w:p w14:paraId="2AE1AD35" w14:textId="0C61DD78" w:rsidR="00941228" w:rsidRPr="00941228" w:rsidRDefault="00941228" w:rsidP="00941228">
            <w:pPr>
              <w:pStyle w:val="TableHeading"/>
              <w:cnfStyle w:val="100000000000" w:firstRow="1" w:lastRow="0" w:firstColumn="0" w:lastColumn="0" w:oddVBand="0" w:evenVBand="0" w:oddHBand="0" w:evenHBand="0" w:firstRowFirstColumn="0" w:firstRowLastColumn="0" w:lastRowFirstColumn="0" w:lastRowLastColumn="0"/>
            </w:pPr>
            <w:r w:rsidRPr="00941228">
              <w:t>MM3 to 4</w:t>
            </w:r>
          </w:p>
        </w:tc>
        <w:tc>
          <w:tcPr>
            <w:tcW w:w="1241" w:type="dxa"/>
          </w:tcPr>
          <w:p w14:paraId="2EBE9928" w14:textId="71EB87A9" w:rsidR="00941228" w:rsidRPr="00941228" w:rsidRDefault="00941228" w:rsidP="00941228">
            <w:pPr>
              <w:pStyle w:val="TableHeading"/>
              <w:cnfStyle w:val="100000000000" w:firstRow="1" w:lastRow="0" w:firstColumn="0" w:lastColumn="0" w:oddVBand="0" w:evenVBand="0" w:oddHBand="0" w:evenHBand="0" w:firstRowFirstColumn="0" w:firstRowLastColumn="0" w:lastRowFirstColumn="0" w:lastRowLastColumn="0"/>
            </w:pPr>
            <w:r w:rsidRPr="00941228">
              <w:t>MM5 to 7</w:t>
            </w:r>
          </w:p>
        </w:tc>
      </w:tr>
      <w:tr w:rsidR="00941228" w:rsidRPr="00635B81" w14:paraId="744EE3D3" w14:textId="77777777" w:rsidTr="00941228">
        <w:trPr>
          <w:trHeight w:val="268"/>
        </w:trPr>
        <w:tc>
          <w:tcPr>
            <w:cnfStyle w:val="001000000000" w:firstRow="0" w:lastRow="0" w:firstColumn="1" w:lastColumn="0" w:oddVBand="0" w:evenVBand="0" w:oddHBand="0" w:evenHBand="0" w:firstRowFirstColumn="0" w:firstRowLastColumn="0" w:lastRowFirstColumn="0" w:lastRowLastColumn="0"/>
            <w:tcW w:w="1917" w:type="dxa"/>
          </w:tcPr>
          <w:p w14:paraId="3545A106" w14:textId="77777777" w:rsidR="00941228" w:rsidRPr="00657C7C" w:rsidRDefault="00941228" w:rsidP="00941228">
            <w:pPr>
              <w:pStyle w:val="TableText"/>
            </w:pPr>
            <w:r w:rsidRPr="00657C7C">
              <w:t>Australian Capital Territory</w:t>
            </w:r>
          </w:p>
        </w:tc>
        <w:tc>
          <w:tcPr>
            <w:tcW w:w="3039" w:type="dxa"/>
          </w:tcPr>
          <w:p w14:paraId="5051C5D0" w14:textId="77777777"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635B81">
              <w:t>Canberra</w:t>
            </w:r>
          </w:p>
        </w:tc>
        <w:tc>
          <w:tcPr>
            <w:tcW w:w="1240" w:type="dxa"/>
          </w:tcPr>
          <w:p w14:paraId="6C1E956D" w14:textId="302AC91F"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Yes</w:t>
            </w:r>
          </w:p>
        </w:tc>
        <w:tc>
          <w:tcPr>
            <w:tcW w:w="1241" w:type="dxa"/>
          </w:tcPr>
          <w:p w14:paraId="6C5760C5" w14:textId="3BAEBE67"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N/A</w:t>
            </w:r>
          </w:p>
        </w:tc>
        <w:tc>
          <w:tcPr>
            <w:tcW w:w="1240" w:type="dxa"/>
          </w:tcPr>
          <w:p w14:paraId="6F284E3D" w14:textId="18799D0F"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N/A</w:t>
            </w:r>
          </w:p>
        </w:tc>
        <w:tc>
          <w:tcPr>
            <w:tcW w:w="1241" w:type="dxa"/>
          </w:tcPr>
          <w:p w14:paraId="784E70EB" w14:textId="5FDE6EE4"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N/A</w:t>
            </w:r>
          </w:p>
        </w:tc>
      </w:tr>
      <w:tr w:rsidR="00941228" w:rsidRPr="00635B81" w14:paraId="56B5CED7" w14:textId="77777777" w:rsidTr="00941228">
        <w:trPr>
          <w:trHeight w:val="235"/>
        </w:trPr>
        <w:tc>
          <w:tcPr>
            <w:cnfStyle w:val="001000000000" w:firstRow="0" w:lastRow="0" w:firstColumn="1" w:lastColumn="0" w:oddVBand="0" w:evenVBand="0" w:oddHBand="0" w:evenHBand="0" w:firstRowFirstColumn="0" w:firstRowLastColumn="0" w:lastRowFirstColumn="0" w:lastRowLastColumn="0"/>
            <w:tcW w:w="1917" w:type="dxa"/>
          </w:tcPr>
          <w:p w14:paraId="11870A9E" w14:textId="77777777" w:rsidR="00941228" w:rsidRPr="00657C7C" w:rsidRDefault="00941228" w:rsidP="00941228">
            <w:pPr>
              <w:pStyle w:val="TableText"/>
            </w:pPr>
            <w:r w:rsidRPr="00657C7C">
              <w:t>New South Wales</w:t>
            </w:r>
          </w:p>
        </w:tc>
        <w:tc>
          <w:tcPr>
            <w:tcW w:w="3039" w:type="dxa"/>
          </w:tcPr>
          <w:p w14:paraId="4C2D3918" w14:textId="77777777"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635B81">
              <w:t xml:space="preserve">Sydney </w:t>
            </w:r>
          </w:p>
        </w:tc>
        <w:tc>
          <w:tcPr>
            <w:tcW w:w="1240" w:type="dxa"/>
          </w:tcPr>
          <w:p w14:paraId="7DF42C5A" w14:textId="3AFF7922"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Yes</w:t>
            </w:r>
          </w:p>
        </w:tc>
        <w:tc>
          <w:tcPr>
            <w:tcW w:w="1241" w:type="dxa"/>
          </w:tcPr>
          <w:p w14:paraId="1B566259" w14:textId="75D6D880"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N/A</w:t>
            </w:r>
          </w:p>
        </w:tc>
        <w:tc>
          <w:tcPr>
            <w:tcW w:w="1240" w:type="dxa"/>
          </w:tcPr>
          <w:p w14:paraId="5C07A84D" w14:textId="4E3CADD2"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N/A</w:t>
            </w:r>
          </w:p>
        </w:tc>
        <w:tc>
          <w:tcPr>
            <w:tcW w:w="1241" w:type="dxa"/>
          </w:tcPr>
          <w:p w14:paraId="2CD0861D" w14:textId="08E52CEE"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N/A</w:t>
            </w:r>
          </w:p>
        </w:tc>
      </w:tr>
      <w:tr w:rsidR="00941228" w:rsidRPr="00635B81" w14:paraId="4833D442" w14:textId="77777777" w:rsidTr="00941228">
        <w:trPr>
          <w:trHeight w:val="232"/>
        </w:trPr>
        <w:tc>
          <w:tcPr>
            <w:cnfStyle w:val="001000000000" w:firstRow="0" w:lastRow="0" w:firstColumn="1" w:lastColumn="0" w:oddVBand="0" w:evenVBand="0" w:oddHBand="0" w:evenHBand="0" w:firstRowFirstColumn="0" w:firstRowLastColumn="0" w:lastRowFirstColumn="0" w:lastRowLastColumn="0"/>
            <w:tcW w:w="1917" w:type="dxa"/>
          </w:tcPr>
          <w:p w14:paraId="17CCF2D0" w14:textId="5FBB109B" w:rsidR="00941228" w:rsidRPr="00657C7C" w:rsidRDefault="00941228" w:rsidP="00941228">
            <w:pPr>
              <w:pStyle w:val="TableText"/>
            </w:pPr>
            <w:r w:rsidRPr="00657C7C">
              <w:t>New South Wales</w:t>
            </w:r>
          </w:p>
        </w:tc>
        <w:tc>
          <w:tcPr>
            <w:tcW w:w="3039" w:type="dxa"/>
          </w:tcPr>
          <w:p w14:paraId="0A644E08" w14:textId="77777777"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635B81">
              <w:t xml:space="preserve">Lake Macquarie </w:t>
            </w:r>
          </w:p>
        </w:tc>
        <w:tc>
          <w:tcPr>
            <w:tcW w:w="1240" w:type="dxa"/>
          </w:tcPr>
          <w:p w14:paraId="451240BA" w14:textId="2BD3B429"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Yes</w:t>
            </w:r>
          </w:p>
        </w:tc>
        <w:tc>
          <w:tcPr>
            <w:tcW w:w="1241" w:type="dxa"/>
          </w:tcPr>
          <w:p w14:paraId="684A05C5" w14:textId="73B3601C"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N/A</w:t>
            </w:r>
          </w:p>
        </w:tc>
        <w:tc>
          <w:tcPr>
            <w:tcW w:w="1240" w:type="dxa"/>
          </w:tcPr>
          <w:p w14:paraId="7ACC4D79" w14:textId="437AFC7F"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N/A</w:t>
            </w:r>
          </w:p>
        </w:tc>
        <w:tc>
          <w:tcPr>
            <w:tcW w:w="1241" w:type="dxa"/>
          </w:tcPr>
          <w:p w14:paraId="0AC52547" w14:textId="60356462"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N/A</w:t>
            </w:r>
          </w:p>
        </w:tc>
      </w:tr>
      <w:tr w:rsidR="00941228" w:rsidRPr="00635B81" w14:paraId="3CA28F79" w14:textId="77777777" w:rsidTr="00941228">
        <w:trPr>
          <w:trHeight w:val="232"/>
        </w:trPr>
        <w:tc>
          <w:tcPr>
            <w:cnfStyle w:val="001000000000" w:firstRow="0" w:lastRow="0" w:firstColumn="1" w:lastColumn="0" w:oddVBand="0" w:evenVBand="0" w:oddHBand="0" w:evenHBand="0" w:firstRowFirstColumn="0" w:firstRowLastColumn="0" w:lastRowFirstColumn="0" w:lastRowLastColumn="0"/>
            <w:tcW w:w="1917" w:type="dxa"/>
          </w:tcPr>
          <w:p w14:paraId="0762BC0D" w14:textId="2678E9CA" w:rsidR="00941228" w:rsidRPr="00657C7C" w:rsidRDefault="00941228" w:rsidP="00941228">
            <w:pPr>
              <w:pStyle w:val="TableText"/>
            </w:pPr>
            <w:r w:rsidRPr="00657C7C">
              <w:t>New South Wales</w:t>
            </w:r>
          </w:p>
        </w:tc>
        <w:tc>
          <w:tcPr>
            <w:tcW w:w="3039" w:type="dxa"/>
          </w:tcPr>
          <w:p w14:paraId="10372D65" w14:textId="77777777"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635B81">
              <w:t xml:space="preserve">Kiama </w:t>
            </w:r>
          </w:p>
        </w:tc>
        <w:tc>
          <w:tcPr>
            <w:tcW w:w="1240" w:type="dxa"/>
          </w:tcPr>
          <w:p w14:paraId="2FD52D12" w14:textId="65AE3090"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N/A</w:t>
            </w:r>
          </w:p>
        </w:tc>
        <w:tc>
          <w:tcPr>
            <w:tcW w:w="1241" w:type="dxa"/>
          </w:tcPr>
          <w:p w14:paraId="202ED9EB" w14:textId="124873B1"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Yes</w:t>
            </w:r>
          </w:p>
        </w:tc>
        <w:tc>
          <w:tcPr>
            <w:tcW w:w="1240" w:type="dxa"/>
          </w:tcPr>
          <w:p w14:paraId="406ABFB3" w14:textId="02CD0F83"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N/A</w:t>
            </w:r>
          </w:p>
        </w:tc>
        <w:tc>
          <w:tcPr>
            <w:tcW w:w="1241" w:type="dxa"/>
          </w:tcPr>
          <w:p w14:paraId="5A48F9C3" w14:textId="0FD8D747"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N/A</w:t>
            </w:r>
          </w:p>
        </w:tc>
      </w:tr>
      <w:tr w:rsidR="00941228" w:rsidRPr="00635B81" w14:paraId="55F843D4" w14:textId="77777777" w:rsidTr="00941228">
        <w:trPr>
          <w:trHeight w:val="232"/>
        </w:trPr>
        <w:tc>
          <w:tcPr>
            <w:cnfStyle w:val="001000000000" w:firstRow="0" w:lastRow="0" w:firstColumn="1" w:lastColumn="0" w:oddVBand="0" w:evenVBand="0" w:oddHBand="0" w:evenHBand="0" w:firstRowFirstColumn="0" w:firstRowLastColumn="0" w:lastRowFirstColumn="0" w:lastRowLastColumn="0"/>
            <w:tcW w:w="1917" w:type="dxa"/>
          </w:tcPr>
          <w:p w14:paraId="4366E26F" w14:textId="07ADA5BB" w:rsidR="00941228" w:rsidRPr="00657C7C" w:rsidRDefault="00941228" w:rsidP="00941228">
            <w:pPr>
              <w:pStyle w:val="TableText"/>
            </w:pPr>
            <w:r w:rsidRPr="00657C7C">
              <w:t>New South Wales</w:t>
            </w:r>
          </w:p>
        </w:tc>
        <w:tc>
          <w:tcPr>
            <w:tcW w:w="3039" w:type="dxa"/>
          </w:tcPr>
          <w:p w14:paraId="52C46716" w14:textId="77777777"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635B81">
              <w:t xml:space="preserve">Wagga Wagga </w:t>
            </w:r>
          </w:p>
        </w:tc>
        <w:tc>
          <w:tcPr>
            <w:tcW w:w="1240" w:type="dxa"/>
          </w:tcPr>
          <w:p w14:paraId="53B39421" w14:textId="4DD3F15B"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N/A</w:t>
            </w:r>
          </w:p>
        </w:tc>
        <w:tc>
          <w:tcPr>
            <w:tcW w:w="1241" w:type="dxa"/>
          </w:tcPr>
          <w:p w14:paraId="2B46875D" w14:textId="56DF1A28"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N/A</w:t>
            </w:r>
          </w:p>
        </w:tc>
        <w:tc>
          <w:tcPr>
            <w:tcW w:w="1240" w:type="dxa"/>
          </w:tcPr>
          <w:p w14:paraId="4BC3B84D" w14:textId="1E58911A"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Yes</w:t>
            </w:r>
          </w:p>
        </w:tc>
        <w:tc>
          <w:tcPr>
            <w:tcW w:w="1241" w:type="dxa"/>
          </w:tcPr>
          <w:p w14:paraId="2E8240AF" w14:textId="21ED43A1"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N/A</w:t>
            </w:r>
          </w:p>
        </w:tc>
      </w:tr>
      <w:tr w:rsidR="00941228" w:rsidRPr="00635B81" w14:paraId="0FF7F425" w14:textId="77777777" w:rsidTr="00941228">
        <w:trPr>
          <w:trHeight w:val="232"/>
        </w:trPr>
        <w:tc>
          <w:tcPr>
            <w:cnfStyle w:val="001000000000" w:firstRow="0" w:lastRow="0" w:firstColumn="1" w:lastColumn="0" w:oddVBand="0" w:evenVBand="0" w:oddHBand="0" w:evenHBand="0" w:firstRowFirstColumn="0" w:firstRowLastColumn="0" w:lastRowFirstColumn="0" w:lastRowLastColumn="0"/>
            <w:tcW w:w="1917" w:type="dxa"/>
          </w:tcPr>
          <w:p w14:paraId="304EF615" w14:textId="2BBBA504" w:rsidR="00941228" w:rsidRPr="00657C7C" w:rsidRDefault="00941228" w:rsidP="00941228">
            <w:pPr>
              <w:pStyle w:val="TableText"/>
            </w:pPr>
            <w:r w:rsidRPr="00657C7C">
              <w:t>New South Wales</w:t>
            </w:r>
          </w:p>
        </w:tc>
        <w:tc>
          <w:tcPr>
            <w:tcW w:w="3039" w:type="dxa"/>
          </w:tcPr>
          <w:p w14:paraId="0F8E8280" w14:textId="77777777"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635B81">
              <w:t xml:space="preserve">Newcastle </w:t>
            </w:r>
          </w:p>
        </w:tc>
        <w:tc>
          <w:tcPr>
            <w:tcW w:w="1240" w:type="dxa"/>
          </w:tcPr>
          <w:p w14:paraId="6931117C" w14:textId="0BA4F9A1"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Yes</w:t>
            </w:r>
          </w:p>
        </w:tc>
        <w:tc>
          <w:tcPr>
            <w:tcW w:w="1241" w:type="dxa"/>
          </w:tcPr>
          <w:p w14:paraId="1A78A99A" w14:textId="744DCB7B"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N/A</w:t>
            </w:r>
          </w:p>
        </w:tc>
        <w:tc>
          <w:tcPr>
            <w:tcW w:w="1240" w:type="dxa"/>
          </w:tcPr>
          <w:p w14:paraId="220F2D79" w14:textId="678429EA"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N/A</w:t>
            </w:r>
          </w:p>
        </w:tc>
        <w:tc>
          <w:tcPr>
            <w:tcW w:w="1241" w:type="dxa"/>
          </w:tcPr>
          <w:p w14:paraId="3B503B19" w14:textId="5448D624"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N/A</w:t>
            </w:r>
          </w:p>
        </w:tc>
      </w:tr>
      <w:tr w:rsidR="00941228" w:rsidRPr="00635B81" w14:paraId="74F8C517" w14:textId="77777777" w:rsidTr="00941228">
        <w:trPr>
          <w:trHeight w:val="419"/>
        </w:trPr>
        <w:tc>
          <w:tcPr>
            <w:cnfStyle w:val="001000000000" w:firstRow="0" w:lastRow="0" w:firstColumn="1" w:lastColumn="0" w:oddVBand="0" w:evenVBand="0" w:oddHBand="0" w:evenHBand="0" w:firstRowFirstColumn="0" w:firstRowLastColumn="0" w:lastRowFirstColumn="0" w:lastRowLastColumn="0"/>
            <w:tcW w:w="1917" w:type="dxa"/>
          </w:tcPr>
          <w:p w14:paraId="365DDC8D" w14:textId="77777777" w:rsidR="00941228" w:rsidRPr="00657C7C" w:rsidRDefault="00941228" w:rsidP="00941228">
            <w:pPr>
              <w:pStyle w:val="TableText"/>
            </w:pPr>
            <w:r w:rsidRPr="00657C7C">
              <w:t>Queensland</w:t>
            </w:r>
          </w:p>
        </w:tc>
        <w:tc>
          <w:tcPr>
            <w:tcW w:w="3039" w:type="dxa"/>
          </w:tcPr>
          <w:p w14:paraId="1D070DAE" w14:textId="77777777"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635B81">
              <w:t xml:space="preserve">Brisbane </w:t>
            </w:r>
          </w:p>
        </w:tc>
        <w:tc>
          <w:tcPr>
            <w:tcW w:w="1240" w:type="dxa"/>
          </w:tcPr>
          <w:p w14:paraId="32A4A0F5" w14:textId="6205FFD3"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Yes</w:t>
            </w:r>
          </w:p>
        </w:tc>
        <w:tc>
          <w:tcPr>
            <w:tcW w:w="1241" w:type="dxa"/>
          </w:tcPr>
          <w:p w14:paraId="70BF9B30" w14:textId="6B071401"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N/A</w:t>
            </w:r>
          </w:p>
        </w:tc>
        <w:tc>
          <w:tcPr>
            <w:tcW w:w="1240" w:type="dxa"/>
          </w:tcPr>
          <w:p w14:paraId="01B16585" w14:textId="09975849"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N/A</w:t>
            </w:r>
          </w:p>
        </w:tc>
        <w:tc>
          <w:tcPr>
            <w:tcW w:w="1241" w:type="dxa"/>
          </w:tcPr>
          <w:p w14:paraId="0D905425" w14:textId="0E22ADFB"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N/A</w:t>
            </w:r>
          </w:p>
        </w:tc>
      </w:tr>
      <w:tr w:rsidR="00941228" w:rsidRPr="00635B81" w14:paraId="58228A0E" w14:textId="77777777" w:rsidTr="00941228">
        <w:trPr>
          <w:trHeight w:val="417"/>
        </w:trPr>
        <w:tc>
          <w:tcPr>
            <w:cnfStyle w:val="001000000000" w:firstRow="0" w:lastRow="0" w:firstColumn="1" w:lastColumn="0" w:oddVBand="0" w:evenVBand="0" w:oddHBand="0" w:evenHBand="0" w:firstRowFirstColumn="0" w:firstRowLastColumn="0" w:lastRowFirstColumn="0" w:lastRowLastColumn="0"/>
            <w:tcW w:w="1917" w:type="dxa"/>
          </w:tcPr>
          <w:p w14:paraId="06ADF64D" w14:textId="6276C98E" w:rsidR="00941228" w:rsidRPr="00657C7C" w:rsidRDefault="00941228" w:rsidP="00941228">
            <w:pPr>
              <w:pStyle w:val="TableText"/>
            </w:pPr>
            <w:r w:rsidRPr="00657C7C">
              <w:t>Queensland</w:t>
            </w:r>
          </w:p>
        </w:tc>
        <w:tc>
          <w:tcPr>
            <w:tcW w:w="3039" w:type="dxa"/>
          </w:tcPr>
          <w:p w14:paraId="411D743F" w14:textId="77777777"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635B81">
              <w:t xml:space="preserve">Gold Coast </w:t>
            </w:r>
          </w:p>
        </w:tc>
        <w:tc>
          <w:tcPr>
            <w:tcW w:w="1240" w:type="dxa"/>
          </w:tcPr>
          <w:p w14:paraId="22016549" w14:textId="32013C74"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Yes</w:t>
            </w:r>
          </w:p>
        </w:tc>
        <w:tc>
          <w:tcPr>
            <w:tcW w:w="1241" w:type="dxa"/>
          </w:tcPr>
          <w:p w14:paraId="2A97778A" w14:textId="63793845"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N/A</w:t>
            </w:r>
          </w:p>
        </w:tc>
        <w:tc>
          <w:tcPr>
            <w:tcW w:w="1240" w:type="dxa"/>
          </w:tcPr>
          <w:p w14:paraId="0FD1B0B1" w14:textId="3C7090D9"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N/A</w:t>
            </w:r>
          </w:p>
        </w:tc>
        <w:tc>
          <w:tcPr>
            <w:tcW w:w="1241" w:type="dxa"/>
          </w:tcPr>
          <w:p w14:paraId="7A743BAE" w14:textId="4571B03F"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N/A</w:t>
            </w:r>
          </w:p>
        </w:tc>
      </w:tr>
      <w:tr w:rsidR="00941228" w:rsidRPr="00635B81" w14:paraId="26B57564" w14:textId="77777777" w:rsidTr="00941228">
        <w:trPr>
          <w:trHeight w:val="417"/>
        </w:trPr>
        <w:tc>
          <w:tcPr>
            <w:cnfStyle w:val="001000000000" w:firstRow="0" w:lastRow="0" w:firstColumn="1" w:lastColumn="0" w:oddVBand="0" w:evenVBand="0" w:oddHBand="0" w:evenHBand="0" w:firstRowFirstColumn="0" w:firstRowLastColumn="0" w:lastRowFirstColumn="0" w:lastRowLastColumn="0"/>
            <w:tcW w:w="1917" w:type="dxa"/>
          </w:tcPr>
          <w:p w14:paraId="40172110" w14:textId="021F32DE" w:rsidR="00941228" w:rsidRPr="00657C7C" w:rsidRDefault="00941228" w:rsidP="00941228">
            <w:pPr>
              <w:pStyle w:val="TableText"/>
            </w:pPr>
            <w:r w:rsidRPr="00657C7C">
              <w:t>Queensland</w:t>
            </w:r>
          </w:p>
        </w:tc>
        <w:tc>
          <w:tcPr>
            <w:tcW w:w="3039" w:type="dxa"/>
          </w:tcPr>
          <w:p w14:paraId="38C8F63E" w14:textId="77777777"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635B81">
              <w:t>Cairns</w:t>
            </w:r>
          </w:p>
        </w:tc>
        <w:tc>
          <w:tcPr>
            <w:tcW w:w="1240" w:type="dxa"/>
          </w:tcPr>
          <w:p w14:paraId="109B8D15" w14:textId="783E7970"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A44B3B">
              <w:t>N/A</w:t>
            </w:r>
          </w:p>
        </w:tc>
        <w:tc>
          <w:tcPr>
            <w:tcW w:w="1241" w:type="dxa"/>
          </w:tcPr>
          <w:p w14:paraId="3A8008F7" w14:textId="74EB9A66"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12319D">
              <w:t>Yes</w:t>
            </w:r>
          </w:p>
        </w:tc>
        <w:tc>
          <w:tcPr>
            <w:tcW w:w="1240" w:type="dxa"/>
          </w:tcPr>
          <w:p w14:paraId="5CE4B742" w14:textId="1905457F"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C07753">
              <w:t>N/A</w:t>
            </w:r>
          </w:p>
        </w:tc>
        <w:tc>
          <w:tcPr>
            <w:tcW w:w="1241" w:type="dxa"/>
          </w:tcPr>
          <w:p w14:paraId="4D573C69" w14:textId="3E6EA96A"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C07753">
              <w:t>N/A</w:t>
            </w:r>
          </w:p>
        </w:tc>
      </w:tr>
      <w:tr w:rsidR="00941228" w:rsidRPr="00635B81" w14:paraId="0B62818D" w14:textId="77777777" w:rsidTr="00941228">
        <w:trPr>
          <w:trHeight w:val="417"/>
        </w:trPr>
        <w:tc>
          <w:tcPr>
            <w:cnfStyle w:val="001000000000" w:firstRow="0" w:lastRow="0" w:firstColumn="1" w:lastColumn="0" w:oddVBand="0" w:evenVBand="0" w:oddHBand="0" w:evenHBand="0" w:firstRowFirstColumn="0" w:firstRowLastColumn="0" w:lastRowFirstColumn="0" w:lastRowLastColumn="0"/>
            <w:tcW w:w="1917" w:type="dxa"/>
          </w:tcPr>
          <w:p w14:paraId="1A6550BA" w14:textId="01EF1FCE" w:rsidR="00941228" w:rsidRPr="00657C7C" w:rsidRDefault="00941228" w:rsidP="00941228">
            <w:pPr>
              <w:pStyle w:val="TableText"/>
            </w:pPr>
            <w:r w:rsidRPr="00657C7C">
              <w:t>Queensland</w:t>
            </w:r>
          </w:p>
        </w:tc>
        <w:tc>
          <w:tcPr>
            <w:tcW w:w="3039" w:type="dxa"/>
          </w:tcPr>
          <w:p w14:paraId="352E2A0A" w14:textId="77777777"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635B81">
              <w:t xml:space="preserve">Mackay </w:t>
            </w:r>
          </w:p>
        </w:tc>
        <w:tc>
          <w:tcPr>
            <w:tcW w:w="1240" w:type="dxa"/>
          </w:tcPr>
          <w:p w14:paraId="470F9601" w14:textId="0FC5ACF6"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A44B3B">
              <w:t>N/A</w:t>
            </w:r>
          </w:p>
        </w:tc>
        <w:tc>
          <w:tcPr>
            <w:tcW w:w="1241" w:type="dxa"/>
          </w:tcPr>
          <w:p w14:paraId="3BFA6C12" w14:textId="49E9EFD8"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12319D">
              <w:t>Yes</w:t>
            </w:r>
          </w:p>
        </w:tc>
        <w:tc>
          <w:tcPr>
            <w:tcW w:w="1240" w:type="dxa"/>
          </w:tcPr>
          <w:p w14:paraId="1110C1DD" w14:textId="7A47C93D"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C07753">
              <w:t>N/A</w:t>
            </w:r>
          </w:p>
        </w:tc>
        <w:tc>
          <w:tcPr>
            <w:tcW w:w="1241" w:type="dxa"/>
          </w:tcPr>
          <w:p w14:paraId="4AE9EE29" w14:textId="36661429"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C07753">
              <w:t>N/A</w:t>
            </w:r>
          </w:p>
        </w:tc>
      </w:tr>
      <w:tr w:rsidR="00941228" w:rsidRPr="00635B81" w14:paraId="48DE4E29" w14:textId="77777777" w:rsidTr="00941228">
        <w:trPr>
          <w:trHeight w:val="417"/>
        </w:trPr>
        <w:tc>
          <w:tcPr>
            <w:cnfStyle w:val="001000000000" w:firstRow="0" w:lastRow="0" w:firstColumn="1" w:lastColumn="0" w:oddVBand="0" w:evenVBand="0" w:oddHBand="0" w:evenHBand="0" w:firstRowFirstColumn="0" w:firstRowLastColumn="0" w:lastRowFirstColumn="0" w:lastRowLastColumn="0"/>
            <w:tcW w:w="1917" w:type="dxa"/>
          </w:tcPr>
          <w:p w14:paraId="5D10ABDA" w14:textId="4DA3DB4F" w:rsidR="00941228" w:rsidRPr="00657C7C" w:rsidRDefault="00941228" w:rsidP="00941228">
            <w:pPr>
              <w:pStyle w:val="TableText"/>
            </w:pPr>
            <w:r w:rsidRPr="00657C7C">
              <w:t>Queensland</w:t>
            </w:r>
          </w:p>
        </w:tc>
        <w:tc>
          <w:tcPr>
            <w:tcW w:w="3039" w:type="dxa"/>
          </w:tcPr>
          <w:p w14:paraId="3539F5F2" w14:textId="77777777"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635B81">
              <w:t xml:space="preserve">Townsville </w:t>
            </w:r>
          </w:p>
        </w:tc>
        <w:tc>
          <w:tcPr>
            <w:tcW w:w="1240" w:type="dxa"/>
          </w:tcPr>
          <w:p w14:paraId="0B9D1C49" w14:textId="2D8902CE"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A44B3B">
              <w:t>N/A</w:t>
            </w:r>
          </w:p>
        </w:tc>
        <w:tc>
          <w:tcPr>
            <w:tcW w:w="1241" w:type="dxa"/>
          </w:tcPr>
          <w:p w14:paraId="2552C80E" w14:textId="424E6C58"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12319D">
              <w:t>Yes</w:t>
            </w:r>
          </w:p>
        </w:tc>
        <w:tc>
          <w:tcPr>
            <w:tcW w:w="1240" w:type="dxa"/>
          </w:tcPr>
          <w:p w14:paraId="73D18904" w14:textId="2F001A87"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C07753">
              <w:t>N/A</w:t>
            </w:r>
          </w:p>
        </w:tc>
        <w:tc>
          <w:tcPr>
            <w:tcW w:w="1241" w:type="dxa"/>
          </w:tcPr>
          <w:p w14:paraId="488246AE" w14:textId="05203BC5"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C07753">
              <w:t>N/A</w:t>
            </w:r>
          </w:p>
        </w:tc>
      </w:tr>
      <w:tr w:rsidR="00941228" w:rsidRPr="00635B81" w14:paraId="3ACF9A60" w14:textId="77777777" w:rsidTr="00941228">
        <w:trPr>
          <w:trHeight w:val="417"/>
        </w:trPr>
        <w:tc>
          <w:tcPr>
            <w:cnfStyle w:val="001000000000" w:firstRow="0" w:lastRow="0" w:firstColumn="1" w:lastColumn="0" w:oddVBand="0" w:evenVBand="0" w:oddHBand="0" w:evenHBand="0" w:firstRowFirstColumn="0" w:firstRowLastColumn="0" w:lastRowFirstColumn="0" w:lastRowLastColumn="0"/>
            <w:tcW w:w="1917" w:type="dxa"/>
          </w:tcPr>
          <w:p w14:paraId="136969A4" w14:textId="22213C64" w:rsidR="00941228" w:rsidRPr="00657C7C" w:rsidRDefault="00941228" w:rsidP="00941228">
            <w:pPr>
              <w:pStyle w:val="TableText"/>
            </w:pPr>
            <w:r w:rsidRPr="00657C7C">
              <w:t>Queensland</w:t>
            </w:r>
          </w:p>
        </w:tc>
        <w:tc>
          <w:tcPr>
            <w:tcW w:w="3039" w:type="dxa"/>
          </w:tcPr>
          <w:p w14:paraId="6A1847FA" w14:textId="77777777"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635B81">
              <w:t>Toowoomba</w:t>
            </w:r>
          </w:p>
        </w:tc>
        <w:tc>
          <w:tcPr>
            <w:tcW w:w="1240" w:type="dxa"/>
          </w:tcPr>
          <w:p w14:paraId="408E2BD8" w14:textId="7C3D5D78"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A44B3B">
              <w:t>N/A</w:t>
            </w:r>
          </w:p>
        </w:tc>
        <w:tc>
          <w:tcPr>
            <w:tcW w:w="1241" w:type="dxa"/>
          </w:tcPr>
          <w:p w14:paraId="2934D822" w14:textId="579CA685"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12319D">
              <w:t>Yes</w:t>
            </w:r>
          </w:p>
        </w:tc>
        <w:tc>
          <w:tcPr>
            <w:tcW w:w="1240" w:type="dxa"/>
          </w:tcPr>
          <w:p w14:paraId="6B5461F2" w14:textId="32068024"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C07753">
              <w:t>N/A</w:t>
            </w:r>
          </w:p>
        </w:tc>
        <w:tc>
          <w:tcPr>
            <w:tcW w:w="1241" w:type="dxa"/>
          </w:tcPr>
          <w:p w14:paraId="1F3E79B3" w14:textId="40A1A3FF"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C07753">
              <w:t>N/A</w:t>
            </w:r>
          </w:p>
        </w:tc>
      </w:tr>
      <w:tr w:rsidR="00941228" w:rsidRPr="00635B81" w14:paraId="3F171D42" w14:textId="77777777" w:rsidTr="00941228">
        <w:trPr>
          <w:trHeight w:val="416"/>
        </w:trPr>
        <w:tc>
          <w:tcPr>
            <w:cnfStyle w:val="001000000000" w:firstRow="0" w:lastRow="0" w:firstColumn="1" w:lastColumn="0" w:oddVBand="0" w:evenVBand="0" w:oddHBand="0" w:evenHBand="0" w:firstRowFirstColumn="0" w:firstRowLastColumn="0" w:lastRowFirstColumn="0" w:lastRowLastColumn="0"/>
            <w:tcW w:w="1917" w:type="dxa"/>
          </w:tcPr>
          <w:p w14:paraId="49622041" w14:textId="77777777" w:rsidR="00941228" w:rsidRPr="00657C7C" w:rsidRDefault="00941228" w:rsidP="00941228">
            <w:pPr>
              <w:pStyle w:val="TableText"/>
            </w:pPr>
            <w:r w:rsidRPr="00657C7C">
              <w:t xml:space="preserve">Victoria </w:t>
            </w:r>
          </w:p>
        </w:tc>
        <w:tc>
          <w:tcPr>
            <w:tcW w:w="3039" w:type="dxa"/>
          </w:tcPr>
          <w:p w14:paraId="3ADB80A9" w14:textId="77777777"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635B81">
              <w:t xml:space="preserve">Melbourne </w:t>
            </w:r>
          </w:p>
        </w:tc>
        <w:tc>
          <w:tcPr>
            <w:tcW w:w="1240" w:type="dxa"/>
          </w:tcPr>
          <w:p w14:paraId="11E3A60B" w14:textId="72D07146"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8F2663">
              <w:t>Yes</w:t>
            </w:r>
          </w:p>
        </w:tc>
        <w:tc>
          <w:tcPr>
            <w:tcW w:w="1241" w:type="dxa"/>
          </w:tcPr>
          <w:p w14:paraId="6565B4E2" w14:textId="28A46B21"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194FF5">
              <w:t>N/A</w:t>
            </w:r>
          </w:p>
        </w:tc>
        <w:tc>
          <w:tcPr>
            <w:tcW w:w="1240" w:type="dxa"/>
          </w:tcPr>
          <w:p w14:paraId="09D9277C" w14:textId="35FED723"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194FF5">
              <w:t>N/A</w:t>
            </w:r>
          </w:p>
        </w:tc>
        <w:tc>
          <w:tcPr>
            <w:tcW w:w="1241" w:type="dxa"/>
          </w:tcPr>
          <w:p w14:paraId="6ACC6A4E" w14:textId="115BF42D"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194FF5">
              <w:t>N/A</w:t>
            </w:r>
          </w:p>
        </w:tc>
      </w:tr>
      <w:tr w:rsidR="00941228" w:rsidRPr="00635B81" w14:paraId="4B0D415E" w14:textId="77777777" w:rsidTr="00941228">
        <w:trPr>
          <w:trHeight w:val="413"/>
        </w:trPr>
        <w:tc>
          <w:tcPr>
            <w:cnfStyle w:val="001000000000" w:firstRow="0" w:lastRow="0" w:firstColumn="1" w:lastColumn="0" w:oddVBand="0" w:evenVBand="0" w:oddHBand="0" w:evenHBand="0" w:firstRowFirstColumn="0" w:firstRowLastColumn="0" w:lastRowFirstColumn="0" w:lastRowLastColumn="0"/>
            <w:tcW w:w="1917" w:type="dxa"/>
          </w:tcPr>
          <w:p w14:paraId="74CA4E9B" w14:textId="26BDBD72" w:rsidR="00941228" w:rsidRPr="00657C7C" w:rsidRDefault="00941228" w:rsidP="00941228">
            <w:pPr>
              <w:pStyle w:val="TableText"/>
            </w:pPr>
            <w:r w:rsidRPr="00657C7C">
              <w:t xml:space="preserve">Victoria </w:t>
            </w:r>
          </w:p>
        </w:tc>
        <w:tc>
          <w:tcPr>
            <w:tcW w:w="3039" w:type="dxa"/>
          </w:tcPr>
          <w:p w14:paraId="167878C1" w14:textId="77777777"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Mornington</w:t>
            </w:r>
            <w:r w:rsidRPr="00635B81">
              <w:t xml:space="preserve"> </w:t>
            </w:r>
          </w:p>
        </w:tc>
        <w:tc>
          <w:tcPr>
            <w:tcW w:w="1240" w:type="dxa"/>
          </w:tcPr>
          <w:p w14:paraId="26BD3A83" w14:textId="47B2F633"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8F2663">
              <w:t>Yes</w:t>
            </w:r>
          </w:p>
        </w:tc>
        <w:tc>
          <w:tcPr>
            <w:tcW w:w="1241" w:type="dxa"/>
          </w:tcPr>
          <w:p w14:paraId="447A887C" w14:textId="46AEABBA"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194FF5">
              <w:t>N/A</w:t>
            </w:r>
          </w:p>
        </w:tc>
        <w:tc>
          <w:tcPr>
            <w:tcW w:w="1240" w:type="dxa"/>
          </w:tcPr>
          <w:p w14:paraId="2BD2CF2B" w14:textId="0C902805"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194FF5">
              <w:t>N/A</w:t>
            </w:r>
          </w:p>
        </w:tc>
        <w:tc>
          <w:tcPr>
            <w:tcW w:w="1241" w:type="dxa"/>
          </w:tcPr>
          <w:p w14:paraId="51628175" w14:textId="0FB32A35"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194FF5">
              <w:t>N/A</w:t>
            </w:r>
          </w:p>
        </w:tc>
      </w:tr>
      <w:tr w:rsidR="00941228" w:rsidRPr="00635B81" w14:paraId="0E361750" w14:textId="77777777" w:rsidTr="00941228">
        <w:trPr>
          <w:trHeight w:val="413"/>
        </w:trPr>
        <w:tc>
          <w:tcPr>
            <w:cnfStyle w:val="001000000000" w:firstRow="0" w:lastRow="0" w:firstColumn="1" w:lastColumn="0" w:oddVBand="0" w:evenVBand="0" w:oddHBand="0" w:evenHBand="0" w:firstRowFirstColumn="0" w:firstRowLastColumn="0" w:lastRowFirstColumn="0" w:lastRowLastColumn="0"/>
            <w:tcW w:w="1917" w:type="dxa"/>
          </w:tcPr>
          <w:p w14:paraId="56918126" w14:textId="58197E41" w:rsidR="00941228" w:rsidRPr="00657C7C" w:rsidRDefault="00941228" w:rsidP="00941228">
            <w:pPr>
              <w:pStyle w:val="TableText"/>
            </w:pPr>
            <w:r w:rsidRPr="00657C7C">
              <w:t xml:space="preserve">Victoria </w:t>
            </w:r>
          </w:p>
        </w:tc>
        <w:tc>
          <w:tcPr>
            <w:tcW w:w="3039" w:type="dxa"/>
          </w:tcPr>
          <w:p w14:paraId="5580ADCB" w14:textId="77777777"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Geelong</w:t>
            </w:r>
            <w:r w:rsidRPr="00635B81">
              <w:t xml:space="preserve"> </w:t>
            </w:r>
          </w:p>
        </w:tc>
        <w:tc>
          <w:tcPr>
            <w:tcW w:w="1240" w:type="dxa"/>
          </w:tcPr>
          <w:p w14:paraId="44982481" w14:textId="78D2E379"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4E3D6C">
              <w:t>N/A</w:t>
            </w:r>
          </w:p>
        </w:tc>
        <w:tc>
          <w:tcPr>
            <w:tcW w:w="1241" w:type="dxa"/>
          </w:tcPr>
          <w:p w14:paraId="1BBD47F3" w14:textId="0712D457"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3B0DFF">
              <w:t>Yes</w:t>
            </w:r>
          </w:p>
        </w:tc>
        <w:tc>
          <w:tcPr>
            <w:tcW w:w="1240" w:type="dxa"/>
          </w:tcPr>
          <w:p w14:paraId="477DFC02" w14:textId="29F13964"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9742AE">
              <w:t>N/A</w:t>
            </w:r>
          </w:p>
        </w:tc>
        <w:tc>
          <w:tcPr>
            <w:tcW w:w="1241" w:type="dxa"/>
          </w:tcPr>
          <w:p w14:paraId="4739C48C" w14:textId="20FBF2FA"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9742AE">
              <w:t>N/A</w:t>
            </w:r>
          </w:p>
        </w:tc>
      </w:tr>
      <w:tr w:rsidR="00941228" w:rsidRPr="00635B81" w14:paraId="375B4F93" w14:textId="77777777" w:rsidTr="00941228">
        <w:trPr>
          <w:trHeight w:val="413"/>
        </w:trPr>
        <w:tc>
          <w:tcPr>
            <w:cnfStyle w:val="001000000000" w:firstRow="0" w:lastRow="0" w:firstColumn="1" w:lastColumn="0" w:oddVBand="0" w:evenVBand="0" w:oddHBand="0" w:evenHBand="0" w:firstRowFirstColumn="0" w:firstRowLastColumn="0" w:lastRowFirstColumn="0" w:lastRowLastColumn="0"/>
            <w:tcW w:w="1917" w:type="dxa"/>
          </w:tcPr>
          <w:p w14:paraId="4C29137B" w14:textId="650D61FC" w:rsidR="00941228" w:rsidRPr="00657C7C" w:rsidRDefault="00941228" w:rsidP="00941228">
            <w:pPr>
              <w:pStyle w:val="TableText"/>
            </w:pPr>
            <w:r w:rsidRPr="00657C7C">
              <w:t xml:space="preserve">Victoria </w:t>
            </w:r>
          </w:p>
        </w:tc>
        <w:tc>
          <w:tcPr>
            <w:tcW w:w="3039" w:type="dxa"/>
          </w:tcPr>
          <w:p w14:paraId="66B156A2" w14:textId="77777777" w:rsidR="00941228" w:rsidRDefault="00941228" w:rsidP="00941228">
            <w:pPr>
              <w:pStyle w:val="TableText"/>
              <w:cnfStyle w:val="000000000000" w:firstRow="0" w:lastRow="0" w:firstColumn="0" w:lastColumn="0" w:oddVBand="0" w:evenVBand="0" w:oddHBand="0" w:evenHBand="0" w:firstRowFirstColumn="0" w:firstRowLastColumn="0" w:lastRowFirstColumn="0" w:lastRowLastColumn="0"/>
            </w:pPr>
            <w:r>
              <w:t>Bendigo</w:t>
            </w:r>
          </w:p>
        </w:tc>
        <w:tc>
          <w:tcPr>
            <w:tcW w:w="1240" w:type="dxa"/>
          </w:tcPr>
          <w:p w14:paraId="3C557ACA" w14:textId="4D6D9D6E"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4E3D6C">
              <w:t>N/A</w:t>
            </w:r>
          </w:p>
        </w:tc>
        <w:tc>
          <w:tcPr>
            <w:tcW w:w="1241" w:type="dxa"/>
          </w:tcPr>
          <w:p w14:paraId="36546D7A" w14:textId="673CA35B"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3B0DFF">
              <w:t>Yes</w:t>
            </w:r>
          </w:p>
        </w:tc>
        <w:tc>
          <w:tcPr>
            <w:tcW w:w="1240" w:type="dxa"/>
          </w:tcPr>
          <w:p w14:paraId="5FF8AFD8" w14:textId="26338181"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9742AE">
              <w:t>N/A</w:t>
            </w:r>
          </w:p>
        </w:tc>
        <w:tc>
          <w:tcPr>
            <w:tcW w:w="1241" w:type="dxa"/>
          </w:tcPr>
          <w:p w14:paraId="627ED918" w14:textId="7CA534BD"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9742AE">
              <w:t>N/A</w:t>
            </w:r>
          </w:p>
        </w:tc>
      </w:tr>
      <w:tr w:rsidR="00941228" w:rsidRPr="00635B81" w14:paraId="068C24E1" w14:textId="77777777" w:rsidTr="00941228">
        <w:trPr>
          <w:trHeight w:val="413"/>
        </w:trPr>
        <w:tc>
          <w:tcPr>
            <w:cnfStyle w:val="001000000000" w:firstRow="0" w:lastRow="0" w:firstColumn="1" w:lastColumn="0" w:oddVBand="0" w:evenVBand="0" w:oddHBand="0" w:evenHBand="0" w:firstRowFirstColumn="0" w:firstRowLastColumn="0" w:lastRowFirstColumn="0" w:lastRowLastColumn="0"/>
            <w:tcW w:w="1917" w:type="dxa"/>
          </w:tcPr>
          <w:p w14:paraId="45089CC9" w14:textId="4D74E4F3" w:rsidR="00941228" w:rsidRPr="00657C7C" w:rsidRDefault="00941228" w:rsidP="00941228">
            <w:pPr>
              <w:pStyle w:val="TableText"/>
            </w:pPr>
            <w:r w:rsidRPr="00657C7C">
              <w:t xml:space="preserve">Victoria </w:t>
            </w:r>
          </w:p>
        </w:tc>
        <w:tc>
          <w:tcPr>
            <w:tcW w:w="3039" w:type="dxa"/>
          </w:tcPr>
          <w:p w14:paraId="4A9FDF17" w14:textId="77777777"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635B81">
              <w:t xml:space="preserve">Warrnambool </w:t>
            </w:r>
          </w:p>
        </w:tc>
        <w:tc>
          <w:tcPr>
            <w:tcW w:w="1240" w:type="dxa"/>
          </w:tcPr>
          <w:p w14:paraId="723E4800" w14:textId="013D6433"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4E3D6C">
              <w:t>N/A</w:t>
            </w:r>
          </w:p>
        </w:tc>
        <w:tc>
          <w:tcPr>
            <w:tcW w:w="1241" w:type="dxa"/>
          </w:tcPr>
          <w:p w14:paraId="5A5D0F40" w14:textId="7BF1ED7C"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E555D6">
              <w:t>N/A</w:t>
            </w:r>
          </w:p>
        </w:tc>
        <w:tc>
          <w:tcPr>
            <w:tcW w:w="1240" w:type="dxa"/>
          </w:tcPr>
          <w:p w14:paraId="3F1EEFC7" w14:textId="4897F31F"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BB21AE">
              <w:t>Yes</w:t>
            </w:r>
          </w:p>
        </w:tc>
        <w:tc>
          <w:tcPr>
            <w:tcW w:w="1241" w:type="dxa"/>
          </w:tcPr>
          <w:p w14:paraId="20E183DB" w14:textId="142F84C5"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815072">
              <w:t>N/A</w:t>
            </w:r>
          </w:p>
        </w:tc>
      </w:tr>
      <w:tr w:rsidR="00941228" w:rsidRPr="00635B81" w14:paraId="580F3A6E" w14:textId="77777777" w:rsidTr="00941228">
        <w:trPr>
          <w:trHeight w:val="413"/>
        </w:trPr>
        <w:tc>
          <w:tcPr>
            <w:cnfStyle w:val="001000000000" w:firstRow="0" w:lastRow="0" w:firstColumn="1" w:lastColumn="0" w:oddVBand="0" w:evenVBand="0" w:oddHBand="0" w:evenHBand="0" w:firstRowFirstColumn="0" w:firstRowLastColumn="0" w:lastRowFirstColumn="0" w:lastRowLastColumn="0"/>
            <w:tcW w:w="1917" w:type="dxa"/>
          </w:tcPr>
          <w:p w14:paraId="496F87AE" w14:textId="18802768" w:rsidR="00941228" w:rsidRPr="00657C7C" w:rsidRDefault="00941228" w:rsidP="00941228">
            <w:pPr>
              <w:pStyle w:val="TableText"/>
            </w:pPr>
            <w:r w:rsidRPr="00657C7C">
              <w:t xml:space="preserve">Victoria </w:t>
            </w:r>
          </w:p>
        </w:tc>
        <w:tc>
          <w:tcPr>
            <w:tcW w:w="3039" w:type="dxa"/>
          </w:tcPr>
          <w:p w14:paraId="7968C7B3" w14:textId="77777777"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635B81">
              <w:t xml:space="preserve">Sale </w:t>
            </w:r>
          </w:p>
        </w:tc>
        <w:tc>
          <w:tcPr>
            <w:tcW w:w="1240" w:type="dxa"/>
          </w:tcPr>
          <w:p w14:paraId="43C21696" w14:textId="2B39A6D6"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4E3D6C">
              <w:t>N/A</w:t>
            </w:r>
          </w:p>
        </w:tc>
        <w:tc>
          <w:tcPr>
            <w:tcW w:w="1241" w:type="dxa"/>
          </w:tcPr>
          <w:p w14:paraId="07E95C60" w14:textId="0B30AEA1"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E555D6">
              <w:t>N/A</w:t>
            </w:r>
          </w:p>
        </w:tc>
        <w:tc>
          <w:tcPr>
            <w:tcW w:w="1240" w:type="dxa"/>
          </w:tcPr>
          <w:p w14:paraId="1E898739" w14:textId="01EC9CCA"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BB21AE">
              <w:t>Yes</w:t>
            </w:r>
          </w:p>
        </w:tc>
        <w:tc>
          <w:tcPr>
            <w:tcW w:w="1241" w:type="dxa"/>
          </w:tcPr>
          <w:p w14:paraId="1D155FF7" w14:textId="7E053103"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815072">
              <w:t>N/A</w:t>
            </w:r>
          </w:p>
        </w:tc>
      </w:tr>
      <w:tr w:rsidR="00941228" w:rsidRPr="00635B81" w14:paraId="2331B08A" w14:textId="77777777" w:rsidTr="00941228">
        <w:trPr>
          <w:trHeight w:val="63"/>
        </w:trPr>
        <w:tc>
          <w:tcPr>
            <w:cnfStyle w:val="001000000000" w:firstRow="0" w:lastRow="0" w:firstColumn="1" w:lastColumn="0" w:oddVBand="0" w:evenVBand="0" w:oddHBand="0" w:evenHBand="0" w:firstRowFirstColumn="0" w:firstRowLastColumn="0" w:lastRowFirstColumn="0" w:lastRowLastColumn="0"/>
            <w:tcW w:w="1917" w:type="dxa"/>
          </w:tcPr>
          <w:p w14:paraId="5B417489" w14:textId="07746E31" w:rsidR="00941228" w:rsidRPr="00657C7C" w:rsidRDefault="00941228" w:rsidP="00941228">
            <w:pPr>
              <w:pStyle w:val="TableText"/>
            </w:pPr>
            <w:r w:rsidRPr="00657C7C">
              <w:t xml:space="preserve">Victoria </w:t>
            </w:r>
          </w:p>
        </w:tc>
        <w:tc>
          <w:tcPr>
            <w:tcW w:w="3039" w:type="dxa"/>
          </w:tcPr>
          <w:p w14:paraId="7386B73E" w14:textId="77777777"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635B81">
              <w:t>Gippsland</w:t>
            </w:r>
          </w:p>
        </w:tc>
        <w:tc>
          <w:tcPr>
            <w:tcW w:w="1240" w:type="dxa"/>
          </w:tcPr>
          <w:p w14:paraId="1230AD27" w14:textId="5DC21CF5"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4E3D6C">
              <w:t>N/A</w:t>
            </w:r>
          </w:p>
        </w:tc>
        <w:tc>
          <w:tcPr>
            <w:tcW w:w="1241" w:type="dxa"/>
          </w:tcPr>
          <w:p w14:paraId="706F6CBC" w14:textId="65A7FE46"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E555D6">
              <w:t>N/A</w:t>
            </w:r>
          </w:p>
        </w:tc>
        <w:tc>
          <w:tcPr>
            <w:tcW w:w="1240" w:type="dxa"/>
          </w:tcPr>
          <w:p w14:paraId="7DAB51A5" w14:textId="6E841500"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BB21AE">
              <w:t>Yes</w:t>
            </w:r>
          </w:p>
        </w:tc>
        <w:tc>
          <w:tcPr>
            <w:tcW w:w="1241" w:type="dxa"/>
          </w:tcPr>
          <w:p w14:paraId="30680FC4" w14:textId="283629D1"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815072">
              <w:t>N/A</w:t>
            </w:r>
          </w:p>
        </w:tc>
      </w:tr>
      <w:tr w:rsidR="00941228" w:rsidRPr="00635B81" w14:paraId="459CD575" w14:textId="77777777" w:rsidTr="00941228">
        <w:trPr>
          <w:trHeight w:val="430"/>
        </w:trPr>
        <w:tc>
          <w:tcPr>
            <w:cnfStyle w:val="001000000000" w:firstRow="0" w:lastRow="0" w:firstColumn="1" w:lastColumn="0" w:oddVBand="0" w:evenVBand="0" w:oddHBand="0" w:evenHBand="0" w:firstRowFirstColumn="0" w:firstRowLastColumn="0" w:lastRowFirstColumn="0" w:lastRowLastColumn="0"/>
            <w:tcW w:w="1917" w:type="dxa"/>
          </w:tcPr>
          <w:p w14:paraId="444E6BE9" w14:textId="77777777" w:rsidR="00941228" w:rsidRPr="00657C7C" w:rsidRDefault="00941228" w:rsidP="00941228">
            <w:pPr>
              <w:pStyle w:val="TableText"/>
            </w:pPr>
            <w:r w:rsidRPr="00657C7C">
              <w:t xml:space="preserve">South Australia </w:t>
            </w:r>
          </w:p>
        </w:tc>
        <w:tc>
          <w:tcPr>
            <w:tcW w:w="3039" w:type="dxa"/>
          </w:tcPr>
          <w:p w14:paraId="6B81FBFB" w14:textId="77777777"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635B81">
              <w:t xml:space="preserve">Adelaide </w:t>
            </w:r>
          </w:p>
        </w:tc>
        <w:tc>
          <w:tcPr>
            <w:tcW w:w="1240" w:type="dxa"/>
          </w:tcPr>
          <w:p w14:paraId="74ACAAD1" w14:textId="0F3DA39D"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12319D">
              <w:t>Yes</w:t>
            </w:r>
          </w:p>
        </w:tc>
        <w:tc>
          <w:tcPr>
            <w:tcW w:w="1241" w:type="dxa"/>
          </w:tcPr>
          <w:p w14:paraId="1F21FDA7" w14:textId="78D2AE93"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E555D6">
              <w:t>N/A</w:t>
            </w:r>
          </w:p>
        </w:tc>
        <w:tc>
          <w:tcPr>
            <w:tcW w:w="1240" w:type="dxa"/>
          </w:tcPr>
          <w:p w14:paraId="760CAE88" w14:textId="250AD815"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C07753">
              <w:t>N/A</w:t>
            </w:r>
          </w:p>
        </w:tc>
        <w:tc>
          <w:tcPr>
            <w:tcW w:w="1241" w:type="dxa"/>
          </w:tcPr>
          <w:p w14:paraId="5F908074" w14:textId="40EEF5CA"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815072">
              <w:t>N/A</w:t>
            </w:r>
          </w:p>
        </w:tc>
      </w:tr>
      <w:tr w:rsidR="00941228" w:rsidRPr="00635B81" w14:paraId="0EDCF88B" w14:textId="77777777" w:rsidTr="00941228">
        <w:trPr>
          <w:trHeight w:val="427"/>
        </w:trPr>
        <w:tc>
          <w:tcPr>
            <w:cnfStyle w:val="001000000000" w:firstRow="0" w:lastRow="0" w:firstColumn="1" w:lastColumn="0" w:oddVBand="0" w:evenVBand="0" w:oddHBand="0" w:evenHBand="0" w:firstRowFirstColumn="0" w:firstRowLastColumn="0" w:lastRowFirstColumn="0" w:lastRowLastColumn="0"/>
            <w:tcW w:w="1917" w:type="dxa"/>
          </w:tcPr>
          <w:p w14:paraId="2CB5B1E3" w14:textId="39922A70" w:rsidR="00941228" w:rsidRPr="00657C7C" w:rsidRDefault="00941228" w:rsidP="00941228">
            <w:pPr>
              <w:pStyle w:val="TableText"/>
            </w:pPr>
            <w:r w:rsidRPr="00657C7C">
              <w:t xml:space="preserve">South Australia </w:t>
            </w:r>
          </w:p>
        </w:tc>
        <w:tc>
          <w:tcPr>
            <w:tcW w:w="3039" w:type="dxa"/>
          </w:tcPr>
          <w:p w14:paraId="3A548472" w14:textId="77777777"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635B81">
              <w:t xml:space="preserve">Broken Hill </w:t>
            </w:r>
          </w:p>
        </w:tc>
        <w:tc>
          <w:tcPr>
            <w:tcW w:w="1240" w:type="dxa"/>
          </w:tcPr>
          <w:p w14:paraId="5769CD13" w14:textId="1F21340F"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E51106">
              <w:t>N/A</w:t>
            </w:r>
          </w:p>
        </w:tc>
        <w:tc>
          <w:tcPr>
            <w:tcW w:w="1241" w:type="dxa"/>
          </w:tcPr>
          <w:p w14:paraId="10ED2C92" w14:textId="458033DD"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E555D6">
              <w:t>N/A</w:t>
            </w:r>
          </w:p>
        </w:tc>
        <w:tc>
          <w:tcPr>
            <w:tcW w:w="1240" w:type="dxa"/>
          </w:tcPr>
          <w:p w14:paraId="75D38845" w14:textId="30D2EE0D"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526A31">
              <w:t>Yes</w:t>
            </w:r>
          </w:p>
        </w:tc>
        <w:tc>
          <w:tcPr>
            <w:tcW w:w="1241" w:type="dxa"/>
          </w:tcPr>
          <w:p w14:paraId="4F1FB7DA" w14:textId="2A582F6F"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815072">
              <w:t>N/A</w:t>
            </w:r>
          </w:p>
        </w:tc>
      </w:tr>
      <w:tr w:rsidR="00941228" w:rsidRPr="00635B81" w14:paraId="467C3844" w14:textId="77777777" w:rsidTr="00941228">
        <w:trPr>
          <w:trHeight w:val="427"/>
        </w:trPr>
        <w:tc>
          <w:tcPr>
            <w:cnfStyle w:val="001000000000" w:firstRow="0" w:lastRow="0" w:firstColumn="1" w:lastColumn="0" w:oddVBand="0" w:evenVBand="0" w:oddHBand="0" w:evenHBand="0" w:firstRowFirstColumn="0" w:firstRowLastColumn="0" w:lastRowFirstColumn="0" w:lastRowLastColumn="0"/>
            <w:tcW w:w="1917" w:type="dxa"/>
          </w:tcPr>
          <w:p w14:paraId="4E37B7E0" w14:textId="3772D312" w:rsidR="00941228" w:rsidRPr="00657C7C" w:rsidRDefault="00941228" w:rsidP="00941228">
            <w:pPr>
              <w:pStyle w:val="TableText"/>
            </w:pPr>
            <w:r w:rsidRPr="00657C7C">
              <w:t xml:space="preserve">South Australia </w:t>
            </w:r>
          </w:p>
        </w:tc>
        <w:tc>
          <w:tcPr>
            <w:tcW w:w="3039" w:type="dxa"/>
          </w:tcPr>
          <w:p w14:paraId="7220EF7F" w14:textId="77777777"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635B81">
              <w:t xml:space="preserve">Port Pirie </w:t>
            </w:r>
          </w:p>
        </w:tc>
        <w:tc>
          <w:tcPr>
            <w:tcW w:w="1240" w:type="dxa"/>
          </w:tcPr>
          <w:p w14:paraId="7490D425" w14:textId="57D6D400"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E51106">
              <w:t>N/A</w:t>
            </w:r>
          </w:p>
        </w:tc>
        <w:tc>
          <w:tcPr>
            <w:tcW w:w="1241" w:type="dxa"/>
          </w:tcPr>
          <w:p w14:paraId="732776C4" w14:textId="625285DE"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E555D6">
              <w:t>N/A</w:t>
            </w:r>
          </w:p>
        </w:tc>
        <w:tc>
          <w:tcPr>
            <w:tcW w:w="1240" w:type="dxa"/>
          </w:tcPr>
          <w:p w14:paraId="4C0429A0" w14:textId="40827DFD"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526A31">
              <w:t>Yes</w:t>
            </w:r>
          </w:p>
        </w:tc>
        <w:tc>
          <w:tcPr>
            <w:tcW w:w="1241" w:type="dxa"/>
          </w:tcPr>
          <w:p w14:paraId="56BDB2AB" w14:textId="14208221"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815072">
              <w:t>N/A</w:t>
            </w:r>
          </w:p>
        </w:tc>
      </w:tr>
      <w:tr w:rsidR="00941228" w:rsidRPr="00635B81" w14:paraId="1552356D" w14:textId="77777777" w:rsidTr="00941228">
        <w:trPr>
          <w:trHeight w:val="62"/>
        </w:trPr>
        <w:tc>
          <w:tcPr>
            <w:cnfStyle w:val="001000000000" w:firstRow="0" w:lastRow="0" w:firstColumn="1" w:lastColumn="0" w:oddVBand="0" w:evenVBand="0" w:oddHBand="0" w:evenHBand="0" w:firstRowFirstColumn="0" w:firstRowLastColumn="0" w:lastRowFirstColumn="0" w:lastRowLastColumn="0"/>
            <w:tcW w:w="1917" w:type="dxa"/>
          </w:tcPr>
          <w:p w14:paraId="268762FE" w14:textId="4B181ED9" w:rsidR="00941228" w:rsidRPr="00657C7C" w:rsidRDefault="00941228" w:rsidP="00941228">
            <w:pPr>
              <w:pStyle w:val="TableText"/>
            </w:pPr>
            <w:r w:rsidRPr="00657C7C">
              <w:t xml:space="preserve">South Australia </w:t>
            </w:r>
          </w:p>
        </w:tc>
        <w:tc>
          <w:tcPr>
            <w:tcW w:w="3039" w:type="dxa"/>
          </w:tcPr>
          <w:p w14:paraId="5C3D065A" w14:textId="77777777"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635B81">
              <w:t xml:space="preserve">Murray Bridge </w:t>
            </w:r>
          </w:p>
        </w:tc>
        <w:tc>
          <w:tcPr>
            <w:tcW w:w="1240" w:type="dxa"/>
          </w:tcPr>
          <w:p w14:paraId="2C29A188" w14:textId="678FF8D0"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E51106">
              <w:t>N/A</w:t>
            </w:r>
          </w:p>
        </w:tc>
        <w:tc>
          <w:tcPr>
            <w:tcW w:w="1241" w:type="dxa"/>
          </w:tcPr>
          <w:p w14:paraId="5426BB64" w14:textId="12E674A9"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E555D6">
              <w:t>N/A</w:t>
            </w:r>
          </w:p>
        </w:tc>
        <w:tc>
          <w:tcPr>
            <w:tcW w:w="1240" w:type="dxa"/>
          </w:tcPr>
          <w:p w14:paraId="6CEFD520" w14:textId="44C5595F"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526A31">
              <w:t>Yes</w:t>
            </w:r>
          </w:p>
        </w:tc>
        <w:tc>
          <w:tcPr>
            <w:tcW w:w="1241" w:type="dxa"/>
          </w:tcPr>
          <w:p w14:paraId="47D018BF" w14:textId="3E2CE66F"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815072">
              <w:t>N/A</w:t>
            </w:r>
          </w:p>
        </w:tc>
      </w:tr>
      <w:tr w:rsidR="00941228" w:rsidRPr="00635B81" w14:paraId="2B12FE86" w14:textId="77777777" w:rsidTr="00543FA9">
        <w:trPr>
          <w:trHeight w:val="363"/>
        </w:trPr>
        <w:tc>
          <w:tcPr>
            <w:cnfStyle w:val="001000000000" w:firstRow="0" w:lastRow="0" w:firstColumn="1" w:lastColumn="0" w:oddVBand="0" w:evenVBand="0" w:oddHBand="0" w:evenHBand="0" w:firstRowFirstColumn="0" w:firstRowLastColumn="0" w:lastRowFirstColumn="0" w:lastRowLastColumn="0"/>
            <w:tcW w:w="1917" w:type="dxa"/>
          </w:tcPr>
          <w:p w14:paraId="0DD84881" w14:textId="77777777" w:rsidR="00941228" w:rsidRPr="00657C7C" w:rsidRDefault="00941228" w:rsidP="00941228">
            <w:pPr>
              <w:pStyle w:val="TableText"/>
            </w:pPr>
            <w:r w:rsidRPr="00657C7C">
              <w:t>Western Australia</w:t>
            </w:r>
          </w:p>
        </w:tc>
        <w:tc>
          <w:tcPr>
            <w:tcW w:w="3039" w:type="dxa"/>
          </w:tcPr>
          <w:p w14:paraId="7ABD0D16" w14:textId="77777777"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635B81">
              <w:t>Perth</w:t>
            </w:r>
          </w:p>
        </w:tc>
        <w:tc>
          <w:tcPr>
            <w:tcW w:w="1240" w:type="dxa"/>
          </w:tcPr>
          <w:p w14:paraId="41ABF1B7" w14:textId="5641F44E"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12319D">
              <w:t>Yes</w:t>
            </w:r>
          </w:p>
        </w:tc>
        <w:tc>
          <w:tcPr>
            <w:tcW w:w="1241" w:type="dxa"/>
          </w:tcPr>
          <w:p w14:paraId="7C64C288" w14:textId="2E163729"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E555D6">
              <w:t>N/A</w:t>
            </w:r>
          </w:p>
        </w:tc>
        <w:tc>
          <w:tcPr>
            <w:tcW w:w="1240" w:type="dxa"/>
          </w:tcPr>
          <w:p w14:paraId="4087DF6E" w14:textId="389AD01E"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C07753">
              <w:t>N/A</w:t>
            </w:r>
          </w:p>
        </w:tc>
        <w:tc>
          <w:tcPr>
            <w:tcW w:w="1241" w:type="dxa"/>
          </w:tcPr>
          <w:p w14:paraId="37935AE6" w14:textId="5B90FDE0"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815072">
              <w:t>N/A</w:t>
            </w:r>
          </w:p>
        </w:tc>
      </w:tr>
      <w:tr w:rsidR="00941228" w:rsidRPr="00635B81" w14:paraId="4963C616" w14:textId="77777777" w:rsidTr="00543FA9">
        <w:trPr>
          <w:trHeight w:val="125"/>
        </w:trPr>
        <w:tc>
          <w:tcPr>
            <w:cnfStyle w:val="001000000000" w:firstRow="0" w:lastRow="0" w:firstColumn="1" w:lastColumn="0" w:oddVBand="0" w:evenVBand="0" w:oddHBand="0" w:evenHBand="0" w:firstRowFirstColumn="0" w:firstRowLastColumn="0" w:lastRowFirstColumn="0" w:lastRowLastColumn="0"/>
            <w:tcW w:w="1917" w:type="dxa"/>
          </w:tcPr>
          <w:p w14:paraId="12BB33C6" w14:textId="2DD84A21" w:rsidR="00941228" w:rsidRPr="00657C7C" w:rsidRDefault="00941228" w:rsidP="00941228">
            <w:pPr>
              <w:pStyle w:val="TableText"/>
            </w:pPr>
            <w:r w:rsidRPr="00657C7C">
              <w:t>Western Australia</w:t>
            </w:r>
          </w:p>
        </w:tc>
        <w:tc>
          <w:tcPr>
            <w:tcW w:w="3039" w:type="dxa"/>
          </w:tcPr>
          <w:p w14:paraId="3A11D765" w14:textId="77777777"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635B81">
              <w:t xml:space="preserve">Southwest region including Busselton </w:t>
            </w:r>
          </w:p>
        </w:tc>
        <w:tc>
          <w:tcPr>
            <w:tcW w:w="1240" w:type="dxa"/>
          </w:tcPr>
          <w:p w14:paraId="5981082B" w14:textId="7FB0DE01"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09439A">
              <w:t>N/A</w:t>
            </w:r>
          </w:p>
        </w:tc>
        <w:tc>
          <w:tcPr>
            <w:tcW w:w="1241" w:type="dxa"/>
          </w:tcPr>
          <w:p w14:paraId="46234897" w14:textId="254EE97A"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E555D6">
              <w:t>N/A</w:t>
            </w:r>
          </w:p>
        </w:tc>
        <w:tc>
          <w:tcPr>
            <w:tcW w:w="1240" w:type="dxa"/>
          </w:tcPr>
          <w:p w14:paraId="52A4A311" w14:textId="7955EB0E"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12319D">
              <w:t>Yes</w:t>
            </w:r>
          </w:p>
        </w:tc>
        <w:tc>
          <w:tcPr>
            <w:tcW w:w="1241" w:type="dxa"/>
          </w:tcPr>
          <w:p w14:paraId="1110B7B1" w14:textId="64685423"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815072">
              <w:t>N/A</w:t>
            </w:r>
          </w:p>
        </w:tc>
      </w:tr>
      <w:tr w:rsidR="00941228" w:rsidRPr="00635B81" w14:paraId="2AE25948" w14:textId="77777777" w:rsidTr="00941228">
        <w:trPr>
          <w:trHeight w:val="144"/>
        </w:trPr>
        <w:tc>
          <w:tcPr>
            <w:cnfStyle w:val="001000000000" w:firstRow="0" w:lastRow="0" w:firstColumn="1" w:lastColumn="0" w:oddVBand="0" w:evenVBand="0" w:oddHBand="0" w:evenHBand="0" w:firstRowFirstColumn="0" w:firstRowLastColumn="0" w:lastRowFirstColumn="0" w:lastRowLastColumn="0"/>
            <w:tcW w:w="1917" w:type="dxa"/>
          </w:tcPr>
          <w:p w14:paraId="13B30A18" w14:textId="77777777" w:rsidR="00941228" w:rsidRPr="00657C7C" w:rsidRDefault="00941228" w:rsidP="00941228">
            <w:pPr>
              <w:pStyle w:val="TableText"/>
            </w:pPr>
            <w:r w:rsidRPr="00657C7C">
              <w:t xml:space="preserve">Northern Territory </w:t>
            </w:r>
          </w:p>
        </w:tc>
        <w:tc>
          <w:tcPr>
            <w:tcW w:w="3039" w:type="dxa"/>
          </w:tcPr>
          <w:p w14:paraId="783C9A53" w14:textId="77777777"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635B81">
              <w:t xml:space="preserve">Darwin </w:t>
            </w:r>
          </w:p>
        </w:tc>
        <w:tc>
          <w:tcPr>
            <w:tcW w:w="1240" w:type="dxa"/>
          </w:tcPr>
          <w:p w14:paraId="47F94C67" w14:textId="3F41DACD"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09439A">
              <w:t>N/A</w:t>
            </w:r>
          </w:p>
        </w:tc>
        <w:tc>
          <w:tcPr>
            <w:tcW w:w="1241" w:type="dxa"/>
          </w:tcPr>
          <w:p w14:paraId="41F4D4C6" w14:textId="5AE6072D"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AD225F">
              <w:t>Yes</w:t>
            </w:r>
          </w:p>
        </w:tc>
        <w:tc>
          <w:tcPr>
            <w:tcW w:w="1240" w:type="dxa"/>
          </w:tcPr>
          <w:p w14:paraId="68938319" w14:textId="547FA8DA"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D76E40">
              <w:t>N/A</w:t>
            </w:r>
          </w:p>
        </w:tc>
        <w:tc>
          <w:tcPr>
            <w:tcW w:w="1241" w:type="dxa"/>
          </w:tcPr>
          <w:p w14:paraId="7E1947BF" w14:textId="1170B3C9"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815072">
              <w:t>N/A</w:t>
            </w:r>
          </w:p>
        </w:tc>
      </w:tr>
      <w:tr w:rsidR="00941228" w:rsidRPr="00635B81" w14:paraId="4C0ADA2A" w14:textId="77777777" w:rsidTr="00543FA9">
        <w:trPr>
          <w:trHeight w:val="381"/>
        </w:trPr>
        <w:tc>
          <w:tcPr>
            <w:cnfStyle w:val="001000000000" w:firstRow="0" w:lastRow="0" w:firstColumn="1" w:lastColumn="0" w:oddVBand="0" w:evenVBand="0" w:oddHBand="0" w:evenHBand="0" w:firstRowFirstColumn="0" w:firstRowLastColumn="0" w:lastRowFirstColumn="0" w:lastRowLastColumn="0"/>
            <w:tcW w:w="1917" w:type="dxa"/>
          </w:tcPr>
          <w:p w14:paraId="4887F267" w14:textId="77777777" w:rsidR="00941228" w:rsidRPr="00657C7C" w:rsidRDefault="00941228" w:rsidP="00941228">
            <w:pPr>
              <w:pStyle w:val="TableText"/>
            </w:pPr>
            <w:r w:rsidRPr="00657C7C">
              <w:t>Tasmania</w:t>
            </w:r>
          </w:p>
        </w:tc>
        <w:tc>
          <w:tcPr>
            <w:tcW w:w="3039" w:type="dxa"/>
          </w:tcPr>
          <w:p w14:paraId="0477E9B7" w14:textId="77777777"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635B81">
              <w:t xml:space="preserve">Hobart </w:t>
            </w:r>
          </w:p>
        </w:tc>
        <w:tc>
          <w:tcPr>
            <w:tcW w:w="1240" w:type="dxa"/>
          </w:tcPr>
          <w:p w14:paraId="074DBEBE" w14:textId="5C73CFD9"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09439A">
              <w:t>N/A</w:t>
            </w:r>
          </w:p>
        </w:tc>
        <w:tc>
          <w:tcPr>
            <w:tcW w:w="1241" w:type="dxa"/>
          </w:tcPr>
          <w:p w14:paraId="4C9B2769" w14:textId="45211341"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AD225F">
              <w:t>Yes</w:t>
            </w:r>
          </w:p>
        </w:tc>
        <w:tc>
          <w:tcPr>
            <w:tcW w:w="1240" w:type="dxa"/>
          </w:tcPr>
          <w:p w14:paraId="7743BD4F" w14:textId="407D9DD2"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D76E40">
              <w:t>N/A</w:t>
            </w:r>
          </w:p>
        </w:tc>
        <w:tc>
          <w:tcPr>
            <w:tcW w:w="1241" w:type="dxa"/>
          </w:tcPr>
          <w:p w14:paraId="7CC27B8D" w14:textId="2BADDD2B"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815072">
              <w:t>N/A</w:t>
            </w:r>
          </w:p>
        </w:tc>
      </w:tr>
      <w:tr w:rsidR="00941228" w:rsidRPr="00635B81" w14:paraId="221B9982" w14:textId="77777777" w:rsidTr="00543FA9">
        <w:trPr>
          <w:trHeight w:val="287"/>
        </w:trPr>
        <w:tc>
          <w:tcPr>
            <w:cnfStyle w:val="001000000000" w:firstRow="0" w:lastRow="0" w:firstColumn="1" w:lastColumn="0" w:oddVBand="0" w:evenVBand="0" w:oddHBand="0" w:evenHBand="0" w:firstRowFirstColumn="0" w:firstRowLastColumn="0" w:lastRowFirstColumn="0" w:lastRowLastColumn="0"/>
            <w:tcW w:w="1917" w:type="dxa"/>
          </w:tcPr>
          <w:p w14:paraId="57606688" w14:textId="12761A49" w:rsidR="00941228" w:rsidRPr="00657C7C" w:rsidRDefault="00941228" w:rsidP="00941228">
            <w:pPr>
              <w:pStyle w:val="TableText"/>
            </w:pPr>
            <w:r w:rsidRPr="00657C7C">
              <w:t>Tasmania</w:t>
            </w:r>
          </w:p>
        </w:tc>
        <w:tc>
          <w:tcPr>
            <w:tcW w:w="3039" w:type="dxa"/>
          </w:tcPr>
          <w:p w14:paraId="461699FB" w14:textId="77777777"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635B81">
              <w:t xml:space="preserve">Launceston </w:t>
            </w:r>
          </w:p>
        </w:tc>
        <w:tc>
          <w:tcPr>
            <w:tcW w:w="1240" w:type="dxa"/>
          </w:tcPr>
          <w:p w14:paraId="6C1E00DB" w14:textId="71A4A3B9"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09439A">
              <w:t>N/A</w:t>
            </w:r>
          </w:p>
        </w:tc>
        <w:tc>
          <w:tcPr>
            <w:tcW w:w="1241" w:type="dxa"/>
          </w:tcPr>
          <w:p w14:paraId="5613C71F" w14:textId="68EFF2C4"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AD225F">
              <w:t>Yes</w:t>
            </w:r>
          </w:p>
        </w:tc>
        <w:tc>
          <w:tcPr>
            <w:tcW w:w="1240" w:type="dxa"/>
          </w:tcPr>
          <w:p w14:paraId="4FCAC9F3" w14:textId="584146C8"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D76E40">
              <w:t>N/A</w:t>
            </w:r>
          </w:p>
        </w:tc>
        <w:tc>
          <w:tcPr>
            <w:tcW w:w="1241" w:type="dxa"/>
          </w:tcPr>
          <w:p w14:paraId="31B25961" w14:textId="5B4550FA" w:rsidR="00941228" w:rsidRPr="00635B81" w:rsidRDefault="00941228" w:rsidP="00941228">
            <w:pPr>
              <w:pStyle w:val="TableText"/>
              <w:cnfStyle w:val="000000000000" w:firstRow="0" w:lastRow="0" w:firstColumn="0" w:lastColumn="0" w:oddVBand="0" w:evenVBand="0" w:oddHBand="0" w:evenHBand="0" w:firstRowFirstColumn="0" w:firstRowLastColumn="0" w:lastRowFirstColumn="0" w:lastRowLastColumn="0"/>
            </w:pPr>
            <w:r w:rsidRPr="00815072">
              <w:t>N/A</w:t>
            </w:r>
          </w:p>
        </w:tc>
      </w:tr>
    </w:tbl>
    <w:p w14:paraId="122B208D" w14:textId="67CAB660" w:rsidR="005E6F9D" w:rsidRDefault="00E10056" w:rsidP="00CD3106">
      <w:pPr>
        <w:pStyle w:val="Caption-Source"/>
        <w:rPr>
          <w:i/>
          <w:szCs w:val="20"/>
        </w:rPr>
      </w:pPr>
      <w:r w:rsidRPr="00F6799D">
        <w:t xml:space="preserve">Source: </w:t>
      </w:r>
      <w:r w:rsidR="00B26691">
        <w:t>Independent reviewer,</w:t>
      </w:r>
      <w:r w:rsidRPr="00F6799D">
        <w:rPr>
          <w:sz w:val="22"/>
          <w:szCs w:val="24"/>
        </w:rPr>
        <w:t xml:space="preserve"> </w:t>
      </w:r>
      <w:r w:rsidRPr="00F6799D">
        <w:rPr>
          <w:i/>
          <w:szCs w:val="20"/>
        </w:rPr>
        <w:t>using information from BCNA, 2025</w:t>
      </w:r>
      <w:bookmarkStart w:id="312" w:name="_Ref198289424"/>
      <w:r w:rsidR="005E6F9D">
        <w:rPr>
          <w:i/>
          <w:szCs w:val="20"/>
        </w:rPr>
        <w:br w:type="page"/>
      </w:r>
    </w:p>
    <w:p w14:paraId="5F76CD04" w14:textId="57335BDB" w:rsidR="00652100" w:rsidRPr="004A6DB4" w:rsidRDefault="00652100" w:rsidP="008239ED">
      <w:pPr>
        <w:pStyle w:val="AppendixHeading2"/>
      </w:pPr>
      <w:bookmarkStart w:id="313" w:name="_Toc207348774"/>
      <w:r>
        <w:t>My Care Kit</w:t>
      </w:r>
      <w:bookmarkEnd w:id="313"/>
    </w:p>
    <w:p w14:paraId="25412249" w14:textId="5292FA78" w:rsidR="00652100" w:rsidRDefault="00652100" w:rsidP="00652100">
      <w:pPr>
        <w:pStyle w:val="Caption"/>
      </w:pPr>
      <w:bookmarkStart w:id="314" w:name="_Toc207348680"/>
      <w:r>
        <w:t xml:space="preserve">Table </w:t>
      </w:r>
      <w:r w:rsidR="006E4F1B">
        <w:fldChar w:fldCharType="begin"/>
      </w:r>
      <w:r w:rsidR="006E4F1B">
        <w:instrText xml:space="preserve"> SEQ Table \* ARABIC </w:instrText>
      </w:r>
      <w:r w:rsidR="006E4F1B">
        <w:fldChar w:fldCharType="separate"/>
      </w:r>
      <w:r w:rsidR="006E4F1B">
        <w:rPr>
          <w:noProof/>
        </w:rPr>
        <w:t>115</w:t>
      </w:r>
      <w:r w:rsidR="006E4F1B">
        <w:rPr>
          <w:noProof/>
        </w:rPr>
        <w:fldChar w:fldCharType="end"/>
      </w:r>
      <w:bookmarkEnd w:id="312"/>
      <w:r>
        <w:t>: My Care Kit program details</w:t>
      </w:r>
      <w:bookmarkEnd w:id="314"/>
      <w:r>
        <w:t xml:space="preserve"> </w:t>
      </w:r>
    </w:p>
    <w:tbl>
      <w:tblPr>
        <w:tblStyle w:val="KPMGTable"/>
        <w:tblW w:w="9923" w:type="dxa"/>
        <w:tblLook w:val="04A0" w:firstRow="1" w:lastRow="0" w:firstColumn="1" w:lastColumn="0" w:noHBand="0" w:noVBand="1"/>
      </w:tblPr>
      <w:tblGrid>
        <w:gridCol w:w="2268"/>
        <w:gridCol w:w="7655"/>
      </w:tblGrid>
      <w:tr w:rsidR="00467133" w:rsidRPr="007B154A" w14:paraId="027C3995" w14:textId="77777777" w:rsidTr="00D048BA">
        <w:trPr>
          <w:cnfStyle w:val="100000000000" w:firstRow="1" w:lastRow="0" w:firstColumn="0" w:lastColumn="0" w:oddVBand="0" w:evenVBand="0" w:oddHBand="0"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2268" w:type="dxa"/>
          </w:tcPr>
          <w:p w14:paraId="4ECD0483" w14:textId="77777777" w:rsidR="00652100" w:rsidRPr="007B154A" w:rsidRDefault="00652100" w:rsidP="00D048BA">
            <w:pPr>
              <w:pStyle w:val="TableHeading"/>
              <w:rPr>
                <w:b w:val="0"/>
                <w:color w:val="FFFFFF" w:themeColor="background1"/>
                <w:szCs w:val="20"/>
              </w:rPr>
            </w:pPr>
            <w:r>
              <w:t xml:space="preserve"> Category</w:t>
            </w:r>
          </w:p>
        </w:tc>
        <w:tc>
          <w:tcPr>
            <w:tcW w:w="7655" w:type="dxa"/>
          </w:tcPr>
          <w:p w14:paraId="2A33060F" w14:textId="77777777" w:rsidR="00652100" w:rsidRPr="007B154A" w:rsidRDefault="00652100" w:rsidP="00D048BA">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 xml:space="preserve">Description </w:t>
            </w:r>
          </w:p>
        </w:tc>
      </w:tr>
      <w:tr w:rsidR="00BC6DD3" w:rsidRPr="001B05CB" w14:paraId="6D34ABC0" w14:textId="77777777" w:rsidTr="00D048BA">
        <w:trPr>
          <w:trHeight w:val="578"/>
        </w:trPr>
        <w:tc>
          <w:tcPr>
            <w:cnfStyle w:val="001000000000" w:firstRow="0" w:lastRow="0" w:firstColumn="1" w:lastColumn="0" w:oddVBand="0" w:evenVBand="0" w:oddHBand="0" w:evenHBand="0" w:firstRowFirstColumn="0" w:firstRowLastColumn="0" w:lastRowFirstColumn="0" w:lastRowLastColumn="0"/>
            <w:tcW w:w="2268" w:type="dxa"/>
          </w:tcPr>
          <w:p w14:paraId="72B9AB38" w14:textId="77777777" w:rsidR="00652100" w:rsidRPr="007B154A" w:rsidRDefault="00652100" w:rsidP="00D048BA">
            <w:pPr>
              <w:pStyle w:val="Tabletextbold"/>
              <w:rPr>
                <w:szCs w:val="20"/>
              </w:rPr>
            </w:pPr>
            <w:r>
              <w:t>Eligibility</w:t>
            </w:r>
            <w:r w:rsidRPr="007B154A">
              <w:rPr>
                <w:szCs w:val="20"/>
              </w:rPr>
              <w:t xml:space="preserve"> </w:t>
            </w:r>
            <w:r>
              <w:rPr>
                <w:szCs w:val="20"/>
              </w:rPr>
              <w:t>criteria</w:t>
            </w:r>
          </w:p>
        </w:tc>
        <w:tc>
          <w:tcPr>
            <w:tcW w:w="7655" w:type="dxa"/>
          </w:tcPr>
          <w:p w14:paraId="57EA75FC" w14:textId="77777777" w:rsidR="00652100" w:rsidRDefault="00652100" w:rsidP="00D048BA">
            <w:pPr>
              <w:pStyle w:val="TableBullet1"/>
              <w:cnfStyle w:val="000000000000" w:firstRow="0" w:lastRow="0" w:firstColumn="0" w:lastColumn="0" w:oddVBand="0" w:evenVBand="0" w:oddHBand="0" w:evenHBand="0" w:firstRowFirstColumn="0" w:firstRowLastColumn="0" w:lastRowFirstColumn="0" w:lastRowLastColumn="0"/>
            </w:pPr>
            <w:r w:rsidRPr="009C1931">
              <w:t xml:space="preserve">People who have recently had breast surgery </w:t>
            </w:r>
          </w:p>
          <w:p w14:paraId="58BD3204" w14:textId="77777777" w:rsidR="00652100" w:rsidRPr="009C1931" w:rsidRDefault="00652100" w:rsidP="00D048BA">
            <w:pPr>
              <w:pStyle w:val="TableBullet1"/>
              <w:cnfStyle w:val="000000000000" w:firstRow="0" w:lastRow="0" w:firstColumn="0" w:lastColumn="0" w:oddVBand="0" w:evenVBand="0" w:oddHBand="0" w:evenHBand="0" w:firstRowFirstColumn="0" w:firstRowLastColumn="0" w:lastRowFirstColumn="0" w:lastRowLastColumn="0"/>
            </w:pPr>
            <w:r>
              <w:t xml:space="preserve">People </w:t>
            </w:r>
            <w:r w:rsidRPr="009C1931">
              <w:t>undergoing radiation therapy</w:t>
            </w:r>
          </w:p>
        </w:tc>
      </w:tr>
      <w:tr w:rsidR="00BC6DD3" w:rsidRPr="00FA30FA" w14:paraId="37FAAE09" w14:textId="77777777" w:rsidTr="00D048BA">
        <w:trPr>
          <w:trHeight w:val="576"/>
        </w:trPr>
        <w:tc>
          <w:tcPr>
            <w:cnfStyle w:val="001000000000" w:firstRow="0" w:lastRow="0" w:firstColumn="1" w:lastColumn="0" w:oddVBand="0" w:evenVBand="0" w:oddHBand="0" w:evenHBand="0" w:firstRowFirstColumn="0" w:firstRowLastColumn="0" w:lastRowFirstColumn="0" w:lastRowLastColumn="0"/>
            <w:tcW w:w="2268" w:type="dxa"/>
          </w:tcPr>
          <w:p w14:paraId="18ADDEF6" w14:textId="77777777" w:rsidR="00652100" w:rsidRPr="007B154A" w:rsidRDefault="00652100" w:rsidP="00D048BA">
            <w:pPr>
              <w:pStyle w:val="Tabletextbold"/>
              <w:rPr>
                <w:szCs w:val="20"/>
              </w:rPr>
            </w:pPr>
            <w:r>
              <w:t>Products and services included</w:t>
            </w:r>
          </w:p>
        </w:tc>
        <w:tc>
          <w:tcPr>
            <w:tcW w:w="7655" w:type="dxa"/>
          </w:tcPr>
          <w:p w14:paraId="614F40BB" w14:textId="77777777" w:rsidR="00652100" w:rsidRPr="009C1931" w:rsidRDefault="00652100" w:rsidP="00D048BA">
            <w:pPr>
              <w:pStyle w:val="TableBullet1"/>
              <w:cnfStyle w:val="000000000000" w:firstRow="0" w:lastRow="0" w:firstColumn="0" w:lastColumn="0" w:oddVBand="0" w:evenVBand="0" w:oddHBand="0" w:evenHBand="0" w:firstRowFirstColumn="0" w:firstRowLastColumn="0" w:lastRowFirstColumn="0" w:lastRowLastColumn="0"/>
            </w:pPr>
            <w:r w:rsidRPr="009C1931">
              <w:t>A post-surgery bra or $70 online voucher for a bra</w:t>
            </w:r>
          </w:p>
          <w:p w14:paraId="38733D12" w14:textId="77777777" w:rsidR="00652100" w:rsidRPr="009C1931" w:rsidRDefault="00652100" w:rsidP="00D048BA">
            <w:pPr>
              <w:pStyle w:val="TableBullet1"/>
              <w:cnfStyle w:val="000000000000" w:firstRow="0" w:lastRow="0" w:firstColumn="0" w:lastColumn="0" w:oddVBand="0" w:evenVBand="0" w:oddHBand="0" w:evenHBand="0" w:firstRowFirstColumn="0" w:firstRowLastColumn="0" w:lastRowFirstColumn="0" w:lastRowLastColumn="0"/>
              <w:rPr>
                <w:bCs/>
              </w:rPr>
            </w:pPr>
            <w:r w:rsidRPr="009C1931">
              <w:t>Temporary breast prosthesis, also know</w:t>
            </w:r>
            <w:r>
              <w:t>n</w:t>
            </w:r>
            <w:r w:rsidRPr="009C1931">
              <w:t xml:space="preserve"> as a soft form (maximum of two)</w:t>
            </w:r>
          </w:p>
        </w:tc>
      </w:tr>
      <w:tr w:rsidR="00BC6DD3" w:rsidRPr="00FA30FA" w14:paraId="1382DAA0" w14:textId="77777777" w:rsidTr="00D048BA">
        <w:trPr>
          <w:trHeight w:val="576"/>
        </w:trPr>
        <w:tc>
          <w:tcPr>
            <w:cnfStyle w:val="001000000000" w:firstRow="0" w:lastRow="0" w:firstColumn="1" w:lastColumn="0" w:oddVBand="0" w:evenVBand="0" w:oddHBand="0" w:evenHBand="0" w:firstRowFirstColumn="0" w:firstRowLastColumn="0" w:lastRowFirstColumn="0" w:lastRowLastColumn="0"/>
            <w:tcW w:w="2268" w:type="dxa"/>
          </w:tcPr>
          <w:p w14:paraId="26F36896" w14:textId="77777777" w:rsidR="00652100" w:rsidRDefault="00652100" w:rsidP="00D048BA">
            <w:pPr>
              <w:pStyle w:val="Tabletextbold"/>
              <w:rPr>
                <w:szCs w:val="20"/>
              </w:rPr>
            </w:pPr>
            <w:r>
              <w:t>Cost coverage</w:t>
            </w:r>
          </w:p>
        </w:tc>
        <w:tc>
          <w:tcPr>
            <w:tcW w:w="7655" w:type="dxa"/>
          </w:tcPr>
          <w:p w14:paraId="630009BF" w14:textId="77777777" w:rsidR="00652100" w:rsidRPr="009C1931" w:rsidRDefault="00652100" w:rsidP="00D048BA">
            <w:pPr>
              <w:pStyle w:val="TableBullet1"/>
              <w:cnfStyle w:val="000000000000" w:firstRow="0" w:lastRow="0" w:firstColumn="0" w:lastColumn="0" w:oddVBand="0" w:evenVBand="0" w:oddHBand="0" w:evenHBand="0" w:firstRowFirstColumn="0" w:firstRowLastColumn="0" w:lastRowFirstColumn="0" w:lastRowLastColumn="0"/>
            </w:pPr>
            <w:r>
              <w:t>T</w:t>
            </w:r>
            <w:r w:rsidRPr="009C1931">
              <w:t xml:space="preserve">he full cost </w:t>
            </w:r>
            <w:r>
              <w:t xml:space="preserve">of the prosthesis and post-surgery bra are covered, </w:t>
            </w:r>
            <w:r w:rsidRPr="009C1931">
              <w:t xml:space="preserve">with </w:t>
            </w:r>
            <w:proofErr w:type="gramStart"/>
            <w:r w:rsidRPr="009C1931">
              <w:t>no</w:t>
            </w:r>
            <w:proofErr w:type="gramEnd"/>
            <w:r w:rsidRPr="009C1931">
              <w:t xml:space="preserve"> out of pocket </w:t>
            </w:r>
            <w:r>
              <w:t>costs</w:t>
            </w:r>
            <w:r w:rsidRPr="009C1931">
              <w:t xml:space="preserve"> for the </w:t>
            </w:r>
            <w:r>
              <w:t>individual</w:t>
            </w:r>
          </w:p>
        </w:tc>
      </w:tr>
      <w:tr w:rsidR="00BC6DD3" w:rsidRPr="00FA30FA" w14:paraId="4020FF95" w14:textId="77777777" w:rsidTr="00D048BA">
        <w:trPr>
          <w:trHeight w:val="576"/>
        </w:trPr>
        <w:tc>
          <w:tcPr>
            <w:cnfStyle w:val="001000000000" w:firstRow="0" w:lastRow="0" w:firstColumn="1" w:lastColumn="0" w:oddVBand="0" w:evenVBand="0" w:oddHBand="0" w:evenHBand="0" w:firstRowFirstColumn="0" w:firstRowLastColumn="0" w:lastRowFirstColumn="0" w:lastRowLastColumn="0"/>
            <w:tcW w:w="2268" w:type="dxa"/>
          </w:tcPr>
          <w:p w14:paraId="1E09F7BB" w14:textId="77777777" w:rsidR="00652100" w:rsidRDefault="00652100" w:rsidP="00D048BA">
            <w:pPr>
              <w:pStyle w:val="Tabletextbold"/>
              <w:rPr>
                <w:szCs w:val="20"/>
              </w:rPr>
            </w:pPr>
            <w:r>
              <w:t>Repairs and warranty</w:t>
            </w:r>
          </w:p>
        </w:tc>
        <w:tc>
          <w:tcPr>
            <w:tcW w:w="7655" w:type="dxa"/>
          </w:tcPr>
          <w:p w14:paraId="7F717EF8" w14:textId="77777777" w:rsidR="00652100" w:rsidRPr="009C1931" w:rsidRDefault="00652100" w:rsidP="00D048BA">
            <w:pPr>
              <w:pStyle w:val="TableBullet1"/>
              <w:cnfStyle w:val="000000000000" w:firstRow="0" w:lastRow="0" w:firstColumn="0" w:lastColumn="0" w:oddVBand="0" w:evenVBand="0" w:oddHBand="0" w:evenHBand="0" w:firstRowFirstColumn="0" w:firstRowLastColumn="0" w:lastRowFirstColumn="0" w:lastRowLastColumn="0"/>
            </w:pPr>
            <w:r>
              <w:t>Not applicable</w:t>
            </w:r>
          </w:p>
        </w:tc>
      </w:tr>
      <w:tr w:rsidR="00BC6DD3" w:rsidRPr="00FA30FA" w14:paraId="56DF0039" w14:textId="77777777" w:rsidTr="00D048BA">
        <w:trPr>
          <w:trHeight w:val="576"/>
        </w:trPr>
        <w:tc>
          <w:tcPr>
            <w:cnfStyle w:val="001000000000" w:firstRow="0" w:lastRow="0" w:firstColumn="1" w:lastColumn="0" w:oddVBand="0" w:evenVBand="0" w:oddHBand="0" w:evenHBand="0" w:firstRowFirstColumn="0" w:firstRowLastColumn="0" w:lastRowFirstColumn="0" w:lastRowLastColumn="0"/>
            <w:tcW w:w="2268" w:type="dxa"/>
          </w:tcPr>
          <w:p w14:paraId="4CF9CAF9" w14:textId="77777777" w:rsidR="00652100" w:rsidRDefault="00652100" w:rsidP="00D048BA">
            <w:pPr>
              <w:pStyle w:val="Tabletextbold"/>
              <w:rPr>
                <w:szCs w:val="20"/>
              </w:rPr>
            </w:pPr>
            <w:r>
              <w:t>Referral pathway</w:t>
            </w:r>
          </w:p>
        </w:tc>
        <w:tc>
          <w:tcPr>
            <w:tcW w:w="7655" w:type="dxa"/>
          </w:tcPr>
          <w:p w14:paraId="25EC961D" w14:textId="77777777" w:rsidR="00652100" w:rsidRDefault="00652100" w:rsidP="00D048BA">
            <w:pPr>
              <w:pStyle w:val="TableBullet1"/>
              <w:cnfStyle w:val="000000000000" w:firstRow="0" w:lastRow="0" w:firstColumn="0" w:lastColumn="0" w:oddVBand="0" w:evenVBand="0" w:oddHBand="0" w:evenHBand="0" w:firstRowFirstColumn="0" w:firstRowLastColumn="0" w:lastRowFirstColumn="0" w:lastRowLastColumn="0"/>
            </w:pPr>
            <w:r w:rsidRPr="009C1931">
              <w:t xml:space="preserve">The prosthesis is ordered </w:t>
            </w:r>
            <w:r>
              <w:t xml:space="preserve">online via the BCNA website </w:t>
            </w:r>
            <w:r w:rsidRPr="009C1931">
              <w:t xml:space="preserve">by </w:t>
            </w:r>
            <w:r>
              <w:t xml:space="preserve">a </w:t>
            </w:r>
            <w:r w:rsidRPr="009C1931">
              <w:t>healthcare professional</w:t>
            </w:r>
            <w:r>
              <w:t xml:space="preserve"> on behalf of their patient</w:t>
            </w:r>
            <w:r w:rsidRPr="009C1931">
              <w:t xml:space="preserve"> </w:t>
            </w:r>
          </w:p>
          <w:p w14:paraId="0047A058" w14:textId="77777777" w:rsidR="00652100" w:rsidRPr="00E47616" w:rsidRDefault="00652100" w:rsidP="00D048BA">
            <w:pPr>
              <w:pStyle w:val="TableBullet1"/>
              <w:cnfStyle w:val="000000000000" w:firstRow="0" w:lastRow="0" w:firstColumn="0" w:lastColumn="0" w:oddVBand="0" w:evenVBand="0" w:oddHBand="0" w:evenHBand="0" w:firstRowFirstColumn="0" w:firstRowLastColumn="0" w:lastRowFirstColumn="0" w:lastRowLastColumn="0"/>
            </w:pPr>
            <w:r>
              <w:t>The healthcare professional w</w:t>
            </w:r>
            <w:r w:rsidRPr="009C1931">
              <w:t xml:space="preserve">ill measure and fit the </w:t>
            </w:r>
            <w:r>
              <w:t>person</w:t>
            </w:r>
            <w:r w:rsidRPr="009C1931">
              <w:t xml:space="preserve"> for the bra</w:t>
            </w:r>
          </w:p>
        </w:tc>
      </w:tr>
      <w:tr w:rsidR="00BC6DD3" w:rsidRPr="00FA30FA" w14:paraId="6685CB46" w14:textId="77777777" w:rsidTr="00D048BA">
        <w:trPr>
          <w:trHeight w:val="576"/>
        </w:trPr>
        <w:tc>
          <w:tcPr>
            <w:cnfStyle w:val="001000000000" w:firstRow="0" w:lastRow="0" w:firstColumn="1" w:lastColumn="0" w:oddVBand="0" w:evenVBand="0" w:oddHBand="0" w:evenHBand="0" w:firstRowFirstColumn="0" w:firstRowLastColumn="0" w:lastRowFirstColumn="0" w:lastRowLastColumn="0"/>
            <w:tcW w:w="2268" w:type="dxa"/>
          </w:tcPr>
          <w:p w14:paraId="441863A6" w14:textId="77777777" w:rsidR="00652100" w:rsidRDefault="00652100" w:rsidP="00D048BA">
            <w:pPr>
              <w:pStyle w:val="Tabletextbold"/>
              <w:rPr>
                <w:szCs w:val="20"/>
              </w:rPr>
            </w:pPr>
            <w:r>
              <w:t xml:space="preserve">Settings in which the prostheses may be accessed </w:t>
            </w:r>
          </w:p>
        </w:tc>
        <w:tc>
          <w:tcPr>
            <w:tcW w:w="7655" w:type="dxa"/>
          </w:tcPr>
          <w:p w14:paraId="76B3B077" w14:textId="77777777" w:rsidR="00652100" w:rsidRPr="000F6471" w:rsidRDefault="00652100" w:rsidP="00D048BA">
            <w:pPr>
              <w:pStyle w:val="TableBullet1"/>
              <w:cnfStyle w:val="000000000000" w:firstRow="0" w:lastRow="0" w:firstColumn="0" w:lastColumn="0" w:oddVBand="0" w:evenVBand="0" w:oddHBand="0" w:evenHBand="0" w:firstRowFirstColumn="0" w:firstRowLastColumn="0" w:lastRowFirstColumn="0" w:lastRowLastColumn="0"/>
              <w:rPr>
                <w:szCs w:val="18"/>
              </w:rPr>
            </w:pPr>
            <w:r w:rsidRPr="00F6337B">
              <w:t xml:space="preserve">The prosthesis </w:t>
            </w:r>
            <w:r>
              <w:t xml:space="preserve">is ordered online and </w:t>
            </w:r>
            <w:r w:rsidRPr="00F6337B">
              <w:t xml:space="preserve">can be sent either directly to the </w:t>
            </w:r>
            <w:r>
              <w:t xml:space="preserve">persons home </w:t>
            </w:r>
            <w:r w:rsidRPr="00F6337B">
              <w:t>or to the healthcare professional for distribution</w:t>
            </w:r>
          </w:p>
        </w:tc>
      </w:tr>
      <w:tr w:rsidR="00BC6DD3" w:rsidRPr="00FA30FA" w14:paraId="370CA87A" w14:textId="77777777" w:rsidTr="00D048BA">
        <w:trPr>
          <w:trHeight w:val="576"/>
        </w:trPr>
        <w:tc>
          <w:tcPr>
            <w:cnfStyle w:val="001000000000" w:firstRow="0" w:lastRow="0" w:firstColumn="1" w:lastColumn="0" w:oddVBand="0" w:evenVBand="0" w:oddHBand="0" w:evenHBand="0" w:firstRowFirstColumn="0" w:firstRowLastColumn="0" w:lastRowFirstColumn="0" w:lastRowLastColumn="0"/>
            <w:tcW w:w="2268" w:type="dxa"/>
          </w:tcPr>
          <w:p w14:paraId="35D43AFC" w14:textId="77777777" w:rsidR="00652100" w:rsidRDefault="00652100" w:rsidP="00D048BA">
            <w:pPr>
              <w:pStyle w:val="Tabletextbold"/>
              <w:rPr>
                <w:szCs w:val="20"/>
              </w:rPr>
            </w:pPr>
            <w:r>
              <w:t>Clinicians involved</w:t>
            </w:r>
          </w:p>
        </w:tc>
        <w:tc>
          <w:tcPr>
            <w:tcW w:w="7655" w:type="dxa"/>
          </w:tcPr>
          <w:p w14:paraId="29E7A75F" w14:textId="77777777" w:rsidR="00652100" w:rsidRPr="009C1931" w:rsidRDefault="00652100" w:rsidP="00D048BA">
            <w:pPr>
              <w:pStyle w:val="TableBullet1"/>
              <w:cnfStyle w:val="000000000000" w:firstRow="0" w:lastRow="0" w:firstColumn="0" w:lastColumn="0" w:oddVBand="0" w:evenVBand="0" w:oddHBand="0" w:evenHBand="0" w:firstRowFirstColumn="0" w:firstRowLastColumn="0" w:lastRowFirstColumn="0" w:lastRowLastColumn="0"/>
            </w:pPr>
            <w:r w:rsidRPr="000F6471">
              <w:rPr>
                <w:szCs w:val="18"/>
              </w:rPr>
              <w:t>Breast care and McGrath nurses: provide support and education to people with breast cancer about prostheses services available</w:t>
            </w:r>
          </w:p>
        </w:tc>
      </w:tr>
      <w:tr w:rsidR="00BC6DD3" w:rsidRPr="00FA30FA" w14:paraId="2EB14F1E" w14:textId="77777777" w:rsidTr="00D048BA">
        <w:trPr>
          <w:trHeight w:val="576"/>
        </w:trPr>
        <w:tc>
          <w:tcPr>
            <w:cnfStyle w:val="001000000000" w:firstRow="0" w:lastRow="0" w:firstColumn="1" w:lastColumn="0" w:oddVBand="0" w:evenVBand="0" w:oddHBand="0" w:evenHBand="0" w:firstRowFirstColumn="0" w:firstRowLastColumn="0" w:lastRowFirstColumn="0" w:lastRowLastColumn="0"/>
            <w:tcW w:w="2268" w:type="dxa"/>
          </w:tcPr>
          <w:p w14:paraId="7BA8164D" w14:textId="77777777" w:rsidR="00652100" w:rsidRDefault="00652100" w:rsidP="00D048BA">
            <w:pPr>
              <w:pStyle w:val="Tabletextbold"/>
              <w:rPr>
                <w:szCs w:val="20"/>
              </w:rPr>
            </w:pPr>
            <w:r>
              <w:t>Funded by</w:t>
            </w:r>
          </w:p>
        </w:tc>
        <w:tc>
          <w:tcPr>
            <w:tcW w:w="7655" w:type="dxa"/>
          </w:tcPr>
          <w:p w14:paraId="7A6C7AD6" w14:textId="77777777" w:rsidR="00652100" w:rsidRPr="00F6337B" w:rsidRDefault="00652100" w:rsidP="00D048BA">
            <w:pPr>
              <w:pStyle w:val="TableBullet1"/>
              <w:cnfStyle w:val="000000000000" w:firstRow="0" w:lastRow="0" w:firstColumn="0" w:lastColumn="0" w:oddVBand="0" w:evenVBand="0" w:oddHBand="0" w:evenHBand="0" w:firstRowFirstColumn="0" w:firstRowLastColumn="0" w:lastRowFirstColumn="0" w:lastRowLastColumn="0"/>
            </w:pPr>
            <w:r>
              <w:t>Australian government</w:t>
            </w:r>
          </w:p>
        </w:tc>
      </w:tr>
      <w:tr w:rsidR="00BC6DD3" w:rsidRPr="00FA30FA" w14:paraId="679690D9" w14:textId="77777777" w:rsidTr="00D048BA">
        <w:trPr>
          <w:trHeight w:val="576"/>
        </w:trPr>
        <w:tc>
          <w:tcPr>
            <w:cnfStyle w:val="001000000000" w:firstRow="0" w:lastRow="0" w:firstColumn="1" w:lastColumn="0" w:oddVBand="0" w:evenVBand="0" w:oddHBand="0" w:evenHBand="0" w:firstRowFirstColumn="0" w:firstRowLastColumn="0" w:lastRowFirstColumn="0" w:lastRowLastColumn="0"/>
            <w:tcW w:w="2268" w:type="dxa"/>
          </w:tcPr>
          <w:p w14:paraId="6334F09D" w14:textId="77777777" w:rsidR="00652100" w:rsidRDefault="00652100" w:rsidP="00D048BA">
            <w:pPr>
              <w:pStyle w:val="Tabletextbold"/>
              <w:rPr>
                <w:szCs w:val="20"/>
              </w:rPr>
            </w:pPr>
            <w:r>
              <w:t>Role of the Australian Government</w:t>
            </w:r>
          </w:p>
        </w:tc>
        <w:tc>
          <w:tcPr>
            <w:tcW w:w="7655" w:type="dxa"/>
          </w:tcPr>
          <w:p w14:paraId="00FF9227" w14:textId="77777777" w:rsidR="00652100" w:rsidRDefault="00652100" w:rsidP="00D048BA">
            <w:pPr>
              <w:pStyle w:val="TableBullet1"/>
              <w:cnfStyle w:val="000000000000" w:firstRow="0" w:lastRow="0" w:firstColumn="0" w:lastColumn="0" w:oddVBand="0" w:evenVBand="0" w:oddHBand="0" w:evenHBand="0" w:firstRowFirstColumn="0" w:firstRowLastColumn="0" w:lastRowFirstColumn="0" w:lastRowLastColumn="0"/>
            </w:pPr>
            <w:r>
              <w:t>Funds BCNA to deliver the kits</w:t>
            </w:r>
          </w:p>
        </w:tc>
      </w:tr>
      <w:tr w:rsidR="00BC6DD3" w:rsidRPr="00FA30FA" w14:paraId="42A9CF0F" w14:textId="77777777" w:rsidTr="00D048BA">
        <w:trPr>
          <w:trHeight w:val="576"/>
        </w:trPr>
        <w:tc>
          <w:tcPr>
            <w:cnfStyle w:val="001000000000" w:firstRow="0" w:lastRow="0" w:firstColumn="1" w:lastColumn="0" w:oddVBand="0" w:evenVBand="0" w:oddHBand="0" w:evenHBand="0" w:firstRowFirstColumn="0" w:firstRowLastColumn="0" w:lastRowFirstColumn="0" w:lastRowLastColumn="0"/>
            <w:tcW w:w="2268" w:type="dxa"/>
          </w:tcPr>
          <w:p w14:paraId="163FB4E5" w14:textId="77777777" w:rsidR="00652100" w:rsidRDefault="00652100" w:rsidP="00D048BA">
            <w:pPr>
              <w:pStyle w:val="Tabletextbold"/>
              <w:rPr>
                <w:szCs w:val="20"/>
              </w:rPr>
            </w:pPr>
            <w:r>
              <w:t>Role of state/territory governments</w:t>
            </w:r>
          </w:p>
        </w:tc>
        <w:tc>
          <w:tcPr>
            <w:tcW w:w="7655" w:type="dxa"/>
          </w:tcPr>
          <w:p w14:paraId="250B6EE3" w14:textId="77777777" w:rsidR="00652100" w:rsidRDefault="00652100" w:rsidP="00D048BA">
            <w:pPr>
              <w:pStyle w:val="TableBullet1"/>
              <w:cnfStyle w:val="000000000000" w:firstRow="0" w:lastRow="0" w:firstColumn="0" w:lastColumn="0" w:oddVBand="0" w:evenVBand="0" w:oddHBand="0" w:evenHBand="0" w:firstRowFirstColumn="0" w:firstRowLastColumn="0" w:lastRowFirstColumn="0" w:lastRowLastColumn="0"/>
            </w:pPr>
            <w:r>
              <w:t>None</w:t>
            </w:r>
          </w:p>
        </w:tc>
      </w:tr>
    </w:tbl>
    <w:p w14:paraId="21746AAC" w14:textId="77777777" w:rsidR="00DD71E7" w:rsidRDefault="00652100" w:rsidP="00E779C0">
      <w:pPr>
        <w:pStyle w:val="Caption-Source"/>
        <w:rPr>
          <w:sz w:val="22"/>
          <w:szCs w:val="24"/>
        </w:rPr>
      </w:pPr>
      <w:r w:rsidRPr="00F6799D">
        <w:t xml:space="preserve">Source: Adapted from BNCA (2025) </w:t>
      </w:r>
      <w:r>
        <w:rPr>
          <w:rFonts w:ascii="ZWAdobeF" w:hAnsi="ZWAdobeF" w:cs="ZWAdobeF"/>
          <w:color w:val="auto"/>
          <w:sz w:val="2"/>
          <w:szCs w:val="2"/>
        </w:rPr>
        <w:t>18F</w:t>
      </w:r>
      <w:r w:rsidRPr="00F6799D">
        <w:rPr>
          <w:rStyle w:val="FootnoteReference"/>
          <w:sz w:val="22"/>
          <w:szCs w:val="24"/>
        </w:rPr>
        <w:footnoteReference w:id="177"/>
      </w:r>
    </w:p>
    <w:p w14:paraId="07794F10" w14:textId="70024094" w:rsidR="008558CE" w:rsidRPr="00DD71E7" w:rsidRDefault="008558CE" w:rsidP="00DD71E7">
      <w:r w:rsidRPr="00DD71E7">
        <w:br w:type="page"/>
      </w:r>
    </w:p>
    <w:p w14:paraId="42E4EC80" w14:textId="138E6913" w:rsidR="00652100" w:rsidRPr="004A6DB4" w:rsidRDefault="00652100" w:rsidP="008239ED">
      <w:pPr>
        <w:pStyle w:val="AppendixHeading2"/>
      </w:pPr>
      <w:bookmarkStart w:id="315" w:name="_Toc207348775"/>
      <w:r>
        <w:t>Knitted Knockers Australia</w:t>
      </w:r>
      <w:bookmarkEnd w:id="315"/>
    </w:p>
    <w:p w14:paraId="7CC80641" w14:textId="03E18AE0" w:rsidR="00652100" w:rsidRDefault="00652100" w:rsidP="00652100">
      <w:pPr>
        <w:pStyle w:val="Caption"/>
      </w:pPr>
      <w:bookmarkStart w:id="316" w:name="_Ref198550951"/>
      <w:bookmarkStart w:id="317" w:name="_Toc207348681"/>
      <w:r>
        <w:t xml:space="preserve">Table </w:t>
      </w:r>
      <w:r w:rsidR="006E4F1B">
        <w:fldChar w:fldCharType="begin"/>
      </w:r>
      <w:r w:rsidR="006E4F1B">
        <w:instrText xml:space="preserve"> SEQ Table \* ARABIC </w:instrText>
      </w:r>
      <w:r w:rsidR="006E4F1B">
        <w:fldChar w:fldCharType="separate"/>
      </w:r>
      <w:r w:rsidR="006E4F1B">
        <w:rPr>
          <w:noProof/>
        </w:rPr>
        <w:t>116</w:t>
      </w:r>
      <w:r w:rsidR="006E4F1B">
        <w:rPr>
          <w:noProof/>
        </w:rPr>
        <w:fldChar w:fldCharType="end"/>
      </w:r>
      <w:bookmarkEnd w:id="316"/>
      <w:r>
        <w:t>: Knitted Knockers Australia program details</w:t>
      </w:r>
      <w:bookmarkEnd w:id="317"/>
    </w:p>
    <w:tbl>
      <w:tblPr>
        <w:tblStyle w:val="KPMGTable"/>
        <w:tblW w:w="9923" w:type="dxa"/>
        <w:tblLook w:val="04A0" w:firstRow="1" w:lastRow="0" w:firstColumn="1" w:lastColumn="0" w:noHBand="0" w:noVBand="1"/>
      </w:tblPr>
      <w:tblGrid>
        <w:gridCol w:w="2268"/>
        <w:gridCol w:w="7655"/>
      </w:tblGrid>
      <w:tr w:rsidR="00467133" w:rsidRPr="007B154A" w14:paraId="495BC997" w14:textId="77777777" w:rsidTr="00E779C0">
        <w:trPr>
          <w:cnfStyle w:val="100000000000" w:firstRow="1" w:lastRow="0" w:firstColumn="0" w:lastColumn="0" w:oddVBand="0" w:evenVBand="0" w:oddHBand="0"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2268" w:type="dxa"/>
          </w:tcPr>
          <w:p w14:paraId="20A4E5D3" w14:textId="77777777" w:rsidR="00652100" w:rsidRPr="007B154A" w:rsidRDefault="00652100" w:rsidP="00E779C0">
            <w:pPr>
              <w:pStyle w:val="TableHeading"/>
              <w:rPr>
                <w:b w:val="0"/>
                <w:color w:val="FFFFFF" w:themeColor="background1"/>
                <w:szCs w:val="20"/>
              </w:rPr>
            </w:pPr>
            <w:r>
              <w:t>Category</w:t>
            </w:r>
          </w:p>
        </w:tc>
        <w:tc>
          <w:tcPr>
            <w:tcW w:w="7655" w:type="dxa"/>
          </w:tcPr>
          <w:p w14:paraId="71118D04" w14:textId="77777777" w:rsidR="00652100" w:rsidRPr="007B154A" w:rsidRDefault="00652100" w:rsidP="00E779C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 xml:space="preserve">Description </w:t>
            </w:r>
          </w:p>
        </w:tc>
      </w:tr>
      <w:tr w:rsidR="00BC6DD3" w:rsidRPr="001B05CB" w14:paraId="4F7E8421" w14:textId="77777777" w:rsidTr="00E779C0">
        <w:trPr>
          <w:trHeight w:val="578"/>
        </w:trPr>
        <w:tc>
          <w:tcPr>
            <w:cnfStyle w:val="001000000000" w:firstRow="0" w:lastRow="0" w:firstColumn="1" w:lastColumn="0" w:oddVBand="0" w:evenVBand="0" w:oddHBand="0" w:evenHBand="0" w:firstRowFirstColumn="0" w:firstRowLastColumn="0" w:lastRowFirstColumn="0" w:lastRowLastColumn="0"/>
            <w:tcW w:w="2268" w:type="dxa"/>
          </w:tcPr>
          <w:p w14:paraId="61517880" w14:textId="77777777" w:rsidR="00652100" w:rsidRPr="007B154A" w:rsidRDefault="00652100" w:rsidP="00E779C0">
            <w:pPr>
              <w:pStyle w:val="Tabletextbold"/>
              <w:rPr>
                <w:szCs w:val="20"/>
              </w:rPr>
            </w:pPr>
            <w:r>
              <w:t>Eligibility</w:t>
            </w:r>
            <w:r w:rsidRPr="007B154A">
              <w:rPr>
                <w:szCs w:val="20"/>
              </w:rPr>
              <w:t xml:space="preserve"> </w:t>
            </w:r>
            <w:r>
              <w:rPr>
                <w:szCs w:val="20"/>
              </w:rPr>
              <w:t>criteria</w:t>
            </w:r>
          </w:p>
        </w:tc>
        <w:tc>
          <w:tcPr>
            <w:tcW w:w="7655" w:type="dxa"/>
          </w:tcPr>
          <w:p w14:paraId="0D88ADC1" w14:textId="77777777" w:rsidR="00652100" w:rsidRPr="00531FC6" w:rsidRDefault="00652100" w:rsidP="00E779C0">
            <w:pPr>
              <w:pStyle w:val="TableBullet1"/>
              <w:cnfStyle w:val="000000000000" w:firstRow="0" w:lastRow="0" w:firstColumn="0" w:lastColumn="0" w:oddVBand="0" w:evenVBand="0" w:oddHBand="0" w:evenHBand="0" w:firstRowFirstColumn="0" w:firstRowLastColumn="0" w:lastRowFirstColumn="0" w:lastRowLastColumn="0"/>
            </w:pPr>
            <w:r w:rsidRPr="009C1931">
              <w:t xml:space="preserve">People who have recently had breast surgery </w:t>
            </w:r>
          </w:p>
        </w:tc>
      </w:tr>
      <w:tr w:rsidR="00BC6DD3" w:rsidRPr="00FA30FA" w14:paraId="2638CDC7" w14:textId="77777777" w:rsidTr="00E779C0">
        <w:trPr>
          <w:trHeight w:val="576"/>
        </w:trPr>
        <w:tc>
          <w:tcPr>
            <w:cnfStyle w:val="001000000000" w:firstRow="0" w:lastRow="0" w:firstColumn="1" w:lastColumn="0" w:oddVBand="0" w:evenVBand="0" w:oddHBand="0" w:evenHBand="0" w:firstRowFirstColumn="0" w:firstRowLastColumn="0" w:lastRowFirstColumn="0" w:lastRowLastColumn="0"/>
            <w:tcW w:w="2268" w:type="dxa"/>
          </w:tcPr>
          <w:p w14:paraId="439FB69C" w14:textId="77777777" w:rsidR="00652100" w:rsidRPr="007B154A" w:rsidRDefault="00652100" w:rsidP="00E779C0">
            <w:pPr>
              <w:pStyle w:val="Tabletextbold"/>
              <w:rPr>
                <w:szCs w:val="20"/>
              </w:rPr>
            </w:pPr>
            <w:r>
              <w:t>Products and services included</w:t>
            </w:r>
          </w:p>
        </w:tc>
        <w:tc>
          <w:tcPr>
            <w:tcW w:w="7655" w:type="dxa"/>
          </w:tcPr>
          <w:p w14:paraId="612D6998" w14:textId="77777777" w:rsidR="00652100" w:rsidRPr="009C1931" w:rsidRDefault="00652100" w:rsidP="00E779C0">
            <w:pPr>
              <w:pStyle w:val="TableBullet1"/>
              <w:cnfStyle w:val="000000000000" w:firstRow="0" w:lastRow="0" w:firstColumn="0" w:lastColumn="0" w:oddVBand="0" w:evenVBand="0" w:oddHBand="0" w:evenHBand="0" w:firstRowFirstColumn="0" w:firstRowLastColumn="0" w:lastRowFirstColumn="0" w:lastRowLastColumn="0"/>
              <w:rPr>
                <w:bCs/>
              </w:rPr>
            </w:pPr>
            <w:r>
              <w:t>Knitted</w:t>
            </w:r>
            <w:r w:rsidRPr="009C1931">
              <w:t xml:space="preserve"> breast prosthesis</w:t>
            </w:r>
          </w:p>
        </w:tc>
      </w:tr>
      <w:tr w:rsidR="00BC6DD3" w:rsidRPr="00FA30FA" w14:paraId="0874B0F4" w14:textId="77777777" w:rsidTr="00E779C0">
        <w:trPr>
          <w:trHeight w:val="576"/>
        </w:trPr>
        <w:tc>
          <w:tcPr>
            <w:cnfStyle w:val="001000000000" w:firstRow="0" w:lastRow="0" w:firstColumn="1" w:lastColumn="0" w:oddVBand="0" w:evenVBand="0" w:oddHBand="0" w:evenHBand="0" w:firstRowFirstColumn="0" w:firstRowLastColumn="0" w:lastRowFirstColumn="0" w:lastRowLastColumn="0"/>
            <w:tcW w:w="2268" w:type="dxa"/>
          </w:tcPr>
          <w:p w14:paraId="6C3B11CC" w14:textId="77777777" w:rsidR="00652100" w:rsidRDefault="00652100" w:rsidP="00E779C0">
            <w:pPr>
              <w:pStyle w:val="Tabletextbold"/>
              <w:rPr>
                <w:szCs w:val="20"/>
              </w:rPr>
            </w:pPr>
            <w:r>
              <w:t>Cost coverage</w:t>
            </w:r>
          </w:p>
        </w:tc>
        <w:tc>
          <w:tcPr>
            <w:tcW w:w="7655" w:type="dxa"/>
          </w:tcPr>
          <w:p w14:paraId="3126BC64" w14:textId="77777777" w:rsidR="00652100" w:rsidRDefault="00652100" w:rsidP="00E779C0">
            <w:pPr>
              <w:pStyle w:val="TableBullet1"/>
              <w:cnfStyle w:val="000000000000" w:firstRow="0" w:lastRow="0" w:firstColumn="0" w:lastColumn="0" w:oddVBand="0" w:evenVBand="0" w:oddHBand="0" w:evenHBand="0" w:firstRowFirstColumn="0" w:firstRowLastColumn="0" w:lastRowFirstColumn="0" w:lastRowLastColumn="0"/>
            </w:pPr>
            <w:r w:rsidRPr="009C1931">
              <w:t>Covers the full cost</w:t>
            </w:r>
            <w:r>
              <w:t xml:space="preserve"> of prostheses</w:t>
            </w:r>
          </w:p>
          <w:p w14:paraId="361616C7" w14:textId="77777777" w:rsidR="00652100" w:rsidRPr="009C1931" w:rsidRDefault="00652100" w:rsidP="00E779C0">
            <w:pPr>
              <w:pStyle w:val="TableBullet1"/>
              <w:cnfStyle w:val="000000000000" w:firstRow="0" w:lastRow="0" w:firstColumn="0" w:lastColumn="0" w:oddVBand="0" w:evenVBand="0" w:oddHBand="0" w:evenHBand="0" w:firstRowFirstColumn="0" w:firstRowLastColumn="0" w:lastRowFirstColumn="0" w:lastRowLastColumn="0"/>
            </w:pPr>
            <w:r>
              <w:t>Out of pocket cost for postage of the prostheses if pick up is unavailable ($10 single mastectomy, $16 double mastectomy)</w:t>
            </w:r>
          </w:p>
        </w:tc>
      </w:tr>
      <w:tr w:rsidR="00BC6DD3" w:rsidRPr="00FA30FA" w14:paraId="2385A0B8" w14:textId="77777777" w:rsidTr="00E779C0">
        <w:trPr>
          <w:trHeight w:val="576"/>
        </w:trPr>
        <w:tc>
          <w:tcPr>
            <w:cnfStyle w:val="001000000000" w:firstRow="0" w:lastRow="0" w:firstColumn="1" w:lastColumn="0" w:oddVBand="0" w:evenVBand="0" w:oddHBand="0" w:evenHBand="0" w:firstRowFirstColumn="0" w:firstRowLastColumn="0" w:lastRowFirstColumn="0" w:lastRowLastColumn="0"/>
            <w:tcW w:w="2268" w:type="dxa"/>
          </w:tcPr>
          <w:p w14:paraId="7FB54040" w14:textId="77777777" w:rsidR="00652100" w:rsidRDefault="00652100" w:rsidP="00E779C0">
            <w:pPr>
              <w:pStyle w:val="Tabletextbold"/>
              <w:rPr>
                <w:szCs w:val="20"/>
              </w:rPr>
            </w:pPr>
            <w:r>
              <w:t>Repairs and warranty</w:t>
            </w:r>
          </w:p>
        </w:tc>
        <w:tc>
          <w:tcPr>
            <w:tcW w:w="7655" w:type="dxa"/>
          </w:tcPr>
          <w:p w14:paraId="676EDF9E" w14:textId="77777777" w:rsidR="00652100" w:rsidRPr="009C1931" w:rsidRDefault="00652100" w:rsidP="00E779C0">
            <w:pPr>
              <w:pStyle w:val="TableBullet1"/>
              <w:cnfStyle w:val="000000000000" w:firstRow="0" w:lastRow="0" w:firstColumn="0" w:lastColumn="0" w:oddVBand="0" w:evenVBand="0" w:oddHBand="0" w:evenHBand="0" w:firstRowFirstColumn="0" w:firstRowLastColumn="0" w:lastRowFirstColumn="0" w:lastRowLastColumn="0"/>
            </w:pPr>
            <w:r>
              <w:t xml:space="preserve">No information </w:t>
            </w:r>
          </w:p>
        </w:tc>
      </w:tr>
      <w:tr w:rsidR="00BC6DD3" w:rsidRPr="00FA30FA" w14:paraId="057D93A0" w14:textId="77777777" w:rsidTr="00E779C0">
        <w:trPr>
          <w:trHeight w:val="576"/>
        </w:trPr>
        <w:tc>
          <w:tcPr>
            <w:cnfStyle w:val="001000000000" w:firstRow="0" w:lastRow="0" w:firstColumn="1" w:lastColumn="0" w:oddVBand="0" w:evenVBand="0" w:oddHBand="0" w:evenHBand="0" w:firstRowFirstColumn="0" w:firstRowLastColumn="0" w:lastRowFirstColumn="0" w:lastRowLastColumn="0"/>
            <w:tcW w:w="2268" w:type="dxa"/>
          </w:tcPr>
          <w:p w14:paraId="58737108" w14:textId="77777777" w:rsidR="00652100" w:rsidRDefault="00652100" w:rsidP="00E779C0">
            <w:pPr>
              <w:pStyle w:val="Tabletextbold"/>
              <w:rPr>
                <w:szCs w:val="20"/>
              </w:rPr>
            </w:pPr>
            <w:r>
              <w:t>Referral pathway</w:t>
            </w:r>
          </w:p>
        </w:tc>
        <w:tc>
          <w:tcPr>
            <w:tcW w:w="7655" w:type="dxa"/>
          </w:tcPr>
          <w:p w14:paraId="5FC436F7" w14:textId="77777777" w:rsidR="00652100" w:rsidRPr="00604EE7" w:rsidRDefault="00652100" w:rsidP="00E779C0">
            <w:pPr>
              <w:pStyle w:val="TableBullet1"/>
              <w:cnfStyle w:val="000000000000" w:firstRow="0" w:lastRow="0" w:firstColumn="0" w:lastColumn="0" w:oddVBand="0" w:evenVBand="0" w:oddHBand="0" w:evenHBand="0" w:firstRowFirstColumn="0" w:firstRowLastColumn="0" w:lastRowFirstColumn="0" w:lastRowLastColumn="0"/>
            </w:pPr>
            <w:r>
              <w:t>Person requiring the prostheses can complete the order form online</w:t>
            </w:r>
            <w:r w:rsidRPr="00604EE7">
              <w:t xml:space="preserve"> </w:t>
            </w:r>
          </w:p>
        </w:tc>
      </w:tr>
      <w:tr w:rsidR="00BC6DD3" w:rsidRPr="00FA30FA" w14:paraId="4E31468A" w14:textId="77777777" w:rsidTr="00E779C0">
        <w:trPr>
          <w:trHeight w:val="576"/>
        </w:trPr>
        <w:tc>
          <w:tcPr>
            <w:cnfStyle w:val="001000000000" w:firstRow="0" w:lastRow="0" w:firstColumn="1" w:lastColumn="0" w:oddVBand="0" w:evenVBand="0" w:oddHBand="0" w:evenHBand="0" w:firstRowFirstColumn="0" w:firstRowLastColumn="0" w:lastRowFirstColumn="0" w:lastRowLastColumn="0"/>
            <w:tcW w:w="2268" w:type="dxa"/>
          </w:tcPr>
          <w:p w14:paraId="3D951833" w14:textId="77777777" w:rsidR="00652100" w:rsidRDefault="00652100" w:rsidP="00E779C0">
            <w:pPr>
              <w:pStyle w:val="Tabletextbold"/>
              <w:rPr>
                <w:szCs w:val="20"/>
              </w:rPr>
            </w:pPr>
            <w:r>
              <w:t xml:space="preserve">Settings in which prostheses may be accessed </w:t>
            </w:r>
          </w:p>
        </w:tc>
        <w:tc>
          <w:tcPr>
            <w:tcW w:w="7655" w:type="dxa"/>
          </w:tcPr>
          <w:p w14:paraId="1BCE2369" w14:textId="77777777" w:rsidR="00652100" w:rsidRPr="00B30F57" w:rsidRDefault="00652100" w:rsidP="00E779C0">
            <w:pPr>
              <w:pStyle w:val="TableBullet1"/>
              <w:cnfStyle w:val="000000000000" w:firstRow="0" w:lastRow="0" w:firstColumn="0" w:lastColumn="0" w:oddVBand="0" w:evenVBand="0" w:oddHBand="0" w:evenHBand="0" w:firstRowFirstColumn="0" w:firstRowLastColumn="0" w:lastRowFirstColumn="0" w:lastRowLastColumn="0"/>
              <w:rPr>
                <w:b/>
                <w:szCs w:val="20"/>
              </w:rPr>
            </w:pPr>
            <w:r w:rsidRPr="00B30F57">
              <w:t xml:space="preserve">The prosthesis can be sent either directly to the </w:t>
            </w:r>
            <w:r>
              <w:t>persons</w:t>
            </w:r>
            <w:r w:rsidRPr="00B30F57">
              <w:t xml:space="preserve"> home or picked up at a local Knitted Knockers Australia Branch</w:t>
            </w:r>
          </w:p>
        </w:tc>
      </w:tr>
      <w:tr w:rsidR="00BC6DD3" w:rsidRPr="00FA30FA" w14:paraId="0959AB16" w14:textId="77777777" w:rsidTr="00E779C0">
        <w:trPr>
          <w:trHeight w:val="576"/>
        </w:trPr>
        <w:tc>
          <w:tcPr>
            <w:cnfStyle w:val="001000000000" w:firstRow="0" w:lastRow="0" w:firstColumn="1" w:lastColumn="0" w:oddVBand="0" w:evenVBand="0" w:oddHBand="0" w:evenHBand="0" w:firstRowFirstColumn="0" w:firstRowLastColumn="0" w:lastRowFirstColumn="0" w:lastRowLastColumn="0"/>
            <w:tcW w:w="2268" w:type="dxa"/>
          </w:tcPr>
          <w:p w14:paraId="536BFC57" w14:textId="77777777" w:rsidR="00652100" w:rsidRDefault="00652100" w:rsidP="00E779C0">
            <w:pPr>
              <w:pStyle w:val="Tabletextbold"/>
              <w:rPr>
                <w:szCs w:val="20"/>
              </w:rPr>
            </w:pPr>
            <w:r>
              <w:t>Funded by</w:t>
            </w:r>
          </w:p>
        </w:tc>
        <w:tc>
          <w:tcPr>
            <w:tcW w:w="7655" w:type="dxa"/>
          </w:tcPr>
          <w:p w14:paraId="70BC7822" w14:textId="77777777" w:rsidR="00652100" w:rsidRPr="00F6337B" w:rsidRDefault="00652100" w:rsidP="00E779C0">
            <w:pPr>
              <w:pStyle w:val="TableBullet1"/>
              <w:cnfStyle w:val="000000000000" w:firstRow="0" w:lastRow="0" w:firstColumn="0" w:lastColumn="0" w:oddVBand="0" w:evenVBand="0" w:oddHBand="0" w:evenHBand="0" w:firstRowFirstColumn="0" w:firstRowLastColumn="0" w:lastRowFirstColumn="0" w:lastRowLastColumn="0"/>
            </w:pPr>
            <w:r>
              <w:t>Donations</w:t>
            </w:r>
          </w:p>
        </w:tc>
      </w:tr>
      <w:tr w:rsidR="00BC6DD3" w:rsidRPr="00FA30FA" w14:paraId="2FB0935B" w14:textId="77777777" w:rsidTr="00E779C0">
        <w:trPr>
          <w:trHeight w:val="576"/>
        </w:trPr>
        <w:tc>
          <w:tcPr>
            <w:cnfStyle w:val="001000000000" w:firstRow="0" w:lastRow="0" w:firstColumn="1" w:lastColumn="0" w:oddVBand="0" w:evenVBand="0" w:oddHBand="0" w:evenHBand="0" w:firstRowFirstColumn="0" w:firstRowLastColumn="0" w:lastRowFirstColumn="0" w:lastRowLastColumn="0"/>
            <w:tcW w:w="2268" w:type="dxa"/>
          </w:tcPr>
          <w:p w14:paraId="500532D9" w14:textId="77777777" w:rsidR="00652100" w:rsidRDefault="00652100" w:rsidP="00E779C0">
            <w:pPr>
              <w:pStyle w:val="Tabletextbold"/>
              <w:rPr>
                <w:szCs w:val="20"/>
              </w:rPr>
            </w:pPr>
            <w:r>
              <w:t>Role of Australian Government</w:t>
            </w:r>
          </w:p>
        </w:tc>
        <w:tc>
          <w:tcPr>
            <w:tcW w:w="7655" w:type="dxa"/>
          </w:tcPr>
          <w:p w14:paraId="727C9016" w14:textId="77777777" w:rsidR="00652100" w:rsidRDefault="00652100" w:rsidP="00E779C0">
            <w:pPr>
              <w:pStyle w:val="TableBullet1"/>
              <w:cnfStyle w:val="000000000000" w:firstRow="0" w:lastRow="0" w:firstColumn="0" w:lastColumn="0" w:oddVBand="0" w:evenVBand="0" w:oddHBand="0" w:evenHBand="0" w:firstRowFirstColumn="0" w:firstRowLastColumn="0" w:lastRowFirstColumn="0" w:lastRowLastColumn="0"/>
            </w:pPr>
            <w:r>
              <w:t>None</w:t>
            </w:r>
          </w:p>
        </w:tc>
      </w:tr>
      <w:tr w:rsidR="00BC6DD3" w:rsidRPr="00FA30FA" w14:paraId="3CF6CA8B" w14:textId="77777777" w:rsidTr="00E779C0">
        <w:trPr>
          <w:trHeight w:val="576"/>
        </w:trPr>
        <w:tc>
          <w:tcPr>
            <w:cnfStyle w:val="001000000000" w:firstRow="0" w:lastRow="0" w:firstColumn="1" w:lastColumn="0" w:oddVBand="0" w:evenVBand="0" w:oddHBand="0" w:evenHBand="0" w:firstRowFirstColumn="0" w:firstRowLastColumn="0" w:lastRowFirstColumn="0" w:lastRowLastColumn="0"/>
            <w:tcW w:w="2268" w:type="dxa"/>
          </w:tcPr>
          <w:p w14:paraId="2411CB2C" w14:textId="77777777" w:rsidR="00652100" w:rsidRDefault="00652100" w:rsidP="00E779C0">
            <w:pPr>
              <w:pStyle w:val="Tabletextbold"/>
              <w:rPr>
                <w:szCs w:val="20"/>
              </w:rPr>
            </w:pPr>
            <w:r>
              <w:t>Role of state/territory governments</w:t>
            </w:r>
          </w:p>
        </w:tc>
        <w:tc>
          <w:tcPr>
            <w:tcW w:w="7655" w:type="dxa"/>
          </w:tcPr>
          <w:p w14:paraId="59AC2AE7" w14:textId="77777777" w:rsidR="00652100" w:rsidRDefault="00652100" w:rsidP="00E779C0">
            <w:pPr>
              <w:pStyle w:val="TableBullet1"/>
              <w:cnfStyle w:val="000000000000" w:firstRow="0" w:lastRow="0" w:firstColumn="0" w:lastColumn="0" w:oddVBand="0" w:evenVBand="0" w:oddHBand="0" w:evenHBand="0" w:firstRowFirstColumn="0" w:firstRowLastColumn="0" w:lastRowFirstColumn="0" w:lastRowLastColumn="0"/>
            </w:pPr>
            <w:r>
              <w:t>None</w:t>
            </w:r>
          </w:p>
        </w:tc>
      </w:tr>
    </w:tbl>
    <w:p w14:paraId="23482A36" w14:textId="77777777" w:rsidR="00DD71E7" w:rsidRDefault="00652100" w:rsidP="00E779C0">
      <w:pPr>
        <w:pStyle w:val="Caption-Source"/>
        <w:rPr>
          <w:sz w:val="22"/>
          <w:szCs w:val="24"/>
        </w:rPr>
      </w:pPr>
      <w:r w:rsidRPr="00F6799D">
        <w:t xml:space="preserve">Source: Adapted from Knitted Knockers Australia (n.d.) </w:t>
      </w:r>
      <w:r>
        <w:rPr>
          <w:rFonts w:ascii="ZWAdobeF" w:hAnsi="ZWAdobeF" w:cs="ZWAdobeF"/>
          <w:color w:val="auto"/>
          <w:sz w:val="2"/>
          <w:szCs w:val="2"/>
        </w:rPr>
        <w:t>19F</w:t>
      </w:r>
      <w:r w:rsidRPr="00F6799D">
        <w:rPr>
          <w:rStyle w:val="FootnoteReference"/>
          <w:sz w:val="22"/>
          <w:szCs w:val="24"/>
        </w:rPr>
        <w:footnoteReference w:id="178"/>
      </w:r>
    </w:p>
    <w:p w14:paraId="62C4FC2D" w14:textId="13EDC26A" w:rsidR="008558CE" w:rsidRPr="00DD71E7" w:rsidRDefault="008558CE" w:rsidP="00DD71E7">
      <w:r w:rsidRPr="00DD71E7">
        <w:br w:type="page"/>
      </w:r>
    </w:p>
    <w:p w14:paraId="227B27A1" w14:textId="485D5934" w:rsidR="00652100" w:rsidRPr="004A6DB4" w:rsidRDefault="00652100" w:rsidP="008239ED">
      <w:pPr>
        <w:pStyle w:val="AppendixHeading2"/>
      </w:pPr>
      <w:bookmarkStart w:id="318" w:name="_Toc207348776"/>
      <w:r>
        <w:t>Department of Veterans’ Affairs</w:t>
      </w:r>
      <w:bookmarkEnd w:id="318"/>
    </w:p>
    <w:p w14:paraId="4C8EABD5" w14:textId="419A67B2" w:rsidR="00652100" w:rsidRDefault="00652100" w:rsidP="00652100">
      <w:pPr>
        <w:pStyle w:val="Caption"/>
      </w:pPr>
      <w:bookmarkStart w:id="319" w:name="_Ref198632938"/>
      <w:bookmarkStart w:id="320" w:name="_Toc207348682"/>
      <w:r>
        <w:t xml:space="preserve">Table </w:t>
      </w:r>
      <w:r w:rsidR="00E6799D">
        <w:fldChar w:fldCharType="begin"/>
      </w:r>
      <w:r w:rsidR="00E6799D">
        <w:instrText xml:space="preserve"> SEQ Table \* ARABIC </w:instrText>
      </w:r>
      <w:r w:rsidR="00E6799D">
        <w:fldChar w:fldCharType="separate"/>
      </w:r>
      <w:r w:rsidR="00E6799D">
        <w:rPr>
          <w:noProof/>
        </w:rPr>
        <w:t>117</w:t>
      </w:r>
      <w:r w:rsidR="00E6799D">
        <w:rPr>
          <w:noProof/>
        </w:rPr>
        <w:fldChar w:fldCharType="end"/>
      </w:r>
      <w:bookmarkEnd w:id="319"/>
      <w:r>
        <w:t xml:space="preserve">: DVA breast prostheses </w:t>
      </w:r>
      <w:r w:rsidRPr="00465CA6">
        <w:t>details</w:t>
      </w:r>
      <w:bookmarkEnd w:id="320"/>
    </w:p>
    <w:tbl>
      <w:tblPr>
        <w:tblStyle w:val="KPMGTable"/>
        <w:tblW w:w="9923" w:type="dxa"/>
        <w:tblLook w:val="04A0" w:firstRow="1" w:lastRow="0" w:firstColumn="1" w:lastColumn="0" w:noHBand="0" w:noVBand="1"/>
      </w:tblPr>
      <w:tblGrid>
        <w:gridCol w:w="2268"/>
        <w:gridCol w:w="7655"/>
      </w:tblGrid>
      <w:tr w:rsidR="00467133" w:rsidRPr="007B154A" w14:paraId="45DA5F49" w14:textId="77777777" w:rsidTr="00401927">
        <w:trPr>
          <w:cnfStyle w:val="100000000000" w:firstRow="1" w:lastRow="0" w:firstColumn="0" w:lastColumn="0" w:oddVBand="0" w:evenVBand="0" w:oddHBand="0" w:evenHBand="0" w:firstRowFirstColumn="0" w:firstRowLastColumn="0" w:lastRowFirstColumn="0" w:lastRowLastColumn="0"/>
          <w:trHeight w:val="316"/>
          <w:tblHeader/>
        </w:trPr>
        <w:tc>
          <w:tcPr>
            <w:cnfStyle w:val="001000000000" w:firstRow="0" w:lastRow="0" w:firstColumn="1" w:lastColumn="0" w:oddVBand="0" w:evenVBand="0" w:oddHBand="0" w:evenHBand="0" w:firstRowFirstColumn="0" w:firstRowLastColumn="0" w:lastRowFirstColumn="0" w:lastRowLastColumn="0"/>
            <w:tcW w:w="2268" w:type="dxa"/>
          </w:tcPr>
          <w:p w14:paraId="1862ED83" w14:textId="77777777" w:rsidR="00652100" w:rsidRPr="007B154A" w:rsidRDefault="00652100" w:rsidP="00E779C0">
            <w:pPr>
              <w:pStyle w:val="TableHeading"/>
              <w:rPr>
                <w:b w:val="0"/>
                <w:color w:val="FFFFFF" w:themeColor="background1"/>
                <w:szCs w:val="20"/>
              </w:rPr>
            </w:pPr>
            <w:r>
              <w:t>Category</w:t>
            </w:r>
          </w:p>
        </w:tc>
        <w:tc>
          <w:tcPr>
            <w:tcW w:w="7655" w:type="dxa"/>
          </w:tcPr>
          <w:p w14:paraId="263E79FB" w14:textId="77777777" w:rsidR="00652100" w:rsidRPr="007B154A" w:rsidRDefault="00652100" w:rsidP="00E779C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 xml:space="preserve">Description </w:t>
            </w:r>
          </w:p>
        </w:tc>
      </w:tr>
      <w:tr w:rsidR="00BC6DD3" w:rsidRPr="001B05CB" w14:paraId="360DE505" w14:textId="77777777" w:rsidTr="00E779C0">
        <w:trPr>
          <w:trHeight w:val="822"/>
        </w:trPr>
        <w:tc>
          <w:tcPr>
            <w:cnfStyle w:val="001000000000" w:firstRow="0" w:lastRow="0" w:firstColumn="1" w:lastColumn="0" w:oddVBand="0" w:evenVBand="0" w:oddHBand="0" w:evenHBand="0" w:firstRowFirstColumn="0" w:firstRowLastColumn="0" w:lastRowFirstColumn="0" w:lastRowLastColumn="0"/>
            <w:tcW w:w="2268" w:type="dxa"/>
          </w:tcPr>
          <w:p w14:paraId="658649D6" w14:textId="77777777" w:rsidR="00652100" w:rsidRPr="007B154A" w:rsidRDefault="00652100" w:rsidP="00E779C0">
            <w:pPr>
              <w:pStyle w:val="Tabletextbold"/>
              <w:rPr>
                <w:szCs w:val="20"/>
              </w:rPr>
            </w:pPr>
            <w:r>
              <w:t>Eligibility</w:t>
            </w:r>
            <w:r w:rsidRPr="007B154A">
              <w:rPr>
                <w:szCs w:val="20"/>
              </w:rPr>
              <w:t xml:space="preserve"> </w:t>
            </w:r>
            <w:r>
              <w:rPr>
                <w:szCs w:val="20"/>
              </w:rPr>
              <w:t>criteria</w:t>
            </w:r>
          </w:p>
        </w:tc>
        <w:tc>
          <w:tcPr>
            <w:tcW w:w="7655" w:type="dxa"/>
          </w:tcPr>
          <w:p w14:paraId="6BCB7A2B" w14:textId="77777777" w:rsidR="00652100" w:rsidRPr="005345D2" w:rsidRDefault="00652100" w:rsidP="00E779C0">
            <w:pPr>
              <w:pStyle w:val="TableBullet1"/>
              <w:cnfStyle w:val="000000000000" w:firstRow="0" w:lastRow="0" w:firstColumn="0" w:lastColumn="0" w:oddVBand="0" w:evenVBand="0" w:oddHBand="0" w:evenHBand="0" w:firstRowFirstColumn="0" w:firstRowLastColumn="0" w:lastRowFirstColumn="0" w:lastRowLastColumn="0"/>
            </w:pPr>
            <w:r w:rsidRPr="005345D2">
              <w:t>Holds either a Veteran Gold Card or Veteran White Card that covers cancer</w:t>
            </w:r>
          </w:p>
          <w:p w14:paraId="781AC53E" w14:textId="77777777" w:rsidR="00652100" w:rsidRPr="005345D2" w:rsidRDefault="00652100" w:rsidP="00E779C0">
            <w:pPr>
              <w:pStyle w:val="TableBullet1"/>
              <w:cnfStyle w:val="000000000000" w:firstRow="0" w:lastRow="0" w:firstColumn="0" w:lastColumn="0" w:oddVBand="0" w:evenVBand="0" w:oddHBand="0" w:evenHBand="0" w:firstRowFirstColumn="0" w:firstRowLastColumn="0" w:lastRowFirstColumn="0" w:lastRowLastColumn="0"/>
            </w:pPr>
            <w:r w:rsidRPr="005345D2">
              <w:t xml:space="preserve">Have a formal diagnosis of the relevant condition </w:t>
            </w:r>
          </w:p>
        </w:tc>
      </w:tr>
      <w:tr w:rsidR="00BC6DD3" w:rsidRPr="00FA30FA" w14:paraId="402517D7" w14:textId="77777777" w:rsidTr="00E779C0">
        <w:trPr>
          <w:trHeight w:val="1108"/>
        </w:trPr>
        <w:tc>
          <w:tcPr>
            <w:cnfStyle w:val="001000000000" w:firstRow="0" w:lastRow="0" w:firstColumn="1" w:lastColumn="0" w:oddVBand="0" w:evenVBand="0" w:oddHBand="0" w:evenHBand="0" w:firstRowFirstColumn="0" w:firstRowLastColumn="0" w:lastRowFirstColumn="0" w:lastRowLastColumn="0"/>
            <w:tcW w:w="2268" w:type="dxa"/>
          </w:tcPr>
          <w:p w14:paraId="4E17B048" w14:textId="77777777" w:rsidR="00652100" w:rsidRPr="007B154A" w:rsidRDefault="00652100" w:rsidP="00E779C0">
            <w:pPr>
              <w:pStyle w:val="Tabletextbold"/>
              <w:rPr>
                <w:szCs w:val="20"/>
              </w:rPr>
            </w:pPr>
            <w:r>
              <w:t>Products and services included</w:t>
            </w:r>
          </w:p>
        </w:tc>
        <w:tc>
          <w:tcPr>
            <w:tcW w:w="7655" w:type="dxa"/>
          </w:tcPr>
          <w:p w14:paraId="7DD28E39" w14:textId="77777777" w:rsidR="00652100" w:rsidRDefault="00652100" w:rsidP="00E779C0">
            <w:pPr>
              <w:pStyle w:val="TableBullet1"/>
              <w:cnfStyle w:val="000000000000" w:firstRow="0" w:lastRow="0" w:firstColumn="0" w:lastColumn="0" w:oddVBand="0" w:evenVBand="0" w:oddHBand="0" w:evenHBand="0" w:firstRowFirstColumn="0" w:firstRowLastColumn="0" w:lastRowFirstColumn="0" w:lastRowLastColumn="0"/>
              <w:rPr>
                <w:szCs w:val="18"/>
              </w:rPr>
            </w:pPr>
            <w:r>
              <w:rPr>
                <w:szCs w:val="18"/>
              </w:rPr>
              <w:t>External</w:t>
            </w:r>
            <w:r w:rsidRPr="00D365B7">
              <w:rPr>
                <w:szCs w:val="18"/>
              </w:rPr>
              <w:t xml:space="preserve"> breast prostheses </w:t>
            </w:r>
          </w:p>
          <w:p w14:paraId="11A71945" w14:textId="77777777" w:rsidR="00652100" w:rsidRDefault="00652100" w:rsidP="00E779C0">
            <w:pPr>
              <w:pStyle w:val="TableBullet1"/>
              <w:cnfStyle w:val="000000000000" w:firstRow="0" w:lastRow="0" w:firstColumn="0" w:lastColumn="0" w:oddVBand="0" w:evenVBand="0" w:oddHBand="0" w:evenHBand="0" w:firstRowFirstColumn="0" w:firstRowLastColumn="0" w:lastRowFirstColumn="0" w:lastRowLastColumn="0"/>
              <w:rPr>
                <w:szCs w:val="18"/>
              </w:rPr>
            </w:pPr>
            <w:r>
              <w:rPr>
                <w:szCs w:val="18"/>
              </w:rPr>
              <w:t>Mastectomy bras, compression garments, sports bras</w:t>
            </w:r>
          </w:p>
          <w:p w14:paraId="52812995" w14:textId="77777777" w:rsidR="00652100" w:rsidRPr="00A81F13" w:rsidRDefault="00652100" w:rsidP="00E779C0">
            <w:pPr>
              <w:pStyle w:val="TableBullet1"/>
              <w:cnfStyle w:val="000000000000" w:firstRow="0" w:lastRow="0" w:firstColumn="0" w:lastColumn="0" w:oddVBand="0" w:evenVBand="0" w:oddHBand="0" w:evenHBand="0" w:firstRowFirstColumn="0" w:firstRowLastColumn="0" w:lastRowFirstColumn="0" w:lastRowLastColumn="0"/>
              <w:rPr>
                <w:szCs w:val="18"/>
              </w:rPr>
            </w:pPr>
            <w:r>
              <w:rPr>
                <w:szCs w:val="18"/>
              </w:rPr>
              <w:t>Compression sleeves, gloves and gauntlets</w:t>
            </w:r>
          </w:p>
        </w:tc>
      </w:tr>
      <w:tr w:rsidR="00BC6DD3" w:rsidRPr="00FA30FA" w14:paraId="2680B7A0" w14:textId="77777777" w:rsidTr="00E779C0">
        <w:trPr>
          <w:trHeight w:val="576"/>
        </w:trPr>
        <w:tc>
          <w:tcPr>
            <w:cnfStyle w:val="001000000000" w:firstRow="0" w:lastRow="0" w:firstColumn="1" w:lastColumn="0" w:oddVBand="0" w:evenVBand="0" w:oddHBand="0" w:evenHBand="0" w:firstRowFirstColumn="0" w:firstRowLastColumn="0" w:lastRowFirstColumn="0" w:lastRowLastColumn="0"/>
            <w:tcW w:w="2268" w:type="dxa"/>
          </w:tcPr>
          <w:p w14:paraId="6A105D5B" w14:textId="77777777" w:rsidR="00652100" w:rsidRDefault="00652100" w:rsidP="00E779C0">
            <w:pPr>
              <w:pStyle w:val="Tabletextbold"/>
              <w:rPr>
                <w:szCs w:val="20"/>
              </w:rPr>
            </w:pPr>
            <w:r>
              <w:t>Cost coverage</w:t>
            </w:r>
          </w:p>
        </w:tc>
        <w:tc>
          <w:tcPr>
            <w:tcW w:w="7655" w:type="dxa"/>
          </w:tcPr>
          <w:p w14:paraId="10DA6C7D" w14:textId="77777777" w:rsidR="00652100" w:rsidRPr="009C1931" w:rsidRDefault="00652100" w:rsidP="00E779C0">
            <w:pPr>
              <w:pStyle w:val="TableBullet1"/>
              <w:cnfStyle w:val="000000000000" w:firstRow="0" w:lastRow="0" w:firstColumn="0" w:lastColumn="0" w:oddVBand="0" w:evenVBand="0" w:oddHBand="0" w:evenHBand="0" w:firstRowFirstColumn="0" w:firstRowLastColumn="0" w:lastRowFirstColumn="0" w:lastRowLastColumn="0"/>
            </w:pPr>
            <w:r w:rsidRPr="009C1931">
              <w:t xml:space="preserve">Covers the full cost with </w:t>
            </w:r>
            <w:proofErr w:type="gramStart"/>
            <w:r w:rsidRPr="009C1931">
              <w:t>no</w:t>
            </w:r>
            <w:proofErr w:type="gramEnd"/>
            <w:r w:rsidRPr="009C1931">
              <w:t xml:space="preserve"> out of pocket for the </w:t>
            </w:r>
            <w:r>
              <w:t>individual</w:t>
            </w:r>
          </w:p>
        </w:tc>
      </w:tr>
      <w:tr w:rsidR="00BC6DD3" w:rsidRPr="00FA30FA" w14:paraId="49F82C81" w14:textId="77777777" w:rsidTr="00E779C0">
        <w:trPr>
          <w:trHeight w:val="651"/>
        </w:trPr>
        <w:tc>
          <w:tcPr>
            <w:cnfStyle w:val="001000000000" w:firstRow="0" w:lastRow="0" w:firstColumn="1" w:lastColumn="0" w:oddVBand="0" w:evenVBand="0" w:oddHBand="0" w:evenHBand="0" w:firstRowFirstColumn="0" w:firstRowLastColumn="0" w:lastRowFirstColumn="0" w:lastRowLastColumn="0"/>
            <w:tcW w:w="2268" w:type="dxa"/>
          </w:tcPr>
          <w:p w14:paraId="33114227" w14:textId="77777777" w:rsidR="00652100" w:rsidRDefault="00652100" w:rsidP="00E779C0">
            <w:pPr>
              <w:pStyle w:val="Tabletextbold"/>
              <w:rPr>
                <w:szCs w:val="20"/>
              </w:rPr>
            </w:pPr>
            <w:r>
              <w:t>Repairs and warranty</w:t>
            </w:r>
          </w:p>
        </w:tc>
        <w:tc>
          <w:tcPr>
            <w:tcW w:w="7655" w:type="dxa"/>
          </w:tcPr>
          <w:p w14:paraId="3823A185" w14:textId="77777777" w:rsidR="00652100" w:rsidRPr="009C1931" w:rsidRDefault="00652100" w:rsidP="00E779C0">
            <w:pPr>
              <w:pStyle w:val="TableBullet1"/>
              <w:cnfStyle w:val="000000000000" w:firstRow="0" w:lastRow="0" w:firstColumn="0" w:lastColumn="0" w:oddVBand="0" w:evenVBand="0" w:oddHBand="0" w:evenHBand="0" w:firstRowFirstColumn="0" w:firstRowLastColumn="0" w:lastRowFirstColumn="0" w:lastRowLastColumn="0"/>
            </w:pPr>
            <w:r>
              <w:t>DVA accepts the financial responsibility for items not covered under the warranty period. Prior approval is not required unless it exceed $650.</w:t>
            </w:r>
          </w:p>
        </w:tc>
      </w:tr>
      <w:tr w:rsidR="00BC6DD3" w:rsidRPr="00FA30FA" w14:paraId="60F2C2AB" w14:textId="77777777" w:rsidTr="00E779C0">
        <w:trPr>
          <w:trHeight w:val="645"/>
        </w:trPr>
        <w:tc>
          <w:tcPr>
            <w:cnfStyle w:val="001000000000" w:firstRow="0" w:lastRow="0" w:firstColumn="1" w:lastColumn="0" w:oddVBand="0" w:evenVBand="0" w:oddHBand="0" w:evenHBand="0" w:firstRowFirstColumn="0" w:firstRowLastColumn="0" w:lastRowFirstColumn="0" w:lastRowLastColumn="0"/>
            <w:tcW w:w="2268" w:type="dxa"/>
          </w:tcPr>
          <w:p w14:paraId="50D02BC0" w14:textId="77777777" w:rsidR="00652100" w:rsidRDefault="00652100" w:rsidP="00E779C0">
            <w:pPr>
              <w:pStyle w:val="Tabletextbold"/>
              <w:rPr>
                <w:szCs w:val="20"/>
              </w:rPr>
            </w:pPr>
            <w:r>
              <w:t xml:space="preserve">Referral pathway </w:t>
            </w:r>
          </w:p>
        </w:tc>
        <w:tc>
          <w:tcPr>
            <w:tcW w:w="7655" w:type="dxa"/>
          </w:tcPr>
          <w:p w14:paraId="5D2B4B40" w14:textId="77777777" w:rsidR="00652100" w:rsidRPr="009C1931" w:rsidRDefault="00652100" w:rsidP="00E779C0">
            <w:pPr>
              <w:pStyle w:val="TableBullet1"/>
              <w:cnfStyle w:val="000000000000" w:firstRow="0" w:lastRow="0" w:firstColumn="0" w:lastColumn="0" w:oddVBand="0" w:evenVBand="0" w:oddHBand="0" w:evenHBand="0" w:firstRowFirstColumn="0" w:firstRowLastColumn="0" w:lastRowFirstColumn="0" w:lastRowLastColumn="0"/>
            </w:pPr>
            <w:r>
              <w:t xml:space="preserve">Requires prescription or recommendation from a General Practitioner (GP), medical specialist or registered nurse who submits an RAP form. </w:t>
            </w:r>
          </w:p>
        </w:tc>
      </w:tr>
      <w:tr w:rsidR="00BC6DD3" w:rsidRPr="00FA30FA" w14:paraId="3D5F5656" w14:textId="77777777" w:rsidTr="00E779C0">
        <w:trPr>
          <w:trHeight w:val="576"/>
        </w:trPr>
        <w:tc>
          <w:tcPr>
            <w:cnfStyle w:val="001000000000" w:firstRow="0" w:lastRow="0" w:firstColumn="1" w:lastColumn="0" w:oddVBand="0" w:evenVBand="0" w:oddHBand="0" w:evenHBand="0" w:firstRowFirstColumn="0" w:firstRowLastColumn="0" w:lastRowFirstColumn="0" w:lastRowLastColumn="0"/>
            <w:tcW w:w="2268" w:type="dxa"/>
          </w:tcPr>
          <w:p w14:paraId="5C2313F4" w14:textId="77777777" w:rsidR="00652100" w:rsidRDefault="00652100" w:rsidP="00E779C0">
            <w:pPr>
              <w:pStyle w:val="Tabletextbold"/>
              <w:rPr>
                <w:szCs w:val="20"/>
              </w:rPr>
            </w:pPr>
            <w:r>
              <w:t>Settings in which prostheses may be accessed</w:t>
            </w:r>
          </w:p>
        </w:tc>
        <w:tc>
          <w:tcPr>
            <w:tcW w:w="7655" w:type="dxa"/>
          </w:tcPr>
          <w:p w14:paraId="48C15ED1" w14:textId="77777777" w:rsidR="00652100" w:rsidRPr="00F6337B" w:rsidRDefault="00652100" w:rsidP="00E779C0">
            <w:pPr>
              <w:pStyle w:val="TableBullet1"/>
              <w:cnfStyle w:val="000000000000" w:firstRow="0" w:lastRow="0" w:firstColumn="0" w:lastColumn="0" w:oddVBand="0" w:evenVBand="0" w:oddHBand="0" w:evenHBand="0" w:firstRowFirstColumn="0" w:firstRowLastColumn="0" w:lastRowFirstColumn="0" w:lastRowLastColumn="0"/>
              <w:rPr>
                <w:b/>
                <w:szCs w:val="20"/>
              </w:rPr>
            </w:pPr>
            <w:r>
              <w:t xml:space="preserve">Breast prostheses do not have a contracted supplier and is therefore up to the discretion of the health care professional to choose a relevant supplier.  </w:t>
            </w:r>
          </w:p>
        </w:tc>
      </w:tr>
      <w:tr w:rsidR="00BC6DD3" w:rsidRPr="00FA30FA" w14:paraId="5EA610CC" w14:textId="77777777" w:rsidTr="00E779C0">
        <w:trPr>
          <w:trHeight w:val="606"/>
        </w:trPr>
        <w:tc>
          <w:tcPr>
            <w:cnfStyle w:val="001000000000" w:firstRow="0" w:lastRow="0" w:firstColumn="1" w:lastColumn="0" w:oddVBand="0" w:evenVBand="0" w:oddHBand="0" w:evenHBand="0" w:firstRowFirstColumn="0" w:firstRowLastColumn="0" w:lastRowFirstColumn="0" w:lastRowLastColumn="0"/>
            <w:tcW w:w="2268" w:type="dxa"/>
          </w:tcPr>
          <w:p w14:paraId="0D7FF5FD" w14:textId="77777777" w:rsidR="00652100" w:rsidRDefault="00652100" w:rsidP="00E779C0">
            <w:pPr>
              <w:pStyle w:val="Tabletextbold"/>
              <w:rPr>
                <w:szCs w:val="20"/>
              </w:rPr>
            </w:pPr>
            <w:r>
              <w:t>Clinicians involved</w:t>
            </w:r>
          </w:p>
        </w:tc>
        <w:tc>
          <w:tcPr>
            <w:tcW w:w="7655" w:type="dxa"/>
          </w:tcPr>
          <w:p w14:paraId="010CAF19" w14:textId="77777777" w:rsidR="00652100" w:rsidRDefault="00652100" w:rsidP="00E779C0">
            <w:pPr>
              <w:pStyle w:val="TableBullet1"/>
              <w:cnfStyle w:val="000000000000" w:firstRow="0" w:lastRow="0" w:firstColumn="0" w:lastColumn="0" w:oddVBand="0" w:evenVBand="0" w:oddHBand="0" w:evenHBand="0" w:firstRowFirstColumn="0" w:firstRowLastColumn="0" w:lastRowFirstColumn="0" w:lastRowLastColumn="0"/>
            </w:pPr>
            <w:r>
              <w:t xml:space="preserve">GP, medical specialist or registered </w:t>
            </w:r>
            <w:proofErr w:type="gramStart"/>
            <w:r>
              <w:t>nurse:</w:t>
            </w:r>
            <w:proofErr w:type="gramEnd"/>
            <w:r>
              <w:t xml:space="preserve"> provides a prescription and submits a RAP form to DVA</w:t>
            </w:r>
          </w:p>
        </w:tc>
      </w:tr>
      <w:tr w:rsidR="00BC6DD3" w:rsidRPr="00FA30FA" w14:paraId="1D0EDA06" w14:textId="77777777" w:rsidTr="00E779C0">
        <w:trPr>
          <w:trHeight w:val="576"/>
        </w:trPr>
        <w:tc>
          <w:tcPr>
            <w:cnfStyle w:val="001000000000" w:firstRow="0" w:lastRow="0" w:firstColumn="1" w:lastColumn="0" w:oddVBand="0" w:evenVBand="0" w:oddHBand="0" w:evenHBand="0" w:firstRowFirstColumn="0" w:firstRowLastColumn="0" w:lastRowFirstColumn="0" w:lastRowLastColumn="0"/>
            <w:tcW w:w="2268" w:type="dxa"/>
          </w:tcPr>
          <w:p w14:paraId="23DF3D3A" w14:textId="77777777" w:rsidR="00652100" w:rsidRDefault="00652100" w:rsidP="00E779C0">
            <w:pPr>
              <w:pStyle w:val="Tabletextbold"/>
              <w:rPr>
                <w:szCs w:val="20"/>
              </w:rPr>
            </w:pPr>
            <w:r>
              <w:t>Funded by</w:t>
            </w:r>
          </w:p>
        </w:tc>
        <w:tc>
          <w:tcPr>
            <w:tcW w:w="7655" w:type="dxa"/>
          </w:tcPr>
          <w:p w14:paraId="463C9437" w14:textId="77777777" w:rsidR="00652100" w:rsidRDefault="00652100" w:rsidP="00E779C0">
            <w:pPr>
              <w:pStyle w:val="TableBullet1"/>
              <w:cnfStyle w:val="000000000000" w:firstRow="0" w:lastRow="0" w:firstColumn="0" w:lastColumn="0" w:oddVBand="0" w:evenVBand="0" w:oddHBand="0" w:evenHBand="0" w:firstRowFirstColumn="0" w:firstRowLastColumn="0" w:lastRowFirstColumn="0" w:lastRowLastColumn="0"/>
            </w:pPr>
            <w:r>
              <w:t xml:space="preserve">Australian Government </w:t>
            </w:r>
          </w:p>
        </w:tc>
      </w:tr>
      <w:tr w:rsidR="00BC6DD3" w:rsidRPr="00FA30FA" w14:paraId="3A2211D6" w14:textId="77777777" w:rsidTr="00E779C0">
        <w:trPr>
          <w:trHeight w:val="576"/>
        </w:trPr>
        <w:tc>
          <w:tcPr>
            <w:cnfStyle w:val="001000000000" w:firstRow="0" w:lastRow="0" w:firstColumn="1" w:lastColumn="0" w:oddVBand="0" w:evenVBand="0" w:oddHBand="0" w:evenHBand="0" w:firstRowFirstColumn="0" w:firstRowLastColumn="0" w:lastRowFirstColumn="0" w:lastRowLastColumn="0"/>
            <w:tcW w:w="2268" w:type="dxa"/>
          </w:tcPr>
          <w:p w14:paraId="5DCEDC10" w14:textId="77777777" w:rsidR="00652100" w:rsidRDefault="00652100" w:rsidP="00E779C0">
            <w:pPr>
              <w:pStyle w:val="Tabletextbold"/>
              <w:rPr>
                <w:szCs w:val="20"/>
              </w:rPr>
            </w:pPr>
            <w:r>
              <w:t>Role of Australian government</w:t>
            </w:r>
          </w:p>
        </w:tc>
        <w:tc>
          <w:tcPr>
            <w:tcW w:w="7655" w:type="dxa"/>
          </w:tcPr>
          <w:p w14:paraId="63DD4161" w14:textId="77777777" w:rsidR="00652100" w:rsidRDefault="00652100" w:rsidP="00E779C0">
            <w:pPr>
              <w:pStyle w:val="TableBullet1"/>
              <w:cnfStyle w:val="000000000000" w:firstRow="0" w:lastRow="0" w:firstColumn="0" w:lastColumn="0" w:oddVBand="0" w:evenVBand="0" w:oddHBand="0" w:evenHBand="0" w:firstRowFirstColumn="0" w:firstRowLastColumn="0" w:lastRowFirstColumn="0" w:lastRowLastColumn="0"/>
            </w:pPr>
            <w:r>
              <w:t>Funds and administers the DVA RAP</w:t>
            </w:r>
          </w:p>
        </w:tc>
      </w:tr>
      <w:tr w:rsidR="00BC6DD3" w:rsidRPr="00FA30FA" w14:paraId="17091C0D" w14:textId="77777777" w:rsidTr="00E779C0">
        <w:trPr>
          <w:trHeight w:val="576"/>
        </w:trPr>
        <w:tc>
          <w:tcPr>
            <w:cnfStyle w:val="001000000000" w:firstRow="0" w:lastRow="0" w:firstColumn="1" w:lastColumn="0" w:oddVBand="0" w:evenVBand="0" w:oddHBand="0" w:evenHBand="0" w:firstRowFirstColumn="0" w:firstRowLastColumn="0" w:lastRowFirstColumn="0" w:lastRowLastColumn="0"/>
            <w:tcW w:w="2268" w:type="dxa"/>
          </w:tcPr>
          <w:p w14:paraId="48131249" w14:textId="77777777" w:rsidR="00652100" w:rsidRDefault="00652100" w:rsidP="00E779C0">
            <w:pPr>
              <w:pStyle w:val="Tabletextbold"/>
              <w:rPr>
                <w:szCs w:val="20"/>
              </w:rPr>
            </w:pPr>
            <w:r>
              <w:t>Role of state/territory governments</w:t>
            </w:r>
          </w:p>
        </w:tc>
        <w:tc>
          <w:tcPr>
            <w:tcW w:w="7655" w:type="dxa"/>
          </w:tcPr>
          <w:p w14:paraId="1EB168AB" w14:textId="77777777" w:rsidR="00652100" w:rsidRDefault="00652100" w:rsidP="00E779C0">
            <w:pPr>
              <w:pStyle w:val="TableBullet1"/>
              <w:cnfStyle w:val="000000000000" w:firstRow="0" w:lastRow="0" w:firstColumn="0" w:lastColumn="0" w:oddVBand="0" w:evenVBand="0" w:oddHBand="0" w:evenHBand="0" w:firstRowFirstColumn="0" w:firstRowLastColumn="0" w:lastRowFirstColumn="0" w:lastRowLastColumn="0"/>
            </w:pPr>
            <w:r>
              <w:t xml:space="preserve">None </w:t>
            </w:r>
          </w:p>
        </w:tc>
      </w:tr>
    </w:tbl>
    <w:p w14:paraId="5A7EEB77" w14:textId="77777777" w:rsidR="00DD71E7" w:rsidRDefault="00652100" w:rsidP="004F40E8">
      <w:pPr>
        <w:pStyle w:val="Caption-Source"/>
        <w:rPr>
          <w:rFonts w:ascii="ZWAdobeF" w:hAnsi="ZWAdobeF" w:cs="ZWAdobeF"/>
          <w:color w:val="auto"/>
          <w:sz w:val="2"/>
          <w:szCs w:val="2"/>
        </w:rPr>
      </w:pPr>
      <w:r w:rsidRPr="00F6799D">
        <w:t>Source: DVA (2021)</w:t>
      </w:r>
      <w:r>
        <w:rPr>
          <w:rFonts w:ascii="ZWAdobeF" w:hAnsi="ZWAdobeF" w:cs="ZWAdobeF"/>
          <w:color w:val="auto"/>
          <w:sz w:val="2"/>
          <w:szCs w:val="2"/>
        </w:rPr>
        <w:t>21F</w:t>
      </w:r>
      <w:r w:rsidRPr="00F6799D">
        <w:rPr>
          <w:rStyle w:val="FootnoteReference"/>
          <w:i/>
          <w:szCs w:val="20"/>
        </w:rPr>
        <w:footnoteReference w:id="179"/>
      </w:r>
    </w:p>
    <w:p w14:paraId="276DEC2D" w14:textId="22881AF5" w:rsidR="00EA52E6" w:rsidRPr="00DD71E7" w:rsidRDefault="00EA52E6" w:rsidP="00DD71E7">
      <w:r w:rsidRPr="00DD71E7">
        <w:br w:type="page"/>
      </w:r>
    </w:p>
    <w:p w14:paraId="297BE50F" w14:textId="009D608B" w:rsidR="00EA52E6" w:rsidRDefault="00EA52E6" w:rsidP="00EA52E6">
      <w:pPr>
        <w:pStyle w:val="Appendixheading"/>
        <w:spacing w:after="360"/>
      </w:pPr>
      <w:bookmarkStart w:id="321" w:name="_Ref203126956"/>
      <w:bookmarkStart w:id="322" w:name="_Toc207348777"/>
      <w:r>
        <w:t>: Limb prostheses services, programs and schemes</w:t>
      </w:r>
      <w:bookmarkEnd w:id="321"/>
      <w:bookmarkEnd w:id="322"/>
    </w:p>
    <w:p w14:paraId="110F3A8E" w14:textId="4CDA3678" w:rsidR="00EA52E6" w:rsidRPr="00DD71E7" w:rsidRDefault="00EA52E6" w:rsidP="00DD71E7">
      <w:r w:rsidRPr="00DD71E7">
        <w:t>This appendix includes details regarding limb prostheses services, programs and schemes available in Australia.</w:t>
      </w:r>
    </w:p>
    <w:p w14:paraId="104625B7" w14:textId="49A904D2" w:rsidR="00EA52E6" w:rsidRDefault="00EA52E6" w:rsidP="008239ED">
      <w:pPr>
        <w:pStyle w:val="AppendixHeading2"/>
      </w:pPr>
      <w:r>
        <w:t xml:space="preserve"> </w:t>
      </w:r>
      <w:bookmarkStart w:id="323" w:name="_Toc207348778"/>
      <w:r w:rsidR="00D40FED">
        <w:t>National Disability Insurance Scheme</w:t>
      </w:r>
      <w:bookmarkEnd w:id="323"/>
    </w:p>
    <w:p w14:paraId="501E1C15" w14:textId="60B9CDC1" w:rsidR="00D40FED" w:rsidRDefault="00D40FED" w:rsidP="00D40FED">
      <w:pPr>
        <w:pStyle w:val="Caption"/>
        <w:spacing w:before="240"/>
      </w:pPr>
      <w:bookmarkStart w:id="324" w:name="_Ref200565261"/>
      <w:bookmarkStart w:id="325" w:name="_Toc207348683"/>
      <w:r>
        <w:t xml:space="preserve">Table </w:t>
      </w:r>
      <w:r w:rsidR="00E6799D">
        <w:fldChar w:fldCharType="begin"/>
      </w:r>
      <w:r w:rsidR="00E6799D">
        <w:instrText xml:space="preserve"> SEQ Table \* ARABIC </w:instrText>
      </w:r>
      <w:r w:rsidR="00E6799D">
        <w:fldChar w:fldCharType="separate"/>
      </w:r>
      <w:r w:rsidR="00E6799D">
        <w:rPr>
          <w:noProof/>
        </w:rPr>
        <w:t>118</w:t>
      </w:r>
      <w:r w:rsidR="00E6799D">
        <w:rPr>
          <w:noProof/>
        </w:rPr>
        <w:fldChar w:fldCharType="end"/>
      </w:r>
      <w:bookmarkEnd w:id="324"/>
      <w:r>
        <w:t xml:space="preserve">: Commonly used prostheses listed on the </w:t>
      </w:r>
      <w:r w:rsidR="006E12C1">
        <w:t xml:space="preserve">NDIS </w:t>
      </w:r>
      <w:r>
        <w:t>Assistive Technology Guide</w:t>
      </w:r>
      <w:bookmarkEnd w:id="325"/>
    </w:p>
    <w:tbl>
      <w:tblPr>
        <w:tblStyle w:val="KPMGTable"/>
        <w:tblW w:w="10046" w:type="dxa"/>
        <w:tblLook w:val="04A0" w:firstRow="1" w:lastRow="0" w:firstColumn="1" w:lastColumn="0" w:noHBand="0" w:noVBand="1"/>
      </w:tblPr>
      <w:tblGrid>
        <w:gridCol w:w="3711"/>
        <w:gridCol w:w="6335"/>
      </w:tblGrid>
      <w:tr w:rsidR="00467133" w14:paraId="3D3D0BEF" w14:textId="77777777" w:rsidTr="0043318D">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711" w:type="dxa"/>
          </w:tcPr>
          <w:p w14:paraId="2E2824BA" w14:textId="77777777" w:rsidR="00D40FED" w:rsidRPr="00695FF6" w:rsidRDefault="00D40FED" w:rsidP="0043318D">
            <w:pPr>
              <w:pStyle w:val="TableHeading"/>
              <w:rPr>
                <w:b w:val="0"/>
                <w:color w:val="FFFFFF" w:themeColor="background1"/>
                <w:szCs w:val="18"/>
              </w:rPr>
            </w:pPr>
            <w:r w:rsidRPr="00695FF6">
              <w:t>Support Item</w:t>
            </w:r>
          </w:p>
        </w:tc>
        <w:tc>
          <w:tcPr>
            <w:tcW w:w="6335" w:type="dxa"/>
          </w:tcPr>
          <w:p w14:paraId="5515B7E7" w14:textId="77777777" w:rsidR="00D40FED" w:rsidRPr="00695FF6" w:rsidRDefault="00D40FED" w:rsidP="0043318D">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695FF6">
              <w:t xml:space="preserve">Description </w:t>
            </w:r>
          </w:p>
        </w:tc>
      </w:tr>
      <w:tr w:rsidR="00BC6DD3" w14:paraId="2814CD85" w14:textId="77777777" w:rsidTr="0043318D">
        <w:trPr>
          <w:trHeight w:val="626"/>
        </w:trPr>
        <w:tc>
          <w:tcPr>
            <w:cnfStyle w:val="001000000000" w:firstRow="0" w:lastRow="0" w:firstColumn="1" w:lastColumn="0" w:oddVBand="0" w:evenVBand="0" w:oddHBand="0" w:evenHBand="0" w:firstRowFirstColumn="0" w:firstRowLastColumn="0" w:lastRowFirstColumn="0" w:lastRowLastColumn="0"/>
            <w:tcW w:w="3711" w:type="dxa"/>
          </w:tcPr>
          <w:p w14:paraId="69FFA2B1" w14:textId="77777777" w:rsidR="00D40FED" w:rsidRPr="00695FF6" w:rsidRDefault="00D40FED" w:rsidP="0043318D">
            <w:pPr>
              <w:pStyle w:val="Tabletextbold"/>
              <w:rPr>
                <w:szCs w:val="18"/>
              </w:rPr>
            </w:pPr>
            <w:r w:rsidRPr="00695FF6">
              <w:t>Prosthesis - For use in Wet Environment (i.e. waterproofing)</w:t>
            </w:r>
          </w:p>
        </w:tc>
        <w:tc>
          <w:tcPr>
            <w:tcW w:w="6335" w:type="dxa"/>
          </w:tcPr>
          <w:p w14:paraId="0F115C76" w14:textId="77777777" w:rsidR="00D40FED" w:rsidRPr="00695FF6" w:rsidRDefault="00D40FED" w:rsidP="0043318D">
            <w:pPr>
              <w:pStyle w:val="TableText"/>
              <w:cnfStyle w:val="000000000000" w:firstRow="0" w:lastRow="0" w:firstColumn="0" w:lastColumn="0" w:oddVBand="0" w:evenVBand="0" w:oddHBand="0" w:evenHBand="0" w:firstRowFirstColumn="0" w:firstRowLastColumn="0" w:lastRowFirstColumn="0" w:lastRowLastColumn="0"/>
            </w:pPr>
            <w:r w:rsidRPr="00695FF6">
              <w:t>Prosthesis that incorporates specialised components or treatments to enable use in wet environments</w:t>
            </w:r>
          </w:p>
        </w:tc>
      </w:tr>
      <w:tr w:rsidR="00BC6DD3" w14:paraId="6E0A9116" w14:textId="77777777" w:rsidTr="0043318D">
        <w:trPr>
          <w:trHeight w:val="626"/>
        </w:trPr>
        <w:tc>
          <w:tcPr>
            <w:cnfStyle w:val="001000000000" w:firstRow="0" w:lastRow="0" w:firstColumn="1" w:lastColumn="0" w:oddVBand="0" w:evenVBand="0" w:oddHBand="0" w:evenHBand="0" w:firstRowFirstColumn="0" w:firstRowLastColumn="0" w:lastRowFirstColumn="0" w:lastRowLastColumn="0"/>
            <w:tcW w:w="3711" w:type="dxa"/>
          </w:tcPr>
          <w:p w14:paraId="411D3910" w14:textId="77777777" w:rsidR="00D40FED" w:rsidRPr="00695FF6" w:rsidRDefault="00D40FED" w:rsidP="0043318D">
            <w:pPr>
              <w:pStyle w:val="Tabletextbold"/>
              <w:rPr>
                <w:szCs w:val="18"/>
              </w:rPr>
            </w:pPr>
            <w:r w:rsidRPr="00695FF6">
              <w:t>Prosthesis - Osseo-Integration Mounting -Upper or Lower - Additional Cost</w:t>
            </w:r>
          </w:p>
        </w:tc>
        <w:tc>
          <w:tcPr>
            <w:tcW w:w="6335" w:type="dxa"/>
          </w:tcPr>
          <w:p w14:paraId="1922FB2C" w14:textId="77777777" w:rsidR="00D40FED" w:rsidRPr="00695FF6" w:rsidRDefault="00D40FED" w:rsidP="0043318D">
            <w:pPr>
              <w:pStyle w:val="TableText"/>
              <w:cnfStyle w:val="000000000000" w:firstRow="0" w:lastRow="0" w:firstColumn="0" w:lastColumn="0" w:oddVBand="0" w:evenVBand="0" w:oddHBand="0" w:evenHBand="0" w:firstRowFirstColumn="0" w:firstRowLastColumn="0" w:lastRowFirstColumn="0" w:lastRowLastColumn="0"/>
            </w:pPr>
            <w:r w:rsidRPr="00695FF6">
              <w:t>Extra cost to facilitate connection through titanium or similar bone implants to upper or lower residual limb, outside the standard prosthetic cost</w:t>
            </w:r>
          </w:p>
        </w:tc>
      </w:tr>
      <w:tr w:rsidR="00BC6DD3" w14:paraId="07566D25" w14:textId="77777777" w:rsidTr="0043318D">
        <w:trPr>
          <w:trHeight w:val="626"/>
        </w:trPr>
        <w:tc>
          <w:tcPr>
            <w:cnfStyle w:val="001000000000" w:firstRow="0" w:lastRow="0" w:firstColumn="1" w:lastColumn="0" w:oddVBand="0" w:evenVBand="0" w:oddHBand="0" w:evenHBand="0" w:firstRowFirstColumn="0" w:firstRowLastColumn="0" w:lastRowFirstColumn="0" w:lastRowLastColumn="0"/>
            <w:tcW w:w="3711" w:type="dxa"/>
          </w:tcPr>
          <w:p w14:paraId="266CEB7C" w14:textId="77777777" w:rsidR="00D40FED" w:rsidRPr="00695FF6" w:rsidRDefault="00D40FED" w:rsidP="0043318D">
            <w:pPr>
              <w:pStyle w:val="Tabletextbold"/>
              <w:rPr>
                <w:szCs w:val="18"/>
              </w:rPr>
            </w:pPr>
            <w:r w:rsidRPr="00695FF6">
              <w:t>Prosthesis - Transfemoral or Higher</w:t>
            </w:r>
          </w:p>
        </w:tc>
        <w:tc>
          <w:tcPr>
            <w:tcW w:w="6335" w:type="dxa"/>
          </w:tcPr>
          <w:p w14:paraId="3B92BC81" w14:textId="77777777" w:rsidR="00D40FED" w:rsidRPr="00695FF6" w:rsidRDefault="00D40FED" w:rsidP="0043318D">
            <w:pPr>
              <w:pStyle w:val="TableText"/>
              <w:cnfStyle w:val="000000000000" w:firstRow="0" w:lastRow="0" w:firstColumn="0" w:lastColumn="0" w:oddVBand="0" w:evenVBand="0" w:oddHBand="0" w:evenHBand="0" w:firstRowFirstColumn="0" w:firstRowLastColumn="0" w:lastRowFirstColumn="0" w:lastRowLastColumn="0"/>
            </w:pPr>
            <w:r w:rsidRPr="00695FF6">
              <w:t>Devices that replace part of the lower limb between the knee and hip joints after limb loss/absence</w:t>
            </w:r>
          </w:p>
        </w:tc>
      </w:tr>
      <w:tr w:rsidR="00BC6DD3" w14:paraId="48218C6A" w14:textId="77777777" w:rsidTr="0043318D">
        <w:trPr>
          <w:trHeight w:val="626"/>
        </w:trPr>
        <w:tc>
          <w:tcPr>
            <w:cnfStyle w:val="001000000000" w:firstRow="0" w:lastRow="0" w:firstColumn="1" w:lastColumn="0" w:oddVBand="0" w:evenVBand="0" w:oddHBand="0" w:evenHBand="0" w:firstRowFirstColumn="0" w:firstRowLastColumn="0" w:lastRowFirstColumn="0" w:lastRowLastColumn="0"/>
            <w:tcW w:w="3711" w:type="dxa"/>
          </w:tcPr>
          <w:p w14:paraId="19A5D479" w14:textId="77777777" w:rsidR="00D40FED" w:rsidRPr="00695FF6" w:rsidRDefault="00D40FED" w:rsidP="0043318D">
            <w:pPr>
              <w:pStyle w:val="Tabletextbold"/>
              <w:rPr>
                <w:szCs w:val="18"/>
              </w:rPr>
            </w:pPr>
            <w:r w:rsidRPr="00695FF6">
              <w:t>Prosthesis - Transtibial or Lower</w:t>
            </w:r>
          </w:p>
        </w:tc>
        <w:tc>
          <w:tcPr>
            <w:tcW w:w="6335" w:type="dxa"/>
          </w:tcPr>
          <w:p w14:paraId="09D4E9FF" w14:textId="77777777" w:rsidR="00D40FED" w:rsidRPr="00695FF6" w:rsidRDefault="00D40FED" w:rsidP="0043318D">
            <w:pPr>
              <w:pStyle w:val="TableText"/>
              <w:cnfStyle w:val="000000000000" w:firstRow="0" w:lastRow="0" w:firstColumn="0" w:lastColumn="0" w:oddVBand="0" w:evenVBand="0" w:oddHBand="0" w:evenHBand="0" w:firstRowFirstColumn="0" w:firstRowLastColumn="0" w:lastRowFirstColumn="0" w:lastRowLastColumn="0"/>
            </w:pPr>
            <w:r w:rsidRPr="00695FF6">
              <w:t>Devices that replace part of the lower limb between the knee and the ankle joint after limb loss/absence</w:t>
            </w:r>
          </w:p>
        </w:tc>
      </w:tr>
      <w:tr w:rsidR="00BC6DD3" w14:paraId="50CF67DE" w14:textId="77777777" w:rsidTr="0043318D">
        <w:trPr>
          <w:trHeight w:val="626"/>
        </w:trPr>
        <w:tc>
          <w:tcPr>
            <w:cnfStyle w:val="001000000000" w:firstRow="0" w:lastRow="0" w:firstColumn="1" w:lastColumn="0" w:oddVBand="0" w:evenVBand="0" w:oddHBand="0" w:evenHBand="0" w:firstRowFirstColumn="0" w:firstRowLastColumn="0" w:lastRowFirstColumn="0" w:lastRowLastColumn="0"/>
            <w:tcW w:w="3711" w:type="dxa"/>
          </w:tcPr>
          <w:p w14:paraId="4A14A1DD" w14:textId="77777777" w:rsidR="00D40FED" w:rsidRPr="00695FF6" w:rsidRDefault="00D40FED" w:rsidP="0043318D">
            <w:pPr>
              <w:pStyle w:val="Tabletextbold"/>
              <w:rPr>
                <w:szCs w:val="18"/>
              </w:rPr>
            </w:pPr>
            <w:r w:rsidRPr="00695FF6">
              <w:t>Prosthesis - Upper Limb - Including Powered</w:t>
            </w:r>
          </w:p>
        </w:tc>
        <w:tc>
          <w:tcPr>
            <w:tcW w:w="6335" w:type="dxa"/>
          </w:tcPr>
          <w:p w14:paraId="14926F95" w14:textId="77777777" w:rsidR="00D40FED" w:rsidRPr="00695FF6" w:rsidRDefault="00D40FED" w:rsidP="0043318D">
            <w:pPr>
              <w:pStyle w:val="TableText"/>
              <w:cnfStyle w:val="000000000000" w:firstRow="0" w:lastRow="0" w:firstColumn="0" w:lastColumn="0" w:oddVBand="0" w:evenVBand="0" w:oddHBand="0" w:evenHBand="0" w:firstRowFirstColumn="0" w:firstRowLastColumn="0" w:lastRowFirstColumn="0" w:lastRowLastColumn="0"/>
            </w:pPr>
            <w:r w:rsidRPr="00695FF6">
              <w:t xml:space="preserve">Devices that replace part or </w:t>
            </w:r>
            <w:proofErr w:type="gramStart"/>
            <w:r w:rsidRPr="00695FF6">
              <w:t>all of</w:t>
            </w:r>
            <w:proofErr w:type="gramEnd"/>
            <w:r w:rsidRPr="00695FF6">
              <w:t xml:space="preserve"> the upper limb (not including finger replacement only</w:t>
            </w:r>
          </w:p>
        </w:tc>
      </w:tr>
      <w:tr w:rsidR="00BC6DD3" w14:paraId="22878C85" w14:textId="77777777" w:rsidTr="0043318D">
        <w:trPr>
          <w:trHeight w:val="626"/>
        </w:trPr>
        <w:tc>
          <w:tcPr>
            <w:cnfStyle w:val="001000000000" w:firstRow="0" w:lastRow="0" w:firstColumn="1" w:lastColumn="0" w:oddVBand="0" w:evenVBand="0" w:oddHBand="0" w:evenHBand="0" w:firstRowFirstColumn="0" w:firstRowLastColumn="0" w:lastRowFirstColumn="0" w:lastRowLastColumn="0"/>
            <w:tcW w:w="3711" w:type="dxa"/>
          </w:tcPr>
          <w:p w14:paraId="3FD08717" w14:textId="77777777" w:rsidR="00D40FED" w:rsidRPr="00695FF6" w:rsidRDefault="00D40FED" w:rsidP="0043318D">
            <w:pPr>
              <w:pStyle w:val="Tabletextbold"/>
              <w:rPr>
                <w:szCs w:val="18"/>
              </w:rPr>
            </w:pPr>
            <w:r w:rsidRPr="00695FF6">
              <w:t>Prosthesis - Lower Limb for Sports</w:t>
            </w:r>
          </w:p>
        </w:tc>
        <w:tc>
          <w:tcPr>
            <w:tcW w:w="6335" w:type="dxa"/>
          </w:tcPr>
          <w:p w14:paraId="3DDB5639" w14:textId="77777777" w:rsidR="00D40FED" w:rsidRPr="00695FF6" w:rsidRDefault="00D40FED" w:rsidP="0043318D">
            <w:pPr>
              <w:pStyle w:val="TableText"/>
              <w:cnfStyle w:val="000000000000" w:firstRow="0" w:lastRow="0" w:firstColumn="0" w:lastColumn="0" w:oddVBand="0" w:evenVBand="0" w:oddHBand="0" w:evenHBand="0" w:firstRowFirstColumn="0" w:firstRowLastColumn="0" w:lastRowFirstColumn="0" w:lastRowLastColumn="0"/>
            </w:pPr>
            <w:r w:rsidRPr="00695FF6">
              <w:t>Lower limb prosthetics customised, or custom made for use in sport.</w:t>
            </w:r>
          </w:p>
        </w:tc>
      </w:tr>
      <w:tr w:rsidR="00BC6DD3" w14:paraId="3990ACB9" w14:textId="77777777" w:rsidTr="0043318D">
        <w:trPr>
          <w:trHeight w:val="626"/>
        </w:trPr>
        <w:tc>
          <w:tcPr>
            <w:cnfStyle w:val="001000000000" w:firstRow="0" w:lastRow="0" w:firstColumn="1" w:lastColumn="0" w:oddVBand="0" w:evenVBand="0" w:oddHBand="0" w:evenHBand="0" w:firstRowFirstColumn="0" w:firstRowLastColumn="0" w:lastRowFirstColumn="0" w:lastRowLastColumn="0"/>
            <w:tcW w:w="3711" w:type="dxa"/>
          </w:tcPr>
          <w:p w14:paraId="45268C8E" w14:textId="77777777" w:rsidR="00D40FED" w:rsidRPr="00695FF6" w:rsidRDefault="00D40FED" w:rsidP="0043318D">
            <w:pPr>
              <w:pStyle w:val="Tabletextbold"/>
              <w:rPr>
                <w:szCs w:val="18"/>
              </w:rPr>
            </w:pPr>
            <w:r w:rsidRPr="00695FF6">
              <w:t xml:space="preserve">Arm and/or Hand for Sport and leisure </w:t>
            </w:r>
          </w:p>
        </w:tc>
        <w:tc>
          <w:tcPr>
            <w:tcW w:w="6335" w:type="dxa"/>
          </w:tcPr>
          <w:p w14:paraId="72EAECF0" w14:textId="77777777" w:rsidR="00D40FED" w:rsidRPr="00695FF6" w:rsidRDefault="00D40FED" w:rsidP="0043318D">
            <w:pPr>
              <w:pStyle w:val="TableText"/>
              <w:cnfStyle w:val="000000000000" w:firstRow="0" w:lastRow="0" w:firstColumn="0" w:lastColumn="0" w:oddVBand="0" w:evenVBand="0" w:oddHBand="0" w:evenHBand="0" w:firstRowFirstColumn="0" w:firstRowLastColumn="0" w:lastRowFirstColumn="0" w:lastRowLastColumn="0"/>
            </w:pPr>
            <w:r w:rsidRPr="00695FF6">
              <w:t>A hardware device or adaptions for arm and/or hand prosthetics, to enable participation in sport.</w:t>
            </w:r>
          </w:p>
        </w:tc>
      </w:tr>
    </w:tbl>
    <w:p w14:paraId="7E3F00A8" w14:textId="77777777" w:rsidR="00D40FED" w:rsidRPr="00C42ABF" w:rsidRDefault="00D40FED" w:rsidP="0043318D">
      <w:pPr>
        <w:pStyle w:val="Caption-Source"/>
        <w:rPr>
          <w:i/>
          <w:szCs w:val="20"/>
        </w:rPr>
      </w:pPr>
      <w:r w:rsidRPr="00C42ABF">
        <w:t>Source: NDIS (2024)</w:t>
      </w:r>
      <w:r>
        <w:rPr>
          <w:rFonts w:ascii="ZWAdobeF" w:hAnsi="ZWAdobeF" w:cs="ZWAdobeF"/>
          <w:color w:val="auto"/>
          <w:sz w:val="2"/>
          <w:szCs w:val="2"/>
        </w:rPr>
        <w:t>39F</w:t>
      </w:r>
      <w:r w:rsidRPr="00C42ABF">
        <w:rPr>
          <w:rStyle w:val="FootnoteReference"/>
          <w:i/>
          <w:szCs w:val="20"/>
        </w:rPr>
        <w:footnoteReference w:id="180"/>
      </w:r>
    </w:p>
    <w:p w14:paraId="39C2D712" w14:textId="57FE93FD" w:rsidR="00900F82" w:rsidRDefault="00900F82" w:rsidP="00900F82">
      <w:pPr>
        <w:pStyle w:val="Caption"/>
      </w:pPr>
      <w:bookmarkStart w:id="326" w:name="_Ref200565423"/>
      <w:bookmarkStart w:id="327" w:name="_Toc207348684"/>
      <w:r>
        <w:t xml:space="preserve">Table </w:t>
      </w:r>
      <w:r w:rsidR="00E6799D">
        <w:fldChar w:fldCharType="begin"/>
      </w:r>
      <w:r w:rsidR="00E6799D">
        <w:instrText xml:space="preserve"> SEQ Table \* ARABIC </w:instrText>
      </w:r>
      <w:r w:rsidR="00E6799D">
        <w:fldChar w:fldCharType="separate"/>
      </w:r>
      <w:r w:rsidR="00E6799D">
        <w:rPr>
          <w:noProof/>
        </w:rPr>
        <w:t>119</w:t>
      </w:r>
      <w:r w:rsidR="00E6799D">
        <w:rPr>
          <w:noProof/>
        </w:rPr>
        <w:fldChar w:fldCharType="end"/>
      </w:r>
      <w:bookmarkEnd w:id="326"/>
      <w:r>
        <w:t>: NDIS details</w:t>
      </w:r>
      <w:bookmarkEnd w:id="327"/>
    </w:p>
    <w:tbl>
      <w:tblPr>
        <w:tblStyle w:val="KPMGTable"/>
        <w:tblW w:w="9977" w:type="dxa"/>
        <w:tblLook w:val="04A0" w:firstRow="1" w:lastRow="0" w:firstColumn="1" w:lastColumn="0" w:noHBand="0" w:noVBand="1"/>
      </w:tblPr>
      <w:tblGrid>
        <w:gridCol w:w="2280"/>
        <w:gridCol w:w="7697"/>
      </w:tblGrid>
      <w:tr w:rsidR="00467133" w:rsidRPr="007B154A" w14:paraId="1D272FC7" w14:textId="77777777" w:rsidTr="00401927">
        <w:trPr>
          <w:cnfStyle w:val="100000000000" w:firstRow="1" w:lastRow="0" w:firstColumn="0" w:lastColumn="0" w:oddVBand="0" w:evenVBand="0" w:oddHBand="0" w:evenHBand="0" w:firstRowFirstColumn="0" w:firstRowLastColumn="0" w:lastRowFirstColumn="0" w:lastRowLastColumn="0"/>
          <w:trHeight w:val="368"/>
          <w:tblHeader/>
        </w:trPr>
        <w:tc>
          <w:tcPr>
            <w:cnfStyle w:val="001000000000" w:firstRow="0" w:lastRow="0" w:firstColumn="1" w:lastColumn="0" w:oddVBand="0" w:evenVBand="0" w:oddHBand="0" w:evenHBand="0" w:firstRowFirstColumn="0" w:firstRowLastColumn="0" w:lastRowFirstColumn="0" w:lastRowLastColumn="0"/>
            <w:tcW w:w="2280" w:type="dxa"/>
          </w:tcPr>
          <w:p w14:paraId="02C1AF1A" w14:textId="77777777" w:rsidR="00900F82" w:rsidRPr="00C10C27" w:rsidRDefault="00900F82" w:rsidP="00061402">
            <w:pPr>
              <w:pStyle w:val="TableHeading"/>
              <w:rPr>
                <w:b w:val="0"/>
                <w:color w:val="FFFFFF" w:themeColor="background1"/>
                <w:szCs w:val="18"/>
              </w:rPr>
            </w:pPr>
            <w:r w:rsidRPr="00C10C27">
              <w:t>Category</w:t>
            </w:r>
          </w:p>
        </w:tc>
        <w:tc>
          <w:tcPr>
            <w:tcW w:w="7697" w:type="dxa"/>
          </w:tcPr>
          <w:p w14:paraId="5B671897" w14:textId="77777777" w:rsidR="00900F82" w:rsidRPr="00C10C27" w:rsidRDefault="00900F82" w:rsidP="0006140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C10C27">
              <w:t xml:space="preserve">Description </w:t>
            </w:r>
          </w:p>
        </w:tc>
      </w:tr>
      <w:tr w:rsidR="00BC6DD3" w:rsidRPr="001B05CB" w14:paraId="1ECA91E2" w14:textId="77777777" w:rsidTr="0043318D">
        <w:trPr>
          <w:trHeight w:val="522"/>
        </w:trPr>
        <w:tc>
          <w:tcPr>
            <w:cnfStyle w:val="001000000000" w:firstRow="0" w:lastRow="0" w:firstColumn="1" w:lastColumn="0" w:oddVBand="0" w:evenVBand="0" w:oddHBand="0" w:evenHBand="0" w:firstRowFirstColumn="0" w:firstRowLastColumn="0" w:lastRowFirstColumn="0" w:lastRowLastColumn="0"/>
            <w:tcW w:w="2280" w:type="dxa"/>
          </w:tcPr>
          <w:p w14:paraId="0360A463" w14:textId="77777777" w:rsidR="00900F82" w:rsidRPr="00C10C27" w:rsidRDefault="00900F82" w:rsidP="00061402">
            <w:pPr>
              <w:pStyle w:val="Tabletextbold"/>
              <w:rPr>
                <w:szCs w:val="18"/>
              </w:rPr>
            </w:pPr>
            <w:r w:rsidRPr="00C10C27">
              <w:t>Eligibility criteria</w:t>
            </w:r>
          </w:p>
        </w:tc>
        <w:tc>
          <w:tcPr>
            <w:tcW w:w="7697" w:type="dxa"/>
          </w:tcPr>
          <w:p w14:paraId="2D8F1B32" w14:textId="77777777" w:rsidR="00900F82" w:rsidRPr="00461C2C" w:rsidRDefault="00900F82" w:rsidP="00061402">
            <w:pPr>
              <w:pStyle w:val="TableBullet1"/>
              <w:cnfStyle w:val="000000000000" w:firstRow="0" w:lastRow="0" w:firstColumn="0" w:lastColumn="0" w:oddVBand="0" w:evenVBand="0" w:oddHBand="0" w:evenHBand="0" w:firstRowFirstColumn="0" w:firstRowLastColumn="0" w:lastRowFirstColumn="0" w:lastRowLastColumn="0"/>
            </w:pPr>
            <w:r w:rsidRPr="00461C2C">
              <w:t xml:space="preserve">Be under 65 years old </w:t>
            </w:r>
          </w:p>
          <w:p w14:paraId="66130D9A" w14:textId="77777777" w:rsidR="00900F82" w:rsidRPr="00461C2C" w:rsidRDefault="00900F82" w:rsidP="00061402">
            <w:pPr>
              <w:pStyle w:val="TableBullet1"/>
              <w:cnfStyle w:val="000000000000" w:firstRow="0" w:lastRow="0" w:firstColumn="0" w:lastColumn="0" w:oddVBand="0" w:evenVBand="0" w:oddHBand="0" w:evenHBand="0" w:firstRowFirstColumn="0" w:firstRowLastColumn="0" w:lastRowFirstColumn="0" w:lastRowLastColumn="0"/>
            </w:pPr>
            <w:r w:rsidRPr="00461C2C">
              <w:t>Be an Australian citizen, permanent resident, or Protected Special Category Visa holder</w:t>
            </w:r>
          </w:p>
          <w:p w14:paraId="03FDAEE1" w14:textId="77777777" w:rsidR="00900F82" w:rsidRPr="00461C2C" w:rsidRDefault="00900F82" w:rsidP="00061402">
            <w:pPr>
              <w:pStyle w:val="TableBullet1"/>
              <w:cnfStyle w:val="000000000000" w:firstRow="0" w:lastRow="0" w:firstColumn="0" w:lastColumn="0" w:oddVBand="0" w:evenVBand="0" w:oddHBand="0" w:evenHBand="0" w:firstRowFirstColumn="0" w:firstRowLastColumn="0" w:lastRowFirstColumn="0" w:lastRowLastColumn="0"/>
            </w:pPr>
            <w:r w:rsidRPr="00461C2C">
              <w:t>Live in Australia</w:t>
            </w:r>
          </w:p>
          <w:p w14:paraId="362AB0BA" w14:textId="77777777" w:rsidR="00900F82" w:rsidRPr="00461C2C" w:rsidRDefault="00900F82" w:rsidP="00061402">
            <w:pPr>
              <w:pStyle w:val="TableBullet1"/>
              <w:cnfStyle w:val="000000000000" w:firstRow="0" w:lastRow="0" w:firstColumn="0" w:lastColumn="0" w:oddVBand="0" w:evenVBand="0" w:oddHBand="0" w:evenHBand="0" w:firstRowFirstColumn="0" w:firstRowLastColumn="0" w:lastRowFirstColumn="0" w:lastRowLastColumn="0"/>
            </w:pPr>
            <w:r w:rsidRPr="00461C2C">
              <w:t>Have a disability caused by a permanent impairment that substantially reduces functional capacity to undertake one or more of the following activities: moving around, communicating, socialising, learning, or undertaking self-care or self-management tasks.</w:t>
            </w:r>
          </w:p>
        </w:tc>
      </w:tr>
      <w:tr w:rsidR="00BC6DD3" w:rsidRPr="00FA30FA" w14:paraId="0F5C3301" w14:textId="77777777" w:rsidTr="0043318D">
        <w:trPr>
          <w:trHeight w:val="520"/>
        </w:trPr>
        <w:tc>
          <w:tcPr>
            <w:cnfStyle w:val="001000000000" w:firstRow="0" w:lastRow="0" w:firstColumn="1" w:lastColumn="0" w:oddVBand="0" w:evenVBand="0" w:oddHBand="0" w:evenHBand="0" w:firstRowFirstColumn="0" w:firstRowLastColumn="0" w:lastRowFirstColumn="0" w:lastRowLastColumn="0"/>
            <w:tcW w:w="2280" w:type="dxa"/>
          </w:tcPr>
          <w:p w14:paraId="5C4B5B6C" w14:textId="77777777" w:rsidR="00900F82" w:rsidRPr="00C10C27" w:rsidRDefault="00900F82" w:rsidP="00061402">
            <w:pPr>
              <w:pStyle w:val="Tabletextbold"/>
              <w:rPr>
                <w:szCs w:val="18"/>
              </w:rPr>
            </w:pPr>
            <w:r w:rsidRPr="00C10C27">
              <w:t>Products and services included</w:t>
            </w:r>
          </w:p>
        </w:tc>
        <w:tc>
          <w:tcPr>
            <w:tcW w:w="7697" w:type="dxa"/>
          </w:tcPr>
          <w:p w14:paraId="51FF33A5" w14:textId="77777777" w:rsidR="00900F82" w:rsidRDefault="00900F82" w:rsidP="00061402">
            <w:pPr>
              <w:pStyle w:val="TableBullet1"/>
              <w:cnfStyle w:val="000000000000" w:firstRow="0" w:lastRow="0" w:firstColumn="0" w:lastColumn="0" w:oddVBand="0" w:evenVBand="0" w:oddHBand="0" w:evenHBand="0" w:firstRowFirstColumn="0" w:firstRowLastColumn="0" w:lastRowFirstColumn="0" w:lastRowLastColumn="0"/>
            </w:pPr>
            <w:r>
              <w:t>Entry level or standard prostheses (up to K2 classification)</w:t>
            </w:r>
          </w:p>
          <w:p w14:paraId="466D32FB" w14:textId="77777777" w:rsidR="00900F82" w:rsidRDefault="00900F82" w:rsidP="00061402">
            <w:pPr>
              <w:pStyle w:val="TableBullet1"/>
              <w:cnfStyle w:val="000000000000" w:firstRow="0" w:lastRow="0" w:firstColumn="0" w:lastColumn="0" w:oddVBand="0" w:evenVBand="0" w:oddHBand="0" w:evenHBand="0" w:firstRowFirstColumn="0" w:firstRowLastColumn="0" w:lastRowFirstColumn="0" w:lastRowLastColumn="0"/>
            </w:pPr>
            <w:r>
              <w:t>Higher grad prostheses (microprocessor joints and computerised components)</w:t>
            </w:r>
          </w:p>
          <w:p w14:paraId="6649B28E" w14:textId="77777777" w:rsidR="00900F82" w:rsidRDefault="00900F82" w:rsidP="00061402">
            <w:pPr>
              <w:pStyle w:val="TableBullet1"/>
              <w:cnfStyle w:val="000000000000" w:firstRow="0" w:lastRow="0" w:firstColumn="0" w:lastColumn="0" w:oddVBand="0" w:evenVBand="0" w:oddHBand="0" w:evenHBand="0" w:firstRowFirstColumn="0" w:firstRowLastColumn="0" w:lastRowFirstColumn="0" w:lastRowLastColumn="0"/>
            </w:pPr>
            <w:r>
              <w:t xml:space="preserve">Myoelectric prostheses for upper limb amputees </w:t>
            </w:r>
          </w:p>
          <w:p w14:paraId="3453D697" w14:textId="77777777" w:rsidR="00900F82" w:rsidRPr="00285654" w:rsidRDefault="00900F82" w:rsidP="00061402">
            <w:pPr>
              <w:pStyle w:val="TableBullet1"/>
              <w:cnfStyle w:val="000000000000" w:firstRow="0" w:lastRow="0" w:firstColumn="0" w:lastColumn="0" w:oddVBand="0" w:evenVBand="0" w:oddHBand="0" w:evenHBand="0" w:firstRowFirstColumn="0" w:firstRowLastColumn="0" w:lastRowFirstColumn="0" w:lastRowLastColumn="0"/>
            </w:pPr>
            <w:r>
              <w:t xml:space="preserve">Componentry such as limb socks and sheaths </w:t>
            </w:r>
          </w:p>
        </w:tc>
      </w:tr>
      <w:tr w:rsidR="00BC6DD3" w:rsidRPr="00FA30FA" w14:paraId="475397AB" w14:textId="77777777" w:rsidTr="0043318D">
        <w:trPr>
          <w:trHeight w:val="520"/>
        </w:trPr>
        <w:tc>
          <w:tcPr>
            <w:cnfStyle w:val="001000000000" w:firstRow="0" w:lastRow="0" w:firstColumn="1" w:lastColumn="0" w:oddVBand="0" w:evenVBand="0" w:oddHBand="0" w:evenHBand="0" w:firstRowFirstColumn="0" w:firstRowLastColumn="0" w:lastRowFirstColumn="0" w:lastRowLastColumn="0"/>
            <w:tcW w:w="2280" w:type="dxa"/>
          </w:tcPr>
          <w:p w14:paraId="5F1D602A" w14:textId="77777777" w:rsidR="00900F82" w:rsidRPr="00C10C27" w:rsidRDefault="00900F82" w:rsidP="00061402">
            <w:pPr>
              <w:pStyle w:val="Tabletextbold"/>
              <w:rPr>
                <w:szCs w:val="18"/>
              </w:rPr>
            </w:pPr>
            <w:r w:rsidRPr="00C10C27">
              <w:t>Cost coverage</w:t>
            </w:r>
          </w:p>
        </w:tc>
        <w:tc>
          <w:tcPr>
            <w:tcW w:w="7697" w:type="dxa"/>
          </w:tcPr>
          <w:p w14:paraId="04FF0AF2" w14:textId="77777777" w:rsidR="00900F82" w:rsidRPr="00C10C27" w:rsidRDefault="00900F82" w:rsidP="00061402">
            <w:pPr>
              <w:pStyle w:val="TableBullet1"/>
              <w:cnfStyle w:val="000000000000" w:firstRow="0" w:lastRow="0" w:firstColumn="0" w:lastColumn="0" w:oddVBand="0" w:evenVBand="0" w:oddHBand="0" w:evenHBand="0" w:firstRowFirstColumn="0" w:firstRowLastColumn="0" w:lastRowFirstColumn="0" w:lastRowLastColumn="0"/>
            </w:pPr>
            <w:r>
              <w:rPr>
                <w:szCs w:val="20"/>
              </w:rPr>
              <w:t>T</w:t>
            </w:r>
            <w:r w:rsidRPr="009C1931">
              <w:rPr>
                <w:bCs/>
                <w:szCs w:val="20"/>
              </w:rPr>
              <w:t xml:space="preserve">he full cost </w:t>
            </w:r>
            <w:r>
              <w:rPr>
                <w:bCs/>
                <w:szCs w:val="20"/>
              </w:rPr>
              <w:t xml:space="preserve">of the prosthesis and componentry, </w:t>
            </w:r>
            <w:r w:rsidRPr="009C1931">
              <w:rPr>
                <w:bCs/>
                <w:szCs w:val="20"/>
              </w:rPr>
              <w:t xml:space="preserve">with </w:t>
            </w:r>
            <w:proofErr w:type="gramStart"/>
            <w:r w:rsidRPr="009C1931">
              <w:rPr>
                <w:bCs/>
                <w:szCs w:val="20"/>
              </w:rPr>
              <w:t>no</w:t>
            </w:r>
            <w:proofErr w:type="gramEnd"/>
            <w:r w:rsidRPr="009C1931">
              <w:rPr>
                <w:bCs/>
                <w:szCs w:val="20"/>
              </w:rPr>
              <w:t xml:space="preserve"> out of pocket for the </w:t>
            </w:r>
            <w:r>
              <w:rPr>
                <w:bCs/>
                <w:szCs w:val="20"/>
              </w:rPr>
              <w:t>person</w:t>
            </w:r>
          </w:p>
        </w:tc>
      </w:tr>
      <w:tr w:rsidR="00BC6DD3" w:rsidRPr="00FA30FA" w14:paraId="245E2B98" w14:textId="77777777" w:rsidTr="0043318D">
        <w:trPr>
          <w:trHeight w:val="520"/>
        </w:trPr>
        <w:tc>
          <w:tcPr>
            <w:cnfStyle w:val="001000000000" w:firstRow="0" w:lastRow="0" w:firstColumn="1" w:lastColumn="0" w:oddVBand="0" w:evenVBand="0" w:oddHBand="0" w:evenHBand="0" w:firstRowFirstColumn="0" w:firstRowLastColumn="0" w:lastRowFirstColumn="0" w:lastRowLastColumn="0"/>
            <w:tcW w:w="2280" w:type="dxa"/>
          </w:tcPr>
          <w:p w14:paraId="6CEE45F9" w14:textId="77777777" w:rsidR="00900F82" w:rsidRPr="00C10C27" w:rsidRDefault="00900F82" w:rsidP="00061402">
            <w:pPr>
              <w:pStyle w:val="Tabletextbold"/>
              <w:rPr>
                <w:szCs w:val="18"/>
              </w:rPr>
            </w:pPr>
            <w:r w:rsidRPr="00C10C27">
              <w:t>Repairs and warranty</w:t>
            </w:r>
          </w:p>
        </w:tc>
        <w:tc>
          <w:tcPr>
            <w:tcW w:w="7697" w:type="dxa"/>
          </w:tcPr>
          <w:p w14:paraId="0BFF4CE8" w14:textId="77777777" w:rsidR="00900F82" w:rsidRPr="00E703A3" w:rsidRDefault="00900F82" w:rsidP="00061402">
            <w:pPr>
              <w:pStyle w:val="TableBullet1"/>
              <w:cnfStyle w:val="000000000000" w:firstRow="0" w:lastRow="0" w:firstColumn="0" w:lastColumn="0" w:oddVBand="0" w:evenVBand="0" w:oddHBand="0" w:evenHBand="0" w:firstRowFirstColumn="0" w:firstRowLastColumn="0" w:lastRowFirstColumn="0" w:lastRowLastColumn="0"/>
            </w:pPr>
            <w:r>
              <w:t>The NDIS will fund r</w:t>
            </w:r>
            <w:r w:rsidRPr="00E703A3">
              <w:t>epairs, maintenance, minor and major adjustments to prosthetic limbs (or prosthetic limbs funded by other systems prior to the participant joining the NDIS</w:t>
            </w:r>
            <w:r>
              <w:t>)</w:t>
            </w:r>
          </w:p>
          <w:p w14:paraId="5C36260A" w14:textId="77777777" w:rsidR="00900F82" w:rsidRPr="00C10C27" w:rsidRDefault="00900F82" w:rsidP="00061402">
            <w:pPr>
              <w:pStyle w:val="TableBullet1"/>
              <w:cnfStyle w:val="000000000000" w:firstRow="0" w:lastRow="0" w:firstColumn="0" w:lastColumn="0" w:oddVBand="0" w:evenVBand="0" w:oddHBand="0" w:evenHBand="0" w:firstRowFirstColumn="0" w:firstRowLastColumn="0" w:lastRowFirstColumn="0" w:lastRowLastColumn="0"/>
            </w:pPr>
            <w:r w:rsidRPr="00E703A3">
              <w:t>Limbs will be replaced at typical replacement intervals</w:t>
            </w:r>
            <w:r>
              <w:t xml:space="preserve"> - </w:t>
            </w:r>
            <w:r w:rsidRPr="00E703A3">
              <w:t>3 years for most adults and, as needed, due to growth for children under 18 years of age (typically no more than bi-annually)</w:t>
            </w:r>
          </w:p>
        </w:tc>
      </w:tr>
      <w:tr w:rsidR="00BC6DD3" w:rsidRPr="00FA30FA" w14:paraId="5A960E67" w14:textId="77777777" w:rsidTr="0043318D">
        <w:trPr>
          <w:trHeight w:val="520"/>
        </w:trPr>
        <w:tc>
          <w:tcPr>
            <w:cnfStyle w:val="001000000000" w:firstRow="0" w:lastRow="0" w:firstColumn="1" w:lastColumn="0" w:oddVBand="0" w:evenVBand="0" w:oddHBand="0" w:evenHBand="0" w:firstRowFirstColumn="0" w:firstRowLastColumn="0" w:lastRowFirstColumn="0" w:lastRowLastColumn="0"/>
            <w:tcW w:w="2280" w:type="dxa"/>
          </w:tcPr>
          <w:p w14:paraId="4BBB3784" w14:textId="77777777" w:rsidR="00900F82" w:rsidRPr="00C10C27" w:rsidRDefault="00900F82" w:rsidP="00061402">
            <w:pPr>
              <w:pStyle w:val="Tabletextbold"/>
              <w:rPr>
                <w:szCs w:val="18"/>
              </w:rPr>
            </w:pPr>
            <w:r w:rsidRPr="00C10C27">
              <w:t>Referral pathway</w:t>
            </w:r>
          </w:p>
        </w:tc>
        <w:tc>
          <w:tcPr>
            <w:tcW w:w="7697" w:type="dxa"/>
          </w:tcPr>
          <w:p w14:paraId="684D9FDD" w14:textId="77777777" w:rsidR="00900F82" w:rsidRDefault="00900F82" w:rsidP="00061402">
            <w:pPr>
              <w:pStyle w:val="TableBullet1"/>
              <w:cnfStyle w:val="000000000000" w:firstRow="0" w:lastRow="0" w:firstColumn="0" w:lastColumn="0" w:oddVBand="0" w:evenVBand="0" w:oddHBand="0" w:evenHBand="0" w:firstRowFirstColumn="0" w:firstRowLastColumn="0" w:lastRowFirstColumn="0" w:lastRowLastColumn="0"/>
            </w:pPr>
            <w:r>
              <w:t xml:space="preserve">Confirm eligibility for the NDIS </w:t>
            </w:r>
          </w:p>
          <w:p w14:paraId="04FAC41F" w14:textId="77777777" w:rsidR="00900F82" w:rsidRDefault="00900F82" w:rsidP="00061402">
            <w:pPr>
              <w:pStyle w:val="TableBullet1"/>
              <w:cnfStyle w:val="000000000000" w:firstRow="0" w:lastRow="0" w:firstColumn="0" w:lastColumn="0" w:oddVBand="0" w:evenVBand="0" w:oddHBand="0" w:evenHBand="0" w:firstRowFirstColumn="0" w:firstRowLastColumn="0" w:lastRowFirstColumn="0" w:lastRowLastColumn="0"/>
            </w:pPr>
            <w:r>
              <w:t>Submit an access request form to the NDIA</w:t>
            </w:r>
          </w:p>
          <w:p w14:paraId="23427CC8" w14:textId="77777777" w:rsidR="00900F82" w:rsidRDefault="00900F82" w:rsidP="00061402">
            <w:pPr>
              <w:pStyle w:val="TableBullet1"/>
              <w:cnfStyle w:val="000000000000" w:firstRow="0" w:lastRow="0" w:firstColumn="0" w:lastColumn="0" w:oddVBand="0" w:evenVBand="0" w:oddHBand="0" w:evenHBand="0" w:firstRowFirstColumn="0" w:firstRowLastColumn="0" w:lastRowFirstColumn="0" w:lastRowLastColumn="0"/>
            </w:pPr>
            <w:r>
              <w:t>Attend a planning meeting with a local area coordinator to discuss goals and required supports</w:t>
            </w:r>
          </w:p>
          <w:p w14:paraId="48B9BBE1" w14:textId="77777777" w:rsidR="00900F82" w:rsidRDefault="00900F82" w:rsidP="00061402">
            <w:pPr>
              <w:pStyle w:val="TableBullet1"/>
              <w:cnfStyle w:val="000000000000" w:firstRow="0" w:lastRow="0" w:firstColumn="0" w:lastColumn="0" w:oddVBand="0" w:evenVBand="0" w:oddHBand="0" w:evenHBand="0" w:firstRowFirstColumn="0" w:firstRowLastColumn="0" w:lastRowFirstColumn="0" w:lastRowLastColumn="0"/>
            </w:pPr>
            <w:r>
              <w:t xml:space="preserve">Meet with an accredited prosthetist for a functional assessment and to obtain a prescription and quotation for the required prosthesis </w:t>
            </w:r>
          </w:p>
          <w:p w14:paraId="18697B8F" w14:textId="77777777" w:rsidR="00900F82" w:rsidRDefault="00900F82" w:rsidP="00061402">
            <w:pPr>
              <w:pStyle w:val="TableBullet1"/>
              <w:cnfStyle w:val="000000000000" w:firstRow="0" w:lastRow="0" w:firstColumn="0" w:lastColumn="0" w:oddVBand="0" w:evenVBand="0" w:oddHBand="0" w:evenHBand="0" w:firstRowFirstColumn="0" w:firstRowLastColumn="0" w:lastRowFirstColumn="0" w:lastRowLastColumn="0"/>
            </w:pPr>
            <w:r>
              <w:t xml:space="preserve">Develop a NDIS plan that includes the recommended prosthetic device and associated supports </w:t>
            </w:r>
          </w:p>
          <w:p w14:paraId="21B5E81B" w14:textId="77777777" w:rsidR="00900F82" w:rsidRPr="00C10C27" w:rsidRDefault="00900F82" w:rsidP="00061402">
            <w:pPr>
              <w:pStyle w:val="TableBullet1"/>
              <w:cnfStyle w:val="000000000000" w:firstRow="0" w:lastRow="0" w:firstColumn="0" w:lastColumn="0" w:oddVBand="0" w:evenVBand="0" w:oddHBand="0" w:evenHBand="0" w:firstRowFirstColumn="0" w:firstRowLastColumn="0" w:lastRowFirstColumn="0" w:lastRowLastColumn="0"/>
            </w:pPr>
            <w:r>
              <w:t xml:space="preserve">Once the plan is approved, funding is allocated, and the participant can proceed with obtaining the prescribed prostheses through registered providers. </w:t>
            </w:r>
          </w:p>
        </w:tc>
      </w:tr>
      <w:tr w:rsidR="00BC6DD3" w:rsidRPr="00FA30FA" w14:paraId="4D0E8C5A" w14:textId="77777777" w:rsidTr="0043318D">
        <w:trPr>
          <w:trHeight w:val="520"/>
        </w:trPr>
        <w:tc>
          <w:tcPr>
            <w:cnfStyle w:val="001000000000" w:firstRow="0" w:lastRow="0" w:firstColumn="1" w:lastColumn="0" w:oddVBand="0" w:evenVBand="0" w:oddHBand="0" w:evenHBand="0" w:firstRowFirstColumn="0" w:firstRowLastColumn="0" w:lastRowFirstColumn="0" w:lastRowLastColumn="0"/>
            <w:tcW w:w="2280" w:type="dxa"/>
          </w:tcPr>
          <w:p w14:paraId="49B360E8" w14:textId="77777777" w:rsidR="00900F82" w:rsidRPr="00C10C27" w:rsidRDefault="00900F82" w:rsidP="00061402">
            <w:pPr>
              <w:pStyle w:val="Tabletextbold"/>
              <w:rPr>
                <w:szCs w:val="18"/>
              </w:rPr>
            </w:pPr>
            <w:r w:rsidRPr="00C10C27">
              <w:t xml:space="preserve">Settings in which prostheses may be accessed </w:t>
            </w:r>
          </w:p>
        </w:tc>
        <w:tc>
          <w:tcPr>
            <w:tcW w:w="7697" w:type="dxa"/>
          </w:tcPr>
          <w:p w14:paraId="019975CF" w14:textId="77777777" w:rsidR="00900F82" w:rsidRPr="009E45F5" w:rsidRDefault="00900F82" w:rsidP="00061402">
            <w:pPr>
              <w:pStyle w:val="TableBullet1"/>
              <w:cnfStyle w:val="000000000000" w:firstRow="0" w:lastRow="0" w:firstColumn="0" w:lastColumn="0" w:oddVBand="0" w:evenVBand="0" w:oddHBand="0" w:evenHBand="0" w:firstRowFirstColumn="0" w:firstRowLastColumn="0" w:lastRowFirstColumn="0" w:lastRowLastColumn="0"/>
            </w:pPr>
            <w:r w:rsidRPr="009E45F5">
              <w:t>Public artificial limb services</w:t>
            </w:r>
          </w:p>
          <w:p w14:paraId="77492B49" w14:textId="77777777" w:rsidR="00900F82" w:rsidRPr="00C10C27" w:rsidRDefault="00900F82" w:rsidP="00061402">
            <w:pPr>
              <w:pStyle w:val="TableBullet1"/>
              <w:cnfStyle w:val="000000000000" w:firstRow="0" w:lastRow="0" w:firstColumn="0" w:lastColumn="0" w:oddVBand="0" w:evenVBand="0" w:oddHBand="0" w:evenHBand="0" w:firstRowFirstColumn="0" w:firstRowLastColumn="0" w:lastRowFirstColumn="0" w:lastRowLastColumn="0"/>
              <w:rPr>
                <w:b/>
                <w:szCs w:val="18"/>
              </w:rPr>
            </w:pPr>
            <w:r w:rsidRPr="009E45F5">
              <w:t>Private prosthetic providers registered with the NDIS</w:t>
            </w:r>
            <w:r>
              <w:rPr>
                <w:b/>
                <w:szCs w:val="18"/>
              </w:rPr>
              <w:t xml:space="preserve"> </w:t>
            </w:r>
          </w:p>
        </w:tc>
      </w:tr>
      <w:tr w:rsidR="00BC6DD3" w:rsidRPr="00FA30FA" w14:paraId="50E8AB4F" w14:textId="77777777" w:rsidTr="0043318D">
        <w:trPr>
          <w:trHeight w:val="520"/>
        </w:trPr>
        <w:tc>
          <w:tcPr>
            <w:cnfStyle w:val="001000000000" w:firstRow="0" w:lastRow="0" w:firstColumn="1" w:lastColumn="0" w:oddVBand="0" w:evenVBand="0" w:oddHBand="0" w:evenHBand="0" w:firstRowFirstColumn="0" w:firstRowLastColumn="0" w:lastRowFirstColumn="0" w:lastRowLastColumn="0"/>
            <w:tcW w:w="2280" w:type="dxa"/>
          </w:tcPr>
          <w:p w14:paraId="422B2F3D" w14:textId="77777777" w:rsidR="00900F82" w:rsidRPr="00C10C27" w:rsidRDefault="00900F82" w:rsidP="00061402">
            <w:pPr>
              <w:pStyle w:val="Tabletextbold"/>
              <w:rPr>
                <w:szCs w:val="18"/>
              </w:rPr>
            </w:pPr>
            <w:r w:rsidRPr="00C10C27">
              <w:t xml:space="preserve">Clinicians involved  </w:t>
            </w:r>
          </w:p>
        </w:tc>
        <w:tc>
          <w:tcPr>
            <w:tcW w:w="7697" w:type="dxa"/>
          </w:tcPr>
          <w:p w14:paraId="0DC00923" w14:textId="77777777" w:rsidR="00900F82" w:rsidRDefault="00900F82" w:rsidP="00061402">
            <w:pPr>
              <w:pStyle w:val="TableBullet1"/>
              <w:cnfStyle w:val="000000000000" w:firstRow="0" w:lastRow="0" w:firstColumn="0" w:lastColumn="0" w:oddVBand="0" w:evenVBand="0" w:oddHBand="0" w:evenHBand="0" w:firstRowFirstColumn="0" w:firstRowLastColumn="0" w:lastRowFirstColumn="0" w:lastRowLastColumn="0"/>
            </w:pPr>
            <w:r>
              <w:t>Prosthetists: assesses the persons functional needs, design, prescribe, manufacture and fit prosthetic limb</w:t>
            </w:r>
          </w:p>
          <w:p w14:paraId="1B2B2C41" w14:textId="77777777" w:rsidR="00900F82" w:rsidRDefault="00900F82" w:rsidP="00061402">
            <w:pPr>
              <w:pStyle w:val="TableBullet1"/>
              <w:cnfStyle w:val="000000000000" w:firstRow="0" w:lastRow="0" w:firstColumn="0" w:lastColumn="0" w:oddVBand="0" w:evenVBand="0" w:oddHBand="0" w:evenHBand="0" w:firstRowFirstColumn="0" w:firstRowLastColumn="0" w:lastRowFirstColumn="0" w:lastRowLastColumn="0"/>
            </w:pPr>
            <w:r>
              <w:t>Physiotherapist: supports rehabilitation and strength training</w:t>
            </w:r>
          </w:p>
          <w:p w14:paraId="624D775A" w14:textId="77777777" w:rsidR="00900F82" w:rsidRPr="005E2B43" w:rsidRDefault="00900F82" w:rsidP="00061402">
            <w:pPr>
              <w:pStyle w:val="TableBullet1"/>
              <w:cnfStyle w:val="000000000000" w:firstRow="0" w:lastRow="0" w:firstColumn="0" w:lastColumn="0" w:oddVBand="0" w:evenVBand="0" w:oddHBand="0" w:evenHBand="0" w:firstRowFirstColumn="0" w:firstRowLastColumn="0" w:lastRowFirstColumn="0" w:lastRowLastColumn="0"/>
            </w:pPr>
            <w:r>
              <w:t>Occupational therapist: assesses the person’s ability to complete daily living tasks, help develops functional goals to inform NDIS planning</w:t>
            </w:r>
          </w:p>
        </w:tc>
      </w:tr>
      <w:tr w:rsidR="00BC6DD3" w:rsidRPr="00FA30FA" w14:paraId="6AE1E106" w14:textId="77777777" w:rsidTr="0043318D">
        <w:trPr>
          <w:trHeight w:val="520"/>
        </w:trPr>
        <w:tc>
          <w:tcPr>
            <w:cnfStyle w:val="001000000000" w:firstRow="0" w:lastRow="0" w:firstColumn="1" w:lastColumn="0" w:oddVBand="0" w:evenVBand="0" w:oddHBand="0" w:evenHBand="0" w:firstRowFirstColumn="0" w:firstRowLastColumn="0" w:lastRowFirstColumn="0" w:lastRowLastColumn="0"/>
            <w:tcW w:w="2280" w:type="dxa"/>
          </w:tcPr>
          <w:p w14:paraId="0900D9F5" w14:textId="77777777" w:rsidR="00900F82" w:rsidRPr="00C10C27" w:rsidRDefault="00900F82" w:rsidP="00061402">
            <w:pPr>
              <w:pStyle w:val="Tabletextbold"/>
              <w:rPr>
                <w:szCs w:val="18"/>
              </w:rPr>
            </w:pPr>
            <w:r w:rsidRPr="00C10C27">
              <w:t>Funded by</w:t>
            </w:r>
          </w:p>
        </w:tc>
        <w:tc>
          <w:tcPr>
            <w:tcW w:w="7697" w:type="dxa"/>
          </w:tcPr>
          <w:p w14:paraId="00B640D5" w14:textId="77777777" w:rsidR="00900F82" w:rsidRPr="00C10C27" w:rsidRDefault="00900F82" w:rsidP="00061402">
            <w:pPr>
              <w:pStyle w:val="TableBullet1"/>
              <w:cnfStyle w:val="000000000000" w:firstRow="0" w:lastRow="0" w:firstColumn="0" w:lastColumn="0" w:oddVBand="0" w:evenVBand="0" w:oddHBand="0" w:evenHBand="0" w:firstRowFirstColumn="0" w:firstRowLastColumn="0" w:lastRowFirstColumn="0" w:lastRowLastColumn="0"/>
            </w:pPr>
            <w:r w:rsidRPr="00C10C27">
              <w:t>Australian Government</w:t>
            </w:r>
          </w:p>
        </w:tc>
      </w:tr>
      <w:tr w:rsidR="00BC6DD3" w:rsidRPr="00C10C27" w14:paraId="36954FCA" w14:textId="77777777" w:rsidTr="0043318D">
        <w:trPr>
          <w:trHeight w:val="520"/>
        </w:trPr>
        <w:tc>
          <w:tcPr>
            <w:cnfStyle w:val="001000000000" w:firstRow="0" w:lastRow="0" w:firstColumn="1" w:lastColumn="0" w:oddVBand="0" w:evenVBand="0" w:oddHBand="0" w:evenHBand="0" w:firstRowFirstColumn="0" w:firstRowLastColumn="0" w:lastRowFirstColumn="0" w:lastRowLastColumn="0"/>
            <w:tcW w:w="2280" w:type="dxa"/>
          </w:tcPr>
          <w:p w14:paraId="7682A57A" w14:textId="77777777" w:rsidR="00900F82" w:rsidRPr="00C10C27" w:rsidRDefault="00900F82" w:rsidP="00061402">
            <w:pPr>
              <w:pStyle w:val="Tabletextbold"/>
              <w:rPr>
                <w:szCs w:val="18"/>
              </w:rPr>
            </w:pPr>
            <w:r>
              <w:t>Role of Australian Government</w:t>
            </w:r>
          </w:p>
        </w:tc>
        <w:tc>
          <w:tcPr>
            <w:tcW w:w="7697" w:type="dxa"/>
          </w:tcPr>
          <w:p w14:paraId="0D134045" w14:textId="77777777" w:rsidR="00900F82" w:rsidRPr="00C10C27" w:rsidRDefault="00900F82" w:rsidP="00061402">
            <w:pPr>
              <w:pStyle w:val="TableBullet1"/>
              <w:cnfStyle w:val="000000000000" w:firstRow="0" w:lastRow="0" w:firstColumn="0" w:lastColumn="0" w:oddVBand="0" w:evenVBand="0" w:oddHBand="0" w:evenHBand="0" w:firstRowFirstColumn="0" w:firstRowLastColumn="0" w:lastRowFirstColumn="0" w:lastRowLastColumn="0"/>
            </w:pPr>
            <w:r>
              <w:t>Funds and administers the NDIS</w:t>
            </w:r>
          </w:p>
        </w:tc>
      </w:tr>
      <w:tr w:rsidR="00BC6DD3" w:rsidRPr="00C10C27" w14:paraId="64C33682" w14:textId="77777777" w:rsidTr="0043318D">
        <w:trPr>
          <w:trHeight w:val="520"/>
        </w:trPr>
        <w:tc>
          <w:tcPr>
            <w:cnfStyle w:val="001000000000" w:firstRow="0" w:lastRow="0" w:firstColumn="1" w:lastColumn="0" w:oddVBand="0" w:evenVBand="0" w:oddHBand="0" w:evenHBand="0" w:firstRowFirstColumn="0" w:firstRowLastColumn="0" w:lastRowFirstColumn="0" w:lastRowLastColumn="0"/>
            <w:tcW w:w="2280" w:type="dxa"/>
          </w:tcPr>
          <w:p w14:paraId="1922BF1E" w14:textId="77777777" w:rsidR="00900F82" w:rsidRDefault="00900F82" w:rsidP="00061402">
            <w:pPr>
              <w:pStyle w:val="Tabletextbold"/>
              <w:rPr>
                <w:szCs w:val="18"/>
              </w:rPr>
            </w:pPr>
            <w:r>
              <w:t>Role of state/territory governments</w:t>
            </w:r>
          </w:p>
        </w:tc>
        <w:tc>
          <w:tcPr>
            <w:tcW w:w="7697" w:type="dxa"/>
          </w:tcPr>
          <w:p w14:paraId="650AA75B" w14:textId="77777777" w:rsidR="00900F82" w:rsidRDefault="00900F82" w:rsidP="00061402">
            <w:pPr>
              <w:pStyle w:val="TableBullet1"/>
              <w:cnfStyle w:val="000000000000" w:firstRow="0" w:lastRow="0" w:firstColumn="0" w:lastColumn="0" w:oddVBand="0" w:evenVBand="0" w:oddHBand="0" w:evenHBand="0" w:firstRowFirstColumn="0" w:firstRowLastColumn="0" w:lastRowFirstColumn="0" w:lastRowLastColumn="0"/>
            </w:pPr>
            <w:r>
              <w:t>None</w:t>
            </w:r>
          </w:p>
        </w:tc>
      </w:tr>
    </w:tbl>
    <w:p w14:paraId="300EFB02" w14:textId="77777777" w:rsidR="00900F82" w:rsidRPr="00C42ABF" w:rsidRDefault="00900F82" w:rsidP="00061402">
      <w:pPr>
        <w:pStyle w:val="Caption-Source"/>
        <w:rPr>
          <w:i/>
          <w:szCs w:val="20"/>
        </w:rPr>
      </w:pPr>
      <w:r w:rsidRPr="00C42ABF">
        <w:t>Source: Adapted from NDIS (2024)</w:t>
      </w:r>
      <w:r>
        <w:rPr>
          <w:rFonts w:ascii="ZWAdobeF" w:hAnsi="ZWAdobeF" w:cs="ZWAdobeF"/>
          <w:color w:val="auto"/>
          <w:sz w:val="2"/>
          <w:szCs w:val="2"/>
        </w:rPr>
        <w:t>40F</w:t>
      </w:r>
      <w:r w:rsidRPr="00C42ABF">
        <w:rPr>
          <w:rStyle w:val="FootnoteReference"/>
          <w:i/>
          <w:szCs w:val="20"/>
        </w:rPr>
        <w:footnoteReference w:id="181"/>
      </w:r>
    </w:p>
    <w:p w14:paraId="149C0BF7" w14:textId="6EC86333" w:rsidR="00C07111" w:rsidRDefault="00C07111" w:rsidP="008239ED">
      <w:pPr>
        <w:pStyle w:val="AppendixHeading2"/>
      </w:pPr>
      <w:bookmarkStart w:id="328" w:name="_Toc207348779"/>
      <w:r>
        <w:t>Availability of accredited limb prostheses service providers</w:t>
      </w:r>
      <w:bookmarkEnd w:id="328"/>
    </w:p>
    <w:p w14:paraId="2473C8A5" w14:textId="5E0C9F1E" w:rsidR="00C07111" w:rsidRDefault="00C07111" w:rsidP="00C07111">
      <w:pPr>
        <w:pStyle w:val="Caption"/>
      </w:pPr>
      <w:bookmarkStart w:id="329" w:name="_Ref200969032"/>
      <w:bookmarkStart w:id="330" w:name="_Toc207348685"/>
      <w:r>
        <w:t xml:space="preserve">Table </w:t>
      </w:r>
      <w:r w:rsidR="00E6799D">
        <w:fldChar w:fldCharType="begin"/>
      </w:r>
      <w:r w:rsidR="00E6799D">
        <w:instrText xml:space="preserve"> SEQ Table \* ARABIC </w:instrText>
      </w:r>
      <w:r w:rsidR="00E6799D">
        <w:fldChar w:fldCharType="separate"/>
      </w:r>
      <w:r w:rsidR="00E6799D">
        <w:rPr>
          <w:noProof/>
        </w:rPr>
        <w:t>120</w:t>
      </w:r>
      <w:r w:rsidR="00E6799D">
        <w:rPr>
          <w:noProof/>
        </w:rPr>
        <w:fldChar w:fldCharType="end"/>
      </w:r>
      <w:bookmarkEnd w:id="329"/>
      <w:r>
        <w:t xml:space="preserve">: Availability of accredited limb prostheses </w:t>
      </w:r>
      <w:r w:rsidRPr="009A46F3">
        <w:t>service providers</w:t>
      </w:r>
      <w:bookmarkEnd w:id="330"/>
    </w:p>
    <w:tbl>
      <w:tblPr>
        <w:tblStyle w:val="KPMGTable"/>
        <w:tblW w:w="9636" w:type="dxa"/>
        <w:tblLook w:val="04A0" w:firstRow="1" w:lastRow="0" w:firstColumn="1" w:lastColumn="0" w:noHBand="0" w:noVBand="1"/>
      </w:tblPr>
      <w:tblGrid>
        <w:gridCol w:w="2693"/>
        <w:gridCol w:w="2975"/>
        <w:gridCol w:w="992"/>
        <w:gridCol w:w="992"/>
        <w:gridCol w:w="992"/>
        <w:gridCol w:w="992"/>
      </w:tblGrid>
      <w:tr w:rsidR="00451702" w:rsidRPr="00635B81" w14:paraId="19C4C5AE" w14:textId="77777777" w:rsidTr="008558CE">
        <w:trPr>
          <w:cnfStyle w:val="100000000000" w:firstRow="1" w:lastRow="0" w:firstColumn="0" w:lastColumn="0" w:oddVBand="0" w:evenVBand="0" w:oddHBand="0" w:evenHBand="0" w:firstRowFirstColumn="0" w:firstRowLastColumn="0" w:lastRowFirstColumn="0" w:lastRowLastColumn="0"/>
          <w:trHeight w:val="125"/>
          <w:tblHeader/>
        </w:trPr>
        <w:tc>
          <w:tcPr>
            <w:cnfStyle w:val="001000000000" w:firstRow="0" w:lastRow="0" w:firstColumn="1" w:lastColumn="0" w:oddVBand="0" w:evenVBand="0" w:oddHBand="0" w:evenHBand="0" w:firstRowFirstColumn="0" w:firstRowLastColumn="0" w:lastRowFirstColumn="0" w:lastRowLastColumn="0"/>
            <w:tcW w:w="2693" w:type="dxa"/>
          </w:tcPr>
          <w:p w14:paraId="030E5B4C" w14:textId="56441F9A" w:rsidR="00451702" w:rsidRPr="00635B81" w:rsidRDefault="00451702" w:rsidP="00451702">
            <w:pPr>
              <w:pStyle w:val="TableHeading"/>
            </w:pPr>
            <w:r w:rsidRPr="00635B81">
              <w:t>Jurisdiction</w:t>
            </w:r>
          </w:p>
        </w:tc>
        <w:tc>
          <w:tcPr>
            <w:tcW w:w="2975" w:type="dxa"/>
          </w:tcPr>
          <w:p w14:paraId="58D11214" w14:textId="797E3DBE" w:rsidR="00451702" w:rsidRPr="00635B81" w:rsidRDefault="00451702" w:rsidP="00451702">
            <w:pPr>
              <w:pStyle w:val="TableHeading"/>
              <w:cnfStyle w:val="100000000000" w:firstRow="1" w:lastRow="0" w:firstColumn="0" w:lastColumn="0" w:oddVBand="0" w:evenVBand="0" w:oddHBand="0" w:evenHBand="0" w:firstRowFirstColumn="0" w:firstRowLastColumn="0" w:lastRowFirstColumn="0" w:lastRowLastColumn="0"/>
            </w:pPr>
            <w:r w:rsidRPr="00635B81">
              <w:t xml:space="preserve">Location of </w:t>
            </w:r>
            <w:r w:rsidRPr="009A46F3">
              <w:t>accredited limb prostheses service providers</w:t>
            </w:r>
          </w:p>
        </w:tc>
        <w:tc>
          <w:tcPr>
            <w:tcW w:w="992" w:type="dxa"/>
          </w:tcPr>
          <w:p w14:paraId="67AF6E32" w14:textId="52724329" w:rsidR="00451702" w:rsidRDefault="00451702" w:rsidP="00451702">
            <w:pPr>
              <w:pStyle w:val="TableHeading"/>
              <w:cnfStyle w:val="100000000000" w:firstRow="1" w:lastRow="0" w:firstColumn="0" w:lastColumn="0" w:oddVBand="0" w:evenVBand="0" w:oddHBand="0" w:evenHBand="0" w:firstRowFirstColumn="0" w:firstRowLastColumn="0" w:lastRowFirstColumn="0" w:lastRowLastColumn="0"/>
            </w:pPr>
            <w:r w:rsidRPr="00635B81">
              <w:t>MM1</w:t>
            </w:r>
          </w:p>
        </w:tc>
        <w:tc>
          <w:tcPr>
            <w:tcW w:w="992" w:type="dxa"/>
          </w:tcPr>
          <w:p w14:paraId="50235858" w14:textId="0C82C790" w:rsidR="00451702" w:rsidRPr="002F0D48" w:rsidRDefault="00451702" w:rsidP="00451702">
            <w:pPr>
              <w:pStyle w:val="TableHeading"/>
              <w:cnfStyle w:val="100000000000" w:firstRow="1" w:lastRow="0" w:firstColumn="0" w:lastColumn="0" w:oddVBand="0" w:evenVBand="0" w:oddHBand="0" w:evenHBand="0" w:firstRowFirstColumn="0" w:firstRowLastColumn="0" w:lastRowFirstColumn="0" w:lastRowLastColumn="0"/>
            </w:pPr>
            <w:r w:rsidRPr="00635B81">
              <w:t>MM2</w:t>
            </w:r>
          </w:p>
        </w:tc>
        <w:tc>
          <w:tcPr>
            <w:tcW w:w="992" w:type="dxa"/>
          </w:tcPr>
          <w:p w14:paraId="7700FC2F" w14:textId="34439B65" w:rsidR="00451702" w:rsidRPr="002F0D48" w:rsidRDefault="00451702" w:rsidP="00451702">
            <w:pPr>
              <w:pStyle w:val="TableHeading"/>
              <w:cnfStyle w:val="100000000000" w:firstRow="1" w:lastRow="0" w:firstColumn="0" w:lastColumn="0" w:oddVBand="0" w:evenVBand="0" w:oddHBand="0" w:evenHBand="0" w:firstRowFirstColumn="0" w:firstRowLastColumn="0" w:lastRowFirstColumn="0" w:lastRowLastColumn="0"/>
            </w:pPr>
            <w:r w:rsidRPr="00635B81">
              <w:t>MM</w:t>
            </w:r>
            <w:r>
              <w:t>3 to 4</w:t>
            </w:r>
            <w:r w:rsidRPr="00635B81">
              <w:t xml:space="preserve"> </w:t>
            </w:r>
          </w:p>
        </w:tc>
        <w:tc>
          <w:tcPr>
            <w:tcW w:w="992" w:type="dxa"/>
          </w:tcPr>
          <w:p w14:paraId="7BD79D91" w14:textId="3768C15D" w:rsidR="00451702" w:rsidRPr="002F0D48" w:rsidRDefault="00451702" w:rsidP="00451702">
            <w:pPr>
              <w:pStyle w:val="TableHeading"/>
              <w:cnfStyle w:val="100000000000" w:firstRow="1" w:lastRow="0" w:firstColumn="0" w:lastColumn="0" w:oddVBand="0" w:evenVBand="0" w:oddHBand="0" w:evenHBand="0" w:firstRowFirstColumn="0" w:firstRowLastColumn="0" w:lastRowFirstColumn="0" w:lastRowLastColumn="0"/>
            </w:pPr>
            <w:r>
              <w:t>MM5 to 7</w:t>
            </w:r>
          </w:p>
        </w:tc>
      </w:tr>
      <w:tr w:rsidR="00451702" w:rsidRPr="00635B81" w14:paraId="5CC8050B" w14:textId="77777777" w:rsidTr="00AD6F37">
        <w:trPr>
          <w:trHeight w:val="125"/>
        </w:trPr>
        <w:tc>
          <w:tcPr>
            <w:cnfStyle w:val="001000000000" w:firstRow="0" w:lastRow="0" w:firstColumn="1" w:lastColumn="0" w:oddVBand="0" w:evenVBand="0" w:oddHBand="0" w:evenHBand="0" w:firstRowFirstColumn="0" w:firstRowLastColumn="0" w:lastRowFirstColumn="0" w:lastRowLastColumn="0"/>
            <w:tcW w:w="2693" w:type="dxa"/>
          </w:tcPr>
          <w:p w14:paraId="696BEA0A" w14:textId="4A8893DB" w:rsidR="00451702" w:rsidRPr="00635B81" w:rsidRDefault="00451702" w:rsidP="00451702">
            <w:pPr>
              <w:pStyle w:val="TableText"/>
            </w:pPr>
            <w:r w:rsidRPr="00635B81">
              <w:t xml:space="preserve">Australian Capital Territory </w:t>
            </w:r>
          </w:p>
        </w:tc>
        <w:tc>
          <w:tcPr>
            <w:tcW w:w="2975" w:type="dxa"/>
          </w:tcPr>
          <w:p w14:paraId="1C57D0F8"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635B81">
              <w:t>Canberra</w:t>
            </w:r>
          </w:p>
        </w:tc>
        <w:tc>
          <w:tcPr>
            <w:tcW w:w="992" w:type="dxa"/>
          </w:tcPr>
          <w:p w14:paraId="6FF88A0A" w14:textId="3FD72C34"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Yes</w:t>
            </w:r>
          </w:p>
        </w:tc>
        <w:tc>
          <w:tcPr>
            <w:tcW w:w="992" w:type="dxa"/>
          </w:tcPr>
          <w:p w14:paraId="2CD49A92" w14:textId="25A52A96"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2F0D48">
              <w:t>N/A</w:t>
            </w:r>
          </w:p>
        </w:tc>
        <w:tc>
          <w:tcPr>
            <w:tcW w:w="992" w:type="dxa"/>
          </w:tcPr>
          <w:p w14:paraId="733A8D1B" w14:textId="07092FBB"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2F0D48">
              <w:t>N/A</w:t>
            </w:r>
          </w:p>
        </w:tc>
        <w:tc>
          <w:tcPr>
            <w:tcW w:w="992" w:type="dxa"/>
          </w:tcPr>
          <w:p w14:paraId="28443C3F" w14:textId="64775C1B"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2F0D48">
              <w:t>N/A</w:t>
            </w:r>
          </w:p>
        </w:tc>
      </w:tr>
      <w:tr w:rsidR="00451702" w:rsidRPr="00635B81" w14:paraId="0834DE93" w14:textId="77777777" w:rsidTr="00AD6F37">
        <w:trPr>
          <w:trHeight w:val="420"/>
        </w:trPr>
        <w:tc>
          <w:tcPr>
            <w:cnfStyle w:val="001000000000" w:firstRow="0" w:lastRow="0" w:firstColumn="1" w:lastColumn="0" w:oddVBand="0" w:evenVBand="0" w:oddHBand="0" w:evenHBand="0" w:firstRowFirstColumn="0" w:firstRowLastColumn="0" w:lastRowFirstColumn="0" w:lastRowLastColumn="0"/>
            <w:tcW w:w="2693" w:type="dxa"/>
          </w:tcPr>
          <w:p w14:paraId="00764DC4" w14:textId="77777777" w:rsidR="00451702" w:rsidRPr="00635B81" w:rsidRDefault="00451702" w:rsidP="00451702">
            <w:pPr>
              <w:pStyle w:val="TableText"/>
            </w:pPr>
            <w:r w:rsidRPr="00635B81">
              <w:t xml:space="preserve">New South Wales </w:t>
            </w:r>
          </w:p>
        </w:tc>
        <w:tc>
          <w:tcPr>
            <w:tcW w:w="2975" w:type="dxa"/>
          </w:tcPr>
          <w:p w14:paraId="60CB0D61"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635B81">
              <w:t xml:space="preserve">Sydney </w:t>
            </w:r>
          </w:p>
        </w:tc>
        <w:tc>
          <w:tcPr>
            <w:tcW w:w="992" w:type="dxa"/>
          </w:tcPr>
          <w:p w14:paraId="68CD32EE" w14:textId="4C89472A"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Yes</w:t>
            </w:r>
          </w:p>
        </w:tc>
        <w:tc>
          <w:tcPr>
            <w:tcW w:w="992" w:type="dxa"/>
          </w:tcPr>
          <w:p w14:paraId="2327B57F" w14:textId="4C5F81F3"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2F0D48">
              <w:t>N/A</w:t>
            </w:r>
          </w:p>
        </w:tc>
        <w:tc>
          <w:tcPr>
            <w:tcW w:w="992" w:type="dxa"/>
          </w:tcPr>
          <w:p w14:paraId="456A853B" w14:textId="0678D45B"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2F0D48">
              <w:t>N/A</w:t>
            </w:r>
          </w:p>
        </w:tc>
        <w:tc>
          <w:tcPr>
            <w:tcW w:w="992" w:type="dxa"/>
          </w:tcPr>
          <w:p w14:paraId="2285F5D6" w14:textId="521568BA"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2F0D48">
              <w:t>N/A</w:t>
            </w:r>
          </w:p>
        </w:tc>
      </w:tr>
      <w:tr w:rsidR="00451702" w:rsidRPr="00635B81" w14:paraId="4EAEEFC0" w14:textId="77777777" w:rsidTr="00AD6F37">
        <w:trPr>
          <w:trHeight w:val="420"/>
        </w:trPr>
        <w:tc>
          <w:tcPr>
            <w:cnfStyle w:val="001000000000" w:firstRow="0" w:lastRow="0" w:firstColumn="1" w:lastColumn="0" w:oddVBand="0" w:evenVBand="0" w:oddHBand="0" w:evenHBand="0" w:firstRowFirstColumn="0" w:firstRowLastColumn="0" w:lastRowFirstColumn="0" w:lastRowLastColumn="0"/>
            <w:tcW w:w="2693" w:type="dxa"/>
          </w:tcPr>
          <w:p w14:paraId="6F4B59FB" w14:textId="5EB84ED9" w:rsidR="00451702" w:rsidRPr="00635B81" w:rsidRDefault="00451702" w:rsidP="00451702">
            <w:pPr>
              <w:pStyle w:val="TableText"/>
            </w:pPr>
            <w:r w:rsidRPr="005F1D08">
              <w:t xml:space="preserve">New South Wales </w:t>
            </w:r>
          </w:p>
        </w:tc>
        <w:tc>
          <w:tcPr>
            <w:tcW w:w="2975" w:type="dxa"/>
          </w:tcPr>
          <w:p w14:paraId="6A1AACBE"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Gosford</w:t>
            </w:r>
          </w:p>
        </w:tc>
        <w:tc>
          <w:tcPr>
            <w:tcW w:w="992" w:type="dxa"/>
          </w:tcPr>
          <w:p w14:paraId="1C61D516" w14:textId="35D1AB38"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A149E">
              <w:t>N/A</w:t>
            </w:r>
          </w:p>
        </w:tc>
        <w:tc>
          <w:tcPr>
            <w:tcW w:w="992" w:type="dxa"/>
          </w:tcPr>
          <w:p w14:paraId="70385B38" w14:textId="6CD8CAED"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90393D">
              <w:t>Yes</w:t>
            </w:r>
          </w:p>
        </w:tc>
        <w:tc>
          <w:tcPr>
            <w:tcW w:w="992" w:type="dxa"/>
          </w:tcPr>
          <w:p w14:paraId="3D107652" w14:textId="7C8441E5"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1E7E3B">
              <w:t>N/A</w:t>
            </w:r>
          </w:p>
        </w:tc>
        <w:tc>
          <w:tcPr>
            <w:tcW w:w="992" w:type="dxa"/>
          </w:tcPr>
          <w:p w14:paraId="3B97EEBF" w14:textId="7FC7C0CC"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927131">
              <w:t>N/A</w:t>
            </w:r>
          </w:p>
        </w:tc>
      </w:tr>
      <w:tr w:rsidR="00451702" w:rsidRPr="00635B81" w14:paraId="5F9C707C" w14:textId="77777777" w:rsidTr="00AD6F37">
        <w:trPr>
          <w:trHeight w:val="420"/>
        </w:trPr>
        <w:tc>
          <w:tcPr>
            <w:cnfStyle w:val="001000000000" w:firstRow="0" w:lastRow="0" w:firstColumn="1" w:lastColumn="0" w:oddVBand="0" w:evenVBand="0" w:oddHBand="0" w:evenHBand="0" w:firstRowFirstColumn="0" w:firstRowLastColumn="0" w:lastRowFirstColumn="0" w:lastRowLastColumn="0"/>
            <w:tcW w:w="2693" w:type="dxa"/>
          </w:tcPr>
          <w:p w14:paraId="283074D7" w14:textId="5FB5CAB3" w:rsidR="00451702" w:rsidRPr="00635B81" w:rsidRDefault="00451702" w:rsidP="00451702">
            <w:pPr>
              <w:pStyle w:val="TableText"/>
            </w:pPr>
            <w:r w:rsidRPr="005F1D08">
              <w:t xml:space="preserve">New South Wales </w:t>
            </w:r>
          </w:p>
        </w:tc>
        <w:tc>
          <w:tcPr>
            <w:tcW w:w="2975" w:type="dxa"/>
          </w:tcPr>
          <w:p w14:paraId="06616928"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Wyong</w:t>
            </w:r>
            <w:r w:rsidRPr="00635B81">
              <w:t xml:space="preserve"> </w:t>
            </w:r>
          </w:p>
        </w:tc>
        <w:tc>
          <w:tcPr>
            <w:tcW w:w="992" w:type="dxa"/>
          </w:tcPr>
          <w:p w14:paraId="620BD6A1" w14:textId="47A26068"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A149E">
              <w:t>N/A</w:t>
            </w:r>
          </w:p>
        </w:tc>
        <w:tc>
          <w:tcPr>
            <w:tcW w:w="992" w:type="dxa"/>
          </w:tcPr>
          <w:p w14:paraId="7B35DA0B" w14:textId="6949E27A"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90393D">
              <w:t>Yes</w:t>
            </w:r>
          </w:p>
        </w:tc>
        <w:tc>
          <w:tcPr>
            <w:tcW w:w="992" w:type="dxa"/>
          </w:tcPr>
          <w:p w14:paraId="5BFAC5FD" w14:textId="78E0ED1E"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1E7E3B">
              <w:t>N/A</w:t>
            </w:r>
          </w:p>
        </w:tc>
        <w:tc>
          <w:tcPr>
            <w:tcW w:w="992" w:type="dxa"/>
          </w:tcPr>
          <w:p w14:paraId="3E8A6DA0" w14:textId="2D3C5995"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927131">
              <w:t>N/A</w:t>
            </w:r>
          </w:p>
        </w:tc>
      </w:tr>
      <w:tr w:rsidR="00451702" w:rsidRPr="00635B81" w14:paraId="4F48E443" w14:textId="77777777" w:rsidTr="00AD6F37">
        <w:trPr>
          <w:trHeight w:val="420"/>
        </w:trPr>
        <w:tc>
          <w:tcPr>
            <w:cnfStyle w:val="001000000000" w:firstRow="0" w:lastRow="0" w:firstColumn="1" w:lastColumn="0" w:oddVBand="0" w:evenVBand="0" w:oddHBand="0" w:evenHBand="0" w:firstRowFirstColumn="0" w:firstRowLastColumn="0" w:lastRowFirstColumn="0" w:lastRowLastColumn="0"/>
            <w:tcW w:w="2693" w:type="dxa"/>
          </w:tcPr>
          <w:p w14:paraId="0F942B54" w14:textId="5C2E1622" w:rsidR="00451702" w:rsidRPr="00635B81" w:rsidRDefault="00451702" w:rsidP="00451702">
            <w:pPr>
              <w:pStyle w:val="TableText"/>
            </w:pPr>
            <w:r w:rsidRPr="005F1D08">
              <w:t xml:space="preserve">New South Wales </w:t>
            </w:r>
          </w:p>
        </w:tc>
        <w:tc>
          <w:tcPr>
            <w:tcW w:w="2975" w:type="dxa"/>
          </w:tcPr>
          <w:p w14:paraId="67F40DF4" w14:textId="77777777" w:rsidR="00451702"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Woy Woy</w:t>
            </w:r>
          </w:p>
        </w:tc>
        <w:tc>
          <w:tcPr>
            <w:tcW w:w="992" w:type="dxa"/>
          </w:tcPr>
          <w:p w14:paraId="18C82FB2" w14:textId="3B594030"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A149E">
              <w:t>N/A</w:t>
            </w:r>
          </w:p>
        </w:tc>
        <w:tc>
          <w:tcPr>
            <w:tcW w:w="992" w:type="dxa"/>
          </w:tcPr>
          <w:p w14:paraId="52DA8246" w14:textId="6A2DD859"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90393D">
              <w:t>Yes</w:t>
            </w:r>
          </w:p>
        </w:tc>
        <w:tc>
          <w:tcPr>
            <w:tcW w:w="992" w:type="dxa"/>
          </w:tcPr>
          <w:p w14:paraId="23C4A3A1" w14:textId="67F58CB6"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1E7E3B">
              <w:t>N/A</w:t>
            </w:r>
          </w:p>
        </w:tc>
        <w:tc>
          <w:tcPr>
            <w:tcW w:w="992" w:type="dxa"/>
          </w:tcPr>
          <w:p w14:paraId="49C6160E" w14:textId="7F456C30"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927131">
              <w:t>N/A</w:t>
            </w:r>
          </w:p>
        </w:tc>
      </w:tr>
      <w:tr w:rsidR="00451702" w:rsidRPr="00635B81" w14:paraId="36438DB8" w14:textId="77777777" w:rsidTr="00AD6F37">
        <w:trPr>
          <w:trHeight w:val="420"/>
        </w:trPr>
        <w:tc>
          <w:tcPr>
            <w:cnfStyle w:val="001000000000" w:firstRow="0" w:lastRow="0" w:firstColumn="1" w:lastColumn="0" w:oddVBand="0" w:evenVBand="0" w:oddHBand="0" w:evenHBand="0" w:firstRowFirstColumn="0" w:firstRowLastColumn="0" w:lastRowFirstColumn="0" w:lastRowLastColumn="0"/>
            <w:tcW w:w="2693" w:type="dxa"/>
          </w:tcPr>
          <w:p w14:paraId="3A69BBA0" w14:textId="6F13FFC6" w:rsidR="00451702" w:rsidRPr="00635B81" w:rsidRDefault="00451702" w:rsidP="00451702">
            <w:pPr>
              <w:pStyle w:val="TableText"/>
            </w:pPr>
            <w:r w:rsidRPr="005F1D08">
              <w:t xml:space="preserve">New South Wales </w:t>
            </w:r>
          </w:p>
        </w:tc>
        <w:tc>
          <w:tcPr>
            <w:tcW w:w="2975" w:type="dxa"/>
          </w:tcPr>
          <w:p w14:paraId="60C925F6" w14:textId="77777777" w:rsidR="00451702"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Newcastle</w:t>
            </w:r>
          </w:p>
        </w:tc>
        <w:tc>
          <w:tcPr>
            <w:tcW w:w="992" w:type="dxa"/>
          </w:tcPr>
          <w:p w14:paraId="1FC22DD4" w14:textId="6A003313"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A149E">
              <w:t>N/A</w:t>
            </w:r>
          </w:p>
        </w:tc>
        <w:tc>
          <w:tcPr>
            <w:tcW w:w="992" w:type="dxa"/>
          </w:tcPr>
          <w:p w14:paraId="7764E139" w14:textId="3810306C"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90393D">
              <w:t>Yes</w:t>
            </w:r>
          </w:p>
        </w:tc>
        <w:tc>
          <w:tcPr>
            <w:tcW w:w="992" w:type="dxa"/>
          </w:tcPr>
          <w:p w14:paraId="74214549" w14:textId="522402D9"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1E7E3B">
              <w:t>N/A</w:t>
            </w:r>
          </w:p>
        </w:tc>
        <w:tc>
          <w:tcPr>
            <w:tcW w:w="992" w:type="dxa"/>
          </w:tcPr>
          <w:p w14:paraId="3B6BEBD8" w14:textId="25545D15"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927131">
              <w:t>N/A</w:t>
            </w:r>
          </w:p>
        </w:tc>
      </w:tr>
      <w:tr w:rsidR="00451702" w:rsidRPr="00635B81" w14:paraId="168DBEEF" w14:textId="77777777" w:rsidTr="00AD6F37">
        <w:trPr>
          <w:trHeight w:val="420"/>
        </w:trPr>
        <w:tc>
          <w:tcPr>
            <w:cnfStyle w:val="001000000000" w:firstRow="0" w:lastRow="0" w:firstColumn="1" w:lastColumn="0" w:oddVBand="0" w:evenVBand="0" w:oddHBand="0" w:evenHBand="0" w:firstRowFirstColumn="0" w:firstRowLastColumn="0" w:lastRowFirstColumn="0" w:lastRowLastColumn="0"/>
            <w:tcW w:w="2693" w:type="dxa"/>
          </w:tcPr>
          <w:p w14:paraId="58A093EC" w14:textId="6D483E92" w:rsidR="00451702" w:rsidRPr="00635B81" w:rsidRDefault="00451702" w:rsidP="00451702">
            <w:pPr>
              <w:pStyle w:val="TableText"/>
            </w:pPr>
            <w:r w:rsidRPr="005F1D08">
              <w:t xml:space="preserve">New South Wales </w:t>
            </w:r>
          </w:p>
        </w:tc>
        <w:tc>
          <w:tcPr>
            <w:tcW w:w="2975" w:type="dxa"/>
          </w:tcPr>
          <w:p w14:paraId="77A9CE30"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Tamworth</w:t>
            </w:r>
          </w:p>
        </w:tc>
        <w:tc>
          <w:tcPr>
            <w:tcW w:w="992" w:type="dxa"/>
          </w:tcPr>
          <w:p w14:paraId="4857EFF6" w14:textId="24B43E3D"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A149E">
              <w:t>N/A</w:t>
            </w:r>
          </w:p>
        </w:tc>
        <w:tc>
          <w:tcPr>
            <w:tcW w:w="992" w:type="dxa"/>
          </w:tcPr>
          <w:p w14:paraId="709D9930" w14:textId="12C891EE"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EF233E">
              <w:t>N/A</w:t>
            </w:r>
          </w:p>
        </w:tc>
        <w:tc>
          <w:tcPr>
            <w:tcW w:w="992" w:type="dxa"/>
          </w:tcPr>
          <w:p w14:paraId="690ACB0F" w14:textId="0B566F12"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133C87">
              <w:t>Yes</w:t>
            </w:r>
          </w:p>
        </w:tc>
        <w:tc>
          <w:tcPr>
            <w:tcW w:w="992" w:type="dxa"/>
          </w:tcPr>
          <w:p w14:paraId="5E1CEBC5" w14:textId="3083BAFB"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927131">
              <w:t>N/A</w:t>
            </w:r>
          </w:p>
        </w:tc>
      </w:tr>
      <w:tr w:rsidR="00451702" w:rsidRPr="00635B81" w14:paraId="2C42C891" w14:textId="77777777" w:rsidTr="00AD6F37">
        <w:trPr>
          <w:trHeight w:val="420"/>
        </w:trPr>
        <w:tc>
          <w:tcPr>
            <w:cnfStyle w:val="001000000000" w:firstRow="0" w:lastRow="0" w:firstColumn="1" w:lastColumn="0" w:oddVBand="0" w:evenVBand="0" w:oddHBand="0" w:evenHBand="0" w:firstRowFirstColumn="0" w:firstRowLastColumn="0" w:lastRowFirstColumn="0" w:lastRowLastColumn="0"/>
            <w:tcW w:w="2693" w:type="dxa"/>
          </w:tcPr>
          <w:p w14:paraId="56E28C8C" w14:textId="079559C2" w:rsidR="00451702" w:rsidRPr="00635B81" w:rsidRDefault="00451702" w:rsidP="00451702">
            <w:pPr>
              <w:pStyle w:val="TableText"/>
            </w:pPr>
            <w:r w:rsidRPr="005F1D08">
              <w:t xml:space="preserve">New South Wales </w:t>
            </w:r>
          </w:p>
        </w:tc>
        <w:tc>
          <w:tcPr>
            <w:tcW w:w="2975" w:type="dxa"/>
          </w:tcPr>
          <w:p w14:paraId="6A81650C"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Dubbo</w:t>
            </w:r>
          </w:p>
        </w:tc>
        <w:tc>
          <w:tcPr>
            <w:tcW w:w="992" w:type="dxa"/>
          </w:tcPr>
          <w:p w14:paraId="010E7D31" w14:textId="31C477F0"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A149E">
              <w:t>N/A</w:t>
            </w:r>
          </w:p>
        </w:tc>
        <w:tc>
          <w:tcPr>
            <w:tcW w:w="992" w:type="dxa"/>
          </w:tcPr>
          <w:p w14:paraId="23E56FA2" w14:textId="33932084"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EF233E">
              <w:t>N/A</w:t>
            </w:r>
          </w:p>
        </w:tc>
        <w:tc>
          <w:tcPr>
            <w:tcW w:w="992" w:type="dxa"/>
          </w:tcPr>
          <w:p w14:paraId="33F8617C" w14:textId="415197D9"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133C87">
              <w:t>Yes</w:t>
            </w:r>
          </w:p>
        </w:tc>
        <w:tc>
          <w:tcPr>
            <w:tcW w:w="992" w:type="dxa"/>
          </w:tcPr>
          <w:p w14:paraId="5AC0A9E6" w14:textId="48A90C8B"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927131">
              <w:t>N/A</w:t>
            </w:r>
          </w:p>
        </w:tc>
      </w:tr>
      <w:tr w:rsidR="00451702" w:rsidRPr="00635B81" w14:paraId="60798974" w14:textId="77777777" w:rsidTr="00AD6F37">
        <w:trPr>
          <w:trHeight w:val="420"/>
        </w:trPr>
        <w:tc>
          <w:tcPr>
            <w:cnfStyle w:val="001000000000" w:firstRow="0" w:lastRow="0" w:firstColumn="1" w:lastColumn="0" w:oddVBand="0" w:evenVBand="0" w:oddHBand="0" w:evenHBand="0" w:firstRowFirstColumn="0" w:firstRowLastColumn="0" w:lastRowFirstColumn="0" w:lastRowLastColumn="0"/>
            <w:tcW w:w="2693" w:type="dxa"/>
          </w:tcPr>
          <w:p w14:paraId="191522F8" w14:textId="07A11E8D" w:rsidR="00451702" w:rsidRPr="00635B81" w:rsidRDefault="00451702" w:rsidP="00451702">
            <w:pPr>
              <w:pStyle w:val="TableText"/>
            </w:pPr>
            <w:r w:rsidRPr="005F1D08">
              <w:t xml:space="preserve">New South Wales </w:t>
            </w:r>
          </w:p>
        </w:tc>
        <w:tc>
          <w:tcPr>
            <w:tcW w:w="2975" w:type="dxa"/>
          </w:tcPr>
          <w:p w14:paraId="0BDF77CD" w14:textId="77777777" w:rsidR="00451702"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Orange</w:t>
            </w:r>
          </w:p>
        </w:tc>
        <w:tc>
          <w:tcPr>
            <w:tcW w:w="992" w:type="dxa"/>
          </w:tcPr>
          <w:p w14:paraId="1703B50A" w14:textId="5939FA7E"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A149E">
              <w:t>N/A</w:t>
            </w:r>
          </w:p>
        </w:tc>
        <w:tc>
          <w:tcPr>
            <w:tcW w:w="992" w:type="dxa"/>
          </w:tcPr>
          <w:p w14:paraId="0444F1A4" w14:textId="2E53459D"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EF233E">
              <w:t>N/A</w:t>
            </w:r>
          </w:p>
        </w:tc>
        <w:tc>
          <w:tcPr>
            <w:tcW w:w="992" w:type="dxa"/>
          </w:tcPr>
          <w:p w14:paraId="63F6CC1C" w14:textId="65C705A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133C87">
              <w:t>Yes</w:t>
            </w:r>
          </w:p>
        </w:tc>
        <w:tc>
          <w:tcPr>
            <w:tcW w:w="992" w:type="dxa"/>
          </w:tcPr>
          <w:p w14:paraId="0E013C78" w14:textId="185316C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927131">
              <w:t>N/A</w:t>
            </w:r>
          </w:p>
        </w:tc>
      </w:tr>
      <w:tr w:rsidR="00451702" w:rsidRPr="00635B81" w14:paraId="5736B3ED" w14:textId="77777777" w:rsidTr="00AD6F37">
        <w:trPr>
          <w:trHeight w:val="420"/>
        </w:trPr>
        <w:tc>
          <w:tcPr>
            <w:cnfStyle w:val="001000000000" w:firstRow="0" w:lastRow="0" w:firstColumn="1" w:lastColumn="0" w:oddVBand="0" w:evenVBand="0" w:oddHBand="0" w:evenHBand="0" w:firstRowFirstColumn="0" w:firstRowLastColumn="0" w:lastRowFirstColumn="0" w:lastRowLastColumn="0"/>
            <w:tcW w:w="2693" w:type="dxa"/>
          </w:tcPr>
          <w:p w14:paraId="319B1A62" w14:textId="4B1DCE1B" w:rsidR="00451702" w:rsidRPr="00635B81" w:rsidRDefault="00451702" w:rsidP="00451702">
            <w:pPr>
              <w:pStyle w:val="TableText"/>
            </w:pPr>
            <w:r w:rsidRPr="005F1D08">
              <w:t xml:space="preserve">New South Wales </w:t>
            </w:r>
          </w:p>
        </w:tc>
        <w:tc>
          <w:tcPr>
            <w:tcW w:w="2975" w:type="dxa"/>
          </w:tcPr>
          <w:p w14:paraId="61C4D9E2" w14:textId="77777777" w:rsidR="00451702"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Bathurst</w:t>
            </w:r>
          </w:p>
        </w:tc>
        <w:tc>
          <w:tcPr>
            <w:tcW w:w="992" w:type="dxa"/>
          </w:tcPr>
          <w:p w14:paraId="57E78D3D" w14:textId="204B987B"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A149E">
              <w:t>N/A</w:t>
            </w:r>
          </w:p>
        </w:tc>
        <w:tc>
          <w:tcPr>
            <w:tcW w:w="992" w:type="dxa"/>
          </w:tcPr>
          <w:p w14:paraId="69224AB4" w14:textId="4BA273D2"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EF233E">
              <w:t>N/A</w:t>
            </w:r>
          </w:p>
        </w:tc>
        <w:tc>
          <w:tcPr>
            <w:tcW w:w="992" w:type="dxa"/>
          </w:tcPr>
          <w:p w14:paraId="6398CAA8" w14:textId="2E71E7B9"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133C87">
              <w:t>Yes</w:t>
            </w:r>
          </w:p>
        </w:tc>
        <w:tc>
          <w:tcPr>
            <w:tcW w:w="992" w:type="dxa"/>
          </w:tcPr>
          <w:p w14:paraId="77A3851D" w14:textId="469D8172"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927131">
              <w:t>N/A</w:t>
            </w:r>
          </w:p>
        </w:tc>
      </w:tr>
      <w:tr w:rsidR="00451702" w:rsidRPr="00635B81" w14:paraId="08C1BDB8" w14:textId="77777777" w:rsidTr="00AD6F37">
        <w:trPr>
          <w:trHeight w:val="420"/>
        </w:trPr>
        <w:tc>
          <w:tcPr>
            <w:cnfStyle w:val="001000000000" w:firstRow="0" w:lastRow="0" w:firstColumn="1" w:lastColumn="0" w:oddVBand="0" w:evenVBand="0" w:oddHBand="0" w:evenHBand="0" w:firstRowFirstColumn="0" w:firstRowLastColumn="0" w:lastRowFirstColumn="0" w:lastRowLastColumn="0"/>
            <w:tcW w:w="2693" w:type="dxa"/>
          </w:tcPr>
          <w:p w14:paraId="68A177D1" w14:textId="5178B534" w:rsidR="00451702" w:rsidRPr="00635B81" w:rsidRDefault="00451702" w:rsidP="00451702">
            <w:pPr>
              <w:pStyle w:val="TableText"/>
            </w:pPr>
            <w:r w:rsidRPr="005F1D08">
              <w:t xml:space="preserve">New South Wales </w:t>
            </w:r>
          </w:p>
        </w:tc>
        <w:tc>
          <w:tcPr>
            <w:tcW w:w="2975" w:type="dxa"/>
          </w:tcPr>
          <w:p w14:paraId="307239C2"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Wagga Wagga</w:t>
            </w:r>
          </w:p>
        </w:tc>
        <w:tc>
          <w:tcPr>
            <w:tcW w:w="992" w:type="dxa"/>
          </w:tcPr>
          <w:p w14:paraId="291EA763" w14:textId="0F255EF5"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A149E">
              <w:t>N/A</w:t>
            </w:r>
          </w:p>
        </w:tc>
        <w:tc>
          <w:tcPr>
            <w:tcW w:w="992" w:type="dxa"/>
          </w:tcPr>
          <w:p w14:paraId="180847A0" w14:textId="32422CAF"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EF233E">
              <w:t>N/A</w:t>
            </w:r>
          </w:p>
        </w:tc>
        <w:tc>
          <w:tcPr>
            <w:tcW w:w="992" w:type="dxa"/>
          </w:tcPr>
          <w:p w14:paraId="10B0839E" w14:textId="629DD1D0"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133C87">
              <w:t>Yes</w:t>
            </w:r>
          </w:p>
        </w:tc>
        <w:tc>
          <w:tcPr>
            <w:tcW w:w="992" w:type="dxa"/>
          </w:tcPr>
          <w:p w14:paraId="5EB60A9B" w14:textId="237BD240"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927131">
              <w:t>N/A</w:t>
            </w:r>
          </w:p>
        </w:tc>
      </w:tr>
      <w:tr w:rsidR="00451702" w:rsidRPr="00635B81" w14:paraId="6B6B0BE7" w14:textId="77777777" w:rsidTr="00AD6F37">
        <w:trPr>
          <w:trHeight w:val="420"/>
        </w:trPr>
        <w:tc>
          <w:tcPr>
            <w:cnfStyle w:val="001000000000" w:firstRow="0" w:lastRow="0" w:firstColumn="1" w:lastColumn="0" w:oddVBand="0" w:evenVBand="0" w:oddHBand="0" w:evenHBand="0" w:firstRowFirstColumn="0" w:firstRowLastColumn="0" w:lastRowFirstColumn="0" w:lastRowLastColumn="0"/>
            <w:tcW w:w="2693" w:type="dxa"/>
          </w:tcPr>
          <w:p w14:paraId="0B97F46B" w14:textId="1ECC6C1A" w:rsidR="00451702" w:rsidRPr="00635B81" w:rsidRDefault="00451702" w:rsidP="00451702">
            <w:pPr>
              <w:pStyle w:val="TableText"/>
            </w:pPr>
            <w:r w:rsidRPr="005F1D08">
              <w:t xml:space="preserve">New South Wales </w:t>
            </w:r>
          </w:p>
        </w:tc>
        <w:tc>
          <w:tcPr>
            <w:tcW w:w="2975" w:type="dxa"/>
          </w:tcPr>
          <w:p w14:paraId="0EB11ED3" w14:textId="77777777" w:rsidR="00451702"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Port Macquarie</w:t>
            </w:r>
          </w:p>
        </w:tc>
        <w:tc>
          <w:tcPr>
            <w:tcW w:w="992" w:type="dxa"/>
          </w:tcPr>
          <w:p w14:paraId="3BF845FE" w14:textId="36383FFE"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1F0CF9">
              <w:t>N/A</w:t>
            </w:r>
          </w:p>
        </w:tc>
        <w:tc>
          <w:tcPr>
            <w:tcW w:w="992" w:type="dxa"/>
          </w:tcPr>
          <w:p w14:paraId="3EA1E3BC" w14:textId="38B7CDE9"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1F0CF9">
              <w:t>N/A</w:t>
            </w:r>
          </w:p>
        </w:tc>
        <w:tc>
          <w:tcPr>
            <w:tcW w:w="992" w:type="dxa"/>
          </w:tcPr>
          <w:p w14:paraId="63AA818E" w14:textId="5319154E" w:rsidR="00451702" w:rsidRPr="00670FD5"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5C491E">
              <w:t>Yes</w:t>
            </w:r>
          </w:p>
        </w:tc>
        <w:tc>
          <w:tcPr>
            <w:tcW w:w="992" w:type="dxa"/>
          </w:tcPr>
          <w:p w14:paraId="1F3911C2" w14:textId="27B94000"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2D6C3E">
              <w:t>N/A</w:t>
            </w:r>
          </w:p>
        </w:tc>
      </w:tr>
      <w:tr w:rsidR="00451702" w:rsidRPr="00635B81" w14:paraId="6B576AE9" w14:textId="77777777" w:rsidTr="00AD6F37">
        <w:trPr>
          <w:trHeight w:val="420"/>
        </w:trPr>
        <w:tc>
          <w:tcPr>
            <w:cnfStyle w:val="001000000000" w:firstRow="0" w:lastRow="0" w:firstColumn="1" w:lastColumn="0" w:oddVBand="0" w:evenVBand="0" w:oddHBand="0" w:evenHBand="0" w:firstRowFirstColumn="0" w:firstRowLastColumn="0" w:lastRowFirstColumn="0" w:lastRowLastColumn="0"/>
            <w:tcW w:w="2693" w:type="dxa"/>
          </w:tcPr>
          <w:p w14:paraId="04B48140" w14:textId="235BDD9D" w:rsidR="00451702" w:rsidRPr="00635B81" w:rsidRDefault="00451702" w:rsidP="00451702">
            <w:pPr>
              <w:pStyle w:val="TableText"/>
            </w:pPr>
            <w:r w:rsidRPr="005F1D08">
              <w:t xml:space="preserve">New South Wales </w:t>
            </w:r>
          </w:p>
        </w:tc>
        <w:tc>
          <w:tcPr>
            <w:tcW w:w="2975" w:type="dxa"/>
          </w:tcPr>
          <w:p w14:paraId="7675CDC1" w14:textId="77777777" w:rsidR="00451702"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Coffs Harbour</w:t>
            </w:r>
          </w:p>
        </w:tc>
        <w:tc>
          <w:tcPr>
            <w:tcW w:w="992" w:type="dxa"/>
          </w:tcPr>
          <w:p w14:paraId="206363AB" w14:textId="26FBC02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1F0CF9">
              <w:t>N/A</w:t>
            </w:r>
          </w:p>
        </w:tc>
        <w:tc>
          <w:tcPr>
            <w:tcW w:w="992" w:type="dxa"/>
          </w:tcPr>
          <w:p w14:paraId="1FF36905" w14:textId="7E63463F"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1F0CF9">
              <w:t>N/A</w:t>
            </w:r>
          </w:p>
        </w:tc>
        <w:tc>
          <w:tcPr>
            <w:tcW w:w="992" w:type="dxa"/>
          </w:tcPr>
          <w:p w14:paraId="5810ACBF" w14:textId="0658A744" w:rsidR="00451702" w:rsidRPr="00670FD5"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5C491E">
              <w:t>Yes</w:t>
            </w:r>
          </w:p>
        </w:tc>
        <w:tc>
          <w:tcPr>
            <w:tcW w:w="992" w:type="dxa"/>
          </w:tcPr>
          <w:p w14:paraId="12C0039D" w14:textId="08D9047D"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2D6C3E">
              <w:t>N/A</w:t>
            </w:r>
          </w:p>
        </w:tc>
      </w:tr>
      <w:tr w:rsidR="00451702" w:rsidRPr="00635B81" w14:paraId="0E5F9D6F" w14:textId="77777777" w:rsidTr="00AD6F37">
        <w:trPr>
          <w:trHeight w:val="420"/>
        </w:trPr>
        <w:tc>
          <w:tcPr>
            <w:cnfStyle w:val="001000000000" w:firstRow="0" w:lastRow="0" w:firstColumn="1" w:lastColumn="0" w:oddVBand="0" w:evenVBand="0" w:oddHBand="0" w:evenHBand="0" w:firstRowFirstColumn="0" w:firstRowLastColumn="0" w:lastRowFirstColumn="0" w:lastRowLastColumn="0"/>
            <w:tcW w:w="2693" w:type="dxa"/>
          </w:tcPr>
          <w:p w14:paraId="13AD546C" w14:textId="1651A468" w:rsidR="00451702" w:rsidRPr="00635B81" w:rsidRDefault="00451702" w:rsidP="00451702">
            <w:pPr>
              <w:pStyle w:val="TableText"/>
            </w:pPr>
            <w:r w:rsidRPr="005F1D08">
              <w:t xml:space="preserve">New South Wales </w:t>
            </w:r>
          </w:p>
        </w:tc>
        <w:tc>
          <w:tcPr>
            <w:tcW w:w="2975" w:type="dxa"/>
          </w:tcPr>
          <w:p w14:paraId="579A3FC4" w14:textId="77777777" w:rsidR="00451702"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Lismore</w:t>
            </w:r>
          </w:p>
        </w:tc>
        <w:tc>
          <w:tcPr>
            <w:tcW w:w="992" w:type="dxa"/>
          </w:tcPr>
          <w:p w14:paraId="538D2BA0" w14:textId="23075995"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1F0CF9">
              <w:t>N/A</w:t>
            </w:r>
          </w:p>
        </w:tc>
        <w:tc>
          <w:tcPr>
            <w:tcW w:w="992" w:type="dxa"/>
          </w:tcPr>
          <w:p w14:paraId="69CF88C4" w14:textId="418AE096"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1F0CF9">
              <w:t>N/A</w:t>
            </w:r>
          </w:p>
        </w:tc>
        <w:tc>
          <w:tcPr>
            <w:tcW w:w="992" w:type="dxa"/>
          </w:tcPr>
          <w:p w14:paraId="59BEB9C4" w14:textId="5D8207A5" w:rsidR="00451702" w:rsidRPr="00670FD5"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5C491E">
              <w:t>Yes</w:t>
            </w:r>
          </w:p>
        </w:tc>
        <w:tc>
          <w:tcPr>
            <w:tcW w:w="992" w:type="dxa"/>
          </w:tcPr>
          <w:p w14:paraId="04E989FF" w14:textId="088DE3A4"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2D6C3E">
              <w:t>N/A</w:t>
            </w:r>
          </w:p>
        </w:tc>
      </w:tr>
      <w:tr w:rsidR="00451702" w:rsidRPr="00635B81" w14:paraId="22698561" w14:textId="77777777" w:rsidTr="00AD6F37">
        <w:trPr>
          <w:trHeight w:val="420"/>
        </w:trPr>
        <w:tc>
          <w:tcPr>
            <w:cnfStyle w:val="001000000000" w:firstRow="0" w:lastRow="0" w:firstColumn="1" w:lastColumn="0" w:oddVBand="0" w:evenVBand="0" w:oddHBand="0" w:evenHBand="0" w:firstRowFirstColumn="0" w:firstRowLastColumn="0" w:lastRowFirstColumn="0" w:lastRowLastColumn="0"/>
            <w:tcW w:w="2693" w:type="dxa"/>
          </w:tcPr>
          <w:p w14:paraId="05275BBB" w14:textId="551CF17D" w:rsidR="00451702" w:rsidRPr="00635B81" w:rsidRDefault="00451702" w:rsidP="00451702">
            <w:pPr>
              <w:pStyle w:val="TableText"/>
            </w:pPr>
            <w:r w:rsidRPr="005F1D08">
              <w:t xml:space="preserve">New South Wales </w:t>
            </w:r>
          </w:p>
        </w:tc>
        <w:tc>
          <w:tcPr>
            <w:tcW w:w="2975" w:type="dxa"/>
          </w:tcPr>
          <w:p w14:paraId="05675F51" w14:textId="77777777" w:rsidR="00451702"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Nowra</w:t>
            </w:r>
          </w:p>
        </w:tc>
        <w:tc>
          <w:tcPr>
            <w:tcW w:w="992" w:type="dxa"/>
          </w:tcPr>
          <w:p w14:paraId="69C0654A" w14:textId="6C04728E"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1F0CF9">
              <w:t>N/A</w:t>
            </w:r>
          </w:p>
        </w:tc>
        <w:tc>
          <w:tcPr>
            <w:tcW w:w="992" w:type="dxa"/>
          </w:tcPr>
          <w:p w14:paraId="14FAB0EF" w14:textId="07D6C485"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1F0CF9">
              <w:t>N/A</w:t>
            </w:r>
          </w:p>
        </w:tc>
        <w:tc>
          <w:tcPr>
            <w:tcW w:w="992" w:type="dxa"/>
          </w:tcPr>
          <w:p w14:paraId="70628DA0" w14:textId="2F9DA80D" w:rsidR="00451702" w:rsidRPr="008667EE"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5C491E">
              <w:t>Yes</w:t>
            </w:r>
          </w:p>
        </w:tc>
        <w:tc>
          <w:tcPr>
            <w:tcW w:w="992" w:type="dxa"/>
          </w:tcPr>
          <w:p w14:paraId="0FE013F0" w14:textId="4662AED8"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2D6C3E">
              <w:t>N/A</w:t>
            </w:r>
          </w:p>
        </w:tc>
      </w:tr>
      <w:tr w:rsidR="00451702" w:rsidRPr="00635B81" w14:paraId="207A6D47" w14:textId="77777777" w:rsidTr="00AD6F37">
        <w:trPr>
          <w:trHeight w:val="420"/>
        </w:trPr>
        <w:tc>
          <w:tcPr>
            <w:cnfStyle w:val="001000000000" w:firstRow="0" w:lastRow="0" w:firstColumn="1" w:lastColumn="0" w:oddVBand="0" w:evenVBand="0" w:oddHBand="0" w:evenHBand="0" w:firstRowFirstColumn="0" w:firstRowLastColumn="0" w:lastRowFirstColumn="0" w:lastRowLastColumn="0"/>
            <w:tcW w:w="2693" w:type="dxa"/>
          </w:tcPr>
          <w:p w14:paraId="452E8DA4" w14:textId="52691BBB" w:rsidR="00451702" w:rsidRPr="00635B81" w:rsidRDefault="00451702" w:rsidP="00451702">
            <w:pPr>
              <w:pStyle w:val="TableText"/>
            </w:pPr>
            <w:r w:rsidRPr="005F1D08">
              <w:t xml:space="preserve">New South Wales </w:t>
            </w:r>
          </w:p>
        </w:tc>
        <w:tc>
          <w:tcPr>
            <w:tcW w:w="2975" w:type="dxa"/>
          </w:tcPr>
          <w:p w14:paraId="664482AA" w14:textId="77777777" w:rsidR="00451702"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Albury</w:t>
            </w:r>
          </w:p>
        </w:tc>
        <w:tc>
          <w:tcPr>
            <w:tcW w:w="992" w:type="dxa"/>
          </w:tcPr>
          <w:p w14:paraId="6D55A7F8" w14:textId="01ABB218"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1F0CF9">
              <w:t>N/A</w:t>
            </w:r>
          </w:p>
        </w:tc>
        <w:tc>
          <w:tcPr>
            <w:tcW w:w="992" w:type="dxa"/>
          </w:tcPr>
          <w:p w14:paraId="0A19CABC" w14:textId="553DD69E"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1F0CF9">
              <w:t>N/A</w:t>
            </w:r>
          </w:p>
        </w:tc>
        <w:tc>
          <w:tcPr>
            <w:tcW w:w="992" w:type="dxa"/>
          </w:tcPr>
          <w:p w14:paraId="1A8348AB" w14:textId="4242227C" w:rsidR="00451702" w:rsidRPr="008667EE"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5C491E">
              <w:t>Yes</w:t>
            </w:r>
          </w:p>
        </w:tc>
        <w:tc>
          <w:tcPr>
            <w:tcW w:w="992" w:type="dxa"/>
          </w:tcPr>
          <w:p w14:paraId="39878EB4" w14:textId="52DA6B03"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2D6C3E">
              <w:t>N/A</w:t>
            </w:r>
          </w:p>
        </w:tc>
      </w:tr>
      <w:tr w:rsidR="00451702" w:rsidRPr="00635B81" w14:paraId="01EC33C4" w14:textId="77777777" w:rsidTr="00AD6F37">
        <w:trPr>
          <w:trHeight w:val="420"/>
        </w:trPr>
        <w:tc>
          <w:tcPr>
            <w:cnfStyle w:val="001000000000" w:firstRow="0" w:lastRow="0" w:firstColumn="1" w:lastColumn="0" w:oddVBand="0" w:evenVBand="0" w:oddHBand="0" w:evenHBand="0" w:firstRowFirstColumn="0" w:firstRowLastColumn="0" w:lastRowFirstColumn="0" w:lastRowLastColumn="0"/>
            <w:tcW w:w="2693" w:type="dxa"/>
          </w:tcPr>
          <w:p w14:paraId="13BF0720" w14:textId="2559AE2D" w:rsidR="00451702" w:rsidRPr="00635B81" w:rsidRDefault="00451702" w:rsidP="00451702">
            <w:pPr>
              <w:pStyle w:val="TableText"/>
            </w:pPr>
            <w:r w:rsidRPr="005F1D08">
              <w:t xml:space="preserve">New South Wales </w:t>
            </w:r>
          </w:p>
        </w:tc>
        <w:tc>
          <w:tcPr>
            <w:tcW w:w="2975" w:type="dxa"/>
          </w:tcPr>
          <w:p w14:paraId="4C814CB4" w14:textId="77777777" w:rsidR="00451702"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Wingham</w:t>
            </w:r>
          </w:p>
        </w:tc>
        <w:tc>
          <w:tcPr>
            <w:tcW w:w="992" w:type="dxa"/>
          </w:tcPr>
          <w:p w14:paraId="176862CB" w14:textId="32DBE39D"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1F0CF9">
              <w:t>N/A</w:t>
            </w:r>
          </w:p>
        </w:tc>
        <w:tc>
          <w:tcPr>
            <w:tcW w:w="992" w:type="dxa"/>
          </w:tcPr>
          <w:p w14:paraId="1AA2D193" w14:textId="405F3CFF"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1F0CF9">
              <w:t>N/A</w:t>
            </w:r>
          </w:p>
        </w:tc>
        <w:tc>
          <w:tcPr>
            <w:tcW w:w="992" w:type="dxa"/>
          </w:tcPr>
          <w:p w14:paraId="734EC758" w14:textId="55900E2C" w:rsidR="00451702" w:rsidRPr="00670FD5"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5C491E">
              <w:t>Yes</w:t>
            </w:r>
          </w:p>
        </w:tc>
        <w:tc>
          <w:tcPr>
            <w:tcW w:w="992" w:type="dxa"/>
          </w:tcPr>
          <w:p w14:paraId="30427E18" w14:textId="20482410"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2D6C3E">
              <w:t>N/A</w:t>
            </w:r>
          </w:p>
        </w:tc>
      </w:tr>
      <w:tr w:rsidR="00451702" w:rsidRPr="00635B81" w14:paraId="2972C793" w14:textId="77777777" w:rsidTr="00AD6F37">
        <w:trPr>
          <w:trHeight w:val="418"/>
        </w:trPr>
        <w:tc>
          <w:tcPr>
            <w:cnfStyle w:val="001000000000" w:firstRow="0" w:lastRow="0" w:firstColumn="1" w:lastColumn="0" w:oddVBand="0" w:evenVBand="0" w:oddHBand="0" w:evenHBand="0" w:firstRowFirstColumn="0" w:firstRowLastColumn="0" w:lastRowFirstColumn="0" w:lastRowLastColumn="0"/>
            <w:tcW w:w="2693" w:type="dxa"/>
          </w:tcPr>
          <w:p w14:paraId="5D8A9FE5" w14:textId="77777777" w:rsidR="00451702" w:rsidRPr="00635B81" w:rsidRDefault="00451702" w:rsidP="00451702">
            <w:pPr>
              <w:pStyle w:val="TableText"/>
            </w:pPr>
            <w:r w:rsidRPr="00635B81">
              <w:t xml:space="preserve">Queensland </w:t>
            </w:r>
          </w:p>
        </w:tc>
        <w:tc>
          <w:tcPr>
            <w:tcW w:w="2975" w:type="dxa"/>
          </w:tcPr>
          <w:p w14:paraId="6AC3186B"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635B81">
              <w:t xml:space="preserve">Brisbane </w:t>
            </w:r>
          </w:p>
        </w:tc>
        <w:tc>
          <w:tcPr>
            <w:tcW w:w="992" w:type="dxa"/>
          </w:tcPr>
          <w:p w14:paraId="598CA520" w14:textId="086599C3"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D25144">
              <w:t>Yes</w:t>
            </w:r>
          </w:p>
        </w:tc>
        <w:tc>
          <w:tcPr>
            <w:tcW w:w="992" w:type="dxa"/>
          </w:tcPr>
          <w:p w14:paraId="03A797D1" w14:textId="381FCAE8"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83B23">
              <w:t>N/A</w:t>
            </w:r>
          </w:p>
        </w:tc>
        <w:tc>
          <w:tcPr>
            <w:tcW w:w="992" w:type="dxa"/>
          </w:tcPr>
          <w:p w14:paraId="4F77E293" w14:textId="7E22D3E1"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83B23">
              <w:t>N/A</w:t>
            </w:r>
          </w:p>
        </w:tc>
        <w:tc>
          <w:tcPr>
            <w:tcW w:w="992" w:type="dxa"/>
          </w:tcPr>
          <w:p w14:paraId="453BFD57" w14:textId="3FF10A45"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83B23">
              <w:t>N/A</w:t>
            </w:r>
          </w:p>
        </w:tc>
      </w:tr>
      <w:tr w:rsidR="00451702" w:rsidRPr="00635B81" w14:paraId="7C0F9926" w14:textId="77777777" w:rsidTr="00AD6F37">
        <w:trPr>
          <w:trHeight w:val="416"/>
        </w:trPr>
        <w:tc>
          <w:tcPr>
            <w:cnfStyle w:val="001000000000" w:firstRow="0" w:lastRow="0" w:firstColumn="1" w:lastColumn="0" w:oddVBand="0" w:evenVBand="0" w:oddHBand="0" w:evenHBand="0" w:firstRowFirstColumn="0" w:firstRowLastColumn="0" w:lastRowFirstColumn="0" w:lastRowLastColumn="0"/>
            <w:tcW w:w="2693" w:type="dxa"/>
          </w:tcPr>
          <w:p w14:paraId="335F2B7E" w14:textId="4C2D58E9" w:rsidR="00451702" w:rsidRPr="00635B81" w:rsidRDefault="00451702" w:rsidP="00451702">
            <w:pPr>
              <w:pStyle w:val="TableText"/>
            </w:pPr>
            <w:r w:rsidRPr="00710E81">
              <w:t>Queensland</w:t>
            </w:r>
          </w:p>
        </w:tc>
        <w:tc>
          <w:tcPr>
            <w:tcW w:w="2975" w:type="dxa"/>
          </w:tcPr>
          <w:p w14:paraId="58B9ECA5"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635B81">
              <w:t xml:space="preserve">Gold Coast </w:t>
            </w:r>
          </w:p>
        </w:tc>
        <w:tc>
          <w:tcPr>
            <w:tcW w:w="992" w:type="dxa"/>
          </w:tcPr>
          <w:p w14:paraId="6FB866C8" w14:textId="7338508B"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D25144">
              <w:t>Yes</w:t>
            </w:r>
          </w:p>
        </w:tc>
        <w:tc>
          <w:tcPr>
            <w:tcW w:w="992" w:type="dxa"/>
          </w:tcPr>
          <w:p w14:paraId="104BF5A1" w14:textId="36B7F6C1"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83B23">
              <w:t>N/A</w:t>
            </w:r>
          </w:p>
        </w:tc>
        <w:tc>
          <w:tcPr>
            <w:tcW w:w="992" w:type="dxa"/>
          </w:tcPr>
          <w:p w14:paraId="4D1AD56A" w14:textId="19274ADD"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83B23">
              <w:t>N/A</w:t>
            </w:r>
          </w:p>
        </w:tc>
        <w:tc>
          <w:tcPr>
            <w:tcW w:w="992" w:type="dxa"/>
          </w:tcPr>
          <w:p w14:paraId="197A18A1" w14:textId="1D23D1DC"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83B23">
              <w:t>N/A</w:t>
            </w:r>
          </w:p>
        </w:tc>
      </w:tr>
      <w:tr w:rsidR="00451702" w:rsidRPr="00635B81" w14:paraId="2236F266" w14:textId="77777777" w:rsidTr="00AD6F37">
        <w:trPr>
          <w:trHeight w:val="416"/>
        </w:trPr>
        <w:tc>
          <w:tcPr>
            <w:cnfStyle w:val="001000000000" w:firstRow="0" w:lastRow="0" w:firstColumn="1" w:lastColumn="0" w:oddVBand="0" w:evenVBand="0" w:oddHBand="0" w:evenHBand="0" w:firstRowFirstColumn="0" w:firstRowLastColumn="0" w:lastRowFirstColumn="0" w:lastRowLastColumn="0"/>
            <w:tcW w:w="2693" w:type="dxa"/>
          </w:tcPr>
          <w:p w14:paraId="7D733DA3" w14:textId="02B8B1D9" w:rsidR="00451702" w:rsidRPr="00635B81" w:rsidRDefault="00451702" w:rsidP="00451702">
            <w:pPr>
              <w:pStyle w:val="TableText"/>
            </w:pPr>
            <w:r w:rsidRPr="00710E81">
              <w:t>Queensland</w:t>
            </w:r>
          </w:p>
        </w:tc>
        <w:tc>
          <w:tcPr>
            <w:tcW w:w="2975" w:type="dxa"/>
          </w:tcPr>
          <w:p w14:paraId="1CE5D2EE"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Sunshine Coast</w:t>
            </w:r>
          </w:p>
        </w:tc>
        <w:tc>
          <w:tcPr>
            <w:tcW w:w="992" w:type="dxa"/>
          </w:tcPr>
          <w:p w14:paraId="37D9B8F2" w14:textId="3475CCB1"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D25144">
              <w:t>Yes</w:t>
            </w:r>
          </w:p>
        </w:tc>
        <w:tc>
          <w:tcPr>
            <w:tcW w:w="992" w:type="dxa"/>
          </w:tcPr>
          <w:p w14:paraId="3698F681" w14:textId="4A822719"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83B23">
              <w:t>N/A</w:t>
            </w:r>
          </w:p>
        </w:tc>
        <w:tc>
          <w:tcPr>
            <w:tcW w:w="992" w:type="dxa"/>
          </w:tcPr>
          <w:p w14:paraId="25357D7E" w14:textId="136FB7F6"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83B23">
              <w:t>N/A</w:t>
            </w:r>
          </w:p>
        </w:tc>
        <w:tc>
          <w:tcPr>
            <w:tcW w:w="992" w:type="dxa"/>
          </w:tcPr>
          <w:p w14:paraId="101C2152" w14:textId="0236A1C5"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83B23">
              <w:t>N/A</w:t>
            </w:r>
          </w:p>
        </w:tc>
      </w:tr>
      <w:tr w:rsidR="00451702" w:rsidRPr="00635B81" w14:paraId="1551486C" w14:textId="77777777" w:rsidTr="00AD6F37">
        <w:trPr>
          <w:trHeight w:val="416"/>
        </w:trPr>
        <w:tc>
          <w:tcPr>
            <w:cnfStyle w:val="001000000000" w:firstRow="0" w:lastRow="0" w:firstColumn="1" w:lastColumn="0" w:oddVBand="0" w:evenVBand="0" w:oddHBand="0" w:evenHBand="0" w:firstRowFirstColumn="0" w:firstRowLastColumn="0" w:lastRowFirstColumn="0" w:lastRowLastColumn="0"/>
            <w:tcW w:w="2693" w:type="dxa"/>
          </w:tcPr>
          <w:p w14:paraId="30FE01F5" w14:textId="028B8516" w:rsidR="00451702" w:rsidRPr="00635B81" w:rsidRDefault="00451702" w:rsidP="00451702">
            <w:pPr>
              <w:pStyle w:val="TableText"/>
            </w:pPr>
            <w:r w:rsidRPr="00710E81">
              <w:t>Queensland</w:t>
            </w:r>
          </w:p>
        </w:tc>
        <w:tc>
          <w:tcPr>
            <w:tcW w:w="2975" w:type="dxa"/>
          </w:tcPr>
          <w:p w14:paraId="108459A4"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 xml:space="preserve">Rockhampton </w:t>
            </w:r>
            <w:r w:rsidRPr="00635B81">
              <w:t xml:space="preserve"> </w:t>
            </w:r>
          </w:p>
        </w:tc>
        <w:tc>
          <w:tcPr>
            <w:tcW w:w="992" w:type="dxa"/>
          </w:tcPr>
          <w:p w14:paraId="406FA678" w14:textId="2047BD75"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30E68">
              <w:t>N/A</w:t>
            </w:r>
          </w:p>
        </w:tc>
        <w:tc>
          <w:tcPr>
            <w:tcW w:w="992" w:type="dxa"/>
          </w:tcPr>
          <w:p w14:paraId="165224C9" w14:textId="199007AC"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C3521A">
              <w:t>Yes</w:t>
            </w:r>
          </w:p>
        </w:tc>
        <w:tc>
          <w:tcPr>
            <w:tcW w:w="992" w:type="dxa"/>
          </w:tcPr>
          <w:p w14:paraId="6859E8AB" w14:textId="4A61339D"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0A386C">
              <w:t>N/A</w:t>
            </w:r>
          </w:p>
        </w:tc>
        <w:tc>
          <w:tcPr>
            <w:tcW w:w="992" w:type="dxa"/>
          </w:tcPr>
          <w:p w14:paraId="5C3FC40F" w14:textId="4C6CF02D"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0A386C">
              <w:t>N/A</w:t>
            </w:r>
          </w:p>
        </w:tc>
      </w:tr>
      <w:tr w:rsidR="00451702" w:rsidRPr="00635B81" w14:paraId="1486771C" w14:textId="77777777" w:rsidTr="00AD6F37">
        <w:trPr>
          <w:trHeight w:val="416"/>
        </w:trPr>
        <w:tc>
          <w:tcPr>
            <w:cnfStyle w:val="001000000000" w:firstRow="0" w:lastRow="0" w:firstColumn="1" w:lastColumn="0" w:oddVBand="0" w:evenVBand="0" w:oddHBand="0" w:evenHBand="0" w:firstRowFirstColumn="0" w:firstRowLastColumn="0" w:lastRowFirstColumn="0" w:lastRowLastColumn="0"/>
            <w:tcW w:w="2693" w:type="dxa"/>
          </w:tcPr>
          <w:p w14:paraId="6A5409F5" w14:textId="3D7D59C3" w:rsidR="00451702" w:rsidRPr="00635B81" w:rsidRDefault="00451702" w:rsidP="00451702">
            <w:pPr>
              <w:pStyle w:val="TableText"/>
            </w:pPr>
            <w:r w:rsidRPr="00710E81">
              <w:t>Queensland</w:t>
            </w:r>
          </w:p>
        </w:tc>
        <w:tc>
          <w:tcPr>
            <w:tcW w:w="2975" w:type="dxa"/>
          </w:tcPr>
          <w:p w14:paraId="1AC330DE"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635B81">
              <w:t xml:space="preserve">Townsville </w:t>
            </w:r>
          </w:p>
        </w:tc>
        <w:tc>
          <w:tcPr>
            <w:tcW w:w="992" w:type="dxa"/>
          </w:tcPr>
          <w:p w14:paraId="4D367F20" w14:textId="7B3BFAB5"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30E68">
              <w:t>N/A</w:t>
            </w:r>
          </w:p>
        </w:tc>
        <w:tc>
          <w:tcPr>
            <w:tcW w:w="992" w:type="dxa"/>
          </w:tcPr>
          <w:p w14:paraId="3EB7DD98" w14:textId="50678BC2"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C3521A">
              <w:t>Yes</w:t>
            </w:r>
          </w:p>
        </w:tc>
        <w:tc>
          <w:tcPr>
            <w:tcW w:w="992" w:type="dxa"/>
          </w:tcPr>
          <w:p w14:paraId="2EBCEA6F" w14:textId="0E05FA76"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0A386C">
              <w:t>N/A</w:t>
            </w:r>
          </w:p>
        </w:tc>
        <w:tc>
          <w:tcPr>
            <w:tcW w:w="992" w:type="dxa"/>
          </w:tcPr>
          <w:p w14:paraId="207A727A" w14:textId="0A46D36E"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0A386C">
              <w:t>N/A</w:t>
            </w:r>
          </w:p>
        </w:tc>
      </w:tr>
      <w:tr w:rsidR="00451702" w:rsidRPr="00635B81" w14:paraId="50344505" w14:textId="77777777" w:rsidTr="00AD6F37">
        <w:trPr>
          <w:trHeight w:val="416"/>
        </w:trPr>
        <w:tc>
          <w:tcPr>
            <w:cnfStyle w:val="001000000000" w:firstRow="0" w:lastRow="0" w:firstColumn="1" w:lastColumn="0" w:oddVBand="0" w:evenVBand="0" w:oddHBand="0" w:evenHBand="0" w:firstRowFirstColumn="0" w:firstRowLastColumn="0" w:lastRowFirstColumn="0" w:lastRowLastColumn="0"/>
            <w:tcW w:w="2693" w:type="dxa"/>
          </w:tcPr>
          <w:p w14:paraId="059416E9" w14:textId="0CE9643B" w:rsidR="00451702" w:rsidRPr="00635B81" w:rsidRDefault="00451702" w:rsidP="00451702">
            <w:pPr>
              <w:pStyle w:val="TableText"/>
            </w:pPr>
            <w:r w:rsidRPr="00710E81">
              <w:t>Queensland</w:t>
            </w:r>
          </w:p>
        </w:tc>
        <w:tc>
          <w:tcPr>
            <w:tcW w:w="2975" w:type="dxa"/>
          </w:tcPr>
          <w:p w14:paraId="2D54F76D"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Toowoomba</w:t>
            </w:r>
          </w:p>
        </w:tc>
        <w:tc>
          <w:tcPr>
            <w:tcW w:w="992" w:type="dxa"/>
          </w:tcPr>
          <w:p w14:paraId="2FA4D47C" w14:textId="470DDD5A"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30E68">
              <w:t>N/A</w:t>
            </w:r>
          </w:p>
        </w:tc>
        <w:tc>
          <w:tcPr>
            <w:tcW w:w="992" w:type="dxa"/>
          </w:tcPr>
          <w:p w14:paraId="61786240" w14:textId="7E06E8E6"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C3521A">
              <w:t>Yes</w:t>
            </w:r>
          </w:p>
        </w:tc>
        <w:tc>
          <w:tcPr>
            <w:tcW w:w="992" w:type="dxa"/>
          </w:tcPr>
          <w:p w14:paraId="625E1CD8" w14:textId="16662DFA"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0A386C">
              <w:t>N/A</w:t>
            </w:r>
          </w:p>
        </w:tc>
        <w:tc>
          <w:tcPr>
            <w:tcW w:w="992" w:type="dxa"/>
          </w:tcPr>
          <w:p w14:paraId="4F858460" w14:textId="5A29D7B6"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0A386C">
              <w:t>N/A</w:t>
            </w:r>
          </w:p>
        </w:tc>
      </w:tr>
      <w:tr w:rsidR="00451702" w:rsidRPr="00635B81" w14:paraId="4A3070F1" w14:textId="77777777" w:rsidTr="00AD6F37">
        <w:trPr>
          <w:trHeight w:val="416"/>
        </w:trPr>
        <w:tc>
          <w:tcPr>
            <w:cnfStyle w:val="001000000000" w:firstRow="0" w:lastRow="0" w:firstColumn="1" w:lastColumn="0" w:oddVBand="0" w:evenVBand="0" w:oddHBand="0" w:evenHBand="0" w:firstRowFirstColumn="0" w:firstRowLastColumn="0" w:lastRowFirstColumn="0" w:lastRowLastColumn="0"/>
            <w:tcW w:w="2693" w:type="dxa"/>
          </w:tcPr>
          <w:p w14:paraId="0048AB1C" w14:textId="70B6E7D3" w:rsidR="00451702" w:rsidRPr="00635B81" w:rsidRDefault="00451702" w:rsidP="00451702">
            <w:pPr>
              <w:pStyle w:val="TableText"/>
            </w:pPr>
            <w:r w:rsidRPr="00710E81">
              <w:t>Queensland</w:t>
            </w:r>
          </w:p>
        </w:tc>
        <w:tc>
          <w:tcPr>
            <w:tcW w:w="2975" w:type="dxa"/>
          </w:tcPr>
          <w:p w14:paraId="65DF0E20" w14:textId="77777777" w:rsidR="00451702"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Bundaberg</w:t>
            </w:r>
          </w:p>
        </w:tc>
        <w:tc>
          <w:tcPr>
            <w:tcW w:w="992" w:type="dxa"/>
          </w:tcPr>
          <w:p w14:paraId="392DC08F" w14:textId="79F1993D"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30E68">
              <w:t>N/A</w:t>
            </w:r>
          </w:p>
        </w:tc>
        <w:tc>
          <w:tcPr>
            <w:tcW w:w="992" w:type="dxa"/>
          </w:tcPr>
          <w:p w14:paraId="2B410D1C" w14:textId="2C673FFC"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C3521A">
              <w:t>Yes</w:t>
            </w:r>
          </w:p>
        </w:tc>
        <w:tc>
          <w:tcPr>
            <w:tcW w:w="992" w:type="dxa"/>
          </w:tcPr>
          <w:p w14:paraId="79A0B8DF" w14:textId="68FE90A2"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0A386C">
              <w:t>N/A</w:t>
            </w:r>
          </w:p>
        </w:tc>
        <w:tc>
          <w:tcPr>
            <w:tcW w:w="992" w:type="dxa"/>
          </w:tcPr>
          <w:p w14:paraId="25E12AB7" w14:textId="1245362A"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0A386C">
              <w:t>N/A</w:t>
            </w:r>
          </w:p>
        </w:tc>
      </w:tr>
      <w:tr w:rsidR="00451702" w:rsidRPr="00635B81" w14:paraId="2AE27EF2" w14:textId="77777777" w:rsidTr="00AD6F37">
        <w:trPr>
          <w:trHeight w:val="416"/>
        </w:trPr>
        <w:tc>
          <w:tcPr>
            <w:cnfStyle w:val="001000000000" w:firstRow="0" w:lastRow="0" w:firstColumn="1" w:lastColumn="0" w:oddVBand="0" w:evenVBand="0" w:oddHBand="0" w:evenHBand="0" w:firstRowFirstColumn="0" w:firstRowLastColumn="0" w:lastRowFirstColumn="0" w:lastRowLastColumn="0"/>
            <w:tcW w:w="2693" w:type="dxa"/>
          </w:tcPr>
          <w:p w14:paraId="3F69ABD0" w14:textId="33E872ED" w:rsidR="00451702" w:rsidRPr="00635B81" w:rsidRDefault="00451702" w:rsidP="00451702">
            <w:pPr>
              <w:pStyle w:val="TableText"/>
            </w:pPr>
            <w:r w:rsidRPr="00710E81">
              <w:t>Queensland</w:t>
            </w:r>
          </w:p>
        </w:tc>
        <w:tc>
          <w:tcPr>
            <w:tcW w:w="2975" w:type="dxa"/>
          </w:tcPr>
          <w:p w14:paraId="623435F0" w14:textId="77777777" w:rsidR="00451702"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Mackay</w:t>
            </w:r>
          </w:p>
        </w:tc>
        <w:tc>
          <w:tcPr>
            <w:tcW w:w="992" w:type="dxa"/>
          </w:tcPr>
          <w:p w14:paraId="08061C85" w14:textId="4490A74E"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30E68">
              <w:t>N/A</w:t>
            </w:r>
          </w:p>
        </w:tc>
        <w:tc>
          <w:tcPr>
            <w:tcW w:w="992" w:type="dxa"/>
          </w:tcPr>
          <w:p w14:paraId="6D80D61B" w14:textId="12837FA3"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C3521A">
              <w:t>Yes</w:t>
            </w:r>
          </w:p>
        </w:tc>
        <w:tc>
          <w:tcPr>
            <w:tcW w:w="992" w:type="dxa"/>
          </w:tcPr>
          <w:p w14:paraId="02A2C811" w14:textId="08FF7544"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0A386C">
              <w:t>N/A</w:t>
            </w:r>
          </w:p>
        </w:tc>
        <w:tc>
          <w:tcPr>
            <w:tcW w:w="992" w:type="dxa"/>
          </w:tcPr>
          <w:p w14:paraId="39E1EA33" w14:textId="043BA2F5"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0A386C">
              <w:t>N/A</w:t>
            </w:r>
          </w:p>
        </w:tc>
      </w:tr>
      <w:tr w:rsidR="00451702" w:rsidRPr="00635B81" w14:paraId="3A6220C7" w14:textId="77777777" w:rsidTr="00AD6F37">
        <w:trPr>
          <w:trHeight w:val="416"/>
        </w:trPr>
        <w:tc>
          <w:tcPr>
            <w:cnfStyle w:val="001000000000" w:firstRow="0" w:lastRow="0" w:firstColumn="1" w:lastColumn="0" w:oddVBand="0" w:evenVBand="0" w:oddHBand="0" w:evenHBand="0" w:firstRowFirstColumn="0" w:firstRowLastColumn="0" w:lastRowFirstColumn="0" w:lastRowLastColumn="0"/>
            <w:tcW w:w="2693" w:type="dxa"/>
          </w:tcPr>
          <w:p w14:paraId="4E2CE148" w14:textId="778DCFE0" w:rsidR="00451702" w:rsidRPr="00635B81" w:rsidRDefault="00451702" w:rsidP="00451702">
            <w:pPr>
              <w:pStyle w:val="TableText"/>
            </w:pPr>
            <w:r w:rsidRPr="00710E81">
              <w:t>Queensland</w:t>
            </w:r>
          </w:p>
        </w:tc>
        <w:tc>
          <w:tcPr>
            <w:tcW w:w="2975" w:type="dxa"/>
          </w:tcPr>
          <w:p w14:paraId="56243604" w14:textId="77777777" w:rsidR="00451702"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 xml:space="preserve">Cairns </w:t>
            </w:r>
          </w:p>
        </w:tc>
        <w:tc>
          <w:tcPr>
            <w:tcW w:w="992" w:type="dxa"/>
          </w:tcPr>
          <w:p w14:paraId="46391FAE" w14:textId="7C6F35C5"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30E68">
              <w:t>N/A</w:t>
            </w:r>
          </w:p>
        </w:tc>
        <w:tc>
          <w:tcPr>
            <w:tcW w:w="992" w:type="dxa"/>
          </w:tcPr>
          <w:p w14:paraId="18812317" w14:textId="5C486DBC"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C3521A">
              <w:t>Yes</w:t>
            </w:r>
          </w:p>
        </w:tc>
        <w:tc>
          <w:tcPr>
            <w:tcW w:w="992" w:type="dxa"/>
          </w:tcPr>
          <w:p w14:paraId="2D2BEAC5" w14:textId="4B426015"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0A386C">
              <w:t>N/A</w:t>
            </w:r>
          </w:p>
        </w:tc>
        <w:tc>
          <w:tcPr>
            <w:tcW w:w="992" w:type="dxa"/>
          </w:tcPr>
          <w:p w14:paraId="08DA5100" w14:textId="7EE73F3B"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0A386C">
              <w:t>N/A</w:t>
            </w:r>
          </w:p>
        </w:tc>
      </w:tr>
      <w:tr w:rsidR="00451702" w:rsidRPr="00635B81" w14:paraId="6305B857" w14:textId="77777777" w:rsidTr="00AD6F37">
        <w:trPr>
          <w:trHeight w:val="416"/>
        </w:trPr>
        <w:tc>
          <w:tcPr>
            <w:cnfStyle w:val="001000000000" w:firstRow="0" w:lastRow="0" w:firstColumn="1" w:lastColumn="0" w:oddVBand="0" w:evenVBand="0" w:oddHBand="0" w:evenHBand="0" w:firstRowFirstColumn="0" w:firstRowLastColumn="0" w:lastRowFirstColumn="0" w:lastRowLastColumn="0"/>
            <w:tcW w:w="2693" w:type="dxa"/>
          </w:tcPr>
          <w:p w14:paraId="61903979" w14:textId="166CC627" w:rsidR="00451702" w:rsidRPr="00635B81" w:rsidRDefault="00451702" w:rsidP="00451702">
            <w:pPr>
              <w:pStyle w:val="TableText"/>
            </w:pPr>
            <w:r w:rsidRPr="00710E81">
              <w:t>Queensland</w:t>
            </w:r>
          </w:p>
        </w:tc>
        <w:tc>
          <w:tcPr>
            <w:tcW w:w="2975" w:type="dxa"/>
          </w:tcPr>
          <w:p w14:paraId="2D366ECC"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Maryborough</w:t>
            </w:r>
          </w:p>
        </w:tc>
        <w:tc>
          <w:tcPr>
            <w:tcW w:w="992" w:type="dxa"/>
          </w:tcPr>
          <w:p w14:paraId="1C4545C7" w14:textId="5A909B24"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B20D13">
              <w:t>N/A</w:t>
            </w:r>
          </w:p>
        </w:tc>
        <w:tc>
          <w:tcPr>
            <w:tcW w:w="992" w:type="dxa"/>
          </w:tcPr>
          <w:p w14:paraId="2892A994" w14:textId="789C9BED"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B20D13">
              <w:t>N/A</w:t>
            </w:r>
          </w:p>
        </w:tc>
        <w:tc>
          <w:tcPr>
            <w:tcW w:w="992" w:type="dxa"/>
          </w:tcPr>
          <w:p w14:paraId="1D8054C8" w14:textId="133E7A09"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5C491E">
              <w:t>Yes</w:t>
            </w:r>
          </w:p>
        </w:tc>
        <w:tc>
          <w:tcPr>
            <w:tcW w:w="992" w:type="dxa"/>
          </w:tcPr>
          <w:p w14:paraId="5F41311B" w14:textId="131E59BA"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C053F">
              <w:t>N/A</w:t>
            </w:r>
          </w:p>
        </w:tc>
      </w:tr>
      <w:tr w:rsidR="00451702" w:rsidRPr="00635B81" w14:paraId="2B531442" w14:textId="77777777" w:rsidTr="00AD6F37">
        <w:trPr>
          <w:trHeight w:val="415"/>
        </w:trPr>
        <w:tc>
          <w:tcPr>
            <w:cnfStyle w:val="001000000000" w:firstRow="0" w:lastRow="0" w:firstColumn="1" w:lastColumn="0" w:oddVBand="0" w:evenVBand="0" w:oddHBand="0" w:evenHBand="0" w:firstRowFirstColumn="0" w:firstRowLastColumn="0" w:lastRowFirstColumn="0" w:lastRowLastColumn="0"/>
            <w:tcW w:w="2693" w:type="dxa"/>
          </w:tcPr>
          <w:p w14:paraId="6D7DD225" w14:textId="77777777" w:rsidR="00451702" w:rsidRPr="00635B81" w:rsidRDefault="00451702" w:rsidP="00451702">
            <w:pPr>
              <w:pStyle w:val="TableText"/>
            </w:pPr>
            <w:r w:rsidRPr="00635B81">
              <w:t xml:space="preserve">Victoria </w:t>
            </w:r>
          </w:p>
        </w:tc>
        <w:tc>
          <w:tcPr>
            <w:tcW w:w="2975" w:type="dxa"/>
          </w:tcPr>
          <w:p w14:paraId="3A553854"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635B81">
              <w:t xml:space="preserve">Melbourne </w:t>
            </w:r>
          </w:p>
        </w:tc>
        <w:tc>
          <w:tcPr>
            <w:tcW w:w="992" w:type="dxa"/>
          </w:tcPr>
          <w:p w14:paraId="725EC222" w14:textId="22F9E1F3"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5C491E">
              <w:t>Yes</w:t>
            </w:r>
          </w:p>
        </w:tc>
        <w:tc>
          <w:tcPr>
            <w:tcW w:w="992" w:type="dxa"/>
          </w:tcPr>
          <w:p w14:paraId="384A8777" w14:textId="732B55BB"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30E68">
              <w:t>N/A</w:t>
            </w:r>
          </w:p>
        </w:tc>
        <w:tc>
          <w:tcPr>
            <w:tcW w:w="992" w:type="dxa"/>
          </w:tcPr>
          <w:p w14:paraId="1E3BB67A" w14:textId="7CD968C1"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0E46E8">
              <w:t>N/A</w:t>
            </w:r>
          </w:p>
        </w:tc>
        <w:tc>
          <w:tcPr>
            <w:tcW w:w="992" w:type="dxa"/>
          </w:tcPr>
          <w:p w14:paraId="73D41C6A" w14:textId="0E64EFD8"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C053F">
              <w:t>N/A</w:t>
            </w:r>
          </w:p>
        </w:tc>
      </w:tr>
      <w:tr w:rsidR="00451702" w:rsidRPr="00635B81" w14:paraId="3EE0AEEC" w14:textId="77777777" w:rsidTr="00AD6F37">
        <w:trPr>
          <w:trHeight w:val="412"/>
        </w:trPr>
        <w:tc>
          <w:tcPr>
            <w:cnfStyle w:val="001000000000" w:firstRow="0" w:lastRow="0" w:firstColumn="1" w:lastColumn="0" w:oddVBand="0" w:evenVBand="0" w:oddHBand="0" w:evenHBand="0" w:firstRowFirstColumn="0" w:firstRowLastColumn="0" w:lastRowFirstColumn="0" w:lastRowLastColumn="0"/>
            <w:tcW w:w="2693" w:type="dxa"/>
          </w:tcPr>
          <w:p w14:paraId="2D3CE44C" w14:textId="55F108A5" w:rsidR="00451702" w:rsidRPr="00635B81" w:rsidRDefault="00451702" w:rsidP="00451702">
            <w:pPr>
              <w:pStyle w:val="TableText"/>
            </w:pPr>
            <w:r w:rsidRPr="002953AB">
              <w:t xml:space="preserve">Victoria </w:t>
            </w:r>
          </w:p>
        </w:tc>
        <w:tc>
          <w:tcPr>
            <w:tcW w:w="2975" w:type="dxa"/>
          </w:tcPr>
          <w:p w14:paraId="1CA24E0D"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635B81">
              <w:t xml:space="preserve">Geelong </w:t>
            </w:r>
          </w:p>
        </w:tc>
        <w:tc>
          <w:tcPr>
            <w:tcW w:w="992" w:type="dxa"/>
          </w:tcPr>
          <w:p w14:paraId="19991CCB" w14:textId="02830386"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690913">
              <w:t>N/A</w:t>
            </w:r>
          </w:p>
        </w:tc>
        <w:tc>
          <w:tcPr>
            <w:tcW w:w="992" w:type="dxa"/>
          </w:tcPr>
          <w:p w14:paraId="21F269F2" w14:textId="3B4E8B22"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CC1806">
              <w:t>Yes</w:t>
            </w:r>
          </w:p>
        </w:tc>
        <w:tc>
          <w:tcPr>
            <w:tcW w:w="992" w:type="dxa"/>
          </w:tcPr>
          <w:p w14:paraId="6BD7265A" w14:textId="3B94A089"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0E46E8">
              <w:t>N/A</w:t>
            </w:r>
          </w:p>
        </w:tc>
        <w:tc>
          <w:tcPr>
            <w:tcW w:w="992" w:type="dxa"/>
          </w:tcPr>
          <w:p w14:paraId="37E748CD" w14:textId="5151D895"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C053F">
              <w:t>N/A</w:t>
            </w:r>
          </w:p>
        </w:tc>
      </w:tr>
      <w:tr w:rsidR="00451702" w:rsidRPr="00635B81" w14:paraId="18874FAC" w14:textId="77777777" w:rsidTr="00AD6F37">
        <w:trPr>
          <w:trHeight w:val="412"/>
        </w:trPr>
        <w:tc>
          <w:tcPr>
            <w:cnfStyle w:val="001000000000" w:firstRow="0" w:lastRow="0" w:firstColumn="1" w:lastColumn="0" w:oddVBand="0" w:evenVBand="0" w:oddHBand="0" w:evenHBand="0" w:firstRowFirstColumn="0" w:firstRowLastColumn="0" w:lastRowFirstColumn="0" w:lastRowLastColumn="0"/>
            <w:tcW w:w="2693" w:type="dxa"/>
          </w:tcPr>
          <w:p w14:paraId="4CA37464" w14:textId="1AE575F0" w:rsidR="00451702" w:rsidRPr="00635B81" w:rsidRDefault="00451702" w:rsidP="00451702">
            <w:pPr>
              <w:pStyle w:val="TableText"/>
            </w:pPr>
            <w:r w:rsidRPr="002953AB">
              <w:t xml:space="preserve">Victoria </w:t>
            </w:r>
          </w:p>
        </w:tc>
        <w:tc>
          <w:tcPr>
            <w:tcW w:w="2975" w:type="dxa"/>
          </w:tcPr>
          <w:p w14:paraId="7CBFC057"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Ballarat</w:t>
            </w:r>
            <w:r w:rsidRPr="00635B81">
              <w:t xml:space="preserve"> </w:t>
            </w:r>
          </w:p>
        </w:tc>
        <w:tc>
          <w:tcPr>
            <w:tcW w:w="992" w:type="dxa"/>
          </w:tcPr>
          <w:p w14:paraId="6342B9EC" w14:textId="772AE8BE"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690913">
              <w:t>N/A</w:t>
            </w:r>
          </w:p>
        </w:tc>
        <w:tc>
          <w:tcPr>
            <w:tcW w:w="992" w:type="dxa"/>
          </w:tcPr>
          <w:p w14:paraId="11E3775E" w14:textId="5BE660F2"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CC1806">
              <w:t>Yes</w:t>
            </w:r>
          </w:p>
        </w:tc>
        <w:tc>
          <w:tcPr>
            <w:tcW w:w="992" w:type="dxa"/>
          </w:tcPr>
          <w:p w14:paraId="5E670273" w14:textId="4FDF7B50"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0E46E8">
              <w:t>N/A</w:t>
            </w:r>
          </w:p>
        </w:tc>
        <w:tc>
          <w:tcPr>
            <w:tcW w:w="992" w:type="dxa"/>
          </w:tcPr>
          <w:p w14:paraId="30D5E38C" w14:textId="4BEE9EED"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C053F">
              <w:t>N/A</w:t>
            </w:r>
          </w:p>
        </w:tc>
      </w:tr>
      <w:tr w:rsidR="00451702" w:rsidRPr="00635B81" w14:paraId="0C76FB5D" w14:textId="77777777" w:rsidTr="00AD6F37">
        <w:trPr>
          <w:trHeight w:val="412"/>
        </w:trPr>
        <w:tc>
          <w:tcPr>
            <w:cnfStyle w:val="001000000000" w:firstRow="0" w:lastRow="0" w:firstColumn="1" w:lastColumn="0" w:oddVBand="0" w:evenVBand="0" w:oddHBand="0" w:evenHBand="0" w:firstRowFirstColumn="0" w:firstRowLastColumn="0" w:lastRowFirstColumn="0" w:lastRowLastColumn="0"/>
            <w:tcW w:w="2693" w:type="dxa"/>
          </w:tcPr>
          <w:p w14:paraId="1A083CD9" w14:textId="6FEA436A" w:rsidR="00451702" w:rsidRPr="00635B81" w:rsidRDefault="00451702" w:rsidP="00451702">
            <w:pPr>
              <w:pStyle w:val="TableText"/>
            </w:pPr>
            <w:r w:rsidRPr="002953AB">
              <w:t xml:space="preserve">Victoria </w:t>
            </w:r>
          </w:p>
        </w:tc>
        <w:tc>
          <w:tcPr>
            <w:tcW w:w="2975" w:type="dxa"/>
          </w:tcPr>
          <w:p w14:paraId="7B4B28D7"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Bendigo</w:t>
            </w:r>
            <w:r w:rsidRPr="00635B81">
              <w:t xml:space="preserve"> </w:t>
            </w:r>
          </w:p>
        </w:tc>
        <w:tc>
          <w:tcPr>
            <w:tcW w:w="992" w:type="dxa"/>
          </w:tcPr>
          <w:p w14:paraId="0D6AB765" w14:textId="442FC2A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690913">
              <w:t>N/A</w:t>
            </w:r>
          </w:p>
        </w:tc>
        <w:tc>
          <w:tcPr>
            <w:tcW w:w="992" w:type="dxa"/>
          </w:tcPr>
          <w:p w14:paraId="520A57C3" w14:textId="27075923"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CC1806">
              <w:t>Yes</w:t>
            </w:r>
          </w:p>
        </w:tc>
        <w:tc>
          <w:tcPr>
            <w:tcW w:w="992" w:type="dxa"/>
          </w:tcPr>
          <w:p w14:paraId="71D5A4E9" w14:textId="4B8A9A35"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0E46E8">
              <w:t>N/A</w:t>
            </w:r>
          </w:p>
        </w:tc>
        <w:tc>
          <w:tcPr>
            <w:tcW w:w="992" w:type="dxa"/>
          </w:tcPr>
          <w:p w14:paraId="2C246D04" w14:textId="1C53B8ED"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C053F">
              <w:t>N/A</w:t>
            </w:r>
          </w:p>
        </w:tc>
      </w:tr>
      <w:tr w:rsidR="00451702" w:rsidRPr="00635B81" w14:paraId="1058E949" w14:textId="77777777" w:rsidTr="00AD6F37">
        <w:trPr>
          <w:trHeight w:val="412"/>
        </w:trPr>
        <w:tc>
          <w:tcPr>
            <w:cnfStyle w:val="001000000000" w:firstRow="0" w:lastRow="0" w:firstColumn="1" w:lastColumn="0" w:oddVBand="0" w:evenVBand="0" w:oddHBand="0" w:evenHBand="0" w:firstRowFirstColumn="0" w:firstRowLastColumn="0" w:lastRowFirstColumn="0" w:lastRowLastColumn="0"/>
            <w:tcW w:w="2693" w:type="dxa"/>
          </w:tcPr>
          <w:p w14:paraId="4B95C825" w14:textId="09292170" w:rsidR="00451702" w:rsidRPr="00635B81" w:rsidRDefault="00451702" w:rsidP="00451702">
            <w:pPr>
              <w:pStyle w:val="TableText"/>
            </w:pPr>
            <w:r w:rsidRPr="002953AB">
              <w:t xml:space="preserve">Victoria </w:t>
            </w:r>
          </w:p>
        </w:tc>
        <w:tc>
          <w:tcPr>
            <w:tcW w:w="2975" w:type="dxa"/>
          </w:tcPr>
          <w:p w14:paraId="528D433D"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Traralgon</w:t>
            </w:r>
            <w:r w:rsidRPr="00635B81">
              <w:t xml:space="preserve"> </w:t>
            </w:r>
          </w:p>
        </w:tc>
        <w:tc>
          <w:tcPr>
            <w:tcW w:w="992" w:type="dxa"/>
          </w:tcPr>
          <w:p w14:paraId="1059638A" w14:textId="774B545C"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690913">
              <w:t>N/A</w:t>
            </w:r>
          </w:p>
        </w:tc>
        <w:tc>
          <w:tcPr>
            <w:tcW w:w="992" w:type="dxa"/>
          </w:tcPr>
          <w:p w14:paraId="504C5995" w14:textId="1049D6DA"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535442">
              <w:t>N/A</w:t>
            </w:r>
          </w:p>
        </w:tc>
        <w:tc>
          <w:tcPr>
            <w:tcW w:w="992" w:type="dxa"/>
          </w:tcPr>
          <w:p w14:paraId="1C1588AA" w14:textId="12BA23CF"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DF4A10">
              <w:t>Yes</w:t>
            </w:r>
          </w:p>
        </w:tc>
        <w:tc>
          <w:tcPr>
            <w:tcW w:w="992" w:type="dxa"/>
          </w:tcPr>
          <w:p w14:paraId="0128ABF1" w14:textId="52EA12DF"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C053F">
              <w:t>N/A</w:t>
            </w:r>
          </w:p>
        </w:tc>
      </w:tr>
      <w:tr w:rsidR="00451702" w:rsidRPr="00635B81" w14:paraId="6C6A302F" w14:textId="77777777" w:rsidTr="00AD6F37">
        <w:trPr>
          <w:trHeight w:val="412"/>
        </w:trPr>
        <w:tc>
          <w:tcPr>
            <w:cnfStyle w:val="001000000000" w:firstRow="0" w:lastRow="0" w:firstColumn="1" w:lastColumn="0" w:oddVBand="0" w:evenVBand="0" w:oddHBand="0" w:evenHBand="0" w:firstRowFirstColumn="0" w:firstRowLastColumn="0" w:lastRowFirstColumn="0" w:lastRowLastColumn="0"/>
            <w:tcW w:w="2693" w:type="dxa"/>
          </w:tcPr>
          <w:p w14:paraId="3DFA59DB" w14:textId="09F476C5" w:rsidR="00451702" w:rsidRPr="00635B81" w:rsidRDefault="00451702" w:rsidP="00451702">
            <w:pPr>
              <w:pStyle w:val="TableText"/>
            </w:pPr>
            <w:r w:rsidRPr="002953AB">
              <w:t xml:space="preserve">Victoria </w:t>
            </w:r>
          </w:p>
        </w:tc>
        <w:tc>
          <w:tcPr>
            <w:tcW w:w="2975" w:type="dxa"/>
          </w:tcPr>
          <w:p w14:paraId="26196DAD"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Mildura</w:t>
            </w:r>
            <w:r w:rsidRPr="00635B81">
              <w:t xml:space="preserve"> </w:t>
            </w:r>
          </w:p>
        </w:tc>
        <w:tc>
          <w:tcPr>
            <w:tcW w:w="992" w:type="dxa"/>
          </w:tcPr>
          <w:p w14:paraId="38914C5B" w14:textId="1FF04981"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690913">
              <w:t>N/A</w:t>
            </w:r>
          </w:p>
        </w:tc>
        <w:tc>
          <w:tcPr>
            <w:tcW w:w="992" w:type="dxa"/>
          </w:tcPr>
          <w:p w14:paraId="392B15FA" w14:textId="7BC41480"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535442">
              <w:t>N/A</w:t>
            </w:r>
          </w:p>
        </w:tc>
        <w:tc>
          <w:tcPr>
            <w:tcW w:w="992" w:type="dxa"/>
          </w:tcPr>
          <w:p w14:paraId="44F6E645" w14:textId="37406FE5"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DF4A10">
              <w:t>Yes</w:t>
            </w:r>
          </w:p>
        </w:tc>
        <w:tc>
          <w:tcPr>
            <w:tcW w:w="992" w:type="dxa"/>
          </w:tcPr>
          <w:p w14:paraId="4EECC5B9" w14:textId="78E2C661"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C053F">
              <w:t>N/A</w:t>
            </w:r>
          </w:p>
        </w:tc>
      </w:tr>
      <w:tr w:rsidR="00451702" w:rsidRPr="00635B81" w14:paraId="122AFB39" w14:textId="77777777" w:rsidTr="00AD6F37">
        <w:trPr>
          <w:trHeight w:val="399"/>
        </w:trPr>
        <w:tc>
          <w:tcPr>
            <w:cnfStyle w:val="001000000000" w:firstRow="0" w:lastRow="0" w:firstColumn="1" w:lastColumn="0" w:oddVBand="0" w:evenVBand="0" w:oddHBand="0" w:evenHBand="0" w:firstRowFirstColumn="0" w:firstRowLastColumn="0" w:lastRowFirstColumn="0" w:lastRowLastColumn="0"/>
            <w:tcW w:w="2693" w:type="dxa"/>
          </w:tcPr>
          <w:p w14:paraId="40C75D15" w14:textId="77777777" w:rsidR="00451702" w:rsidRPr="00635B81" w:rsidRDefault="00451702" w:rsidP="00451702">
            <w:pPr>
              <w:pStyle w:val="TableText"/>
            </w:pPr>
            <w:r w:rsidRPr="00635B81">
              <w:t>South Australia</w:t>
            </w:r>
          </w:p>
        </w:tc>
        <w:tc>
          <w:tcPr>
            <w:tcW w:w="2975" w:type="dxa"/>
          </w:tcPr>
          <w:p w14:paraId="3C9810AF"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635B81">
              <w:t xml:space="preserve">Adelaide </w:t>
            </w:r>
          </w:p>
        </w:tc>
        <w:tc>
          <w:tcPr>
            <w:tcW w:w="992" w:type="dxa"/>
          </w:tcPr>
          <w:p w14:paraId="30C4DA46" w14:textId="2EA28E34"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5C491E">
              <w:t>Yes</w:t>
            </w:r>
          </w:p>
        </w:tc>
        <w:tc>
          <w:tcPr>
            <w:tcW w:w="992" w:type="dxa"/>
          </w:tcPr>
          <w:p w14:paraId="0AF67AF6" w14:textId="2C537241"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535442">
              <w:t>N/A</w:t>
            </w:r>
          </w:p>
        </w:tc>
        <w:tc>
          <w:tcPr>
            <w:tcW w:w="992" w:type="dxa"/>
          </w:tcPr>
          <w:p w14:paraId="2CD7E671" w14:textId="0A55A1B1"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30E68">
              <w:t>N/A</w:t>
            </w:r>
          </w:p>
        </w:tc>
        <w:tc>
          <w:tcPr>
            <w:tcW w:w="992" w:type="dxa"/>
          </w:tcPr>
          <w:p w14:paraId="71B043EE" w14:textId="2EE1817B"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C053F">
              <w:t>N/A</w:t>
            </w:r>
          </w:p>
        </w:tc>
      </w:tr>
      <w:tr w:rsidR="00451702" w:rsidRPr="00635B81" w14:paraId="710B5B0D" w14:textId="77777777" w:rsidTr="00AD6F37">
        <w:trPr>
          <w:trHeight w:val="399"/>
        </w:trPr>
        <w:tc>
          <w:tcPr>
            <w:cnfStyle w:val="001000000000" w:firstRow="0" w:lastRow="0" w:firstColumn="1" w:lastColumn="0" w:oddVBand="0" w:evenVBand="0" w:oddHBand="0" w:evenHBand="0" w:firstRowFirstColumn="0" w:firstRowLastColumn="0" w:lastRowFirstColumn="0" w:lastRowLastColumn="0"/>
            <w:tcW w:w="2693" w:type="dxa"/>
          </w:tcPr>
          <w:p w14:paraId="15F473A1" w14:textId="52180059" w:rsidR="00451702" w:rsidRPr="00635B81" w:rsidRDefault="00451702" w:rsidP="00451702">
            <w:pPr>
              <w:pStyle w:val="TableText"/>
            </w:pPr>
            <w:r w:rsidRPr="00985256">
              <w:t>South Australia</w:t>
            </w:r>
          </w:p>
        </w:tc>
        <w:tc>
          <w:tcPr>
            <w:tcW w:w="2975" w:type="dxa"/>
          </w:tcPr>
          <w:p w14:paraId="74128C5F"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Whyalla</w:t>
            </w:r>
            <w:r w:rsidRPr="00635B81">
              <w:t xml:space="preserve"> </w:t>
            </w:r>
          </w:p>
        </w:tc>
        <w:tc>
          <w:tcPr>
            <w:tcW w:w="992" w:type="dxa"/>
          </w:tcPr>
          <w:p w14:paraId="06A006F6" w14:textId="492C636B"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F2337D">
              <w:t>N/A</w:t>
            </w:r>
          </w:p>
        </w:tc>
        <w:tc>
          <w:tcPr>
            <w:tcW w:w="992" w:type="dxa"/>
          </w:tcPr>
          <w:p w14:paraId="4437B4F4" w14:textId="1852F5EB"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535442">
              <w:t>N/A</w:t>
            </w:r>
          </w:p>
        </w:tc>
        <w:tc>
          <w:tcPr>
            <w:tcW w:w="992" w:type="dxa"/>
          </w:tcPr>
          <w:p w14:paraId="2825C737" w14:textId="26A01E55"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9253FC">
              <w:t>Yes</w:t>
            </w:r>
          </w:p>
        </w:tc>
        <w:tc>
          <w:tcPr>
            <w:tcW w:w="992" w:type="dxa"/>
          </w:tcPr>
          <w:p w14:paraId="4C5842E6" w14:textId="1C312A78"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C053F">
              <w:t>N/A</w:t>
            </w:r>
          </w:p>
        </w:tc>
      </w:tr>
      <w:tr w:rsidR="00451702" w:rsidRPr="00635B81" w14:paraId="6118130C" w14:textId="77777777" w:rsidTr="00AD6F37">
        <w:trPr>
          <w:trHeight w:val="399"/>
        </w:trPr>
        <w:tc>
          <w:tcPr>
            <w:cnfStyle w:val="001000000000" w:firstRow="0" w:lastRow="0" w:firstColumn="1" w:lastColumn="0" w:oddVBand="0" w:evenVBand="0" w:oddHBand="0" w:evenHBand="0" w:firstRowFirstColumn="0" w:firstRowLastColumn="0" w:lastRowFirstColumn="0" w:lastRowLastColumn="0"/>
            <w:tcW w:w="2693" w:type="dxa"/>
          </w:tcPr>
          <w:p w14:paraId="5BB0F855" w14:textId="7DD24898" w:rsidR="00451702" w:rsidRPr="00635B81" w:rsidRDefault="00451702" w:rsidP="00451702">
            <w:pPr>
              <w:pStyle w:val="TableText"/>
            </w:pPr>
            <w:r w:rsidRPr="00985256">
              <w:t>South Australia</w:t>
            </w:r>
          </w:p>
        </w:tc>
        <w:tc>
          <w:tcPr>
            <w:tcW w:w="2975" w:type="dxa"/>
          </w:tcPr>
          <w:p w14:paraId="6FDBF6D2"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635B81">
              <w:t xml:space="preserve">Port </w:t>
            </w:r>
            <w:r>
              <w:t>Augusta</w:t>
            </w:r>
          </w:p>
        </w:tc>
        <w:tc>
          <w:tcPr>
            <w:tcW w:w="992" w:type="dxa"/>
          </w:tcPr>
          <w:p w14:paraId="6498BD2A" w14:textId="46EEDE48"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F2337D">
              <w:t>N/A</w:t>
            </w:r>
          </w:p>
        </w:tc>
        <w:tc>
          <w:tcPr>
            <w:tcW w:w="992" w:type="dxa"/>
          </w:tcPr>
          <w:p w14:paraId="529DDD3B" w14:textId="41B0E4BB"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535442">
              <w:t>N/A</w:t>
            </w:r>
          </w:p>
        </w:tc>
        <w:tc>
          <w:tcPr>
            <w:tcW w:w="992" w:type="dxa"/>
          </w:tcPr>
          <w:p w14:paraId="0D3D0CA2" w14:textId="2A1441D9"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9253FC">
              <w:t>Yes</w:t>
            </w:r>
          </w:p>
        </w:tc>
        <w:tc>
          <w:tcPr>
            <w:tcW w:w="992" w:type="dxa"/>
          </w:tcPr>
          <w:p w14:paraId="7A1A616A" w14:textId="25370ED1"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C053F">
              <w:t>N/A</w:t>
            </w:r>
          </w:p>
        </w:tc>
      </w:tr>
      <w:tr w:rsidR="00451702" w:rsidRPr="00635B81" w14:paraId="016F121F" w14:textId="77777777" w:rsidTr="00AD6F37">
        <w:trPr>
          <w:trHeight w:val="399"/>
        </w:trPr>
        <w:tc>
          <w:tcPr>
            <w:cnfStyle w:val="001000000000" w:firstRow="0" w:lastRow="0" w:firstColumn="1" w:lastColumn="0" w:oddVBand="0" w:evenVBand="0" w:oddHBand="0" w:evenHBand="0" w:firstRowFirstColumn="0" w:firstRowLastColumn="0" w:lastRowFirstColumn="0" w:lastRowLastColumn="0"/>
            <w:tcW w:w="2693" w:type="dxa"/>
          </w:tcPr>
          <w:p w14:paraId="739F90CB" w14:textId="0737EF80" w:rsidR="00451702" w:rsidRPr="00635B81" w:rsidRDefault="00451702" w:rsidP="00451702">
            <w:pPr>
              <w:pStyle w:val="TableText"/>
            </w:pPr>
            <w:r w:rsidRPr="00985256">
              <w:t>South Australia</w:t>
            </w:r>
          </w:p>
        </w:tc>
        <w:tc>
          <w:tcPr>
            <w:tcW w:w="2975" w:type="dxa"/>
          </w:tcPr>
          <w:p w14:paraId="6E99EBD1"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Mount Gambier</w:t>
            </w:r>
          </w:p>
        </w:tc>
        <w:tc>
          <w:tcPr>
            <w:tcW w:w="992" w:type="dxa"/>
          </w:tcPr>
          <w:p w14:paraId="21F89F13" w14:textId="54D244E6"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F2337D">
              <w:t>N/A</w:t>
            </w:r>
          </w:p>
        </w:tc>
        <w:tc>
          <w:tcPr>
            <w:tcW w:w="992" w:type="dxa"/>
          </w:tcPr>
          <w:p w14:paraId="59FB4FFA" w14:textId="3A43A1CA"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535442">
              <w:t>N/A</w:t>
            </w:r>
          </w:p>
        </w:tc>
        <w:tc>
          <w:tcPr>
            <w:tcW w:w="992" w:type="dxa"/>
          </w:tcPr>
          <w:p w14:paraId="19380CE1" w14:textId="2FED7006"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9253FC">
              <w:t>Yes</w:t>
            </w:r>
          </w:p>
        </w:tc>
        <w:tc>
          <w:tcPr>
            <w:tcW w:w="992" w:type="dxa"/>
          </w:tcPr>
          <w:p w14:paraId="1652CC2A" w14:textId="4C403DDE"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C053F">
              <w:t>N/A</w:t>
            </w:r>
          </w:p>
        </w:tc>
      </w:tr>
      <w:tr w:rsidR="00451702" w:rsidRPr="00635B81" w14:paraId="518E4CFE" w14:textId="77777777" w:rsidTr="00AD6F37">
        <w:trPr>
          <w:trHeight w:val="399"/>
        </w:trPr>
        <w:tc>
          <w:tcPr>
            <w:cnfStyle w:val="001000000000" w:firstRow="0" w:lastRow="0" w:firstColumn="1" w:lastColumn="0" w:oddVBand="0" w:evenVBand="0" w:oddHBand="0" w:evenHBand="0" w:firstRowFirstColumn="0" w:firstRowLastColumn="0" w:lastRowFirstColumn="0" w:lastRowLastColumn="0"/>
            <w:tcW w:w="2693" w:type="dxa"/>
          </w:tcPr>
          <w:p w14:paraId="1D16DED8" w14:textId="07EBB3C8" w:rsidR="00451702" w:rsidRPr="00635B81" w:rsidRDefault="00451702" w:rsidP="00451702">
            <w:pPr>
              <w:pStyle w:val="TableText"/>
            </w:pPr>
            <w:r w:rsidRPr="00985256">
              <w:t>South Australia</w:t>
            </w:r>
          </w:p>
        </w:tc>
        <w:tc>
          <w:tcPr>
            <w:tcW w:w="2975" w:type="dxa"/>
          </w:tcPr>
          <w:p w14:paraId="07E7A576"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Port Lincoln</w:t>
            </w:r>
          </w:p>
        </w:tc>
        <w:tc>
          <w:tcPr>
            <w:tcW w:w="992" w:type="dxa"/>
          </w:tcPr>
          <w:p w14:paraId="5CC342E5" w14:textId="21AA161B"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F2337D">
              <w:t>N/A</w:t>
            </w:r>
          </w:p>
        </w:tc>
        <w:tc>
          <w:tcPr>
            <w:tcW w:w="992" w:type="dxa"/>
          </w:tcPr>
          <w:p w14:paraId="49EA3507" w14:textId="4FA2A3A4"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535442">
              <w:t>N/A</w:t>
            </w:r>
          </w:p>
        </w:tc>
        <w:tc>
          <w:tcPr>
            <w:tcW w:w="992" w:type="dxa"/>
          </w:tcPr>
          <w:p w14:paraId="39012A01" w14:textId="764785E2"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9253FC">
              <w:t>Yes</w:t>
            </w:r>
          </w:p>
        </w:tc>
        <w:tc>
          <w:tcPr>
            <w:tcW w:w="992" w:type="dxa"/>
          </w:tcPr>
          <w:p w14:paraId="7CB547BE" w14:textId="57925499"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C053F">
              <w:t>N/A</w:t>
            </w:r>
          </w:p>
        </w:tc>
      </w:tr>
      <w:tr w:rsidR="00451702" w:rsidRPr="00635B81" w14:paraId="22B3A340" w14:textId="77777777" w:rsidTr="00AD6F37">
        <w:trPr>
          <w:trHeight w:val="399"/>
        </w:trPr>
        <w:tc>
          <w:tcPr>
            <w:cnfStyle w:val="001000000000" w:firstRow="0" w:lastRow="0" w:firstColumn="1" w:lastColumn="0" w:oddVBand="0" w:evenVBand="0" w:oddHBand="0" w:evenHBand="0" w:firstRowFirstColumn="0" w:firstRowLastColumn="0" w:lastRowFirstColumn="0" w:lastRowLastColumn="0"/>
            <w:tcW w:w="2693" w:type="dxa"/>
          </w:tcPr>
          <w:p w14:paraId="5B2C879C" w14:textId="785CAE8F" w:rsidR="00451702" w:rsidRPr="00635B81" w:rsidRDefault="00451702" w:rsidP="00451702">
            <w:pPr>
              <w:pStyle w:val="TableText"/>
            </w:pPr>
            <w:r w:rsidRPr="00985256">
              <w:t>South Australia</w:t>
            </w:r>
          </w:p>
        </w:tc>
        <w:tc>
          <w:tcPr>
            <w:tcW w:w="2975" w:type="dxa"/>
          </w:tcPr>
          <w:p w14:paraId="08F08876" w14:textId="77777777" w:rsidR="00451702"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Port Pirie</w:t>
            </w:r>
          </w:p>
        </w:tc>
        <w:tc>
          <w:tcPr>
            <w:tcW w:w="992" w:type="dxa"/>
          </w:tcPr>
          <w:p w14:paraId="0EAFC63A" w14:textId="151EC88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F2337D">
              <w:t>N/A</w:t>
            </w:r>
          </w:p>
        </w:tc>
        <w:tc>
          <w:tcPr>
            <w:tcW w:w="992" w:type="dxa"/>
          </w:tcPr>
          <w:p w14:paraId="08544AC2" w14:textId="2D6C9B94"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535442">
              <w:t>N/A</w:t>
            </w:r>
          </w:p>
        </w:tc>
        <w:tc>
          <w:tcPr>
            <w:tcW w:w="992" w:type="dxa"/>
          </w:tcPr>
          <w:p w14:paraId="24C4A3FC" w14:textId="545AACE1"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9253FC">
              <w:t>Yes</w:t>
            </w:r>
          </w:p>
        </w:tc>
        <w:tc>
          <w:tcPr>
            <w:tcW w:w="992" w:type="dxa"/>
          </w:tcPr>
          <w:p w14:paraId="26D3B42B" w14:textId="23C46174"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C053F">
              <w:t>N/A</w:t>
            </w:r>
          </w:p>
        </w:tc>
      </w:tr>
      <w:tr w:rsidR="00451702" w:rsidRPr="00635B81" w14:paraId="23F75C97" w14:textId="77777777" w:rsidTr="00AD6F37">
        <w:trPr>
          <w:trHeight w:val="399"/>
        </w:trPr>
        <w:tc>
          <w:tcPr>
            <w:cnfStyle w:val="001000000000" w:firstRow="0" w:lastRow="0" w:firstColumn="1" w:lastColumn="0" w:oddVBand="0" w:evenVBand="0" w:oddHBand="0" w:evenHBand="0" w:firstRowFirstColumn="0" w:firstRowLastColumn="0" w:lastRowFirstColumn="0" w:lastRowLastColumn="0"/>
            <w:tcW w:w="2693" w:type="dxa"/>
          </w:tcPr>
          <w:p w14:paraId="608A889E" w14:textId="16A198EA" w:rsidR="00451702" w:rsidRPr="00635B81" w:rsidRDefault="00451702" w:rsidP="00451702">
            <w:pPr>
              <w:pStyle w:val="TableText"/>
            </w:pPr>
            <w:r w:rsidRPr="00985256">
              <w:t>South Australia</w:t>
            </w:r>
          </w:p>
        </w:tc>
        <w:tc>
          <w:tcPr>
            <w:tcW w:w="2975" w:type="dxa"/>
          </w:tcPr>
          <w:p w14:paraId="716EC7DA" w14:textId="77777777" w:rsidR="00451702" w:rsidRDefault="00451702" w:rsidP="00451702">
            <w:pPr>
              <w:pStyle w:val="TableText"/>
              <w:cnfStyle w:val="000000000000" w:firstRow="0" w:lastRow="0" w:firstColumn="0" w:lastColumn="0" w:oddVBand="0" w:evenVBand="0" w:oddHBand="0" w:evenHBand="0" w:firstRowFirstColumn="0" w:firstRowLastColumn="0" w:lastRowFirstColumn="0" w:lastRowLastColumn="0"/>
            </w:pPr>
            <w:proofErr w:type="spellStart"/>
            <w:r>
              <w:t>Cenduna</w:t>
            </w:r>
            <w:proofErr w:type="spellEnd"/>
          </w:p>
        </w:tc>
        <w:tc>
          <w:tcPr>
            <w:tcW w:w="992" w:type="dxa"/>
          </w:tcPr>
          <w:p w14:paraId="41F5E6E3" w14:textId="58FF97CB"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F2337D">
              <w:t>N/A</w:t>
            </w:r>
          </w:p>
        </w:tc>
        <w:tc>
          <w:tcPr>
            <w:tcW w:w="992" w:type="dxa"/>
          </w:tcPr>
          <w:p w14:paraId="11A77380" w14:textId="3A993DCE"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535442">
              <w:t>N/A</w:t>
            </w:r>
          </w:p>
        </w:tc>
        <w:tc>
          <w:tcPr>
            <w:tcW w:w="992" w:type="dxa"/>
          </w:tcPr>
          <w:p w14:paraId="6006B197" w14:textId="12B260A8"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0711E2">
              <w:t>N/A</w:t>
            </w:r>
          </w:p>
        </w:tc>
        <w:tc>
          <w:tcPr>
            <w:tcW w:w="992" w:type="dxa"/>
          </w:tcPr>
          <w:p w14:paraId="7BD7E19E" w14:textId="2C7D552D"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801CF6">
              <w:t>Yes</w:t>
            </w:r>
          </w:p>
        </w:tc>
      </w:tr>
      <w:tr w:rsidR="00451702" w:rsidRPr="00635B81" w14:paraId="205A2C5B" w14:textId="77777777" w:rsidTr="00AD6F37">
        <w:trPr>
          <w:trHeight w:val="399"/>
        </w:trPr>
        <w:tc>
          <w:tcPr>
            <w:cnfStyle w:val="001000000000" w:firstRow="0" w:lastRow="0" w:firstColumn="1" w:lastColumn="0" w:oddVBand="0" w:evenVBand="0" w:oddHBand="0" w:evenHBand="0" w:firstRowFirstColumn="0" w:firstRowLastColumn="0" w:lastRowFirstColumn="0" w:lastRowLastColumn="0"/>
            <w:tcW w:w="2693" w:type="dxa"/>
          </w:tcPr>
          <w:p w14:paraId="63A7DFCD" w14:textId="50741150" w:rsidR="00451702" w:rsidRPr="00635B81" w:rsidRDefault="00451702" w:rsidP="00451702">
            <w:pPr>
              <w:pStyle w:val="TableText"/>
            </w:pPr>
            <w:r w:rsidRPr="00985256">
              <w:t>South Australia</w:t>
            </w:r>
          </w:p>
        </w:tc>
        <w:tc>
          <w:tcPr>
            <w:tcW w:w="2975" w:type="dxa"/>
          </w:tcPr>
          <w:p w14:paraId="017A0AB2"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Coober Pedy</w:t>
            </w:r>
            <w:r w:rsidRPr="00635B81">
              <w:t xml:space="preserve"> </w:t>
            </w:r>
          </w:p>
        </w:tc>
        <w:tc>
          <w:tcPr>
            <w:tcW w:w="992" w:type="dxa"/>
          </w:tcPr>
          <w:p w14:paraId="41F8FA6C" w14:textId="606F1BCA"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F2337D">
              <w:t>N/A</w:t>
            </w:r>
          </w:p>
        </w:tc>
        <w:tc>
          <w:tcPr>
            <w:tcW w:w="992" w:type="dxa"/>
          </w:tcPr>
          <w:p w14:paraId="07ABDE13" w14:textId="23E4D4CA"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535442">
              <w:t>N/A</w:t>
            </w:r>
          </w:p>
        </w:tc>
        <w:tc>
          <w:tcPr>
            <w:tcW w:w="992" w:type="dxa"/>
          </w:tcPr>
          <w:p w14:paraId="67733FDD" w14:textId="6032C573"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0711E2">
              <w:t>N/A</w:t>
            </w:r>
          </w:p>
        </w:tc>
        <w:tc>
          <w:tcPr>
            <w:tcW w:w="992" w:type="dxa"/>
          </w:tcPr>
          <w:p w14:paraId="4B65EDA2" w14:textId="38FC8E5B"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801CF6">
              <w:t>Yes</w:t>
            </w:r>
          </w:p>
        </w:tc>
      </w:tr>
      <w:tr w:rsidR="00451702" w:rsidRPr="00635B81" w14:paraId="32D89929" w14:textId="77777777" w:rsidTr="00AD6F37">
        <w:trPr>
          <w:trHeight w:val="70"/>
        </w:trPr>
        <w:tc>
          <w:tcPr>
            <w:cnfStyle w:val="001000000000" w:firstRow="0" w:lastRow="0" w:firstColumn="1" w:lastColumn="0" w:oddVBand="0" w:evenVBand="0" w:oddHBand="0" w:evenHBand="0" w:firstRowFirstColumn="0" w:firstRowLastColumn="0" w:lastRowFirstColumn="0" w:lastRowLastColumn="0"/>
            <w:tcW w:w="2693" w:type="dxa"/>
          </w:tcPr>
          <w:p w14:paraId="3E6463FE" w14:textId="77777777" w:rsidR="00451702" w:rsidRPr="00635B81" w:rsidRDefault="00451702" w:rsidP="00451702">
            <w:pPr>
              <w:pStyle w:val="TableText"/>
            </w:pPr>
            <w:r w:rsidRPr="00635B81">
              <w:t>Western Australia</w:t>
            </w:r>
          </w:p>
        </w:tc>
        <w:tc>
          <w:tcPr>
            <w:tcW w:w="2975" w:type="dxa"/>
          </w:tcPr>
          <w:p w14:paraId="02D5DFF8"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635B81">
              <w:t>Perth</w:t>
            </w:r>
          </w:p>
        </w:tc>
        <w:tc>
          <w:tcPr>
            <w:tcW w:w="992" w:type="dxa"/>
          </w:tcPr>
          <w:p w14:paraId="61FDDF85" w14:textId="5A41813A"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9253FC">
              <w:t>Yes</w:t>
            </w:r>
          </w:p>
        </w:tc>
        <w:tc>
          <w:tcPr>
            <w:tcW w:w="992" w:type="dxa"/>
          </w:tcPr>
          <w:p w14:paraId="6374D486" w14:textId="6A6A505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ED6C36">
              <w:t>N/A</w:t>
            </w:r>
          </w:p>
        </w:tc>
        <w:tc>
          <w:tcPr>
            <w:tcW w:w="992" w:type="dxa"/>
          </w:tcPr>
          <w:p w14:paraId="1409F60B" w14:textId="0B98FC5D"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ED6C36">
              <w:t>N/A</w:t>
            </w:r>
          </w:p>
        </w:tc>
        <w:tc>
          <w:tcPr>
            <w:tcW w:w="992" w:type="dxa"/>
          </w:tcPr>
          <w:p w14:paraId="5D30C3E9" w14:textId="07163EB3"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ED6C36">
              <w:t>N/A</w:t>
            </w:r>
          </w:p>
        </w:tc>
      </w:tr>
      <w:tr w:rsidR="00451702" w:rsidRPr="00635B81" w14:paraId="4A5159AD" w14:textId="77777777" w:rsidTr="00AD6F37">
        <w:trPr>
          <w:trHeight w:val="457"/>
        </w:trPr>
        <w:tc>
          <w:tcPr>
            <w:cnfStyle w:val="001000000000" w:firstRow="0" w:lastRow="0" w:firstColumn="1" w:lastColumn="0" w:oddVBand="0" w:evenVBand="0" w:oddHBand="0" w:evenHBand="0" w:firstRowFirstColumn="0" w:firstRowLastColumn="0" w:lastRowFirstColumn="0" w:lastRowLastColumn="0"/>
            <w:tcW w:w="2693" w:type="dxa"/>
          </w:tcPr>
          <w:p w14:paraId="3A7899BA" w14:textId="77777777" w:rsidR="00451702" w:rsidRPr="00635B81" w:rsidRDefault="00451702" w:rsidP="00451702">
            <w:pPr>
              <w:pStyle w:val="TableText"/>
            </w:pPr>
            <w:r w:rsidRPr="00635B81">
              <w:t>Northern Territory</w:t>
            </w:r>
          </w:p>
        </w:tc>
        <w:tc>
          <w:tcPr>
            <w:tcW w:w="2975" w:type="dxa"/>
          </w:tcPr>
          <w:p w14:paraId="1ED76EBD"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635B81">
              <w:t xml:space="preserve">Darwin </w:t>
            </w:r>
          </w:p>
        </w:tc>
        <w:tc>
          <w:tcPr>
            <w:tcW w:w="992" w:type="dxa"/>
          </w:tcPr>
          <w:p w14:paraId="49C00E7E" w14:textId="3FE4A88D"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BC37C5">
              <w:t>N/A</w:t>
            </w:r>
          </w:p>
        </w:tc>
        <w:tc>
          <w:tcPr>
            <w:tcW w:w="992" w:type="dxa"/>
          </w:tcPr>
          <w:p w14:paraId="67F8DCB3" w14:textId="2BF212ED"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9253FC">
              <w:t>Yes</w:t>
            </w:r>
          </w:p>
        </w:tc>
        <w:tc>
          <w:tcPr>
            <w:tcW w:w="992" w:type="dxa"/>
          </w:tcPr>
          <w:p w14:paraId="5137B291" w14:textId="52658E6E"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92084A">
              <w:t>N/A</w:t>
            </w:r>
          </w:p>
        </w:tc>
        <w:tc>
          <w:tcPr>
            <w:tcW w:w="992" w:type="dxa"/>
          </w:tcPr>
          <w:p w14:paraId="60CA41F6" w14:textId="1D15E775"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92084A">
              <w:t>N/A</w:t>
            </w:r>
          </w:p>
        </w:tc>
      </w:tr>
      <w:tr w:rsidR="00451702" w:rsidRPr="00635B81" w14:paraId="719A714B" w14:textId="77777777" w:rsidTr="00AD6F37">
        <w:trPr>
          <w:trHeight w:val="458"/>
        </w:trPr>
        <w:tc>
          <w:tcPr>
            <w:cnfStyle w:val="001000000000" w:firstRow="0" w:lastRow="0" w:firstColumn="1" w:lastColumn="0" w:oddVBand="0" w:evenVBand="0" w:oddHBand="0" w:evenHBand="0" w:firstRowFirstColumn="0" w:firstRowLastColumn="0" w:lastRowFirstColumn="0" w:lastRowLastColumn="0"/>
            <w:tcW w:w="2693" w:type="dxa"/>
          </w:tcPr>
          <w:p w14:paraId="2DEA1D7D" w14:textId="0E007F83" w:rsidR="00451702" w:rsidRPr="00635B81" w:rsidRDefault="00451702" w:rsidP="00451702">
            <w:pPr>
              <w:pStyle w:val="TableText"/>
            </w:pPr>
            <w:r w:rsidRPr="004B6992">
              <w:t>Northern Territory</w:t>
            </w:r>
          </w:p>
        </w:tc>
        <w:tc>
          <w:tcPr>
            <w:tcW w:w="2975" w:type="dxa"/>
          </w:tcPr>
          <w:p w14:paraId="27FF2770"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Alice Springs</w:t>
            </w:r>
          </w:p>
        </w:tc>
        <w:tc>
          <w:tcPr>
            <w:tcW w:w="992" w:type="dxa"/>
          </w:tcPr>
          <w:p w14:paraId="0298CAE8" w14:textId="4222F48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BC37C5">
              <w:t>N/A</w:t>
            </w:r>
          </w:p>
        </w:tc>
        <w:tc>
          <w:tcPr>
            <w:tcW w:w="992" w:type="dxa"/>
          </w:tcPr>
          <w:p w14:paraId="3AACEA3E" w14:textId="4BC76FAB"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400B25">
              <w:t>N/A</w:t>
            </w:r>
          </w:p>
        </w:tc>
        <w:tc>
          <w:tcPr>
            <w:tcW w:w="992" w:type="dxa"/>
          </w:tcPr>
          <w:p w14:paraId="16A31CB4" w14:textId="23A12D93"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9253FC">
              <w:t>Yes</w:t>
            </w:r>
          </w:p>
        </w:tc>
        <w:tc>
          <w:tcPr>
            <w:tcW w:w="992" w:type="dxa"/>
          </w:tcPr>
          <w:p w14:paraId="0A90D726" w14:textId="1800E320"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AC053F">
              <w:t>N/A</w:t>
            </w:r>
          </w:p>
        </w:tc>
      </w:tr>
      <w:tr w:rsidR="00451702" w:rsidRPr="00635B81" w14:paraId="7B130A51" w14:textId="77777777" w:rsidTr="00AD6F37">
        <w:trPr>
          <w:trHeight w:val="457"/>
        </w:trPr>
        <w:tc>
          <w:tcPr>
            <w:cnfStyle w:val="001000000000" w:firstRow="0" w:lastRow="0" w:firstColumn="1" w:lastColumn="0" w:oddVBand="0" w:evenVBand="0" w:oddHBand="0" w:evenHBand="0" w:firstRowFirstColumn="0" w:firstRowLastColumn="0" w:lastRowFirstColumn="0" w:lastRowLastColumn="0"/>
            <w:tcW w:w="2693" w:type="dxa"/>
          </w:tcPr>
          <w:p w14:paraId="4CF935B1" w14:textId="442870CC" w:rsidR="00451702" w:rsidRPr="00635B81" w:rsidRDefault="00451702" w:rsidP="00451702">
            <w:pPr>
              <w:pStyle w:val="TableText"/>
            </w:pPr>
            <w:r w:rsidRPr="004B6992">
              <w:t>Northern Territory</w:t>
            </w:r>
          </w:p>
        </w:tc>
        <w:tc>
          <w:tcPr>
            <w:tcW w:w="2975" w:type="dxa"/>
          </w:tcPr>
          <w:p w14:paraId="4A291432" w14:textId="77777777" w:rsidR="00451702"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Katherine</w:t>
            </w:r>
          </w:p>
        </w:tc>
        <w:tc>
          <w:tcPr>
            <w:tcW w:w="992" w:type="dxa"/>
          </w:tcPr>
          <w:p w14:paraId="24F89377" w14:textId="520BA793"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BC37C5">
              <w:t>N/A</w:t>
            </w:r>
          </w:p>
        </w:tc>
        <w:tc>
          <w:tcPr>
            <w:tcW w:w="992" w:type="dxa"/>
          </w:tcPr>
          <w:p w14:paraId="6F3DF2C7" w14:textId="3D13CB50"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400B25">
              <w:t>N/A</w:t>
            </w:r>
          </w:p>
        </w:tc>
        <w:tc>
          <w:tcPr>
            <w:tcW w:w="992" w:type="dxa"/>
          </w:tcPr>
          <w:p w14:paraId="36979F20" w14:textId="495C30B9"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F94C93">
              <w:t>N/A</w:t>
            </w:r>
          </w:p>
        </w:tc>
        <w:tc>
          <w:tcPr>
            <w:tcW w:w="992" w:type="dxa"/>
          </w:tcPr>
          <w:p w14:paraId="71C05894" w14:textId="71D33F26"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0676BE">
              <w:t>Yes</w:t>
            </w:r>
          </w:p>
        </w:tc>
      </w:tr>
      <w:tr w:rsidR="00451702" w:rsidRPr="00635B81" w14:paraId="2BA3C3FF" w14:textId="77777777" w:rsidTr="00AD6F37">
        <w:trPr>
          <w:trHeight w:val="458"/>
        </w:trPr>
        <w:tc>
          <w:tcPr>
            <w:cnfStyle w:val="001000000000" w:firstRow="0" w:lastRow="0" w:firstColumn="1" w:lastColumn="0" w:oddVBand="0" w:evenVBand="0" w:oddHBand="0" w:evenHBand="0" w:firstRowFirstColumn="0" w:firstRowLastColumn="0" w:lastRowFirstColumn="0" w:lastRowLastColumn="0"/>
            <w:tcW w:w="2693" w:type="dxa"/>
          </w:tcPr>
          <w:p w14:paraId="247FBCA4" w14:textId="5E7C2264" w:rsidR="00451702" w:rsidRPr="00635B81" w:rsidRDefault="00451702" w:rsidP="00451702">
            <w:pPr>
              <w:pStyle w:val="TableText"/>
            </w:pPr>
            <w:r w:rsidRPr="004B6992">
              <w:t>Northern Territory</w:t>
            </w:r>
          </w:p>
        </w:tc>
        <w:tc>
          <w:tcPr>
            <w:tcW w:w="2975" w:type="dxa"/>
          </w:tcPr>
          <w:p w14:paraId="3A2ED247"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Nhulunbuy</w:t>
            </w:r>
          </w:p>
        </w:tc>
        <w:tc>
          <w:tcPr>
            <w:tcW w:w="992" w:type="dxa"/>
          </w:tcPr>
          <w:p w14:paraId="3145B14E" w14:textId="242885A6"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BC37C5">
              <w:t>N/A</w:t>
            </w:r>
          </w:p>
        </w:tc>
        <w:tc>
          <w:tcPr>
            <w:tcW w:w="992" w:type="dxa"/>
          </w:tcPr>
          <w:p w14:paraId="59AFCA10" w14:textId="3B6B8DE3"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400B25">
              <w:t>N/A</w:t>
            </w:r>
          </w:p>
        </w:tc>
        <w:tc>
          <w:tcPr>
            <w:tcW w:w="992" w:type="dxa"/>
          </w:tcPr>
          <w:p w14:paraId="47E7A1A7" w14:textId="70C5F2DC"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F94C93">
              <w:t>N/A</w:t>
            </w:r>
          </w:p>
        </w:tc>
        <w:tc>
          <w:tcPr>
            <w:tcW w:w="992" w:type="dxa"/>
          </w:tcPr>
          <w:p w14:paraId="1C315558" w14:textId="0D0ABAD2"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0676BE">
              <w:t>Yes</w:t>
            </w:r>
          </w:p>
        </w:tc>
      </w:tr>
      <w:tr w:rsidR="00451702" w:rsidRPr="00635B81" w14:paraId="153E1D57" w14:textId="77777777" w:rsidTr="00AD6F37">
        <w:trPr>
          <w:trHeight w:val="540"/>
        </w:trPr>
        <w:tc>
          <w:tcPr>
            <w:cnfStyle w:val="001000000000" w:firstRow="0" w:lastRow="0" w:firstColumn="1" w:lastColumn="0" w:oddVBand="0" w:evenVBand="0" w:oddHBand="0" w:evenHBand="0" w:firstRowFirstColumn="0" w:firstRowLastColumn="0" w:lastRowFirstColumn="0" w:lastRowLastColumn="0"/>
            <w:tcW w:w="2693" w:type="dxa"/>
          </w:tcPr>
          <w:p w14:paraId="44A2DBDD" w14:textId="77777777" w:rsidR="00451702" w:rsidRPr="00635B81" w:rsidRDefault="00451702" w:rsidP="00451702">
            <w:pPr>
              <w:pStyle w:val="TableText"/>
            </w:pPr>
            <w:r w:rsidRPr="00635B81">
              <w:t>Tasmania</w:t>
            </w:r>
          </w:p>
        </w:tc>
        <w:tc>
          <w:tcPr>
            <w:tcW w:w="2975" w:type="dxa"/>
          </w:tcPr>
          <w:p w14:paraId="5005409C"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635B81">
              <w:t xml:space="preserve">Hobart </w:t>
            </w:r>
          </w:p>
        </w:tc>
        <w:tc>
          <w:tcPr>
            <w:tcW w:w="992" w:type="dxa"/>
          </w:tcPr>
          <w:p w14:paraId="748C818D" w14:textId="419C0394"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BC37C5">
              <w:t>N/A</w:t>
            </w:r>
          </w:p>
        </w:tc>
        <w:tc>
          <w:tcPr>
            <w:tcW w:w="992" w:type="dxa"/>
          </w:tcPr>
          <w:p w14:paraId="4D52F91B" w14:textId="24970CA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411CE1">
              <w:t>Yes</w:t>
            </w:r>
          </w:p>
        </w:tc>
        <w:tc>
          <w:tcPr>
            <w:tcW w:w="992" w:type="dxa"/>
          </w:tcPr>
          <w:p w14:paraId="032B5675" w14:textId="7502D0F6"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F94C93">
              <w:t>N/A</w:t>
            </w:r>
          </w:p>
        </w:tc>
        <w:tc>
          <w:tcPr>
            <w:tcW w:w="992" w:type="dxa"/>
          </w:tcPr>
          <w:p w14:paraId="30A06B38" w14:textId="2E6E4830"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763A3A">
              <w:t>N/A</w:t>
            </w:r>
          </w:p>
        </w:tc>
      </w:tr>
      <w:tr w:rsidR="00451702" w:rsidRPr="00635B81" w14:paraId="443BA936" w14:textId="77777777" w:rsidTr="00AD6F37">
        <w:trPr>
          <w:trHeight w:val="540"/>
        </w:trPr>
        <w:tc>
          <w:tcPr>
            <w:cnfStyle w:val="001000000000" w:firstRow="0" w:lastRow="0" w:firstColumn="1" w:lastColumn="0" w:oddVBand="0" w:evenVBand="0" w:oddHBand="0" w:evenHBand="0" w:firstRowFirstColumn="0" w:firstRowLastColumn="0" w:lastRowFirstColumn="0" w:lastRowLastColumn="0"/>
            <w:tcW w:w="2693" w:type="dxa"/>
          </w:tcPr>
          <w:p w14:paraId="0AF83C7E" w14:textId="4B847877" w:rsidR="00451702" w:rsidRPr="00635B81" w:rsidRDefault="00451702" w:rsidP="00451702">
            <w:pPr>
              <w:pStyle w:val="TableText"/>
            </w:pPr>
            <w:r w:rsidRPr="002D22CA">
              <w:t>Tasmania</w:t>
            </w:r>
          </w:p>
        </w:tc>
        <w:tc>
          <w:tcPr>
            <w:tcW w:w="2975" w:type="dxa"/>
          </w:tcPr>
          <w:p w14:paraId="4DF7225B"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635B81">
              <w:t xml:space="preserve">Launceston </w:t>
            </w:r>
          </w:p>
        </w:tc>
        <w:tc>
          <w:tcPr>
            <w:tcW w:w="992" w:type="dxa"/>
          </w:tcPr>
          <w:p w14:paraId="1CEDE822" w14:textId="1942092E"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BC37C5">
              <w:t>N/A</w:t>
            </w:r>
          </w:p>
        </w:tc>
        <w:tc>
          <w:tcPr>
            <w:tcW w:w="992" w:type="dxa"/>
          </w:tcPr>
          <w:p w14:paraId="6DEF297B" w14:textId="45E56372"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411CE1">
              <w:t>Yes</w:t>
            </w:r>
          </w:p>
        </w:tc>
        <w:tc>
          <w:tcPr>
            <w:tcW w:w="992" w:type="dxa"/>
          </w:tcPr>
          <w:p w14:paraId="0B173851" w14:textId="08177511"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F94C93">
              <w:t>N/A</w:t>
            </w:r>
          </w:p>
        </w:tc>
        <w:tc>
          <w:tcPr>
            <w:tcW w:w="992" w:type="dxa"/>
          </w:tcPr>
          <w:p w14:paraId="14D82CCE" w14:textId="57D42005"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763A3A">
              <w:t>N/A</w:t>
            </w:r>
          </w:p>
        </w:tc>
      </w:tr>
      <w:tr w:rsidR="00451702" w:rsidRPr="00635B81" w14:paraId="6BA90628" w14:textId="77777777" w:rsidTr="00AD6F37">
        <w:trPr>
          <w:trHeight w:val="540"/>
        </w:trPr>
        <w:tc>
          <w:tcPr>
            <w:cnfStyle w:val="001000000000" w:firstRow="0" w:lastRow="0" w:firstColumn="1" w:lastColumn="0" w:oddVBand="0" w:evenVBand="0" w:oddHBand="0" w:evenHBand="0" w:firstRowFirstColumn="0" w:firstRowLastColumn="0" w:lastRowFirstColumn="0" w:lastRowLastColumn="0"/>
            <w:tcW w:w="2693" w:type="dxa"/>
          </w:tcPr>
          <w:p w14:paraId="3FD7564F" w14:textId="340E3876" w:rsidR="00451702" w:rsidRPr="00635B81" w:rsidRDefault="00451702" w:rsidP="00451702">
            <w:pPr>
              <w:pStyle w:val="TableText"/>
            </w:pPr>
            <w:r w:rsidRPr="002D22CA">
              <w:t>Tasmania</w:t>
            </w:r>
          </w:p>
        </w:tc>
        <w:tc>
          <w:tcPr>
            <w:tcW w:w="2975" w:type="dxa"/>
          </w:tcPr>
          <w:p w14:paraId="5E79FBF4" w14:textId="77777777"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t>Burnie</w:t>
            </w:r>
            <w:r w:rsidRPr="00635B81">
              <w:t xml:space="preserve"> </w:t>
            </w:r>
          </w:p>
        </w:tc>
        <w:tc>
          <w:tcPr>
            <w:tcW w:w="992" w:type="dxa"/>
          </w:tcPr>
          <w:p w14:paraId="08C3B37C" w14:textId="1566D6F8"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BC37C5">
              <w:t>N/A</w:t>
            </w:r>
          </w:p>
        </w:tc>
        <w:tc>
          <w:tcPr>
            <w:tcW w:w="992" w:type="dxa"/>
          </w:tcPr>
          <w:p w14:paraId="56C9487A" w14:textId="0087E76F"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411CE1">
              <w:t>Yes</w:t>
            </w:r>
          </w:p>
        </w:tc>
        <w:tc>
          <w:tcPr>
            <w:tcW w:w="992" w:type="dxa"/>
          </w:tcPr>
          <w:p w14:paraId="02EE6583" w14:textId="06F2BEDB"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F94C93">
              <w:t>N/A</w:t>
            </w:r>
          </w:p>
        </w:tc>
        <w:tc>
          <w:tcPr>
            <w:tcW w:w="992" w:type="dxa"/>
          </w:tcPr>
          <w:p w14:paraId="0EB9095E" w14:textId="7FDD3DB3" w:rsidR="00451702" w:rsidRPr="00635B81" w:rsidRDefault="00451702" w:rsidP="00451702">
            <w:pPr>
              <w:pStyle w:val="TableText"/>
              <w:cnfStyle w:val="000000000000" w:firstRow="0" w:lastRow="0" w:firstColumn="0" w:lastColumn="0" w:oddVBand="0" w:evenVBand="0" w:oddHBand="0" w:evenHBand="0" w:firstRowFirstColumn="0" w:firstRowLastColumn="0" w:lastRowFirstColumn="0" w:lastRowLastColumn="0"/>
            </w:pPr>
            <w:r w:rsidRPr="00763A3A">
              <w:t>N/A</w:t>
            </w:r>
          </w:p>
        </w:tc>
      </w:tr>
    </w:tbl>
    <w:p w14:paraId="4E5E276A" w14:textId="6F2C5C6E" w:rsidR="00C07111" w:rsidRPr="005117E4" w:rsidRDefault="00C07111" w:rsidP="00DF7929">
      <w:pPr>
        <w:pStyle w:val="Caption-Source"/>
      </w:pPr>
      <w:r w:rsidRPr="005117E4">
        <w:t xml:space="preserve">Source: </w:t>
      </w:r>
      <w:r w:rsidR="00B26691" w:rsidRPr="00B26691">
        <w:t>Independent reviewer</w:t>
      </w:r>
      <w:r w:rsidRPr="005117E4">
        <w:t xml:space="preserve"> (2025) using information from State and Territory Artificial Limb Schemes</w:t>
      </w:r>
    </w:p>
    <w:p w14:paraId="1E424E16" w14:textId="66EA2865" w:rsidR="00786BC7" w:rsidRDefault="00786BC7" w:rsidP="008239ED">
      <w:pPr>
        <w:pStyle w:val="AppendixHeading2"/>
      </w:pPr>
      <w:bookmarkStart w:id="331" w:name="_Toc207348780"/>
      <w:r>
        <w:t>Department of Veterans’ Affairs</w:t>
      </w:r>
      <w:bookmarkEnd w:id="331"/>
    </w:p>
    <w:p w14:paraId="788A966B" w14:textId="6744D134" w:rsidR="00786BC7" w:rsidRDefault="00786BC7" w:rsidP="00786BC7">
      <w:pPr>
        <w:pStyle w:val="Caption"/>
      </w:pPr>
      <w:bookmarkStart w:id="332" w:name="_Ref201841343"/>
      <w:bookmarkStart w:id="333" w:name="_Toc207348686"/>
      <w:r>
        <w:t xml:space="preserve">Table </w:t>
      </w:r>
      <w:r w:rsidR="00E6799D">
        <w:fldChar w:fldCharType="begin"/>
      </w:r>
      <w:r w:rsidR="00E6799D">
        <w:instrText xml:space="preserve"> SEQ Table \* ARABIC </w:instrText>
      </w:r>
      <w:r w:rsidR="00E6799D">
        <w:fldChar w:fldCharType="separate"/>
      </w:r>
      <w:r w:rsidR="00E6799D">
        <w:rPr>
          <w:noProof/>
        </w:rPr>
        <w:t>121</w:t>
      </w:r>
      <w:r w:rsidR="00E6799D">
        <w:rPr>
          <w:noProof/>
        </w:rPr>
        <w:fldChar w:fldCharType="end"/>
      </w:r>
      <w:bookmarkEnd w:id="332"/>
      <w:r>
        <w:t xml:space="preserve">: DVA limb prostheses </w:t>
      </w:r>
      <w:r w:rsidRPr="00465CA6">
        <w:t>details</w:t>
      </w:r>
      <w:bookmarkEnd w:id="333"/>
    </w:p>
    <w:tbl>
      <w:tblPr>
        <w:tblStyle w:val="KPMGTable"/>
        <w:tblW w:w="10201" w:type="dxa"/>
        <w:tblLook w:val="04A0" w:firstRow="1" w:lastRow="0" w:firstColumn="1" w:lastColumn="0" w:noHBand="0" w:noVBand="1"/>
      </w:tblPr>
      <w:tblGrid>
        <w:gridCol w:w="1405"/>
        <w:gridCol w:w="8796"/>
      </w:tblGrid>
      <w:tr w:rsidR="00467133" w:rsidRPr="007B154A" w14:paraId="65D6E9C6" w14:textId="77777777" w:rsidTr="00A219B8">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0" w:type="dxa"/>
          </w:tcPr>
          <w:p w14:paraId="77B9801A" w14:textId="77777777" w:rsidR="00786BC7" w:rsidRPr="007B154A" w:rsidRDefault="00786BC7" w:rsidP="00A219B8">
            <w:pPr>
              <w:pStyle w:val="TableHeading"/>
              <w:rPr>
                <w:b w:val="0"/>
                <w:color w:val="FFFFFF" w:themeColor="background1"/>
                <w:szCs w:val="20"/>
              </w:rPr>
            </w:pPr>
            <w:r>
              <w:t>Category</w:t>
            </w:r>
          </w:p>
        </w:tc>
        <w:tc>
          <w:tcPr>
            <w:tcW w:w="7933" w:type="dxa"/>
          </w:tcPr>
          <w:p w14:paraId="227461C1" w14:textId="77777777" w:rsidR="00786BC7" w:rsidRPr="007B154A" w:rsidRDefault="00786BC7" w:rsidP="00A219B8">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 xml:space="preserve">Description </w:t>
            </w:r>
          </w:p>
        </w:tc>
      </w:tr>
      <w:tr w:rsidR="00BC6DD3" w:rsidRPr="001B05CB" w14:paraId="4C734362" w14:textId="77777777" w:rsidTr="00A219B8">
        <w:trPr>
          <w:trHeight w:val="578"/>
        </w:trPr>
        <w:tc>
          <w:tcPr>
            <w:cnfStyle w:val="001000000000" w:firstRow="0" w:lastRow="0" w:firstColumn="1" w:lastColumn="0" w:oddVBand="0" w:evenVBand="0" w:oddHBand="0" w:evenHBand="0" w:firstRowFirstColumn="0" w:firstRowLastColumn="0" w:lastRowFirstColumn="0" w:lastRowLastColumn="0"/>
            <w:tcW w:w="0" w:type="dxa"/>
          </w:tcPr>
          <w:p w14:paraId="00D347C5" w14:textId="77777777" w:rsidR="00786BC7" w:rsidRPr="00EA0A4D" w:rsidRDefault="00786BC7" w:rsidP="00A219B8">
            <w:pPr>
              <w:pStyle w:val="Tabletextbold"/>
              <w:rPr>
                <w:szCs w:val="20"/>
              </w:rPr>
            </w:pPr>
            <w:r w:rsidRPr="00EA0A4D">
              <w:t>Eligibility</w:t>
            </w:r>
            <w:r w:rsidRPr="00EA0A4D">
              <w:rPr>
                <w:szCs w:val="20"/>
              </w:rPr>
              <w:t xml:space="preserve"> criteria</w:t>
            </w:r>
          </w:p>
        </w:tc>
        <w:tc>
          <w:tcPr>
            <w:tcW w:w="7933" w:type="dxa"/>
          </w:tcPr>
          <w:p w14:paraId="44750730" w14:textId="77777777" w:rsidR="00786BC7" w:rsidRPr="005345D2" w:rsidRDefault="00786BC7" w:rsidP="00A219B8">
            <w:pPr>
              <w:pStyle w:val="TableBullet1"/>
              <w:cnfStyle w:val="000000000000" w:firstRow="0" w:lastRow="0" w:firstColumn="0" w:lastColumn="0" w:oddVBand="0" w:evenVBand="0" w:oddHBand="0" w:evenHBand="0" w:firstRowFirstColumn="0" w:firstRowLastColumn="0" w:lastRowFirstColumn="0" w:lastRowLastColumn="0"/>
            </w:pPr>
            <w:r w:rsidRPr="005345D2">
              <w:t>Holds either a Veteran Gold Card or Veteran White Card that covers cancer</w:t>
            </w:r>
          </w:p>
          <w:p w14:paraId="58A1A63C" w14:textId="77777777" w:rsidR="00786BC7" w:rsidRPr="005345D2" w:rsidRDefault="00786BC7" w:rsidP="00A219B8">
            <w:pPr>
              <w:pStyle w:val="TableBullet1"/>
              <w:cnfStyle w:val="000000000000" w:firstRow="0" w:lastRow="0" w:firstColumn="0" w:lastColumn="0" w:oddVBand="0" w:evenVBand="0" w:oddHBand="0" w:evenHBand="0" w:firstRowFirstColumn="0" w:firstRowLastColumn="0" w:lastRowFirstColumn="0" w:lastRowLastColumn="0"/>
            </w:pPr>
            <w:r w:rsidRPr="005345D2">
              <w:t xml:space="preserve">Have a formal diagnosis of the relevant condition </w:t>
            </w:r>
          </w:p>
        </w:tc>
      </w:tr>
      <w:tr w:rsidR="00BC6DD3" w:rsidRPr="00FA30FA" w14:paraId="091BC2F8" w14:textId="77777777" w:rsidTr="00A219B8">
        <w:trPr>
          <w:trHeight w:val="103"/>
        </w:trPr>
        <w:tc>
          <w:tcPr>
            <w:cnfStyle w:val="001000000000" w:firstRow="0" w:lastRow="0" w:firstColumn="1" w:lastColumn="0" w:oddVBand="0" w:evenVBand="0" w:oddHBand="0" w:evenHBand="0" w:firstRowFirstColumn="0" w:firstRowLastColumn="0" w:lastRowFirstColumn="0" w:lastRowLastColumn="0"/>
            <w:tcW w:w="0" w:type="dxa"/>
          </w:tcPr>
          <w:p w14:paraId="7CECDC8A" w14:textId="77777777" w:rsidR="00786BC7" w:rsidRPr="00EA0A4D" w:rsidRDefault="00786BC7" w:rsidP="00A219B8">
            <w:pPr>
              <w:pStyle w:val="Tabletextbold"/>
              <w:rPr>
                <w:szCs w:val="20"/>
              </w:rPr>
            </w:pPr>
            <w:r w:rsidRPr="00EA0A4D">
              <w:t>Products and services included</w:t>
            </w:r>
          </w:p>
        </w:tc>
        <w:tc>
          <w:tcPr>
            <w:tcW w:w="7933" w:type="dxa"/>
          </w:tcPr>
          <w:p w14:paraId="25D5A773" w14:textId="77777777" w:rsidR="00786BC7" w:rsidRDefault="00786BC7" w:rsidP="00A219B8">
            <w:pPr>
              <w:pStyle w:val="TableBullet1"/>
              <w:cnfStyle w:val="000000000000" w:firstRow="0" w:lastRow="0" w:firstColumn="0" w:lastColumn="0" w:oddVBand="0" w:evenVBand="0" w:oddHBand="0" w:evenHBand="0" w:firstRowFirstColumn="0" w:firstRowLastColumn="0" w:lastRowFirstColumn="0" w:lastRowLastColumn="0"/>
              <w:rPr>
                <w:szCs w:val="18"/>
              </w:rPr>
            </w:pPr>
            <w:r>
              <w:rPr>
                <w:szCs w:val="18"/>
              </w:rPr>
              <w:t>Everyday prostheses</w:t>
            </w:r>
          </w:p>
          <w:p w14:paraId="1085B06F" w14:textId="77777777" w:rsidR="00786BC7" w:rsidRDefault="00786BC7" w:rsidP="00A219B8">
            <w:pPr>
              <w:pStyle w:val="TableBullet1"/>
              <w:cnfStyle w:val="000000000000" w:firstRow="0" w:lastRow="0" w:firstColumn="0" w:lastColumn="0" w:oddVBand="0" w:evenVBand="0" w:oddHBand="0" w:evenHBand="0" w:firstRowFirstColumn="0" w:firstRowLastColumn="0" w:lastRowFirstColumn="0" w:lastRowLastColumn="0"/>
              <w:rPr>
                <w:szCs w:val="18"/>
              </w:rPr>
            </w:pPr>
            <w:r>
              <w:rPr>
                <w:szCs w:val="18"/>
              </w:rPr>
              <w:t>Stump socks, silicon liners and knee sleeves</w:t>
            </w:r>
          </w:p>
          <w:p w14:paraId="73CE5B00" w14:textId="77777777" w:rsidR="00786BC7" w:rsidRDefault="00786BC7" w:rsidP="00A219B8">
            <w:pPr>
              <w:pStyle w:val="TableBullet1"/>
              <w:cnfStyle w:val="000000000000" w:firstRow="0" w:lastRow="0" w:firstColumn="0" w:lastColumn="0" w:oddVBand="0" w:evenVBand="0" w:oddHBand="0" w:evenHBand="0" w:firstRowFirstColumn="0" w:firstRowLastColumn="0" w:lastRowFirstColumn="0" w:lastRowLastColumn="0"/>
              <w:rPr>
                <w:szCs w:val="18"/>
              </w:rPr>
            </w:pPr>
            <w:r>
              <w:rPr>
                <w:szCs w:val="18"/>
              </w:rPr>
              <w:t>A secondary prosthesis for sports or recreation purposes</w:t>
            </w:r>
          </w:p>
          <w:p w14:paraId="4E86168B" w14:textId="77777777" w:rsidR="00786BC7" w:rsidRPr="00A81F13" w:rsidRDefault="00786BC7" w:rsidP="00A219B8">
            <w:pPr>
              <w:pStyle w:val="TableBullet1"/>
              <w:cnfStyle w:val="000000000000" w:firstRow="0" w:lastRow="0" w:firstColumn="0" w:lastColumn="0" w:oddVBand="0" w:evenVBand="0" w:oddHBand="0" w:evenHBand="0" w:firstRowFirstColumn="0" w:firstRowLastColumn="0" w:lastRowFirstColumn="0" w:lastRowLastColumn="0"/>
              <w:rPr>
                <w:szCs w:val="18"/>
              </w:rPr>
            </w:pPr>
            <w:r>
              <w:rPr>
                <w:szCs w:val="18"/>
              </w:rPr>
              <w:t>Footwear for prosthetic limb</w:t>
            </w:r>
          </w:p>
        </w:tc>
      </w:tr>
      <w:tr w:rsidR="00BC6DD3" w:rsidRPr="00FA30FA" w14:paraId="19436685" w14:textId="77777777" w:rsidTr="00A219B8">
        <w:trPr>
          <w:trHeight w:val="576"/>
        </w:trPr>
        <w:tc>
          <w:tcPr>
            <w:cnfStyle w:val="001000000000" w:firstRow="0" w:lastRow="0" w:firstColumn="1" w:lastColumn="0" w:oddVBand="0" w:evenVBand="0" w:oddHBand="0" w:evenHBand="0" w:firstRowFirstColumn="0" w:firstRowLastColumn="0" w:lastRowFirstColumn="0" w:lastRowLastColumn="0"/>
            <w:tcW w:w="0" w:type="dxa"/>
          </w:tcPr>
          <w:p w14:paraId="091349DC" w14:textId="77777777" w:rsidR="00786BC7" w:rsidRPr="00EA0A4D" w:rsidRDefault="00786BC7" w:rsidP="00A219B8">
            <w:pPr>
              <w:pStyle w:val="Tabletextbold"/>
              <w:rPr>
                <w:szCs w:val="20"/>
              </w:rPr>
            </w:pPr>
            <w:r w:rsidRPr="00EA0A4D">
              <w:t>Cost coverage</w:t>
            </w:r>
          </w:p>
        </w:tc>
        <w:tc>
          <w:tcPr>
            <w:tcW w:w="7933" w:type="dxa"/>
          </w:tcPr>
          <w:p w14:paraId="44054561" w14:textId="77777777" w:rsidR="00786BC7" w:rsidRPr="009C1931" w:rsidRDefault="00786BC7" w:rsidP="00A219B8">
            <w:pPr>
              <w:pStyle w:val="TableBullet1"/>
              <w:cnfStyle w:val="000000000000" w:firstRow="0" w:lastRow="0" w:firstColumn="0" w:lastColumn="0" w:oddVBand="0" w:evenVBand="0" w:oddHBand="0" w:evenHBand="0" w:firstRowFirstColumn="0" w:firstRowLastColumn="0" w:lastRowFirstColumn="0" w:lastRowLastColumn="0"/>
            </w:pPr>
            <w:r w:rsidRPr="009C1931">
              <w:t xml:space="preserve">Covers the full cost with </w:t>
            </w:r>
            <w:proofErr w:type="gramStart"/>
            <w:r w:rsidRPr="009C1931">
              <w:t>no</w:t>
            </w:r>
            <w:proofErr w:type="gramEnd"/>
            <w:r w:rsidRPr="009C1931">
              <w:t xml:space="preserve"> out of pocket </w:t>
            </w:r>
            <w:r>
              <w:t>costs</w:t>
            </w:r>
            <w:r w:rsidRPr="009C1931">
              <w:t xml:space="preserve"> for the </w:t>
            </w:r>
            <w:r>
              <w:t>individual</w:t>
            </w:r>
          </w:p>
        </w:tc>
      </w:tr>
      <w:tr w:rsidR="00BC6DD3" w:rsidRPr="00FA30FA" w14:paraId="4EB56B4A" w14:textId="77777777" w:rsidTr="00A219B8">
        <w:trPr>
          <w:trHeight w:val="576"/>
        </w:trPr>
        <w:tc>
          <w:tcPr>
            <w:cnfStyle w:val="001000000000" w:firstRow="0" w:lastRow="0" w:firstColumn="1" w:lastColumn="0" w:oddVBand="0" w:evenVBand="0" w:oddHBand="0" w:evenHBand="0" w:firstRowFirstColumn="0" w:firstRowLastColumn="0" w:lastRowFirstColumn="0" w:lastRowLastColumn="0"/>
            <w:tcW w:w="0" w:type="dxa"/>
          </w:tcPr>
          <w:p w14:paraId="49C0AC58" w14:textId="77777777" w:rsidR="00786BC7" w:rsidRPr="00EA0A4D" w:rsidRDefault="00786BC7" w:rsidP="00A219B8">
            <w:pPr>
              <w:pStyle w:val="Tabletextbold"/>
              <w:rPr>
                <w:szCs w:val="20"/>
              </w:rPr>
            </w:pPr>
            <w:r w:rsidRPr="00EA0A4D">
              <w:t>Repairs and warranty</w:t>
            </w:r>
          </w:p>
        </w:tc>
        <w:tc>
          <w:tcPr>
            <w:tcW w:w="7933" w:type="dxa"/>
          </w:tcPr>
          <w:p w14:paraId="7FA0965D" w14:textId="77777777" w:rsidR="00786BC7" w:rsidRPr="009C1931" w:rsidRDefault="00786BC7" w:rsidP="00A219B8">
            <w:pPr>
              <w:pStyle w:val="TableBullet1"/>
              <w:cnfStyle w:val="000000000000" w:firstRow="0" w:lastRow="0" w:firstColumn="0" w:lastColumn="0" w:oddVBand="0" w:evenVBand="0" w:oddHBand="0" w:evenHBand="0" w:firstRowFirstColumn="0" w:firstRowLastColumn="0" w:lastRowFirstColumn="0" w:lastRowLastColumn="0"/>
            </w:pPr>
            <w:r>
              <w:t xml:space="preserve">DVA accepts the financial responsibility for items not covered under the warranty period. </w:t>
            </w:r>
          </w:p>
        </w:tc>
      </w:tr>
      <w:tr w:rsidR="00BC6DD3" w:rsidRPr="00FA30FA" w14:paraId="18B82C23" w14:textId="77777777" w:rsidTr="00A219B8">
        <w:trPr>
          <w:trHeight w:val="576"/>
        </w:trPr>
        <w:tc>
          <w:tcPr>
            <w:cnfStyle w:val="001000000000" w:firstRow="0" w:lastRow="0" w:firstColumn="1" w:lastColumn="0" w:oddVBand="0" w:evenVBand="0" w:oddHBand="0" w:evenHBand="0" w:firstRowFirstColumn="0" w:firstRowLastColumn="0" w:lastRowFirstColumn="0" w:lastRowLastColumn="0"/>
            <w:tcW w:w="0" w:type="dxa"/>
          </w:tcPr>
          <w:p w14:paraId="20E1D951" w14:textId="77777777" w:rsidR="00786BC7" w:rsidRPr="00EA0A4D" w:rsidRDefault="00786BC7" w:rsidP="00A219B8">
            <w:pPr>
              <w:pStyle w:val="Tabletextbold"/>
              <w:rPr>
                <w:szCs w:val="20"/>
              </w:rPr>
            </w:pPr>
            <w:r w:rsidRPr="00EA0A4D">
              <w:t xml:space="preserve">Referral pathway </w:t>
            </w:r>
          </w:p>
        </w:tc>
        <w:tc>
          <w:tcPr>
            <w:tcW w:w="7933" w:type="dxa"/>
          </w:tcPr>
          <w:p w14:paraId="135AAD54" w14:textId="77777777" w:rsidR="00786BC7" w:rsidRPr="00F9620B" w:rsidRDefault="00786BC7" w:rsidP="00A219B8">
            <w:pPr>
              <w:pStyle w:val="TableBullet1"/>
              <w:cnfStyle w:val="000000000000" w:firstRow="0" w:lastRow="0" w:firstColumn="0" w:lastColumn="0" w:oddVBand="0" w:evenVBand="0" w:oddHBand="0" w:evenHBand="0" w:firstRowFirstColumn="0" w:firstRowLastColumn="0" w:lastRowFirstColumn="0" w:lastRowLastColumn="0"/>
            </w:pPr>
            <w:r w:rsidRPr="008F702F">
              <w:t>Requires an assessment by a multidisciplinary prosthetic team including a prosthetist and a physiotherapist</w:t>
            </w:r>
          </w:p>
        </w:tc>
      </w:tr>
      <w:tr w:rsidR="00BC6DD3" w:rsidRPr="00FA30FA" w14:paraId="7ED4935F" w14:textId="77777777" w:rsidTr="00A219B8">
        <w:trPr>
          <w:trHeight w:val="576"/>
        </w:trPr>
        <w:tc>
          <w:tcPr>
            <w:cnfStyle w:val="001000000000" w:firstRow="0" w:lastRow="0" w:firstColumn="1" w:lastColumn="0" w:oddVBand="0" w:evenVBand="0" w:oddHBand="0" w:evenHBand="0" w:firstRowFirstColumn="0" w:firstRowLastColumn="0" w:lastRowFirstColumn="0" w:lastRowLastColumn="0"/>
            <w:tcW w:w="0" w:type="dxa"/>
          </w:tcPr>
          <w:p w14:paraId="6C81EC2A" w14:textId="77777777" w:rsidR="00786BC7" w:rsidRDefault="00786BC7" w:rsidP="00A219B8">
            <w:pPr>
              <w:pStyle w:val="Tabletextbold"/>
              <w:rPr>
                <w:szCs w:val="20"/>
              </w:rPr>
            </w:pPr>
            <w:r>
              <w:t>Settings in which prostheses may be accessed</w:t>
            </w:r>
          </w:p>
        </w:tc>
        <w:tc>
          <w:tcPr>
            <w:tcW w:w="7933" w:type="dxa"/>
          </w:tcPr>
          <w:p w14:paraId="4F4E02F7" w14:textId="77777777" w:rsidR="00786BC7" w:rsidRPr="00BB1F85" w:rsidRDefault="00786BC7" w:rsidP="00A219B8">
            <w:pPr>
              <w:pStyle w:val="TableBullet1"/>
              <w:cnfStyle w:val="000000000000" w:firstRow="0" w:lastRow="0" w:firstColumn="0" w:lastColumn="0" w:oddVBand="0" w:evenVBand="0" w:oddHBand="0" w:evenHBand="0" w:firstRowFirstColumn="0" w:firstRowLastColumn="0" w:lastRowFirstColumn="0" w:lastRowLastColumn="0"/>
              <w:rPr>
                <w:b/>
                <w:szCs w:val="20"/>
              </w:rPr>
            </w:pPr>
            <w:r>
              <w:t>Limb</w:t>
            </w:r>
            <w:r w:rsidRPr="00BB1F85">
              <w:t xml:space="preserve"> prostheses do not have a contracted supplier and is therefore up to the discretion of the health care professional to choose a relevant supplier.  </w:t>
            </w:r>
          </w:p>
        </w:tc>
      </w:tr>
      <w:tr w:rsidR="00BC6DD3" w:rsidRPr="00FA30FA" w14:paraId="0150FB77" w14:textId="77777777" w:rsidTr="00A219B8">
        <w:trPr>
          <w:trHeight w:val="576"/>
        </w:trPr>
        <w:tc>
          <w:tcPr>
            <w:cnfStyle w:val="001000000000" w:firstRow="0" w:lastRow="0" w:firstColumn="1" w:lastColumn="0" w:oddVBand="0" w:evenVBand="0" w:oddHBand="0" w:evenHBand="0" w:firstRowFirstColumn="0" w:firstRowLastColumn="0" w:lastRowFirstColumn="0" w:lastRowLastColumn="0"/>
            <w:tcW w:w="0" w:type="dxa"/>
          </w:tcPr>
          <w:p w14:paraId="3C2694F4" w14:textId="77777777" w:rsidR="00786BC7" w:rsidRDefault="00786BC7" w:rsidP="00A219B8">
            <w:pPr>
              <w:pStyle w:val="Tabletextbold"/>
              <w:rPr>
                <w:szCs w:val="20"/>
              </w:rPr>
            </w:pPr>
            <w:r>
              <w:t>Clinicians involved</w:t>
            </w:r>
          </w:p>
        </w:tc>
        <w:tc>
          <w:tcPr>
            <w:tcW w:w="7933" w:type="dxa"/>
          </w:tcPr>
          <w:p w14:paraId="2F2D2EC8" w14:textId="77777777" w:rsidR="00786BC7" w:rsidRDefault="00786BC7" w:rsidP="00A219B8">
            <w:pPr>
              <w:pStyle w:val="TableBullet1"/>
              <w:cnfStyle w:val="000000000000" w:firstRow="0" w:lastRow="0" w:firstColumn="0" w:lastColumn="0" w:oddVBand="0" w:evenVBand="0" w:oddHBand="0" w:evenHBand="0" w:firstRowFirstColumn="0" w:firstRowLastColumn="0" w:lastRowFirstColumn="0" w:lastRowLastColumn="0"/>
              <w:rPr>
                <w:szCs w:val="18"/>
              </w:rPr>
            </w:pPr>
            <w:r>
              <w:rPr>
                <w:szCs w:val="18"/>
              </w:rPr>
              <w:t>An amputee clinic multidisciplinary teams involves a:</w:t>
            </w:r>
          </w:p>
          <w:p w14:paraId="736875D6" w14:textId="77777777" w:rsidR="00786BC7" w:rsidRDefault="00786BC7" w:rsidP="00A219B8">
            <w:pPr>
              <w:pStyle w:val="TableBullet1"/>
              <w:cnfStyle w:val="000000000000" w:firstRow="0" w:lastRow="0" w:firstColumn="0" w:lastColumn="0" w:oddVBand="0" w:evenVBand="0" w:oddHBand="0" w:evenHBand="0" w:firstRowFirstColumn="0" w:firstRowLastColumn="0" w:lastRowFirstColumn="0" w:lastRowLastColumn="0"/>
              <w:rPr>
                <w:szCs w:val="18"/>
              </w:rPr>
            </w:pPr>
            <w:r>
              <w:rPr>
                <w:szCs w:val="18"/>
              </w:rPr>
              <w:t xml:space="preserve">Rehabilitation physicians: assess, diagnoses and treats a person’s mobility and function. </w:t>
            </w:r>
          </w:p>
          <w:p w14:paraId="097D8204" w14:textId="77777777" w:rsidR="00786BC7" w:rsidRDefault="00786BC7" w:rsidP="00A219B8">
            <w:pPr>
              <w:pStyle w:val="TableBullet1"/>
              <w:cnfStyle w:val="000000000000" w:firstRow="0" w:lastRow="0" w:firstColumn="0" w:lastColumn="0" w:oddVBand="0" w:evenVBand="0" w:oddHBand="0" w:evenHBand="0" w:firstRowFirstColumn="0" w:firstRowLastColumn="0" w:lastRowFirstColumn="0" w:lastRowLastColumn="0"/>
              <w:rPr>
                <w:szCs w:val="18"/>
              </w:rPr>
            </w:pPr>
            <w:r>
              <w:rPr>
                <w:szCs w:val="18"/>
              </w:rPr>
              <w:t>Prosthetists: assesses the persons functional needs, and design, manufacture and fit prosthetic limb</w:t>
            </w:r>
          </w:p>
          <w:p w14:paraId="2EF17CE4" w14:textId="77777777" w:rsidR="00786BC7" w:rsidRPr="008F702F" w:rsidRDefault="00786BC7" w:rsidP="00A219B8">
            <w:pPr>
              <w:pStyle w:val="TableBullet1"/>
              <w:cnfStyle w:val="000000000000" w:firstRow="0" w:lastRow="0" w:firstColumn="0" w:lastColumn="0" w:oddVBand="0" w:evenVBand="0" w:oddHBand="0" w:evenHBand="0" w:firstRowFirstColumn="0" w:firstRowLastColumn="0" w:lastRowFirstColumn="0" w:lastRowLastColumn="0"/>
            </w:pPr>
            <w:r>
              <w:rPr>
                <w:szCs w:val="18"/>
              </w:rPr>
              <w:t>Physiotherapist: supports rehabilitation and strength training</w:t>
            </w:r>
          </w:p>
        </w:tc>
      </w:tr>
      <w:tr w:rsidR="00BC6DD3" w:rsidRPr="00FA30FA" w14:paraId="4D5C890F" w14:textId="77777777" w:rsidTr="00A219B8">
        <w:trPr>
          <w:trHeight w:val="576"/>
        </w:trPr>
        <w:tc>
          <w:tcPr>
            <w:cnfStyle w:val="001000000000" w:firstRow="0" w:lastRow="0" w:firstColumn="1" w:lastColumn="0" w:oddVBand="0" w:evenVBand="0" w:oddHBand="0" w:evenHBand="0" w:firstRowFirstColumn="0" w:firstRowLastColumn="0" w:lastRowFirstColumn="0" w:lastRowLastColumn="0"/>
            <w:tcW w:w="0" w:type="dxa"/>
          </w:tcPr>
          <w:p w14:paraId="1ACBC665" w14:textId="77777777" w:rsidR="00786BC7" w:rsidRDefault="00786BC7" w:rsidP="00A219B8">
            <w:pPr>
              <w:pStyle w:val="Tabletextbold"/>
              <w:rPr>
                <w:szCs w:val="20"/>
              </w:rPr>
            </w:pPr>
            <w:r>
              <w:t>Funded by</w:t>
            </w:r>
          </w:p>
        </w:tc>
        <w:tc>
          <w:tcPr>
            <w:tcW w:w="7933" w:type="dxa"/>
          </w:tcPr>
          <w:p w14:paraId="1686D315" w14:textId="77777777" w:rsidR="00786BC7" w:rsidRDefault="00786BC7" w:rsidP="00A219B8">
            <w:pPr>
              <w:pStyle w:val="TableBullet1"/>
              <w:cnfStyle w:val="000000000000" w:firstRow="0" w:lastRow="0" w:firstColumn="0" w:lastColumn="0" w:oddVBand="0" w:evenVBand="0" w:oddHBand="0" w:evenHBand="0" w:firstRowFirstColumn="0" w:firstRowLastColumn="0" w:lastRowFirstColumn="0" w:lastRowLastColumn="0"/>
            </w:pPr>
            <w:r>
              <w:t xml:space="preserve">Australian Government </w:t>
            </w:r>
          </w:p>
        </w:tc>
      </w:tr>
      <w:tr w:rsidR="00BC6DD3" w:rsidRPr="00FA30FA" w14:paraId="416FD46C" w14:textId="77777777" w:rsidTr="00A219B8">
        <w:trPr>
          <w:trHeight w:val="576"/>
        </w:trPr>
        <w:tc>
          <w:tcPr>
            <w:cnfStyle w:val="001000000000" w:firstRow="0" w:lastRow="0" w:firstColumn="1" w:lastColumn="0" w:oddVBand="0" w:evenVBand="0" w:oddHBand="0" w:evenHBand="0" w:firstRowFirstColumn="0" w:firstRowLastColumn="0" w:lastRowFirstColumn="0" w:lastRowLastColumn="0"/>
            <w:tcW w:w="0" w:type="dxa"/>
          </w:tcPr>
          <w:p w14:paraId="7202DE06" w14:textId="77777777" w:rsidR="00786BC7" w:rsidRDefault="00786BC7" w:rsidP="00A219B8">
            <w:pPr>
              <w:pStyle w:val="Tabletextbold"/>
              <w:rPr>
                <w:szCs w:val="20"/>
              </w:rPr>
            </w:pPr>
            <w:r>
              <w:t>Role of Australian government</w:t>
            </w:r>
          </w:p>
        </w:tc>
        <w:tc>
          <w:tcPr>
            <w:tcW w:w="7933" w:type="dxa"/>
          </w:tcPr>
          <w:p w14:paraId="730C7EF8" w14:textId="77777777" w:rsidR="00786BC7" w:rsidRDefault="00786BC7" w:rsidP="00A219B8">
            <w:pPr>
              <w:pStyle w:val="TableBullet1"/>
              <w:cnfStyle w:val="000000000000" w:firstRow="0" w:lastRow="0" w:firstColumn="0" w:lastColumn="0" w:oddVBand="0" w:evenVBand="0" w:oddHBand="0" w:evenHBand="0" w:firstRowFirstColumn="0" w:firstRowLastColumn="0" w:lastRowFirstColumn="0" w:lastRowLastColumn="0"/>
            </w:pPr>
            <w:r>
              <w:t>Funds and administers the DVA</w:t>
            </w:r>
          </w:p>
        </w:tc>
      </w:tr>
      <w:tr w:rsidR="00BC6DD3" w:rsidRPr="00FA30FA" w14:paraId="531E2BB2" w14:textId="77777777" w:rsidTr="00A219B8">
        <w:trPr>
          <w:trHeight w:val="576"/>
        </w:trPr>
        <w:tc>
          <w:tcPr>
            <w:cnfStyle w:val="001000000000" w:firstRow="0" w:lastRow="0" w:firstColumn="1" w:lastColumn="0" w:oddVBand="0" w:evenVBand="0" w:oddHBand="0" w:evenHBand="0" w:firstRowFirstColumn="0" w:firstRowLastColumn="0" w:lastRowFirstColumn="0" w:lastRowLastColumn="0"/>
            <w:tcW w:w="0" w:type="dxa"/>
          </w:tcPr>
          <w:p w14:paraId="7A351576" w14:textId="77777777" w:rsidR="00786BC7" w:rsidRDefault="00786BC7" w:rsidP="00A219B8">
            <w:pPr>
              <w:pStyle w:val="Tabletextbold"/>
              <w:rPr>
                <w:szCs w:val="20"/>
              </w:rPr>
            </w:pPr>
            <w:r>
              <w:t>Role of state/territory governments</w:t>
            </w:r>
          </w:p>
        </w:tc>
        <w:tc>
          <w:tcPr>
            <w:tcW w:w="7933" w:type="dxa"/>
          </w:tcPr>
          <w:p w14:paraId="61855517" w14:textId="77777777" w:rsidR="00786BC7" w:rsidRDefault="00786BC7" w:rsidP="00A219B8">
            <w:pPr>
              <w:pStyle w:val="TableBullet1"/>
              <w:cnfStyle w:val="000000000000" w:firstRow="0" w:lastRow="0" w:firstColumn="0" w:lastColumn="0" w:oddVBand="0" w:evenVBand="0" w:oddHBand="0" w:evenHBand="0" w:firstRowFirstColumn="0" w:firstRowLastColumn="0" w:lastRowFirstColumn="0" w:lastRowLastColumn="0"/>
            </w:pPr>
            <w:r>
              <w:t xml:space="preserve">None </w:t>
            </w:r>
          </w:p>
        </w:tc>
      </w:tr>
    </w:tbl>
    <w:p w14:paraId="17D31382" w14:textId="6F836F12" w:rsidR="008271E9" w:rsidRPr="00804C69" w:rsidRDefault="00786BC7" w:rsidP="00A219B8">
      <w:pPr>
        <w:pStyle w:val="Caption-Source"/>
        <w:rPr>
          <w:i/>
          <w:szCs w:val="20"/>
        </w:rPr>
      </w:pPr>
      <w:r w:rsidRPr="001F6748">
        <w:t>Source: DVA (2023)</w:t>
      </w:r>
      <w:r>
        <w:rPr>
          <w:rFonts w:ascii="ZWAdobeF" w:hAnsi="ZWAdobeF" w:cs="ZWAdobeF"/>
          <w:color w:val="auto"/>
          <w:sz w:val="2"/>
          <w:szCs w:val="2"/>
        </w:rPr>
        <w:t>51F</w:t>
      </w:r>
      <w:r w:rsidRPr="001F6748">
        <w:rPr>
          <w:rStyle w:val="FootnoteReference"/>
          <w:i/>
          <w:szCs w:val="20"/>
        </w:rPr>
        <w:footnoteReference w:id="182"/>
      </w:r>
    </w:p>
    <w:p w14:paraId="0D37E4DD" w14:textId="7A5F7B47" w:rsidR="0027143A" w:rsidRDefault="0027143A" w:rsidP="008239ED">
      <w:pPr>
        <w:pStyle w:val="AppendixHeading2"/>
      </w:pPr>
      <w:bookmarkStart w:id="334" w:name="_Toc207348781"/>
      <w:r>
        <w:t>Australian Capital Territory</w:t>
      </w:r>
      <w:bookmarkEnd w:id="334"/>
    </w:p>
    <w:p w14:paraId="0E35A59E" w14:textId="658BAF88" w:rsidR="00804C69" w:rsidRDefault="00804C69" w:rsidP="00804C69">
      <w:pPr>
        <w:pStyle w:val="Caption"/>
      </w:pPr>
      <w:bookmarkStart w:id="335" w:name="_Ref198902440"/>
      <w:bookmarkStart w:id="336" w:name="_Toc207348687"/>
      <w:r>
        <w:t xml:space="preserve">Table </w:t>
      </w:r>
      <w:r w:rsidR="00E6799D">
        <w:fldChar w:fldCharType="begin"/>
      </w:r>
      <w:r w:rsidR="00E6799D">
        <w:instrText xml:space="preserve"> SEQ Table \* ARABIC </w:instrText>
      </w:r>
      <w:r w:rsidR="00E6799D">
        <w:fldChar w:fldCharType="separate"/>
      </w:r>
      <w:r w:rsidR="00E6799D">
        <w:rPr>
          <w:noProof/>
        </w:rPr>
        <w:t>122</w:t>
      </w:r>
      <w:r w:rsidR="00E6799D">
        <w:rPr>
          <w:noProof/>
        </w:rPr>
        <w:fldChar w:fldCharType="end"/>
      </w:r>
      <w:bookmarkEnd w:id="335"/>
      <w:r>
        <w:t>: ACTALS details</w:t>
      </w:r>
      <w:bookmarkEnd w:id="336"/>
    </w:p>
    <w:tbl>
      <w:tblPr>
        <w:tblStyle w:val="KPMGTable"/>
        <w:tblW w:w="9923" w:type="dxa"/>
        <w:tblLook w:val="04A0" w:firstRow="1" w:lastRow="0" w:firstColumn="1" w:lastColumn="0" w:noHBand="0" w:noVBand="1"/>
      </w:tblPr>
      <w:tblGrid>
        <w:gridCol w:w="1701"/>
        <w:gridCol w:w="8222"/>
      </w:tblGrid>
      <w:tr w:rsidR="00467133" w:rsidRPr="007B154A" w14:paraId="74404158" w14:textId="77777777" w:rsidTr="005E6F9D">
        <w:trPr>
          <w:cnfStyle w:val="100000000000" w:firstRow="1" w:lastRow="0" w:firstColumn="0" w:lastColumn="0" w:oddVBand="0" w:evenVBand="0" w:oddHBand="0" w:evenHBand="0" w:firstRowFirstColumn="0" w:firstRowLastColumn="0" w:lastRowFirstColumn="0" w:lastRowLastColumn="0"/>
          <w:trHeight w:val="233"/>
          <w:tblHeader/>
        </w:trPr>
        <w:tc>
          <w:tcPr>
            <w:cnfStyle w:val="001000000000" w:firstRow="0" w:lastRow="0" w:firstColumn="1" w:lastColumn="0" w:oddVBand="0" w:evenVBand="0" w:oddHBand="0" w:evenHBand="0" w:firstRowFirstColumn="0" w:firstRowLastColumn="0" w:lastRowFirstColumn="0" w:lastRowLastColumn="0"/>
            <w:tcW w:w="1701" w:type="dxa"/>
          </w:tcPr>
          <w:p w14:paraId="3B1F5D1D" w14:textId="77777777" w:rsidR="00804C69" w:rsidRPr="007B154A" w:rsidRDefault="00804C69" w:rsidP="00A219B8">
            <w:pPr>
              <w:pStyle w:val="TableHeading"/>
              <w:rPr>
                <w:b w:val="0"/>
                <w:color w:val="FFFFFF" w:themeColor="background1"/>
                <w:szCs w:val="20"/>
              </w:rPr>
            </w:pPr>
            <w:r>
              <w:t>Category</w:t>
            </w:r>
          </w:p>
        </w:tc>
        <w:tc>
          <w:tcPr>
            <w:tcW w:w="8222" w:type="dxa"/>
          </w:tcPr>
          <w:p w14:paraId="3D43FCA6" w14:textId="77777777" w:rsidR="00804C69" w:rsidRPr="007B154A" w:rsidRDefault="00804C69" w:rsidP="00A219B8">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 xml:space="preserve">Description </w:t>
            </w:r>
          </w:p>
        </w:tc>
      </w:tr>
      <w:tr w:rsidR="00BC6DD3" w:rsidRPr="001B05CB" w14:paraId="746296B5" w14:textId="77777777" w:rsidTr="00A219B8">
        <w:trPr>
          <w:trHeight w:val="578"/>
        </w:trPr>
        <w:tc>
          <w:tcPr>
            <w:cnfStyle w:val="001000000000" w:firstRow="0" w:lastRow="0" w:firstColumn="1" w:lastColumn="0" w:oddVBand="0" w:evenVBand="0" w:oddHBand="0" w:evenHBand="0" w:firstRowFirstColumn="0" w:firstRowLastColumn="0" w:lastRowFirstColumn="0" w:lastRowLastColumn="0"/>
            <w:tcW w:w="1701" w:type="dxa"/>
          </w:tcPr>
          <w:p w14:paraId="6017D363" w14:textId="77777777" w:rsidR="00804C69" w:rsidRPr="007B154A" w:rsidRDefault="00804C69" w:rsidP="00A219B8">
            <w:pPr>
              <w:pStyle w:val="Tabletextbold"/>
              <w:rPr>
                <w:szCs w:val="20"/>
              </w:rPr>
            </w:pPr>
            <w:r>
              <w:rPr>
                <w:b/>
              </w:rPr>
              <w:t>Eligibility</w:t>
            </w:r>
            <w:r w:rsidRPr="007B154A">
              <w:rPr>
                <w:szCs w:val="20"/>
              </w:rPr>
              <w:t xml:space="preserve"> </w:t>
            </w:r>
            <w:r>
              <w:rPr>
                <w:szCs w:val="20"/>
              </w:rPr>
              <w:t>criteria</w:t>
            </w:r>
          </w:p>
        </w:tc>
        <w:tc>
          <w:tcPr>
            <w:tcW w:w="8222" w:type="dxa"/>
          </w:tcPr>
          <w:p w14:paraId="0D157813" w14:textId="77777777" w:rsidR="00804C69" w:rsidRDefault="00804C69" w:rsidP="00A219B8">
            <w:pPr>
              <w:pStyle w:val="TableBullet1"/>
              <w:cnfStyle w:val="000000000000" w:firstRow="0" w:lastRow="0" w:firstColumn="0" w:lastColumn="0" w:oddVBand="0" w:evenVBand="0" w:oddHBand="0" w:evenHBand="0" w:firstRowFirstColumn="0" w:firstRowLastColumn="0" w:lastRowFirstColumn="0" w:lastRowLastColumn="0"/>
            </w:pPr>
            <w:r w:rsidRPr="00BA6A81">
              <w:t>Have a limb deficiency for which a prosthesis is prescribed by a Prescribing Consultant in Rehabilitation Medicine employed within CHS</w:t>
            </w:r>
            <w:r>
              <w:t>, and</w:t>
            </w:r>
          </w:p>
          <w:p w14:paraId="0BAC3517" w14:textId="77777777" w:rsidR="00804C69" w:rsidRDefault="00804C69" w:rsidP="00A219B8">
            <w:pPr>
              <w:pStyle w:val="TableBullet1"/>
              <w:cnfStyle w:val="000000000000" w:firstRow="0" w:lastRow="0" w:firstColumn="0" w:lastColumn="0" w:oddVBand="0" w:evenVBand="0" w:oddHBand="0" w:evenHBand="0" w:firstRowFirstColumn="0" w:firstRowLastColumn="0" w:lastRowFirstColumn="0" w:lastRowLastColumn="0"/>
            </w:pPr>
            <w:r w:rsidRPr="00C86B8A">
              <w:t>Be a permanent Australian resident and be listed on a Medicare Card</w:t>
            </w:r>
            <w:r>
              <w:t xml:space="preserve">, and </w:t>
            </w:r>
          </w:p>
          <w:p w14:paraId="687D7211" w14:textId="77777777" w:rsidR="00804C69" w:rsidRDefault="00804C69" w:rsidP="00A219B8">
            <w:pPr>
              <w:pStyle w:val="TableBullet1"/>
              <w:cnfStyle w:val="000000000000" w:firstRow="0" w:lastRow="0" w:firstColumn="0" w:lastColumn="0" w:oddVBand="0" w:evenVBand="0" w:oddHBand="0" w:evenHBand="0" w:firstRowFirstColumn="0" w:firstRowLastColumn="0" w:lastRowFirstColumn="0" w:lastRowLastColumn="0"/>
            </w:pPr>
            <w:r w:rsidRPr="00C86B8A">
              <w:t>For regular and ongoing services, be a permanent resident of the ACT or surrounding NSW region,</w:t>
            </w:r>
            <w:r>
              <w:t xml:space="preserve"> and</w:t>
            </w:r>
          </w:p>
          <w:p w14:paraId="2F8DF7A7" w14:textId="77777777" w:rsidR="00804C69" w:rsidRPr="009C1931" w:rsidRDefault="00804C69" w:rsidP="00A219B8">
            <w:pPr>
              <w:pStyle w:val="TableBullet1"/>
              <w:cnfStyle w:val="000000000000" w:firstRow="0" w:lastRow="0" w:firstColumn="0" w:lastColumn="0" w:oddVBand="0" w:evenVBand="0" w:oddHBand="0" w:evenHBand="0" w:firstRowFirstColumn="0" w:firstRowLastColumn="0" w:lastRowFirstColumn="0" w:lastRowLastColumn="0"/>
            </w:pPr>
            <w:r w:rsidRPr="00C86B8A">
              <w:t>Not be eligible for funding of prosthetics from alternative funds or bodies</w:t>
            </w:r>
            <w:r>
              <w:t>.</w:t>
            </w:r>
          </w:p>
        </w:tc>
      </w:tr>
      <w:tr w:rsidR="00BC6DD3" w:rsidRPr="00FA30FA" w14:paraId="0E3946A7" w14:textId="77777777" w:rsidTr="00A219B8">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053CA42E" w14:textId="77777777" w:rsidR="00804C69" w:rsidRPr="007B154A" w:rsidRDefault="00804C69" w:rsidP="00A219B8">
            <w:pPr>
              <w:pStyle w:val="Tabletextbold"/>
              <w:rPr>
                <w:szCs w:val="20"/>
              </w:rPr>
            </w:pPr>
            <w:r>
              <w:rPr>
                <w:b/>
              </w:rPr>
              <w:t>Products and services included</w:t>
            </w:r>
          </w:p>
        </w:tc>
        <w:tc>
          <w:tcPr>
            <w:tcW w:w="8222" w:type="dxa"/>
          </w:tcPr>
          <w:p w14:paraId="02732718" w14:textId="77777777" w:rsidR="00804C69" w:rsidRDefault="00804C69" w:rsidP="00A219B8">
            <w:pPr>
              <w:pStyle w:val="TableText"/>
              <w:cnfStyle w:val="000000000000" w:firstRow="0" w:lastRow="0" w:firstColumn="0" w:lastColumn="0" w:oddVBand="0" w:evenVBand="0" w:oddHBand="0" w:evenHBand="0" w:firstRowFirstColumn="0" w:firstRowLastColumn="0" w:lastRowFirstColumn="0" w:lastRowLastColumn="0"/>
            </w:pPr>
            <w:r>
              <w:t>Upper and lower limb prostheses, including:</w:t>
            </w:r>
          </w:p>
          <w:p w14:paraId="16AF87E8" w14:textId="77777777" w:rsidR="00804C69" w:rsidRDefault="00804C69" w:rsidP="00A219B8">
            <w:pPr>
              <w:pStyle w:val="TableBullet1"/>
              <w:cnfStyle w:val="000000000000" w:firstRow="0" w:lastRow="0" w:firstColumn="0" w:lastColumn="0" w:oddVBand="0" w:evenVBand="0" w:oddHBand="0" w:evenHBand="0" w:firstRowFirstColumn="0" w:firstRowLastColumn="0" w:lastRowFirstColumn="0" w:lastRowLastColumn="0"/>
            </w:pPr>
            <w:r>
              <w:t>A</w:t>
            </w:r>
            <w:r w:rsidRPr="005571AC">
              <w:t>rm and leg</w:t>
            </w:r>
            <w:r>
              <w:t xml:space="preserve"> prostheses</w:t>
            </w:r>
            <w:r w:rsidRPr="005571AC">
              <w:t xml:space="preserve"> </w:t>
            </w:r>
          </w:p>
          <w:p w14:paraId="66FD8DFF" w14:textId="77777777" w:rsidR="00804C69" w:rsidRDefault="00804C69" w:rsidP="00A219B8">
            <w:pPr>
              <w:pStyle w:val="TableBullet1"/>
              <w:cnfStyle w:val="000000000000" w:firstRow="0" w:lastRow="0" w:firstColumn="0" w:lastColumn="0" w:oddVBand="0" w:evenVBand="0" w:oddHBand="0" w:evenHBand="0" w:firstRowFirstColumn="0" w:firstRowLastColumn="0" w:lastRowFirstColumn="0" w:lastRowLastColumn="0"/>
            </w:pPr>
            <w:r>
              <w:t>P</w:t>
            </w:r>
            <w:r w:rsidRPr="00FB0D9E">
              <w:t>artial hand prostheses</w:t>
            </w:r>
          </w:p>
          <w:p w14:paraId="283D61C1" w14:textId="77777777" w:rsidR="00804C69" w:rsidRDefault="00804C69" w:rsidP="00A219B8">
            <w:pPr>
              <w:pStyle w:val="TableBullet1"/>
              <w:cnfStyle w:val="000000000000" w:firstRow="0" w:lastRow="0" w:firstColumn="0" w:lastColumn="0" w:oddVBand="0" w:evenVBand="0" w:oddHBand="0" w:evenHBand="0" w:firstRowFirstColumn="0" w:firstRowLastColumn="0" w:lastRowFirstColumn="0" w:lastRowLastColumn="0"/>
            </w:pPr>
            <w:r>
              <w:t>P</w:t>
            </w:r>
            <w:r w:rsidRPr="00FB0D9E">
              <w:t>artial foot prostheses (proximal to the metatarsophalangeal joint)</w:t>
            </w:r>
          </w:p>
          <w:p w14:paraId="55DBF517" w14:textId="77777777" w:rsidR="00804C69" w:rsidRPr="00FB0D9E" w:rsidRDefault="00804C69" w:rsidP="00A219B8">
            <w:pPr>
              <w:pStyle w:val="TableText"/>
              <w:cnfStyle w:val="000000000000" w:firstRow="0" w:lastRow="0" w:firstColumn="0" w:lastColumn="0" w:oddVBand="0" w:evenVBand="0" w:oddHBand="0" w:evenHBand="0" w:firstRowFirstColumn="0" w:firstRowLastColumn="0" w:lastRowFirstColumn="0" w:lastRowLastColumn="0"/>
            </w:pPr>
            <w:r>
              <w:t xml:space="preserve">Annual consumable items per limb </w:t>
            </w:r>
          </w:p>
          <w:p w14:paraId="7256543C" w14:textId="77777777" w:rsidR="00804C69" w:rsidRPr="005571AC" w:rsidRDefault="00804C69" w:rsidP="00A219B8">
            <w:pPr>
              <w:pStyle w:val="TableBullet1"/>
              <w:cnfStyle w:val="000000000000" w:firstRow="0" w:lastRow="0" w:firstColumn="0" w:lastColumn="0" w:oddVBand="0" w:evenVBand="0" w:oddHBand="0" w:evenHBand="0" w:firstRowFirstColumn="0" w:firstRowLastColumn="0" w:lastRowFirstColumn="0" w:lastRowLastColumn="0"/>
            </w:pPr>
            <w:r w:rsidRPr="005571AC">
              <w:t>14 socks/gel</w:t>
            </w:r>
          </w:p>
          <w:p w14:paraId="74EA7CAD" w14:textId="77777777" w:rsidR="00804C69" w:rsidRPr="005571AC" w:rsidRDefault="00804C69" w:rsidP="00A219B8">
            <w:pPr>
              <w:pStyle w:val="TableBullet1"/>
              <w:cnfStyle w:val="000000000000" w:firstRow="0" w:lastRow="0" w:firstColumn="0" w:lastColumn="0" w:oddVBand="0" w:evenVBand="0" w:oddHBand="0" w:evenHBand="0" w:firstRowFirstColumn="0" w:firstRowLastColumn="0" w:lastRowFirstColumn="0" w:lastRowLastColumn="0"/>
            </w:pPr>
            <w:r w:rsidRPr="005571AC">
              <w:t>6 Sheaths</w:t>
            </w:r>
          </w:p>
          <w:p w14:paraId="62BDF4DA" w14:textId="77777777" w:rsidR="00804C69" w:rsidRPr="005571AC" w:rsidRDefault="00804C69" w:rsidP="00A219B8">
            <w:pPr>
              <w:pStyle w:val="TableBullet1"/>
              <w:cnfStyle w:val="000000000000" w:firstRow="0" w:lastRow="0" w:firstColumn="0" w:lastColumn="0" w:oddVBand="0" w:evenVBand="0" w:oddHBand="0" w:evenHBand="0" w:firstRowFirstColumn="0" w:firstRowLastColumn="0" w:lastRowFirstColumn="0" w:lastRowLastColumn="0"/>
            </w:pPr>
            <w:r w:rsidRPr="005571AC">
              <w:t>4 Cosmetic stockings</w:t>
            </w:r>
          </w:p>
          <w:p w14:paraId="2C6740B7" w14:textId="77777777" w:rsidR="00804C69" w:rsidRDefault="00804C69" w:rsidP="00A219B8">
            <w:pPr>
              <w:pStyle w:val="TableBullet1"/>
              <w:cnfStyle w:val="000000000000" w:firstRow="0" w:lastRow="0" w:firstColumn="0" w:lastColumn="0" w:oddVBand="0" w:evenVBand="0" w:oddHBand="0" w:evenHBand="0" w:firstRowFirstColumn="0" w:firstRowLastColumn="0" w:lastRowFirstColumn="0" w:lastRowLastColumn="0"/>
            </w:pPr>
            <w:r w:rsidRPr="005571AC">
              <w:t>2 AK suspension belts</w:t>
            </w:r>
          </w:p>
          <w:p w14:paraId="102A6714" w14:textId="77777777" w:rsidR="00804C69" w:rsidRPr="005571AC" w:rsidRDefault="00804C69" w:rsidP="00A219B8">
            <w:pPr>
              <w:pStyle w:val="TableBullet1"/>
              <w:cnfStyle w:val="000000000000" w:firstRow="0" w:lastRow="0" w:firstColumn="0" w:lastColumn="0" w:oddVBand="0" w:evenVBand="0" w:oddHBand="0" w:evenHBand="0" w:firstRowFirstColumn="0" w:firstRowLastColumn="0" w:lastRowFirstColumn="0" w:lastRowLastColumn="0"/>
            </w:pPr>
            <w:r>
              <w:t>3 Knee suspension sleeves</w:t>
            </w:r>
          </w:p>
          <w:p w14:paraId="45C11F64" w14:textId="77777777" w:rsidR="00804C69" w:rsidRPr="005571AC" w:rsidRDefault="00804C69" w:rsidP="00A219B8">
            <w:pPr>
              <w:pStyle w:val="TableBullet1"/>
              <w:cnfStyle w:val="000000000000" w:firstRow="0" w:lastRow="0" w:firstColumn="0" w:lastColumn="0" w:oddVBand="0" w:evenVBand="0" w:oddHBand="0" w:evenHBand="0" w:firstRowFirstColumn="0" w:firstRowLastColumn="0" w:lastRowFirstColumn="0" w:lastRowLastColumn="0"/>
            </w:pPr>
            <w:r w:rsidRPr="005571AC">
              <w:t>3 Stump Shrinkers</w:t>
            </w:r>
          </w:p>
          <w:p w14:paraId="1CDE10DA" w14:textId="77777777" w:rsidR="00804C69" w:rsidRPr="009C1931" w:rsidRDefault="00804C69" w:rsidP="00A219B8">
            <w:pPr>
              <w:pStyle w:val="TableBullet1"/>
              <w:cnfStyle w:val="000000000000" w:firstRow="0" w:lastRow="0" w:firstColumn="0" w:lastColumn="0" w:oddVBand="0" w:evenVBand="0" w:oddHBand="0" w:evenHBand="0" w:firstRowFirstColumn="0" w:firstRowLastColumn="0" w:lastRowFirstColumn="0" w:lastRowLastColumn="0"/>
              <w:rPr>
                <w:bCs/>
              </w:rPr>
            </w:pPr>
            <w:r w:rsidRPr="005571AC">
              <w:t>2 Liners</w:t>
            </w:r>
          </w:p>
        </w:tc>
      </w:tr>
      <w:tr w:rsidR="00BC6DD3" w:rsidRPr="00FA30FA" w14:paraId="70E9C5D8" w14:textId="77777777" w:rsidTr="00A219B8">
        <w:trPr>
          <w:trHeight w:val="259"/>
        </w:trPr>
        <w:tc>
          <w:tcPr>
            <w:cnfStyle w:val="001000000000" w:firstRow="0" w:lastRow="0" w:firstColumn="1" w:lastColumn="0" w:oddVBand="0" w:evenVBand="0" w:oddHBand="0" w:evenHBand="0" w:firstRowFirstColumn="0" w:firstRowLastColumn="0" w:lastRowFirstColumn="0" w:lastRowLastColumn="0"/>
            <w:tcW w:w="1701" w:type="dxa"/>
          </w:tcPr>
          <w:p w14:paraId="465824C6" w14:textId="77777777" w:rsidR="00804C69" w:rsidRDefault="00804C69" w:rsidP="00A219B8">
            <w:pPr>
              <w:pStyle w:val="Tabletextbold"/>
              <w:rPr>
                <w:szCs w:val="20"/>
              </w:rPr>
            </w:pPr>
            <w:r>
              <w:rPr>
                <w:b/>
              </w:rPr>
              <w:t>Cost coverage</w:t>
            </w:r>
          </w:p>
        </w:tc>
        <w:tc>
          <w:tcPr>
            <w:tcW w:w="8222" w:type="dxa"/>
          </w:tcPr>
          <w:p w14:paraId="3E878AEF" w14:textId="77777777" w:rsidR="00804C69" w:rsidRPr="009C1931" w:rsidRDefault="00804C69" w:rsidP="00A219B8">
            <w:pPr>
              <w:pStyle w:val="TableBullet1"/>
              <w:cnfStyle w:val="000000000000" w:firstRow="0" w:lastRow="0" w:firstColumn="0" w:lastColumn="0" w:oddVBand="0" w:evenVBand="0" w:oddHBand="0" w:evenHBand="0" w:firstRowFirstColumn="0" w:firstRowLastColumn="0" w:lastRowFirstColumn="0" w:lastRowLastColumn="0"/>
            </w:pPr>
            <w:r w:rsidRPr="009C1931">
              <w:t xml:space="preserve">Covers the full cost with </w:t>
            </w:r>
            <w:proofErr w:type="gramStart"/>
            <w:r w:rsidRPr="009C1931">
              <w:t>no</w:t>
            </w:r>
            <w:proofErr w:type="gramEnd"/>
            <w:r w:rsidRPr="009C1931">
              <w:t xml:space="preserve"> out of pocket for the </w:t>
            </w:r>
            <w:r>
              <w:t>individual</w:t>
            </w:r>
          </w:p>
        </w:tc>
      </w:tr>
      <w:tr w:rsidR="00BC6DD3" w:rsidRPr="00FA30FA" w14:paraId="249F8DD9" w14:textId="77777777" w:rsidTr="00A219B8">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5357D333" w14:textId="77777777" w:rsidR="00804C69" w:rsidRDefault="00804C69" w:rsidP="00A219B8">
            <w:pPr>
              <w:pStyle w:val="Tabletextbold"/>
              <w:rPr>
                <w:szCs w:val="20"/>
              </w:rPr>
            </w:pPr>
            <w:r>
              <w:rPr>
                <w:b/>
              </w:rPr>
              <w:t>Repairs and warranty</w:t>
            </w:r>
          </w:p>
        </w:tc>
        <w:tc>
          <w:tcPr>
            <w:tcW w:w="8222" w:type="dxa"/>
          </w:tcPr>
          <w:p w14:paraId="6B4E1C5F" w14:textId="77777777" w:rsidR="00804C69" w:rsidRDefault="00804C69" w:rsidP="00A219B8">
            <w:pPr>
              <w:pStyle w:val="TableBullet1"/>
              <w:cnfStyle w:val="000000000000" w:firstRow="0" w:lastRow="0" w:firstColumn="0" w:lastColumn="0" w:oddVBand="0" w:evenVBand="0" w:oddHBand="0" w:evenHBand="0" w:firstRowFirstColumn="0" w:firstRowLastColumn="0" w:lastRowFirstColumn="0" w:lastRowLastColumn="0"/>
            </w:pPr>
            <w:r w:rsidRPr="00E91BEC">
              <w:t xml:space="preserve">All prostheses provided </w:t>
            </w:r>
            <w:r>
              <w:t>through</w:t>
            </w:r>
            <w:r w:rsidRPr="00E91BEC">
              <w:t xml:space="preserve"> ACTALs funding </w:t>
            </w:r>
            <w:r>
              <w:t>include a</w:t>
            </w:r>
            <w:r w:rsidRPr="00E91BEC">
              <w:t xml:space="preserve"> 12 </w:t>
            </w:r>
            <w:proofErr w:type="gramStart"/>
            <w:r w:rsidRPr="00E91BEC">
              <w:t>months</w:t>
            </w:r>
            <w:proofErr w:type="gramEnd"/>
            <w:r>
              <w:t xml:space="preserve"> warranty</w:t>
            </w:r>
            <w:r w:rsidRPr="00E91BEC">
              <w:t xml:space="preserve"> against manufacturing defects</w:t>
            </w:r>
          </w:p>
          <w:p w14:paraId="2EA36857" w14:textId="77777777" w:rsidR="00804C69" w:rsidRPr="00E91BEC" w:rsidRDefault="00804C69" w:rsidP="00A219B8">
            <w:pPr>
              <w:pStyle w:val="TableBullet1"/>
              <w:cnfStyle w:val="000000000000" w:firstRow="0" w:lastRow="0" w:firstColumn="0" w:lastColumn="0" w:oddVBand="0" w:evenVBand="0" w:oddHBand="0" w:evenHBand="0" w:firstRowFirstColumn="0" w:firstRowLastColumn="0" w:lastRowFirstColumn="0" w:lastRowLastColumn="0"/>
            </w:pPr>
            <w:r>
              <w:t xml:space="preserve">One minor repair or maintenance service per year is included at no cost  </w:t>
            </w:r>
          </w:p>
          <w:p w14:paraId="4DE6A6F3" w14:textId="77777777" w:rsidR="00804C69" w:rsidRPr="009C1931" w:rsidRDefault="00804C69" w:rsidP="00A219B8">
            <w:pPr>
              <w:pStyle w:val="TableBullet1"/>
              <w:cnfStyle w:val="000000000000" w:firstRow="0" w:lastRow="0" w:firstColumn="0" w:lastColumn="0" w:oddVBand="0" w:evenVBand="0" w:oddHBand="0" w:evenHBand="0" w:firstRowFirstColumn="0" w:firstRowLastColumn="0" w:lastRowFirstColumn="0" w:lastRowLastColumn="0"/>
            </w:pPr>
            <w:r w:rsidRPr="00E91BEC">
              <w:t>Prostheses are expected to last a minimum of 3 years</w:t>
            </w:r>
          </w:p>
        </w:tc>
      </w:tr>
      <w:tr w:rsidR="00BC6DD3" w:rsidRPr="00FA30FA" w14:paraId="522EAAA1" w14:textId="77777777" w:rsidTr="00A219B8">
        <w:trPr>
          <w:trHeight w:val="113"/>
        </w:trPr>
        <w:tc>
          <w:tcPr>
            <w:cnfStyle w:val="001000000000" w:firstRow="0" w:lastRow="0" w:firstColumn="1" w:lastColumn="0" w:oddVBand="0" w:evenVBand="0" w:oddHBand="0" w:evenHBand="0" w:firstRowFirstColumn="0" w:firstRowLastColumn="0" w:lastRowFirstColumn="0" w:lastRowLastColumn="0"/>
            <w:tcW w:w="1701" w:type="dxa"/>
          </w:tcPr>
          <w:p w14:paraId="181181F2" w14:textId="77777777" w:rsidR="00804C69" w:rsidRDefault="00804C69" w:rsidP="00A219B8">
            <w:pPr>
              <w:pStyle w:val="Tabletextbold"/>
              <w:rPr>
                <w:szCs w:val="20"/>
              </w:rPr>
            </w:pPr>
            <w:r>
              <w:rPr>
                <w:b/>
              </w:rPr>
              <w:t>Referral pathway</w:t>
            </w:r>
          </w:p>
        </w:tc>
        <w:tc>
          <w:tcPr>
            <w:tcW w:w="8222" w:type="dxa"/>
          </w:tcPr>
          <w:p w14:paraId="72B2D8A8" w14:textId="77777777" w:rsidR="00804C69" w:rsidRPr="009C1931" w:rsidRDefault="00804C69" w:rsidP="00A219B8">
            <w:pPr>
              <w:pStyle w:val="TableBullet1"/>
              <w:cnfStyle w:val="000000000000" w:firstRow="0" w:lastRow="0" w:firstColumn="0" w:lastColumn="0" w:oddVBand="0" w:evenVBand="0" w:oddHBand="0" w:evenHBand="0" w:firstRowFirstColumn="0" w:firstRowLastColumn="0" w:lastRowFirstColumn="0" w:lastRowLastColumn="0"/>
            </w:pPr>
            <w:r w:rsidRPr="006F6752">
              <w:t>Referrals</w:t>
            </w:r>
            <w:r>
              <w:t xml:space="preserve"> </w:t>
            </w:r>
            <w:r w:rsidRPr="006F6752">
              <w:t>made by a Rehabilitation Medicine Consultant employed by CHS</w:t>
            </w:r>
          </w:p>
        </w:tc>
      </w:tr>
      <w:tr w:rsidR="00BC6DD3" w:rsidRPr="00FA30FA" w14:paraId="270A3922" w14:textId="77777777" w:rsidTr="00A219B8">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6354B73B" w14:textId="77777777" w:rsidR="00804C69" w:rsidRDefault="00804C69" w:rsidP="00A219B8">
            <w:pPr>
              <w:pStyle w:val="Tabletextbold"/>
              <w:rPr>
                <w:szCs w:val="20"/>
              </w:rPr>
            </w:pPr>
            <w:r>
              <w:rPr>
                <w:b/>
              </w:rPr>
              <w:t xml:space="preserve">Settings in which prostheses may be accessed </w:t>
            </w:r>
          </w:p>
        </w:tc>
        <w:tc>
          <w:tcPr>
            <w:tcW w:w="8222" w:type="dxa"/>
          </w:tcPr>
          <w:p w14:paraId="44063CFB" w14:textId="77777777" w:rsidR="00804C69" w:rsidRDefault="00804C69" w:rsidP="00A219B8">
            <w:pPr>
              <w:pStyle w:val="TableText"/>
              <w:cnfStyle w:val="000000000000" w:firstRow="0" w:lastRow="0" w:firstColumn="0" w:lastColumn="0" w:oddVBand="0" w:evenVBand="0" w:oddHBand="0" w:evenHBand="0" w:firstRowFirstColumn="0" w:firstRowLastColumn="0" w:lastRowFirstColumn="0" w:lastRowLastColumn="0"/>
            </w:pPr>
            <w:r w:rsidRPr="00E65271">
              <w:t>Prosthetics and Orthotics Service at Canberra Health Services</w:t>
            </w:r>
            <w:r>
              <w:t>, including</w:t>
            </w:r>
          </w:p>
          <w:p w14:paraId="3E5E4E43" w14:textId="77777777" w:rsidR="00804C69" w:rsidRDefault="00804C69" w:rsidP="00A219B8">
            <w:pPr>
              <w:pStyle w:val="TableBullet1"/>
              <w:cnfStyle w:val="000000000000" w:firstRow="0" w:lastRow="0" w:firstColumn="0" w:lastColumn="0" w:oddVBand="0" w:evenVBand="0" w:oddHBand="0" w:evenHBand="0" w:firstRowFirstColumn="0" w:firstRowLastColumn="0" w:lastRowFirstColumn="0" w:lastRowLastColumn="0"/>
            </w:pPr>
            <w:r>
              <w:t>Village Creek Centre</w:t>
            </w:r>
          </w:p>
          <w:p w14:paraId="42ED3B74" w14:textId="77777777" w:rsidR="00804C69" w:rsidRDefault="00804C69" w:rsidP="00A219B8">
            <w:pPr>
              <w:pStyle w:val="TableBullet1"/>
              <w:cnfStyle w:val="000000000000" w:firstRow="0" w:lastRow="0" w:firstColumn="0" w:lastColumn="0" w:oddVBand="0" w:evenVBand="0" w:oddHBand="0" w:evenHBand="0" w:firstRowFirstColumn="0" w:firstRowLastColumn="0" w:lastRowFirstColumn="0" w:lastRowLastColumn="0"/>
            </w:pPr>
            <w:r>
              <w:t xml:space="preserve">Canberra Hospital </w:t>
            </w:r>
          </w:p>
          <w:p w14:paraId="220EA630" w14:textId="77777777" w:rsidR="00804C69" w:rsidRPr="00E65271" w:rsidRDefault="00804C69" w:rsidP="00A219B8">
            <w:pPr>
              <w:pStyle w:val="TableBullet1"/>
              <w:cnfStyle w:val="000000000000" w:firstRow="0" w:lastRow="0" w:firstColumn="0" w:lastColumn="0" w:oddVBand="0" w:evenVBand="0" w:oddHBand="0" w:evenHBand="0" w:firstRowFirstColumn="0" w:firstRowLastColumn="0" w:lastRowFirstColumn="0" w:lastRowLastColumn="0"/>
            </w:pPr>
            <w:r>
              <w:t>University of Canberra Hospital</w:t>
            </w:r>
          </w:p>
        </w:tc>
      </w:tr>
      <w:tr w:rsidR="00BC6DD3" w:rsidRPr="00FA30FA" w14:paraId="0289D95E" w14:textId="77777777" w:rsidTr="00A219B8">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4E3EA1F2" w14:textId="77777777" w:rsidR="00804C69" w:rsidRDefault="00804C69" w:rsidP="00A219B8">
            <w:pPr>
              <w:pStyle w:val="Tabletextbold"/>
              <w:rPr>
                <w:szCs w:val="20"/>
              </w:rPr>
            </w:pPr>
            <w:r>
              <w:rPr>
                <w:b/>
              </w:rPr>
              <w:t>Clinicians involved</w:t>
            </w:r>
          </w:p>
        </w:tc>
        <w:tc>
          <w:tcPr>
            <w:tcW w:w="8222" w:type="dxa"/>
          </w:tcPr>
          <w:p w14:paraId="53D79D86" w14:textId="77777777" w:rsidR="00804C69" w:rsidRDefault="00804C69" w:rsidP="00A219B8">
            <w:pPr>
              <w:pStyle w:val="TableBullet1"/>
              <w:cnfStyle w:val="000000000000" w:firstRow="0" w:lastRow="0" w:firstColumn="0" w:lastColumn="0" w:oddVBand="0" w:evenVBand="0" w:oddHBand="0" w:evenHBand="0" w:firstRowFirstColumn="0" w:firstRowLastColumn="0" w:lastRowFirstColumn="0" w:lastRowLastColumn="0"/>
            </w:pPr>
            <w:r w:rsidRPr="006F6752">
              <w:t>Rehabilitation Medicine Consultant</w:t>
            </w:r>
            <w:r>
              <w:t>: provides referral for limb prostheses</w:t>
            </w:r>
          </w:p>
          <w:p w14:paraId="11C30B01" w14:textId="77777777" w:rsidR="00804C69" w:rsidRPr="00E65271" w:rsidRDefault="00804C69" w:rsidP="00A219B8">
            <w:pPr>
              <w:pStyle w:val="TableBullet1"/>
              <w:cnfStyle w:val="000000000000" w:firstRow="0" w:lastRow="0" w:firstColumn="0" w:lastColumn="0" w:oddVBand="0" w:evenVBand="0" w:oddHBand="0" w:evenHBand="0" w:firstRowFirstColumn="0" w:firstRowLastColumn="0" w:lastRowFirstColumn="0" w:lastRowLastColumn="0"/>
            </w:pPr>
            <w:r>
              <w:rPr>
                <w:szCs w:val="18"/>
              </w:rPr>
              <w:t>Prosthetists: assesses the persons functional needs, and designs, manufacture and fit prosthetic limb</w:t>
            </w:r>
          </w:p>
        </w:tc>
      </w:tr>
      <w:tr w:rsidR="00BC6DD3" w:rsidRPr="00FA30FA" w14:paraId="7891B84B" w14:textId="77777777" w:rsidTr="00A219B8">
        <w:trPr>
          <w:trHeight w:val="469"/>
        </w:trPr>
        <w:tc>
          <w:tcPr>
            <w:cnfStyle w:val="001000000000" w:firstRow="0" w:lastRow="0" w:firstColumn="1" w:lastColumn="0" w:oddVBand="0" w:evenVBand="0" w:oddHBand="0" w:evenHBand="0" w:firstRowFirstColumn="0" w:firstRowLastColumn="0" w:lastRowFirstColumn="0" w:lastRowLastColumn="0"/>
            <w:tcW w:w="1701" w:type="dxa"/>
          </w:tcPr>
          <w:p w14:paraId="7D64A0DE" w14:textId="77777777" w:rsidR="00804C69" w:rsidRDefault="00804C69" w:rsidP="00A219B8">
            <w:pPr>
              <w:pStyle w:val="Tabletextbold"/>
              <w:rPr>
                <w:szCs w:val="20"/>
              </w:rPr>
            </w:pPr>
            <w:r>
              <w:rPr>
                <w:b/>
              </w:rPr>
              <w:t>Funded by</w:t>
            </w:r>
          </w:p>
        </w:tc>
        <w:tc>
          <w:tcPr>
            <w:tcW w:w="8222" w:type="dxa"/>
          </w:tcPr>
          <w:p w14:paraId="187C6DEC" w14:textId="77777777" w:rsidR="00804C69" w:rsidRPr="00F6337B" w:rsidRDefault="00804C69" w:rsidP="00A219B8">
            <w:pPr>
              <w:pStyle w:val="TableBullet1"/>
              <w:cnfStyle w:val="000000000000" w:firstRow="0" w:lastRow="0" w:firstColumn="0" w:lastColumn="0" w:oddVBand="0" w:evenVBand="0" w:oddHBand="0" w:evenHBand="0" w:firstRowFirstColumn="0" w:firstRowLastColumn="0" w:lastRowFirstColumn="0" w:lastRowLastColumn="0"/>
            </w:pPr>
            <w:r>
              <w:t xml:space="preserve">Commonwealth funding provided to Canberra Health Services </w:t>
            </w:r>
          </w:p>
        </w:tc>
      </w:tr>
      <w:tr w:rsidR="00BC6DD3" w:rsidRPr="00FA30FA" w14:paraId="3C926484" w14:textId="77777777" w:rsidTr="00A219B8">
        <w:trPr>
          <w:trHeight w:val="89"/>
        </w:trPr>
        <w:tc>
          <w:tcPr>
            <w:cnfStyle w:val="001000000000" w:firstRow="0" w:lastRow="0" w:firstColumn="1" w:lastColumn="0" w:oddVBand="0" w:evenVBand="0" w:oddHBand="0" w:evenHBand="0" w:firstRowFirstColumn="0" w:firstRowLastColumn="0" w:lastRowFirstColumn="0" w:lastRowLastColumn="0"/>
            <w:tcW w:w="1701" w:type="dxa"/>
          </w:tcPr>
          <w:p w14:paraId="095812FB" w14:textId="77777777" w:rsidR="00804C69" w:rsidRDefault="00804C69" w:rsidP="00A219B8">
            <w:pPr>
              <w:pStyle w:val="Tabletextbold"/>
              <w:rPr>
                <w:szCs w:val="20"/>
              </w:rPr>
            </w:pPr>
            <w:r>
              <w:rPr>
                <w:b/>
              </w:rPr>
              <w:t>Role of Australian Government</w:t>
            </w:r>
          </w:p>
        </w:tc>
        <w:tc>
          <w:tcPr>
            <w:tcW w:w="8222" w:type="dxa"/>
          </w:tcPr>
          <w:p w14:paraId="12DCD2DF" w14:textId="77777777" w:rsidR="00804C69" w:rsidRDefault="00804C69" w:rsidP="00A219B8">
            <w:pPr>
              <w:pStyle w:val="TableBullet1"/>
              <w:cnfStyle w:val="000000000000" w:firstRow="0" w:lastRow="0" w:firstColumn="0" w:lastColumn="0" w:oddVBand="0" w:evenVBand="0" w:oddHBand="0" w:evenHBand="0" w:firstRowFirstColumn="0" w:firstRowLastColumn="0" w:lastRowFirstColumn="0" w:lastRowLastColumn="0"/>
            </w:pPr>
            <w:r>
              <w:t>Funds the ACTALS</w:t>
            </w:r>
          </w:p>
        </w:tc>
      </w:tr>
      <w:tr w:rsidR="00BC6DD3" w:rsidRPr="00FA30FA" w14:paraId="32E5534C" w14:textId="77777777" w:rsidTr="00A219B8">
        <w:trPr>
          <w:trHeight w:val="357"/>
        </w:trPr>
        <w:tc>
          <w:tcPr>
            <w:cnfStyle w:val="001000000000" w:firstRow="0" w:lastRow="0" w:firstColumn="1" w:lastColumn="0" w:oddVBand="0" w:evenVBand="0" w:oddHBand="0" w:evenHBand="0" w:firstRowFirstColumn="0" w:firstRowLastColumn="0" w:lastRowFirstColumn="0" w:lastRowLastColumn="0"/>
            <w:tcW w:w="1701" w:type="dxa"/>
          </w:tcPr>
          <w:p w14:paraId="5726FBEF" w14:textId="77777777" w:rsidR="00804C69" w:rsidRDefault="00804C69" w:rsidP="00A219B8">
            <w:pPr>
              <w:pStyle w:val="Tabletextbold"/>
              <w:rPr>
                <w:szCs w:val="20"/>
              </w:rPr>
            </w:pPr>
            <w:r>
              <w:rPr>
                <w:b/>
              </w:rPr>
              <w:t>Role of state/territory government</w:t>
            </w:r>
          </w:p>
        </w:tc>
        <w:tc>
          <w:tcPr>
            <w:tcW w:w="8222" w:type="dxa"/>
          </w:tcPr>
          <w:p w14:paraId="0D9BF3D1" w14:textId="77777777" w:rsidR="00804C69" w:rsidRDefault="00804C69" w:rsidP="00A219B8">
            <w:pPr>
              <w:pStyle w:val="TableBullet1"/>
              <w:cnfStyle w:val="000000000000" w:firstRow="0" w:lastRow="0" w:firstColumn="0" w:lastColumn="0" w:oddVBand="0" w:evenVBand="0" w:oddHBand="0" w:evenHBand="0" w:firstRowFirstColumn="0" w:firstRowLastColumn="0" w:lastRowFirstColumn="0" w:lastRowLastColumn="0"/>
            </w:pPr>
            <w:r>
              <w:t>M</w:t>
            </w:r>
            <w:r w:rsidRPr="00145EE4">
              <w:t>anages and distributes funding</w:t>
            </w:r>
          </w:p>
        </w:tc>
      </w:tr>
    </w:tbl>
    <w:p w14:paraId="22B95132" w14:textId="6EBCC84B" w:rsidR="003F7BD8" w:rsidRDefault="00804C69" w:rsidP="00A219B8">
      <w:pPr>
        <w:pStyle w:val="Caption-Source"/>
        <w:rPr>
          <w:rFonts w:ascii="ZWAdobeF" w:hAnsi="ZWAdobeF" w:cs="ZWAdobeF"/>
          <w:color w:val="auto"/>
          <w:sz w:val="2"/>
          <w:szCs w:val="2"/>
        </w:rPr>
      </w:pPr>
      <w:r w:rsidRPr="00800C0E">
        <w:t xml:space="preserve">Source: ACT </w:t>
      </w:r>
      <w:r w:rsidRPr="00800C0E">
        <w:rPr>
          <w:i/>
          <w:szCs w:val="20"/>
        </w:rPr>
        <w:t>Government (2021)</w:t>
      </w:r>
      <w:r>
        <w:rPr>
          <w:rFonts w:ascii="ZWAdobeF" w:hAnsi="ZWAdobeF" w:cs="ZWAdobeF"/>
          <w:color w:val="auto"/>
          <w:sz w:val="2"/>
          <w:szCs w:val="2"/>
        </w:rPr>
        <w:t>59F</w:t>
      </w:r>
      <w:r w:rsidRPr="00800C0E">
        <w:rPr>
          <w:rStyle w:val="FootnoteReference"/>
          <w:i/>
          <w:szCs w:val="20"/>
        </w:rPr>
        <w:footnoteReference w:id="183"/>
      </w:r>
      <w:r w:rsidR="003F7BD8">
        <w:rPr>
          <w:rFonts w:ascii="ZWAdobeF" w:hAnsi="ZWAdobeF" w:cs="ZWAdobeF"/>
          <w:color w:val="auto"/>
          <w:sz w:val="2"/>
          <w:szCs w:val="2"/>
        </w:rPr>
        <w:br w:type="page"/>
      </w:r>
    </w:p>
    <w:p w14:paraId="658AC140" w14:textId="428054A2" w:rsidR="00DC0B1A" w:rsidRDefault="00DC0B1A" w:rsidP="008239ED">
      <w:pPr>
        <w:pStyle w:val="AppendixHeading2"/>
      </w:pPr>
      <w:bookmarkStart w:id="337" w:name="_Toc207348782"/>
      <w:r>
        <w:t>New South Wales</w:t>
      </w:r>
      <w:bookmarkEnd w:id="337"/>
    </w:p>
    <w:p w14:paraId="4370AD9C" w14:textId="723E5F5D" w:rsidR="00DC0B1A" w:rsidRDefault="00DC0B1A" w:rsidP="00DC0B1A">
      <w:pPr>
        <w:pStyle w:val="Caption"/>
      </w:pPr>
      <w:bookmarkStart w:id="338" w:name="_Ref199151316"/>
      <w:bookmarkStart w:id="339" w:name="_Toc207348688"/>
      <w:r>
        <w:t xml:space="preserve">Table </w:t>
      </w:r>
      <w:r w:rsidR="00E6799D">
        <w:fldChar w:fldCharType="begin"/>
      </w:r>
      <w:r w:rsidR="00E6799D">
        <w:instrText xml:space="preserve"> SEQ Table \* ARABIC </w:instrText>
      </w:r>
      <w:r w:rsidR="00E6799D">
        <w:fldChar w:fldCharType="separate"/>
      </w:r>
      <w:r w:rsidR="00E6799D">
        <w:rPr>
          <w:noProof/>
        </w:rPr>
        <w:t>123</w:t>
      </w:r>
      <w:r w:rsidR="00E6799D">
        <w:rPr>
          <w:noProof/>
        </w:rPr>
        <w:fldChar w:fldCharType="end"/>
      </w:r>
      <w:bookmarkEnd w:id="338"/>
      <w:r>
        <w:t xml:space="preserve">: </w:t>
      </w:r>
      <w:proofErr w:type="spellStart"/>
      <w:r>
        <w:t>EnableNSW</w:t>
      </w:r>
      <w:proofErr w:type="spellEnd"/>
      <w:r>
        <w:t xml:space="preserve"> Prosthetic Limb Service details</w:t>
      </w:r>
      <w:bookmarkEnd w:id="339"/>
    </w:p>
    <w:tbl>
      <w:tblPr>
        <w:tblStyle w:val="KPMGTable"/>
        <w:tblW w:w="9923" w:type="dxa"/>
        <w:tblLook w:val="04A0" w:firstRow="1" w:lastRow="0" w:firstColumn="1" w:lastColumn="0" w:noHBand="0" w:noVBand="1"/>
      </w:tblPr>
      <w:tblGrid>
        <w:gridCol w:w="1701"/>
        <w:gridCol w:w="8222"/>
      </w:tblGrid>
      <w:tr w:rsidR="00467133" w:rsidRPr="007B154A" w14:paraId="5B197F97" w14:textId="77777777" w:rsidTr="00A219B8">
        <w:trPr>
          <w:cnfStyle w:val="100000000000" w:firstRow="1" w:lastRow="0" w:firstColumn="0" w:lastColumn="0" w:oddVBand="0" w:evenVBand="0" w:oddHBand="0"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701" w:type="dxa"/>
          </w:tcPr>
          <w:p w14:paraId="54C11BD4" w14:textId="77777777" w:rsidR="00DC0B1A" w:rsidRPr="007B154A" w:rsidRDefault="00DC0B1A" w:rsidP="00A219B8">
            <w:pPr>
              <w:pStyle w:val="TableHeading"/>
            </w:pPr>
            <w:r>
              <w:t>Category</w:t>
            </w:r>
          </w:p>
        </w:tc>
        <w:tc>
          <w:tcPr>
            <w:tcW w:w="8222" w:type="dxa"/>
          </w:tcPr>
          <w:p w14:paraId="0F556BE9" w14:textId="77777777" w:rsidR="00DC0B1A" w:rsidRPr="007B154A" w:rsidRDefault="00DC0B1A" w:rsidP="00A219B8">
            <w:pPr>
              <w:pStyle w:val="TableHeading"/>
              <w:cnfStyle w:val="100000000000" w:firstRow="1" w:lastRow="0" w:firstColumn="0" w:lastColumn="0" w:oddVBand="0" w:evenVBand="0" w:oddHBand="0" w:evenHBand="0" w:firstRowFirstColumn="0" w:firstRowLastColumn="0" w:lastRowFirstColumn="0" w:lastRowLastColumn="0"/>
            </w:pPr>
            <w:r>
              <w:t xml:space="preserve">Description </w:t>
            </w:r>
          </w:p>
        </w:tc>
      </w:tr>
      <w:tr w:rsidR="00BC6DD3" w:rsidRPr="001B05CB" w14:paraId="6059D5C6" w14:textId="77777777" w:rsidTr="00A219B8">
        <w:trPr>
          <w:trHeight w:val="578"/>
        </w:trPr>
        <w:tc>
          <w:tcPr>
            <w:cnfStyle w:val="001000000000" w:firstRow="0" w:lastRow="0" w:firstColumn="1" w:lastColumn="0" w:oddVBand="0" w:evenVBand="0" w:oddHBand="0" w:evenHBand="0" w:firstRowFirstColumn="0" w:firstRowLastColumn="0" w:lastRowFirstColumn="0" w:lastRowLastColumn="0"/>
            <w:tcW w:w="1701" w:type="dxa"/>
          </w:tcPr>
          <w:p w14:paraId="7C40BBAA" w14:textId="77777777" w:rsidR="00DC0B1A" w:rsidRPr="007B154A" w:rsidRDefault="00DC0B1A" w:rsidP="00A219B8">
            <w:pPr>
              <w:pStyle w:val="Tabletextbold"/>
              <w:rPr>
                <w:b/>
              </w:rPr>
            </w:pPr>
            <w:r>
              <w:rPr>
                <w:b/>
              </w:rPr>
              <w:t>Eligibility</w:t>
            </w:r>
            <w:r w:rsidRPr="007B154A">
              <w:rPr>
                <w:b/>
              </w:rPr>
              <w:t xml:space="preserve"> </w:t>
            </w:r>
            <w:r>
              <w:rPr>
                <w:b/>
              </w:rPr>
              <w:t>criteria</w:t>
            </w:r>
          </w:p>
        </w:tc>
        <w:tc>
          <w:tcPr>
            <w:tcW w:w="8222" w:type="dxa"/>
          </w:tcPr>
          <w:p w14:paraId="5A6C539B" w14:textId="77777777" w:rsidR="00DC0B1A" w:rsidRDefault="00DC0B1A" w:rsidP="00DB65B4">
            <w:pPr>
              <w:pStyle w:val="TableBullet1"/>
              <w:cnfStyle w:val="000000000000" w:firstRow="0" w:lastRow="0" w:firstColumn="0" w:lastColumn="0" w:oddVBand="0" w:evenVBand="0" w:oddHBand="0" w:evenHBand="0" w:firstRowFirstColumn="0" w:firstRowLastColumn="0" w:lastRowFirstColumn="0" w:lastRowLastColumn="0"/>
            </w:pPr>
            <w:r w:rsidRPr="00B56150">
              <w:t xml:space="preserve">Acquired amputation </w:t>
            </w:r>
            <w:proofErr w:type="gramStart"/>
            <w:r w:rsidRPr="00B56150">
              <w:t>as a result of</w:t>
            </w:r>
            <w:proofErr w:type="gramEnd"/>
            <w:r w:rsidRPr="00B56150">
              <w:t xml:space="preserve"> disease or injury and the level of amputation is complete trans-metatarsal/trans-metacarpal or higher</w:t>
            </w:r>
            <w:r>
              <w:t>, and</w:t>
            </w:r>
          </w:p>
          <w:p w14:paraId="08D03C0D" w14:textId="77777777" w:rsidR="00DC0B1A" w:rsidRPr="002356A9" w:rsidRDefault="00DC0B1A" w:rsidP="00DB65B4">
            <w:pPr>
              <w:pStyle w:val="TableBullet1"/>
              <w:cnfStyle w:val="000000000000" w:firstRow="0" w:lastRow="0" w:firstColumn="0" w:lastColumn="0" w:oddVBand="0" w:evenVBand="0" w:oddHBand="0" w:evenHBand="0" w:firstRowFirstColumn="0" w:firstRowLastColumn="0" w:lastRowFirstColumn="0" w:lastRowLastColumn="0"/>
            </w:pPr>
            <w:r w:rsidRPr="002356A9">
              <w:t>Be living in NSW or Lord Howe Island</w:t>
            </w:r>
            <w:r>
              <w:t>, and</w:t>
            </w:r>
          </w:p>
          <w:p w14:paraId="379C70ED" w14:textId="77777777" w:rsidR="00DC0B1A" w:rsidRPr="002356A9" w:rsidRDefault="00DC0B1A" w:rsidP="00DB65B4">
            <w:pPr>
              <w:pStyle w:val="TableBullet1"/>
              <w:cnfStyle w:val="000000000000" w:firstRow="0" w:lastRow="0" w:firstColumn="0" w:lastColumn="0" w:oddVBand="0" w:evenVBand="0" w:oddHBand="0" w:evenHBand="0" w:firstRowFirstColumn="0" w:firstRowLastColumn="0" w:lastRowFirstColumn="0" w:lastRowLastColumn="0"/>
            </w:pPr>
            <w:r w:rsidRPr="002356A9">
              <w:t>Be eligible for Medicare</w:t>
            </w:r>
            <w:r>
              <w:t xml:space="preserve">, and </w:t>
            </w:r>
          </w:p>
          <w:p w14:paraId="07A50267" w14:textId="77777777" w:rsidR="00DC0B1A" w:rsidRPr="002356A9" w:rsidRDefault="00DC0B1A" w:rsidP="00DB65B4">
            <w:pPr>
              <w:pStyle w:val="TableBullet1"/>
              <w:cnfStyle w:val="000000000000" w:firstRow="0" w:lastRow="0" w:firstColumn="0" w:lastColumn="0" w:oddVBand="0" w:evenVBand="0" w:oddHBand="0" w:evenHBand="0" w:firstRowFirstColumn="0" w:firstRowLastColumn="0" w:lastRowFirstColumn="0" w:lastRowLastColumn="0"/>
            </w:pPr>
            <w:r w:rsidRPr="002356A9">
              <w:t>Not be eligible for assistance through another government program</w:t>
            </w:r>
          </w:p>
        </w:tc>
      </w:tr>
      <w:tr w:rsidR="00BC6DD3" w:rsidRPr="00FA30FA" w14:paraId="2F0972CF" w14:textId="77777777" w:rsidTr="00A219B8">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716AFB26" w14:textId="77777777" w:rsidR="00DC0B1A" w:rsidRPr="007B154A" w:rsidRDefault="00DC0B1A" w:rsidP="00A219B8">
            <w:pPr>
              <w:pStyle w:val="Tabletextbold"/>
              <w:rPr>
                <w:b/>
              </w:rPr>
            </w:pPr>
            <w:r>
              <w:rPr>
                <w:b/>
              </w:rPr>
              <w:t>Products and services included</w:t>
            </w:r>
          </w:p>
        </w:tc>
        <w:tc>
          <w:tcPr>
            <w:tcW w:w="8222" w:type="dxa"/>
          </w:tcPr>
          <w:p w14:paraId="3031C210" w14:textId="77777777" w:rsidR="00DC0B1A" w:rsidRDefault="00DC0B1A" w:rsidP="00DB65B4">
            <w:pPr>
              <w:pStyle w:val="TableBullet1"/>
              <w:cnfStyle w:val="000000000000" w:firstRow="0" w:lastRow="0" w:firstColumn="0" w:lastColumn="0" w:oddVBand="0" w:evenVBand="0" w:oddHBand="0" w:evenHBand="0" w:firstRowFirstColumn="0" w:firstRowLastColumn="0" w:lastRowFirstColumn="0" w:lastRowLastColumn="0"/>
            </w:pPr>
            <w:r w:rsidRPr="00F97150">
              <w:t xml:space="preserve">A standard </w:t>
            </w:r>
            <w:r>
              <w:t xml:space="preserve">limb </w:t>
            </w:r>
            <w:r w:rsidRPr="00F97150">
              <w:t>prosthesis</w:t>
            </w:r>
          </w:p>
          <w:p w14:paraId="7FEEB0F5" w14:textId="77777777" w:rsidR="00DC0B1A" w:rsidRPr="00F97150" w:rsidRDefault="00DC0B1A" w:rsidP="00DB65B4">
            <w:pPr>
              <w:pStyle w:val="TableBullet1"/>
              <w:cnfStyle w:val="000000000000" w:firstRow="0" w:lastRow="0" w:firstColumn="0" w:lastColumn="0" w:oddVBand="0" w:evenVBand="0" w:oddHBand="0" w:evenHBand="0" w:firstRowFirstColumn="0" w:firstRowLastColumn="0" w:lastRowFirstColumn="0" w:lastRowLastColumn="0"/>
            </w:pPr>
            <w:r>
              <w:t xml:space="preserve">Annual consumable items per limb </w:t>
            </w:r>
          </w:p>
          <w:p w14:paraId="03079C58" w14:textId="77777777" w:rsidR="00DC0B1A" w:rsidRPr="00F97150" w:rsidRDefault="00DC0B1A" w:rsidP="00DB65B4">
            <w:pPr>
              <w:pStyle w:val="TableBullet1"/>
              <w:cnfStyle w:val="000000000000" w:firstRow="0" w:lastRow="0" w:firstColumn="0" w:lastColumn="0" w:oddVBand="0" w:evenVBand="0" w:oddHBand="0" w:evenHBand="0" w:firstRowFirstColumn="0" w:firstRowLastColumn="0" w:lastRowFirstColumn="0" w:lastRowLastColumn="0"/>
            </w:pPr>
            <w:r w:rsidRPr="00F97150">
              <w:t>12 stump socks or sheaths (including gel socks) per residual limb; and</w:t>
            </w:r>
          </w:p>
          <w:p w14:paraId="5605A0D4" w14:textId="77777777" w:rsidR="00DC0B1A" w:rsidRPr="00F97150" w:rsidRDefault="00DC0B1A" w:rsidP="00DB65B4">
            <w:pPr>
              <w:pStyle w:val="TableBullet1"/>
              <w:cnfStyle w:val="000000000000" w:firstRow="0" w:lastRow="0" w:firstColumn="0" w:lastColumn="0" w:oddVBand="0" w:evenVBand="0" w:oddHBand="0" w:evenHBand="0" w:firstRowFirstColumn="0" w:firstRowLastColumn="0" w:lastRowFirstColumn="0" w:lastRowLastColumn="0"/>
            </w:pPr>
            <w:r w:rsidRPr="00F97150">
              <w:t>2 stump shrinkers per residual limb; and</w:t>
            </w:r>
          </w:p>
          <w:p w14:paraId="30F7BC16" w14:textId="77777777" w:rsidR="00DC0B1A" w:rsidRPr="00F97150" w:rsidRDefault="00DC0B1A" w:rsidP="00DB65B4">
            <w:pPr>
              <w:pStyle w:val="TableBullet1"/>
              <w:cnfStyle w:val="000000000000" w:firstRow="0" w:lastRow="0" w:firstColumn="0" w:lastColumn="0" w:oddVBand="0" w:evenVBand="0" w:oddHBand="0" w:evenHBand="0" w:firstRowFirstColumn="0" w:firstRowLastColumn="0" w:lastRowFirstColumn="0" w:lastRowLastColumn="0"/>
            </w:pPr>
            <w:r w:rsidRPr="00F97150">
              <w:t>1 roll-on liner per residual limb; and</w:t>
            </w:r>
          </w:p>
          <w:p w14:paraId="2AF76505" w14:textId="77777777" w:rsidR="00DC0B1A" w:rsidRPr="00F97150" w:rsidRDefault="00DC0B1A" w:rsidP="00DB65B4">
            <w:pPr>
              <w:pStyle w:val="TableBullet1"/>
              <w:cnfStyle w:val="000000000000" w:firstRow="0" w:lastRow="0" w:firstColumn="0" w:lastColumn="0" w:oddVBand="0" w:evenVBand="0" w:oddHBand="0" w:evenHBand="0" w:firstRowFirstColumn="0" w:firstRowLastColumn="0" w:lastRowFirstColumn="0" w:lastRowLastColumn="0"/>
            </w:pPr>
            <w:r w:rsidRPr="00F97150">
              <w:t>2 pairs of cosmetic stockings per prosthetic limb.</w:t>
            </w:r>
          </w:p>
          <w:p w14:paraId="6FEB402A" w14:textId="77777777" w:rsidR="00DC0B1A" w:rsidRPr="009C50A4" w:rsidRDefault="00DC0B1A" w:rsidP="00DB65B4">
            <w:pPr>
              <w:pStyle w:val="TableBullet1"/>
              <w:cnfStyle w:val="000000000000" w:firstRow="0" w:lastRow="0" w:firstColumn="0" w:lastColumn="0" w:oddVBand="0" w:evenVBand="0" w:oddHBand="0" w:evenHBand="0" w:firstRowFirstColumn="0" w:firstRowLastColumn="0" w:lastRowFirstColumn="0" w:lastRowLastColumn="0"/>
              <w:rPr>
                <w:szCs w:val="18"/>
              </w:rPr>
            </w:pPr>
            <w:r w:rsidRPr="009C50A4">
              <w:rPr>
                <w:szCs w:val="18"/>
              </w:rPr>
              <w:t xml:space="preserve">High-cost </w:t>
            </w:r>
            <w:r>
              <w:rPr>
                <w:szCs w:val="18"/>
              </w:rPr>
              <w:t>components such as</w:t>
            </w:r>
            <w:r w:rsidRPr="009C50A4">
              <w:rPr>
                <w:szCs w:val="18"/>
              </w:rPr>
              <w:t xml:space="preserve"> microprocessor knees</w:t>
            </w:r>
            <w:r>
              <w:rPr>
                <w:szCs w:val="18"/>
              </w:rPr>
              <w:t xml:space="preserve"> or advanced prosthetic feet </w:t>
            </w:r>
            <w:r w:rsidRPr="009C50A4">
              <w:rPr>
                <w:szCs w:val="18"/>
              </w:rPr>
              <w:t>(</w:t>
            </w:r>
            <w:r>
              <w:rPr>
                <w:szCs w:val="18"/>
              </w:rPr>
              <w:t xml:space="preserve">funded under </w:t>
            </w:r>
            <w:r w:rsidRPr="009C50A4">
              <w:rPr>
                <w:szCs w:val="18"/>
              </w:rPr>
              <w:t>exceptional circumstance</w:t>
            </w:r>
            <w:r>
              <w:rPr>
                <w:szCs w:val="18"/>
              </w:rPr>
              <w:t>s</w:t>
            </w:r>
            <w:r w:rsidRPr="009C50A4">
              <w:rPr>
                <w:szCs w:val="18"/>
              </w:rPr>
              <w:t>)</w:t>
            </w:r>
          </w:p>
        </w:tc>
      </w:tr>
      <w:tr w:rsidR="00BC6DD3" w:rsidRPr="00FA30FA" w14:paraId="2DA94BA3" w14:textId="77777777" w:rsidTr="00A219B8">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18864A3D" w14:textId="77777777" w:rsidR="00DC0B1A" w:rsidRDefault="00DC0B1A" w:rsidP="00A219B8">
            <w:pPr>
              <w:pStyle w:val="Tabletextbold"/>
              <w:rPr>
                <w:b/>
              </w:rPr>
            </w:pPr>
            <w:r>
              <w:rPr>
                <w:b/>
              </w:rPr>
              <w:t>Cost coverage</w:t>
            </w:r>
          </w:p>
        </w:tc>
        <w:tc>
          <w:tcPr>
            <w:tcW w:w="8222" w:type="dxa"/>
          </w:tcPr>
          <w:p w14:paraId="72DAD43C" w14:textId="77777777" w:rsidR="00DC0B1A" w:rsidRPr="002612A5" w:rsidRDefault="00DC0B1A" w:rsidP="00DB65B4">
            <w:pPr>
              <w:pStyle w:val="TableBullet1"/>
              <w:cnfStyle w:val="000000000000" w:firstRow="0" w:lastRow="0" w:firstColumn="0" w:lastColumn="0" w:oddVBand="0" w:evenVBand="0" w:oddHBand="0" w:evenHBand="0" w:firstRowFirstColumn="0" w:firstRowLastColumn="0" w:lastRowFirstColumn="0" w:lastRowLastColumn="0"/>
            </w:pPr>
            <w:r w:rsidRPr="002612A5">
              <w:t xml:space="preserve">If </w:t>
            </w:r>
            <w:r>
              <w:t>the individual</w:t>
            </w:r>
            <w:r w:rsidRPr="002612A5">
              <w:t xml:space="preserve"> holds </w:t>
            </w:r>
            <w:r>
              <w:t>a</w:t>
            </w:r>
            <w:r w:rsidRPr="002612A5">
              <w:t xml:space="preserve"> pensioner concession card, healthcare card or seniors’ health card they are not required to pay anything. </w:t>
            </w:r>
          </w:p>
          <w:p w14:paraId="500CE5FA" w14:textId="77777777" w:rsidR="00DC0B1A" w:rsidRDefault="00DC0B1A" w:rsidP="00DB65B4">
            <w:pPr>
              <w:pStyle w:val="TableBullet1"/>
              <w:cnfStyle w:val="000000000000" w:firstRow="0" w:lastRow="0" w:firstColumn="0" w:lastColumn="0" w:oddVBand="0" w:evenVBand="0" w:oddHBand="0" w:evenHBand="0" w:firstRowFirstColumn="0" w:firstRowLastColumn="0" w:lastRowFirstColumn="0" w:lastRowLastColumn="0"/>
            </w:pPr>
            <w:r w:rsidRPr="002612A5">
              <w:t>People on higher incomes are required to pay 15% of the cost of services provided. This contribution is capped at $200 per year.</w:t>
            </w:r>
          </w:p>
          <w:p w14:paraId="19DF7C1E" w14:textId="77777777" w:rsidR="00DC0B1A" w:rsidRPr="009C1931" w:rsidRDefault="00DC0B1A" w:rsidP="00DB65B4">
            <w:pPr>
              <w:pStyle w:val="TableBullet1"/>
              <w:cnfStyle w:val="000000000000" w:firstRow="0" w:lastRow="0" w:firstColumn="0" w:lastColumn="0" w:oddVBand="0" w:evenVBand="0" w:oddHBand="0" w:evenHBand="0" w:firstRowFirstColumn="0" w:firstRowLastColumn="0" w:lastRowFirstColumn="0" w:lastRowLastColumn="0"/>
            </w:pPr>
            <w:r>
              <w:t>If the individual prefers a prosthesis that is more expensive than the one prescribed, they may choose to fund this out-of-pocket.</w:t>
            </w:r>
          </w:p>
        </w:tc>
      </w:tr>
      <w:tr w:rsidR="00BC6DD3" w:rsidRPr="00FA30FA" w14:paraId="40CD7652" w14:textId="77777777" w:rsidTr="00A219B8">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52C783A8" w14:textId="77777777" w:rsidR="00DC0B1A" w:rsidRDefault="00DC0B1A" w:rsidP="00A219B8">
            <w:pPr>
              <w:pStyle w:val="Tabletextbold"/>
              <w:rPr>
                <w:b/>
              </w:rPr>
            </w:pPr>
            <w:r>
              <w:rPr>
                <w:b/>
              </w:rPr>
              <w:t>Repairs and warranty</w:t>
            </w:r>
          </w:p>
        </w:tc>
        <w:tc>
          <w:tcPr>
            <w:tcW w:w="8222" w:type="dxa"/>
          </w:tcPr>
          <w:p w14:paraId="4B129CE5" w14:textId="77777777" w:rsidR="00DC0B1A" w:rsidRDefault="00DC0B1A" w:rsidP="00DB65B4">
            <w:pPr>
              <w:pStyle w:val="TableBullet1"/>
              <w:cnfStyle w:val="000000000000" w:firstRow="0" w:lastRow="0" w:firstColumn="0" w:lastColumn="0" w:oddVBand="0" w:evenVBand="0" w:oddHBand="0" w:evenHBand="0" w:firstRowFirstColumn="0" w:firstRowLastColumn="0" w:lastRowFirstColumn="0" w:lastRowLastColumn="0"/>
            </w:pPr>
            <w:r w:rsidRPr="004A5229">
              <w:t>Prostheses are expected to last 2-3 years</w:t>
            </w:r>
          </w:p>
          <w:p w14:paraId="2419E75E" w14:textId="77777777" w:rsidR="00DC0B1A" w:rsidRPr="004A5229" w:rsidRDefault="00DC0B1A" w:rsidP="00DB65B4">
            <w:pPr>
              <w:pStyle w:val="TableBullet1"/>
              <w:cnfStyle w:val="000000000000" w:firstRow="0" w:lastRow="0" w:firstColumn="0" w:lastColumn="0" w:oddVBand="0" w:evenVBand="0" w:oddHBand="0" w:evenHBand="0" w:firstRowFirstColumn="0" w:firstRowLastColumn="0" w:lastRowFirstColumn="0" w:lastRowLastColumn="0"/>
            </w:pPr>
            <w:proofErr w:type="spellStart"/>
            <w:r>
              <w:t>EnableNSW</w:t>
            </w:r>
            <w:proofErr w:type="spellEnd"/>
            <w:r>
              <w:t xml:space="preserve"> will cover the costs of repairs and maintenance</w:t>
            </w:r>
          </w:p>
          <w:p w14:paraId="10CDC363" w14:textId="77777777" w:rsidR="00DC0B1A" w:rsidRPr="009C1931" w:rsidRDefault="00DC0B1A" w:rsidP="00DB65B4">
            <w:pPr>
              <w:pStyle w:val="TableBullet1"/>
              <w:cnfStyle w:val="000000000000" w:firstRow="0" w:lastRow="0" w:firstColumn="0" w:lastColumn="0" w:oddVBand="0" w:evenVBand="0" w:oddHBand="0" w:evenHBand="0" w:firstRowFirstColumn="0" w:firstRowLastColumn="0" w:lastRowFirstColumn="0" w:lastRowLastColumn="0"/>
            </w:pPr>
            <w:proofErr w:type="spellStart"/>
            <w:r w:rsidRPr="004A5229">
              <w:t>EnableNSW</w:t>
            </w:r>
            <w:proofErr w:type="spellEnd"/>
            <w:r w:rsidRPr="004A5229">
              <w:t xml:space="preserve"> will fund repairs/adjustments/supply up to a max of $700 for minor repairs and $2000 for major repair</w:t>
            </w:r>
          </w:p>
        </w:tc>
      </w:tr>
      <w:tr w:rsidR="00BC6DD3" w:rsidRPr="00FA30FA" w14:paraId="7AED3338" w14:textId="77777777" w:rsidTr="00A219B8">
        <w:trPr>
          <w:trHeight w:val="254"/>
        </w:trPr>
        <w:tc>
          <w:tcPr>
            <w:cnfStyle w:val="001000000000" w:firstRow="0" w:lastRow="0" w:firstColumn="1" w:lastColumn="0" w:oddVBand="0" w:evenVBand="0" w:oddHBand="0" w:evenHBand="0" w:firstRowFirstColumn="0" w:firstRowLastColumn="0" w:lastRowFirstColumn="0" w:lastRowLastColumn="0"/>
            <w:tcW w:w="1701" w:type="dxa"/>
          </w:tcPr>
          <w:p w14:paraId="2540FAF6" w14:textId="77777777" w:rsidR="00DC0B1A" w:rsidRDefault="00DC0B1A" w:rsidP="00A219B8">
            <w:pPr>
              <w:pStyle w:val="Tabletextbold"/>
              <w:rPr>
                <w:b/>
              </w:rPr>
            </w:pPr>
            <w:r>
              <w:rPr>
                <w:b/>
              </w:rPr>
              <w:t>Referral pathway</w:t>
            </w:r>
          </w:p>
        </w:tc>
        <w:tc>
          <w:tcPr>
            <w:tcW w:w="8222" w:type="dxa"/>
          </w:tcPr>
          <w:p w14:paraId="48E87AAB" w14:textId="77777777" w:rsidR="00DC0B1A" w:rsidRPr="00F66BA9" w:rsidRDefault="00DC0B1A" w:rsidP="00DB65B4">
            <w:pPr>
              <w:pStyle w:val="TableBullet1"/>
              <w:cnfStyle w:val="000000000000" w:firstRow="0" w:lastRow="0" w:firstColumn="0" w:lastColumn="0" w:oddVBand="0" w:evenVBand="0" w:oddHBand="0" w:evenHBand="0" w:firstRowFirstColumn="0" w:firstRowLastColumn="0" w:lastRowFirstColumn="0" w:lastRowLastColumn="0"/>
            </w:pPr>
            <w:r w:rsidRPr="00F66BA9">
              <w:t>The amputee clinic prescribes an interim prosthesis.</w:t>
            </w:r>
          </w:p>
          <w:p w14:paraId="19B6E105" w14:textId="77777777" w:rsidR="00DC0B1A" w:rsidRPr="00F66BA9" w:rsidRDefault="00DC0B1A" w:rsidP="00DB65B4">
            <w:pPr>
              <w:pStyle w:val="TableBullet1"/>
              <w:cnfStyle w:val="000000000000" w:firstRow="0" w:lastRow="0" w:firstColumn="0" w:lastColumn="0" w:oddVBand="0" w:evenVBand="0" w:oddHBand="0" w:evenHBand="0" w:firstRowFirstColumn="0" w:firstRowLastColumn="0" w:lastRowFirstColumn="0" w:lastRowLastColumn="0"/>
            </w:pPr>
            <w:r w:rsidRPr="00F66BA9">
              <w:t xml:space="preserve">The clinic submits the prescription to </w:t>
            </w:r>
            <w:proofErr w:type="spellStart"/>
            <w:r w:rsidRPr="00F66BA9">
              <w:t>EnableNSW</w:t>
            </w:r>
            <w:proofErr w:type="spellEnd"/>
            <w:r w:rsidRPr="00F66BA9">
              <w:t xml:space="preserve"> for approval.</w:t>
            </w:r>
          </w:p>
          <w:p w14:paraId="17E329B4" w14:textId="77777777" w:rsidR="00DC0B1A" w:rsidRPr="00F66BA9" w:rsidRDefault="00DC0B1A" w:rsidP="00DB65B4">
            <w:pPr>
              <w:pStyle w:val="TableBullet1"/>
              <w:cnfStyle w:val="000000000000" w:firstRow="0" w:lastRow="0" w:firstColumn="0" w:lastColumn="0" w:oddVBand="0" w:evenVBand="0" w:oddHBand="0" w:evenHBand="0" w:firstRowFirstColumn="0" w:firstRowLastColumn="0" w:lastRowFirstColumn="0" w:lastRowLastColumn="0"/>
            </w:pPr>
            <w:proofErr w:type="spellStart"/>
            <w:r w:rsidRPr="00F66BA9">
              <w:t>EnableNSW</w:t>
            </w:r>
            <w:proofErr w:type="spellEnd"/>
            <w:r w:rsidRPr="00F66BA9">
              <w:t xml:space="preserve"> notifies the Prosthetic Service Provider to commence manufacturing.</w:t>
            </w:r>
          </w:p>
          <w:p w14:paraId="00C38A4E" w14:textId="77777777" w:rsidR="00DC0B1A" w:rsidRPr="00F66BA9" w:rsidRDefault="00DC0B1A" w:rsidP="00DB65B4">
            <w:pPr>
              <w:pStyle w:val="TableBullet1"/>
              <w:cnfStyle w:val="000000000000" w:firstRow="0" w:lastRow="0" w:firstColumn="0" w:lastColumn="0" w:oddVBand="0" w:evenVBand="0" w:oddHBand="0" w:evenHBand="0" w:firstRowFirstColumn="0" w:firstRowLastColumn="0" w:lastRowFirstColumn="0" w:lastRowLastColumn="0"/>
            </w:pPr>
            <w:r w:rsidRPr="00F66BA9">
              <w:t>The</w:t>
            </w:r>
            <w:r>
              <w:t xml:space="preserve"> </w:t>
            </w:r>
            <w:r w:rsidRPr="00F66BA9">
              <w:t>provider contacts the patient for fitting.</w:t>
            </w:r>
          </w:p>
          <w:p w14:paraId="689D7061" w14:textId="77777777" w:rsidR="00DC0B1A" w:rsidRPr="009C1931" w:rsidRDefault="00DC0B1A" w:rsidP="00DB65B4">
            <w:pPr>
              <w:pStyle w:val="TableBullet1"/>
              <w:cnfStyle w:val="000000000000" w:firstRow="0" w:lastRow="0" w:firstColumn="0" w:lastColumn="0" w:oddVBand="0" w:evenVBand="0" w:oddHBand="0" w:evenHBand="0" w:firstRowFirstColumn="0" w:firstRowLastColumn="0" w:lastRowFirstColumn="0" w:lastRowLastColumn="0"/>
            </w:pPr>
            <w:r w:rsidRPr="00F66BA9">
              <w:t xml:space="preserve">Once the patient confirms receipt and fit, </w:t>
            </w:r>
            <w:proofErr w:type="spellStart"/>
            <w:r w:rsidRPr="00F66BA9">
              <w:t>EnableNSW</w:t>
            </w:r>
            <w:proofErr w:type="spellEnd"/>
            <w:r w:rsidRPr="00F66BA9">
              <w:t xml:space="preserve"> pays the provider directly.</w:t>
            </w:r>
          </w:p>
        </w:tc>
      </w:tr>
      <w:tr w:rsidR="00BC6DD3" w:rsidRPr="00FA30FA" w14:paraId="0C29EB54" w14:textId="77777777" w:rsidTr="00A219B8">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78D2EBEB" w14:textId="77777777" w:rsidR="00DC0B1A" w:rsidRDefault="00DC0B1A" w:rsidP="00A219B8">
            <w:pPr>
              <w:pStyle w:val="Tabletextbold"/>
              <w:rPr>
                <w:b/>
              </w:rPr>
            </w:pPr>
            <w:r>
              <w:rPr>
                <w:b/>
              </w:rPr>
              <w:t xml:space="preserve">Settings in which prostheses may be accessed </w:t>
            </w:r>
          </w:p>
        </w:tc>
        <w:tc>
          <w:tcPr>
            <w:tcW w:w="8222" w:type="dxa"/>
          </w:tcPr>
          <w:p w14:paraId="4EB18AE2" w14:textId="27D1B0B3" w:rsidR="00DC0B1A" w:rsidRPr="002C385B" w:rsidRDefault="00DC0B1A" w:rsidP="00DB65B4">
            <w:pPr>
              <w:pStyle w:val="TableBullet1"/>
              <w:cnfStyle w:val="000000000000" w:firstRow="0" w:lastRow="0" w:firstColumn="0" w:lastColumn="0" w:oddVBand="0" w:evenVBand="0" w:oddHBand="0" w:evenHBand="0" w:firstRowFirstColumn="0" w:firstRowLastColumn="0" w:lastRowFirstColumn="0" w:lastRowLastColumn="0"/>
            </w:pPr>
            <w:r>
              <w:t xml:space="preserve">Accredited amputee clinics across NSW </w:t>
            </w:r>
            <w:r w:rsidRPr="00D23B42">
              <w:t xml:space="preserve">(See </w:t>
            </w:r>
            <w:r w:rsidRPr="002E6A6D">
              <w:fldChar w:fldCharType="begin"/>
            </w:r>
            <w:r w:rsidRPr="00D23B42">
              <w:instrText xml:space="preserve"> REF _Ref199152358 \h  \* MERGEFORMAT </w:instrText>
            </w:r>
            <w:r w:rsidRPr="002E6A6D">
              <w:fldChar w:fldCharType="separate"/>
            </w:r>
            <w:r w:rsidR="002B76D3">
              <w:t xml:space="preserve">Table </w:t>
            </w:r>
            <w:r w:rsidR="002B76D3">
              <w:rPr>
                <w:noProof/>
              </w:rPr>
              <w:t>131</w:t>
            </w:r>
            <w:r w:rsidRPr="002E6A6D">
              <w:fldChar w:fldCharType="end"/>
            </w:r>
            <w:r w:rsidRPr="00D23B42">
              <w:t xml:space="preserve"> in </w:t>
            </w:r>
            <w:r w:rsidRPr="00D23B42">
              <w:fldChar w:fldCharType="begin"/>
            </w:r>
            <w:r w:rsidRPr="00D23B42">
              <w:instrText xml:space="preserve"> REF _Ref200966347 \w \h  \* MERGEFORMAT </w:instrText>
            </w:r>
            <w:r w:rsidRPr="00D23B42">
              <w:fldChar w:fldCharType="separate"/>
            </w:r>
            <w:r w:rsidR="00D955D8">
              <w:t xml:space="preserve">Appendix </w:t>
            </w:r>
            <w:r w:rsidRPr="00D23B42">
              <w:fldChar w:fldCharType="end"/>
            </w:r>
            <w:r w:rsidR="002B76D3">
              <w:fldChar w:fldCharType="begin"/>
            </w:r>
            <w:r w:rsidR="002B76D3">
              <w:instrText xml:space="preserve"> REF _Ref200968311 \r \h </w:instrText>
            </w:r>
            <w:r w:rsidR="002B76D3">
              <w:fldChar w:fldCharType="separate"/>
            </w:r>
            <w:r w:rsidR="002B76D3">
              <w:t>F.1</w:t>
            </w:r>
            <w:r w:rsidR="002B76D3">
              <w:fldChar w:fldCharType="end"/>
            </w:r>
            <w:r w:rsidRPr="00D23B42">
              <w:t xml:space="preserve"> for a list of accredited amputee clinics in NSW and their associated PSPs.)</w:t>
            </w:r>
          </w:p>
        </w:tc>
      </w:tr>
      <w:tr w:rsidR="00BC6DD3" w:rsidRPr="00FA30FA" w14:paraId="2E00449E" w14:textId="77777777" w:rsidTr="00A219B8">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3F35A638" w14:textId="77777777" w:rsidR="00DC0B1A" w:rsidRDefault="00DC0B1A" w:rsidP="00A219B8">
            <w:pPr>
              <w:pStyle w:val="Tabletextbold"/>
              <w:rPr>
                <w:b/>
              </w:rPr>
            </w:pPr>
            <w:r>
              <w:rPr>
                <w:b/>
              </w:rPr>
              <w:t>Clinicians involved</w:t>
            </w:r>
          </w:p>
        </w:tc>
        <w:tc>
          <w:tcPr>
            <w:tcW w:w="8222" w:type="dxa"/>
          </w:tcPr>
          <w:p w14:paraId="08368EBC" w14:textId="77777777" w:rsidR="00DC0B1A" w:rsidRDefault="00DC0B1A" w:rsidP="00DB65B4">
            <w:pPr>
              <w:pStyle w:val="TableText"/>
              <w:cnfStyle w:val="000000000000" w:firstRow="0" w:lastRow="0" w:firstColumn="0" w:lastColumn="0" w:oddVBand="0" w:evenVBand="0" w:oddHBand="0" w:evenHBand="0" w:firstRowFirstColumn="0" w:firstRowLastColumn="0" w:lastRowFirstColumn="0" w:lastRowLastColumn="0"/>
            </w:pPr>
            <w:r>
              <w:t>An amputee clinic multidisciplinary teams involves a:</w:t>
            </w:r>
          </w:p>
          <w:p w14:paraId="300E745A" w14:textId="77777777" w:rsidR="00DC0B1A" w:rsidRDefault="00DC0B1A" w:rsidP="00DB65B4">
            <w:pPr>
              <w:pStyle w:val="TableBullet1"/>
              <w:cnfStyle w:val="000000000000" w:firstRow="0" w:lastRow="0" w:firstColumn="0" w:lastColumn="0" w:oddVBand="0" w:evenVBand="0" w:oddHBand="0" w:evenHBand="0" w:firstRowFirstColumn="0" w:firstRowLastColumn="0" w:lastRowFirstColumn="0" w:lastRowLastColumn="0"/>
            </w:pPr>
            <w:r>
              <w:t xml:space="preserve">Rehabilitation physicians: assess, diagnoses and treats a person’s mobility and function. </w:t>
            </w:r>
          </w:p>
          <w:p w14:paraId="3592610F" w14:textId="77777777" w:rsidR="00DC0B1A" w:rsidRDefault="00DC0B1A" w:rsidP="00DB65B4">
            <w:pPr>
              <w:pStyle w:val="TableBullet1"/>
              <w:cnfStyle w:val="000000000000" w:firstRow="0" w:lastRow="0" w:firstColumn="0" w:lastColumn="0" w:oddVBand="0" w:evenVBand="0" w:oddHBand="0" w:evenHBand="0" w:firstRowFirstColumn="0" w:firstRowLastColumn="0" w:lastRowFirstColumn="0" w:lastRowLastColumn="0"/>
            </w:pPr>
            <w:r>
              <w:t>Prosthetists: assesses the persons functional needs, and design, manufacture and fit prosthetic limb</w:t>
            </w:r>
          </w:p>
          <w:p w14:paraId="4BA25769" w14:textId="77777777" w:rsidR="00DC0B1A" w:rsidRDefault="00DC0B1A" w:rsidP="00DB65B4">
            <w:pPr>
              <w:pStyle w:val="TableBullet1"/>
              <w:cnfStyle w:val="000000000000" w:firstRow="0" w:lastRow="0" w:firstColumn="0" w:lastColumn="0" w:oddVBand="0" w:evenVBand="0" w:oddHBand="0" w:evenHBand="0" w:firstRowFirstColumn="0" w:firstRowLastColumn="0" w:lastRowFirstColumn="0" w:lastRowLastColumn="0"/>
              <w:rPr>
                <w:szCs w:val="20"/>
              </w:rPr>
            </w:pPr>
            <w:r>
              <w:t>Physiotherapist: supports rehabilitation and strength training</w:t>
            </w:r>
          </w:p>
        </w:tc>
      </w:tr>
      <w:tr w:rsidR="00BC6DD3" w:rsidRPr="00FA30FA" w14:paraId="724125A5" w14:textId="77777777" w:rsidTr="00A219B8">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5B552356" w14:textId="77777777" w:rsidR="00DC0B1A" w:rsidRDefault="00DC0B1A" w:rsidP="00A219B8">
            <w:pPr>
              <w:pStyle w:val="Tabletextbold"/>
              <w:rPr>
                <w:b/>
              </w:rPr>
            </w:pPr>
            <w:r>
              <w:rPr>
                <w:b/>
              </w:rPr>
              <w:t>Funded by</w:t>
            </w:r>
          </w:p>
        </w:tc>
        <w:tc>
          <w:tcPr>
            <w:tcW w:w="8222" w:type="dxa"/>
          </w:tcPr>
          <w:p w14:paraId="6C396E16" w14:textId="77777777" w:rsidR="00DC0B1A" w:rsidRDefault="00DC0B1A" w:rsidP="00DB65B4">
            <w:pPr>
              <w:pStyle w:val="TableBullet1"/>
              <w:cnfStyle w:val="000000000000" w:firstRow="0" w:lastRow="0" w:firstColumn="0" w:lastColumn="0" w:oddVBand="0" w:evenVBand="0" w:oddHBand="0" w:evenHBand="0" w:firstRowFirstColumn="0" w:firstRowLastColumn="0" w:lastRowFirstColumn="0" w:lastRowLastColumn="0"/>
              <w:rPr>
                <w:szCs w:val="18"/>
              </w:rPr>
            </w:pPr>
            <w:r>
              <w:t xml:space="preserve">Commonwealth funding distributed by </w:t>
            </w:r>
            <w:proofErr w:type="spellStart"/>
            <w:r>
              <w:t>EnableNSW</w:t>
            </w:r>
            <w:proofErr w:type="spellEnd"/>
            <w:r>
              <w:t xml:space="preserve"> PLS</w:t>
            </w:r>
          </w:p>
        </w:tc>
      </w:tr>
      <w:tr w:rsidR="00BC6DD3" w:rsidRPr="00FA30FA" w14:paraId="685CECF9" w14:textId="77777777" w:rsidTr="00A219B8">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484E1B42" w14:textId="77777777" w:rsidR="00DC0B1A" w:rsidRDefault="00DC0B1A" w:rsidP="00A219B8">
            <w:pPr>
              <w:pStyle w:val="Tabletextbold"/>
              <w:rPr>
                <w:b/>
              </w:rPr>
            </w:pPr>
            <w:r>
              <w:rPr>
                <w:b/>
              </w:rPr>
              <w:t>Role of Australian Government</w:t>
            </w:r>
          </w:p>
        </w:tc>
        <w:tc>
          <w:tcPr>
            <w:tcW w:w="8222" w:type="dxa"/>
          </w:tcPr>
          <w:p w14:paraId="7778979A" w14:textId="77777777" w:rsidR="00DC0B1A" w:rsidRPr="00F6337B" w:rsidRDefault="00DC0B1A" w:rsidP="00DB65B4">
            <w:pPr>
              <w:pStyle w:val="TableBullet1"/>
              <w:cnfStyle w:val="000000000000" w:firstRow="0" w:lastRow="0" w:firstColumn="0" w:lastColumn="0" w:oddVBand="0" w:evenVBand="0" w:oddHBand="0" w:evenHBand="0" w:firstRowFirstColumn="0" w:firstRowLastColumn="0" w:lastRowFirstColumn="0" w:lastRowLastColumn="0"/>
            </w:pPr>
            <w:r>
              <w:t xml:space="preserve">Funds </w:t>
            </w:r>
            <w:proofErr w:type="spellStart"/>
            <w:r>
              <w:t>EnableNSW</w:t>
            </w:r>
            <w:proofErr w:type="spellEnd"/>
            <w:r>
              <w:t xml:space="preserve"> PLS</w:t>
            </w:r>
          </w:p>
        </w:tc>
      </w:tr>
      <w:tr w:rsidR="00BC6DD3" w:rsidRPr="00FA30FA" w14:paraId="5C0D553E" w14:textId="77777777" w:rsidTr="00A219B8">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4FFBFA60" w14:textId="77777777" w:rsidR="00DC0B1A" w:rsidRDefault="00DC0B1A" w:rsidP="00A219B8">
            <w:pPr>
              <w:pStyle w:val="Tabletextbold"/>
              <w:rPr>
                <w:b/>
              </w:rPr>
            </w:pPr>
            <w:r>
              <w:rPr>
                <w:b/>
              </w:rPr>
              <w:t>Role of state/territory government</w:t>
            </w:r>
          </w:p>
        </w:tc>
        <w:tc>
          <w:tcPr>
            <w:tcW w:w="8222" w:type="dxa"/>
          </w:tcPr>
          <w:p w14:paraId="10C120A0" w14:textId="77777777" w:rsidR="00DC0B1A" w:rsidRDefault="00DC0B1A" w:rsidP="00DB65B4">
            <w:pPr>
              <w:pStyle w:val="TableBullet1"/>
              <w:cnfStyle w:val="000000000000" w:firstRow="0" w:lastRow="0" w:firstColumn="0" w:lastColumn="0" w:oddVBand="0" w:evenVBand="0" w:oddHBand="0" w:evenHBand="0" w:firstRowFirstColumn="0" w:firstRowLastColumn="0" w:lastRowFirstColumn="0" w:lastRowLastColumn="0"/>
            </w:pPr>
            <w:r>
              <w:t>M</w:t>
            </w:r>
            <w:r w:rsidRPr="00145EE4">
              <w:t>anages and distributes funding</w:t>
            </w:r>
          </w:p>
        </w:tc>
      </w:tr>
    </w:tbl>
    <w:p w14:paraId="068C116E" w14:textId="00BA69E9" w:rsidR="003F7BD8" w:rsidRDefault="00DC0B1A" w:rsidP="00DB65B4">
      <w:pPr>
        <w:pStyle w:val="Caption-Source"/>
        <w:rPr>
          <w:rFonts w:ascii="ZWAdobeF" w:hAnsi="ZWAdobeF" w:cs="ZWAdobeF"/>
          <w:color w:val="auto"/>
          <w:sz w:val="2"/>
          <w:szCs w:val="2"/>
        </w:rPr>
      </w:pPr>
      <w:r w:rsidRPr="006C2383">
        <w:t xml:space="preserve">Source: Adapted from </w:t>
      </w:r>
      <w:proofErr w:type="spellStart"/>
      <w:r w:rsidRPr="006C2383">
        <w:t>EnableNSW</w:t>
      </w:r>
      <w:proofErr w:type="spellEnd"/>
      <w:r w:rsidRPr="006C2383">
        <w:t xml:space="preserve"> (</w:t>
      </w:r>
      <w:proofErr w:type="spellStart"/>
      <w:r w:rsidRPr="006C2383">
        <w:t>n.d</w:t>
      </w:r>
      <w:proofErr w:type="spellEnd"/>
      <w:r w:rsidRPr="006C2383">
        <w:t>)</w:t>
      </w:r>
      <w:r>
        <w:rPr>
          <w:rFonts w:ascii="ZWAdobeF" w:hAnsi="ZWAdobeF" w:cs="ZWAdobeF"/>
          <w:color w:val="auto"/>
          <w:sz w:val="2"/>
          <w:szCs w:val="2"/>
        </w:rPr>
        <w:t>61F</w:t>
      </w:r>
      <w:r w:rsidRPr="006C2383">
        <w:rPr>
          <w:rStyle w:val="FootnoteReference"/>
          <w:i/>
          <w:szCs w:val="20"/>
        </w:rPr>
        <w:footnoteReference w:id="184"/>
      </w:r>
      <w:r w:rsidR="003F7BD8">
        <w:rPr>
          <w:rFonts w:ascii="ZWAdobeF" w:hAnsi="ZWAdobeF" w:cs="ZWAdobeF"/>
          <w:color w:val="auto"/>
          <w:sz w:val="2"/>
          <w:szCs w:val="2"/>
        </w:rPr>
        <w:br w:type="page"/>
      </w:r>
    </w:p>
    <w:p w14:paraId="11C248C6" w14:textId="77777777" w:rsidR="00670D14" w:rsidRDefault="00670D14" w:rsidP="008239ED">
      <w:pPr>
        <w:pStyle w:val="AppendixHeading2"/>
      </w:pPr>
      <w:bookmarkStart w:id="340" w:name="_Toc207348783"/>
      <w:bookmarkStart w:id="341" w:name="_Ref199161892"/>
      <w:r>
        <w:t>Northern Territory</w:t>
      </w:r>
      <w:bookmarkEnd w:id="340"/>
    </w:p>
    <w:p w14:paraId="656E9950" w14:textId="23EC437A" w:rsidR="00670D14" w:rsidRDefault="00670D14" w:rsidP="00670D14">
      <w:pPr>
        <w:pStyle w:val="Caption"/>
      </w:pPr>
      <w:bookmarkStart w:id="342" w:name="_Ref199343284"/>
      <w:bookmarkStart w:id="343" w:name="_Toc207348689"/>
      <w:r>
        <w:t xml:space="preserve">Table </w:t>
      </w:r>
      <w:r w:rsidR="00E6799D">
        <w:fldChar w:fldCharType="begin"/>
      </w:r>
      <w:r w:rsidR="00E6799D">
        <w:instrText xml:space="preserve"> SEQ Table \* ARABIC </w:instrText>
      </w:r>
      <w:r w:rsidR="00E6799D">
        <w:fldChar w:fldCharType="separate"/>
      </w:r>
      <w:r w:rsidR="00E6799D">
        <w:rPr>
          <w:noProof/>
        </w:rPr>
        <w:t>124</w:t>
      </w:r>
      <w:r w:rsidR="00E6799D">
        <w:rPr>
          <w:noProof/>
        </w:rPr>
        <w:fldChar w:fldCharType="end"/>
      </w:r>
      <w:bookmarkEnd w:id="342"/>
      <w:r>
        <w:t>: Prosthetic limb services in NT</w:t>
      </w:r>
      <w:bookmarkEnd w:id="343"/>
    </w:p>
    <w:tbl>
      <w:tblPr>
        <w:tblStyle w:val="KPMGTable"/>
        <w:tblW w:w="9923" w:type="dxa"/>
        <w:tblLook w:val="04A0" w:firstRow="1" w:lastRow="0" w:firstColumn="1" w:lastColumn="0" w:noHBand="0" w:noVBand="1"/>
      </w:tblPr>
      <w:tblGrid>
        <w:gridCol w:w="1701"/>
        <w:gridCol w:w="8222"/>
      </w:tblGrid>
      <w:tr w:rsidR="00467133" w:rsidRPr="007B154A" w14:paraId="3A160118" w14:textId="77777777" w:rsidTr="00DB65B4">
        <w:trPr>
          <w:cnfStyle w:val="100000000000" w:firstRow="1" w:lastRow="0" w:firstColumn="0" w:lastColumn="0" w:oddVBand="0" w:evenVBand="0" w:oddHBand="0"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701" w:type="dxa"/>
          </w:tcPr>
          <w:p w14:paraId="5EFC738B" w14:textId="77777777" w:rsidR="00670D14" w:rsidRPr="007B154A" w:rsidRDefault="00670D14" w:rsidP="00DB65B4">
            <w:pPr>
              <w:pStyle w:val="TableHeading"/>
              <w:rPr>
                <w:b w:val="0"/>
                <w:color w:val="FFFFFF" w:themeColor="background1"/>
                <w:szCs w:val="20"/>
              </w:rPr>
            </w:pPr>
            <w:r>
              <w:t>Category</w:t>
            </w:r>
          </w:p>
        </w:tc>
        <w:tc>
          <w:tcPr>
            <w:tcW w:w="8222" w:type="dxa"/>
          </w:tcPr>
          <w:p w14:paraId="15E98167" w14:textId="77777777" w:rsidR="00670D14" w:rsidRPr="007B154A" w:rsidRDefault="00670D14" w:rsidP="00DB65B4">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 xml:space="preserve">Description </w:t>
            </w:r>
          </w:p>
        </w:tc>
      </w:tr>
      <w:tr w:rsidR="00BC6DD3" w:rsidRPr="001B05CB" w14:paraId="376FB181" w14:textId="77777777" w:rsidTr="00DB65B4">
        <w:trPr>
          <w:trHeight w:val="578"/>
        </w:trPr>
        <w:tc>
          <w:tcPr>
            <w:cnfStyle w:val="001000000000" w:firstRow="0" w:lastRow="0" w:firstColumn="1" w:lastColumn="0" w:oddVBand="0" w:evenVBand="0" w:oddHBand="0" w:evenHBand="0" w:firstRowFirstColumn="0" w:firstRowLastColumn="0" w:lastRowFirstColumn="0" w:lastRowLastColumn="0"/>
            <w:tcW w:w="1701" w:type="dxa"/>
          </w:tcPr>
          <w:p w14:paraId="7934C3CA" w14:textId="77777777" w:rsidR="00670D14" w:rsidRPr="007B154A" w:rsidRDefault="00670D14" w:rsidP="00DB65B4">
            <w:pPr>
              <w:pStyle w:val="Tabletextbold"/>
              <w:rPr>
                <w:szCs w:val="20"/>
              </w:rPr>
            </w:pPr>
            <w:r>
              <w:rPr>
                <w:b/>
              </w:rPr>
              <w:t>Eligibility</w:t>
            </w:r>
            <w:r w:rsidRPr="007B154A">
              <w:rPr>
                <w:szCs w:val="20"/>
              </w:rPr>
              <w:t xml:space="preserve"> </w:t>
            </w:r>
            <w:r>
              <w:rPr>
                <w:szCs w:val="20"/>
              </w:rPr>
              <w:t>criteria</w:t>
            </w:r>
          </w:p>
        </w:tc>
        <w:tc>
          <w:tcPr>
            <w:tcW w:w="8222" w:type="dxa"/>
          </w:tcPr>
          <w:p w14:paraId="784826EC" w14:textId="77777777" w:rsidR="00670D14" w:rsidRDefault="00670D14" w:rsidP="00DB65B4">
            <w:pPr>
              <w:pStyle w:val="TableBullet1"/>
              <w:cnfStyle w:val="000000000000" w:firstRow="0" w:lastRow="0" w:firstColumn="0" w:lastColumn="0" w:oddVBand="0" w:evenVBand="0" w:oddHBand="0" w:evenHBand="0" w:firstRowFirstColumn="0" w:firstRowLastColumn="0" w:lastRowFirstColumn="0" w:lastRowLastColumn="0"/>
            </w:pPr>
            <w:r>
              <w:t>Have a below knee, above knee, partial foot, above elbow or below elbow amputation.</w:t>
            </w:r>
          </w:p>
          <w:p w14:paraId="030A2665" w14:textId="77777777" w:rsidR="00670D14" w:rsidRPr="001A290C" w:rsidRDefault="00670D14" w:rsidP="00DB65B4">
            <w:pPr>
              <w:pStyle w:val="TableBullet1"/>
              <w:cnfStyle w:val="000000000000" w:firstRow="0" w:lastRow="0" w:firstColumn="0" w:lastColumn="0" w:oddVBand="0" w:evenVBand="0" w:oddHBand="0" w:evenHBand="0" w:firstRowFirstColumn="0" w:firstRowLastColumn="0" w:lastRowFirstColumn="0" w:lastRowLastColumn="0"/>
            </w:pPr>
            <w:r>
              <w:t>Not currently receiving prosthetic services from a private provider or NDIS.</w:t>
            </w:r>
          </w:p>
        </w:tc>
      </w:tr>
      <w:tr w:rsidR="00BC6DD3" w:rsidRPr="00FA30FA" w14:paraId="459044D4" w14:textId="77777777" w:rsidTr="00DB65B4">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52F98046" w14:textId="77777777" w:rsidR="00670D14" w:rsidRPr="007B154A" w:rsidRDefault="00670D14" w:rsidP="00DB65B4">
            <w:pPr>
              <w:pStyle w:val="Tabletextbold"/>
              <w:rPr>
                <w:szCs w:val="20"/>
              </w:rPr>
            </w:pPr>
            <w:r>
              <w:rPr>
                <w:b/>
              </w:rPr>
              <w:t xml:space="preserve">Products and </w:t>
            </w:r>
            <w:r>
              <w:rPr>
                <w:szCs w:val="20"/>
              </w:rPr>
              <w:t>services included</w:t>
            </w:r>
          </w:p>
        </w:tc>
        <w:tc>
          <w:tcPr>
            <w:tcW w:w="8222" w:type="dxa"/>
          </w:tcPr>
          <w:p w14:paraId="48BAE92D" w14:textId="77777777" w:rsidR="00670D14" w:rsidRPr="009C50A4" w:rsidRDefault="00670D14" w:rsidP="00DB65B4">
            <w:pPr>
              <w:pStyle w:val="TableBullet1"/>
              <w:cnfStyle w:val="000000000000" w:firstRow="0" w:lastRow="0" w:firstColumn="0" w:lastColumn="0" w:oddVBand="0" w:evenVBand="0" w:oddHBand="0" w:evenHBand="0" w:firstRowFirstColumn="0" w:firstRowLastColumn="0" w:lastRowFirstColumn="0" w:lastRowLastColumn="0"/>
              <w:rPr>
                <w:szCs w:val="18"/>
              </w:rPr>
            </w:pPr>
            <w:r>
              <w:rPr>
                <w:szCs w:val="18"/>
              </w:rPr>
              <w:t xml:space="preserve">Upper and lower limb prosthesis </w:t>
            </w:r>
          </w:p>
        </w:tc>
      </w:tr>
      <w:tr w:rsidR="00BC6DD3" w:rsidRPr="00FA30FA" w14:paraId="60C3E238" w14:textId="77777777" w:rsidTr="00DB65B4">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4AAD5EEB" w14:textId="77777777" w:rsidR="00670D14" w:rsidRDefault="00670D14" w:rsidP="00DB65B4">
            <w:pPr>
              <w:pStyle w:val="Tabletextbold"/>
              <w:rPr>
                <w:szCs w:val="20"/>
              </w:rPr>
            </w:pPr>
            <w:r>
              <w:rPr>
                <w:b/>
              </w:rPr>
              <w:t>Cost coverage</w:t>
            </w:r>
          </w:p>
        </w:tc>
        <w:tc>
          <w:tcPr>
            <w:tcW w:w="8222" w:type="dxa"/>
          </w:tcPr>
          <w:p w14:paraId="781F3868" w14:textId="77777777" w:rsidR="00670D14" w:rsidRPr="009C1931" w:rsidRDefault="00670D14" w:rsidP="00DB65B4">
            <w:pPr>
              <w:pStyle w:val="TableBullet1"/>
              <w:cnfStyle w:val="000000000000" w:firstRow="0" w:lastRow="0" w:firstColumn="0" w:lastColumn="0" w:oddVBand="0" w:evenVBand="0" w:oddHBand="0" w:evenHBand="0" w:firstRowFirstColumn="0" w:firstRowLastColumn="0" w:lastRowFirstColumn="0" w:lastRowLastColumn="0"/>
            </w:pPr>
            <w:r>
              <w:t>No information available</w:t>
            </w:r>
          </w:p>
        </w:tc>
      </w:tr>
      <w:tr w:rsidR="00BC6DD3" w:rsidRPr="00FA30FA" w14:paraId="19616579" w14:textId="77777777" w:rsidTr="00DB65B4">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55CA62AC" w14:textId="77777777" w:rsidR="00670D14" w:rsidRDefault="00670D14" w:rsidP="00DB65B4">
            <w:pPr>
              <w:pStyle w:val="Tabletextbold"/>
              <w:rPr>
                <w:szCs w:val="20"/>
              </w:rPr>
            </w:pPr>
            <w:r>
              <w:rPr>
                <w:b/>
              </w:rPr>
              <w:t>Repairs and warranty</w:t>
            </w:r>
          </w:p>
        </w:tc>
        <w:tc>
          <w:tcPr>
            <w:tcW w:w="8222" w:type="dxa"/>
          </w:tcPr>
          <w:p w14:paraId="503842A4" w14:textId="77777777" w:rsidR="00670D14" w:rsidRPr="009C1931" w:rsidRDefault="00670D14" w:rsidP="00DB65B4">
            <w:pPr>
              <w:pStyle w:val="TableBullet1"/>
              <w:cnfStyle w:val="000000000000" w:firstRow="0" w:lastRow="0" w:firstColumn="0" w:lastColumn="0" w:oddVBand="0" w:evenVBand="0" w:oddHBand="0" w:evenHBand="0" w:firstRowFirstColumn="0" w:firstRowLastColumn="0" w:lastRowFirstColumn="0" w:lastRowLastColumn="0"/>
            </w:pPr>
            <w:r>
              <w:t>No information available</w:t>
            </w:r>
          </w:p>
        </w:tc>
      </w:tr>
      <w:tr w:rsidR="00BC6DD3" w:rsidRPr="00FA30FA" w14:paraId="5950B36B" w14:textId="77777777" w:rsidTr="00DB65B4">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487E88E8" w14:textId="77777777" w:rsidR="00670D14" w:rsidRDefault="00670D14" w:rsidP="00DB65B4">
            <w:pPr>
              <w:pStyle w:val="Tabletextbold"/>
              <w:rPr>
                <w:szCs w:val="20"/>
              </w:rPr>
            </w:pPr>
            <w:r>
              <w:rPr>
                <w:b/>
              </w:rPr>
              <w:t>Referral pathway</w:t>
            </w:r>
          </w:p>
        </w:tc>
        <w:tc>
          <w:tcPr>
            <w:tcW w:w="8222" w:type="dxa"/>
          </w:tcPr>
          <w:p w14:paraId="3956FDBB" w14:textId="77777777" w:rsidR="00670D14" w:rsidRPr="00477254" w:rsidRDefault="00670D14" w:rsidP="00DB65B4">
            <w:pPr>
              <w:pStyle w:val="TableBullet1"/>
              <w:cnfStyle w:val="000000000000" w:firstRow="0" w:lastRow="0" w:firstColumn="0" w:lastColumn="0" w:oddVBand="0" w:evenVBand="0" w:oddHBand="0" w:evenHBand="0" w:firstRowFirstColumn="0" w:firstRowLastColumn="0" w:lastRowFirstColumn="0" w:lastRowLastColumn="0"/>
            </w:pPr>
            <w:r>
              <w:t>Referral from health professional</w:t>
            </w:r>
          </w:p>
        </w:tc>
      </w:tr>
      <w:tr w:rsidR="00BC6DD3" w:rsidRPr="00FA30FA" w14:paraId="03559FD9" w14:textId="77777777" w:rsidTr="00DB65B4">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07FFEA77" w14:textId="77777777" w:rsidR="00670D14" w:rsidRDefault="00670D14" w:rsidP="00DB65B4">
            <w:pPr>
              <w:pStyle w:val="Tabletextbold"/>
              <w:rPr>
                <w:szCs w:val="20"/>
              </w:rPr>
            </w:pPr>
            <w:r>
              <w:rPr>
                <w:b/>
              </w:rPr>
              <w:t xml:space="preserve">Settings in which prostheses may be accessed </w:t>
            </w:r>
          </w:p>
        </w:tc>
        <w:tc>
          <w:tcPr>
            <w:tcW w:w="8222" w:type="dxa"/>
          </w:tcPr>
          <w:p w14:paraId="7FD27B7E" w14:textId="77777777" w:rsidR="00670D14" w:rsidRDefault="00670D14" w:rsidP="00DB65B4">
            <w:pPr>
              <w:pStyle w:val="TableText"/>
              <w:cnfStyle w:val="000000000000" w:firstRow="0" w:lastRow="0" w:firstColumn="0" w:lastColumn="0" w:oddVBand="0" w:evenVBand="0" w:oddHBand="0" w:evenHBand="0" w:firstRowFirstColumn="0" w:firstRowLastColumn="0" w:lastRowFirstColumn="0" w:lastRowLastColumn="0"/>
            </w:pPr>
            <w:r>
              <w:t xml:space="preserve">Public Hospital Prosthetic and Orthotic Department </w:t>
            </w:r>
          </w:p>
          <w:p w14:paraId="48D88DAE" w14:textId="77777777" w:rsidR="00670D14" w:rsidRPr="004F2817" w:rsidRDefault="00670D14" w:rsidP="00DB65B4">
            <w:pPr>
              <w:pStyle w:val="TableBullet1"/>
              <w:cnfStyle w:val="000000000000" w:firstRow="0" w:lastRow="0" w:firstColumn="0" w:lastColumn="0" w:oddVBand="0" w:evenVBand="0" w:oddHBand="0" w:evenHBand="0" w:firstRowFirstColumn="0" w:firstRowLastColumn="0" w:lastRowFirstColumn="0" w:lastRowLastColumn="0"/>
            </w:pPr>
            <w:r w:rsidRPr="004F2817">
              <w:t xml:space="preserve">Royal Darwin and Palmerston Hospital Prosthetics and Orthotics Department </w:t>
            </w:r>
          </w:p>
          <w:p w14:paraId="36C01E42" w14:textId="77777777" w:rsidR="00670D14" w:rsidRPr="004F2817" w:rsidRDefault="00670D14" w:rsidP="00DB65B4">
            <w:pPr>
              <w:pStyle w:val="TableBullet1"/>
              <w:cnfStyle w:val="000000000000" w:firstRow="0" w:lastRow="0" w:firstColumn="0" w:lastColumn="0" w:oddVBand="0" w:evenVBand="0" w:oddHBand="0" w:evenHBand="0" w:firstRowFirstColumn="0" w:firstRowLastColumn="0" w:lastRowFirstColumn="0" w:lastRowLastColumn="0"/>
            </w:pPr>
            <w:r w:rsidRPr="004F2817">
              <w:t xml:space="preserve">Alice Springs Prosthetics Department </w:t>
            </w:r>
          </w:p>
        </w:tc>
      </w:tr>
      <w:tr w:rsidR="00BC6DD3" w:rsidRPr="00FA30FA" w14:paraId="4098CF36" w14:textId="77777777" w:rsidTr="00DB65B4">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06E20175" w14:textId="77777777" w:rsidR="00670D14" w:rsidRDefault="00670D14" w:rsidP="00DB65B4">
            <w:pPr>
              <w:pStyle w:val="Tabletextbold"/>
              <w:rPr>
                <w:szCs w:val="20"/>
              </w:rPr>
            </w:pPr>
            <w:r>
              <w:rPr>
                <w:b/>
              </w:rPr>
              <w:t>Clinicians involved</w:t>
            </w:r>
          </w:p>
        </w:tc>
        <w:tc>
          <w:tcPr>
            <w:tcW w:w="8222" w:type="dxa"/>
          </w:tcPr>
          <w:p w14:paraId="275E8CC5" w14:textId="77777777" w:rsidR="00670D14" w:rsidRDefault="00670D14" w:rsidP="00DB65B4">
            <w:pPr>
              <w:pStyle w:val="TableText"/>
              <w:cnfStyle w:val="000000000000" w:firstRow="0" w:lastRow="0" w:firstColumn="0" w:lastColumn="0" w:oddVBand="0" w:evenVBand="0" w:oddHBand="0" w:evenHBand="0" w:firstRowFirstColumn="0" w:firstRowLastColumn="0" w:lastRowFirstColumn="0" w:lastRowLastColumn="0"/>
            </w:pPr>
            <w:r>
              <w:t>An amputee clinic multidisciplinary teams involves a:</w:t>
            </w:r>
          </w:p>
          <w:p w14:paraId="714B1BEF" w14:textId="77777777" w:rsidR="00670D14" w:rsidRDefault="00670D14" w:rsidP="007623F0">
            <w:pPr>
              <w:pStyle w:val="TableBullet1"/>
              <w:cnfStyle w:val="000000000000" w:firstRow="0" w:lastRow="0" w:firstColumn="0" w:lastColumn="0" w:oddVBand="0" w:evenVBand="0" w:oddHBand="0" w:evenHBand="0" w:firstRowFirstColumn="0" w:firstRowLastColumn="0" w:lastRowFirstColumn="0" w:lastRowLastColumn="0"/>
            </w:pPr>
            <w:r>
              <w:t xml:space="preserve">Rehabilitation physicians: assess, diagnoses and treats a person’s mobility and function. </w:t>
            </w:r>
          </w:p>
          <w:p w14:paraId="697B8CC5" w14:textId="77777777" w:rsidR="00670D14" w:rsidRDefault="00670D14" w:rsidP="007623F0">
            <w:pPr>
              <w:pStyle w:val="TableBullet1"/>
              <w:cnfStyle w:val="000000000000" w:firstRow="0" w:lastRow="0" w:firstColumn="0" w:lastColumn="0" w:oddVBand="0" w:evenVBand="0" w:oddHBand="0" w:evenHBand="0" w:firstRowFirstColumn="0" w:firstRowLastColumn="0" w:lastRowFirstColumn="0" w:lastRowLastColumn="0"/>
            </w:pPr>
            <w:r>
              <w:t>Prosthetists: assesses the persons functional needs, and design, manufacture and fit prosthetic limb</w:t>
            </w:r>
          </w:p>
          <w:p w14:paraId="43D43F9A" w14:textId="77777777" w:rsidR="00670D14" w:rsidRDefault="00670D14" w:rsidP="007623F0">
            <w:pPr>
              <w:pStyle w:val="TableBullet1"/>
              <w:cnfStyle w:val="000000000000" w:firstRow="0" w:lastRow="0" w:firstColumn="0" w:lastColumn="0" w:oddVBand="0" w:evenVBand="0" w:oddHBand="0" w:evenHBand="0" w:firstRowFirstColumn="0" w:firstRowLastColumn="0" w:lastRowFirstColumn="0" w:lastRowLastColumn="0"/>
              <w:rPr>
                <w:bCs/>
                <w:szCs w:val="20"/>
              </w:rPr>
            </w:pPr>
            <w:r>
              <w:t>Physiotherapist: supports rehabilitation and strength training</w:t>
            </w:r>
          </w:p>
        </w:tc>
      </w:tr>
      <w:tr w:rsidR="00BC6DD3" w:rsidRPr="00FA30FA" w14:paraId="38AEC345" w14:textId="77777777" w:rsidTr="00DB65B4">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41522368" w14:textId="77777777" w:rsidR="00670D14" w:rsidRDefault="00670D14" w:rsidP="00DB65B4">
            <w:pPr>
              <w:pStyle w:val="Tabletextbold"/>
              <w:rPr>
                <w:szCs w:val="20"/>
              </w:rPr>
            </w:pPr>
            <w:r>
              <w:rPr>
                <w:b/>
              </w:rPr>
              <w:t>Funded by</w:t>
            </w:r>
          </w:p>
        </w:tc>
        <w:tc>
          <w:tcPr>
            <w:tcW w:w="8222" w:type="dxa"/>
          </w:tcPr>
          <w:p w14:paraId="07252FFD" w14:textId="77777777" w:rsidR="00670D14" w:rsidRPr="00F6337B" w:rsidRDefault="00670D14" w:rsidP="007623F0">
            <w:pPr>
              <w:pStyle w:val="TableBullet1"/>
              <w:cnfStyle w:val="000000000000" w:firstRow="0" w:lastRow="0" w:firstColumn="0" w:lastColumn="0" w:oddVBand="0" w:evenVBand="0" w:oddHBand="0" w:evenHBand="0" w:firstRowFirstColumn="0" w:firstRowLastColumn="0" w:lastRowFirstColumn="0" w:lastRowLastColumn="0"/>
            </w:pPr>
            <w:r w:rsidRPr="004F2817">
              <w:t>Commonwealth funding provided to Prosthetic and Orthotic services in public hospitals</w:t>
            </w:r>
          </w:p>
        </w:tc>
      </w:tr>
      <w:tr w:rsidR="00BC6DD3" w:rsidRPr="00FA30FA" w14:paraId="301BF8A2" w14:textId="77777777" w:rsidTr="00DB65B4">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2385F70C" w14:textId="77777777" w:rsidR="00670D14" w:rsidRDefault="00670D14" w:rsidP="00DB65B4">
            <w:pPr>
              <w:pStyle w:val="Tabletextbold"/>
              <w:rPr>
                <w:szCs w:val="20"/>
              </w:rPr>
            </w:pPr>
            <w:r>
              <w:rPr>
                <w:b/>
              </w:rPr>
              <w:t>Role of Australian Government</w:t>
            </w:r>
          </w:p>
        </w:tc>
        <w:tc>
          <w:tcPr>
            <w:tcW w:w="8222" w:type="dxa"/>
          </w:tcPr>
          <w:p w14:paraId="65635E0D" w14:textId="77777777" w:rsidR="00670D14" w:rsidRPr="004F2817" w:rsidRDefault="00670D14" w:rsidP="007623F0">
            <w:pPr>
              <w:pStyle w:val="TableBullet1"/>
              <w:cnfStyle w:val="000000000000" w:firstRow="0" w:lastRow="0" w:firstColumn="0" w:lastColumn="0" w:oddVBand="0" w:evenVBand="0" w:oddHBand="0" w:evenHBand="0" w:firstRowFirstColumn="0" w:firstRowLastColumn="0" w:lastRowFirstColumn="0" w:lastRowLastColumn="0"/>
            </w:pPr>
            <w:r>
              <w:t>Funds Prosthetic and Orthotic services in public hospitals</w:t>
            </w:r>
          </w:p>
        </w:tc>
      </w:tr>
      <w:tr w:rsidR="00BC6DD3" w:rsidRPr="00FA30FA" w14:paraId="540ED8D6" w14:textId="77777777" w:rsidTr="00DB65B4">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3C1E2582" w14:textId="77777777" w:rsidR="00670D14" w:rsidRDefault="00670D14" w:rsidP="00DB65B4">
            <w:pPr>
              <w:pStyle w:val="Tabletextbold"/>
              <w:rPr>
                <w:szCs w:val="20"/>
              </w:rPr>
            </w:pPr>
            <w:r>
              <w:rPr>
                <w:b/>
              </w:rPr>
              <w:t xml:space="preserve">Role of </w:t>
            </w:r>
            <w:r>
              <w:rPr>
                <w:szCs w:val="20"/>
              </w:rPr>
              <w:t>state/territory governments</w:t>
            </w:r>
          </w:p>
        </w:tc>
        <w:tc>
          <w:tcPr>
            <w:tcW w:w="8222" w:type="dxa"/>
          </w:tcPr>
          <w:p w14:paraId="6B91D114" w14:textId="77777777" w:rsidR="00670D14" w:rsidRPr="004F2817" w:rsidRDefault="00670D14" w:rsidP="007623F0">
            <w:pPr>
              <w:pStyle w:val="TableBullet1"/>
              <w:cnfStyle w:val="000000000000" w:firstRow="0" w:lastRow="0" w:firstColumn="0" w:lastColumn="0" w:oddVBand="0" w:evenVBand="0" w:oddHBand="0" w:evenHBand="0" w:firstRowFirstColumn="0" w:firstRowLastColumn="0" w:lastRowFirstColumn="0" w:lastRowLastColumn="0"/>
            </w:pPr>
            <w:r>
              <w:t>N/A – funding provided by the Australian Government is managed directly by public hospitals in the NT</w:t>
            </w:r>
          </w:p>
        </w:tc>
      </w:tr>
    </w:tbl>
    <w:p w14:paraId="58A16B39" w14:textId="4689F070" w:rsidR="003F7BD8" w:rsidRDefault="00670D14" w:rsidP="007623F0">
      <w:pPr>
        <w:pStyle w:val="Caption-Source"/>
        <w:rPr>
          <w:rFonts w:ascii="ZWAdobeF" w:hAnsi="ZWAdobeF" w:cs="ZWAdobeF"/>
          <w:color w:val="auto"/>
          <w:sz w:val="2"/>
          <w:szCs w:val="2"/>
        </w:rPr>
      </w:pPr>
      <w:r w:rsidRPr="00BF6B91">
        <w:t>Source: NT Government (n.d.)</w:t>
      </w:r>
      <w:r>
        <w:rPr>
          <w:rFonts w:ascii="ZWAdobeF" w:hAnsi="ZWAdobeF" w:cs="ZWAdobeF"/>
          <w:color w:val="auto"/>
          <w:sz w:val="2"/>
          <w:szCs w:val="2"/>
        </w:rPr>
        <w:t>72F</w:t>
      </w:r>
      <w:r w:rsidRPr="00BF6B91">
        <w:rPr>
          <w:rStyle w:val="FootnoteReference"/>
          <w:i/>
          <w:szCs w:val="20"/>
        </w:rPr>
        <w:footnoteReference w:id="185"/>
      </w:r>
      <w:r w:rsidR="003F7BD8">
        <w:rPr>
          <w:rFonts w:ascii="ZWAdobeF" w:hAnsi="ZWAdobeF" w:cs="ZWAdobeF"/>
          <w:color w:val="auto"/>
          <w:sz w:val="2"/>
          <w:szCs w:val="2"/>
        </w:rPr>
        <w:br w:type="page"/>
      </w:r>
    </w:p>
    <w:p w14:paraId="5F0A4736" w14:textId="5BA3B47C" w:rsidR="004B053B" w:rsidRDefault="004B053B" w:rsidP="008239ED">
      <w:pPr>
        <w:pStyle w:val="AppendixHeading2"/>
      </w:pPr>
      <w:bookmarkStart w:id="344" w:name="_Toc207348784"/>
      <w:r>
        <w:t>Queensland</w:t>
      </w:r>
      <w:bookmarkEnd w:id="344"/>
    </w:p>
    <w:p w14:paraId="27C592F0" w14:textId="27CCFCD9" w:rsidR="004B053B" w:rsidRDefault="004B053B" w:rsidP="004B053B">
      <w:pPr>
        <w:pStyle w:val="Caption"/>
      </w:pPr>
      <w:bookmarkStart w:id="345" w:name="_Toc207348690"/>
      <w:r>
        <w:t xml:space="preserve">Table </w:t>
      </w:r>
      <w:r w:rsidR="00E6799D">
        <w:fldChar w:fldCharType="begin"/>
      </w:r>
      <w:r w:rsidR="00E6799D">
        <w:instrText xml:space="preserve"> SEQ Table \* ARABIC </w:instrText>
      </w:r>
      <w:r w:rsidR="00E6799D">
        <w:fldChar w:fldCharType="separate"/>
      </w:r>
      <w:r w:rsidR="00E6799D">
        <w:rPr>
          <w:noProof/>
        </w:rPr>
        <w:t>125</w:t>
      </w:r>
      <w:r w:rsidR="00E6799D">
        <w:rPr>
          <w:noProof/>
        </w:rPr>
        <w:fldChar w:fldCharType="end"/>
      </w:r>
      <w:bookmarkEnd w:id="341"/>
      <w:r>
        <w:t>: Queensland Artificial Limb S</w:t>
      </w:r>
      <w:r w:rsidRPr="00F76861">
        <w:t>ervice details</w:t>
      </w:r>
      <w:bookmarkEnd w:id="345"/>
    </w:p>
    <w:tbl>
      <w:tblPr>
        <w:tblStyle w:val="KPMGTable"/>
        <w:tblW w:w="10520" w:type="dxa"/>
        <w:tblLook w:val="04A0" w:firstRow="1" w:lastRow="0" w:firstColumn="1" w:lastColumn="0" w:noHBand="0" w:noVBand="1"/>
      </w:tblPr>
      <w:tblGrid>
        <w:gridCol w:w="1803"/>
        <w:gridCol w:w="8717"/>
      </w:tblGrid>
      <w:tr w:rsidR="00467133" w:rsidRPr="007B154A" w14:paraId="55E8D5AC" w14:textId="77777777" w:rsidTr="003F7BD8">
        <w:trPr>
          <w:cnfStyle w:val="100000000000" w:firstRow="1" w:lastRow="0" w:firstColumn="0" w:lastColumn="0" w:oddVBand="0" w:evenVBand="0" w:oddHBand="0" w:evenHBand="0" w:firstRowFirstColumn="0" w:firstRowLastColumn="0" w:lastRowFirstColumn="0" w:lastRowLastColumn="0"/>
          <w:trHeight w:val="235"/>
          <w:tblHeader/>
        </w:trPr>
        <w:tc>
          <w:tcPr>
            <w:cnfStyle w:val="001000000000" w:firstRow="0" w:lastRow="0" w:firstColumn="1" w:lastColumn="0" w:oddVBand="0" w:evenVBand="0" w:oddHBand="0" w:evenHBand="0" w:firstRowFirstColumn="0" w:firstRowLastColumn="0" w:lastRowFirstColumn="0" w:lastRowLastColumn="0"/>
            <w:tcW w:w="1803" w:type="dxa"/>
          </w:tcPr>
          <w:p w14:paraId="61A2C6F2" w14:textId="77777777" w:rsidR="004B053B" w:rsidRPr="007B154A" w:rsidRDefault="004B053B" w:rsidP="007623F0">
            <w:pPr>
              <w:pStyle w:val="TableHeading"/>
            </w:pPr>
            <w:r>
              <w:t>Category</w:t>
            </w:r>
          </w:p>
        </w:tc>
        <w:tc>
          <w:tcPr>
            <w:tcW w:w="8717" w:type="dxa"/>
          </w:tcPr>
          <w:p w14:paraId="3CB70FE0" w14:textId="77777777" w:rsidR="004B053B" w:rsidRPr="007B154A" w:rsidRDefault="004B053B" w:rsidP="007623F0">
            <w:pPr>
              <w:pStyle w:val="TableHeading"/>
              <w:cnfStyle w:val="100000000000" w:firstRow="1" w:lastRow="0" w:firstColumn="0" w:lastColumn="0" w:oddVBand="0" w:evenVBand="0" w:oddHBand="0" w:evenHBand="0" w:firstRowFirstColumn="0" w:firstRowLastColumn="0" w:lastRowFirstColumn="0" w:lastRowLastColumn="0"/>
            </w:pPr>
            <w:r>
              <w:t xml:space="preserve">Description </w:t>
            </w:r>
          </w:p>
        </w:tc>
      </w:tr>
      <w:tr w:rsidR="00BC6DD3" w:rsidRPr="001B05CB" w14:paraId="724BF525" w14:textId="77777777" w:rsidTr="003F7BD8">
        <w:trPr>
          <w:trHeight w:val="582"/>
        </w:trPr>
        <w:tc>
          <w:tcPr>
            <w:cnfStyle w:val="001000000000" w:firstRow="0" w:lastRow="0" w:firstColumn="1" w:lastColumn="0" w:oddVBand="0" w:evenVBand="0" w:oddHBand="0" w:evenHBand="0" w:firstRowFirstColumn="0" w:firstRowLastColumn="0" w:lastRowFirstColumn="0" w:lastRowLastColumn="0"/>
            <w:tcW w:w="1803" w:type="dxa"/>
          </w:tcPr>
          <w:p w14:paraId="605A0465" w14:textId="77777777" w:rsidR="004B053B" w:rsidRPr="007B154A" w:rsidRDefault="004B053B" w:rsidP="007623F0">
            <w:pPr>
              <w:pStyle w:val="Tabletextbold"/>
              <w:rPr>
                <w:b/>
              </w:rPr>
            </w:pPr>
            <w:r>
              <w:rPr>
                <w:b/>
              </w:rPr>
              <w:t>Eligibility</w:t>
            </w:r>
            <w:r w:rsidRPr="007B154A">
              <w:rPr>
                <w:b/>
              </w:rPr>
              <w:t xml:space="preserve"> </w:t>
            </w:r>
            <w:r>
              <w:rPr>
                <w:b/>
              </w:rPr>
              <w:t>criteria</w:t>
            </w:r>
          </w:p>
        </w:tc>
        <w:tc>
          <w:tcPr>
            <w:tcW w:w="8717" w:type="dxa"/>
          </w:tcPr>
          <w:p w14:paraId="78677985" w14:textId="77777777" w:rsidR="004B053B" w:rsidRDefault="004B053B" w:rsidP="007623F0">
            <w:pPr>
              <w:pStyle w:val="TableBullet1"/>
              <w:cnfStyle w:val="000000000000" w:firstRow="0" w:lastRow="0" w:firstColumn="0" w:lastColumn="0" w:oddVBand="0" w:evenVBand="0" w:oddHBand="0" w:evenHBand="0" w:firstRowFirstColumn="0" w:firstRowLastColumn="0" w:lastRowFirstColumn="0" w:lastRowLastColumn="0"/>
            </w:pPr>
            <w:r>
              <w:t>Over the age of</w:t>
            </w:r>
            <w:r w:rsidRPr="00C22B37">
              <w:t xml:space="preserve"> 65 years</w:t>
            </w:r>
            <w:r>
              <w:t xml:space="preserve">, and </w:t>
            </w:r>
          </w:p>
          <w:p w14:paraId="34ADD38F" w14:textId="77777777" w:rsidR="004B053B" w:rsidRPr="00C22B37" w:rsidRDefault="004B053B" w:rsidP="007623F0">
            <w:pPr>
              <w:pStyle w:val="TableBullet1"/>
              <w:cnfStyle w:val="000000000000" w:firstRow="0" w:lastRow="0" w:firstColumn="0" w:lastColumn="0" w:oddVBand="0" w:evenVBand="0" w:oddHBand="0" w:evenHBand="0" w:firstRowFirstColumn="0" w:firstRowLastColumn="0" w:lastRowFirstColumn="0" w:lastRowLastColumn="0"/>
            </w:pPr>
            <w:r>
              <w:t>H</w:t>
            </w:r>
            <w:r w:rsidRPr="00C22B37">
              <w:t xml:space="preserve">ave undergone an amputation </w:t>
            </w:r>
            <w:proofErr w:type="gramStart"/>
            <w:r w:rsidRPr="00C22B37">
              <w:t>as a result of</w:t>
            </w:r>
            <w:proofErr w:type="gramEnd"/>
            <w:r w:rsidRPr="00C22B37">
              <w:t xml:space="preserve"> disease or injury and the level of amputation is complete trans-metatarsal/trans-metacarpal or higher</w:t>
            </w:r>
            <w:r>
              <w:t>, and</w:t>
            </w:r>
            <w:r w:rsidRPr="00C22B37">
              <w:t xml:space="preserve">  </w:t>
            </w:r>
          </w:p>
          <w:p w14:paraId="0B99F2B0" w14:textId="77777777" w:rsidR="004B053B" w:rsidRPr="00C22B37" w:rsidRDefault="004B053B" w:rsidP="007623F0">
            <w:pPr>
              <w:pStyle w:val="TableBullet1"/>
              <w:cnfStyle w:val="000000000000" w:firstRow="0" w:lastRow="0" w:firstColumn="0" w:lastColumn="0" w:oddVBand="0" w:evenVBand="0" w:oddHBand="0" w:evenHBand="0" w:firstRowFirstColumn="0" w:firstRowLastColumn="0" w:lastRowFirstColumn="0" w:lastRowLastColumn="0"/>
            </w:pPr>
            <w:r>
              <w:t>B</w:t>
            </w:r>
            <w:r w:rsidRPr="00C22B37">
              <w:t xml:space="preserve">e an Australian Citizen, </w:t>
            </w:r>
            <w:r>
              <w:t>or have Australian residency</w:t>
            </w:r>
          </w:p>
          <w:p w14:paraId="2C000655" w14:textId="77777777" w:rsidR="004B053B" w:rsidRDefault="004B053B" w:rsidP="007623F0">
            <w:pPr>
              <w:pStyle w:val="TableBullet1"/>
              <w:cnfStyle w:val="000000000000" w:firstRow="0" w:lastRow="0" w:firstColumn="0" w:lastColumn="0" w:oddVBand="0" w:evenVBand="0" w:oddHBand="0" w:evenHBand="0" w:firstRowFirstColumn="0" w:firstRowLastColumn="0" w:lastRowFirstColumn="0" w:lastRowLastColumn="0"/>
            </w:pPr>
            <w:r>
              <w:t>Have a</w:t>
            </w:r>
            <w:r w:rsidRPr="00C22B37">
              <w:t xml:space="preserve"> Medicare Card</w:t>
            </w:r>
            <w:r>
              <w:t>, and</w:t>
            </w:r>
          </w:p>
          <w:p w14:paraId="17FFADCB" w14:textId="77777777" w:rsidR="004B053B" w:rsidRDefault="004B053B" w:rsidP="007623F0">
            <w:pPr>
              <w:pStyle w:val="TableBullet1"/>
              <w:cnfStyle w:val="000000000000" w:firstRow="0" w:lastRow="0" w:firstColumn="0" w:lastColumn="0" w:oddVBand="0" w:evenVBand="0" w:oddHBand="0" w:evenHBand="0" w:firstRowFirstColumn="0" w:firstRowLastColumn="0" w:lastRowFirstColumn="0" w:lastRowLastColumn="0"/>
            </w:pPr>
            <w:r>
              <w:t>Be a permanent resident of Queensland</w:t>
            </w:r>
          </w:p>
          <w:p w14:paraId="46BB0017" w14:textId="77777777" w:rsidR="004B053B" w:rsidRDefault="004B053B" w:rsidP="007623F0">
            <w:pPr>
              <w:pStyle w:val="TableBullet1"/>
              <w:cnfStyle w:val="000000000000" w:firstRow="0" w:lastRow="0" w:firstColumn="0" w:lastColumn="0" w:oddVBand="0" w:evenVBand="0" w:oddHBand="0" w:evenHBand="0" w:firstRowFirstColumn="0" w:firstRowLastColumn="0" w:lastRowFirstColumn="0" w:lastRowLastColumn="0"/>
            </w:pPr>
            <w:r>
              <w:t>H</w:t>
            </w:r>
            <w:r w:rsidRPr="00550AE4">
              <w:t>ave completed an ‘interim rehabilitation program’ at an amputee clinic, been assessed and deemed competent and suitable to use a prosthetic limb</w:t>
            </w:r>
            <w:r>
              <w:t xml:space="preserve">, and </w:t>
            </w:r>
          </w:p>
          <w:p w14:paraId="0EFF46CE" w14:textId="77777777" w:rsidR="004B053B" w:rsidRPr="00BE67AF" w:rsidRDefault="004B053B" w:rsidP="007623F0">
            <w:pPr>
              <w:pStyle w:val="TableBullet1"/>
              <w:cnfStyle w:val="000000000000" w:firstRow="0" w:lastRow="0" w:firstColumn="0" w:lastColumn="0" w:oddVBand="0" w:evenVBand="0" w:oddHBand="0" w:evenHBand="0" w:firstRowFirstColumn="0" w:firstRowLastColumn="0" w:lastRowFirstColumn="0" w:lastRowLastColumn="0"/>
            </w:pPr>
            <w:r w:rsidRPr="00BE67AF">
              <w:t>Not be obtaining prosthetic funding support or services through another Government agency or state service.</w:t>
            </w:r>
          </w:p>
        </w:tc>
      </w:tr>
      <w:tr w:rsidR="00BC6DD3" w:rsidRPr="00FA30FA" w14:paraId="2341A036" w14:textId="77777777" w:rsidTr="003F7BD8">
        <w:trPr>
          <w:trHeight w:val="580"/>
        </w:trPr>
        <w:tc>
          <w:tcPr>
            <w:cnfStyle w:val="001000000000" w:firstRow="0" w:lastRow="0" w:firstColumn="1" w:lastColumn="0" w:oddVBand="0" w:evenVBand="0" w:oddHBand="0" w:evenHBand="0" w:firstRowFirstColumn="0" w:firstRowLastColumn="0" w:lastRowFirstColumn="0" w:lastRowLastColumn="0"/>
            <w:tcW w:w="1803" w:type="dxa"/>
          </w:tcPr>
          <w:p w14:paraId="67088200" w14:textId="77777777" w:rsidR="004B053B" w:rsidRPr="007B154A" w:rsidRDefault="004B053B" w:rsidP="007623F0">
            <w:pPr>
              <w:pStyle w:val="Tabletextbold"/>
              <w:rPr>
                <w:b/>
              </w:rPr>
            </w:pPr>
            <w:r>
              <w:rPr>
                <w:b/>
              </w:rPr>
              <w:t>Products and services included</w:t>
            </w:r>
          </w:p>
        </w:tc>
        <w:tc>
          <w:tcPr>
            <w:tcW w:w="8717" w:type="dxa"/>
          </w:tcPr>
          <w:p w14:paraId="4C703A0D" w14:textId="77777777" w:rsidR="004B053B" w:rsidRPr="00920FEE" w:rsidRDefault="004B053B" w:rsidP="00CE3330">
            <w:pPr>
              <w:pStyle w:val="TableText"/>
              <w:cnfStyle w:val="000000000000" w:firstRow="0" w:lastRow="0" w:firstColumn="0" w:lastColumn="0" w:oddVBand="0" w:evenVBand="0" w:oddHBand="0" w:evenHBand="0" w:firstRowFirstColumn="0" w:firstRowLastColumn="0" w:lastRowFirstColumn="0" w:lastRowLastColumn="0"/>
            </w:pPr>
            <w:r>
              <w:t>Upper and lower limb prostheses, including:</w:t>
            </w:r>
          </w:p>
          <w:p w14:paraId="086FEED3" w14:textId="77777777" w:rsidR="004B053B" w:rsidRPr="00920FEE" w:rsidRDefault="004B053B" w:rsidP="00CE3330">
            <w:pPr>
              <w:pStyle w:val="TableBullet1"/>
              <w:cnfStyle w:val="000000000000" w:firstRow="0" w:lastRow="0" w:firstColumn="0" w:lastColumn="0" w:oddVBand="0" w:evenVBand="0" w:oddHBand="0" w:evenHBand="0" w:firstRowFirstColumn="0" w:firstRowLastColumn="0" w:lastRowFirstColumn="0" w:lastRowLastColumn="0"/>
            </w:pPr>
            <w:r>
              <w:t>One stan</w:t>
            </w:r>
            <w:r w:rsidRPr="00920FEE">
              <w:t>dard prosthetic limb for each amputated limb for standard day to day activities</w:t>
            </w:r>
          </w:p>
          <w:p w14:paraId="4929CFEC" w14:textId="77777777" w:rsidR="004B053B" w:rsidRPr="00920FEE" w:rsidRDefault="004B053B" w:rsidP="00CE3330">
            <w:pPr>
              <w:pStyle w:val="TableBullet1"/>
              <w:cnfStyle w:val="000000000000" w:firstRow="0" w:lastRow="0" w:firstColumn="0" w:lastColumn="0" w:oddVBand="0" w:evenVBand="0" w:oddHBand="0" w:evenHBand="0" w:firstRowFirstColumn="0" w:firstRowLastColumn="0" w:lastRowFirstColumn="0" w:lastRowLastColumn="0"/>
            </w:pPr>
            <w:r w:rsidRPr="00920FEE">
              <w:t>Partial foot prostheses may be supplied for partial foot amputations, proximal to the metatarsal phalange joint</w:t>
            </w:r>
          </w:p>
          <w:p w14:paraId="641A5E35" w14:textId="77777777" w:rsidR="004B053B" w:rsidRPr="00920FEE" w:rsidRDefault="004B053B" w:rsidP="00CE3330">
            <w:pPr>
              <w:pStyle w:val="TableBullet1"/>
              <w:cnfStyle w:val="000000000000" w:firstRow="0" w:lastRow="0" w:firstColumn="0" w:lastColumn="0" w:oddVBand="0" w:evenVBand="0" w:oddHBand="0" w:evenHBand="0" w:firstRowFirstColumn="0" w:firstRowLastColumn="0" w:lastRowFirstColumn="0" w:lastRowLastColumn="0"/>
            </w:pPr>
            <w:r w:rsidRPr="00920FEE">
              <w:t>Partial hand prostheses may be supplies excluding digits only</w:t>
            </w:r>
          </w:p>
          <w:p w14:paraId="629D1069" w14:textId="77777777" w:rsidR="004B053B" w:rsidRPr="00350C9F" w:rsidRDefault="004B053B" w:rsidP="00CE3330">
            <w:pPr>
              <w:pStyle w:val="TableBullet1"/>
              <w:cnfStyle w:val="000000000000" w:firstRow="0" w:lastRow="0" w:firstColumn="0" w:lastColumn="0" w:oddVBand="0" w:evenVBand="0" w:oddHBand="0" w:evenHBand="0" w:firstRowFirstColumn="0" w:firstRowLastColumn="0" w:lastRowFirstColumn="0" w:lastRowLastColumn="0"/>
            </w:pPr>
            <w:r w:rsidRPr="00920FEE">
              <w:t xml:space="preserve">Socket replacements </w:t>
            </w:r>
          </w:p>
          <w:p w14:paraId="3E8B8155" w14:textId="77777777" w:rsidR="004B053B" w:rsidRPr="00FB0D9E" w:rsidRDefault="004B053B" w:rsidP="00CE3330">
            <w:pPr>
              <w:pStyle w:val="TableText"/>
              <w:cnfStyle w:val="000000000000" w:firstRow="0" w:lastRow="0" w:firstColumn="0" w:lastColumn="0" w:oddVBand="0" w:evenVBand="0" w:oddHBand="0" w:evenHBand="0" w:firstRowFirstColumn="0" w:firstRowLastColumn="0" w:lastRowFirstColumn="0" w:lastRowLastColumn="0"/>
            </w:pPr>
            <w:r>
              <w:t xml:space="preserve">Annual consumable items per limb </w:t>
            </w:r>
          </w:p>
          <w:p w14:paraId="08ED7705" w14:textId="77777777" w:rsidR="004B053B" w:rsidRDefault="004B053B" w:rsidP="00CE3330">
            <w:pPr>
              <w:pStyle w:val="TableBullet1"/>
              <w:cnfStyle w:val="000000000000" w:firstRow="0" w:lastRow="0" w:firstColumn="0" w:lastColumn="0" w:oddVBand="0" w:evenVBand="0" w:oddHBand="0" w:evenHBand="0" w:firstRowFirstColumn="0" w:firstRowLastColumn="0" w:lastRowFirstColumn="0" w:lastRowLastColumn="0"/>
            </w:pPr>
            <w:r w:rsidRPr="00920FEE">
              <w:t>2 cosmetic gloves</w:t>
            </w:r>
          </w:p>
          <w:p w14:paraId="18FBA5D4" w14:textId="77777777" w:rsidR="004B053B" w:rsidRDefault="004B053B" w:rsidP="00CE3330">
            <w:pPr>
              <w:pStyle w:val="TableBullet1"/>
              <w:cnfStyle w:val="000000000000" w:firstRow="0" w:lastRow="0" w:firstColumn="0" w:lastColumn="0" w:oddVBand="0" w:evenVBand="0" w:oddHBand="0" w:evenHBand="0" w:firstRowFirstColumn="0" w:firstRowLastColumn="0" w:lastRowFirstColumn="0" w:lastRowLastColumn="0"/>
            </w:pPr>
            <w:r w:rsidRPr="00920FEE">
              <w:t>6-12 stockings</w:t>
            </w:r>
          </w:p>
          <w:p w14:paraId="09157389" w14:textId="77777777" w:rsidR="004B053B" w:rsidRDefault="004B053B" w:rsidP="00CE3330">
            <w:pPr>
              <w:pStyle w:val="TableBullet1"/>
              <w:cnfStyle w:val="000000000000" w:firstRow="0" w:lastRow="0" w:firstColumn="0" w:lastColumn="0" w:oddVBand="0" w:evenVBand="0" w:oddHBand="0" w:evenHBand="0" w:firstRowFirstColumn="0" w:firstRowLastColumn="0" w:lastRowFirstColumn="0" w:lastRowLastColumn="0"/>
            </w:pPr>
            <w:r w:rsidRPr="00920FEE">
              <w:t>1 Donning Aid</w:t>
            </w:r>
          </w:p>
          <w:p w14:paraId="16FE071E" w14:textId="77777777" w:rsidR="004B053B" w:rsidRDefault="004B053B" w:rsidP="00CE3330">
            <w:pPr>
              <w:pStyle w:val="TableBullet1"/>
              <w:cnfStyle w:val="000000000000" w:firstRow="0" w:lastRow="0" w:firstColumn="0" w:lastColumn="0" w:oddVBand="0" w:evenVBand="0" w:oddHBand="0" w:evenHBand="0" w:firstRowFirstColumn="0" w:firstRowLastColumn="0" w:lastRowFirstColumn="0" w:lastRowLastColumn="0"/>
            </w:pPr>
            <w:r w:rsidRPr="00920FEE">
              <w:t>1 Foam Cover</w:t>
            </w:r>
          </w:p>
          <w:p w14:paraId="2A63D427" w14:textId="77777777" w:rsidR="004B053B" w:rsidRDefault="004B053B" w:rsidP="00CE3330">
            <w:pPr>
              <w:pStyle w:val="TableBullet1"/>
              <w:cnfStyle w:val="000000000000" w:firstRow="0" w:lastRow="0" w:firstColumn="0" w:lastColumn="0" w:oddVBand="0" w:evenVBand="0" w:oddHBand="0" w:evenHBand="0" w:firstRowFirstColumn="0" w:firstRowLastColumn="0" w:lastRowFirstColumn="0" w:lastRowLastColumn="0"/>
            </w:pPr>
            <w:r w:rsidRPr="00920FEE">
              <w:t>2 Liners</w:t>
            </w:r>
          </w:p>
          <w:p w14:paraId="52CEB63B" w14:textId="77777777" w:rsidR="004B053B" w:rsidRDefault="004B053B" w:rsidP="00CE3330">
            <w:pPr>
              <w:pStyle w:val="TableBullet1"/>
              <w:cnfStyle w:val="000000000000" w:firstRow="0" w:lastRow="0" w:firstColumn="0" w:lastColumn="0" w:oddVBand="0" w:evenVBand="0" w:oddHBand="0" w:evenHBand="0" w:firstRowFirstColumn="0" w:firstRowLastColumn="0" w:lastRowFirstColumn="0" w:lastRowLastColumn="0"/>
            </w:pPr>
            <w:r w:rsidRPr="00920FEE">
              <w:t>8 sprays/lotions/creams</w:t>
            </w:r>
          </w:p>
          <w:p w14:paraId="5F31DC02" w14:textId="77777777" w:rsidR="004B053B" w:rsidRDefault="004B053B" w:rsidP="00CE3330">
            <w:pPr>
              <w:pStyle w:val="TableBullet1"/>
              <w:cnfStyle w:val="000000000000" w:firstRow="0" w:lastRow="0" w:firstColumn="0" w:lastColumn="0" w:oddVBand="0" w:evenVBand="0" w:oddHBand="0" w:evenHBand="0" w:firstRowFirstColumn="0" w:firstRowLastColumn="0" w:lastRowFirstColumn="0" w:lastRowLastColumn="0"/>
            </w:pPr>
            <w:r w:rsidRPr="00920FEE">
              <w:t>4-6 Sheaths/gaiters</w:t>
            </w:r>
          </w:p>
          <w:p w14:paraId="16D22C1E" w14:textId="77777777" w:rsidR="004B053B" w:rsidRDefault="004B053B" w:rsidP="00CE3330">
            <w:pPr>
              <w:pStyle w:val="TableBullet1"/>
              <w:cnfStyle w:val="000000000000" w:firstRow="0" w:lastRow="0" w:firstColumn="0" w:lastColumn="0" w:oddVBand="0" w:evenVBand="0" w:oddHBand="0" w:evenHBand="0" w:firstRowFirstColumn="0" w:firstRowLastColumn="0" w:lastRowFirstColumn="0" w:lastRowLastColumn="0"/>
            </w:pPr>
            <w:r w:rsidRPr="00920FEE">
              <w:t>1 shower cover</w:t>
            </w:r>
          </w:p>
          <w:p w14:paraId="17F34A40" w14:textId="77777777" w:rsidR="004B053B" w:rsidRDefault="004B053B" w:rsidP="00CE3330">
            <w:pPr>
              <w:pStyle w:val="TableBullet1"/>
              <w:cnfStyle w:val="000000000000" w:firstRow="0" w:lastRow="0" w:firstColumn="0" w:lastColumn="0" w:oddVBand="0" w:evenVBand="0" w:oddHBand="0" w:evenHBand="0" w:firstRowFirstColumn="0" w:firstRowLastColumn="0" w:lastRowFirstColumn="0" w:lastRowLastColumn="0"/>
            </w:pPr>
            <w:r w:rsidRPr="00920FEE">
              <w:t>13-16 socks</w:t>
            </w:r>
          </w:p>
          <w:p w14:paraId="6B743A6F" w14:textId="77777777" w:rsidR="004B053B" w:rsidRDefault="004B053B" w:rsidP="00CE3330">
            <w:pPr>
              <w:pStyle w:val="TableBullet1"/>
              <w:cnfStyle w:val="000000000000" w:firstRow="0" w:lastRow="0" w:firstColumn="0" w:lastColumn="0" w:oddVBand="0" w:evenVBand="0" w:oddHBand="0" w:evenHBand="0" w:firstRowFirstColumn="0" w:firstRowLastColumn="0" w:lastRowFirstColumn="0" w:lastRowLastColumn="0"/>
            </w:pPr>
            <w:r w:rsidRPr="00920FEE">
              <w:t>2 stump shrinkers</w:t>
            </w:r>
          </w:p>
          <w:p w14:paraId="64F2B593" w14:textId="77777777" w:rsidR="004B053B" w:rsidRPr="00920FEE" w:rsidRDefault="004B053B" w:rsidP="00CE3330">
            <w:pPr>
              <w:pStyle w:val="TableBullet1"/>
              <w:cnfStyle w:val="000000000000" w:firstRow="0" w:lastRow="0" w:firstColumn="0" w:lastColumn="0" w:oddVBand="0" w:evenVBand="0" w:oddHBand="0" w:evenHBand="0" w:firstRowFirstColumn="0" w:firstRowLastColumn="0" w:lastRowFirstColumn="0" w:lastRowLastColumn="0"/>
            </w:pPr>
            <w:r w:rsidRPr="00920FEE">
              <w:t>2 suspension sleeves</w:t>
            </w:r>
          </w:p>
          <w:p w14:paraId="4E2CAEFB" w14:textId="77777777" w:rsidR="004B053B" w:rsidRPr="00F84663" w:rsidRDefault="004B053B" w:rsidP="00CE3330">
            <w:pPr>
              <w:pStyle w:val="TableBullet1"/>
              <w:cnfStyle w:val="000000000000" w:firstRow="0" w:lastRow="0" w:firstColumn="0" w:lastColumn="0" w:oddVBand="0" w:evenVBand="0" w:oddHBand="0" w:evenHBand="0" w:firstRowFirstColumn="0" w:firstRowLastColumn="0" w:lastRowFirstColumn="0" w:lastRowLastColumn="0"/>
              <w:rPr>
                <w:szCs w:val="18"/>
              </w:rPr>
            </w:pPr>
            <w:r w:rsidRPr="00920FEE">
              <w:t xml:space="preserve">One cosmetic cover or artistic feature per 12-month period (not per limb/socket replacement)  </w:t>
            </w:r>
          </w:p>
        </w:tc>
      </w:tr>
      <w:tr w:rsidR="00BC6DD3" w:rsidRPr="00FA30FA" w14:paraId="566B7EF6" w14:textId="77777777" w:rsidTr="003F7BD8">
        <w:trPr>
          <w:trHeight w:val="580"/>
        </w:trPr>
        <w:tc>
          <w:tcPr>
            <w:cnfStyle w:val="001000000000" w:firstRow="0" w:lastRow="0" w:firstColumn="1" w:lastColumn="0" w:oddVBand="0" w:evenVBand="0" w:oddHBand="0" w:evenHBand="0" w:firstRowFirstColumn="0" w:firstRowLastColumn="0" w:lastRowFirstColumn="0" w:lastRowLastColumn="0"/>
            <w:tcW w:w="1803" w:type="dxa"/>
          </w:tcPr>
          <w:p w14:paraId="27AC06F8" w14:textId="77777777" w:rsidR="004B053B" w:rsidRDefault="004B053B" w:rsidP="007623F0">
            <w:pPr>
              <w:pStyle w:val="Tabletextbold"/>
              <w:rPr>
                <w:b/>
              </w:rPr>
            </w:pPr>
            <w:r>
              <w:rPr>
                <w:b/>
              </w:rPr>
              <w:t>Cost coverage</w:t>
            </w:r>
          </w:p>
        </w:tc>
        <w:tc>
          <w:tcPr>
            <w:tcW w:w="8717" w:type="dxa"/>
          </w:tcPr>
          <w:p w14:paraId="0D941949" w14:textId="77777777" w:rsidR="004B053B" w:rsidRPr="00EC60BB" w:rsidRDefault="004B053B" w:rsidP="00CE3330">
            <w:pPr>
              <w:pStyle w:val="TableText"/>
              <w:cnfStyle w:val="000000000000" w:firstRow="0" w:lastRow="0" w:firstColumn="0" w:lastColumn="0" w:oddVBand="0" w:evenVBand="0" w:oddHBand="0" w:evenHBand="0" w:firstRowFirstColumn="0" w:firstRowLastColumn="0" w:lastRowFirstColumn="0" w:lastRowLastColumn="0"/>
            </w:pPr>
            <w:r w:rsidRPr="00EC60BB">
              <w:t xml:space="preserve">An applicant may be required to privately fund a co-payment for prosthetics where: </w:t>
            </w:r>
          </w:p>
          <w:p w14:paraId="059ABA0C" w14:textId="77777777" w:rsidR="004B053B" w:rsidRPr="00EC60BB" w:rsidRDefault="004B053B" w:rsidP="00CE3330">
            <w:pPr>
              <w:pStyle w:val="TableBullet1"/>
              <w:cnfStyle w:val="000000000000" w:firstRow="0" w:lastRow="0" w:firstColumn="0" w:lastColumn="0" w:oddVBand="0" w:evenVBand="0" w:oddHBand="0" w:evenHBand="0" w:firstRowFirstColumn="0" w:firstRowLastColumn="0" w:lastRowFirstColumn="0" w:lastRowLastColumn="0"/>
            </w:pPr>
            <w:r w:rsidRPr="00EC60BB">
              <w:t>The prosthetic components requested exceed the maximum QALS funding levels and have not been approved for full funding by QALS</w:t>
            </w:r>
            <w:r>
              <w:t>,</w:t>
            </w:r>
            <w:r w:rsidRPr="00EC60BB">
              <w:t xml:space="preserve"> or </w:t>
            </w:r>
          </w:p>
          <w:p w14:paraId="1BE01E80" w14:textId="77777777" w:rsidR="004B053B" w:rsidRDefault="004B053B" w:rsidP="00CE3330">
            <w:pPr>
              <w:pStyle w:val="TableBullet1"/>
              <w:cnfStyle w:val="000000000000" w:firstRow="0" w:lastRow="0" w:firstColumn="0" w:lastColumn="0" w:oddVBand="0" w:evenVBand="0" w:oddHBand="0" w:evenHBand="0" w:firstRowFirstColumn="0" w:firstRowLastColumn="0" w:lastRowFirstColumn="0" w:lastRowLastColumn="0"/>
            </w:pPr>
            <w:r w:rsidRPr="00EC60BB">
              <w:t xml:space="preserve">The prosthetist/applicant has chosen upgraded components which are outside the scope of QALS funding levels e.g. microprocessor joints or components specific to recreational use.  </w:t>
            </w:r>
          </w:p>
          <w:p w14:paraId="7FFEDA8E" w14:textId="77777777" w:rsidR="004B053B" w:rsidRDefault="004B053B" w:rsidP="00CE3330">
            <w:pPr>
              <w:pStyle w:val="TableText"/>
              <w:cnfStyle w:val="000000000000" w:firstRow="0" w:lastRow="0" w:firstColumn="0" w:lastColumn="0" w:oddVBand="0" w:evenVBand="0" w:oddHBand="0" w:evenHBand="0" w:firstRowFirstColumn="0" w:firstRowLastColumn="0" w:lastRowFirstColumn="0" w:lastRowLastColumn="0"/>
            </w:pPr>
            <w:r>
              <w:t>Maximum funding level:</w:t>
            </w:r>
          </w:p>
          <w:p w14:paraId="6F13736B" w14:textId="77777777" w:rsidR="004B053B" w:rsidRPr="00F84663" w:rsidRDefault="004B053B" w:rsidP="00262606">
            <w:pPr>
              <w:pStyle w:val="TableBullet1"/>
              <w:cnfStyle w:val="000000000000" w:firstRow="0" w:lastRow="0" w:firstColumn="0" w:lastColumn="0" w:oddVBand="0" w:evenVBand="0" w:oddHBand="0" w:evenHBand="0" w:firstRowFirstColumn="0" w:firstRowLastColumn="0" w:lastRowFirstColumn="0" w:lastRowLastColumn="0"/>
            </w:pPr>
            <w:r w:rsidRPr="00920FEE">
              <w:t>Feet and Terminal Devices - K1 - $900, K2 or above: $1,500</w:t>
            </w:r>
          </w:p>
          <w:p w14:paraId="583FB732" w14:textId="77777777" w:rsidR="004B053B" w:rsidRPr="00D3723D" w:rsidRDefault="004B053B" w:rsidP="00262606">
            <w:pPr>
              <w:pStyle w:val="TableBullet1"/>
              <w:cnfStyle w:val="000000000000" w:firstRow="0" w:lastRow="0" w:firstColumn="0" w:lastColumn="0" w:oddVBand="0" w:evenVBand="0" w:oddHBand="0" w:evenHBand="0" w:firstRowFirstColumn="0" w:firstRowLastColumn="0" w:lastRowFirstColumn="0" w:lastRowLastColumn="0"/>
            </w:pPr>
            <w:r w:rsidRPr="00920FEE">
              <w:t>Elbow and Knee units - K1 - $1,500, K2 or above: $3,000</w:t>
            </w:r>
          </w:p>
          <w:p w14:paraId="1F63E596" w14:textId="77777777" w:rsidR="004B053B" w:rsidRPr="00F84663" w:rsidRDefault="004B053B" w:rsidP="00262606">
            <w:pPr>
              <w:pStyle w:val="TableBullet1"/>
              <w:cnfStyle w:val="000000000000" w:firstRow="0" w:lastRow="0" w:firstColumn="0" w:lastColumn="0" w:oddVBand="0" w:evenVBand="0" w:oddHBand="0" w:evenHBand="0" w:firstRowFirstColumn="0" w:firstRowLastColumn="0" w:lastRowFirstColumn="0" w:lastRowLastColumn="0"/>
            </w:pPr>
            <w:r>
              <w:t>External components - $11,500</w:t>
            </w:r>
          </w:p>
        </w:tc>
      </w:tr>
      <w:tr w:rsidR="00BC6DD3" w:rsidRPr="00FA30FA" w14:paraId="1BED506C" w14:textId="77777777" w:rsidTr="003F7BD8">
        <w:trPr>
          <w:trHeight w:val="580"/>
        </w:trPr>
        <w:tc>
          <w:tcPr>
            <w:cnfStyle w:val="001000000000" w:firstRow="0" w:lastRow="0" w:firstColumn="1" w:lastColumn="0" w:oddVBand="0" w:evenVBand="0" w:oddHBand="0" w:evenHBand="0" w:firstRowFirstColumn="0" w:firstRowLastColumn="0" w:lastRowFirstColumn="0" w:lastRowLastColumn="0"/>
            <w:tcW w:w="1803" w:type="dxa"/>
          </w:tcPr>
          <w:p w14:paraId="74F28A8A" w14:textId="77777777" w:rsidR="004B053B" w:rsidRDefault="004B053B" w:rsidP="007623F0">
            <w:pPr>
              <w:pStyle w:val="Tabletextbold"/>
              <w:rPr>
                <w:b/>
              </w:rPr>
            </w:pPr>
            <w:r>
              <w:rPr>
                <w:b/>
              </w:rPr>
              <w:t>Repairs and warranty</w:t>
            </w:r>
          </w:p>
        </w:tc>
        <w:tc>
          <w:tcPr>
            <w:tcW w:w="8717" w:type="dxa"/>
          </w:tcPr>
          <w:p w14:paraId="17B9D4E9" w14:textId="77777777" w:rsidR="004B053B" w:rsidRDefault="004B053B" w:rsidP="00262606">
            <w:pPr>
              <w:pStyle w:val="TableBullet1"/>
              <w:cnfStyle w:val="000000000000" w:firstRow="0" w:lastRow="0" w:firstColumn="0" w:lastColumn="0" w:oddVBand="0" w:evenVBand="0" w:oddHBand="0" w:evenHBand="0" w:firstRowFirstColumn="0" w:firstRowLastColumn="0" w:lastRowFirstColumn="0" w:lastRowLastColumn="0"/>
            </w:pPr>
            <w:r w:rsidRPr="00EC60BB">
              <w:t xml:space="preserve">Prostheses expected to last up to 36 months </w:t>
            </w:r>
          </w:p>
          <w:p w14:paraId="4F299D06" w14:textId="77777777" w:rsidR="004B053B" w:rsidRPr="00EC60BB" w:rsidRDefault="004B053B" w:rsidP="00262606">
            <w:pPr>
              <w:pStyle w:val="TableBullet1"/>
              <w:cnfStyle w:val="000000000000" w:firstRow="0" w:lastRow="0" w:firstColumn="0" w:lastColumn="0" w:oddVBand="0" w:evenVBand="0" w:oddHBand="0" w:evenHBand="0" w:firstRowFirstColumn="0" w:firstRowLastColumn="0" w:lastRowFirstColumn="0" w:lastRowLastColumn="0"/>
            </w:pPr>
            <w:r>
              <w:t xml:space="preserve">QALS will fund up to $550 for a minor repair without prior approval </w:t>
            </w:r>
          </w:p>
          <w:p w14:paraId="0A79D9BB" w14:textId="77777777" w:rsidR="004B053B" w:rsidRPr="00EC60BB" w:rsidRDefault="004B053B" w:rsidP="00262606">
            <w:pPr>
              <w:pStyle w:val="TableBullet1"/>
              <w:cnfStyle w:val="000000000000" w:firstRow="0" w:lastRow="0" w:firstColumn="0" w:lastColumn="0" w:oddVBand="0" w:evenVBand="0" w:oddHBand="0" w:evenHBand="0" w:firstRowFirstColumn="0" w:firstRowLastColumn="0" w:lastRowFirstColumn="0" w:lastRowLastColumn="0"/>
            </w:pPr>
            <w:r w:rsidRPr="00EC60BB">
              <w:t>Socket replacements and the replacement of major components will require an inspection of the prosthesis by the PSP, and prior funding approval from QALS, before any repairs can commence.</w:t>
            </w:r>
          </w:p>
          <w:p w14:paraId="7FA299A5" w14:textId="77777777" w:rsidR="004B053B" w:rsidRPr="009C1931" w:rsidRDefault="004B053B" w:rsidP="00262606">
            <w:pPr>
              <w:pStyle w:val="TableBullet1"/>
              <w:cnfStyle w:val="000000000000" w:firstRow="0" w:lastRow="0" w:firstColumn="0" w:lastColumn="0" w:oddVBand="0" w:evenVBand="0" w:oddHBand="0" w:evenHBand="0" w:firstRowFirstColumn="0" w:firstRowLastColumn="0" w:lastRowFirstColumn="0" w:lastRowLastColumn="0"/>
            </w:pPr>
            <w:r w:rsidRPr="00EC60BB">
              <w:t xml:space="preserve">Socket warranty has minimum 3 months on fit and minimum 12 months on socket integrity.  </w:t>
            </w:r>
          </w:p>
        </w:tc>
      </w:tr>
      <w:tr w:rsidR="00BC6DD3" w:rsidRPr="00FA30FA" w14:paraId="6D7E2B79" w14:textId="77777777" w:rsidTr="003F7BD8">
        <w:trPr>
          <w:trHeight w:val="580"/>
        </w:trPr>
        <w:tc>
          <w:tcPr>
            <w:cnfStyle w:val="001000000000" w:firstRow="0" w:lastRow="0" w:firstColumn="1" w:lastColumn="0" w:oddVBand="0" w:evenVBand="0" w:oddHBand="0" w:evenHBand="0" w:firstRowFirstColumn="0" w:firstRowLastColumn="0" w:lastRowFirstColumn="0" w:lastRowLastColumn="0"/>
            <w:tcW w:w="1803" w:type="dxa"/>
          </w:tcPr>
          <w:p w14:paraId="7A32EDE9" w14:textId="77777777" w:rsidR="004B053B" w:rsidRDefault="004B053B" w:rsidP="007623F0">
            <w:pPr>
              <w:pStyle w:val="Tabletextbold"/>
              <w:rPr>
                <w:b/>
              </w:rPr>
            </w:pPr>
            <w:r>
              <w:rPr>
                <w:b/>
              </w:rPr>
              <w:t>Referral pathway</w:t>
            </w:r>
          </w:p>
        </w:tc>
        <w:tc>
          <w:tcPr>
            <w:tcW w:w="8717" w:type="dxa"/>
          </w:tcPr>
          <w:p w14:paraId="0EDE0A12" w14:textId="77777777" w:rsidR="004B053B" w:rsidRDefault="004B053B" w:rsidP="00262606">
            <w:pPr>
              <w:pStyle w:val="TableBullet1"/>
              <w:cnfStyle w:val="000000000000" w:firstRow="0" w:lastRow="0" w:firstColumn="0" w:lastColumn="0" w:oddVBand="0" w:evenVBand="0" w:oddHBand="0" w:evenHBand="0" w:firstRowFirstColumn="0" w:firstRowLastColumn="0" w:lastRowFirstColumn="0" w:lastRowLastColumn="0"/>
            </w:pPr>
            <w:r>
              <w:t>Person</w:t>
            </w:r>
            <w:r w:rsidRPr="00EC60BB">
              <w:t xml:space="preserve"> applies</w:t>
            </w:r>
            <w:r>
              <w:t xml:space="preserve"> to QALS</w:t>
            </w:r>
            <w:r w:rsidRPr="00EC60BB">
              <w:t xml:space="preserve"> via form </w:t>
            </w:r>
          </w:p>
          <w:p w14:paraId="773502EB" w14:textId="77777777" w:rsidR="004B053B" w:rsidRDefault="004B053B" w:rsidP="00262606">
            <w:pPr>
              <w:pStyle w:val="TableBullet1"/>
              <w:cnfStyle w:val="000000000000" w:firstRow="0" w:lastRow="0" w:firstColumn="0" w:lastColumn="0" w:oddVBand="0" w:evenVBand="0" w:oddHBand="0" w:evenHBand="0" w:firstRowFirstColumn="0" w:firstRowLastColumn="0" w:lastRowFirstColumn="0" w:lastRowLastColumn="0"/>
            </w:pPr>
            <w:r w:rsidRPr="00EC60BB">
              <w:t>Applicant contact</w:t>
            </w:r>
            <w:r>
              <w:t>s</w:t>
            </w:r>
            <w:r w:rsidRPr="00EC60BB">
              <w:t xml:space="preserve"> chosen PSP to arrange appointment to be reviewed and assessed for prosthetic need </w:t>
            </w:r>
          </w:p>
          <w:p w14:paraId="47BDDBEB" w14:textId="77777777" w:rsidR="004B053B" w:rsidRDefault="004B053B" w:rsidP="00262606">
            <w:pPr>
              <w:pStyle w:val="TableBullet1"/>
              <w:cnfStyle w:val="000000000000" w:firstRow="0" w:lastRow="0" w:firstColumn="0" w:lastColumn="0" w:oddVBand="0" w:evenVBand="0" w:oddHBand="0" w:evenHBand="0" w:firstRowFirstColumn="0" w:firstRowLastColumn="0" w:lastRowFirstColumn="0" w:lastRowLastColumn="0"/>
            </w:pPr>
            <w:r w:rsidRPr="00EC60BB">
              <w:t xml:space="preserve">PSP submits form on behalf of client with a quote for the service required </w:t>
            </w:r>
          </w:p>
          <w:p w14:paraId="59AAAB99" w14:textId="77777777" w:rsidR="004B053B" w:rsidRDefault="004B053B" w:rsidP="00262606">
            <w:pPr>
              <w:pStyle w:val="TableBullet1"/>
              <w:cnfStyle w:val="000000000000" w:firstRow="0" w:lastRow="0" w:firstColumn="0" w:lastColumn="0" w:oddVBand="0" w:evenVBand="0" w:oddHBand="0" w:evenHBand="0" w:firstRowFirstColumn="0" w:firstRowLastColumn="0" w:lastRowFirstColumn="0" w:lastRowLastColumn="0"/>
            </w:pPr>
            <w:r>
              <w:t>QA</w:t>
            </w:r>
            <w:r w:rsidRPr="00EC60BB">
              <w:t xml:space="preserve">LS process application and advice PSP of the status </w:t>
            </w:r>
          </w:p>
          <w:p w14:paraId="0385F5A3" w14:textId="77777777" w:rsidR="004B053B" w:rsidRDefault="004B053B" w:rsidP="00262606">
            <w:pPr>
              <w:pStyle w:val="TableBullet1"/>
              <w:cnfStyle w:val="000000000000" w:firstRow="0" w:lastRow="0" w:firstColumn="0" w:lastColumn="0" w:oddVBand="0" w:evenVBand="0" w:oddHBand="0" w:evenHBand="0" w:firstRowFirstColumn="0" w:firstRowLastColumn="0" w:lastRowFirstColumn="0" w:lastRowLastColumn="0"/>
            </w:pPr>
            <w:r w:rsidRPr="00EC60BB">
              <w:t>QALS issues a purchase order for the approved QALS amount</w:t>
            </w:r>
          </w:p>
          <w:p w14:paraId="452D14A7" w14:textId="77777777" w:rsidR="004B053B" w:rsidRPr="009C1931" w:rsidRDefault="004B053B" w:rsidP="00262606">
            <w:pPr>
              <w:pStyle w:val="TableBullet1"/>
              <w:cnfStyle w:val="000000000000" w:firstRow="0" w:lastRow="0" w:firstColumn="0" w:lastColumn="0" w:oddVBand="0" w:evenVBand="0" w:oddHBand="0" w:evenHBand="0" w:firstRowFirstColumn="0" w:firstRowLastColumn="0" w:lastRowFirstColumn="0" w:lastRowLastColumn="0"/>
            </w:pPr>
            <w:r w:rsidRPr="00EC60BB">
              <w:t>PSP complete from to QALS with their invoice for services.</w:t>
            </w:r>
          </w:p>
        </w:tc>
      </w:tr>
      <w:tr w:rsidR="00BC6DD3" w:rsidRPr="00FA30FA" w14:paraId="680B84DD" w14:textId="77777777" w:rsidTr="003F7BD8">
        <w:trPr>
          <w:trHeight w:val="580"/>
        </w:trPr>
        <w:tc>
          <w:tcPr>
            <w:cnfStyle w:val="001000000000" w:firstRow="0" w:lastRow="0" w:firstColumn="1" w:lastColumn="0" w:oddVBand="0" w:evenVBand="0" w:oddHBand="0" w:evenHBand="0" w:firstRowFirstColumn="0" w:firstRowLastColumn="0" w:lastRowFirstColumn="0" w:lastRowLastColumn="0"/>
            <w:tcW w:w="1803" w:type="dxa"/>
          </w:tcPr>
          <w:p w14:paraId="1C56B4E0" w14:textId="77777777" w:rsidR="004B053B" w:rsidRDefault="004B053B" w:rsidP="007623F0">
            <w:pPr>
              <w:pStyle w:val="Tabletextbold"/>
              <w:rPr>
                <w:b/>
              </w:rPr>
            </w:pPr>
            <w:r>
              <w:rPr>
                <w:b/>
              </w:rPr>
              <w:t xml:space="preserve">Settings in which prostheses may be accessed </w:t>
            </w:r>
          </w:p>
        </w:tc>
        <w:tc>
          <w:tcPr>
            <w:tcW w:w="8717" w:type="dxa"/>
          </w:tcPr>
          <w:p w14:paraId="4565A8DA" w14:textId="4E513096" w:rsidR="004B053B" w:rsidRPr="00E65271" w:rsidRDefault="004B053B" w:rsidP="00262606">
            <w:pPr>
              <w:pStyle w:val="TableBullet1"/>
              <w:cnfStyle w:val="000000000000" w:firstRow="0" w:lastRow="0" w:firstColumn="0" w:lastColumn="0" w:oddVBand="0" w:evenVBand="0" w:oddHBand="0" w:evenHBand="0" w:firstRowFirstColumn="0" w:firstRowLastColumn="0" w:lastRowFirstColumn="0" w:lastRowLastColumn="0"/>
            </w:pPr>
            <w:r w:rsidRPr="00442D26">
              <w:t>Public hospital interim clinics and PSPs</w:t>
            </w:r>
            <w:r>
              <w:t xml:space="preserve"> (See </w:t>
            </w:r>
            <w:r w:rsidR="009761D7">
              <w:fldChar w:fldCharType="begin"/>
            </w:r>
            <w:r w:rsidR="009761D7">
              <w:instrText xml:space="preserve"> REF _Ref199165979 \h </w:instrText>
            </w:r>
            <w:r w:rsidR="009761D7">
              <w:fldChar w:fldCharType="separate"/>
            </w:r>
            <w:r w:rsidR="009761D7">
              <w:t xml:space="preserve">Table </w:t>
            </w:r>
            <w:r w:rsidR="009761D7">
              <w:rPr>
                <w:noProof/>
              </w:rPr>
              <w:t>134</w:t>
            </w:r>
            <w:r w:rsidR="009761D7">
              <w:fldChar w:fldCharType="end"/>
            </w:r>
            <w:r w:rsidRPr="00D23B42">
              <w:t xml:space="preserve"> in Appendix </w:t>
            </w:r>
            <w:r w:rsidRPr="00D23B42">
              <w:rPr>
                <w:b/>
              </w:rPr>
              <w:fldChar w:fldCharType="begin"/>
            </w:r>
            <w:r w:rsidRPr="00D23B42">
              <w:instrText xml:space="preserve"> REF _Ref200968516 \n \h </w:instrText>
            </w:r>
            <w:r>
              <w:rPr>
                <w:b/>
              </w:rPr>
              <w:instrText xml:space="preserve"> \* MERGEFORMAT </w:instrText>
            </w:r>
            <w:r w:rsidRPr="00D23B42">
              <w:rPr>
                <w:b/>
              </w:rPr>
            </w:r>
            <w:r w:rsidRPr="00D23B42">
              <w:rPr>
                <w:b/>
              </w:rPr>
              <w:fldChar w:fldCharType="separate"/>
            </w:r>
            <w:r w:rsidR="009761D7">
              <w:t>F.2</w:t>
            </w:r>
            <w:r w:rsidRPr="00D23B42">
              <w:rPr>
                <w:b/>
              </w:rPr>
              <w:fldChar w:fldCharType="end"/>
            </w:r>
            <w:r w:rsidRPr="00D23B42">
              <w:t xml:space="preserve"> </w:t>
            </w:r>
            <w:r w:rsidRPr="002C385B">
              <w:t xml:space="preserve">for a list of accredited amputee clinics in </w:t>
            </w:r>
            <w:r>
              <w:t>QLD</w:t>
            </w:r>
            <w:r w:rsidRPr="002C385B">
              <w:t xml:space="preserve"> and their associated PSPs.)</w:t>
            </w:r>
          </w:p>
        </w:tc>
      </w:tr>
      <w:tr w:rsidR="00BC6DD3" w:rsidRPr="00FA30FA" w14:paraId="431B897A" w14:textId="77777777" w:rsidTr="003F7BD8">
        <w:trPr>
          <w:trHeight w:val="580"/>
        </w:trPr>
        <w:tc>
          <w:tcPr>
            <w:cnfStyle w:val="001000000000" w:firstRow="0" w:lastRow="0" w:firstColumn="1" w:lastColumn="0" w:oddVBand="0" w:evenVBand="0" w:oddHBand="0" w:evenHBand="0" w:firstRowFirstColumn="0" w:firstRowLastColumn="0" w:lastRowFirstColumn="0" w:lastRowLastColumn="0"/>
            <w:tcW w:w="1803" w:type="dxa"/>
          </w:tcPr>
          <w:p w14:paraId="1CF5120A" w14:textId="77777777" w:rsidR="004B053B" w:rsidRDefault="004B053B" w:rsidP="007623F0">
            <w:pPr>
              <w:pStyle w:val="Tabletextbold"/>
              <w:rPr>
                <w:b/>
              </w:rPr>
            </w:pPr>
            <w:r>
              <w:rPr>
                <w:b/>
              </w:rPr>
              <w:t>Clinicians involved</w:t>
            </w:r>
          </w:p>
        </w:tc>
        <w:tc>
          <w:tcPr>
            <w:tcW w:w="8717" w:type="dxa"/>
          </w:tcPr>
          <w:p w14:paraId="00C1D7DD" w14:textId="77777777" w:rsidR="004B053B" w:rsidRDefault="004B053B" w:rsidP="00262606">
            <w:pPr>
              <w:pStyle w:val="TableText"/>
              <w:cnfStyle w:val="000000000000" w:firstRow="0" w:lastRow="0" w:firstColumn="0" w:lastColumn="0" w:oddVBand="0" w:evenVBand="0" w:oddHBand="0" w:evenHBand="0" w:firstRowFirstColumn="0" w:firstRowLastColumn="0" w:lastRowFirstColumn="0" w:lastRowLastColumn="0"/>
            </w:pPr>
            <w:r>
              <w:t>An amputee clinic multidisciplinary teams involves a:</w:t>
            </w:r>
          </w:p>
          <w:p w14:paraId="2782DEAD" w14:textId="77777777" w:rsidR="004B053B" w:rsidRDefault="004B053B" w:rsidP="00262606">
            <w:pPr>
              <w:pStyle w:val="TableBullet1"/>
              <w:cnfStyle w:val="000000000000" w:firstRow="0" w:lastRow="0" w:firstColumn="0" w:lastColumn="0" w:oddVBand="0" w:evenVBand="0" w:oddHBand="0" w:evenHBand="0" w:firstRowFirstColumn="0" w:firstRowLastColumn="0" w:lastRowFirstColumn="0" w:lastRowLastColumn="0"/>
            </w:pPr>
            <w:r>
              <w:t xml:space="preserve">Rehabilitation physicians: assess, diagnoses and treats a person’s mobility and function. </w:t>
            </w:r>
          </w:p>
          <w:p w14:paraId="62A55ED3" w14:textId="77777777" w:rsidR="004B053B" w:rsidRDefault="004B053B" w:rsidP="00262606">
            <w:pPr>
              <w:pStyle w:val="TableBullet1"/>
              <w:cnfStyle w:val="000000000000" w:firstRow="0" w:lastRow="0" w:firstColumn="0" w:lastColumn="0" w:oddVBand="0" w:evenVBand="0" w:oddHBand="0" w:evenHBand="0" w:firstRowFirstColumn="0" w:firstRowLastColumn="0" w:lastRowFirstColumn="0" w:lastRowLastColumn="0"/>
            </w:pPr>
            <w:r>
              <w:t>Prosthetists: assesses the persons functional needs, and design, manufacture and fit prosthetic limb</w:t>
            </w:r>
          </w:p>
          <w:p w14:paraId="7D33B108" w14:textId="77777777" w:rsidR="004B053B" w:rsidRPr="00442D26" w:rsidRDefault="004B053B" w:rsidP="00262606">
            <w:pPr>
              <w:pStyle w:val="TableBullet1"/>
              <w:cnfStyle w:val="000000000000" w:firstRow="0" w:lastRow="0" w:firstColumn="0" w:lastColumn="0" w:oddVBand="0" w:evenVBand="0" w:oddHBand="0" w:evenHBand="0" w:firstRowFirstColumn="0" w:firstRowLastColumn="0" w:lastRowFirstColumn="0" w:lastRowLastColumn="0"/>
              <w:rPr>
                <w:szCs w:val="20"/>
              </w:rPr>
            </w:pPr>
            <w:r>
              <w:t>Physiotherapist: supports rehabilitation and strength training</w:t>
            </w:r>
          </w:p>
        </w:tc>
      </w:tr>
      <w:tr w:rsidR="00BC6DD3" w:rsidRPr="00FA30FA" w14:paraId="2523C57F" w14:textId="77777777" w:rsidTr="003F7BD8">
        <w:trPr>
          <w:trHeight w:val="349"/>
        </w:trPr>
        <w:tc>
          <w:tcPr>
            <w:cnfStyle w:val="001000000000" w:firstRow="0" w:lastRow="0" w:firstColumn="1" w:lastColumn="0" w:oddVBand="0" w:evenVBand="0" w:oddHBand="0" w:evenHBand="0" w:firstRowFirstColumn="0" w:firstRowLastColumn="0" w:lastRowFirstColumn="0" w:lastRowLastColumn="0"/>
            <w:tcW w:w="1803" w:type="dxa"/>
          </w:tcPr>
          <w:p w14:paraId="1275D3AE" w14:textId="77777777" w:rsidR="004B053B" w:rsidRDefault="004B053B" w:rsidP="007623F0">
            <w:pPr>
              <w:pStyle w:val="Tabletextbold"/>
              <w:rPr>
                <w:b/>
              </w:rPr>
            </w:pPr>
            <w:r>
              <w:rPr>
                <w:b/>
              </w:rPr>
              <w:t>Funded by</w:t>
            </w:r>
          </w:p>
        </w:tc>
        <w:tc>
          <w:tcPr>
            <w:tcW w:w="8717" w:type="dxa"/>
          </w:tcPr>
          <w:p w14:paraId="4D468331" w14:textId="77777777" w:rsidR="004B053B" w:rsidRPr="00F6337B" w:rsidRDefault="004B053B" w:rsidP="00262606">
            <w:pPr>
              <w:pStyle w:val="TableBullet1"/>
              <w:cnfStyle w:val="000000000000" w:firstRow="0" w:lastRow="0" w:firstColumn="0" w:lastColumn="0" w:oddVBand="0" w:evenVBand="0" w:oddHBand="0" w:evenHBand="0" w:firstRowFirstColumn="0" w:firstRowLastColumn="0" w:lastRowFirstColumn="0" w:lastRowLastColumn="0"/>
            </w:pPr>
            <w:r>
              <w:t xml:space="preserve">Commonwealth funding provided to QALS </w:t>
            </w:r>
          </w:p>
        </w:tc>
      </w:tr>
      <w:tr w:rsidR="00BC6DD3" w:rsidRPr="00FA30FA" w14:paraId="09471E4A" w14:textId="77777777" w:rsidTr="003F7BD8">
        <w:trPr>
          <w:trHeight w:val="172"/>
        </w:trPr>
        <w:tc>
          <w:tcPr>
            <w:cnfStyle w:val="001000000000" w:firstRow="0" w:lastRow="0" w:firstColumn="1" w:lastColumn="0" w:oddVBand="0" w:evenVBand="0" w:oddHBand="0" w:evenHBand="0" w:firstRowFirstColumn="0" w:firstRowLastColumn="0" w:lastRowFirstColumn="0" w:lastRowLastColumn="0"/>
            <w:tcW w:w="1803" w:type="dxa"/>
          </w:tcPr>
          <w:p w14:paraId="685C52AE" w14:textId="77777777" w:rsidR="004B053B" w:rsidRDefault="004B053B" w:rsidP="007623F0">
            <w:pPr>
              <w:pStyle w:val="Tabletextbold"/>
              <w:rPr>
                <w:b/>
              </w:rPr>
            </w:pPr>
            <w:r>
              <w:rPr>
                <w:b/>
              </w:rPr>
              <w:t>Role of Australian Government</w:t>
            </w:r>
          </w:p>
        </w:tc>
        <w:tc>
          <w:tcPr>
            <w:tcW w:w="8717" w:type="dxa"/>
          </w:tcPr>
          <w:p w14:paraId="38DCCA3B" w14:textId="77777777" w:rsidR="004B053B" w:rsidRDefault="004B053B" w:rsidP="00262606">
            <w:pPr>
              <w:pStyle w:val="TableBullet1"/>
              <w:cnfStyle w:val="000000000000" w:firstRow="0" w:lastRow="0" w:firstColumn="0" w:lastColumn="0" w:oddVBand="0" w:evenVBand="0" w:oddHBand="0" w:evenHBand="0" w:firstRowFirstColumn="0" w:firstRowLastColumn="0" w:lastRowFirstColumn="0" w:lastRowLastColumn="0"/>
            </w:pPr>
            <w:r>
              <w:t>Funds the QALS</w:t>
            </w:r>
          </w:p>
        </w:tc>
      </w:tr>
      <w:tr w:rsidR="00BC6DD3" w:rsidRPr="00FA30FA" w14:paraId="1B2359C7" w14:textId="77777777" w:rsidTr="003F7BD8">
        <w:trPr>
          <w:trHeight w:val="580"/>
        </w:trPr>
        <w:tc>
          <w:tcPr>
            <w:cnfStyle w:val="001000000000" w:firstRow="0" w:lastRow="0" w:firstColumn="1" w:lastColumn="0" w:oddVBand="0" w:evenVBand="0" w:oddHBand="0" w:evenHBand="0" w:firstRowFirstColumn="0" w:firstRowLastColumn="0" w:lastRowFirstColumn="0" w:lastRowLastColumn="0"/>
            <w:tcW w:w="1803" w:type="dxa"/>
          </w:tcPr>
          <w:p w14:paraId="0861C318" w14:textId="77777777" w:rsidR="004B053B" w:rsidRDefault="004B053B" w:rsidP="007623F0">
            <w:pPr>
              <w:pStyle w:val="Tabletextbold"/>
              <w:rPr>
                <w:b/>
              </w:rPr>
            </w:pPr>
            <w:r>
              <w:rPr>
                <w:b/>
              </w:rPr>
              <w:t>Role of state/territory governments</w:t>
            </w:r>
          </w:p>
        </w:tc>
        <w:tc>
          <w:tcPr>
            <w:tcW w:w="8717" w:type="dxa"/>
          </w:tcPr>
          <w:p w14:paraId="29862AC4" w14:textId="77777777" w:rsidR="004B053B" w:rsidRDefault="004B053B" w:rsidP="00262606">
            <w:pPr>
              <w:pStyle w:val="TableBullet1"/>
              <w:cnfStyle w:val="000000000000" w:firstRow="0" w:lastRow="0" w:firstColumn="0" w:lastColumn="0" w:oddVBand="0" w:evenVBand="0" w:oddHBand="0" w:evenHBand="0" w:firstRowFirstColumn="0" w:firstRowLastColumn="0" w:lastRowFirstColumn="0" w:lastRowLastColumn="0"/>
            </w:pPr>
            <w:r>
              <w:t>M</w:t>
            </w:r>
            <w:r w:rsidRPr="00145EE4">
              <w:t>anages and distributes funding</w:t>
            </w:r>
          </w:p>
        </w:tc>
      </w:tr>
    </w:tbl>
    <w:p w14:paraId="3637E017" w14:textId="77777777" w:rsidR="004B053B" w:rsidRPr="001F6748" w:rsidRDefault="004B053B" w:rsidP="00262606">
      <w:pPr>
        <w:pStyle w:val="Caption-Source"/>
        <w:rPr>
          <w:sz w:val="22"/>
          <w:szCs w:val="24"/>
        </w:rPr>
      </w:pPr>
      <w:r w:rsidRPr="001F6748">
        <w:t>Source: Queensland Health. (2023).</w:t>
      </w:r>
      <w:r w:rsidRPr="001F6748">
        <w:rPr>
          <w:rStyle w:val="FootnoteReference"/>
          <w:sz w:val="22"/>
          <w:szCs w:val="24"/>
        </w:rPr>
        <w:t xml:space="preserve"> </w:t>
      </w:r>
      <w:r>
        <w:rPr>
          <w:rFonts w:ascii="ZWAdobeF" w:hAnsi="ZWAdobeF" w:cs="ZWAdobeF"/>
          <w:color w:val="auto"/>
          <w:sz w:val="2"/>
          <w:szCs w:val="2"/>
        </w:rPr>
        <w:t>63F</w:t>
      </w:r>
      <w:r w:rsidRPr="001F6748">
        <w:rPr>
          <w:rStyle w:val="FootnoteReference"/>
          <w:sz w:val="22"/>
          <w:szCs w:val="24"/>
        </w:rPr>
        <w:footnoteReference w:id="186"/>
      </w:r>
    </w:p>
    <w:p w14:paraId="41FC1E9F" w14:textId="3114D80D" w:rsidR="00670D14" w:rsidRDefault="00670D14" w:rsidP="008239ED">
      <w:pPr>
        <w:pStyle w:val="AppendixHeading2"/>
      </w:pPr>
      <w:bookmarkStart w:id="346" w:name="_Toc207348785"/>
      <w:bookmarkStart w:id="347" w:name="_Ref201841803"/>
      <w:r>
        <w:t>South Australia</w:t>
      </w:r>
      <w:bookmarkEnd w:id="346"/>
    </w:p>
    <w:p w14:paraId="002F806C" w14:textId="4B20F7B5" w:rsidR="00670D14" w:rsidRDefault="00670D14" w:rsidP="00670D14">
      <w:pPr>
        <w:pStyle w:val="Caption"/>
      </w:pPr>
      <w:bookmarkStart w:id="348" w:name="_Ref199233755"/>
      <w:bookmarkStart w:id="349" w:name="_Toc207348691"/>
      <w:r>
        <w:t xml:space="preserve">Table </w:t>
      </w:r>
      <w:r w:rsidR="00E6799D">
        <w:fldChar w:fldCharType="begin"/>
      </w:r>
      <w:r w:rsidR="00E6799D">
        <w:instrText xml:space="preserve"> SEQ Table \* ARABIC </w:instrText>
      </w:r>
      <w:r w:rsidR="00E6799D">
        <w:fldChar w:fldCharType="separate"/>
      </w:r>
      <w:r w:rsidR="00E6799D">
        <w:rPr>
          <w:noProof/>
        </w:rPr>
        <w:t>126</w:t>
      </w:r>
      <w:r w:rsidR="00E6799D">
        <w:rPr>
          <w:noProof/>
        </w:rPr>
        <w:fldChar w:fldCharType="end"/>
      </w:r>
      <w:bookmarkEnd w:id="348"/>
      <w:r>
        <w:t>: SAALS details</w:t>
      </w:r>
      <w:bookmarkEnd w:id="349"/>
    </w:p>
    <w:tbl>
      <w:tblPr>
        <w:tblStyle w:val="KPMGTable"/>
        <w:tblW w:w="10234" w:type="dxa"/>
        <w:tblLook w:val="04A0" w:firstRow="1" w:lastRow="0" w:firstColumn="1" w:lastColumn="0" w:noHBand="0" w:noVBand="1"/>
      </w:tblPr>
      <w:tblGrid>
        <w:gridCol w:w="1682"/>
        <w:gridCol w:w="8552"/>
      </w:tblGrid>
      <w:tr w:rsidR="00467133" w:rsidRPr="007B154A" w14:paraId="16094817" w14:textId="77777777" w:rsidTr="003F7BD8">
        <w:trPr>
          <w:cnfStyle w:val="100000000000" w:firstRow="1" w:lastRow="0" w:firstColumn="0" w:lastColumn="0" w:oddVBand="0" w:evenVBand="0" w:oddHBand="0" w:evenHBand="0" w:firstRowFirstColumn="0" w:firstRowLastColumn="0" w:lastRowFirstColumn="0" w:lastRowLastColumn="0"/>
          <w:trHeight w:val="199"/>
        </w:trPr>
        <w:tc>
          <w:tcPr>
            <w:cnfStyle w:val="001000000000" w:firstRow="0" w:lastRow="0" w:firstColumn="1" w:lastColumn="0" w:oddVBand="0" w:evenVBand="0" w:oddHBand="0" w:evenHBand="0" w:firstRowFirstColumn="0" w:firstRowLastColumn="0" w:lastRowFirstColumn="0" w:lastRowLastColumn="0"/>
            <w:tcW w:w="1682" w:type="dxa"/>
          </w:tcPr>
          <w:p w14:paraId="395E6DBA" w14:textId="77777777" w:rsidR="00670D14" w:rsidRPr="007B154A" w:rsidRDefault="00670D14" w:rsidP="004B7CC5">
            <w:pPr>
              <w:pStyle w:val="TableHeading"/>
            </w:pPr>
            <w:r>
              <w:t>Category</w:t>
            </w:r>
          </w:p>
        </w:tc>
        <w:tc>
          <w:tcPr>
            <w:tcW w:w="8552" w:type="dxa"/>
          </w:tcPr>
          <w:p w14:paraId="76A43EC7" w14:textId="77777777" w:rsidR="00670D14" w:rsidRPr="007B154A" w:rsidRDefault="00670D14" w:rsidP="004B7CC5">
            <w:pPr>
              <w:pStyle w:val="TableHeading"/>
              <w:cnfStyle w:val="100000000000" w:firstRow="1" w:lastRow="0" w:firstColumn="0" w:lastColumn="0" w:oddVBand="0" w:evenVBand="0" w:oddHBand="0" w:evenHBand="0" w:firstRowFirstColumn="0" w:firstRowLastColumn="0" w:lastRowFirstColumn="0" w:lastRowLastColumn="0"/>
            </w:pPr>
            <w:r>
              <w:t xml:space="preserve">Description </w:t>
            </w:r>
          </w:p>
        </w:tc>
      </w:tr>
      <w:tr w:rsidR="00BC6DD3" w:rsidRPr="001B05CB" w14:paraId="7363BDD9" w14:textId="77777777" w:rsidTr="003F7BD8">
        <w:trPr>
          <w:trHeight w:val="495"/>
        </w:trPr>
        <w:tc>
          <w:tcPr>
            <w:cnfStyle w:val="001000000000" w:firstRow="0" w:lastRow="0" w:firstColumn="1" w:lastColumn="0" w:oddVBand="0" w:evenVBand="0" w:oddHBand="0" w:evenHBand="0" w:firstRowFirstColumn="0" w:firstRowLastColumn="0" w:lastRowFirstColumn="0" w:lastRowLastColumn="0"/>
            <w:tcW w:w="1682" w:type="dxa"/>
          </w:tcPr>
          <w:p w14:paraId="7D1F4E21" w14:textId="77777777" w:rsidR="00670D14" w:rsidRPr="007B154A" w:rsidRDefault="00670D14" w:rsidP="004B7CC5">
            <w:pPr>
              <w:pStyle w:val="Tabletextbold"/>
              <w:rPr>
                <w:b/>
              </w:rPr>
            </w:pPr>
            <w:r>
              <w:rPr>
                <w:b/>
              </w:rPr>
              <w:t>Eligibility</w:t>
            </w:r>
            <w:r w:rsidRPr="007B154A">
              <w:rPr>
                <w:b/>
              </w:rPr>
              <w:t xml:space="preserve"> </w:t>
            </w:r>
            <w:r>
              <w:rPr>
                <w:b/>
              </w:rPr>
              <w:t>criteria</w:t>
            </w:r>
          </w:p>
        </w:tc>
        <w:tc>
          <w:tcPr>
            <w:tcW w:w="8552" w:type="dxa"/>
          </w:tcPr>
          <w:p w14:paraId="35053589" w14:textId="77777777" w:rsidR="00670D14" w:rsidRPr="00CD67C5" w:rsidRDefault="00670D14" w:rsidP="004B7CC5">
            <w:pPr>
              <w:pStyle w:val="TableBullet1"/>
              <w:cnfStyle w:val="000000000000" w:firstRow="0" w:lastRow="0" w:firstColumn="0" w:lastColumn="0" w:oddVBand="0" w:evenVBand="0" w:oddHBand="0" w:evenHBand="0" w:firstRowFirstColumn="0" w:firstRowLastColumn="0" w:lastRowFirstColumn="0" w:lastRowLastColumn="0"/>
            </w:pPr>
            <w:r>
              <w:t>L</w:t>
            </w:r>
            <w:r w:rsidRPr="00CD67C5">
              <w:t>imb deficiency either as the result of an amputation</w:t>
            </w:r>
            <w:r>
              <w:t>, and</w:t>
            </w:r>
          </w:p>
          <w:p w14:paraId="23E391D4" w14:textId="77777777" w:rsidR="00670D14" w:rsidRPr="00CD67C5" w:rsidRDefault="00670D14" w:rsidP="004B7CC5">
            <w:pPr>
              <w:pStyle w:val="TableBullet1"/>
              <w:cnfStyle w:val="000000000000" w:firstRow="0" w:lastRow="0" w:firstColumn="0" w:lastColumn="0" w:oddVBand="0" w:evenVBand="0" w:oddHBand="0" w:evenHBand="0" w:firstRowFirstColumn="0" w:firstRowLastColumn="0" w:lastRowFirstColumn="0" w:lastRowLastColumn="0"/>
            </w:pPr>
            <w:r w:rsidRPr="00CD67C5">
              <w:t>Be a permanent resident of Australia and hold a Medicare card</w:t>
            </w:r>
            <w:r>
              <w:t>, and</w:t>
            </w:r>
          </w:p>
          <w:p w14:paraId="6C5E294F" w14:textId="77777777" w:rsidR="00670D14" w:rsidRPr="002356A9" w:rsidRDefault="00670D14" w:rsidP="004B7CC5">
            <w:pPr>
              <w:pStyle w:val="TableBullet1"/>
              <w:cnfStyle w:val="000000000000" w:firstRow="0" w:lastRow="0" w:firstColumn="0" w:lastColumn="0" w:oddVBand="0" w:evenVBand="0" w:oddHBand="0" w:evenHBand="0" w:firstRowFirstColumn="0" w:firstRowLastColumn="0" w:lastRowFirstColumn="0" w:lastRowLastColumn="0"/>
            </w:pPr>
            <w:r w:rsidRPr="00CD67C5">
              <w:t>Have not received and are not entitled to receive compensation or damages for the incident that led to your limb deficiency</w:t>
            </w:r>
          </w:p>
        </w:tc>
      </w:tr>
      <w:tr w:rsidR="00BC6DD3" w:rsidRPr="00FA30FA" w14:paraId="7B648FF6" w14:textId="77777777" w:rsidTr="003F7BD8">
        <w:trPr>
          <w:trHeight w:val="493"/>
        </w:trPr>
        <w:tc>
          <w:tcPr>
            <w:cnfStyle w:val="001000000000" w:firstRow="0" w:lastRow="0" w:firstColumn="1" w:lastColumn="0" w:oddVBand="0" w:evenVBand="0" w:oddHBand="0" w:evenHBand="0" w:firstRowFirstColumn="0" w:firstRowLastColumn="0" w:lastRowFirstColumn="0" w:lastRowLastColumn="0"/>
            <w:tcW w:w="1682" w:type="dxa"/>
          </w:tcPr>
          <w:p w14:paraId="54771B4D" w14:textId="77777777" w:rsidR="00670D14" w:rsidRPr="007B154A" w:rsidRDefault="00670D14" w:rsidP="004B7CC5">
            <w:pPr>
              <w:pStyle w:val="Tabletextbold"/>
              <w:rPr>
                <w:b/>
              </w:rPr>
            </w:pPr>
            <w:r>
              <w:rPr>
                <w:b/>
              </w:rPr>
              <w:t>Products and services included</w:t>
            </w:r>
          </w:p>
        </w:tc>
        <w:tc>
          <w:tcPr>
            <w:tcW w:w="8552" w:type="dxa"/>
          </w:tcPr>
          <w:p w14:paraId="785F4158" w14:textId="77777777" w:rsidR="00670D14" w:rsidRPr="000D15E1" w:rsidRDefault="00670D14" w:rsidP="004B7CC5">
            <w:pPr>
              <w:pStyle w:val="TableBullet1"/>
              <w:cnfStyle w:val="000000000000" w:firstRow="0" w:lastRow="0" w:firstColumn="0" w:lastColumn="0" w:oddVBand="0" w:evenVBand="0" w:oddHBand="0" w:evenHBand="0" w:firstRowFirstColumn="0" w:firstRowLastColumn="0" w:lastRowFirstColumn="0" w:lastRowLastColumn="0"/>
            </w:pPr>
            <w:r w:rsidRPr="000D15E1">
              <w:t xml:space="preserve">Upper and lower limb </w:t>
            </w:r>
            <w:r>
              <w:t>prostheses</w:t>
            </w:r>
          </w:p>
          <w:p w14:paraId="795ACE24" w14:textId="77777777" w:rsidR="00670D14" w:rsidRDefault="00670D14" w:rsidP="004B7CC5">
            <w:pPr>
              <w:pStyle w:val="TableBullet1"/>
              <w:cnfStyle w:val="000000000000" w:firstRow="0" w:lastRow="0" w:firstColumn="0" w:lastColumn="0" w:oddVBand="0" w:evenVBand="0" w:oddHBand="0" w:evenHBand="0" w:firstRowFirstColumn="0" w:firstRowLastColumn="0" w:lastRowFirstColumn="0" w:lastRowLastColumn="0"/>
            </w:pPr>
            <w:r w:rsidRPr="000D15E1">
              <w:t xml:space="preserve">A prosthesis may be provided if </w:t>
            </w:r>
            <w:r>
              <w:t>the individual has</w:t>
            </w:r>
            <w:r w:rsidRPr="000D15E1">
              <w:t xml:space="preserve"> a significant partial foot or hand amputation that hinders normal </w:t>
            </w:r>
            <w:r>
              <w:t>activity</w:t>
            </w:r>
          </w:p>
          <w:p w14:paraId="2BA340FA" w14:textId="77777777" w:rsidR="00670D14" w:rsidRPr="00D2270B" w:rsidRDefault="00670D14" w:rsidP="004B7CC5">
            <w:pPr>
              <w:pStyle w:val="TableBullet1"/>
              <w:cnfStyle w:val="000000000000" w:firstRow="0" w:lastRow="0" w:firstColumn="0" w:lastColumn="0" w:oddVBand="0" w:evenVBand="0" w:oddHBand="0" w:evenHBand="0" w:firstRowFirstColumn="0" w:firstRowLastColumn="0" w:lastRowFirstColumn="0" w:lastRowLastColumn="0"/>
            </w:pPr>
            <w:r>
              <w:t>Annual consumable items per limbs is provided</w:t>
            </w:r>
          </w:p>
          <w:p w14:paraId="31008113" w14:textId="77777777" w:rsidR="00670D14" w:rsidRPr="009C50A4" w:rsidRDefault="00670D14" w:rsidP="004B7CC5">
            <w:pPr>
              <w:pStyle w:val="TableBullet1"/>
              <w:cnfStyle w:val="000000000000" w:firstRow="0" w:lastRow="0" w:firstColumn="0" w:lastColumn="0" w:oddVBand="0" w:evenVBand="0" w:oddHBand="0" w:evenHBand="0" w:firstRowFirstColumn="0" w:firstRowLastColumn="0" w:lastRowFirstColumn="0" w:lastRowLastColumn="0"/>
              <w:rPr>
                <w:szCs w:val="18"/>
              </w:rPr>
            </w:pPr>
            <w:r w:rsidRPr="009C50A4">
              <w:rPr>
                <w:szCs w:val="18"/>
              </w:rPr>
              <w:t xml:space="preserve">High-cost </w:t>
            </w:r>
            <w:r>
              <w:rPr>
                <w:szCs w:val="18"/>
              </w:rPr>
              <w:t>components such as</w:t>
            </w:r>
            <w:r w:rsidRPr="009C50A4">
              <w:rPr>
                <w:szCs w:val="18"/>
              </w:rPr>
              <w:t xml:space="preserve"> </w:t>
            </w:r>
            <w:r w:rsidRPr="000D15E1">
              <w:t>myo-electric expertise with individualised contemporary solutions</w:t>
            </w:r>
            <w:r>
              <w:t xml:space="preserve"> </w:t>
            </w:r>
            <w:r w:rsidRPr="000D15E1">
              <w:rPr>
                <w:szCs w:val="18"/>
              </w:rPr>
              <w:t>(funded under exceptional circumstances)</w:t>
            </w:r>
          </w:p>
        </w:tc>
      </w:tr>
      <w:tr w:rsidR="00BC6DD3" w:rsidRPr="00FA30FA" w14:paraId="3AF24ACA" w14:textId="77777777" w:rsidTr="003F7BD8">
        <w:trPr>
          <w:trHeight w:val="493"/>
        </w:trPr>
        <w:tc>
          <w:tcPr>
            <w:cnfStyle w:val="001000000000" w:firstRow="0" w:lastRow="0" w:firstColumn="1" w:lastColumn="0" w:oddVBand="0" w:evenVBand="0" w:oddHBand="0" w:evenHBand="0" w:firstRowFirstColumn="0" w:firstRowLastColumn="0" w:lastRowFirstColumn="0" w:lastRowLastColumn="0"/>
            <w:tcW w:w="1682" w:type="dxa"/>
          </w:tcPr>
          <w:p w14:paraId="5BF3DD4E" w14:textId="77777777" w:rsidR="00670D14" w:rsidRDefault="00670D14" w:rsidP="004B7CC5">
            <w:pPr>
              <w:pStyle w:val="Tabletextbold"/>
              <w:rPr>
                <w:b/>
              </w:rPr>
            </w:pPr>
            <w:r>
              <w:rPr>
                <w:b/>
              </w:rPr>
              <w:t>Cost coverage</w:t>
            </w:r>
          </w:p>
        </w:tc>
        <w:tc>
          <w:tcPr>
            <w:tcW w:w="8552" w:type="dxa"/>
          </w:tcPr>
          <w:p w14:paraId="357DECCD" w14:textId="77777777" w:rsidR="00670D14" w:rsidRPr="009C1931" w:rsidRDefault="00670D14" w:rsidP="004B7CC5">
            <w:pPr>
              <w:pStyle w:val="TableBullet1"/>
              <w:cnfStyle w:val="000000000000" w:firstRow="0" w:lastRow="0" w:firstColumn="0" w:lastColumn="0" w:oddVBand="0" w:evenVBand="0" w:oddHBand="0" w:evenHBand="0" w:firstRowFirstColumn="0" w:firstRowLastColumn="0" w:lastRowFirstColumn="0" w:lastRowLastColumn="0"/>
            </w:pPr>
            <w:r>
              <w:t>No information available</w:t>
            </w:r>
          </w:p>
        </w:tc>
      </w:tr>
      <w:tr w:rsidR="00BC6DD3" w:rsidRPr="00FA30FA" w14:paraId="7826A368" w14:textId="77777777" w:rsidTr="003F7BD8">
        <w:trPr>
          <w:trHeight w:val="493"/>
        </w:trPr>
        <w:tc>
          <w:tcPr>
            <w:cnfStyle w:val="001000000000" w:firstRow="0" w:lastRow="0" w:firstColumn="1" w:lastColumn="0" w:oddVBand="0" w:evenVBand="0" w:oddHBand="0" w:evenHBand="0" w:firstRowFirstColumn="0" w:firstRowLastColumn="0" w:lastRowFirstColumn="0" w:lastRowLastColumn="0"/>
            <w:tcW w:w="1682" w:type="dxa"/>
          </w:tcPr>
          <w:p w14:paraId="7C2C0ACF" w14:textId="77777777" w:rsidR="00670D14" w:rsidRDefault="00670D14" w:rsidP="004B7CC5">
            <w:pPr>
              <w:pStyle w:val="Tabletextbold"/>
              <w:rPr>
                <w:b/>
              </w:rPr>
            </w:pPr>
            <w:r>
              <w:rPr>
                <w:b/>
              </w:rPr>
              <w:t>Repairs and warranty</w:t>
            </w:r>
          </w:p>
        </w:tc>
        <w:tc>
          <w:tcPr>
            <w:tcW w:w="8552" w:type="dxa"/>
          </w:tcPr>
          <w:p w14:paraId="40A7A8D3" w14:textId="77777777" w:rsidR="00670D14" w:rsidRDefault="00670D14" w:rsidP="004B7CC5">
            <w:pPr>
              <w:pStyle w:val="TableBullet1"/>
              <w:cnfStyle w:val="000000000000" w:firstRow="0" w:lastRow="0" w:firstColumn="0" w:lastColumn="0" w:oddVBand="0" w:evenVBand="0" w:oddHBand="0" w:evenHBand="0" w:firstRowFirstColumn="0" w:firstRowLastColumn="0" w:lastRowFirstColumn="0" w:lastRowLastColumn="0"/>
            </w:pPr>
            <w:r w:rsidRPr="00644B13">
              <w:t xml:space="preserve">The expected life of an adult prosthesis is three years. </w:t>
            </w:r>
          </w:p>
          <w:p w14:paraId="7B0489C7" w14:textId="77777777" w:rsidR="00670D14" w:rsidRPr="009C1931" w:rsidRDefault="00670D14" w:rsidP="004B7CC5">
            <w:pPr>
              <w:pStyle w:val="TableBullet1"/>
              <w:cnfStyle w:val="000000000000" w:firstRow="0" w:lastRow="0" w:firstColumn="0" w:lastColumn="0" w:oddVBand="0" w:evenVBand="0" w:oddHBand="0" w:evenHBand="0" w:firstRowFirstColumn="0" w:firstRowLastColumn="0" w:lastRowFirstColumn="0" w:lastRowLastColumn="0"/>
            </w:pPr>
            <w:r w:rsidRPr="00644B13">
              <w:t xml:space="preserve">Any replacements within this time limit require a letter of explanation from prescribing doctor. There must be sound reasons for a replacement to be authorised within this </w:t>
            </w:r>
            <w:proofErr w:type="gramStart"/>
            <w:r w:rsidRPr="00644B13">
              <w:t>time period</w:t>
            </w:r>
            <w:proofErr w:type="gramEnd"/>
            <w:r w:rsidRPr="00644B13">
              <w:t>.</w:t>
            </w:r>
          </w:p>
        </w:tc>
      </w:tr>
      <w:tr w:rsidR="00BC6DD3" w:rsidRPr="00FA30FA" w14:paraId="68F1C437" w14:textId="77777777" w:rsidTr="003F7BD8">
        <w:trPr>
          <w:trHeight w:val="493"/>
        </w:trPr>
        <w:tc>
          <w:tcPr>
            <w:cnfStyle w:val="001000000000" w:firstRow="0" w:lastRow="0" w:firstColumn="1" w:lastColumn="0" w:oddVBand="0" w:evenVBand="0" w:oddHBand="0" w:evenHBand="0" w:firstRowFirstColumn="0" w:firstRowLastColumn="0" w:lastRowFirstColumn="0" w:lastRowLastColumn="0"/>
            <w:tcW w:w="1682" w:type="dxa"/>
          </w:tcPr>
          <w:p w14:paraId="7D57C064" w14:textId="77777777" w:rsidR="00670D14" w:rsidRDefault="00670D14" w:rsidP="004B7CC5">
            <w:pPr>
              <w:pStyle w:val="Tabletextbold"/>
              <w:rPr>
                <w:b/>
              </w:rPr>
            </w:pPr>
            <w:r>
              <w:rPr>
                <w:b/>
              </w:rPr>
              <w:t>Process of referral</w:t>
            </w:r>
          </w:p>
        </w:tc>
        <w:tc>
          <w:tcPr>
            <w:tcW w:w="8552" w:type="dxa"/>
          </w:tcPr>
          <w:p w14:paraId="2A7CC706" w14:textId="77777777" w:rsidR="00670D14" w:rsidRDefault="00670D14" w:rsidP="004B7CC5">
            <w:pPr>
              <w:pStyle w:val="TableBullet1"/>
              <w:cnfStyle w:val="000000000000" w:firstRow="0" w:lastRow="0" w:firstColumn="0" w:lastColumn="0" w:oddVBand="0" w:evenVBand="0" w:oddHBand="0" w:evenHBand="0" w:firstRowFirstColumn="0" w:firstRowLastColumn="0" w:lastRowFirstColumn="0" w:lastRowLastColumn="0"/>
            </w:pPr>
            <w:r>
              <w:t xml:space="preserve">Attend prescribing amputee clinic for assessment and prescription </w:t>
            </w:r>
          </w:p>
          <w:p w14:paraId="0FEBED0D" w14:textId="77777777" w:rsidR="00670D14" w:rsidRPr="009C1931" w:rsidRDefault="00670D14" w:rsidP="004B7CC5">
            <w:pPr>
              <w:pStyle w:val="TableBullet1"/>
              <w:cnfStyle w:val="000000000000" w:firstRow="0" w:lastRow="0" w:firstColumn="0" w:lastColumn="0" w:oddVBand="0" w:evenVBand="0" w:oddHBand="0" w:evenHBand="0" w:firstRowFirstColumn="0" w:firstRowLastColumn="0" w:lastRowFirstColumn="0" w:lastRowLastColumn="0"/>
            </w:pPr>
            <w:r>
              <w:t xml:space="preserve">SAALS reviews and approves funding, which is then directed to the individual’s chosen PSP </w:t>
            </w:r>
          </w:p>
        </w:tc>
      </w:tr>
      <w:tr w:rsidR="00BC6DD3" w:rsidRPr="00FA30FA" w14:paraId="1847CD2F" w14:textId="77777777" w:rsidTr="003F7BD8">
        <w:trPr>
          <w:trHeight w:val="493"/>
        </w:trPr>
        <w:tc>
          <w:tcPr>
            <w:cnfStyle w:val="001000000000" w:firstRow="0" w:lastRow="0" w:firstColumn="1" w:lastColumn="0" w:oddVBand="0" w:evenVBand="0" w:oddHBand="0" w:evenHBand="0" w:firstRowFirstColumn="0" w:firstRowLastColumn="0" w:lastRowFirstColumn="0" w:lastRowLastColumn="0"/>
            <w:tcW w:w="1682" w:type="dxa"/>
          </w:tcPr>
          <w:p w14:paraId="1E017089" w14:textId="77777777" w:rsidR="00670D14" w:rsidRDefault="00670D14" w:rsidP="004B7CC5">
            <w:pPr>
              <w:pStyle w:val="Tabletextbold"/>
              <w:rPr>
                <w:b/>
              </w:rPr>
            </w:pPr>
            <w:r>
              <w:rPr>
                <w:b/>
              </w:rPr>
              <w:t xml:space="preserve">Settings in which prostheses may be accessed </w:t>
            </w:r>
          </w:p>
        </w:tc>
        <w:tc>
          <w:tcPr>
            <w:tcW w:w="8552" w:type="dxa"/>
          </w:tcPr>
          <w:p w14:paraId="38470998" w14:textId="3FCCFC4F" w:rsidR="00670D14" w:rsidRPr="00E65271" w:rsidRDefault="00670D14" w:rsidP="004B7CC5">
            <w:pPr>
              <w:pStyle w:val="TableBullet1"/>
              <w:cnfStyle w:val="000000000000" w:firstRow="0" w:lastRow="0" w:firstColumn="0" w:lastColumn="0" w:oddVBand="0" w:evenVBand="0" w:oddHBand="0" w:evenHBand="0" w:firstRowFirstColumn="0" w:firstRowLastColumn="0" w:lastRowFirstColumn="0" w:lastRowLastColumn="0"/>
            </w:pPr>
            <w:r>
              <w:t>Public Hospitals and outreach community health services (</w:t>
            </w:r>
            <w:r w:rsidRPr="0020202A">
              <w:t xml:space="preserve">See </w:t>
            </w:r>
            <w:r w:rsidR="009761D7">
              <w:rPr>
                <w:b/>
              </w:rPr>
              <w:fldChar w:fldCharType="begin"/>
            </w:r>
            <w:r w:rsidR="009761D7">
              <w:instrText xml:space="preserve"> REF _Ref199237748 \h </w:instrText>
            </w:r>
            <w:r w:rsidR="009761D7">
              <w:rPr>
                <w:b/>
              </w:rPr>
            </w:r>
            <w:r w:rsidR="009761D7">
              <w:rPr>
                <w:b/>
              </w:rPr>
              <w:fldChar w:fldCharType="separate"/>
            </w:r>
            <w:r w:rsidR="009761D7">
              <w:t xml:space="preserve">Table </w:t>
            </w:r>
            <w:r w:rsidR="009761D7">
              <w:rPr>
                <w:noProof/>
              </w:rPr>
              <w:t>135</w:t>
            </w:r>
            <w:r w:rsidR="009761D7">
              <w:rPr>
                <w:b/>
              </w:rPr>
              <w:fldChar w:fldCharType="end"/>
            </w:r>
            <w:r w:rsidRPr="0020202A">
              <w:rPr>
                <w:b/>
              </w:rPr>
              <w:t xml:space="preserve"> </w:t>
            </w:r>
            <w:r w:rsidRPr="0020202A">
              <w:t xml:space="preserve">in Appendix </w:t>
            </w:r>
            <w:r w:rsidR="009761D7">
              <w:fldChar w:fldCharType="begin"/>
            </w:r>
            <w:r w:rsidR="009761D7">
              <w:instrText xml:space="preserve"> REF _Ref207347719 \r \h </w:instrText>
            </w:r>
            <w:r w:rsidR="009761D7">
              <w:fldChar w:fldCharType="separate"/>
            </w:r>
            <w:r w:rsidR="009761D7">
              <w:t>F.3</w:t>
            </w:r>
            <w:r w:rsidR="009761D7">
              <w:fldChar w:fldCharType="end"/>
            </w:r>
            <w:r>
              <w:t xml:space="preserve"> </w:t>
            </w:r>
            <w:r w:rsidRPr="002C385B">
              <w:t xml:space="preserve">for a list of accredited amputee clinics in </w:t>
            </w:r>
            <w:r>
              <w:t>SA</w:t>
            </w:r>
            <w:r w:rsidRPr="002C385B">
              <w:t>)</w:t>
            </w:r>
          </w:p>
        </w:tc>
      </w:tr>
      <w:tr w:rsidR="00BC6DD3" w:rsidRPr="00FA30FA" w14:paraId="50A67C94" w14:textId="77777777" w:rsidTr="003F7BD8">
        <w:trPr>
          <w:trHeight w:val="493"/>
        </w:trPr>
        <w:tc>
          <w:tcPr>
            <w:cnfStyle w:val="001000000000" w:firstRow="0" w:lastRow="0" w:firstColumn="1" w:lastColumn="0" w:oddVBand="0" w:evenVBand="0" w:oddHBand="0" w:evenHBand="0" w:firstRowFirstColumn="0" w:firstRowLastColumn="0" w:lastRowFirstColumn="0" w:lastRowLastColumn="0"/>
            <w:tcW w:w="1682" w:type="dxa"/>
          </w:tcPr>
          <w:p w14:paraId="15974A0F" w14:textId="77777777" w:rsidR="00670D14" w:rsidRDefault="00670D14" w:rsidP="004B7CC5">
            <w:pPr>
              <w:pStyle w:val="Tabletextbold"/>
              <w:rPr>
                <w:b/>
              </w:rPr>
            </w:pPr>
            <w:r>
              <w:rPr>
                <w:b/>
              </w:rPr>
              <w:t>Clinicians involved</w:t>
            </w:r>
          </w:p>
        </w:tc>
        <w:tc>
          <w:tcPr>
            <w:tcW w:w="8552" w:type="dxa"/>
          </w:tcPr>
          <w:p w14:paraId="6800EDF3" w14:textId="77777777" w:rsidR="00670D14" w:rsidRDefault="00670D14" w:rsidP="004B7CC5">
            <w:pPr>
              <w:pStyle w:val="TableText"/>
              <w:cnfStyle w:val="000000000000" w:firstRow="0" w:lastRow="0" w:firstColumn="0" w:lastColumn="0" w:oddVBand="0" w:evenVBand="0" w:oddHBand="0" w:evenHBand="0" w:firstRowFirstColumn="0" w:firstRowLastColumn="0" w:lastRowFirstColumn="0" w:lastRowLastColumn="0"/>
            </w:pPr>
            <w:r>
              <w:t>An amputee clinic multidisciplinary teams involves a:</w:t>
            </w:r>
          </w:p>
          <w:p w14:paraId="06B56E94" w14:textId="77777777" w:rsidR="00670D14" w:rsidRDefault="00670D14" w:rsidP="004B7CC5">
            <w:pPr>
              <w:pStyle w:val="TableBullet1"/>
              <w:cnfStyle w:val="000000000000" w:firstRow="0" w:lastRow="0" w:firstColumn="0" w:lastColumn="0" w:oddVBand="0" w:evenVBand="0" w:oddHBand="0" w:evenHBand="0" w:firstRowFirstColumn="0" w:firstRowLastColumn="0" w:lastRowFirstColumn="0" w:lastRowLastColumn="0"/>
            </w:pPr>
            <w:r>
              <w:t xml:space="preserve">Rehabilitation physicians: assess, diagnoses and treats a person’s mobility and function. </w:t>
            </w:r>
          </w:p>
          <w:p w14:paraId="795FDB6F" w14:textId="77777777" w:rsidR="00670D14" w:rsidRDefault="00670D14" w:rsidP="004B7CC5">
            <w:pPr>
              <w:pStyle w:val="TableBullet1"/>
              <w:cnfStyle w:val="000000000000" w:firstRow="0" w:lastRow="0" w:firstColumn="0" w:lastColumn="0" w:oddVBand="0" w:evenVBand="0" w:oddHBand="0" w:evenHBand="0" w:firstRowFirstColumn="0" w:firstRowLastColumn="0" w:lastRowFirstColumn="0" w:lastRowLastColumn="0"/>
            </w:pPr>
            <w:r>
              <w:t>Prosthetists: assesses the persons functional needs, and design, manufacture and fit prosthetic limb</w:t>
            </w:r>
          </w:p>
          <w:p w14:paraId="6D722FF3" w14:textId="77777777" w:rsidR="00670D14" w:rsidRDefault="00670D14" w:rsidP="004B7CC5">
            <w:pPr>
              <w:pStyle w:val="TableBullet1"/>
              <w:cnfStyle w:val="000000000000" w:firstRow="0" w:lastRow="0" w:firstColumn="0" w:lastColumn="0" w:oddVBand="0" w:evenVBand="0" w:oddHBand="0" w:evenHBand="0" w:firstRowFirstColumn="0" w:firstRowLastColumn="0" w:lastRowFirstColumn="0" w:lastRowLastColumn="0"/>
              <w:rPr>
                <w:szCs w:val="20"/>
              </w:rPr>
            </w:pPr>
            <w:r>
              <w:t>Physiotherapist: supports rehabilitation and strength training</w:t>
            </w:r>
          </w:p>
        </w:tc>
      </w:tr>
      <w:tr w:rsidR="00BC6DD3" w:rsidRPr="00FA30FA" w14:paraId="72896E75" w14:textId="77777777" w:rsidTr="003F7BD8">
        <w:trPr>
          <w:trHeight w:val="493"/>
        </w:trPr>
        <w:tc>
          <w:tcPr>
            <w:cnfStyle w:val="001000000000" w:firstRow="0" w:lastRow="0" w:firstColumn="1" w:lastColumn="0" w:oddVBand="0" w:evenVBand="0" w:oddHBand="0" w:evenHBand="0" w:firstRowFirstColumn="0" w:firstRowLastColumn="0" w:lastRowFirstColumn="0" w:lastRowLastColumn="0"/>
            <w:tcW w:w="1682" w:type="dxa"/>
          </w:tcPr>
          <w:p w14:paraId="1E062AFC" w14:textId="77777777" w:rsidR="00670D14" w:rsidRDefault="00670D14" w:rsidP="004B7CC5">
            <w:pPr>
              <w:pStyle w:val="Tabletextbold"/>
              <w:rPr>
                <w:b/>
              </w:rPr>
            </w:pPr>
            <w:r>
              <w:rPr>
                <w:b/>
              </w:rPr>
              <w:t>Funded by</w:t>
            </w:r>
          </w:p>
        </w:tc>
        <w:tc>
          <w:tcPr>
            <w:tcW w:w="8552" w:type="dxa"/>
          </w:tcPr>
          <w:p w14:paraId="6DABCAA1" w14:textId="77777777" w:rsidR="00670D14" w:rsidRPr="00F6337B" w:rsidRDefault="00670D14" w:rsidP="004B7CC5">
            <w:pPr>
              <w:pStyle w:val="TableBullet1"/>
              <w:cnfStyle w:val="000000000000" w:firstRow="0" w:lastRow="0" w:firstColumn="0" w:lastColumn="0" w:oddVBand="0" w:evenVBand="0" w:oddHBand="0" w:evenHBand="0" w:firstRowFirstColumn="0" w:firstRowLastColumn="0" w:lastRowFirstColumn="0" w:lastRowLastColumn="0"/>
            </w:pPr>
            <w:r>
              <w:t xml:space="preserve">Commonwealth funding provided to SAALS </w:t>
            </w:r>
          </w:p>
        </w:tc>
      </w:tr>
      <w:tr w:rsidR="00BC6DD3" w:rsidRPr="00FA30FA" w14:paraId="78A6C412" w14:textId="77777777" w:rsidTr="003F7BD8">
        <w:trPr>
          <w:trHeight w:val="493"/>
        </w:trPr>
        <w:tc>
          <w:tcPr>
            <w:cnfStyle w:val="001000000000" w:firstRow="0" w:lastRow="0" w:firstColumn="1" w:lastColumn="0" w:oddVBand="0" w:evenVBand="0" w:oddHBand="0" w:evenHBand="0" w:firstRowFirstColumn="0" w:firstRowLastColumn="0" w:lastRowFirstColumn="0" w:lastRowLastColumn="0"/>
            <w:tcW w:w="1682" w:type="dxa"/>
          </w:tcPr>
          <w:p w14:paraId="1D5F74F8" w14:textId="77777777" w:rsidR="00670D14" w:rsidRDefault="00670D14" w:rsidP="004B7CC5">
            <w:pPr>
              <w:pStyle w:val="Tabletextbold"/>
              <w:rPr>
                <w:b/>
              </w:rPr>
            </w:pPr>
            <w:r>
              <w:rPr>
                <w:b/>
              </w:rPr>
              <w:t>Role of Australian Government</w:t>
            </w:r>
          </w:p>
        </w:tc>
        <w:tc>
          <w:tcPr>
            <w:tcW w:w="8552" w:type="dxa"/>
          </w:tcPr>
          <w:p w14:paraId="7217084F" w14:textId="77777777" w:rsidR="00670D14" w:rsidRDefault="00670D14" w:rsidP="004B7CC5">
            <w:pPr>
              <w:pStyle w:val="TableBullet1"/>
              <w:cnfStyle w:val="000000000000" w:firstRow="0" w:lastRow="0" w:firstColumn="0" w:lastColumn="0" w:oddVBand="0" w:evenVBand="0" w:oddHBand="0" w:evenHBand="0" w:firstRowFirstColumn="0" w:firstRowLastColumn="0" w:lastRowFirstColumn="0" w:lastRowLastColumn="0"/>
            </w:pPr>
            <w:r>
              <w:t>Funds the SAALS</w:t>
            </w:r>
          </w:p>
        </w:tc>
      </w:tr>
      <w:tr w:rsidR="00BC6DD3" w:rsidRPr="00FA30FA" w14:paraId="068CEBFA" w14:textId="77777777" w:rsidTr="003F7BD8">
        <w:trPr>
          <w:trHeight w:val="493"/>
        </w:trPr>
        <w:tc>
          <w:tcPr>
            <w:cnfStyle w:val="001000000000" w:firstRow="0" w:lastRow="0" w:firstColumn="1" w:lastColumn="0" w:oddVBand="0" w:evenVBand="0" w:oddHBand="0" w:evenHBand="0" w:firstRowFirstColumn="0" w:firstRowLastColumn="0" w:lastRowFirstColumn="0" w:lastRowLastColumn="0"/>
            <w:tcW w:w="1682" w:type="dxa"/>
          </w:tcPr>
          <w:p w14:paraId="30BCCCAB" w14:textId="77777777" w:rsidR="00670D14" w:rsidRDefault="00670D14" w:rsidP="004B7CC5">
            <w:pPr>
              <w:pStyle w:val="Tabletextbold"/>
              <w:rPr>
                <w:b/>
              </w:rPr>
            </w:pPr>
            <w:r>
              <w:rPr>
                <w:b/>
              </w:rPr>
              <w:t>Role of state/territory governments</w:t>
            </w:r>
          </w:p>
        </w:tc>
        <w:tc>
          <w:tcPr>
            <w:tcW w:w="8552" w:type="dxa"/>
          </w:tcPr>
          <w:p w14:paraId="560485C6" w14:textId="77777777" w:rsidR="00670D14" w:rsidRDefault="00670D14" w:rsidP="004B7CC5">
            <w:pPr>
              <w:pStyle w:val="TableBullet1"/>
              <w:cnfStyle w:val="000000000000" w:firstRow="0" w:lastRow="0" w:firstColumn="0" w:lastColumn="0" w:oddVBand="0" w:evenVBand="0" w:oddHBand="0" w:evenHBand="0" w:firstRowFirstColumn="0" w:firstRowLastColumn="0" w:lastRowFirstColumn="0" w:lastRowLastColumn="0"/>
            </w:pPr>
            <w:r>
              <w:t>M</w:t>
            </w:r>
            <w:r w:rsidRPr="00145EE4">
              <w:t>anages and distributes funding</w:t>
            </w:r>
          </w:p>
        </w:tc>
      </w:tr>
    </w:tbl>
    <w:p w14:paraId="674590A3" w14:textId="77777777" w:rsidR="00670D14" w:rsidRPr="00830A71" w:rsidRDefault="00670D14" w:rsidP="004B7CC5">
      <w:pPr>
        <w:pStyle w:val="Caption-Source"/>
        <w:rPr>
          <w:i/>
          <w:szCs w:val="20"/>
        </w:rPr>
      </w:pPr>
      <w:r w:rsidRPr="00830A71">
        <w:t>Source: Amputees in Touch South Australia. (n.d.).</w:t>
      </w:r>
      <w:r>
        <w:rPr>
          <w:rFonts w:ascii="ZWAdobeF" w:hAnsi="ZWAdobeF" w:cs="ZWAdobeF"/>
          <w:color w:val="auto"/>
          <w:sz w:val="2"/>
          <w:szCs w:val="2"/>
        </w:rPr>
        <w:t>67F</w:t>
      </w:r>
      <w:r w:rsidRPr="00830A71">
        <w:rPr>
          <w:rStyle w:val="FootnoteReference"/>
          <w:i/>
          <w:szCs w:val="20"/>
        </w:rPr>
        <w:footnoteReference w:id="187"/>
      </w:r>
    </w:p>
    <w:p w14:paraId="64DEEBAB" w14:textId="77777777" w:rsidR="00670D14" w:rsidRDefault="00670D14" w:rsidP="008239ED">
      <w:pPr>
        <w:pStyle w:val="AppendixHeading2"/>
      </w:pPr>
      <w:bookmarkStart w:id="350" w:name="_Toc207348786"/>
      <w:r>
        <w:t>Tasmania</w:t>
      </w:r>
      <w:bookmarkEnd w:id="350"/>
    </w:p>
    <w:p w14:paraId="5703DAC2" w14:textId="260F5EE3" w:rsidR="00670D14" w:rsidRDefault="00670D14" w:rsidP="00670D14">
      <w:pPr>
        <w:pStyle w:val="Caption"/>
      </w:pPr>
      <w:bookmarkStart w:id="351" w:name="_Ref199344596"/>
      <w:bookmarkStart w:id="352" w:name="_Toc207348692"/>
      <w:r>
        <w:t xml:space="preserve">Table </w:t>
      </w:r>
      <w:r w:rsidR="00E6799D">
        <w:fldChar w:fldCharType="begin"/>
      </w:r>
      <w:r w:rsidR="00E6799D">
        <w:instrText xml:space="preserve"> SEQ Table \* ARABIC </w:instrText>
      </w:r>
      <w:r w:rsidR="00E6799D">
        <w:fldChar w:fldCharType="separate"/>
      </w:r>
      <w:r w:rsidR="00E6799D">
        <w:rPr>
          <w:noProof/>
        </w:rPr>
        <w:t>127</w:t>
      </w:r>
      <w:r w:rsidR="00E6799D">
        <w:rPr>
          <w:noProof/>
        </w:rPr>
        <w:fldChar w:fldCharType="end"/>
      </w:r>
      <w:bookmarkEnd w:id="351"/>
      <w:r>
        <w:t>: Tasmanian Artificial Limb Scheme details</w:t>
      </w:r>
      <w:bookmarkEnd w:id="352"/>
    </w:p>
    <w:tbl>
      <w:tblPr>
        <w:tblStyle w:val="KPMGTable"/>
        <w:tblW w:w="9923" w:type="dxa"/>
        <w:tblLook w:val="04A0" w:firstRow="1" w:lastRow="0" w:firstColumn="1" w:lastColumn="0" w:noHBand="0" w:noVBand="1"/>
      </w:tblPr>
      <w:tblGrid>
        <w:gridCol w:w="1701"/>
        <w:gridCol w:w="8222"/>
      </w:tblGrid>
      <w:tr w:rsidR="00467133" w:rsidRPr="007B154A" w14:paraId="34AA2D46" w14:textId="77777777" w:rsidTr="008355B0">
        <w:trPr>
          <w:cnfStyle w:val="100000000000" w:firstRow="1" w:lastRow="0" w:firstColumn="0" w:lastColumn="0" w:oddVBand="0" w:evenVBand="0" w:oddHBand="0"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701" w:type="dxa"/>
          </w:tcPr>
          <w:p w14:paraId="49EC23EF" w14:textId="77777777" w:rsidR="00670D14" w:rsidRPr="007B154A" w:rsidRDefault="00670D14" w:rsidP="008355B0">
            <w:pPr>
              <w:pStyle w:val="TableHeading"/>
              <w:rPr>
                <w:b w:val="0"/>
                <w:color w:val="FFFFFF" w:themeColor="background1"/>
                <w:szCs w:val="20"/>
              </w:rPr>
            </w:pPr>
            <w:r>
              <w:t>Category</w:t>
            </w:r>
          </w:p>
        </w:tc>
        <w:tc>
          <w:tcPr>
            <w:tcW w:w="8222" w:type="dxa"/>
          </w:tcPr>
          <w:p w14:paraId="032B7167" w14:textId="77777777" w:rsidR="00670D14" w:rsidRPr="007B154A" w:rsidRDefault="00670D14" w:rsidP="008355B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 xml:space="preserve">Description </w:t>
            </w:r>
          </w:p>
        </w:tc>
      </w:tr>
      <w:tr w:rsidR="00BC6DD3" w:rsidRPr="001B05CB" w14:paraId="18AD945A" w14:textId="77777777" w:rsidTr="008355B0">
        <w:trPr>
          <w:trHeight w:val="121"/>
        </w:trPr>
        <w:tc>
          <w:tcPr>
            <w:cnfStyle w:val="001000000000" w:firstRow="0" w:lastRow="0" w:firstColumn="1" w:lastColumn="0" w:oddVBand="0" w:evenVBand="0" w:oddHBand="0" w:evenHBand="0" w:firstRowFirstColumn="0" w:firstRowLastColumn="0" w:lastRowFirstColumn="0" w:lastRowLastColumn="0"/>
            <w:tcW w:w="1701" w:type="dxa"/>
          </w:tcPr>
          <w:p w14:paraId="7F979A63" w14:textId="77777777" w:rsidR="00670D14" w:rsidRPr="007B154A" w:rsidRDefault="00670D14" w:rsidP="008355B0">
            <w:pPr>
              <w:pStyle w:val="Tabletextbold"/>
              <w:rPr>
                <w:szCs w:val="20"/>
              </w:rPr>
            </w:pPr>
            <w:r>
              <w:rPr>
                <w:b/>
              </w:rPr>
              <w:t>Eligibility criteria</w:t>
            </w:r>
            <w:r w:rsidRPr="007B154A">
              <w:rPr>
                <w:szCs w:val="20"/>
              </w:rPr>
              <w:t xml:space="preserve"> </w:t>
            </w:r>
          </w:p>
        </w:tc>
        <w:tc>
          <w:tcPr>
            <w:tcW w:w="8222" w:type="dxa"/>
          </w:tcPr>
          <w:p w14:paraId="760AD580" w14:textId="77777777" w:rsidR="00670D14" w:rsidRPr="001A290C" w:rsidRDefault="00670D14" w:rsidP="008355B0">
            <w:pPr>
              <w:pStyle w:val="TableBullet1"/>
              <w:cnfStyle w:val="000000000000" w:firstRow="0" w:lastRow="0" w:firstColumn="0" w:lastColumn="0" w:oddVBand="0" w:evenVBand="0" w:oddHBand="0" w:evenHBand="0" w:firstRowFirstColumn="0" w:firstRowLastColumn="0" w:lastRowFirstColumn="0" w:lastRowLastColumn="0"/>
            </w:pPr>
            <w:r>
              <w:t>No information available</w:t>
            </w:r>
          </w:p>
        </w:tc>
      </w:tr>
      <w:tr w:rsidR="00BC6DD3" w:rsidRPr="00FA30FA" w14:paraId="05F38095" w14:textId="77777777" w:rsidTr="008355B0">
        <w:trPr>
          <w:trHeight w:val="540"/>
        </w:trPr>
        <w:tc>
          <w:tcPr>
            <w:cnfStyle w:val="001000000000" w:firstRow="0" w:lastRow="0" w:firstColumn="1" w:lastColumn="0" w:oddVBand="0" w:evenVBand="0" w:oddHBand="0" w:evenHBand="0" w:firstRowFirstColumn="0" w:firstRowLastColumn="0" w:lastRowFirstColumn="0" w:lastRowLastColumn="0"/>
            <w:tcW w:w="1701" w:type="dxa"/>
          </w:tcPr>
          <w:p w14:paraId="5620F61E" w14:textId="77777777" w:rsidR="00670D14" w:rsidRPr="007B154A" w:rsidRDefault="00670D14" w:rsidP="008355B0">
            <w:pPr>
              <w:pStyle w:val="Tabletextbold"/>
              <w:rPr>
                <w:szCs w:val="20"/>
              </w:rPr>
            </w:pPr>
            <w:r>
              <w:rPr>
                <w:b/>
              </w:rPr>
              <w:t>Products and services included</w:t>
            </w:r>
          </w:p>
        </w:tc>
        <w:tc>
          <w:tcPr>
            <w:tcW w:w="8222" w:type="dxa"/>
          </w:tcPr>
          <w:p w14:paraId="498ECA4B" w14:textId="77777777" w:rsidR="00670D14" w:rsidRPr="009C50A4" w:rsidRDefault="00670D14" w:rsidP="008355B0">
            <w:pPr>
              <w:pStyle w:val="TableBullet1"/>
              <w:cnfStyle w:val="000000000000" w:firstRow="0" w:lastRow="0" w:firstColumn="0" w:lastColumn="0" w:oddVBand="0" w:evenVBand="0" w:oddHBand="0" w:evenHBand="0" w:firstRowFirstColumn="0" w:firstRowLastColumn="0" w:lastRowFirstColumn="0" w:lastRowLastColumn="0"/>
              <w:rPr>
                <w:szCs w:val="18"/>
              </w:rPr>
            </w:pPr>
            <w:r>
              <w:rPr>
                <w:szCs w:val="18"/>
              </w:rPr>
              <w:t xml:space="preserve">Upper and lower limb prosthesis </w:t>
            </w:r>
          </w:p>
        </w:tc>
      </w:tr>
      <w:tr w:rsidR="00BC6DD3" w:rsidRPr="00FA30FA" w14:paraId="49791D4E" w14:textId="77777777" w:rsidTr="008355B0">
        <w:trPr>
          <w:trHeight w:val="369"/>
        </w:trPr>
        <w:tc>
          <w:tcPr>
            <w:cnfStyle w:val="001000000000" w:firstRow="0" w:lastRow="0" w:firstColumn="1" w:lastColumn="0" w:oddVBand="0" w:evenVBand="0" w:oddHBand="0" w:evenHBand="0" w:firstRowFirstColumn="0" w:firstRowLastColumn="0" w:lastRowFirstColumn="0" w:lastRowLastColumn="0"/>
            <w:tcW w:w="1701" w:type="dxa"/>
          </w:tcPr>
          <w:p w14:paraId="699885BB" w14:textId="77777777" w:rsidR="00670D14" w:rsidRDefault="00670D14" w:rsidP="008355B0">
            <w:pPr>
              <w:pStyle w:val="Tabletextbold"/>
              <w:rPr>
                <w:szCs w:val="20"/>
              </w:rPr>
            </w:pPr>
            <w:r>
              <w:rPr>
                <w:b/>
              </w:rPr>
              <w:t>Cost coverage</w:t>
            </w:r>
          </w:p>
        </w:tc>
        <w:tc>
          <w:tcPr>
            <w:tcW w:w="8222" w:type="dxa"/>
          </w:tcPr>
          <w:p w14:paraId="1B4F3A37" w14:textId="77777777" w:rsidR="00670D14" w:rsidRPr="009C1931" w:rsidRDefault="00670D14" w:rsidP="008355B0">
            <w:pPr>
              <w:pStyle w:val="TableBullet1"/>
              <w:cnfStyle w:val="000000000000" w:firstRow="0" w:lastRow="0" w:firstColumn="0" w:lastColumn="0" w:oddVBand="0" w:evenVBand="0" w:oddHBand="0" w:evenHBand="0" w:firstRowFirstColumn="0" w:firstRowLastColumn="0" w:lastRowFirstColumn="0" w:lastRowLastColumn="0"/>
            </w:pPr>
            <w:r>
              <w:t>No information available</w:t>
            </w:r>
          </w:p>
        </w:tc>
      </w:tr>
      <w:tr w:rsidR="00BC6DD3" w:rsidRPr="00FA30FA" w14:paraId="1784CAD8" w14:textId="77777777" w:rsidTr="008355B0">
        <w:trPr>
          <w:trHeight w:val="277"/>
        </w:trPr>
        <w:tc>
          <w:tcPr>
            <w:cnfStyle w:val="001000000000" w:firstRow="0" w:lastRow="0" w:firstColumn="1" w:lastColumn="0" w:oddVBand="0" w:evenVBand="0" w:oddHBand="0" w:evenHBand="0" w:firstRowFirstColumn="0" w:firstRowLastColumn="0" w:lastRowFirstColumn="0" w:lastRowLastColumn="0"/>
            <w:tcW w:w="1701" w:type="dxa"/>
          </w:tcPr>
          <w:p w14:paraId="4666248F" w14:textId="77777777" w:rsidR="00670D14" w:rsidRDefault="00670D14" w:rsidP="008355B0">
            <w:pPr>
              <w:pStyle w:val="Tabletextbold"/>
              <w:rPr>
                <w:szCs w:val="20"/>
              </w:rPr>
            </w:pPr>
            <w:r>
              <w:rPr>
                <w:b/>
              </w:rPr>
              <w:t>Repairs and warranty</w:t>
            </w:r>
          </w:p>
        </w:tc>
        <w:tc>
          <w:tcPr>
            <w:tcW w:w="8222" w:type="dxa"/>
          </w:tcPr>
          <w:p w14:paraId="57955904" w14:textId="77777777" w:rsidR="00670D14" w:rsidRPr="009C1931" w:rsidRDefault="00670D14" w:rsidP="008355B0">
            <w:pPr>
              <w:pStyle w:val="TableBullet1"/>
              <w:cnfStyle w:val="000000000000" w:firstRow="0" w:lastRow="0" w:firstColumn="0" w:lastColumn="0" w:oddVBand="0" w:evenVBand="0" w:oddHBand="0" w:evenHBand="0" w:firstRowFirstColumn="0" w:firstRowLastColumn="0" w:lastRowFirstColumn="0" w:lastRowLastColumn="0"/>
            </w:pPr>
            <w:r>
              <w:t>No information available</w:t>
            </w:r>
          </w:p>
        </w:tc>
      </w:tr>
      <w:tr w:rsidR="00BC6DD3" w:rsidRPr="00FA30FA" w14:paraId="588E9B79" w14:textId="77777777" w:rsidTr="008355B0">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5C667285" w14:textId="77777777" w:rsidR="00670D14" w:rsidRDefault="00670D14" w:rsidP="008355B0">
            <w:pPr>
              <w:pStyle w:val="Tabletextbold"/>
              <w:rPr>
                <w:szCs w:val="20"/>
              </w:rPr>
            </w:pPr>
            <w:r>
              <w:rPr>
                <w:b/>
              </w:rPr>
              <w:t>Referral pathway</w:t>
            </w:r>
          </w:p>
        </w:tc>
        <w:tc>
          <w:tcPr>
            <w:tcW w:w="8222" w:type="dxa"/>
          </w:tcPr>
          <w:p w14:paraId="61443F0B" w14:textId="77777777" w:rsidR="00670D14" w:rsidRDefault="00670D14" w:rsidP="008355B0">
            <w:pPr>
              <w:pStyle w:val="TableBullet1"/>
              <w:cnfStyle w:val="000000000000" w:firstRow="0" w:lastRow="0" w:firstColumn="0" w:lastColumn="0" w:oddVBand="0" w:evenVBand="0" w:oddHBand="0" w:evenHBand="0" w:firstRowFirstColumn="0" w:firstRowLastColumn="0" w:lastRowFirstColumn="0" w:lastRowLastColumn="0"/>
            </w:pPr>
            <w:r>
              <w:t>Outpatient individuals require a referral from health professional</w:t>
            </w:r>
          </w:p>
          <w:p w14:paraId="123363F6" w14:textId="77777777" w:rsidR="00670D14" w:rsidRPr="00477254" w:rsidRDefault="00670D14" w:rsidP="008355B0">
            <w:pPr>
              <w:pStyle w:val="TableBullet1"/>
              <w:cnfStyle w:val="000000000000" w:firstRow="0" w:lastRow="0" w:firstColumn="0" w:lastColumn="0" w:oddVBand="0" w:evenVBand="0" w:oddHBand="0" w:evenHBand="0" w:firstRowFirstColumn="0" w:firstRowLastColumn="0" w:lastRowFirstColumn="0" w:lastRowLastColumn="0"/>
            </w:pPr>
            <w:r>
              <w:t>In patient individuals is directly managed by the treating medical team</w:t>
            </w:r>
          </w:p>
        </w:tc>
      </w:tr>
      <w:tr w:rsidR="00BC6DD3" w:rsidRPr="00FA30FA" w14:paraId="4DDEC502" w14:textId="77777777" w:rsidTr="008355B0">
        <w:trPr>
          <w:trHeight w:val="381"/>
        </w:trPr>
        <w:tc>
          <w:tcPr>
            <w:cnfStyle w:val="001000000000" w:firstRow="0" w:lastRow="0" w:firstColumn="1" w:lastColumn="0" w:oddVBand="0" w:evenVBand="0" w:oddHBand="0" w:evenHBand="0" w:firstRowFirstColumn="0" w:firstRowLastColumn="0" w:lastRowFirstColumn="0" w:lastRowLastColumn="0"/>
            <w:tcW w:w="1701" w:type="dxa"/>
          </w:tcPr>
          <w:p w14:paraId="71EF5941" w14:textId="77777777" w:rsidR="00670D14" w:rsidRDefault="00670D14" w:rsidP="008355B0">
            <w:pPr>
              <w:pStyle w:val="Tabletextbold"/>
              <w:rPr>
                <w:szCs w:val="20"/>
              </w:rPr>
            </w:pPr>
            <w:r>
              <w:rPr>
                <w:b/>
              </w:rPr>
              <w:t xml:space="preserve">Settings in which prosthesis may be accessed </w:t>
            </w:r>
          </w:p>
        </w:tc>
        <w:tc>
          <w:tcPr>
            <w:tcW w:w="8222" w:type="dxa"/>
          </w:tcPr>
          <w:p w14:paraId="06400CD3" w14:textId="77777777" w:rsidR="00670D14" w:rsidRDefault="00670D14" w:rsidP="008355B0">
            <w:pPr>
              <w:pStyle w:val="TableText"/>
              <w:cnfStyle w:val="000000000000" w:firstRow="0" w:lastRow="0" w:firstColumn="0" w:lastColumn="0" w:oddVBand="0" w:evenVBand="0" w:oddHBand="0" w:evenHBand="0" w:firstRowFirstColumn="0" w:firstRowLastColumn="0" w:lastRowFirstColumn="0" w:lastRowLastColumn="0"/>
            </w:pPr>
            <w:r>
              <w:t>Public hospitals:</w:t>
            </w:r>
          </w:p>
          <w:p w14:paraId="6238B804" w14:textId="77777777" w:rsidR="00670D14" w:rsidRDefault="00670D14" w:rsidP="008355B0">
            <w:pPr>
              <w:pStyle w:val="TableBullet1"/>
              <w:cnfStyle w:val="000000000000" w:firstRow="0" w:lastRow="0" w:firstColumn="0" w:lastColumn="0" w:oddVBand="0" w:evenVBand="0" w:oddHBand="0" w:evenHBand="0" w:firstRowFirstColumn="0" w:firstRowLastColumn="0" w:lastRowFirstColumn="0" w:lastRowLastColumn="0"/>
            </w:pPr>
            <w:r>
              <w:t>The Royal Hobart Hospital</w:t>
            </w:r>
          </w:p>
          <w:p w14:paraId="34F86897" w14:textId="77777777" w:rsidR="00670D14" w:rsidRDefault="00670D14" w:rsidP="008355B0">
            <w:pPr>
              <w:pStyle w:val="TableBullet1"/>
              <w:cnfStyle w:val="000000000000" w:firstRow="0" w:lastRow="0" w:firstColumn="0" w:lastColumn="0" w:oddVBand="0" w:evenVBand="0" w:oddHBand="0" w:evenHBand="0" w:firstRowFirstColumn="0" w:firstRowLastColumn="0" w:lastRowFirstColumn="0" w:lastRowLastColumn="0"/>
            </w:pPr>
            <w:r>
              <w:t xml:space="preserve">Launceston General Hospital </w:t>
            </w:r>
          </w:p>
          <w:p w14:paraId="38D13B5A" w14:textId="77777777" w:rsidR="00670D14" w:rsidRPr="004F2817" w:rsidRDefault="00670D14" w:rsidP="008355B0">
            <w:pPr>
              <w:pStyle w:val="TableBullet1"/>
              <w:cnfStyle w:val="000000000000" w:firstRow="0" w:lastRow="0" w:firstColumn="0" w:lastColumn="0" w:oddVBand="0" w:evenVBand="0" w:oddHBand="0" w:evenHBand="0" w:firstRowFirstColumn="0" w:firstRowLastColumn="0" w:lastRowFirstColumn="0" w:lastRowLastColumn="0"/>
            </w:pPr>
            <w:r>
              <w:t>Northwest Regional Hospital</w:t>
            </w:r>
            <w:r w:rsidRPr="004F2817">
              <w:t xml:space="preserve"> </w:t>
            </w:r>
          </w:p>
        </w:tc>
      </w:tr>
      <w:tr w:rsidR="00BC6DD3" w:rsidRPr="00FA30FA" w14:paraId="2A8E6BFE" w14:textId="77777777" w:rsidTr="008355B0">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7638CB58" w14:textId="77777777" w:rsidR="00670D14" w:rsidRDefault="00670D14" w:rsidP="008355B0">
            <w:pPr>
              <w:pStyle w:val="Tabletextbold"/>
              <w:rPr>
                <w:szCs w:val="20"/>
              </w:rPr>
            </w:pPr>
            <w:r>
              <w:rPr>
                <w:b/>
              </w:rPr>
              <w:t>Clinicians involved</w:t>
            </w:r>
          </w:p>
        </w:tc>
        <w:tc>
          <w:tcPr>
            <w:tcW w:w="8222" w:type="dxa"/>
          </w:tcPr>
          <w:p w14:paraId="7BDDE534" w14:textId="77777777" w:rsidR="00670D14" w:rsidRDefault="00670D14" w:rsidP="008355B0">
            <w:pPr>
              <w:pStyle w:val="TableText"/>
              <w:cnfStyle w:val="000000000000" w:firstRow="0" w:lastRow="0" w:firstColumn="0" w:lastColumn="0" w:oddVBand="0" w:evenVBand="0" w:oddHBand="0" w:evenHBand="0" w:firstRowFirstColumn="0" w:firstRowLastColumn="0" w:lastRowFirstColumn="0" w:lastRowLastColumn="0"/>
            </w:pPr>
            <w:r>
              <w:t>An amputee clinic multidisciplinary teams involves a:</w:t>
            </w:r>
          </w:p>
          <w:p w14:paraId="0AAEEE03" w14:textId="77777777" w:rsidR="00670D14" w:rsidRDefault="00670D14" w:rsidP="008355B0">
            <w:pPr>
              <w:pStyle w:val="TableBullet1"/>
              <w:cnfStyle w:val="000000000000" w:firstRow="0" w:lastRow="0" w:firstColumn="0" w:lastColumn="0" w:oddVBand="0" w:evenVBand="0" w:oddHBand="0" w:evenHBand="0" w:firstRowFirstColumn="0" w:firstRowLastColumn="0" w:lastRowFirstColumn="0" w:lastRowLastColumn="0"/>
            </w:pPr>
            <w:r>
              <w:t xml:space="preserve">Rehabilitation physicians: assess, diagnoses and treats a person’s mobility and function. </w:t>
            </w:r>
          </w:p>
          <w:p w14:paraId="73ED8EC7" w14:textId="77777777" w:rsidR="00670D14" w:rsidRDefault="00670D14" w:rsidP="008355B0">
            <w:pPr>
              <w:pStyle w:val="TableBullet1"/>
              <w:cnfStyle w:val="000000000000" w:firstRow="0" w:lastRow="0" w:firstColumn="0" w:lastColumn="0" w:oddVBand="0" w:evenVBand="0" w:oddHBand="0" w:evenHBand="0" w:firstRowFirstColumn="0" w:firstRowLastColumn="0" w:lastRowFirstColumn="0" w:lastRowLastColumn="0"/>
            </w:pPr>
            <w:r>
              <w:t>Prosthetists: assesses the persons functional needs, and design, manufacture and fit prosthetic limb</w:t>
            </w:r>
          </w:p>
          <w:p w14:paraId="7B8B5024" w14:textId="77777777" w:rsidR="00670D14" w:rsidRPr="004F2817" w:rsidRDefault="00670D14" w:rsidP="008355B0">
            <w:pPr>
              <w:pStyle w:val="TableBullet1"/>
              <w:cnfStyle w:val="000000000000" w:firstRow="0" w:lastRow="0" w:firstColumn="0" w:lastColumn="0" w:oddVBand="0" w:evenVBand="0" w:oddHBand="0" w:evenHBand="0" w:firstRowFirstColumn="0" w:firstRowLastColumn="0" w:lastRowFirstColumn="0" w:lastRowLastColumn="0"/>
              <w:rPr>
                <w:szCs w:val="20"/>
              </w:rPr>
            </w:pPr>
            <w:r>
              <w:t>Physiotherapist: supports rehabilitation and strength training</w:t>
            </w:r>
          </w:p>
        </w:tc>
      </w:tr>
      <w:tr w:rsidR="00BC6DD3" w:rsidRPr="00FA30FA" w14:paraId="563D56C1" w14:textId="77777777" w:rsidTr="008355B0">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34D1ACF1" w14:textId="77777777" w:rsidR="00670D14" w:rsidRDefault="00670D14" w:rsidP="008355B0">
            <w:pPr>
              <w:pStyle w:val="Tabletextbold"/>
              <w:rPr>
                <w:szCs w:val="20"/>
              </w:rPr>
            </w:pPr>
            <w:r>
              <w:rPr>
                <w:b/>
              </w:rPr>
              <w:t>Funded by</w:t>
            </w:r>
          </w:p>
        </w:tc>
        <w:tc>
          <w:tcPr>
            <w:tcW w:w="8222" w:type="dxa"/>
          </w:tcPr>
          <w:p w14:paraId="6AE45FD5" w14:textId="77777777" w:rsidR="00670D14" w:rsidRPr="004F2817" w:rsidRDefault="00670D14" w:rsidP="008355B0">
            <w:pPr>
              <w:pStyle w:val="TableBullet1"/>
              <w:cnfStyle w:val="000000000000" w:firstRow="0" w:lastRow="0" w:firstColumn="0" w:lastColumn="0" w:oddVBand="0" w:evenVBand="0" w:oddHBand="0" w:evenHBand="0" w:firstRowFirstColumn="0" w:firstRowLastColumn="0" w:lastRowFirstColumn="0" w:lastRowLastColumn="0"/>
            </w:pPr>
            <w:r w:rsidRPr="004F2817">
              <w:t xml:space="preserve">Commonwealth funding provided to </w:t>
            </w:r>
            <w:r>
              <w:t>TALS</w:t>
            </w:r>
          </w:p>
        </w:tc>
      </w:tr>
      <w:tr w:rsidR="00BC6DD3" w:rsidRPr="00FA30FA" w14:paraId="7A0E95EB" w14:textId="77777777" w:rsidTr="008355B0">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0A360501" w14:textId="77777777" w:rsidR="00670D14" w:rsidRDefault="00670D14" w:rsidP="008355B0">
            <w:pPr>
              <w:pStyle w:val="Tabletextbold"/>
              <w:rPr>
                <w:szCs w:val="20"/>
              </w:rPr>
            </w:pPr>
            <w:r>
              <w:rPr>
                <w:b/>
              </w:rPr>
              <w:t xml:space="preserve">Role of Australian </w:t>
            </w:r>
            <w:r>
              <w:rPr>
                <w:szCs w:val="20"/>
              </w:rPr>
              <w:t>Government</w:t>
            </w:r>
          </w:p>
        </w:tc>
        <w:tc>
          <w:tcPr>
            <w:tcW w:w="8222" w:type="dxa"/>
          </w:tcPr>
          <w:p w14:paraId="556AB780" w14:textId="77777777" w:rsidR="00670D14" w:rsidRPr="004F2817" w:rsidRDefault="00670D14" w:rsidP="008355B0">
            <w:pPr>
              <w:pStyle w:val="TableBullet1"/>
              <w:cnfStyle w:val="000000000000" w:firstRow="0" w:lastRow="0" w:firstColumn="0" w:lastColumn="0" w:oddVBand="0" w:evenVBand="0" w:oddHBand="0" w:evenHBand="0" w:firstRowFirstColumn="0" w:firstRowLastColumn="0" w:lastRowFirstColumn="0" w:lastRowLastColumn="0"/>
            </w:pPr>
            <w:r>
              <w:t>Funds the Tasmanian Artificial Limb Scheme</w:t>
            </w:r>
          </w:p>
        </w:tc>
      </w:tr>
      <w:tr w:rsidR="00BC6DD3" w:rsidRPr="00FA30FA" w14:paraId="15BA3654" w14:textId="77777777" w:rsidTr="008355B0">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1C9A5235" w14:textId="77777777" w:rsidR="00670D14" w:rsidRDefault="00670D14" w:rsidP="008355B0">
            <w:pPr>
              <w:pStyle w:val="Tabletextbold"/>
              <w:rPr>
                <w:szCs w:val="20"/>
              </w:rPr>
            </w:pPr>
            <w:r>
              <w:rPr>
                <w:b/>
              </w:rPr>
              <w:t>Role of state/territory governments</w:t>
            </w:r>
          </w:p>
        </w:tc>
        <w:tc>
          <w:tcPr>
            <w:tcW w:w="8222" w:type="dxa"/>
          </w:tcPr>
          <w:p w14:paraId="67507C37" w14:textId="77777777" w:rsidR="00670D14" w:rsidRPr="004F2817" w:rsidRDefault="00670D14" w:rsidP="008355B0">
            <w:pPr>
              <w:pStyle w:val="TableBullet1"/>
              <w:cnfStyle w:val="000000000000" w:firstRow="0" w:lastRow="0" w:firstColumn="0" w:lastColumn="0" w:oddVBand="0" w:evenVBand="0" w:oddHBand="0" w:evenHBand="0" w:firstRowFirstColumn="0" w:firstRowLastColumn="0" w:lastRowFirstColumn="0" w:lastRowLastColumn="0"/>
            </w:pPr>
            <w:r>
              <w:t>M</w:t>
            </w:r>
            <w:r w:rsidRPr="00145EE4">
              <w:t>anages and distributes funding</w:t>
            </w:r>
          </w:p>
        </w:tc>
      </w:tr>
    </w:tbl>
    <w:p w14:paraId="16637B95" w14:textId="0DEB0B3A" w:rsidR="00670D14" w:rsidRPr="00032B91" w:rsidRDefault="00670D14" w:rsidP="008355B0">
      <w:pPr>
        <w:pStyle w:val="Caption-Source"/>
        <w:rPr>
          <w:i/>
          <w:szCs w:val="20"/>
        </w:rPr>
      </w:pPr>
      <w:r w:rsidRPr="004635C1">
        <w:t>Source: Department of Health Tasmania (2025)</w:t>
      </w:r>
      <w:r>
        <w:rPr>
          <w:rFonts w:ascii="ZWAdobeF" w:hAnsi="ZWAdobeF" w:cs="ZWAdobeF"/>
          <w:color w:val="auto"/>
          <w:sz w:val="2"/>
          <w:szCs w:val="2"/>
        </w:rPr>
        <w:t>74F</w:t>
      </w:r>
      <w:r w:rsidRPr="004635C1">
        <w:rPr>
          <w:rStyle w:val="FootnoteReference"/>
          <w:i/>
          <w:szCs w:val="20"/>
        </w:rPr>
        <w:footnoteReference w:id="188"/>
      </w:r>
      <w:r w:rsidR="003F7BD8">
        <w:rPr>
          <w:rFonts w:ascii="ZWAdobeF" w:hAnsi="ZWAdobeF" w:cs="ZWAdobeF"/>
          <w:color w:val="auto"/>
          <w:sz w:val="2"/>
          <w:szCs w:val="2"/>
        </w:rPr>
        <w:br w:type="page"/>
      </w:r>
    </w:p>
    <w:p w14:paraId="386595A4" w14:textId="034A134B" w:rsidR="00FC3A6B" w:rsidRDefault="00FC3A6B" w:rsidP="008239ED">
      <w:pPr>
        <w:pStyle w:val="AppendixHeading2"/>
      </w:pPr>
      <w:bookmarkStart w:id="353" w:name="_Toc207348787"/>
      <w:r>
        <w:t>Victoria</w:t>
      </w:r>
      <w:bookmarkEnd w:id="353"/>
    </w:p>
    <w:p w14:paraId="5A0B4914" w14:textId="571E31A8" w:rsidR="00FC3A6B" w:rsidRDefault="00FC3A6B" w:rsidP="00FC3A6B">
      <w:pPr>
        <w:pStyle w:val="Caption"/>
      </w:pPr>
      <w:bookmarkStart w:id="354" w:name="_Toc207348693"/>
      <w:r>
        <w:t xml:space="preserve">Table </w:t>
      </w:r>
      <w:r w:rsidR="00E6799D">
        <w:fldChar w:fldCharType="begin"/>
      </w:r>
      <w:r w:rsidR="00E6799D">
        <w:instrText xml:space="preserve"> SEQ Table \* ARABIC </w:instrText>
      </w:r>
      <w:r w:rsidR="00E6799D">
        <w:fldChar w:fldCharType="separate"/>
      </w:r>
      <w:r w:rsidR="00E6799D">
        <w:rPr>
          <w:noProof/>
        </w:rPr>
        <w:t>128</w:t>
      </w:r>
      <w:r w:rsidR="00E6799D">
        <w:rPr>
          <w:noProof/>
        </w:rPr>
        <w:fldChar w:fldCharType="end"/>
      </w:r>
      <w:bookmarkEnd w:id="347"/>
      <w:r>
        <w:t>: Prosthetic limb services in Victoria</w:t>
      </w:r>
      <w:bookmarkEnd w:id="354"/>
    </w:p>
    <w:tbl>
      <w:tblPr>
        <w:tblStyle w:val="KPMGTable"/>
        <w:tblW w:w="9923" w:type="dxa"/>
        <w:tblLook w:val="04A0" w:firstRow="1" w:lastRow="0" w:firstColumn="1" w:lastColumn="0" w:noHBand="0" w:noVBand="1"/>
      </w:tblPr>
      <w:tblGrid>
        <w:gridCol w:w="1701"/>
        <w:gridCol w:w="8222"/>
      </w:tblGrid>
      <w:tr w:rsidR="00467133" w:rsidRPr="007B154A" w14:paraId="32798EE1" w14:textId="77777777" w:rsidTr="008355B0">
        <w:trPr>
          <w:cnfStyle w:val="100000000000" w:firstRow="1" w:lastRow="0" w:firstColumn="0" w:lastColumn="0" w:oddVBand="0" w:evenVBand="0" w:oddHBand="0"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701" w:type="dxa"/>
          </w:tcPr>
          <w:p w14:paraId="7DFF576F" w14:textId="77777777" w:rsidR="00FC3A6B" w:rsidRPr="007B154A" w:rsidRDefault="00FC3A6B" w:rsidP="008355B0">
            <w:pPr>
              <w:pStyle w:val="TableHeading"/>
              <w:rPr>
                <w:b w:val="0"/>
                <w:color w:val="FFFFFF" w:themeColor="background1"/>
                <w:szCs w:val="20"/>
              </w:rPr>
            </w:pPr>
            <w:r>
              <w:t>Category</w:t>
            </w:r>
          </w:p>
        </w:tc>
        <w:tc>
          <w:tcPr>
            <w:tcW w:w="8222" w:type="dxa"/>
          </w:tcPr>
          <w:p w14:paraId="47CA2EFE" w14:textId="77777777" w:rsidR="00FC3A6B" w:rsidRPr="007B154A" w:rsidRDefault="00FC3A6B" w:rsidP="008355B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 xml:space="preserve">Description </w:t>
            </w:r>
          </w:p>
        </w:tc>
      </w:tr>
      <w:tr w:rsidR="00BC6DD3" w:rsidRPr="001B05CB" w14:paraId="505EBDD7" w14:textId="77777777" w:rsidTr="008355B0">
        <w:trPr>
          <w:trHeight w:val="578"/>
        </w:trPr>
        <w:tc>
          <w:tcPr>
            <w:cnfStyle w:val="001000000000" w:firstRow="0" w:lastRow="0" w:firstColumn="1" w:lastColumn="0" w:oddVBand="0" w:evenVBand="0" w:oddHBand="0" w:evenHBand="0" w:firstRowFirstColumn="0" w:firstRowLastColumn="0" w:lastRowFirstColumn="0" w:lastRowLastColumn="0"/>
            <w:tcW w:w="1701" w:type="dxa"/>
          </w:tcPr>
          <w:p w14:paraId="7C6B27F3" w14:textId="77777777" w:rsidR="00FC3A6B" w:rsidRPr="007B154A" w:rsidRDefault="00FC3A6B" w:rsidP="008355B0">
            <w:pPr>
              <w:pStyle w:val="Tabletextbold"/>
              <w:rPr>
                <w:szCs w:val="20"/>
              </w:rPr>
            </w:pPr>
            <w:r>
              <w:rPr>
                <w:b/>
              </w:rPr>
              <w:t>Eligibility</w:t>
            </w:r>
            <w:r w:rsidRPr="007B154A">
              <w:rPr>
                <w:szCs w:val="20"/>
              </w:rPr>
              <w:t xml:space="preserve"> </w:t>
            </w:r>
            <w:r>
              <w:rPr>
                <w:szCs w:val="20"/>
              </w:rPr>
              <w:t>criteria</w:t>
            </w:r>
          </w:p>
        </w:tc>
        <w:tc>
          <w:tcPr>
            <w:tcW w:w="8222" w:type="dxa"/>
          </w:tcPr>
          <w:p w14:paraId="35E889CB" w14:textId="77777777" w:rsidR="00FC3A6B" w:rsidRDefault="00FC3A6B" w:rsidP="008355B0">
            <w:pPr>
              <w:pStyle w:val="TableBullet1"/>
              <w:cnfStyle w:val="000000000000" w:firstRow="0" w:lastRow="0" w:firstColumn="0" w:lastColumn="0" w:oddVBand="0" w:evenVBand="0" w:oddHBand="0" w:evenHBand="0" w:firstRowFirstColumn="0" w:firstRowLastColumn="0" w:lastRowFirstColumn="0" w:lastRowLastColumn="0"/>
            </w:pPr>
            <w:r>
              <w:t>Over the age of</w:t>
            </w:r>
            <w:r w:rsidRPr="00C22B37">
              <w:t xml:space="preserve"> 65 years</w:t>
            </w:r>
            <w:r>
              <w:t xml:space="preserve">, and </w:t>
            </w:r>
          </w:p>
          <w:p w14:paraId="34FAF59B" w14:textId="77777777" w:rsidR="00FC3A6B" w:rsidRPr="00C22B37" w:rsidRDefault="00FC3A6B" w:rsidP="008355B0">
            <w:pPr>
              <w:pStyle w:val="TableBullet1"/>
              <w:cnfStyle w:val="000000000000" w:firstRow="0" w:lastRow="0" w:firstColumn="0" w:lastColumn="0" w:oddVBand="0" w:evenVBand="0" w:oddHBand="0" w:evenHBand="0" w:firstRowFirstColumn="0" w:firstRowLastColumn="0" w:lastRowFirstColumn="0" w:lastRowLastColumn="0"/>
            </w:pPr>
            <w:r>
              <w:t>H</w:t>
            </w:r>
            <w:r w:rsidRPr="00C22B37">
              <w:t xml:space="preserve">ave undergone an amputation </w:t>
            </w:r>
            <w:proofErr w:type="gramStart"/>
            <w:r w:rsidRPr="00C22B37">
              <w:t>as a result of</w:t>
            </w:r>
            <w:proofErr w:type="gramEnd"/>
            <w:r w:rsidRPr="00C22B37">
              <w:t xml:space="preserve"> disease or injury</w:t>
            </w:r>
            <w:r>
              <w:t>, and</w:t>
            </w:r>
            <w:r w:rsidRPr="00C22B37">
              <w:t xml:space="preserve">  </w:t>
            </w:r>
          </w:p>
          <w:p w14:paraId="1AAD1261" w14:textId="77777777" w:rsidR="00FC3A6B" w:rsidRPr="00C22B37" w:rsidRDefault="00FC3A6B" w:rsidP="008355B0">
            <w:pPr>
              <w:pStyle w:val="TableBullet1"/>
              <w:cnfStyle w:val="000000000000" w:firstRow="0" w:lastRow="0" w:firstColumn="0" w:lastColumn="0" w:oddVBand="0" w:evenVBand="0" w:oddHBand="0" w:evenHBand="0" w:firstRowFirstColumn="0" w:firstRowLastColumn="0" w:lastRowFirstColumn="0" w:lastRowLastColumn="0"/>
            </w:pPr>
            <w:r>
              <w:t>B</w:t>
            </w:r>
            <w:r w:rsidRPr="00C22B37">
              <w:t xml:space="preserve">e an Australian Citizen, </w:t>
            </w:r>
            <w:r>
              <w:t>or have Australian residency</w:t>
            </w:r>
          </w:p>
          <w:p w14:paraId="7CA6C942" w14:textId="77777777" w:rsidR="00FC3A6B" w:rsidRDefault="00FC3A6B" w:rsidP="008355B0">
            <w:pPr>
              <w:pStyle w:val="TableBullet1"/>
              <w:cnfStyle w:val="000000000000" w:firstRow="0" w:lastRow="0" w:firstColumn="0" w:lastColumn="0" w:oddVBand="0" w:evenVBand="0" w:oddHBand="0" w:evenHBand="0" w:firstRowFirstColumn="0" w:firstRowLastColumn="0" w:lastRowFirstColumn="0" w:lastRowLastColumn="0"/>
            </w:pPr>
            <w:r>
              <w:t>Have a</w:t>
            </w:r>
            <w:r w:rsidRPr="00C22B37">
              <w:t xml:space="preserve"> Medicare Card</w:t>
            </w:r>
            <w:r>
              <w:t>, and</w:t>
            </w:r>
          </w:p>
          <w:p w14:paraId="2583E7C2" w14:textId="77777777" w:rsidR="00FC3A6B" w:rsidRPr="00BE67AF" w:rsidRDefault="00FC3A6B" w:rsidP="008355B0">
            <w:pPr>
              <w:pStyle w:val="TableBullet1"/>
              <w:cnfStyle w:val="000000000000" w:firstRow="0" w:lastRow="0" w:firstColumn="0" w:lastColumn="0" w:oddVBand="0" w:evenVBand="0" w:oddHBand="0" w:evenHBand="0" w:firstRowFirstColumn="0" w:firstRowLastColumn="0" w:lastRowFirstColumn="0" w:lastRowLastColumn="0"/>
            </w:pPr>
            <w:r w:rsidRPr="00BE67AF">
              <w:t>Not be obtaining prosthetic funding support or services through another Government agency or state service.</w:t>
            </w:r>
          </w:p>
        </w:tc>
      </w:tr>
      <w:tr w:rsidR="00BC6DD3" w:rsidRPr="00FA30FA" w14:paraId="62A7333D" w14:textId="77777777" w:rsidTr="008355B0">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5DA5BC11" w14:textId="77777777" w:rsidR="00FC3A6B" w:rsidRPr="007B154A" w:rsidRDefault="00FC3A6B" w:rsidP="008355B0">
            <w:pPr>
              <w:pStyle w:val="Tabletextbold"/>
              <w:rPr>
                <w:szCs w:val="20"/>
              </w:rPr>
            </w:pPr>
            <w:r>
              <w:rPr>
                <w:b/>
              </w:rPr>
              <w:t>Products and services included</w:t>
            </w:r>
          </w:p>
        </w:tc>
        <w:tc>
          <w:tcPr>
            <w:tcW w:w="8222" w:type="dxa"/>
          </w:tcPr>
          <w:p w14:paraId="3A2CC5A6" w14:textId="77777777" w:rsidR="00FC3A6B" w:rsidRPr="00F84663" w:rsidRDefault="00FC3A6B" w:rsidP="008355B0">
            <w:pPr>
              <w:pStyle w:val="TableBullet1"/>
              <w:cnfStyle w:val="000000000000" w:firstRow="0" w:lastRow="0" w:firstColumn="0" w:lastColumn="0" w:oddVBand="0" w:evenVBand="0" w:oddHBand="0" w:evenHBand="0" w:firstRowFirstColumn="0" w:firstRowLastColumn="0" w:lastRowFirstColumn="0" w:lastRowLastColumn="0"/>
              <w:rPr>
                <w:szCs w:val="18"/>
              </w:rPr>
            </w:pPr>
            <w:r>
              <w:rPr>
                <w:szCs w:val="18"/>
              </w:rPr>
              <w:t>No information available</w:t>
            </w:r>
          </w:p>
        </w:tc>
      </w:tr>
      <w:tr w:rsidR="00BC6DD3" w:rsidRPr="00FA30FA" w14:paraId="058DAAA5" w14:textId="77777777" w:rsidTr="008355B0">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4365A55E" w14:textId="77777777" w:rsidR="00FC3A6B" w:rsidRDefault="00FC3A6B" w:rsidP="008355B0">
            <w:pPr>
              <w:pStyle w:val="Tabletextbold"/>
              <w:rPr>
                <w:szCs w:val="20"/>
              </w:rPr>
            </w:pPr>
            <w:r>
              <w:rPr>
                <w:b/>
              </w:rPr>
              <w:t>Cost coverage</w:t>
            </w:r>
          </w:p>
        </w:tc>
        <w:tc>
          <w:tcPr>
            <w:tcW w:w="8222" w:type="dxa"/>
          </w:tcPr>
          <w:p w14:paraId="2D85EACE" w14:textId="77777777" w:rsidR="00FC3A6B" w:rsidRPr="00F84663" w:rsidRDefault="00FC3A6B" w:rsidP="008355B0">
            <w:pPr>
              <w:pStyle w:val="TableBullet1"/>
              <w:cnfStyle w:val="000000000000" w:firstRow="0" w:lastRow="0" w:firstColumn="0" w:lastColumn="0" w:oddVBand="0" w:evenVBand="0" w:oddHBand="0" w:evenHBand="0" w:firstRowFirstColumn="0" w:firstRowLastColumn="0" w:lastRowFirstColumn="0" w:lastRowLastColumn="0"/>
            </w:pPr>
            <w:r>
              <w:t>No information</w:t>
            </w:r>
            <w:r>
              <w:rPr>
                <w:szCs w:val="18"/>
              </w:rPr>
              <w:t xml:space="preserve"> available</w:t>
            </w:r>
          </w:p>
        </w:tc>
      </w:tr>
      <w:tr w:rsidR="00BC6DD3" w:rsidRPr="00FA30FA" w14:paraId="6294FD96" w14:textId="77777777" w:rsidTr="008355B0">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26D82C32" w14:textId="77777777" w:rsidR="00FC3A6B" w:rsidRDefault="00FC3A6B" w:rsidP="008355B0">
            <w:pPr>
              <w:pStyle w:val="Tabletextbold"/>
              <w:rPr>
                <w:szCs w:val="20"/>
              </w:rPr>
            </w:pPr>
            <w:r>
              <w:rPr>
                <w:b/>
              </w:rPr>
              <w:t>Repairs and warranty</w:t>
            </w:r>
          </w:p>
        </w:tc>
        <w:tc>
          <w:tcPr>
            <w:tcW w:w="8222" w:type="dxa"/>
          </w:tcPr>
          <w:p w14:paraId="4E24531A" w14:textId="77777777" w:rsidR="00FC3A6B" w:rsidRPr="009C1931" w:rsidRDefault="00FC3A6B" w:rsidP="008355B0">
            <w:pPr>
              <w:pStyle w:val="TableBullet1"/>
              <w:cnfStyle w:val="000000000000" w:firstRow="0" w:lastRow="0" w:firstColumn="0" w:lastColumn="0" w:oddVBand="0" w:evenVBand="0" w:oddHBand="0" w:evenHBand="0" w:firstRowFirstColumn="0" w:firstRowLastColumn="0" w:lastRowFirstColumn="0" w:lastRowLastColumn="0"/>
            </w:pPr>
            <w:r>
              <w:t>No information</w:t>
            </w:r>
            <w:r>
              <w:rPr>
                <w:szCs w:val="18"/>
              </w:rPr>
              <w:t xml:space="preserve"> available</w:t>
            </w:r>
          </w:p>
        </w:tc>
      </w:tr>
      <w:tr w:rsidR="00BC6DD3" w:rsidRPr="00FA30FA" w14:paraId="52DF3216" w14:textId="77777777" w:rsidTr="008355B0">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08D147FA" w14:textId="77777777" w:rsidR="00FC3A6B" w:rsidRDefault="00FC3A6B" w:rsidP="008355B0">
            <w:pPr>
              <w:pStyle w:val="Tabletextbold"/>
              <w:rPr>
                <w:szCs w:val="20"/>
              </w:rPr>
            </w:pPr>
            <w:r>
              <w:rPr>
                <w:b/>
              </w:rPr>
              <w:t>Referral processes</w:t>
            </w:r>
          </w:p>
        </w:tc>
        <w:tc>
          <w:tcPr>
            <w:tcW w:w="8222" w:type="dxa"/>
          </w:tcPr>
          <w:p w14:paraId="5FC2E52F" w14:textId="77777777" w:rsidR="00FC3A6B" w:rsidRPr="00CB3CFC" w:rsidRDefault="00FC3A6B" w:rsidP="008355B0">
            <w:pPr>
              <w:pStyle w:val="TableBullet1"/>
              <w:cnfStyle w:val="000000000000" w:firstRow="0" w:lastRow="0" w:firstColumn="0" w:lastColumn="0" w:oddVBand="0" w:evenVBand="0" w:oddHBand="0" w:evenHBand="0" w:firstRowFirstColumn="0" w:firstRowLastColumn="0" w:lastRowFirstColumn="0" w:lastRowLastColumn="0"/>
            </w:pPr>
            <w:r>
              <w:t>Public hospital in-patient and out-patient referrals</w:t>
            </w:r>
          </w:p>
        </w:tc>
      </w:tr>
      <w:tr w:rsidR="00BC6DD3" w:rsidRPr="00FA30FA" w14:paraId="1D9B456A" w14:textId="77777777" w:rsidTr="008355B0">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5791530D" w14:textId="77777777" w:rsidR="00FC3A6B" w:rsidRDefault="00FC3A6B" w:rsidP="008355B0">
            <w:pPr>
              <w:pStyle w:val="Tabletextbold"/>
              <w:rPr>
                <w:szCs w:val="20"/>
              </w:rPr>
            </w:pPr>
            <w:r>
              <w:rPr>
                <w:b/>
              </w:rPr>
              <w:t xml:space="preserve">Settings in which prostheses may be accessed </w:t>
            </w:r>
          </w:p>
        </w:tc>
        <w:tc>
          <w:tcPr>
            <w:tcW w:w="8222" w:type="dxa"/>
          </w:tcPr>
          <w:p w14:paraId="7D2C0A7C" w14:textId="77777777" w:rsidR="00FC3A6B" w:rsidRPr="00E65271" w:rsidRDefault="00FC3A6B" w:rsidP="008355B0">
            <w:pPr>
              <w:pStyle w:val="TableBullet1"/>
              <w:cnfStyle w:val="000000000000" w:firstRow="0" w:lastRow="0" w:firstColumn="0" w:lastColumn="0" w:oddVBand="0" w:evenVBand="0" w:oddHBand="0" w:evenHBand="0" w:firstRowFirstColumn="0" w:firstRowLastColumn="0" w:lastRowFirstColumn="0" w:lastRowLastColumn="0"/>
            </w:pPr>
            <w:r>
              <w:t xml:space="preserve">Public hospital Prosthetic and Orthotic Department </w:t>
            </w:r>
          </w:p>
        </w:tc>
      </w:tr>
      <w:tr w:rsidR="00BC6DD3" w:rsidRPr="00FA30FA" w14:paraId="3F714AB0" w14:textId="77777777" w:rsidTr="008355B0">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68C2AB7A" w14:textId="77777777" w:rsidR="00FC3A6B" w:rsidRDefault="00FC3A6B" w:rsidP="008355B0">
            <w:pPr>
              <w:pStyle w:val="Tabletextbold"/>
              <w:rPr>
                <w:szCs w:val="20"/>
              </w:rPr>
            </w:pPr>
            <w:r>
              <w:rPr>
                <w:b/>
              </w:rPr>
              <w:t>Clinicians involved</w:t>
            </w:r>
          </w:p>
        </w:tc>
        <w:tc>
          <w:tcPr>
            <w:tcW w:w="8222" w:type="dxa"/>
          </w:tcPr>
          <w:p w14:paraId="0F395B76" w14:textId="77777777" w:rsidR="00FC3A6B" w:rsidRDefault="00FC3A6B" w:rsidP="008355B0">
            <w:pPr>
              <w:pStyle w:val="TableText"/>
              <w:cnfStyle w:val="000000000000" w:firstRow="0" w:lastRow="0" w:firstColumn="0" w:lastColumn="0" w:oddVBand="0" w:evenVBand="0" w:oddHBand="0" w:evenHBand="0" w:firstRowFirstColumn="0" w:firstRowLastColumn="0" w:lastRowFirstColumn="0" w:lastRowLastColumn="0"/>
            </w:pPr>
            <w:r>
              <w:t>An amputee clinic multidisciplinary teams involves a:</w:t>
            </w:r>
          </w:p>
          <w:p w14:paraId="2676862D" w14:textId="77777777" w:rsidR="00FC3A6B" w:rsidRDefault="00FC3A6B" w:rsidP="008355B0">
            <w:pPr>
              <w:pStyle w:val="TableBullet1"/>
              <w:cnfStyle w:val="000000000000" w:firstRow="0" w:lastRow="0" w:firstColumn="0" w:lastColumn="0" w:oddVBand="0" w:evenVBand="0" w:oddHBand="0" w:evenHBand="0" w:firstRowFirstColumn="0" w:firstRowLastColumn="0" w:lastRowFirstColumn="0" w:lastRowLastColumn="0"/>
            </w:pPr>
            <w:r>
              <w:t xml:space="preserve">Rehabilitation physicians: assess, diagnoses and treats a person’s mobility and function. </w:t>
            </w:r>
          </w:p>
          <w:p w14:paraId="2C062AB1" w14:textId="77777777" w:rsidR="00FC3A6B" w:rsidRDefault="00FC3A6B" w:rsidP="008355B0">
            <w:pPr>
              <w:pStyle w:val="TableBullet1"/>
              <w:cnfStyle w:val="000000000000" w:firstRow="0" w:lastRow="0" w:firstColumn="0" w:lastColumn="0" w:oddVBand="0" w:evenVBand="0" w:oddHBand="0" w:evenHBand="0" w:firstRowFirstColumn="0" w:firstRowLastColumn="0" w:lastRowFirstColumn="0" w:lastRowLastColumn="0"/>
            </w:pPr>
            <w:r>
              <w:t>Prosthetists: assesses the persons functional needs, and design, manufacture and fit prosthetic limb</w:t>
            </w:r>
          </w:p>
          <w:p w14:paraId="03A08093" w14:textId="77777777" w:rsidR="00FC3A6B" w:rsidRDefault="00FC3A6B" w:rsidP="008355B0">
            <w:pPr>
              <w:pStyle w:val="TableBullet1"/>
              <w:cnfStyle w:val="000000000000" w:firstRow="0" w:lastRow="0" w:firstColumn="0" w:lastColumn="0" w:oddVBand="0" w:evenVBand="0" w:oddHBand="0" w:evenHBand="0" w:firstRowFirstColumn="0" w:firstRowLastColumn="0" w:lastRowFirstColumn="0" w:lastRowLastColumn="0"/>
              <w:rPr>
                <w:bCs/>
                <w:szCs w:val="20"/>
              </w:rPr>
            </w:pPr>
            <w:r>
              <w:t>Physiotherapist: supports rehabilitation and strength training</w:t>
            </w:r>
          </w:p>
        </w:tc>
      </w:tr>
      <w:tr w:rsidR="00BC6DD3" w:rsidRPr="00FA30FA" w14:paraId="54BC44C7" w14:textId="77777777" w:rsidTr="008355B0">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784B201F" w14:textId="77777777" w:rsidR="00FC3A6B" w:rsidRDefault="00FC3A6B" w:rsidP="008355B0">
            <w:pPr>
              <w:pStyle w:val="Tabletextbold"/>
              <w:rPr>
                <w:szCs w:val="20"/>
              </w:rPr>
            </w:pPr>
            <w:r>
              <w:rPr>
                <w:b/>
              </w:rPr>
              <w:t>Funded by</w:t>
            </w:r>
          </w:p>
        </w:tc>
        <w:tc>
          <w:tcPr>
            <w:tcW w:w="8222" w:type="dxa"/>
          </w:tcPr>
          <w:p w14:paraId="751C2B76" w14:textId="77777777" w:rsidR="00FC3A6B" w:rsidRPr="00F6337B" w:rsidRDefault="00FC3A6B" w:rsidP="008355B0">
            <w:pPr>
              <w:pStyle w:val="TableBullet1"/>
              <w:cnfStyle w:val="000000000000" w:firstRow="0" w:lastRow="0" w:firstColumn="0" w:lastColumn="0" w:oddVBand="0" w:evenVBand="0" w:oddHBand="0" w:evenHBand="0" w:firstRowFirstColumn="0" w:firstRowLastColumn="0" w:lastRowFirstColumn="0" w:lastRowLastColumn="0"/>
            </w:pPr>
            <w:r>
              <w:t xml:space="preserve">Commonwealth funding provided to Prosthetic and Orthotic services in public hospitals </w:t>
            </w:r>
          </w:p>
        </w:tc>
      </w:tr>
      <w:tr w:rsidR="00BC6DD3" w:rsidRPr="00FA30FA" w14:paraId="20FE62B4" w14:textId="77777777" w:rsidTr="008355B0">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55A76A52" w14:textId="77777777" w:rsidR="00FC3A6B" w:rsidRDefault="00FC3A6B" w:rsidP="008355B0">
            <w:pPr>
              <w:pStyle w:val="Tabletextbold"/>
              <w:rPr>
                <w:szCs w:val="20"/>
              </w:rPr>
            </w:pPr>
            <w:r>
              <w:rPr>
                <w:b/>
              </w:rPr>
              <w:t>Role of Australian Government</w:t>
            </w:r>
          </w:p>
        </w:tc>
        <w:tc>
          <w:tcPr>
            <w:tcW w:w="8222" w:type="dxa"/>
          </w:tcPr>
          <w:p w14:paraId="12A6B870" w14:textId="77777777" w:rsidR="00FC3A6B" w:rsidRDefault="00FC3A6B" w:rsidP="008355B0">
            <w:pPr>
              <w:pStyle w:val="TableBullet1"/>
              <w:cnfStyle w:val="000000000000" w:firstRow="0" w:lastRow="0" w:firstColumn="0" w:lastColumn="0" w:oddVBand="0" w:evenVBand="0" w:oddHBand="0" w:evenHBand="0" w:firstRowFirstColumn="0" w:firstRowLastColumn="0" w:lastRowFirstColumn="0" w:lastRowLastColumn="0"/>
            </w:pPr>
            <w:r>
              <w:t>Funds Prosthetic and Orthotic services in public hospitals</w:t>
            </w:r>
          </w:p>
        </w:tc>
      </w:tr>
      <w:tr w:rsidR="00BC6DD3" w:rsidRPr="00FA30FA" w14:paraId="035877C3" w14:textId="77777777" w:rsidTr="008355B0">
        <w:trPr>
          <w:trHeight w:val="576"/>
        </w:trPr>
        <w:tc>
          <w:tcPr>
            <w:cnfStyle w:val="001000000000" w:firstRow="0" w:lastRow="0" w:firstColumn="1" w:lastColumn="0" w:oddVBand="0" w:evenVBand="0" w:oddHBand="0" w:evenHBand="0" w:firstRowFirstColumn="0" w:firstRowLastColumn="0" w:lastRowFirstColumn="0" w:lastRowLastColumn="0"/>
            <w:tcW w:w="1701" w:type="dxa"/>
          </w:tcPr>
          <w:p w14:paraId="5A1D47D7" w14:textId="77777777" w:rsidR="00FC3A6B" w:rsidRDefault="00FC3A6B" w:rsidP="008355B0">
            <w:pPr>
              <w:pStyle w:val="Tabletextbold"/>
              <w:rPr>
                <w:szCs w:val="20"/>
              </w:rPr>
            </w:pPr>
            <w:r>
              <w:rPr>
                <w:b/>
              </w:rPr>
              <w:t>Role of state/territory governments</w:t>
            </w:r>
          </w:p>
        </w:tc>
        <w:tc>
          <w:tcPr>
            <w:tcW w:w="8222" w:type="dxa"/>
          </w:tcPr>
          <w:p w14:paraId="3059E2A4" w14:textId="77777777" w:rsidR="00FC3A6B" w:rsidRDefault="00FC3A6B" w:rsidP="008355B0">
            <w:pPr>
              <w:pStyle w:val="TableBullet1"/>
              <w:cnfStyle w:val="000000000000" w:firstRow="0" w:lastRow="0" w:firstColumn="0" w:lastColumn="0" w:oddVBand="0" w:evenVBand="0" w:oddHBand="0" w:evenHBand="0" w:firstRowFirstColumn="0" w:firstRowLastColumn="0" w:lastRowFirstColumn="0" w:lastRowLastColumn="0"/>
            </w:pPr>
            <w:r>
              <w:t>N/A – funding provided by the Australian Government is managed directly by public hospitals in Victoria</w:t>
            </w:r>
          </w:p>
        </w:tc>
      </w:tr>
    </w:tbl>
    <w:p w14:paraId="73F72092" w14:textId="4DE7A41D" w:rsidR="00060E97" w:rsidRDefault="00FC3A6B" w:rsidP="008355B0">
      <w:pPr>
        <w:pStyle w:val="Caption-Source"/>
        <w:rPr>
          <w:i/>
          <w:szCs w:val="20"/>
        </w:rPr>
      </w:pPr>
      <w:r w:rsidRPr="00E4407E">
        <w:t>Source: The Royal Melbourne Hospital (2024).</w:t>
      </w:r>
      <w:r>
        <w:rPr>
          <w:rFonts w:ascii="ZWAdobeF" w:hAnsi="ZWAdobeF" w:cs="ZWAdobeF"/>
          <w:color w:val="auto"/>
          <w:sz w:val="2"/>
          <w:szCs w:val="2"/>
        </w:rPr>
        <w:t>65F</w:t>
      </w:r>
      <w:r w:rsidRPr="00E4407E">
        <w:rPr>
          <w:rStyle w:val="FootnoteReference"/>
          <w:i/>
          <w:szCs w:val="20"/>
        </w:rPr>
        <w:footnoteReference w:id="189"/>
      </w:r>
      <w:r w:rsidRPr="00E4407E">
        <w:rPr>
          <w:i/>
          <w:szCs w:val="20"/>
        </w:rPr>
        <w:t xml:space="preserve"> </w:t>
      </w:r>
    </w:p>
    <w:p w14:paraId="0D060A88" w14:textId="3706E3B1" w:rsidR="00060E97" w:rsidRDefault="00060E97" w:rsidP="008239ED">
      <w:pPr>
        <w:pStyle w:val="AppendixHeading2"/>
      </w:pPr>
      <w:bookmarkStart w:id="355" w:name="_Toc207348788"/>
      <w:r>
        <w:t>Western Australia</w:t>
      </w:r>
      <w:bookmarkEnd w:id="355"/>
      <w:r>
        <w:t xml:space="preserve"> </w:t>
      </w:r>
    </w:p>
    <w:p w14:paraId="08EA9123" w14:textId="7F322CDF" w:rsidR="00060E97" w:rsidRDefault="00060E97" w:rsidP="00060E97">
      <w:pPr>
        <w:pStyle w:val="Caption"/>
      </w:pPr>
      <w:bookmarkStart w:id="356" w:name="_Ref200977398"/>
      <w:bookmarkStart w:id="357" w:name="_Toc207348694"/>
      <w:r>
        <w:t xml:space="preserve">Table </w:t>
      </w:r>
      <w:r w:rsidR="00E6799D">
        <w:fldChar w:fldCharType="begin"/>
      </w:r>
      <w:r w:rsidR="00E6799D">
        <w:instrText xml:space="preserve"> SEQ Table \* ARABIC </w:instrText>
      </w:r>
      <w:r w:rsidR="00E6799D">
        <w:fldChar w:fldCharType="separate"/>
      </w:r>
      <w:r w:rsidR="00E6799D">
        <w:rPr>
          <w:noProof/>
        </w:rPr>
        <w:t>129</w:t>
      </w:r>
      <w:r w:rsidR="00E6799D">
        <w:rPr>
          <w:noProof/>
        </w:rPr>
        <w:fldChar w:fldCharType="end"/>
      </w:r>
      <w:bookmarkEnd w:id="356"/>
      <w:r>
        <w:t xml:space="preserve">: </w:t>
      </w:r>
      <w:r w:rsidRPr="00FE7CFC">
        <w:t>WALSA funding based on mobility class</w:t>
      </w:r>
      <w:bookmarkEnd w:id="357"/>
    </w:p>
    <w:tbl>
      <w:tblPr>
        <w:tblStyle w:val="KPMGTable"/>
        <w:tblW w:w="10204" w:type="dxa"/>
        <w:tblLook w:val="04A0" w:firstRow="1" w:lastRow="0" w:firstColumn="1" w:lastColumn="0" w:noHBand="0" w:noVBand="1"/>
      </w:tblPr>
      <w:tblGrid>
        <w:gridCol w:w="1560"/>
        <w:gridCol w:w="3108"/>
        <w:gridCol w:w="5536"/>
      </w:tblGrid>
      <w:tr w:rsidR="00E65795" w:rsidRPr="007B154A" w14:paraId="0FCAA7B5" w14:textId="77777777" w:rsidTr="008355B0">
        <w:trPr>
          <w:cnfStyle w:val="100000000000" w:firstRow="1" w:lastRow="0" w:firstColumn="0" w:lastColumn="0" w:oddVBand="0" w:evenVBand="0" w:oddHBand="0"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560" w:type="dxa"/>
          </w:tcPr>
          <w:p w14:paraId="29CE965A" w14:textId="77777777" w:rsidR="00060E97" w:rsidRPr="007B154A" w:rsidRDefault="00060E97" w:rsidP="008355B0">
            <w:pPr>
              <w:pStyle w:val="TableHeading"/>
              <w:rPr>
                <w:b w:val="0"/>
                <w:color w:val="FFFFFF" w:themeColor="background1"/>
                <w:szCs w:val="20"/>
              </w:rPr>
            </w:pPr>
            <w:r>
              <w:t>Mobility class</w:t>
            </w:r>
          </w:p>
        </w:tc>
        <w:tc>
          <w:tcPr>
            <w:tcW w:w="3108" w:type="dxa"/>
          </w:tcPr>
          <w:p w14:paraId="756ABBBB" w14:textId="77777777" w:rsidR="00060E97" w:rsidRPr="007B154A" w:rsidRDefault="00060E97" w:rsidP="008355B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 xml:space="preserve">Foot Component Funding </w:t>
            </w:r>
          </w:p>
        </w:tc>
        <w:tc>
          <w:tcPr>
            <w:tcW w:w="5536" w:type="dxa"/>
          </w:tcPr>
          <w:p w14:paraId="1AB0E840" w14:textId="77777777" w:rsidR="00060E97" w:rsidRDefault="00060E97" w:rsidP="008355B0">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Knee Component Funding</w:t>
            </w:r>
          </w:p>
        </w:tc>
      </w:tr>
      <w:tr w:rsidR="00E65795" w:rsidRPr="00DB7CCC" w14:paraId="69ED5DBD" w14:textId="77777777" w:rsidTr="008355B0">
        <w:trPr>
          <w:trHeight w:val="578"/>
        </w:trPr>
        <w:tc>
          <w:tcPr>
            <w:cnfStyle w:val="001000000000" w:firstRow="0" w:lastRow="0" w:firstColumn="1" w:lastColumn="0" w:oddVBand="0" w:evenVBand="0" w:oddHBand="0" w:evenHBand="0" w:firstRowFirstColumn="0" w:firstRowLastColumn="0" w:lastRowFirstColumn="0" w:lastRowLastColumn="0"/>
            <w:tcW w:w="1560" w:type="dxa"/>
          </w:tcPr>
          <w:p w14:paraId="6C909707" w14:textId="77777777" w:rsidR="00060E97" w:rsidRPr="007B154A" w:rsidRDefault="00060E97" w:rsidP="008355B0">
            <w:pPr>
              <w:pStyle w:val="Tabletextbold"/>
              <w:rPr>
                <w:szCs w:val="20"/>
              </w:rPr>
            </w:pPr>
            <w:r>
              <w:t xml:space="preserve">Class </w:t>
            </w:r>
            <w:r w:rsidRPr="00116C95">
              <w:rPr>
                <w:szCs w:val="20"/>
              </w:rPr>
              <w:t>1</w:t>
            </w:r>
          </w:p>
        </w:tc>
        <w:tc>
          <w:tcPr>
            <w:tcW w:w="3108" w:type="dxa"/>
          </w:tcPr>
          <w:p w14:paraId="01FEE44D" w14:textId="77777777" w:rsidR="00060E97" w:rsidRPr="00DB7CCC" w:rsidRDefault="00060E97" w:rsidP="008355B0">
            <w:pPr>
              <w:pStyle w:val="TableText"/>
              <w:cnfStyle w:val="000000000000" w:firstRow="0" w:lastRow="0" w:firstColumn="0" w:lastColumn="0" w:oddVBand="0" w:evenVBand="0" w:oddHBand="0" w:evenHBand="0" w:firstRowFirstColumn="0" w:firstRowLastColumn="0" w:lastRowFirstColumn="0" w:lastRowLastColumn="0"/>
            </w:pPr>
            <w:r>
              <w:t>Standard SACH foot</w:t>
            </w:r>
          </w:p>
        </w:tc>
        <w:tc>
          <w:tcPr>
            <w:tcW w:w="5536" w:type="dxa"/>
          </w:tcPr>
          <w:p w14:paraId="2A892216" w14:textId="77777777" w:rsidR="00060E97" w:rsidRDefault="00060E97" w:rsidP="008355B0">
            <w:pPr>
              <w:pStyle w:val="TableText"/>
              <w:cnfStyle w:val="000000000000" w:firstRow="0" w:lastRow="0" w:firstColumn="0" w:lastColumn="0" w:oddVBand="0" w:evenVBand="0" w:oddHBand="0" w:evenHBand="0" w:firstRowFirstColumn="0" w:firstRowLastColumn="0" w:lastRowFirstColumn="0" w:lastRowLastColumn="0"/>
            </w:pPr>
            <w:r>
              <w:t>Standard or safety knee</w:t>
            </w:r>
          </w:p>
        </w:tc>
      </w:tr>
      <w:tr w:rsidR="00E65795" w:rsidRPr="00DB7CCC" w14:paraId="336DC3F3" w14:textId="77777777" w:rsidTr="008355B0">
        <w:trPr>
          <w:trHeight w:val="578"/>
        </w:trPr>
        <w:tc>
          <w:tcPr>
            <w:cnfStyle w:val="001000000000" w:firstRow="0" w:lastRow="0" w:firstColumn="1" w:lastColumn="0" w:oddVBand="0" w:evenVBand="0" w:oddHBand="0" w:evenHBand="0" w:firstRowFirstColumn="0" w:firstRowLastColumn="0" w:lastRowFirstColumn="0" w:lastRowLastColumn="0"/>
            <w:tcW w:w="1560" w:type="dxa"/>
          </w:tcPr>
          <w:p w14:paraId="523211E5" w14:textId="77777777" w:rsidR="00060E97" w:rsidRDefault="00060E97" w:rsidP="008355B0">
            <w:pPr>
              <w:pStyle w:val="Tabletextbold"/>
              <w:rPr>
                <w:szCs w:val="20"/>
              </w:rPr>
            </w:pPr>
            <w:r w:rsidRPr="00B3010E">
              <w:t xml:space="preserve">Class </w:t>
            </w:r>
            <w:r>
              <w:rPr>
                <w:szCs w:val="20"/>
              </w:rPr>
              <w:t>2</w:t>
            </w:r>
          </w:p>
        </w:tc>
        <w:tc>
          <w:tcPr>
            <w:tcW w:w="3108" w:type="dxa"/>
          </w:tcPr>
          <w:p w14:paraId="65E57028" w14:textId="77777777" w:rsidR="00060E97" w:rsidRDefault="00060E97" w:rsidP="008355B0">
            <w:pPr>
              <w:pStyle w:val="TableText"/>
              <w:cnfStyle w:val="000000000000" w:firstRow="0" w:lastRow="0" w:firstColumn="0" w:lastColumn="0" w:oddVBand="0" w:evenVBand="0" w:oddHBand="0" w:evenHBand="0" w:firstRowFirstColumn="0" w:firstRowLastColumn="0" w:lastRowFirstColumn="0" w:lastRowLastColumn="0"/>
            </w:pPr>
            <w:r>
              <w:t>Up to $884.49 per foot</w:t>
            </w:r>
          </w:p>
        </w:tc>
        <w:tc>
          <w:tcPr>
            <w:tcW w:w="5536" w:type="dxa"/>
          </w:tcPr>
          <w:p w14:paraId="2E0C92F0" w14:textId="77777777" w:rsidR="00060E97" w:rsidRDefault="00060E97" w:rsidP="008355B0">
            <w:pPr>
              <w:pStyle w:val="TableText"/>
              <w:cnfStyle w:val="000000000000" w:firstRow="0" w:lastRow="0" w:firstColumn="0" w:lastColumn="0" w:oddVBand="0" w:evenVBand="0" w:oddHBand="0" w:evenHBand="0" w:firstRowFirstColumn="0" w:firstRowLastColumn="0" w:lastRowFirstColumn="0" w:lastRowLastColumn="0"/>
            </w:pPr>
            <w:r>
              <w:t>Knee selected by PSP, not exceeding Class 3 knee funding</w:t>
            </w:r>
          </w:p>
        </w:tc>
      </w:tr>
      <w:tr w:rsidR="00E65795" w:rsidRPr="00DB7CCC" w14:paraId="6300D2C3" w14:textId="77777777" w:rsidTr="008355B0">
        <w:trPr>
          <w:trHeight w:val="578"/>
        </w:trPr>
        <w:tc>
          <w:tcPr>
            <w:cnfStyle w:val="001000000000" w:firstRow="0" w:lastRow="0" w:firstColumn="1" w:lastColumn="0" w:oddVBand="0" w:evenVBand="0" w:oddHBand="0" w:evenHBand="0" w:firstRowFirstColumn="0" w:firstRowLastColumn="0" w:lastRowFirstColumn="0" w:lastRowLastColumn="0"/>
            <w:tcW w:w="1560" w:type="dxa"/>
          </w:tcPr>
          <w:p w14:paraId="1503150D" w14:textId="77777777" w:rsidR="00060E97" w:rsidRDefault="00060E97" w:rsidP="008355B0">
            <w:pPr>
              <w:pStyle w:val="Tabletextbold"/>
              <w:rPr>
                <w:szCs w:val="20"/>
              </w:rPr>
            </w:pPr>
            <w:r w:rsidRPr="00B3010E">
              <w:t xml:space="preserve">Class </w:t>
            </w:r>
            <w:r>
              <w:rPr>
                <w:szCs w:val="20"/>
              </w:rPr>
              <w:t>3</w:t>
            </w:r>
          </w:p>
        </w:tc>
        <w:tc>
          <w:tcPr>
            <w:tcW w:w="3108" w:type="dxa"/>
          </w:tcPr>
          <w:p w14:paraId="324B4A0C" w14:textId="77777777" w:rsidR="00060E97" w:rsidRDefault="00060E97" w:rsidP="008355B0">
            <w:pPr>
              <w:pStyle w:val="TableText"/>
              <w:cnfStyle w:val="000000000000" w:firstRow="0" w:lastRow="0" w:firstColumn="0" w:lastColumn="0" w:oddVBand="0" w:evenVBand="0" w:oddHBand="0" w:evenHBand="0" w:firstRowFirstColumn="0" w:firstRowLastColumn="0" w:lastRowFirstColumn="0" w:lastRowLastColumn="0"/>
            </w:pPr>
            <w:r>
              <w:t>Up to $884.49 per foot</w:t>
            </w:r>
          </w:p>
        </w:tc>
        <w:tc>
          <w:tcPr>
            <w:tcW w:w="5536" w:type="dxa"/>
          </w:tcPr>
          <w:p w14:paraId="0D647C4A" w14:textId="77777777" w:rsidR="00060E97" w:rsidRDefault="00060E97" w:rsidP="008355B0">
            <w:pPr>
              <w:pStyle w:val="TableText"/>
              <w:cnfStyle w:val="000000000000" w:firstRow="0" w:lastRow="0" w:firstColumn="0" w:lastColumn="0" w:oddVBand="0" w:evenVBand="0" w:oddHBand="0" w:evenHBand="0" w:firstRowFirstColumn="0" w:firstRowLastColumn="0" w:lastRowFirstColumn="0" w:lastRowLastColumn="0"/>
            </w:pPr>
            <w:r>
              <w:t>Up to $3,007.66 per knee</w:t>
            </w:r>
          </w:p>
        </w:tc>
      </w:tr>
      <w:tr w:rsidR="00E65795" w:rsidRPr="00DB7CCC" w14:paraId="2599F219" w14:textId="77777777" w:rsidTr="008355B0">
        <w:trPr>
          <w:trHeight w:val="578"/>
        </w:trPr>
        <w:tc>
          <w:tcPr>
            <w:cnfStyle w:val="001000000000" w:firstRow="0" w:lastRow="0" w:firstColumn="1" w:lastColumn="0" w:oddVBand="0" w:evenVBand="0" w:oddHBand="0" w:evenHBand="0" w:firstRowFirstColumn="0" w:firstRowLastColumn="0" w:lastRowFirstColumn="0" w:lastRowLastColumn="0"/>
            <w:tcW w:w="1560" w:type="dxa"/>
          </w:tcPr>
          <w:p w14:paraId="31A25F4D" w14:textId="77777777" w:rsidR="00060E97" w:rsidRDefault="00060E97" w:rsidP="008355B0">
            <w:pPr>
              <w:pStyle w:val="Tabletextbold"/>
              <w:rPr>
                <w:szCs w:val="20"/>
              </w:rPr>
            </w:pPr>
            <w:r w:rsidRPr="00B3010E">
              <w:t xml:space="preserve">Class </w:t>
            </w:r>
            <w:r>
              <w:rPr>
                <w:szCs w:val="20"/>
              </w:rPr>
              <w:t>4</w:t>
            </w:r>
          </w:p>
        </w:tc>
        <w:tc>
          <w:tcPr>
            <w:tcW w:w="3108" w:type="dxa"/>
          </w:tcPr>
          <w:p w14:paraId="3D2EEC5B" w14:textId="77777777" w:rsidR="00060E97" w:rsidRDefault="00060E97" w:rsidP="008355B0">
            <w:pPr>
              <w:pStyle w:val="TableText"/>
              <w:cnfStyle w:val="000000000000" w:firstRow="0" w:lastRow="0" w:firstColumn="0" w:lastColumn="0" w:oddVBand="0" w:evenVBand="0" w:oddHBand="0" w:evenHBand="0" w:firstRowFirstColumn="0" w:firstRowLastColumn="0" w:lastRowFirstColumn="0" w:lastRowLastColumn="0"/>
            </w:pPr>
            <w:r>
              <w:t>Up to $</w:t>
            </w:r>
            <w:r w:rsidRPr="00116C95">
              <w:t>1</w:t>
            </w:r>
            <w:r>
              <w:t>,353.75 per foot</w:t>
            </w:r>
          </w:p>
        </w:tc>
        <w:tc>
          <w:tcPr>
            <w:tcW w:w="5536" w:type="dxa"/>
          </w:tcPr>
          <w:p w14:paraId="4C2E41AA" w14:textId="77777777" w:rsidR="00060E97" w:rsidRDefault="00060E97" w:rsidP="008355B0">
            <w:pPr>
              <w:pStyle w:val="TableText"/>
              <w:cnfStyle w:val="000000000000" w:firstRow="0" w:lastRow="0" w:firstColumn="0" w:lastColumn="0" w:oddVBand="0" w:evenVBand="0" w:oddHBand="0" w:evenHBand="0" w:firstRowFirstColumn="0" w:firstRowLastColumn="0" w:lastRowFirstColumn="0" w:lastRowLastColumn="0"/>
            </w:pPr>
            <w:r>
              <w:t>Up to $3,329.85 per knee</w:t>
            </w:r>
          </w:p>
        </w:tc>
      </w:tr>
    </w:tbl>
    <w:p w14:paraId="1DE96CAB" w14:textId="77777777" w:rsidR="00060E97" w:rsidRPr="006C53CF" w:rsidRDefault="00060E97" w:rsidP="008355B0">
      <w:pPr>
        <w:pStyle w:val="Caption-Source"/>
        <w:rPr>
          <w:i/>
          <w:szCs w:val="20"/>
        </w:rPr>
      </w:pPr>
      <w:r w:rsidRPr="006C53CF">
        <w:t>Source: Healthy WA (2022)</w:t>
      </w:r>
      <w:r>
        <w:rPr>
          <w:rFonts w:ascii="ZWAdobeF" w:hAnsi="ZWAdobeF" w:cs="ZWAdobeF"/>
          <w:color w:val="auto"/>
          <w:sz w:val="2"/>
          <w:szCs w:val="2"/>
        </w:rPr>
        <w:t>69F</w:t>
      </w:r>
      <w:r w:rsidRPr="006C53CF">
        <w:rPr>
          <w:rStyle w:val="FootnoteReference"/>
          <w:i/>
          <w:szCs w:val="20"/>
        </w:rPr>
        <w:footnoteReference w:id="190"/>
      </w:r>
    </w:p>
    <w:p w14:paraId="59D243B8" w14:textId="09086A6B" w:rsidR="002F2966" w:rsidRDefault="002F2966" w:rsidP="002F2966">
      <w:pPr>
        <w:pStyle w:val="Caption"/>
      </w:pPr>
      <w:bookmarkStart w:id="358" w:name="_Ref199322423"/>
      <w:bookmarkStart w:id="359" w:name="_Toc207348695"/>
      <w:r>
        <w:t xml:space="preserve">Table </w:t>
      </w:r>
      <w:r w:rsidR="00E6799D">
        <w:fldChar w:fldCharType="begin"/>
      </w:r>
      <w:r w:rsidR="00E6799D">
        <w:instrText xml:space="preserve"> SEQ Table \* ARABIC </w:instrText>
      </w:r>
      <w:r w:rsidR="00E6799D">
        <w:fldChar w:fldCharType="separate"/>
      </w:r>
      <w:r w:rsidR="00E6799D">
        <w:rPr>
          <w:noProof/>
        </w:rPr>
        <w:t>130</w:t>
      </w:r>
      <w:r w:rsidR="00E6799D">
        <w:rPr>
          <w:noProof/>
        </w:rPr>
        <w:fldChar w:fldCharType="end"/>
      </w:r>
      <w:bookmarkEnd w:id="358"/>
      <w:r>
        <w:t xml:space="preserve">: </w:t>
      </w:r>
      <w:r w:rsidRPr="00CC4A50">
        <w:t>WALSA details</w:t>
      </w:r>
      <w:bookmarkEnd w:id="359"/>
    </w:p>
    <w:tbl>
      <w:tblPr>
        <w:tblStyle w:val="KPMGTable"/>
        <w:tblW w:w="10187" w:type="dxa"/>
        <w:tblLook w:val="04A0" w:firstRow="1" w:lastRow="0" w:firstColumn="1" w:lastColumn="0" w:noHBand="0" w:noVBand="1"/>
      </w:tblPr>
      <w:tblGrid>
        <w:gridCol w:w="1745"/>
        <w:gridCol w:w="8442"/>
      </w:tblGrid>
      <w:tr w:rsidR="00467133" w:rsidRPr="007B154A" w14:paraId="34520602" w14:textId="77777777" w:rsidTr="00364BDF">
        <w:trPr>
          <w:cnfStyle w:val="100000000000" w:firstRow="1" w:lastRow="0" w:firstColumn="0" w:lastColumn="0" w:oddVBand="0" w:evenVBand="0" w:oddHBand="0"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1745" w:type="dxa"/>
          </w:tcPr>
          <w:p w14:paraId="727CDF54" w14:textId="77777777" w:rsidR="002F2966" w:rsidRPr="007B154A" w:rsidRDefault="002F2966" w:rsidP="00364BDF">
            <w:pPr>
              <w:pStyle w:val="TableHeading"/>
              <w:rPr>
                <w:b w:val="0"/>
                <w:color w:val="FFFFFF" w:themeColor="background1"/>
                <w:szCs w:val="20"/>
              </w:rPr>
            </w:pPr>
            <w:r>
              <w:t>Category</w:t>
            </w:r>
          </w:p>
        </w:tc>
        <w:tc>
          <w:tcPr>
            <w:tcW w:w="8442" w:type="dxa"/>
          </w:tcPr>
          <w:p w14:paraId="3B909287" w14:textId="77777777" w:rsidR="002F2966" w:rsidRPr="007B154A" w:rsidRDefault="002F2966" w:rsidP="00364BDF">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20"/>
              </w:rPr>
            </w:pPr>
            <w:r>
              <w:t xml:space="preserve">Description </w:t>
            </w:r>
          </w:p>
        </w:tc>
      </w:tr>
      <w:tr w:rsidR="00E65795" w:rsidRPr="001B05CB" w14:paraId="533B0D7E" w14:textId="77777777" w:rsidTr="00364BDF">
        <w:trPr>
          <w:trHeight w:val="595"/>
        </w:trPr>
        <w:tc>
          <w:tcPr>
            <w:cnfStyle w:val="001000000000" w:firstRow="0" w:lastRow="0" w:firstColumn="1" w:lastColumn="0" w:oddVBand="0" w:evenVBand="0" w:oddHBand="0" w:evenHBand="0" w:firstRowFirstColumn="0" w:firstRowLastColumn="0" w:lastRowFirstColumn="0" w:lastRowLastColumn="0"/>
            <w:tcW w:w="1745" w:type="dxa"/>
          </w:tcPr>
          <w:p w14:paraId="49BD40B6" w14:textId="77777777" w:rsidR="002F2966" w:rsidRPr="007B154A" w:rsidRDefault="002F2966" w:rsidP="00364BDF">
            <w:pPr>
              <w:pStyle w:val="Tabletextbold"/>
              <w:rPr>
                <w:szCs w:val="20"/>
              </w:rPr>
            </w:pPr>
            <w:r>
              <w:rPr>
                <w:b/>
              </w:rPr>
              <w:t>Eligibility</w:t>
            </w:r>
            <w:r w:rsidRPr="007B154A">
              <w:rPr>
                <w:szCs w:val="20"/>
              </w:rPr>
              <w:t xml:space="preserve"> </w:t>
            </w:r>
            <w:r>
              <w:rPr>
                <w:szCs w:val="20"/>
              </w:rPr>
              <w:t>criteria</w:t>
            </w:r>
          </w:p>
        </w:tc>
        <w:tc>
          <w:tcPr>
            <w:tcW w:w="8442" w:type="dxa"/>
          </w:tcPr>
          <w:p w14:paraId="7C68529E" w14:textId="77777777" w:rsidR="002F2966" w:rsidRDefault="002F2966" w:rsidP="00364BDF">
            <w:pPr>
              <w:pStyle w:val="TableText"/>
              <w:cnfStyle w:val="000000000000" w:firstRow="0" w:lastRow="0" w:firstColumn="0" w:lastColumn="0" w:oddVBand="0" w:evenVBand="0" w:oddHBand="0" w:evenHBand="0" w:firstRowFirstColumn="0" w:firstRowLastColumn="0" w:lastRowFirstColumn="0" w:lastRowLastColumn="0"/>
            </w:pPr>
            <w:r>
              <w:t>Interim prosthesis:</w:t>
            </w:r>
          </w:p>
          <w:p w14:paraId="493662B2" w14:textId="77777777" w:rsidR="002F2966" w:rsidRDefault="002F2966" w:rsidP="00364BDF">
            <w:pPr>
              <w:pStyle w:val="TableBullet1"/>
              <w:cnfStyle w:val="000000000000" w:firstRow="0" w:lastRow="0" w:firstColumn="0" w:lastColumn="0" w:oddVBand="0" w:evenVBand="0" w:oddHBand="0" w:evenHBand="0" w:firstRowFirstColumn="0" w:firstRowLastColumn="0" w:lastRowFirstColumn="0" w:lastRowLastColumn="0"/>
            </w:pPr>
            <w:r>
              <w:t>All age groups requiring an interim prosthesis for the completion of a rehabilitation program</w:t>
            </w:r>
          </w:p>
          <w:p w14:paraId="467524B3" w14:textId="77777777" w:rsidR="002F2966" w:rsidRDefault="002F2966" w:rsidP="00364BDF">
            <w:pPr>
              <w:pStyle w:val="TableBullet1"/>
              <w:cnfStyle w:val="000000000000" w:firstRow="0" w:lastRow="0" w:firstColumn="0" w:lastColumn="0" w:oddVBand="0" w:evenVBand="0" w:oddHBand="0" w:evenHBand="0" w:firstRowFirstColumn="0" w:firstRowLastColumn="0" w:lastRowFirstColumn="0" w:lastRowLastColumn="0"/>
            </w:pPr>
            <w:r w:rsidRPr="0080535E">
              <w:t xml:space="preserve">Holds a current green Medicare card </w:t>
            </w:r>
          </w:p>
          <w:p w14:paraId="170DBF4C" w14:textId="77777777" w:rsidR="002F2966" w:rsidRDefault="002F2966" w:rsidP="00364BDF">
            <w:pPr>
              <w:pStyle w:val="TableText"/>
              <w:cnfStyle w:val="000000000000" w:firstRow="0" w:lastRow="0" w:firstColumn="0" w:lastColumn="0" w:oddVBand="0" w:evenVBand="0" w:oddHBand="0" w:evenHBand="0" w:firstRowFirstColumn="0" w:firstRowLastColumn="0" w:lastRowFirstColumn="0" w:lastRowLastColumn="0"/>
            </w:pPr>
            <w:r>
              <w:t>Definitive prosthesis:</w:t>
            </w:r>
          </w:p>
          <w:p w14:paraId="0570790A" w14:textId="77777777" w:rsidR="002F2966" w:rsidRDefault="002F2966" w:rsidP="00364BDF">
            <w:pPr>
              <w:pStyle w:val="TableBullet1"/>
              <w:cnfStyle w:val="000000000000" w:firstRow="0" w:lastRow="0" w:firstColumn="0" w:lastColumn="0" w:oddVBand="0" w:evenVBand="0" w:oddHBand="0" w:evenHBand="0" w:firstRowFirstColumn="0" w:firstRowLastColumn="0" w:lastRowFirstColumn="0" w:lastRowLastColumn="0"/>
            </w:pPr>
            <w:r>
              <w:t xml:space="preserve">A permanent WA resident, and </w:t>
            </w:r>
          </w:p>
          <w:p w14:paraId="46E03179" w14:textId="77777777" w:rsidR="002F2966" w:rsidRDefault="002F2966" w:rsidP="00364BDF">
            <w:pPr>
              <w:pStyle w:val="TableBullet1"/>
              <w:cnfStyle w:val="000000000000" w:firstRow="0" w:lastRow="0" w:firstColumn="0" w:lastColumn="0" w:oddVBand="0" w:evenVBand="0" w:oddHBand="0" w:evenHBand="0" w:firstRowFirstColumn="0" w:firstRowLastColumn="0" w:lastRowFirstColumn="0" w:lastRowLastColumn="0"/>
            </w:pPr>
            <w:r>
              <w:t xml:space="preserve">Holds a current green Medicare card or protected special category visa, and </w:t>
            </w:r>
          </w:p>
          <w:p w14:paraId="21D6DBAE" w14:textId="77777777" w:rsidR="002F2966" w:rsidRPr="00DB7CCC" w:rsidRDefault="002F2966" w:rsidP="00364BDF">
            <w:pPr>
              <w:pStyle w:val="TableBullet1"/>
              <w:cnfStyle w:val="000000000000" w:firstRow="0" w:lastRow="0" w:firstColumn="0" w:lastColumn="0" w:oddVBand="0" w:evenVBand="0" w:oddHBand="0" w:evenHBand="0" w:firstRowFirstColumn="0" w:firstRowLastColumn="0" w:lastRowFirstColumn="0" w:lastRowLastColumn="0"/>
            </w:pPr>
            <w:r>
              <w:t>Has</w:t>
            </w:r>
            <w:r w:rsidRPr="00DB7CCC">
              <w:t xml:space="preserve"> completed a ‘rehabilitation program’ using an interim prosthesis, been assessed by the rehabilitation consultant and deemed competent and suitable to use a prosthetic limb</w:t>
            </w:r>
            <w:r>
              <w:t xml:space="preserve">, and </w:t>
            </w:r>
          </w:p>
          <w:p w14:paraId="4AB66B31" w14:textId="77777777" w:rsidR="002F2966" w:rsidRPr="00DB7CCC" w:rsidRDefault="002F2966" w:rsidP="00364BDF">
            <w:pPr>
              <w:pStyle w:val="TableBullet1"/>
              <w:cnfStyle w:val="000000000000" w:firstRow="0" w:lastRow="0" w:firstColumn="0" w:lastColumn="0" w:oddVBand="0" w:evenVBand="0" w:oddHBand="0" w:evenHBand="0" w:firstRowFirstColumn="0" w:firstRowLastColumn="0" w:lastRowFirstColumn="0" w:lastRowLastColumn="0"/>
            </w:pPr>
            <w:r w:rsidRPr="00DB7CCC">
              <w:t xml:space="preserve">are not obtaining prosthetic funding support or services through another government agency or state service. </w:t>
            </w:r>
          </w:p>
        </w:tc>
      </w:tr>
      <w:tr w:rsidR="00E65795" w:rsidRPr="00FA30FA" w14:paraId="3C8193BD" w14:textId="77777777" w:rsidTr="00364BDF">
        <w:trPr>
          <w:trHeight w:val="593"/>
        </w:trPr>
        <w:tc>
          <w:tcPr>
            <w:cnfStyle w:val="001000000000" w:firstRow="0" w:lastRow="0" w:firstColumn="1" w:lastColumn="0" w:oddVBand="0" w:evenVBand="0" w:oddHBand="0" w:evenHBand="0" w:firstRowFirstColumn="0" w:firstRowLastColumn="0" w:lastRowFirstColumn="0" w:lastRowLastColumn="0"/>
            <w:tcW w:w="1745" w:type="dxa"/>
          </w:tcPr>
          <w:p w14:paraId="1B817AAF" w14:textId="77777777" w:rsidR="002F2966" w:rsidRPr="007B154A" w:rsidRDefault="002F2966" w:rsidP="00364BDF">
            <w:pPr>
              <w:pStyle w:val="Tabletextbold"/>
              <w:rPr>
                <w:szCs w:val="20"/>
              </w:rPr>
            </w:pPr>
            <w:r>
              <w:rPr>
                <w:b/>
              </w:rPr>
              <w:t>Products and services included</w:t>
            </w:r>
          </w:p>
        </w:tc>
        <w:tc>
          <w:tcPr>
            <w:tcW w:w="8442" w:type="dxa"/>
          </w:tcPr>
          <w:p w14:paraId="514C523B" w14:textId="77777777" w:rsidR="002F2966" w:rsidRDefault="002F2966" w:rsidP="00364BDF">
            <w:pPr>
              <w:pStyle w:val="TableText"/>
              <w:cnfStyle w:val="000000000000" w:firstRow="0" w:lastRow="0" w:firstColumn="0" w:lastColumn="0" w:oddVBand="0" w:evenVBand="0" w:oddHBand="0" w:evenHBand="0" w:firstRowFirstColumn="0" w:firstRowLastColumn="0" w:lastRowFirstColumn="0" w:lastRowLastColumn="0"/>
            </w:pPr>
            <w:r>
              <w:t>Upper and lower limb prostheses including:</w:t>
            </w:r>
          </w:p>
          <w:p w14:paraId="77FB8649" w14:textId="77777777" w:rsidR="002F2966" w:rsidRDefault="002F2966" w:rsidP="00364BDF">
            <w:pPr>
              <w:pStyle w:val="TableBullet1"/>
              <w:cnfStyle w:val="000000000000" w:firstRow="0" w:lastRow="0" w:firstColumn="0" w:lastColumn="0" w:oddVBand="0" w:evenVBand="0" w:oddHBand="0" w:evenHBand="0" w:firstRowFirstColumn="0" w:firstRowLastColumn="0" w:lastRowFirstColumn="0" w:lastRowLastColumn="0"/>
            </w:pPr>
            <w:r w:rsidRPr="008F2293">
              <w:t>Interim Prostheses</w:t>
            </w:r>
          </w:p>
          <w:p w14:paraId="075B8B18" w14:textId="77777777" w:rsidR="002F2966" w:rsidRDefault="002F2966" w:rsidP="00364BDF">
            <w:pPr>
              <w:pStyle w:val="TableBullet1"/>
              <w:cnfStyle w:val="000000000000" w:firstRow="0" w:lastRow="0" w:firstColumn="0" w:lastColumn="0" w:oddVBand="0" w:evenVBand="0" w:oddHBand="0" w:evenHBand="0" w:firstRowFirstColumn="0" w:firstRowLastColumn="0" w:lastRowFirstColumn="0" w:lastRowLastColumn="0"/>
            </w:pPr>
            <w:r>
              <w:t>One</w:t>
            </w:r>
            <w:r w:rsidRPr="008F2293">
              <w:t xml:space="preserve"> standard permanent prosthesis per limb which could include Standard </w:t>
            </w:r>
            <w:r>
              <w:t>SACH</w:t>
            </w:r>
            <w:r w:rsidRPr="008F2293">
              <w:t xml:space="preserve"> foot, standard knee or safety knee</w:t>
            </w:r>
          </w:p>
          <w:p w14:paraId="5DF3D2D6" w14:textId="77777777" w:rsidR="002F2966" w:rsidRPr="008F2293" w:rsidRDefault="002F2966" w:rsidP="00364BDF">
            <w:pPr>
              <w:pStyle w:val="TableText"/>
              <w:cnfStyle w:val="000000000000" w:firstRow="0" w:lastRow="0" w:firstColumn="0" w:lastColumn="0" w:oddVBand="0" w:evenVBand="0" w:oddHBand="0" w:evenHBand="0" w:firstRowFirstColumn="0" w:firstRowLastColumn="0" w:lastRowFirstColumn="0" w:lastRowLastColumn="0"/>
            </w:pPr>
            <w:r>
              <w:t>Annual consumable items per limb, including:</w:t>
            </w:r>
          </w:p>
          <w:p w14:paraId="6DEC41A4" w14:textId="77777777" w:rsidR="002F2966" w:rsidRPr="008F2293" w:rsidRDefault="002F2966" w:rsidP="00364BDF">
            <w:pPr>
              <w:pStyle w:val="TableBullet1"/>
              <w:cnfStyle w:val="000000000000" w:firstRow="0" w:lastRow="0" w:firstColumn="0" w:lastColumn="0" w:oddVBand="0" w:evenVBand="0" w:oddHBand="0" w:evenHBand="0" w:firstRowFirstColumn="0" w:firstRowLastColumn="0" w:lastRowFirstColumn="0" w:lastRowLastColumn="0"/>
            </w:pPr>
            <w:r w:rsidRPr="008F2293">
              <w:t>2 cosmetic gloves</w:t>
            </w:r>
          </w:p>
          <w:p w14:paraId="1B9F31FB" w14:textId="77777777" w:rsidR="002F2966" w:rsidRPr="008F2293" w:rsidRDefault="002F2966" w:rsidP="00364BDF">
            <w:pPr>
              <w:pStyle w:val="TableBullet1"/>
              <w:cnfStyle w:val="000000000000" w:firstRow="0" w:lastRow="0" w:firstColumn="0" w:lastColumn="0" w:oddVBand="0" w:evenVBand="0" w:oddHBand="0" w:evenHBand="0" w:firstRowFirstColumn="0" w:firstRowLastColumn="0" w:lastRowFirstColumn="0" w:lastRowLastColumn="0"/>
            </w:pPr>
            <w:r w:rsidRPr="008F2293">
              <w:t>12 stockings</w:t>
            </w:r>
          </w:p>
          <w:p w14:paraId="454D3855" w14:textId="77777777" w:rsidR="002F2966" w:rsidRPr="008F2293" w:rsidRDefault="002F2966" w:rsidP="00364BDF">
            <w:pPr>
              <w:pStyle w:val="TableBullet1"/>
              <w:cnfStyle w:val="000000000000" w:firstRow="0" w:lastRow="0" w:firstColumn="0" w:lastColumn="0" w:oddVBand="0" w:evenVBand="0" w:oddHBand="0" w:evenHBand="0" w:firstRowFirstColumn="0" w:firstRowLastColumn="0" w:lastRowFirstColumn="0" w:lastRowLastColumn="0"/>
            </w:pPr>
            <w:r w:rsidRPr="008F2293">
              <w:t>1 donning aid</w:t>
            </w:r>
          </w:p>
          <w:p w14:paraId="3E770007" w14:textId="77777777" w:rsidR="002F2966" w:rsidRPr="008F2293" w:rsidRDefault="002F2966" w:rsidP="00364BDF">
            <w:pPr>
              <w:pStyle w:val="TableBullet1"/>
              <w:cnfStyle w:val="000000000000" w:firstRow="0" w:lastRow="0" w:firstColumn="0" w:lastColumn="0" w:oddVBand="0" w:evenVBand="0" w:oddHBand="0" w:evenHBand="0" w:firstRowFirstColumn="0" w:firstRowLastColumn="0" w:lastRowFirstColumn="0" w:lastRowLastColumn="0"/>
            </w:pPr>
            <w:r w:rsidRPr="008F2293">
              <w:t xml:space="preserve">6 gel socks </w:t>
            </w:r>
          </w:p>
          <w:p w14:paraId="7648DCA3" w14:textId="77777777" w:rsidR="002F2966" w:rsidRPr="008F2293" w:rsidRDefault="002F2966" w:rsidP="00364BDF">
            <w:pPr>
              <w:pStyle w:val="TableBullet1"/>
              <w:cnfStyle w:val="000000000000" w:firstRow="0" w:lastRow="0" w:firstColumn="0" w:lastColumn="0" w:oddVBand="0" w:evenVBand="0" w:oddHBand="0" w:evenHBand="0" w:firstRowFirstColumn="0" w:firstRowLastColumn="0" w:lastRowFirstColumn="0" w:lastRowLastColumn="0"/>
            </w:pPr>
            <w:r w:rsidRPr="008F2293">
              <w:t xml:space="preserve">4 liners </w:t>
            </w:r>
          </w:p>
          <w:p w14:paraId="64456015" w14:textId="77777777" w:rsidR="002F2966" w:rsidRPr="008F2293" w:rsidRDefault="002F2966" w:rsidP="00364BDF">
            <w:pPr>
              <w:pStyle w:val="TableBullet1"/>
              <w:cnfStyle w:val="000000000000" w:firstRow="0" w:lastRow="0" w:firstColumn="0" w:lastColumn="0" w:oddVBand="0" w:evenVBand="0" w:oddHBand="0" w:evenHBand="0" w:firstRowFirstColumn="0" w:firstRowLastColumn="0" w:lastRowFirstColumn="0" w:lastRowLastColumn="0"/>
            </w:pPr>
            <w:r>
              <w:t>L</w:t>
            </w:r>
            <w:r w:rsidRPr="008F2293">
              <w:t>otions/creams/sprays as required</w:t>
            </w:r>
          </w:p>
          <w:p w14:paraId="54840408" w14:textId="77777777" w:rsidR="002F2966" w:rsidRPr="008F2293" w:rsidRDefault="002F2966" w:rsidP="00364BDF">
            <w:pPr>
              <w:pStyle w:val="TableBullet1"/>
              <w:cnfStyle w:val="000000000000" w:firstRow="0" w:lastRow="0" w:firstColumn="0" w:lastColumn="0" w:oddVBand="0" w:evenVBand="0" w:oddHBand="0" w:evenHBand="0" w:firstRowFirstColumn="0" w:firstRowLastColumn="0" w:lastRowFirstColumn="0" w:lastRowLastColumn="0"/>
            </w:pPr>
            <w:r w:rsidRPr="008F2293">
              <w:t>6 sheaths</w:t>
            </w:r>
          </w:p>
          <w:p w14:paraId="679B9127" w14:textId="77777777" w:rsidR="002F2966" w:rsidRPr="008F2293" w:rsidRDefault="002F2966" w:rsidP="00364BDF">
            <w:pPr>
              <w:pStyle w:val="TableBullet1"/>
              <w:cnfStyle w:val="000000000000" w:firstRow="0" w:lastRow="0" w:firstColumn="0" w:lastColumn="0" w:oddVBand="0" w:evenVBand="0" w:oddHBand="0" w:evenHBand="0" w:firstRowFirstColumn="0" w:firstRowLastColumn="0" w:lastRowFirstColumn="0" w:lastRowLastColumn="0"/>
            </w:pPr>
            <w:r w:rsidRPr="008F2293">
              <w:t xml:space="preserve">24 socks </w:t>
            </w:r>
          </w:p>
          <w:p w14:paraId="561C74BC" w14:textId="77777777" w:rsidR="002F2966" w:rsidRPr="008F2293" w:rsidRDefault="002F2966" w:rsidP="00364BDF">
            <w:pPr>
              <w:pStyle w:val="TableBullet1"/>
              <w:cnfStyle w:val="000000000000" w:firstRow="0" w:lastRow="0" w:firstColumn="0" w:lastColumn="0" w:oddVBand="0" w:evenVBand="0" w:oddHBand="0" w:evenHBand="0" w:firstRowFirstColumn="0" w:firstRowLastColumn="0" w:lastRowFirstColumn="0" w:lastRowLastColumn="0"/>
            </w:pPr>
            <w:r w:rsidRPr="008F2293">
              <w:t>2 stump shrinkers</w:t>
            </w:r>
          </w:p>
          <w:p w14:paraId="1CB73BE5" w14:textId="77777777" w:rsidR="002F2966" w:rsidRPr="009C50A4" w:rsidRDefault="002F2966" w:rsidP="00364BDF">
            <w:pPr>
              <w:pStyle w:val="TableBullet1"/>
              <w:cnfStyle w:val="000000000000" w:firstRow="0" w:lastRow="0" w:firstColumn="0" w:lastColumn="0" w:oddVBand="0" w:evenVBand="0" w:oddHBand="0" w:evenHBand="0" w:firstRowFirstColumn="0" w:firstRowLastColumn="0" w:lastRowFirstColumn="0" w:lastRowLastColumn="0"/>
            </w:pPr>
            <w:r w:rsidRPr="008F2293">
              <w:t>4 suspension sleeves</w:t>
            </w:r>
          </w:p>
        </w:tc>
      </w:tr>
      <w:tr w:rsidR="00E65795" w:rsidRPr="00FA30FA" w14:paraId="03559C3D" w14:textId="77777777" w:rsidTr="00364BDF">
        <w:trPr>
          <w:trHeight w:val="593"/>
        </w:trPr>
        <w:tc>
          <w:tcPr>
            <w:cnfStyle w:val="001000000000" w:firstRow="0" w:lastRow="0" w:firstColumn="1" w:lastColumn="0" w:oddVBand="0" w:evenVBand="0" w:oddHBand="0" w:evenHBand="0" w:firstRowFirstColumn="0" w:firstRowLastColumn="0" w:lastRowFirstColumn="0" w:lastRowLastColumn="0"/>
            <w:tcW w:w="1745" w:type="dxa"/>
          </w:tcPr>
          <w:p w14:paraId="520D8171" w14:textId="77777777" w:rsidR="002F2966" w:rsidRDefault="002F2966" w:rsidP="00364BDF">
            <w:pPr>
              <w:pStyle w:val="Tabletextbold"/>
              <w:rPr>
                <w:szCs w:val="20"/>
              </w:rPr>
            </w:pPr>
            <w:r>
              <w:rPr>
                <w:b/>
              </w:rPr>
              <w:t>Cost coverage</w:t>
            </w:r>
          </w:p>
        </w:tc>
        <w:tc>
          <w:tcPr>
            <w:tcW w:w="8442" w:type="dxa"/>
          </w:tcPr>
          <w:p w14:paraId="6B2BA656" w14:textId="77777777" w:rsidR="002F2966" w:rsidRDefault="002F2966" w:rsidP="00364BDF">
            <w:pPr>
              <w:pStyle w:val="TableBullet1"/>
              <w:cnfStyle w:val="000000000000" w:firstRow="0" w:lastRow="0" w:firstColumn="0" w:lastColumn="0" w:oddVBand="0" w:evenVBand="0" w:oddHBand="0" w:evenHBand="0" w:firstRowFirstColumn="0" w:firstRowLastColumn="0" w:lastRowFirstColumn="0" w:lastRowLastColumn="0"/>
            </w:pPr>
            <w:r w:rsidRPr="004E28A5">
              <w:t xml:space="preserve">WALSA will contribute up to the maximum funding levels for registered WALSA </w:t>
            </w:r>
            <w:r>
              <w:t>individuals</w:t>
            </w:r>
            <w:r w:rsidRPr="004E28A5">
              <w:t xml:space="preserve"> by the relevant mobility class for the purchase of non-standard componentry. </w:t>
            </w:r>
          </w:p>
          <w:p w14:paraId="04992CBA" w14:textId="77777777" w:rsidR="002F2966" w:rsidRPr="009C1931" w:rsidRDefault="002F2966" w:rsidP="00364BDF">
            <w:pPr>
              <w:pStyle w:val="TableBullet1"/>
              <w:cnfStyle w:val="000000000000" w:firstRow="0" w:lastRow="0" w:firstColumn="0" w:lastColumn="0" w:oddVBand="0" w:evenVBand="0" w:oddHBand="0" w:evenHBand="0" w:firstRowFirstColumn="0" w:firstRowLastColumn="0" w:lastRowFirstColumn="0" w:lastRowLastColumn="0"/>
            </w:pPr>
            <w:r>
              <w:t>Individuals may</w:t>
            </w:r>
            <w:r w:rsidRPr="004E28A5">
              <w:t xml:space="preserve"> provide additional funding themselves to purchase an alternative prosthesis</w:t>
            </w:r>
          </w:p>
        </w:tc>
      </w:tr>
      <w:tr w:rsidR="00E65795" w:rsidRPr="00FA30FA" w14:paraId="5BCFFC70" w14:textId="77777777" w:rsidTr="00364BDF">
        <w:trPr>
          <w:trHeight w:val="593"/>
        </w:trPr>
        <w:tc>
          <w:tcPr>
            <w:cnfStyle w:val="001000000000" w:firstRow="0" w:lastRow="0" w:firstColumn="1" w:lastColumn="0" w:oddVBand="0" w:evenVBand="0" w:oddHBand="0" w:evenHBand="0" w:firstRowFirstColumn="0" w:firstRowLastColumn="0" w:lastRowFirstColumn="0" w:lastRowLastColumn="0"/>
            <w:tcW w:w="1745" w:type="dxa"/>
          </w:tcPr>
          <w:p w14:paraId="06577A46" w14:textId="77777777" w:rsidR="002F2966" w:rsidRDefault="002F2966" w:rsidP="00364BDF">
            <w:pPr>
              <w:pStyle w:val="Tabletextbold"/>
              <w:rPr>
                <w:szCs w:val="20"/>
              </w:rPr>
            </w:pPr>
            <w:r>
              <w:rPr>
                <w:b/>
              </w:rPr>
              <w:t>Repairs and warranty</w:t>
            </w:r>
          </w:p>
        </w:tc>
        <w:tc>
          <w:tcPr>
            <w:tcW w:w="8442" w:type="dxa"/>
          </w:tcPr>
          <w:p w14:paraId="64FA860D" w14:textId="77777777" w:rsidR="002F2966" w:rsidRDefault="002F2966" w:rsidP="00364BDF">
            <w:pPr>
              <w:pStyle w:val="TableBullet1"/>
              <w:cnfStyle w:val="000000000000" w:firstRow="0" w:lastRow="0" w:firstColumn="0" w:lastColumn="0" w:oddVBand="0" w:evenVBand="0" w:oddHBand="0" w:evenHBand="0" w:firstRowFirstColumn="0" w:firstRowLastColumn="0" w:lastRowFirstColumn="0" w:lastRowLastColumn="0"/>
            </w:pPr>
            <w:r w:rsidRPr="00DB080D">
              <w:t>Prostheses are expected to last 3 year</w:t>
            </w:r>
            <w:r>
              <w:t>s</w:t>
            </w:r>
          </w:p>
          <w:p w14:paraId="79F58A85" w14:textId="77777777" w:rsidR="002F2966" w:rsidRPr="009C1931" w:rsidRDefault="002F2966" w:rsidP="00364BDF">
            <w:pPr>
              <w:pStyle w:val="TableBullet1"/>
              <w:cnfStyle w:val="000000000000" w:firstRow="0" w:lastRow="0" w:firstColumn="0" w:lastColumn="0" w:oddVBand="0" w:evenVBand="0" w:oddHBand="0" w:evenHBand="0" w:firstRowFirstColumn="0" w:firstRowLastColumn="0" w:lastRowFirstColumn="0" w:lastRowLastColumn="0"/>
            </w:pPr>
            <w:r w:rsidRPr="00910525">
              <w:t xml:space="preserve">Replacement of a prosthesis during </w:t>
            </w:r>
            <w:r>
              <w:t>the</w:t>
            </w:r>
            <w:r w:rsidRPr="00910525">
              <w:t xml:space="preserve"> 3-year period may require clinical justification and/or clarification by the</w:t>
            </w:r>
            <w:r>
              <w:t xml:space="preserve"> </w:t>
            </w:r>
            <w:r w:rsidRPr="00910525">
              <w:t>PSP maintaining the prosthetic limb and components.</w:t>
            </w:r>
          </w:p>
        </w:tc>
      </w:tr>
      <w:tr w:rsidR="00E65795" w:rsidRPr="00FA30FA" w14:paraId="29E22799" w14:textId="77777777" w:rsidTr="00364BDF">
        <w:trPr>
          <w:trHeight w:val="593"/>
        </w:trPr>
        <w:tc>
          <w:tcPr>
            <w:cnfStyle w:val="001000000000" w:firstRow="0" w:lastRow="0" w:firstColumn="1" w:lastColumn="0" w:oddVBand="0" w:evenVBand="0" w:oddHBand="0" w:evenHBand="0" w:firstRowFirstColumn="0" w:firstRowLastColumn="0" w:lastRowFirstColumn="0" w:lastRowLastColumn="0"/>
            <w:tcW w:w="1745" w:type="dxa"/>
          </w:tcPr>
          <w:p w14:paraId="551432B9" w14:textId="77777777" w:rsidR="002F2966" w:rsidRDefault="002F2966" w:rsidP="00364BDF">
            <w:pPr>
              <w:pStyle w:val="Tabletextbold"/>
              <w:rPr>
                <w:szCs w:val="20"/>
              </w:rPr>
            </w:pPr>
            <w:r>
              <w:rPr>
                <w:b/>
              </w:rPr>
              <w:t>Referral pathway</w:t>
            </w:r>
          </w:p>
        </w:tc>
        <w:tc>
          <w:tcPr>
            <w:tcW w:w="8442" w:type="dxa"/>
          </w:tcPr>
          <w:p w14:paraId="02EABB7A" w14:textId="77777777" w:rsidR="002F2966" w:rsidRDefault="002F2966" w:rsidP="00364BDF">
            <w:pPr>
              <w:pStyle w:val="TableBullet1"/>
              <w:cnfStyle w:val="000000000000" w:firstRow="0" w:lastRow="0" w:firstColumn="0" w:lastColumn="0" w:oddVBand="0" w:evenVBand="0" w:oddHBand="0" w:evenHBand="0" w:firstRowFirstColumn="0" w:firstRowLastColumn="0" w:lastRowFirstColumn="0" w:lastRowLastColumn="0"/>
            </w:pPr>
            <w:r>
              <w:t xml:space="preserve">Attend prescribing amputee clinic for assessment and prescription </w:t>
            </w:r>
          </w:p>
          <w:p w14:paraId="0226E9C0" w14:textId="77777777" w:rsidR="002F2966" w:rsidRPr="00D02E29" w:rsidRDefault="002F2966" w:rsidP="00364BDF">
            <w:pPr>
              <w:pStyle w:val="TableBullet1"/>
              <w:cnfStyle w:val="000000000000" w:firstRow="0" w:lastRow="0" w:firstColumn="0" w:lastColumn="0" w:oddVBand="0" w:evenVBand="0" w:oddHBand="0" w:evenHBand="0" w:firstRowFirstColumn="0" w:firstRowLastColumn="0" w:lastRowFirstColumn="0" w:lastRowLastColumn="0"/>
            </w:pPr>
            <w:r w:rsidRPr="00D02E29">
              <w:t xml:space="preserve">WAALS reviews and approves funding, which is then directed to the </w:t>
            </w:r>
            <w:r>
              <w:t>individual</w:t>
            </w:r>
            <w:r w:rsidRPr="00D02E29">
              <w:t xml:space="preserve">’s chosen PSP </w:t>
            </w:r>
          </w:p>
        </w:tc>
      </w:tr>
      <w:tr w:rsidR="00E65795" w:rsidRPr="00FA30FA" w14:paraId="44D257EB" w14:textId="77777777" w:rsidTr="00364BDF">
        <w:trPr>
          <w:trHeight w:val="593"/>
        </w:trPr>
        <w:tc>
          <w:tcPr>
            <w:cnfStyle w:val="001000000000" w:firstRow="0" w:lastRow="0" w:firstColumn="1" w:lastColumn="0" w:oddVBand="0" w:evenVBand="0" w:oddHBand="0" w:evenHBand="0" w:firstRowFirstColumn="0" w:firstRowLastColumn="0" w:lastRowFirstColumn="0" w:lastRowLastColumn="0"/>
            <w:tcW w:w="1745" w:type="dxa"/>
          </w:tcPr>
          <w:p w14:paraId="6415CF93" w14:textId="77777777" w:rsidR="002F2966" w:rsidRDefault="002F2966" w:rsidP="00364BDF">
            <w:pPr>
              <w:pStyle w:val="Tabletextbold"/>
              <w:rPr>
                <w:szCs w:val="20"/>
              </w:rPr>
            </w:pPr>
            <w:r>
              <w:rPr>
                <w:b/>
              </w:rPr>
              <w:t xml:space="preserve">Setting in which prostheses may be accessed  </w:t>
            </w:r>
          </w:p>
        </w:tc>
        <w:tc>
          <w:tcPr>
            <w:tcW w:w="8442" w:type="dxa"/>
          </w:tcPr>
          <w:p w14:paraId="33C9190A" w14:textId="77777777" w:rsidR="002F2966" w:rsidRPr="00E65271" w:rsidRDefault="002F2966" w:rsidP="00364BDF">
            <w:pPr>
              <w:pStyle w:val="TableBullet1"/>
              <w:cnfStyle w:val="000000000000" w:firstRow="0" w:lastRow="0" w:firstColumn="0" w:lastColumn="0" w:oddVBand="0" w:evenVBand="0" w:oddHBand="0" w:evenHBand="0" w:firstRowFirstColumn="0" w:firstRowLastColumn="0" w:lastRowFirstColumn="0" w:lastRowLastColumn="0"/>
            </w:pPr>
            <w:r w:rsidRPr="004E0352">
              <w:t>Fiona Stanley Hospital Rehabilitation Unit</w:t>
            </w:r>
          </w:p>
        </w:tc>
      </w:tr>
      <w:tr w:rsidR="00E65795" w:rsidRPr="00FA30FA" w14:paraId="779EF34F" w14:textId="77777777" w:rsidTr="00364BDF">
        <w:trPr>
          <w:trHeight w:val="593"/>
        </w:trPr>
        <w:tc>
          <w:tcPr>
            <w:cnfStyle w:val="001000000000" w:firstRow="0" w:lastRow="0" w:firstColumn="1" w:lastColumn="0" w:oddVBand="0" w:evenVBand="0" w:oddHBand="0" w:evenHBand="0" w:firstRowFirstColumn="0" w:firstRowLastColumn="0" w:lastRowFirstColumn="0" w:lastRowLastColumn="0"/>
            <w:tcW w:w="1745" w:type="dxa"/>
          </w:tcPr>
          <w:p w14:paraId="5483B08E" w14:textId="77777777" w:rsidR="002F2966" w:rsidRDefault="002F2966" w:rsidP="00364BDF">
            <w:pPr>
              <w:pStyle w:val="Tabletextbold"/>
              <w:rPr>
                <w:szCs w:val="20"/>
              </w:rPr>
            </w:pPr>
            <w:r>
              <w:rPr>
                <w:b/>
              </w:rPr>
              <w:t>Clinicians involved</w:t>
            </w:r>
          </w:p>
        </w:tc>
        <w:tc>
          <w:tcPr>
            <w:tcW w:w="8442" w:type="dxa"/>
          </w:tcPr>
          <w:p w14:paraId="5B191DC9" w14:textId="77777777" w:rsidR="002F2966" w:rsidRDefault="002F2966" w:rsidP="00364BDF">
            <w:pPr>
              <w:pStyle w:val="TableText"/>
              <w:cnfStyle w:val="000000000000" w:firstRow="0" w:lastRow="0" w:firstColumn="0" w:lastColumn="0" w:oddVBand="0" w:evenVBand="0" w:oddHBand="0" w:evenHBand="0" w:firstRowFirstColumn="0" w:firstRowLastColumn="0" w:lastRowFirstColumn="0" w:lastRowLastColumn="0"/>
            </w:pPr>
            <w:r>
              <w:t>An amputee clinic multidisciplinary teams involves a:</w:t>
            </w:r>
          </w:p>
          <w:p w14:paraId="6D989EEE" w14:textId="77777777" w:rsidR="002F2966" w:rsidRDefault="002F2966" w:rsidP="00364BDF">
            <w:pPr>
              <w:pStyle w:val="TableBullet1"/>
              <w:cnfStyle w:val="000000000000" w:firstRow="0" w:lastRow="0" w:firstColumn="0" w:lastColumn="0" w:oddVBand="0" w:evenVBand="0" w:oddHBand="0" w:evenHBand="0" w:firstRowFirstColumn="0" w:firstRowLastColumn="0" w:lastRowFirstColumn="0" w:lastRowLastColumn="0"/>
            </w:pPr>
            <w:r>
              <w:t xml:space="preserve">Rehabilitation physicians: assess, diagnoses and treats a person’s mobility and function. </w:t>
            </w:r>
          </w:p>
          <w:p w14:paraId="1315F46B" w14:textId="77777777" w:rsidR="002F2966" w:rsidRDefault="002F2966" w:rsidP="00364BDF">
            <w:pPr>
              <w:pStyle w:val="TableBullet1"/>
              <w:cnfStyle w:val="000000000000" w:firstRow="0" w:lastRow="0" w:firstColumn="0" w:lastColumn="0" w:oddVBand="0" w:evenVBand="0" w:oddHBand="0" w:evenHBand="0" w:firstRowFirstColumn="0" w:firstRowLastColumn="0" w:lastRowFirstColumn="0" w:lastRowLastColumn="0"/>
            </w:pPr>
            <w:r>
              <w:t>Prosthetists: assesses the persons functional needs, and design, manufacture and fit prosthetic limb</w:t>
            </w:r>
          </w:p>
          <w:p w14:paraId="4C4E6C56" w14:textId="77777777" w:rsidR="002F2966" w:rsidRDefault="002F2966" w:rsidP="00364BDF">
            <w:pPr>
              <w:pStyle w:val="TableBullet1"/>
              <w:cnfStyle w:val="000000000000" w:firstRow="0" w:lastRow="0" w:firstColumn="0" w:lastColumn="0" w:oddVBand="0" w:evenVBand="0" w:oddHBand="0" w:evenHBand="0" w:firstRowFirstColumn="0" w:firstRowLastColumn="0" w:lastRowFirstColumn="0" w:lastRowLastColumn="0"/>
              <w:rPr>
                <w:bCs/>
                <w:szCs w:val="20"/>
              </w:rPr>
            </w:pPr>
            <w:r>
              <w:t>Physiotherapist: supports rehabilitation and strength training</w:t>
            </w:r>
          </w:p>
        </w:tc>
      </w:tr>
      <w:tr w:rsidR="00E65795" w:rsidRPr="00FA30FA" w14:paraId="293E4145" w14:textId="77777777" w:rsidTr="00364BDF">
        <w:trPr>
          <w:trHeight w:val="593"/>
        </w:trPr>
        <w:tc>
          <w:tcPr>
            <w:cnfStyle w:val="001000000000" w:firstRow="0" w:lastRow="0" w:firstColumn="1" w:lastColumn="0" w:oddVBand="0" w:evenVBand="0" w:oddHBand="0" w:evenHBand="0" w:firstRowFirstColumn="0" w:firstRowLastColumn="0" w:lastRowFirstColumn="0" w:lastRowLastColumn="0"/>
            <w:tcW w:w="1745" w:type="dxa"/>
          </w:tcPr>
          <w:p w14:paraId="27E91643" w14:textId="77777777" w:rsidR="002F2966" w:rsidRDefault="002F2966" w:rsidP="00364BDF">
            <w:pPr>
              <w:pStyle w:val="Tabletextbold"/>
              <w:rPr>
                <w:szCs w:val="20"/>
              </w:rPr>
            </w:pPr>
            <w:r>
              <w:rPr>
                <w:b/>
              </w:rPr>
              <w:t>Funded by</w:t>
            </w:r>
          </w:p>
        </w:tc>
        <w:tc>
          <w:tcPr>
            <w:tcW w:w="8442" w:type="dxa"/>
          </w:tcPr>
          <w:p w14:paraId="3407C5DB" w14:textId="77777777" w:rsidR="002F2966" w:rsidRPr="00F6337B" w:rsidRDefault="002F2966" w:rsidP="00364BDF">
            <w:pPr>
              <w:pStyle w:val="TableBullet1"/>
              <w:cnfStyle w:val="000000000000" w:firstRow="0" w:lastRow="0" w:firstColumn="0" w:lastColumn="0" w:oddVBand="0" w:evenVBand="0" w:oddHBand="0" w:evenHBand="0" w:firstRowFirstColumn="0" w:firstRowLastColumn="0" w:lastRowFirstColumn="0" w:lastRowLastColumn="0"/>
            </w:pPr>
            <w:r>
              <w:t xml:space="preserve">Commonwealth funding provided to WALSA </w:t>
            </w:r>
          </w:p>
        </w:tc>
      </w:tr>
      <w:tr w:rsidR="00E65795" w:rsidRPr="00FA30FA" w14:paraId="2A0676C6" w14:textId="77777777" w:rsidTr="00364BDF">
        <w:trPr>
          <w:trHeight w:val="593"/>
        </w:trPr>
        <w:tc>
          <w:tcPr>
            <w:cnfStyle w:val="001000000000" w:firstRow="0" w:lastRow="0" w:firstColumn="1" w:lastColumn="0" w:oddVBand="0" w:evenVBand="0" w:oddHBand="0" w:evenHBand="0" w:firstRowFirstColumn="0" w:firstRowLastColumn="0" w:lastRowFirstColumn="0" w:lastRowLastColumn="0"/>
            <w:tcW w:w="1745" w:type="dxa"/>
          </w:tcPr>
          <w:p w14:paraId="545ABE52" w14:textId="77777777" w:rsidR="002F2966" w:rsidRDefault="002F2966" w:rsidP="00364BDF">
            <w:pPr>
              <w:pStyle w:val="Tabletextbold"/>
              <w:rPr>
                <w:szCs w:val="20"/>
              </w:rPr>
            </w:pPr>
            <w:r>
              <w:rPr>
                <w:b/>
              </w:rPr>
              <w:t>Role of Australian Government</w:t>
            </w:r>
          </w:p>
        </w:tc>
        <w:tc>
          <w:tcPr>
            <w:tcW w:w="8442" w:type="dxa"/>
          </w:tcPr>
          <w:p w14:paraId="384429DB" w14:textId="77777777" w:rsidR="002F2966" w:rsidRDefault="002F2966" w:rsidP="00364BDF">
            <w:pPr>
              <w:pStyle w:val="TableBullet1"/>
              <w:cnfStyle w:val="000000000000" w:firstRow="0" w:lastRow="0" w:firstColumn="0" w:lastColumn="0" w:oddVBand="0" w:evenVBand="0" w:oddHBand="0" w:evenHBand="0" w:firstRowFirstColumn="0" w:firstRowLastColumn="0" w:lastRowFirstColumn="0" w:lastRowLastColumn="0"/>
            </w:pPr>
            <w:r>
              <w:t>Funds the WALSA</w:t>
            </w:r>
          </w:p>
        </w:tc>
      </w:tr>
      <w:tr w:rsidR="00E65795" w:rsidRPr="00FA30FA" w14:paraId="2D3C983F" w14:textId="77777777" w:rsidTr="00364BDF">
        <w:trPr>
          <w:trHeight w:val="593"/>
        </w:trPr>
        <w:tc>
          <w:tcPr>
            <w:cnfStyle w:val="001000000000" w:firstRow="0" w:lastRow="0" w:firstColumn="1" w:lastColumn="0" w:oddVBand="0" w:evenVBand="0" w:oddHBand="0" w:evenHBand="0" w:firstRowFirstColumn="0" w:firstRowLastColumn="0" w:lastRowFirstColumn="0" w:lastRowLastColumn="0"/>
            <w:tcW w:w="1745" w:type="dxa"/>
          </w:tcPr>
          <w:p w14:paraId="550756F4" w14:textId="77777777" w:rsidR="002F2966" w:rsidRDefault="002F2966" w:rsidP="00364BDF">
            <w:pPr>
              <w:pStyle w:val="Tabletextbold"/>
              <w:rPr>
                <w:szCs w:val="20"/>
              </w:rPr>
            </w:pPr>
            <w:r>
              <w:rPr>
                <w:b/>
              </w:rPr>
              <w:t>Role of state/territory governments</w:t>
            </w:r>
          </w:p>
        </w:tc>
        <w:tc>
          <w:tcPr>
            <w:tcW w:w="8442" w:type="dxa"/>
          </w:tcPr>
          <w:p w14:paraId="159FC45B" w14:textId="77777777" w:rsidR="002F2966" w:rsidRDefault="002F2966" w:rsidP="00364BDF">
            <w:pPr>
              <w:pStyle w:val="TableBullet1"/>
              <w:cnfStyle w:val="000000000000" w:firstRow="0" w:lastRow="0" w:firstColumn="0" w:lastColumn="0" w:oddVBand="0" w:evenVBand="0" w:oddHBand="0" w:evenHBand="0" w:firstRowFirstColumn="0" w:firstRowLastColumn="0" w:lastRowFirstColumn="0" w:lastRowLastColumn="0"/>
            </w:pPr>
            <w:r>
              <w:t>M</w:t>
            </w:r>
            <w:r w:rsidRPr="00145EE4">
              <w:t>anages and distributes funding</w:t>
            </w:r>
          </w:p>
        </w:tc>
      </w:tr>
    </w:tbl>
    <w:p w14:paraId="08A983C7" w14:textId="77777777" w:rsidR="002F2966" w:rsidRPr="006C53CF" w:rsidRDefault="002F2966" w:rsidP="00364BDF">
      <w:pPr>
        <w:pStyle w:val="Caption-Source"/>
        <w:rPr>
          <w:i/>
          <w:szCs w:val="20"/>
        </w:rPr>
      </w:pPr>
      <w:r w:rsidRPr="006C53CF">
        <w:t>Source: Healthy WA (2022)</w:t>
      </w:r>
      <w:r>
        <w:rPr>
          <w:rFonts w:ascii="ZWAdobeF" w:hAnsi="ZWAdobeF" w:cs="ZWAdobeF"/>
          <w:color w:val="auto"/>
          <w:sz w:val="2"/>
          <w:szCs w:val="2"/>
        </w:rPr>
        <w:t>70F</w:t>
      </w:r>
      <w:r w:rsidRPr="006C53CF">
        <w:rPr>
          <w:rStyle w:val="FootnoteReference"/>
          <w:i/>
          <w:szCs w:val="20"/>
        </w:rPr>
        <w:footnoteReference w:id="191"/>
      </w:r>
    </w:p>
    <w:p w14:paraId="61202531" w14:textId="2E90A450" w:rsidR="00EF2A94" w:rsidRDefault="002C385B" w:rsidP="002C385B">
      <w:pPr>
        <w:pStyle w:val="Appendixheading"/>
      </w:pPr>
      <w:bookmarkStart w:id="360" w:name="_Toc207348789"/>
      <w:r>
        <w:t xml:space="preserve">: </w:t>
      </w:r>
      <w:r w:rsidR="00FF7E61">
        <w:t>State and territory a</w:t>
      </w:r>
      <w:r>
        <w:t>ccredited amputee clinics and PSPs</w:t>
      </w:r>
      <w:bookmarkEnd w:id="288"/>
      <w:bookmarkEnd w:id="360"/>
    </w:p>
    <w:p w14:paraId="2DEAAC1C" w14:textId="468AFBA2" w:rsidR="00EF2A94" w:rsidRPr="004A6DB4" w:rsidRDefault="004A6DB4" w:rsidP="008239ED">
      <w:pPr>
        <w:pStyle w:val="AppendixHeading2"/>
      </w:pPr>
      <w:bookmarkStart w:id="361" w:name="_Ref200968311"/>
      <w:bookmarkStart w:id="362" w:name="_Toc207348790"/>
      <w:r>
        <w:t>NSW accredited amputee clinics and PSPs</w:t>
      </w:r>
      <w:bookmarkEnd w:id="361"/>
      <w:bookmarkEnd w:id="362"/>
    </w:p>
    <w:p w14:paraId="1ED98B4F" w14:textId="0FB8A836" w:rsidR="002C385B" w:rsidRDefault="002C385B" w:rsidP="002C385B">
      <w:pPr>
        <w:pStyle w:val="Caption"/>
      </w:pPr>
      <w:bookmarkStart w:id="363" w:name="_Ref199152358"/>
      <w:bookmarkStart w:id="364" w:name="_Toc207348696"/>
      <w:r>
        <w:t xml:space="preserve">Table </w:t>
      </w:r>
      <w:r w:rsidR="00E6799D">
        <w:fldChar w:fldCharType="begin"/>
      </w:r>
      <w:r w:rsidR="00E6799D">
        <w:instrText xml:space="preserve"> SEQ Table \* ARABIC </w:instrText>
      </w:r>
      <w:r w:rsidR="00E6799D">
        <w:fldChar w:fldCharType="separate"/>
      </w:r>
      <w:r w:rsidR="00E6799D">
        <w:rPr>
          <w:noProof/>
        </w:rPr>
        <w:t>131</w:t>
      </w:r>
      <w:r w:rsidR="00E6799D">
        <w:rPr>
          <w:noProof/>
        </w:rPr>
        <w:fldChar w:fldCharType="end"/>
      </w:r>
      <w:bookmarkEnd w:id="363"/>
      <w:r>
        <w:t xml:space="preserve">: </w:t>
      </w:r>
      <w:proofErr w:type="spellStart"/>
      <w:r>
        <w:t>EnableNSW</w:t>
      </w:r>
      <w:proofErr w:type="spellEnd"/>
      <w:r>
        <w:t xml:space="preserve"> accredited amputee clinics and PSPs</w:t>
      </w:r>
      <w:r w:rsidR="00FB2ADA">
        <w:t xml:space="preserve"> </w:t>
      </w:r>
      <w:r w:rsidR="00E6799D">
        <w:t>in Metropolitan NSW</w:t>
      </w:r>
      <w:bookmarkEnd w:id="364"/>
    </w:p>
    <w:tbl>
      <w:tblPr>
        <w:tblStyle w:val="KPMGTable"/>
        <w:tblW w:w="0" w:type="auto"/>
        <w:tblLook w:val="04A0" w:firstRow="1" w:lastRow="0" w:firstColumn="1" w:lastColumn="0" w:noHBand="0" w:noVBand="1"/>
      </w:tblPr>
      <w:tblGrid>
        <w:gridCol w:w="5622"/>
        <w:gridCol w:w="4532"/>
      </w:tblGrid>
      <w:tr w:rsidR="00772257" w:rsidRPr="00F56161" w14:paraId="432A9262" w14:textId="77777777" w:rsidTr="00E6799D">
        <w:trPr>
          <w:cnfStyle w:val="100000000000" w:firstRow="1" w:lastRow="0" w:firstColumn="0" w:lastColumn="0" w:oddVBand="0" w:evenVBand="0" w:oddHBand="0"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5622" w:type="dxa"/>
          </w:tcPr>
          <w:p w14:paraId="2561C16C" w14:textId="77777777" w:rsidR="002C385B" w:rsidRPr="008E77E9" w:rsidRDefault="002C385B" w:rsidP="00E6799D">
            <w:pPr>
              <w:pStyle w:val="TableHeading"/>
            </w:pPr>
            <w:proofErr w:type="spellStart"/>
            <w:r w:rsidRPr="008E77E9">
              <w:t>EnableNSW</w:t>
            </w:r>
            <w:proofErr w:type="spellEnd"/>
            <w:r w:rsidRPr="008E77E9">
              <w:t xml:space="preserve"> accredited amputee clinic</w:t>
            </w:r>
          </w:p>
        </w:tc>
        <w:tc>
          <w:tcPr>
            <w:tcW w:w="4532" w:type="dxa"/>
          </w:tcPr>
          <w:p w14:paraId="32460495" w14:textId="77777777" w:rsidR="002C385B" w:rsidRPr="008E77E9" w:rsidRDefault="002C385B" w:rsidP="00E6799D">
            <w:pPr>
              <w:pStyle w:val="TableHeading"/>
              <w:cnfStyle w:val="100000000000" w:firstRow="1" w:lastRow="0" w:firstColumn="0" w:lastColumn="0" w:oddVBand="0" w:evenVBand="0" w:oddHBand="0" w:evenHBand="0" w:firstRowFirstColumn="0" w:firstRowLastColumn="0" w:lastRowFirstColumn="0" w:lastRowLastColumn="0"/>
            </w:pPr>
            <w:r w:rsidRPr="008E77E9">
              <w:t>Prosthetic service provider</w:t>
            </w:r>
          </w:p>
        </w:tc>
      </w:tr>
      <w:tr w:rsidR="00AE1E92" w:rsidRPr="00F56161" w14:paraId="359E556B" w14:textId="77777777" w:rsidTr="00E6799D">
        <w:trPr>
          <w:trHeight w:val="436"/>
        </w:trPr>
        <w:tc>
          <w:tcPr>
            <w:cnfStyle w:val="001000000000" w:firstRow="0" w:lastRow="0" w:firstColumn="1" w:lastColumn="0" w:oddVBand="0" w:evenVBand="0" w:oddHBand="0" w:evenHBand="0" w:firstRowFirstColumn="0" w:firstRowLastColumn="0" w:lastRowFirstColumn="0" w:lastRowLastColumn="0"/>
            <w:tcW w:w="5622" w:type="dxa"/>
          </w:tcPr>
          <w:p w14:paraId="22B3C756" w14:textId="77777777" w:rsidR="002C385B" w:rsidRPr="00E6799D" w:rsidRDefault="002C385B" w:rsidP="00E6799D">
            <w:pPr>
              <w:pStyle w:val="TableText"/>
            </w:pPr>
            <w:r w:rsidRPr="00E6799D">
              <w:t>Royal Prince Alfred Hospital</w:t>
            </w:r>
          </w:p>
        </w:tc>
        <w:tc>
          <w:tcPr>
            <w:tcW w:w="4532" w:type="dxa"/>
          </w:tcPr>
          <w:p w14:paraId="65F2FB44" w14:textId="77777777" w:rsidR="002C385B" w:rsidRPr="00E6799D" w:rsidRDefault="002C385B" w:rsidP="00E6799D">
            <w:pPr>
              <w:pStyle w:val="TableText"/>
              <w:cnfStyle w:val="000000000000" w:firstRow="0" w:lastRow="0" w:firstColumn="0" w:lastColumn="0" w:oddVBand="0" w:evenVBand="0" w:oddHBand="0" w:evenHBand="0" w:firstRowFirstColumn="0" w:firstRowLastColumn="0" w:lastRowFirstColumn="0" w:lastRowLastColumn="0"/>
            </w:pPr>
            <w:r w:rsidRPr="00E6799D">
              <w:t>APC Prosthetics</w:t>
            </w:r>
          </w:p>
        </w:tc>
      </w:tr>
      <w:tr w:rsidR="00AE1E92" w:rsidRPr="00F56161" w14:paraId="30412B72" w14:textId="77777777" w:rsidTr="00E6799D">
        <w:trPr>
          <w:trHeight w:val="187"/>
        </w:trPr>
        <w:tc>
          <w:tcPr>
            <w:cnfStyle w:val="001000000000" w:firstRow="0" w:lastRow="0" w:firstColumn="1" w:lastColumn="0" w:oddVBand="0" w:evenVBand="0" w:oddHBand="0" w:evenHBand="0" w:firstRowFirstColumn="0" w:firstRowLastColumn="0" w:lastRowFirstColumn="0" w:lastRowLastColumn="0"/>
            <w:tcW w:w="5622" w:type="dxa"/>
          </w:tcPr>
          <w:p w14:paraId="23923957" w14:textId="77777777" w:rsidR="002C385B" w:rsidRPr="00E6799D" w:rsidRDefault="002C385B" w:rsidP="00E6799D">
            <w:pPr>
              <w:pStyle w:val="TableText"/>
            </w:pPr>
            <w:r w:rsidRPr="00E6799D">
              <w:t>Lidcombe Hospital Amputee Clinic and Rehabilitation Service</w:t>
            </w:r>
          </w:p>
        </w:tc>
        <w:tc>
          <w:tcPr>
            <w:tcW w:w="4532" w:type="dxa"/>
          </w:tcPr>
          <w:p w14:paraId="3BAE7EBF" w14:textId="77777777" w:rsidR="002C385B" w:rsidRPr="00E6799D" w:rsidRDefault="002C385B" w:rsidP="00E6799D">
            <w:pPr>
              <w:pStyle w:val="TableText"/>
              <w:cnfStyle w:val="000000000000" w:firstRow="0" w:lastRow="0" w:firstColumn="0" w:lastColumn="0" w:oddVBand="0" w:evenVBand="0" w:oddHBand="0" w:evenHBand="0" w:firstRowFirstColumn="0" w:firstRowLastColumn="0" w:lastRowFirstColumn="0" w:lastRowLastColumn="0"/>
            </w:pPr>
            <w:r w:rsidRPr="00E6799D">
              <w:t>APC Prosthetics</w:t>
            </w:r>
          </w:p>
        </w:tc>
      </w:tr>
      <w:tr w:rsidR="00AE1E92" w:rsidRPr="00F56161" w14:paraId="646B29A2" w14:textId="77777777" w:rsidTr="00E6799D">
        <w:trPr>
          <w:trHeight w:val="449"/>
        </w:trPr>
        <w:tc>
          <w:tcPr>
            <w:cnfStyle w:val="001000000000" w:firstRow="0" w:lastRow="0" w:firstColumn="1" w:lastColumn="0" w:oddVBand="0" w:evenVBand="0" w:oddHBand="0" w:evenHBand="0" w:firstRowFirstColumn="0" w:firstRowLastColumn="0" w:lastRowFirstColumn="0" w:lastRowLastColumn="0"/>
            <w:tcW w:w="5622" w:type="dxa"/>
          </w:tcPr>
          <w:p w14:paraId="7A65D046" w14:textId="77777777" w:rsidR="002C385B" w:rsidRPr="00E6799D" w:rsidRDefault="002C385B" w:rsidP="00E6799D">
            <w:pPr>
              <w:pStyle w:val="TableText"/>
            </w:pPr>
            <w:r w:rsidRPr="00E6799D">
              <w:t>Bathurst Base Hospital Rehabilitation Unit</w:t>
            </w:r>
          </w:p>
        </w:tc>
        <w:tc>
          <w:tcPr>
            <w:tcW w:w="4532" w:type="dxa"/>
          </w:tcPr>
          <w:p w14:paraId="2EF41234" w14:textId="77777777" w:rsidR="002C385B" w:rsidRPr="00E6799D" w:rsidRDefault="002C385B" w:rsidP="00E6799D">
            <w:pPr>
              <w:pStyle w:val="TableText"/>
              <w:cnfStyle w:val="000000000000" w:firstRow="0" w:lastRow="0" w:firstColumn="0" w:lastColumn="0" w:oddVBand="0" w:evenVBand="0" w:oddHBand="0" w:evenHBand="0" w:firstRowFirstColumn="0" w:firstRowLastColumn="0" w:lastRowFirstColumn="0" w:lastRowLastColumn="0"/>
            </w:pPr>
            <w:r w:rsidRPr="00E6799D">
              <w:t>Southern Prosthetics and Orthotics</w:t>
            </w:r>
          </w:p>
        </w:tc>
      </w:tr>
      <w:tr w:rsidR="00AE1E92" w:rsidRPr="00F56161" w14:paraId="35CC5D25" w14:textId="77777777" w:rsidTr="00E6799D">
        <w:trPr>
          <w:trHeight w:val="436"/>
        </w:trPr>
        <w:tc>
          <w:tcPr>
            <w:cnfStyle w:val="001000000000" w:firstRow="0" w:lastRow="0" w:firstColumn="1" w:lastColumn="0" w:oddVBand="0" w:evenVBand="0" w:oddHBand="0" w:evenHBand="0" w:firstRowFirstColumn="0" w:firstRowLastColumn="0" w:lastRowFirstColumn="0" w:lastRowLastColumn="0"/>
            <w:tcW w:w="5622" w:type="dxa"/>
          </w:tcPr>
          <w:p w14:paraId="094D2C23" w14:textId="77777777" w:rsidR="002C385B" w:rsidRPr="00E6799D" w:rsidRDefault="002C385B" w:rsidP="00E6799D">
            <w:pPr>
              <w:pStyle w:val="TableText"/>
            </w:pPr>
            <w:r w:rsidRPr="00E6799D">
              <w:t>Camden Hospital Amputee Clinic</w:t>
            </w:r>
          </w:p>
        </w:tc>
        <w:tc>
          <w:tcPr>
            <w:tcW w:w="4532" w:type="dxa"/>
          </w:tcPr>
          <w:p w14:paraId="70A2EF89" w14:textId="77777777" w:rsidR="002C385B" w:rsidRPr="00E6799D" w:rsidRDefault="002C385B" w:rsidP="00E6799D">
            <w:pPr>
              <w:pStyle w:val="TableText"/>
              <w:cnfStyle w:val="000000000000" w:firstRow="0" w:lastRow="0" w:firstColumn="0" w:lastColumn="0" w:oddVBand="0" w:evenVBand="0" w:oddHBand="0" w:evenHBand="0" w:firstRowFirstColumn="0" w:firstRowLastColumn="0" w:lastRowFirstColumn="0" w:lastRowLastColumn="0"/>
            </w:pPr>
            <w:r w:rsidRPr="00E6799D">
              <w:t>Southern Prosthetics and Orthotics</w:t>
            </w:r>
          </w:p>
        </w:tc>
      </w:tr>
      <w:tr w:rsidR="00AE1E92" w:rsidRPr="00F56161" w14:paraId="38A2E86D" w14:textId="77777777" w:rsidTr="00E6799D">
        <w:trPr>
          <w:trHeight w:val="449"/>
        </w:trPr>
        <w:tc>
          <w:tcPr>
            <w:cnfStyle w:val="001000000000" w:firstRow="0" w:lastRow="0" w:firstColumn="1" w:lastColumn="0" w:oddVBand="0" w:evenVBand="0" w:oddHBand="0" w:evenHBand="0" w:firstRowFirstColumn="0" w:firstRowLastColumn="0" w:lastRowFirstColumn="0" w:lastRowLastColumn="0"/>
            <w:tcW w:w="5622" w:type="dxa"/>
          </w:tcPr>
          <w:p w14:paraId="2D32CE35" w14:textId="77777777" w:rsidR="002C385B" w:rsidRPr="00E6799D" w:rsidRDefault="002C385B" w:rsidP="00E6799D">
            <w:pPr>
              <w:pStyle w:val="TableText"/>
            </w:pPr>
            <w:r w:rsidRPr="00E6799D">
              <w:t>Concord Hospital</w:t>
            </w:r>
          </w:p>
        </w:tc>
        <w:tc>
          <w:tcPr>
            <w:tcW w:w="4532" w:type="dxa"/>
          </w:tcPr>
          <w:p w14:paraId="111DA07F" w14:textId="77777777" w:rsidR="002C385B" w:rsidRPr="00E6799D" w:rsidRDefault="002C385B" w:rsidP="00E6799D">
            <w:pPr>
              <w:pStyle w:val="TableText"/>
              <w:cnfStyle w:val="000000000000" w:firstRow="0" w:lastRow="0" w:firstColumn="0" w:lastColumn="0" w:oddVBand="0" w:evenVBand="0" w:oddHBand="0" w:evenHBand="0" w:firstRowFirstColumn="0" w:firstRowLastColumn="0" w:lastRowFirstColumn="0" w:lastRowLastColumn="0"/>
            </w:pPr>
            <w:r w:rsidRPr="00E6799D">
              <w:t>Artificial Limbs and Appliances (OAPL)</w:t>
            </w:r>
          </w:p>
        </w:tc>
      </w:tr>
      <w:tr w:rsidR="00AE1E92" w:rsidRPr="00F56161" w14:paraId="4B35A0F9" w14:textId="77777777" w:rsidTr="00E6799D">
        <w:trPr>
          <w:trHeight w:val="436"/>
        </w:trPr>
        <w:tc>
          <w:tcPr>
            <w:cnfStyle w:val="001000000000" w:firstRow="0" w:lastRow="0" w:firstColumn="1" w:lastColumn="0" w:oddVBand="0" w:evenVBand="0" w:oddHBand="0" w:evenHBand="0" w:firstRowFirstColumn="0" w:firstRowLastColumn="0" w:lastRowFirstColumn="0" w:lastRowLastColumn="0"/>
            <w:tcW w:w="5622" w:type="dxa"/>
          </w:tcPr>
          <w:p w14:paraId="1E019F73" w14:textId="77777777" w:rsidR="002C385B" w:rsidRPr="00E6799D" w:rsidRDefault="002C385B" w:rsidP="00E6799D">
            <w:pPr>
              <w:pStyle w:val="TableText"/>
            </w:pPr>
            <w:r w:rsidRPr="00E6799D">
              <w:t>Hornsby Ku-Ring-Gai Hospital</w:t>
            </w:r>
          </w:p>
        </w:tc>
        <w:tc>
          <w:tcPr>
            <w:tcW w:w="4532" w:type="dxa"/>
          </w:tcPr>
          <w:p w14:paraId="3F4EC057" w14:textId="77777777" w:rsidR="002C385B" w:rsidRPr="00E6799D" w:rsidRDefault="002C385B" w:rsidP="00E6799D">
            <w:pPr>
              <w:pStyle w:val="TableText"/>
              <w:cnfStyle w:val="000000000000" w:firstRow="0" w:lastRow="0" w:firstColumn="0" w:lastColumn="0" w:oddVBand="0" w:evenVBand="0" w:oddHBand="0" w:evenHBand="0" w:firstRowFirstColumn="0" w:firstRowLastColumn="0" w:lastRowFirstColumn="0" w:lastRowLastColumn="0"/>
            </w:pPr>
            <w:r w:rsidRPr="00E6799D">
              <w:t>APC Prosthetic</w:t>
            </w:r>
          </w:p>
        </w:tc>
      </w:tr>
      <w:tr w:rsidR="00AE1E92" w:rsidRPr="00F56161" w14:paraId="1865D9AB" w14:textId="77777777" w:rsidTr="00E6799D">
        <w:trPr>
          <w:trHeight w:val="449"/>
        </w:trPr>
        <w:tc>
          <w:tcPr>
            <w:cnfStyle w:val="001000000000" w:firstRow="0" w:lastRow="0" w:firstColumn="1" w:lastColumn="0" w:oddVBand="0" w:evenVBand="0" w:oddHBand="0" w:evenHBand="0" w:firstRowFirstColumn="0" w:firstRowLastColumn="0" w:lastRowFirstColumn="0" w:lastRowLastColumn="0"/>
            <w:tcW w:w="5622" w:type="dxa"/>
          </w:tcPr>
          <w:p w14:paraId="719764FD" w14:textId="77777777" w:rsidR="002C385B" w:rsidRPr="00E6799D" w:rsidRDefault="002C385B" w:rsidP="00E6799D">
            <w:pPr>
              <w:pStyle w:val="TableText"/>
            </w:pPr>
            <w:r w:rsidRPr="00E6799D">
              <w:t>St Vincent’s Hospital</w:t>
            </w:r>
          </w:p>
        </w:tc>
        <w:tc>
          <w:tcPr>
            <w:tcW w:w="4532" w:type="dxa"/>
          </w:tcPr>
          <w:p w14:paraId="580A2622" w14:textId="77777777" w:rsidR="002C385B" w:rsidRPr="00E6799D" w:rsidRDefault="002C385B" w:rsidP="00E6799D">
            <w:pPr>
              <w:pStyle w:val="TableText"/>
              <w:cnfStyle w:val="000000000000" w:firstRow="0" w:lastRow="0" w:firstColumn="0" w:lastColumn="0" w:oddVBand="0" w:evenVBand="0" w:oddHBand="0" w:evenHBand="0" w:firstRowFirstColumn="0" w:firstRowLastColumn="0" w:lastRowFirstColumn="0" w:lastRowLastColumn="0"/>
            </w:pPr>
            <w:r w:rsidRPr="00E6799D">
              <w:t>OAPL</w:t>
            </w:r>
          </w:p>
        </w:tc>
      </w:tr>
      <w:tr w:rsidR="00AE1E92" w:rsidRPr="00F56161" w14:paraId="7FF7F728" w14:textId="77777777" w:rsidTr="00E6799D">
        <w:trPr>
          <w:trHeight w:val="436"/>
        </w:trPr>
        <w:tc>
          <w:tcPr>
            <w:cnfStyle w:val="001000000000" w:firstRow="0" w:lastRow="0" w:firstColumn="1" w:lastColumn="0" w:oddVBand="0" w:evenVBand="0" w:oddHBand="0" w:evenHBand="0" w:firstRowFirstColumn="0" w:firstRowLastColumn="0" w:lastRowFirstColumn="0" w:lastRowLastColumn="0"/>
            <w:tcW w:w="5622" w:type="dxa"/>
          </w:tcPr>
          <w:p w14:paraId="6BB0432B" w14:textId="77777777" w:rsidR="002C385B" w:rsidRPr="00E6799D" w:rsidRDefault="002C385B" w:rsidP="00E6799D">
            <w:pPr>
              <w:pStyle w:val="TableText"/>
            </w:pPr>
            <w:r w:rsidRPr="00E6799D">
              <w:t>Nepean Hospital</w:t>
            </w:r>
          </w:p>
        </w:tc>
        <w:tc>
          <w:tcPr>
            <w:tcW w:w="4532" w:type="dxa"/>
          </w:tcPr>
          <w:p w14:paraId="640DC97F" w14:textId="77777777" w:rsidR="002C385B" w:rsidRPr="00E6799D" w:rsidRDefault="002C385B" w:rsidP="00E6799D">
            <w:pPr>
              <w:pStyle w:val="TableText"/>
              <w:cnfStyle w:val="000000000000" w:firstRow="0" w:lastRow="0" w:firstColumn="0" w:lastColumn="0" w:oddVBand="0" w:evenVBand="0" w:oddHBand="0" w:evenHBand="0" w:firstRowFirstColumn="0" w:firstRowLastColumn="0" w:lastRowFirstColumn="0" w:lastRowLastColumn="0"/>
            </w:pPr>
            <w:r w:rsidRPr="00E6799D">
              <w:t>OAPL, Southern Prosthetics and Orthotics</w:t>
            </w:r>
          </w:p>
        </w:tc>
      </w:tr>
      <w:tr w:rsidR="00AE1E92" w:rsidRPr="00F56161" w14:paraId="18290249" w14:textId="77777777" w:rsidTr="00E6799D">
        <w:trPr>
          <w:trHeight w:val="449"/>
        </w:trPr>
        <w:tc>
          <w:tcPr>
            <w:cnfStyle w:val="001000000000" w:firstRow="0" w:lastRow="0" w:firstColumn="1" w:lastColumn="0" w:oddVBand="0" w:evenVBand="0" w:oddHBand="0" w:evenHBand="0" w:firstRowFirstColumn="0" w:firstRowLastColumn="0" w:lastRowFirstColumn="0" w:lastRowLastColumn="0"/>
            <w:tcW w:w="5622" w:type="dxa"/>
          </w:tcPr>
          <w:p w14:paraId="16EED1B3" w14:textId="77777777" w:rsidR="002C385B" w:rsidRPr="00E6799D" w:rsidRDefault="002C385B" w:rsidP="00E6799D">
            <w:pPr>
              <w:pStyle w:val="TableText"/>
            </w:pPr>
            <w:r w:rsidRPr="00E6799D">
              <w:t>Liverpool Hospital</w:t>
            </w:r>
          </w:p>
        </w:tc>
        <w:tc>
          <w:tcPr>
            <w:tcW w:w="4532" w:type="dxa"/>
          </w:tcPr>
          <w:p w14:paraId="62EF7A05" w14:textId="77777777" w:rsidR="002C385B" w:rsidRPr="00E6799D" w:rsidRDefault="002C385B" w:rsidP="00E6799D">
            <w:pPr>
              <w:pStyle w:val="TableText"/>
              <w:cnfStyle w:val="000000000000" w:firstRow="0" w:lastRow="0" w:firstColumn="0" w:lastColumn="0" w:oddVBand="0" w:evenVBand="0" w:oddHBand="0" w:evenHBand="0" w:firstRowFirstColumn="0" w:firstRowLastColumn="0" w:lastRowFirstColumn="0" w:lastRowLastColumn="0"/>
            </w:pPr>
            <w:r w:rsidRPr="00E6799D">
              <w:t>APC Prosthetics</w:t>
            </w:r>
          </w:p>
        </w:tc>
      </w:tr>
      <w:tr w:rsidR="00AE1E92" w:rsidRPr="00F56161" w14:paraId="2B4E3C2A" w14:textId="77777777" w:rsidTr="00E6799D">
        <w:trPr>
          <w:trHeight w:val="436"/>
        </w:trPr>
        <w:tc>
          <w:tcPr>
            <w:cnfStyle w:val="001000000000" w:firstRow="0" w:lastRow="0" w:firstColumn="1" w:lastColumn="0" w:oddVBand="0" w:evenVBand="0" w:oddHBand="0" w:evenHBand="0" w:firstRowFirstColumn="0" w:firstRowLastColumn="0" w:lastRowFirstColumn="0" w:lastRowLastColumn="0"/>
            <w:tcW w:w="5622" w:type="dxa"/>
          </w:tcPr>
          <w:p w14:paraId="355986C3" w14:textId="77777777" w:rsidR="002C385B" w:rsidRPr="00E6799D" w:rsidRDefault="002C385B" w:rsidP="00E6799D">
            <w:pPr>
              <w:pStyle w:val="TableText"/>
            </w:pPr>
            <w:r w:rsidRPr="00E6799D">
              <w:t>St George Hospital</w:t>
            </w:r>
          </w:p>
        </w:tc>
        <w:tc>
          <w:tcPr>
            <w:tcW w:w="4532" w:type="dxa"/>
          </w:tcPr>
          <w:p w14:paraId="4693B331" w14:textId="77777777" w:rsidR="002C385B" w:rsidRPr="00E6799D" w:rsidRDefault="002C385B" w:rsidP="00E6799D">
            <w:pPr>
              <w:pStyle w:val="TableText"/>
              <w:cnfStyle w:val="000000000000" w:firstRow="0" w:lastRow="0" w:firstColumn="0" w:lastColumn="0" w:oddVBand="0" w:evenVBand="0" w:oddHBand="0" w:evenHBand="0" w:firstRowFirstColumn="0" w:firstRowLastColumn="0" w:lastRowFirstColumn="0" w:lastRowLastColumn="0"/>
            </w:pPr>
            <w:r w:rsidRPr="00E6799D">
              <w:t>OAPL</w:t>
            </w:r>
          </w:p>
        </w:tc>
      </w:tr>
      <w:tr w:rsidR="00AE1E92" w:rsidRPr="00F56161" w14:paraId="720212EE" w14:textId="77777777" w:rsidTr="00E6799D">
        <w:trPr>
          <w:trHeight w:val="449"/>
        </w:trPr>
        <w:tc>
          <w:tcPr>
            <w:cnfStyle w:val="001000000000" w:firstRow="0" w:lastRow="0" w:firstColumn="1" w:lastColumn="0" w:oddVBand="0" w:evenVBand="0" w:oddHBand="0" w:evenHBand="0" w:firstRowFirstColumn="0" w:firstRowLastColumn="0" w:lastRowFirstColumn="0" w:lastRowLastColumn="0"/>
            <w:tcW w:w="5622" w:type="dxa"/>
          </w:tcPr>
          <w:p w14:paraId="4B598A80" w14:textId="77777777" w:rsidR="002C385B" w:rsidRPr="00E6799D" w:rsidRDefault="002C385B" w:rsidP="00E6799D">
            <w:pPr>
              <w:pStyle w:val="TableText"/>
            </w:pPr>
            <w:r w:rsidRPr="00E6799D">
              <w:t>Prince of Wales Hospital</w:t>
            </w:r>
          </w:p>
        </w:tc>
        <w:tc>
          <w:tcPr>
            <w:tcW w:w="4532" w:type="dxa"/>
          </w:tcPr>
          <w:p w14:paraId="45233055" w14:textId="77777777" w:rsidR="002C385B" w:rsidRPr="00E6799D" w:rsidRDefault="002C385B" w:rsidP="00E6799D">
            <w:pPr>
              <w:pStyle w:val="TableText"/>
              <w:cnfStyle w:val="000000000000" w:firstRow="0" w:lastRow="0" w:firstColumn="0" w:lastColumn="0" w:oddVBand="0" w:evenVBand="0" w:oddHBand="0" w:evenHBand="0" w:firstRowFirstColumn="0" w:firstRowLastColumn="0" w:lastRowFirstColumn="0" w:lastRowLastColumn="0"/>
            </w:pPr>
            <w:r w:rsidRPr="00E6799D">
              <w:t>OAPL</w:t>
            </w:r>
          </w:p>
        </w:tc>
      </w:tr>
      <w:tr w:rsidR="00AE1E92" w:rsidRPr="00F56161" w14:paraId="1E5F5DF5" w14:textId="77777777" w:rsidTr="00E6799D">
        <w:trPr>
          <w:trHeight w:val="436"/>
        </w:trPr>
        <w:tc>
          <w:tcPr>
            <w:cnfStyle w:val="001000000000" w:firstRow="0" w:lastRow="0" w:firstColumn="1" w:lastColumn="0" w:oddVBand="0" w:evenVBand="0" w:oddHBand="0" w:evenHBand="0" w:firstRowFirstColumn="0" w:firstRowLastColumn="0" w:lastRowFirstColumn="0" w:lastRowLastColumn="0"/>
            <w:tcW w:w="5622" w:type="dxa"/>
          </w:tcPr>
          <w:p w14:paraId="2A7F1799" w14:textId="77777777" w:rsidR="002C385B" w:rsidRPr="00E6799D" w:rsidRDefault="002C385B" w:rsidP="00E6799D">
            <w:pPr>
              <w:pStyle w:val="TableText"/>
            </w:pPr>
            <w:r w:rsidRPr="00E6799D">
              <w:t>Sutherland Hospital Amputee Clinic</w:t>
            </w:r>
          </w:p>
        </w:tc>
        <w:tc>
          <w:tcPr>
            <w:tcW w:w="4532" w:type="dxa"/>
          </w:tcPr>
          <w:p w14:paraId="68B90E1D" w14:textId="77777777" w:rsidR="002C385B" w:rsidRPr="00E6799D" w:rsidRDefault="002C385B" w:rsidP="00E6799D">
            <w:pPr>
              <w:pStyle w:val="TableText"/>
              <w:cnfStyle w:val="000000000000" w:firstRow="0" w:lastRow="0" w:firstColumn="0" w:lastColumn="0" w:oddVBand="0" w:evenVBand="0" w:oddHBand="0" w:evenHBand="0" w:firstRowFirstColumn="0" w:firstRowLastColumn="0" w:lastRowFirstColumn="0" w:lastRowLastColumn="0"/>
            </w:pPr>
            <w:r w:rsidRPr="00E6799D">
              <w:t>OAPL</w:t>
            </w:r>
          </w:p>
        </w:tc>
      </w:tr>
      <w:tr w:rsidR="00AE1E92" w:rsidRPr="00F56161" w14:paraId="732F4F57" w14:textId="77777777" w:rsidTr="00E6799D">
        <w:trPr>
          <w:trHeight w:val="449"/>
        </w:trPr>
        <w:tc>
          <w:tcPr>
            <w:cnfStyle w:val="001000000000" w:firstRow="0" w:lastRow="0" w:firstColumn="1" w:lastColumn="0" w:oddVBand="0" w:evenVBand="0" w:oddHBand="0" w:evenHBand="0" w:firstRowFirstColumn="0" w:firstRowLastColumn="0" w:lastRowFirstColumn="0" w:lastRowLastColumn="0"/>
            <w:tcW w:w="5622" w:type="dxa"/>
          </w:tcPr>
          <w:p w14:paraId="75EA60C2" w14:textId="77777777" w:rsidR="002C385B" w:rsidRPr="00E6799D" w:rsidRDefault="002C385B" w:rsidP="00E6799D">
            <w:pPr>
              <w:pStyle w:val="TableText"/>
            </w:pPr>
            <w:r w:rsidRPr="00E6799D">
              <w:t>Royal North Shore Hospital</w:t>
            </w:r>
          </w:p>
        </w:tc>
        <w:tc>
          <w:tcPr>
            <w:tcW w:w="4532" w:type="dxa"/>
          </w:tcPr>
          <w:p w14:paraId="3B8EDFDF" w14:textId="77777777" w:rsidR="002C385B" w:rsidRPr="00E6799D" w:rsidRDefault="002C385B" w:rsidP="00E6799D">
            <w:pPr>
              <w:pStyle w:val="TableText"/>
              <w:cnfStyle w:val="000000000000" w:firstRow="0" w:lastRow="0" w:firstColumn="0" w:lastColumn="0" w:oddVBand="0" w:evenVBand="0" w:oddHBand="0" w:evenHBand="0" w:firstRowFirstColumn="0" w:firstRowLastColumn="0" w:lastRowFirstColumn="0" w:lastRowLastColumn="0"/>
            </w:pPr>
            <w:r w:rsidRPr="00E6799D">
              <w:t>APC Prosthetics</w:t>
            </w:r>
          </w:p>
        </w:tc>
      </w:tr>
      <w:tr w:rsidR="00AE1E92" w:rsidRPr="00F56161" w14:paraId="7B7A8239" w14:textId="77777777" w:rsidTr="00E6799D">
        <w:trPr>
          <w:trHeight w:val="436"/>
        </w:trPr>
        <w:tc>
          <w:tcPr>
            <w:cnfStyle w:val="001000000000" w:firstRow="0" w:lastRow="0" w:firstColumn="1" w:lastColumn="0" w:oddVBand="0" w:evenVBand="0" w:oddHBand="0" w:evenHBand="0" w:firstRowFirstColumn="0" w:firstRowLastColumn="0" w:lastRowFirstColumn="0" w:lastRowLastColumn="0"/>
            <w:tcW w:w="5622" w:type="dxa"/>
          </w:tcPr>
          <w:p w14:paraId="1F274642" w14:textId="77777777" w:rsidR="002C385B" w:rsidRPr="00E6799D" w:rsidRDefault="002C385B" w:rsidP="00E6799D">
            <w:pPr>
              <w:pStyle w:val="TableText"/>
            </w:pPr>
            <w:r w:rsidRPr="00E6799D">
              <w:t>Port Kembla Hospital Prosthetics and Orthotics</w:t>
            </w:r>
          </w:p>
        </w:tc>
        <w:tc>
          <w:tcPr>
            <w:tcW w:w="4532" w:type="dxa"/>
          </w:tcPr>
          <w:p w14:paraId="40BF06F3" w14:textId="77777777" w:rsidR="002C385B" w:rsidRPr="00E6799D" w:rsidRDefault="002C385B" w:rsidP="00E6799D">
            <w:pPr>
              <w:pStyle w:val="TableText"/>
              <w:cnfStyle w:val="000000000000" w:firstRow="0" w:lastRow="0" w:firstColumn="0" w:lastColumn="0" w:oddVBand="0" w:evenVBand="0" w:oddHBand="0" w:evenHBand="0" w:firstRowFirstColumn="0" w:firstRowLastColumn="0" w:lastRowFirstColumn="0" w:lastRowLastColumn="0"/>
            </w:pPr>
            <w:r w:rsidRPr="00E6799D">
              <w:t>Southern Prosthetics and Orthotics</w:t>
            </w:r>
          </w:p>
        </w:tc>
      </w:tr>
      <w:tr w:rsidR="00AE1E92" w:rsidRPr="00F56161" w14:paraId="5550D56A" w14:textId="77777777" w:rsidTr="00E6799D">
        <w:trPr>
          <w:trHeight w:val="436"/>
        </w:trPr>
        <w:tc>
          <w:tcPr>
            <w:cnfStyle w:val="001000000000" w:firstRow="0" w:lastRow="0" w:firstColumn="1" w:lastColumn="0" w:oddVBand="0" w:evenVBand="0" w:oddHBand="0" w:evenHBand="0" w:firstRowFirstColumn="0" w:firstRowLastColumn="0" w:lastRowFirstColumn="0" w:lastRowLastColumn="0"/>
            <w:tcW w:w="5622" w:type="dxa"/>
          </w:tcPr>
          <w:p w14:paraId="06BD3B00" w14:textId="77777777" w:rsidR="002C385B" w:rsidRPr="00E6799D" w:rsidRDefault="002C385B" w:rsidP="00E6799D">
            <w:pPr>
              <w:pStyle w:val="TableText"/>
            </w:pPr>
            <w:r w:rsidRPr="00E6799D">
              <w:t>Westmead Hospital</w:t>
            </w:r>
          </w:p>
        </w:tc>
        <w:tc>
          <w:tcPr>
            <w:tcW w:w="4532" w:type="dxa"/>
          </w:tcPr>
          <w:p w14:paraId="248D21A7" w14:textId="77777777" w:rsidR="002C385B" w:rsidRPr="00E6799D" w:rsidRDefault="002C385B" w:rsidP="00E6799D">
            <w:pPr>
              <w:pStyle w:val="TableText"/>
              <w:cnfStyle w:val="000000000000" w:firstRow="0" w:lastRow="0" w:firstColumn="0" w:lastColumn="0" w:oddVBand="0" w:evenVBand="0" w:oddHBand="0" w:evenHBand="0" w:firstRowFirstColumn="0" w:firstRowLastColumn="0" w:lastRowFirstColumn="0" w:lastRowLastColumn="0"/>
            </w:pPr>
            <w:r w:rsidRPr="00E6799D">
              <w:t>APC Prosthetics</w:t>
            </w:r>
          </w:p>
        </w:tc>
      </w:tr>
    </w:tbl>
    <w:p w14:paraId="759F3EB1" w14:textId="7A497A9F" w:rsidR="003F7BD8" w:rsidRDefault="00E6799D" w:rsidP="00E6799D">
      <w:pPr>
        <w:pStyle w:val="Caption-Source"/>
        <w:rPr>
          <w:rFonts w:ascii="ZWAdobeF" w:hAnsi="ZWAdobeF" w:cs="ZWAdobeF"/>
          <w:color w:val="auto"/>
          <w:sz w:val="2"/>
          <w:szCs w:val="2"/>
        </w:rPr>
      </w:pPr>
      <w:r w:rsidRPr="00B56150">
        <w:t xml:space="preserve">Source: </w:t>
      </w:r>
      <w:proofErr w:type="spellStart"/>
      <w:r>
        <w:t>EnableNSW</w:t>
      </w:r>
      <w:proofErr w:type="spellEnd"/>
      <w:r>
        <w:t xml:space="preserve"> (</w:t>
      </w:r>
      <w:proofErr w:type="spellStart"/>
      <w:r>
        <w:t>n.d</w:t>
      </w:r>
      <w:proofErr w:type="spellEnd"/>
      <w:r w:rsidRPr="00B56150">
        <w:t>)</w:t>
      </w:r>
      <w:r>
        <w:rPr>
          <w:rFonts w:ascii="ZWAdobeF" w:hAnsi="ZWAdobeF" w:cs="ZWAdobeF"/>
          <w:color w:val="auto"/>
          <w:sz w:val="2"/>
          <w:szCs w:val="2"/>
        </w:rPr>
        <w:t>179F</w:t>
      </w:r>
      <w:r w:rsidR="003F7BD8">
        <w:rPr>
          <w:rFonts w:ascii="ZWAdobeF" w:hAnsi="ZWAdobeF" w:cs="ZWAdobeF"/>
          <w:color w:val="auto"/>
          <w:sz w:val="2"/>
          <w:szCs w:val="2"/>
        </w:rPr>
        <w:br w:type="page"/>
      </w:r>
    </w:p>
    <w:p w14:paraId="33931DA0" w14:textId="73D60C35" w:rsidR="00E6799D" w:rsidRDefault="00E6799D" w:rsidP="00E6799D">
      <w:pPr>
        <w:pStyle w:val="Caption"/>
      </w:pPr>
      <w:bookmarkStart w:id="365" w:name="_Toc207348697"/>
      <w:r>
        <w:t xml:space="preserve">Table </w:t>
      </w:r>
      <w:r>
        <w:fldChar w:fldCharType="begin"/>
      </w:r>
      <w:r>
        <w:instrText xml:space="preserve"> SEQ Table \* ARABIC </w:instrText>
      </w:r>
      <w:r>
        <w:fldChar w:fldCharType="separate"/>
      </w:r>
      <w:r>
        <w:rPr>
          <w:noProof/>
        </w:rPr>
        <w:t>132</w:t>
      </w:r>
      <w:r>
        <w:rPr>
          <w:noProof/>
        </w:rPr>
        <w:fldChar w:fldCharType="end"/>
      </w:r>
      <w:r>
        <w:t xml:space="preserve">: </w:t>
      </w:r>
      <w:proofErr w:type="spellStart"/>
      <w:r w:rsidRPr="00F60B76">
        <w:t>EnableNSW</w:t>
      </w:r>
      <w:proofErr w:type="spellEnd"/>
      <w:r w:rsidRPr="00F60B76">
        <w:t xml:space="preserve"> accredited amputee clinics and PSPs in </w:t>
      </w:r>
      <w:r>
        <w:t>Regional</w:t>
      </w:r>
      <w:r w:rsidRPr="00F60B76">
        <w:t xml:space="preserve"> NSW</w:t>
      </w:r>
      <w:bookmarkEnd w:id="365"/>
    </w:p>
    <w:tbl>
      <w:tblPr>
        <w:tblStyle w:val="KPMGTable"/>
        <w:tblW w:w="0" w:type="auto"/>
        <w:tblLook w:val="04A0" w:firstRow="1" w:lastRow="0" w:firstColumn="1" w:lastColumn="0" w:noHBand="0" w:noVBand="1"/>
      </w:tblPr>
      <w:tblGrid>
        <w:gridCol w:w="5268"/>
        <w:gridCol w:w="4246"/>
      </w:tblGrid>
      <w:tr w:rsidR="00212962" w:rsidRPr="00F56161" w14:paraId="2B600E02" w14:textId="77777777" w:rsidTr="00E6799D">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5268" w:type="dxa"/>
          </w:tcPr>
          <w:p w14:paraId="5252F560" w14:textId="00C4B3BE" w:rsidR="00E6799D" w:rsidRPr="00767AB0" w:rsidRDefault="00E6799D" w:rsidP="00E6799D">
            <w:pPr>
              <w:pStyle w:val="TableHeading"/>
              <w:rPr>
                <w:szCs w:val="20"/>
              </w:rPr>
            </w:pPr>
            <w:proofErr w:type="spellStart"/>
            <w:r w:rsidRPr="008E77E9">
              <w:t>EnableNSW</w:t>
            </w:r>
            <w:proofErr w:type="spellEnd"/>
            <w:r w:rsidRPr="008E77E9">
              <w:t xml:space="preserve"> accredited amputee clinic</w:t>
            </w:r>
          </w:p>
        </w:tc>
        <w:tc>
          <w:tcPr>
            <w:tcW w:w="4246" w:type="dxa"/>
          </w:tcPr>
          <w:p w14:paraId="539C39BE" w14:textId="15303659" w:rsidR="00E6799D" w:rsidRDefault="00E6799D" w:rsidP="00E6799D">
            <w:pPr>
              <w:pStyle w:val="TableHeading"/>
              <w:cnfStyle w:val="100000000000" w:firstRow="1" w:lastRow="0" w:firstColumn="0" w:lastColumn="0" w:oddVBand="0" w:evenVBand="0" w:oddHBand="0" w:evenHBand="0" w:firstRowFirstColumn="0" w:firstRowLastColumn="0" w:lastRowFirstColumn="0" w:lastRowLastColumn="0"/>
              <w:rPr>
                <w:szCs w:val="18"/>
              </w:rPr>
            </w:pPr>
            <w:r w:rsidRPr="008E77E9">
              <w:t>Prosthetic service provider</w:t>
            </w:r>
          </w:p>
        </w:tc>
      </w:tr>
      <w:tr w:rsidR="00C35284" w:rsidRPr="00F56161" w14:paraId="25DD97FB" w14:textId="77777777" w:rsidTr="00E6799D">
        <w:trPr>
          <w:trHeight w:val="484"/>
        </w:trPr>
        <w:tc>
          <w:tcPr>
            <w:cnfStyle w:val="001000000000" w:firstRow="0" w:lastRow="0" w:firstColumn="1" w:lastColumn="0" w:oddVBand="0" w:evenVBand="0" w:oddHBand="0" w:evenHBand="0" w:firstRowFirstColumn="0" w:firstRowLastColumn="0" w:lastRowFirstColumn="0" w:lastRowLastColumn="0"/>
            <w:tcW w:w="5268" w:type="dxa"/>
          </w:tcPr>
          <w:p w14:paraId="4E24C5C1" w14:textId="77777777" w:rsidR="002C385B" w:rsidRPr="0098017A" w:rsidRDefault="002C385B" w:rsidP="00E6799D">
            <w:pPr>
              <w:pStyle w:val="TableText"/>
            </w:pPr>
            <w:r w:rsidRPr="00767AB0">
              <w:t>Gosford Private Hospital</w:t>
            </w:r>
          </w:p>
        </w:tc>
        <w:tc>
          <w:tcPr>
            <w:tcW w:w="4246" w:type="dxa"/>
          </w:tcPr>
          <w:p w14:paraId="73C3493D" w14:textId="77777777" w:rsidR="002C385B" w:rsidRPr="00F56161" w:rsidRDefault="002C385B" w:rsidP="00E6799D">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No information</w:t>
            </w:r>
          </w:p>
        </w:tc>
      </w:tr>
      <w:tr w:rsidR="00C35284" w:rsidRPr="00F56161" w14:paraId="4D19214B" w14:textId="77777777" w:rsidTr="00E6799D">
        <w:trPr>
          <w:trHeight w:val="471"/>
        </w:trPr>
        <w:tc>
          <w:tcPr>
            <w:cnfStyle w:val="001000000000" w:firstRow="0" w:lastRow="0" w:firstColumn="1" w:lastColumn="0" w:oddVBand="0" w:evenVBand="0" w:oddHBand="0" w:evenHBand="0" w:firstRowFirstColumn="0" w:firstRowLastColumn="0" w:lastRowFirstColumn="0" w:lastRowLastColumn="0"/>
            <w:tcW w:w="5268" w:type="dxa"/>
          </w:tcPr>
          <w:p w14:paraId="747E1921" w14:textId="77777777" w:rsidR="002C385B" w:rsidRPr="0098017A" w:rsidRDefault="002C385B" w:rsidP="00E6799D">
            <w:pPr>
              <w:pStyle w:val="TableText"/>
            </w:pPr>
            <w:r w:rsidRPr="00767AB0">
              <w:t>Wyong Hospital</w:t>
            </w:r>
          </w:p>
        </w:tc>
        <w:tc>
          <w:tcPr>
            <w:tcW w:w="4246" w:type="dxa"/>
          </w:tcPr>
          <w:p w14:paraId="2496ED44" w14:textId="77777777" w:rsidR="002C385B" w:rsidRPr="00F56161" w:rsidRDefault="002C385B" w:rsidP="00E6799D">
            <w:pPr>
              <w:pStyle w:val="TableText"/>
              <w:cnfStyle w:val="000000000000" w:firstRow="0" w:lastRow="0" w:firstColumn="0" w:lastColumn="0" w:oddVBand="0" w:evenVBand="0" w:oddHBand="0" w:evenHBand="0" w:firstRowFirstColumn="0" w:firstRowLastColumn="0" w:lastRowFirstColumn="0" w:lastRowLastColumn="0"/>
              <w:rPr>
                <w:szCs w:val="18"/>
              </w:rPr>
            </w:pPr>
            <w:r w:rsidRPr="00AE68A9">
              <w:rPr>
                <w:szCs w:val="18"/>
              </w:rPr>
              <w:t>APC Prosthetics</w:t>
            </w:r>
          </w:p>
        </w:tc>
      </w:tr>
      <w:tr w:rsidR="00C35284" w:rsidRPr="00F56161" w14:paraId="272E031C" w14:textId="77777777" w:rsidTr="00E6799D">
        <w:trPr>
          <w:trHeight w:val="484"/>
        </w:trPr>
        <w:tc>
          <w:tcPr>
            <w:cnfStyle w:val="001000000000" w:firstRow="0" w:lastRow="0" w:firstColumn="1" w:lastColumn="0" w:oddVBand="0" w:evenVBand="0" w:oddHBand="0" w:evenHBand="0" w:firstRowFirstColumn="0" w:firstRowLastColumn="0" w:lastRowFirstColumn="0" w:lastRowLastColumn="0"/>
            <w:tcW w:w="5268" w:type="dxa"/>
          </w:tcPr>
          <w:p w14:paraId="3D43AB4B" w14:textId="77777777" w:rsidR="002C385B" w:rsidRPr="0098017A" w:rsidRDefault="002C385B" w:rsidP="00E6799D">
            <w:pPr>
              <w:pStyle w:val="TableText"/>
            </w:pPr>
            <w:r w:rsidRPr="00767AB0">
              <w:t>Woy Woy Hospital</w:t>
            </w:r>
          </w:p>
        </w:tc>
        <w:tc>
          <w:tcPr>
            <w:tcW w:w="4246" w:type="dxa"/>
          </w:tcPr>
          <w:p w14:paraId="680F1F3B" w14:textId="77777777" w:rsidR="002C385B" w:rsidRPr="00F56161" w:rsidRDefault="002C385B" w:rsidP="00E6799D">
            <w:pPr>
              <w:pStyle w:val="TableText"/>
              <w:cnfStyle w:val="000000000000" w:firstRow="0" w:lastRow="0" w:firstColumn="0" w:lastColumn="0" w:oddVBand="0" w:evenVBand="0" w:oddHBand="0" w:evenHBand="0" w:firstRowFirstColumn="0" w:firstRowLastColumn="0" w:lastRowFirstColumn="0" w:lastRowLastColumn="0"/>
              <w:rPr>
                <w:szCs w:val="18"/>
              </w:rPr>
            </w:pPr>
            <w:r w:rsidRPr="008C17D3">
              <w:rPr>
                <w:szCs w:val="18"/>
              </w:rPr>
              <w:t>APC Prosthetics</w:t>
            </w:r>
          </w:p>
        </w:tc>
      </w:tr>
      <w:tr w:rsidR="00C35284" w:rsidRPr="00F56161" w14:paraId="7647790E" w14:textId="77777777" w:rsidTr="00E6799D">
        <w:trPr>
          <w:trHeight w:val="471"/>
        </w:trPr>
        <w:tc>
          <w:tcPr>
            <w:cnfStyle w:val="001000000000" w:firstRow="0" w:lastRow="0" w:firstColumn="1" w:lastColumn="0" w:oddVBand="0" w:evenVBand="0" w:oddHBand="0" w:evenHBand="0" w:firstRowFirstColumn="0" w:firstRowLastColumn="0" w:lastRowFirstColumn="0" w:lastRowLastColumn="0"/>
            <w:tcW w:w="5268" w:type="dxa"/>
          </w:tcPr>
          <w:p w14:paraId="6EF0EC2F" w14:textId="77777777" w:rsidR="002C385B" w:rsidRPr="0098017A" w:rsidRDefault="002C385B" w:rsidP="00E6799D">
            <w:pPr>
              <w:pStyle w:val="TableText"/>
            </w:pPr>
            <w:r w:rsidRPr="00767AB0">
              <w:t>Tamworth Base Hospital</w:t>
            </w:r>
          </w:p>
        </w:tc>
        <w:tc>
          <w:tcPr>
            <w:tcW w:w="4246" w:type="dxa"/>
          </w:tcPr>
          <w:p w14:paraId="2BA1B91E" w14:textId="77777777" w:rsidR="002C385B" w:rsidRPr="00F56161" w:rsidRDefault="002C385B" w:rsidP="00E6799D">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A</w:t>
            </w:r>
            <w:r w:rsidRPr="006C3A86">
              <w:rPr>
                <w:szCs w:val="18"/>
              </w:rPr>
              <w:t>PC Prosthetics</w:t>
            </w:r>
          </w:p>
        </w:tc>
      </w:tr>
      <w:tr w:rsidR="00C35284" w:rsidRPr="00F56161" w14:paraId="000AB2F1" w14:textId="77777777" w:rsidTr="00E6799D">
        <w:trPr>
          <w:trHeight w:val="484"/>
        </w:trPr>
        <w:tc>
          <w:tcPr>
            <w:cnfStyle w:val="001000000000" w:firstRow="0" w:lastRow="0" w:firstColumn="1" w:lastColumn="0" w:oddVBand="0" w:evenVBand="0" w:oddHBand="0" w:evenHBand="0" w:firstRowFirstColumn="0" w:firstRowLastColumn="0" w:lastRowFirstColumn="0" w:lastRowLastColumn="0"/>
            <w:tcW w:w="5268" w:type="dxa"/>
          </w:tcPr>
          <w:p w14:paraId="14C03599" w14:textId="77777777" w:rsidR="002C385B" w:rsidRPr="0098017A" w:rsidRDefault="002C385B" w:rsidP="00E6799D">
            <w:pPr>
              <w:pStyle w:val="TableText"/>
            </w:pPr>
            <w:r w:rsidRPr="00767AB0">
              <w:t>Dubbo Lourdes Hospital</w:t>
            </w:r>
          </w:p>
        </w:tc>
        <w:tc>
          <w:tcPr>
            <w:tcW w:w="4246" w:type="dxa"/>
          </w:tcPr>
          <w:p w14:paraId="2CD4F012" w14:textId="77777777" w:rsidR="002C385B" w:rsidRPr="00F56161" w:rsidRDefault="002C385B" w:rsidP="00E6799D">
            <w:pPr>
              <w:pStyle w:val="TableText"/>
              <w:cnfStyle w:val="000000000000" w:firstRow="0" w:lastRow="0" w:firstColumn="0" w:lastColumn="0" w:oddVBand="0" w:evenVBand="0" w:oddHBand="0" w:evenHBand="0" w:firstRowFirstColumn="0" w:firstRowLastColumn="0" w:lastRowFirstColumn="0" w:lastRowLastColumn="0"/>
              <w:rPr>
                <w:szCs w:val="18"/>
              </w:rPr>
            </w:pPr>
            <w:r w:rsidRPr="00AD4262">
              <w:rPr>
                <w:szCs w:val="18"/>
              </w:rPr>
              <w:t>Hunter Prosthetics and Orthotics Service</w:t>
            </w:r>
          </w:p>
        </w:tc>
      </w:tr>
      <w:tr w:rsidR="00C35284" w:rsidRPr="00F56161" w14:paraId="0E6448DD" w14:textId="77777777" w:rsidTr="00E6799D">
        <w:trPr>
          <w:trHeight w:val="471"/>
        </w:trPr>
        <w:tc>
          <w:tcPr>
            <w:cnfStyle w:val="001000000000" w:firstRow="0" w:lastRow="0" w:firstColumn="1" w:lastColumn="0" w:oddVBand="0" w:evenVBand="0" w:oddHBand="0" w:evenHBand="0" w:firstRowFirstColumn="0" w:firstRowLastColumn="0" w:lastRowFirstColumn="0" w:lastRowLastColumn="0"/>
            <w:tcW w:w="5268" w:type="dxa"/>
          </w:tcPr>
          <w:p w14:paraId="760CF3CF" w14:textId="77777777" w:rsidR="002C385B" w:rsidRPr="00767AB0" w:rsidRDefault="002C385B" w:rsidP="00E6799D">
            <w:pPr>
              <w:pStyle w:val="TableText"/>
            </w:pPr>
            <w:r>
              <w:t>Hunter Valley Private Hospital</w:t>
            </w:r>
          </w:p>
        </w:tc>
        <w:tc>
          <w:tcPr>
            <w:tcW w:w="4246" w:type="dxa"/>
          </w:tcPr>
          <w:p w14:paraId="69F24595" w14:textId="77777777" w:rsidR="002C385B" w:rsidRPr="00AD4262" w:rsidRDefault="002C385B" w:rsidP="00E6799D">
            <w:pPr>
              <w:pStyle w:val="TableText"/>
              <w:cnfStyle w:val="000000000000" w:firstRow="0" w:lastRow="0" w:firstColumn="0" w:lastColumn="0" w:oddVBand="0" w:evenVBand="0" w:oddHBand="0" w:evenHBand="0" w:firstRowFirstColumn="0" w:firstRowLastColumn="0" w:lastRowFirstColumn="0" w:lastRowLastColumn="0"/>
              <w:rPr>
                <w:szCs w:val="18"/>
              </w:rPr>
            </w:pPr>
            <w:r>
              <w:rPr>
                <w:szCs w:val="18"/>
              </w:rPr>
              <w:t>No information</w:t>
            </w:r>
          </w:p>
        </w:tc>
      </w:tr>
      <w:tr w:rsidR="00C35284" w:rsidRPr="00F56161" w14:paraId="3B708BE0" w14:textId="77777777" w:rsidTr="00E6799D">
        <w:trPr>
          <w:trHeight w:val="471"/>
        </w:trPr>
        <w:tc>
          <w:tcPr>
            <w:cnfStyle w:val="001000000000" w:firstRow="0" w:lastRow="0" w:firstColumn="1" w:lastColumn="0" w:oddVBand="0" w:evenVBand="0" w:oddHBand="0" w:evenHBand="0" w:firstRowFirstColumn="0" w:firstRowLastColumn="0" w:lastRowFirstColumn="0" w:lastRowLastColumn="0"/>
            <w:tcW w:w="5268" w:type="dxa"/>
          </w:tcPr>
          <w:p w14:paraId="545DAF29" w14:textId="77777777" w:rsidR="002C385B" w:rsidRPr="00767AB0" w:rsidRDefault="002C385B" w:rsidP="00E6799D">
            <w:pPr>
              <w:pStyle w:val="TableText"/>
            </w:pPr>
            <w:r>
              <w:t>Rankin Park Hospital</w:t>
            </w:r>
          </w:p>
        </w:tc>
        <w:tc>
          <w:tcPr>
            <w:tcW w:w="4246" w:type="dxa"/>
          </w:tcPr>
          <w:p w14:paraId="29159136" w14:textId="77777777" w:rsidR="002C385B" w:rsidRPr="00AD4262" w:rsidRDefault="002C385B" w:rsidP="00E6799D">
            <w:pPr>
              <w:pStyle w:val="TableText"/>
              <w:cnfStyle w:val="000000000000" w:firstRow="0" w:lastRow="0" w:firstColumn="0" w:lastColumn="0" w:oddVBand="0" w:evenVBand="0" w:oddHBand="0" w:evenHBand="0" w:firstRowFirstColumn="0" w:firstRowLastColumn="0" w:lastRowFirstColumn="0" w:lastRowLastColumn="0"/>
              <w:rPr>
                <w:szCs w:val="18"/>
              </w:rPr>
            </w:pPr>
            <w:r w:rsidRPr="00AD4262">
              <w:rPr>
                <w:szCs w:val="18"/>
              </w:rPr>
              <w:t>Hunter Prosthetics and Orthotics Service</w:t>
            </w:r>
          </w:p>
        </w:tc>
      </w:tr>
      <w:tr w:rsidR="00C35284" w:rsidRPr="00F56161" w14:paraId="0C561BB6" w14:textId="77777777" w:rsidTr="00E6799D">
        <w:trPr>
          <w:trHeight w:val="484"/>
        </w:trPr>
        <w:tc>
          <w:tcPr>
            <w:cnfStyle w:val="001000000000" w:firstRow="0" w:lastRow="0" w:firstColumn="1" w:lastColumn="0" w:oddVBand="0" w:evenVBand="0" w:oddHBand="0" w:evenHBand="0" w:firstRowFirstColumn="0" w:firstRowLastColumn="0" w:lastRowFirstColumn="0" w:lastRowLastColumn="0"/>
            <w:tcW w:w="5268" w:type="dxa"/>
          </w:tcPr>
          <w:p w14:paraId="5451C2DA" w14:textId="77777777" w:rsidR="002C385B" w:rsidRPr="0098017A" w:rsidRDefault="002C385B" w:rsidP="00E6799D">
            <w:pPr>
              <w:pStyle w:val="TableText"/>
            </w:pPr>
            <w:r w:rsidRPr="00767AB0">
              <w:t>Orange Health Servic</w:t>
            </w:r>
            <w:r>
              <w:t>e</w:t>
            </w:r>
          </w:p>
        </w:tc>
        <w:tc>
          <w:tcPr>
            <w:tcW w:w="4246" w:type="dxa"/>
          </w:tcPr>
          <w:p w14:paraId="5FAD0999" w14:textId="77777777" w:rsidR="002C385B" w:rsidRPr="00F56161" w:rsidRDefault="002C385B" w:rsidP="00E6799D">
            <w:pPr>
              <w:pStyle w:val="TableText"/>
              <w:cnfStyle w:val="000000000000" w:firstRow="0" w:lastRow="0" w:firstColumn="0" w:lastColumn="0" w:oddVBand="0" w:evenVBand="0" w:oddHBand="0" w:evenHBand="0" w:firstRowFirstColumn="0" w:firstRowLastColumn="0" w:lastRowFirstColumn="0" w:lastRowLastColumn="0"/>
              <w:rPr>
                <w:szCs w:val="18"/>
              </w:rPr>
            </w:pPr>
            <w:r w:rsidRPr="00573DDE">
              <w:rPr>
                <w:szCs w:val="18"/>
              </w:rPr>
              <w:t>Southern Prosthetics and Orthotics</w:t>
            </w:r>
          </w:p>
        </w:tc>
      </w:tr>
      <w:tr w:rsidR="00C35284" w:rsidRPr="00F56161" w14:paraId="7D3F8624" w14:textId="77777777" w:rsidTr="00E6799D">
        <w:trPr>
          <w:trHeight w:val="471"/>
        </w:trPr>
        <w:tc>
          <w:tcPr>
            <w:cnfStyle w:val="001000000000" w:firstRow="0" w:lastRow="0" w:firstColumn="1" w:lastColumn="0" w:oddVBand="0" w:evenVBand="0" w:oddHBand="0" w:evenHBand="0" w:firstRowFirstColumn="0" w:firstRowLastColumn="0" w:lastRowFirstColumn="0" w:lastRowLastColumn="0"/>
            <w:tcW w:w="5268" w:type="dxa"/>
          </w:tcPr>
          <w:p w14:paraId="4D406B5E" w14:textId="77777777" w:rsidR="002C385B" w:rsidRPr="0098017A" w:rsidRDefault="002C385B" w:rsidP="00E6799D">
            <w:pPr>
              <w:pStyle w:val="TableText"/>
            </w:pPr>
            <w:r w:rsidRPr="00767AB0">
              <w:t>Bathurst Base Hospital</w:t>
            </w:r>
          </w:p>
        </w:tc>
        <w:tc>
          <w:tcPr>
            <w:tcW w:w="4246" w:type="dxa"/>
          </w:tcPr>
          <w:p w14:paraId="3B63C313" w14:textId="77777777" w:rsidR="002C385B" w:rsidRPr="00F56161" w:rsidRDefault="002C385B" w:rsidP="00E6799D">
            <w:pPr>
              <w:pStyle w:val="TableText"/>
              <w:cnfStyle w:val="000000000000" w:firstRow="0" w:lastRow="0" w:firstColumn="0" w:lastColumn="0" w:oddVBand="0" w:evenVBand="0" w:oddHBand="0" w:evenHBand="0" w:firstRowFirstColumn="0" w:firstRowLastColumn="0" w:lastRowFirstColumn="0" w:lastRowLastColumn="0"/>
              <w:rPr>
                <w:szCs w:val="18"/>
              </w:rPr>
            </w:pPr>
            <w:r w:rsidRPr="008E77E9">
              <w:rPr>
                <w:szCs w:val="18"/>
              </w:rPr>
              <w:t>APC Prosthetics</w:t>
            </w:r>
          </w:p>
        </w:tc>
      </w:tr>
      <w:tr w:rsidR="00C35284" w:rsidRPr="00F56161" w14:paraId="76C3A6E2" w14:textId="77777777" w:rsidTr="00E6799D">
        <w:trPr>
          <w:trHeight w:val="471"/>
        </w:trPr>
        <w:tc>
          <w:tcPr>
            <w:cnfStyle w:val="001000000000" w:firstRow="0" w:lastRow="0" w:firstColumn="1" w:lastColumn="0" w:oddVBand="0" w:evenVBand="0" w:oddHBand="0" w:evenHBand="0" w:firstRowFirstColumn="0" w:firstRowLastColumn="0" w:lastRowFirstColumn="0" w:lastRowLastColumn="0"/>
            <w:tcW w:w="5268" w:type="dxa"/>
          </w:tcPr>
          <w:p w14:paraId="62F71E73" w14:textId="77777777" w:rsidR="002C385B" w:rsidRPr="00767AB0" w:rsidRDefault="002C385B" w:rsidP="00E6799D">
            <w:pPr>
              <w:pStyle w:val="TableText"/>
            </w:pPr>
            <w:r w:rsidRPr="00767AB0">
              <w:t>Wagga Wagga Rural Referral Hospita</w:t>
            </w:r>
            <w:r>
              <w:t>l</w:t>
            </w:r>
          </w:p>
        </w:tc>
        <w:tc>
          <w:tcPr>
            <w:tcW w:w="4246" w:type="dxa"/>
          </w:tcPr>
          <w:p w14:paraId="3D581252" w14:textId="77777777" w:rsidR="002C385B" w:rsidRPr="00F56161" w:rsidRDefault="002C385B" w:rsidP="00E6799D">
            <w:pPr>
              <w:pStyle w:val="TableText"/>
              <w:cnfStyle w:val="000000000000" w:firstRow="0" w:lastRow="0" w:firstColumn="0" w:lastColumn="0" w:oddVBand="0" w:evenVBand="0" w:oddHBand="0" w:evenHBand="0" w:firstRowFirstColumn="0" w:firstRowLastColumn="0" w:lastRowFirstColumn="0" w:lastRowLastColumn="0"/>
              <w:rPr>
                <w:szCs w:val="18"/>
              </w:rPr>
            </w:pPr>
            <w:r w:rsidRPr="00731A24">
              <w:rPr>
                <w:szCs w:val="18"/>
              </w:rPr>
              <w:t>Albury Prosthetics and Orthotics Service</w:t>
            </w:r>
          </w:p>
        </w:tc>
      </w:tr>
    </w:tbl>
    <w:p w14:paraId="52C174B4" w14:textId="47E87E71" w:rsidR="00E6799D" w:rsidRDefault="00E6799D" w:rsidP="00E6799D">
      <w:pPr>
        <w:pStyle w:val="Caption-Source"/>
      </w:pPr>
      <w:r w:rsidRPr="00B56150">
        <w:t xml:space="preserve">Source: </w:t>
      </w:r>
      <w:proofErr w:type="spellStart"/>
      <w:r>
        <w:t>EnableNSW</w:t>
      </w:r>
      <w:proofErr w:type="spellEnd"/>
      <w:r>
        <w:t xml:space="preserve"> (</w:t>
      </w:r>
      <w:proofErr w:type="spellStart"/>
      <w:r>
        <w:t>n.d</w:t>
      </w:r>
      <w:proofErr w:type="spellEnd"/>
      <w:r w:rsidRPr="00B56150">
        <w:t>)</w:t>
      </w:r>
      <w:r>
        <w:rPr>
          <w:rFonts w:ascii="ZWAdobeF" w:hAnsi="ZWAdobeF" w:cs="ZWAdobeF"/>
          <w:color w:val="auto"/>
          <w:sz w:val="2"/>
          <w:szCs w:val="2"/>
        </w:rPr>
        <w:t>179F</w:t>
      </w:r>
    </w:p>
    <w:p w14:paraId="712E12AD" w14:textId="1CC0CC8D" w:rsidR="00E6799D" w:rsidRDefault="00E6799D" w:rsidP="00E6799D">
      <w:pPr>
        <w:pStyle w:val="Caption"/>
      </w:pPr>
      <w:bookmarkStart w:id="366" w:name="_Toc207348698"/>
      <w:r>
        <w:t xml:space="preserve">Table </w:t>
      </w:r>
      <w:r>
        <w:fldChar w:fldCharType="begin"/>
      </w:r>
      <w:r>
        <w:instrText xml:space="preserve"> SEQ Table \* ARABIC </w:instrText>
      </w:r>
      <w:r>
        <w:fldChar w:fldCharType="separate"/>
      </w:r>
      <w:r>
        <w:rPr>
          <w:noProof/>
        </w:rPr>
        <w:t>133</w:t>
      </w:r>
      <w:r>
        <w:rPr>
          <w:noProof/>
        </w:rPr>
        <w:fldChar w:fldCharType="end"/>
      </w:r>
      <w:r>
        <w:t xml:space="preserve">: </w:t>
      </w:r>
      <w:proofErr w:type="spellStart"/>
      <w:r w:rsidRPr="0094025B">
        <w:t>EnableNSW</w:t>
      </w:r>
      <w:proofErr w:type="spellEnd"/>
      <w:r w:rsidRPr="0094025B">
        <w:t xml:space="preserve"> accredited amputee clinics and PSPs in </w:t>
      </w:r>
      <w:r>
        <w:t>Remote</w:t>
      </w:r>
      <w:r w:rsidRPr="0094025B">
        <w:t xml:space="preserve"> NSW</w:t>
      </w:r>
      <w:bookmarkEnd w:id="366"/>
    </w:p>
    <w:tbl>
      <w:tblPr>
        <w:tblStyle w:val="KPMGTable"/>
        <w:tblW w:w="0" w:type="auto"/>
        <w:tblLook w:val="04A0" w:firstRow="1" w:lastRow="0" w:firstColumn="1" w:lastColumn="0" w:noHBand="0" w:noVBand="1"/>
      </w:tblPr>
      <w:tblGrid>
        <w:gridCol w:w="5477"/>
        <w:gridCol w:w="4415"/>
      </w:tblGrid>
      <w:tr w:rsidR="00212962" w:rsidRPr="00F56161" w14:paraId="1066318F" w14:textId="77777777" w:rsidTr="00E6799D">
        <w:trPr>
          <w:cnfStyle w:val="100000000000" w:firstRow="1" w:lastRow="0" w:firstColumn="0" w:lastColumn="0" w:oddVBand="0" w:evenVBand="0" w:oddHBand="0"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5477" w:type="dxa"/>
          </w:tcPr>
          <w:p w14:paraId="3319B4EE" w14:textId="3DD22209" w:rsidR="00E6799D" w:rsidRPr="005232C5" w:rsidRDefault="00E6799D" w:rsidP="00E6799D">
            <w:pPr>
              <w:pStyle w:val="TableHeading"/>
              <w:rPr>
                <w:szCs w:val="20"/>
              </w:rPr>
            </w:pPr>
            <w:proofErr w:type="spellStart"/>
            <w:r w:rsidRPr="008E77E9">
              <w:t>EnableNSW</w:t>
            </w:r>
            <w:proofErr w:type="spellEnd"/>
            <w:r w:rsidRPr="008E77E9">
              <w:t xml:space="preserve"> accredited amputee clinic</w:t>
            </w:r>
          </w:p>
        </w:tc>
        <w:tc>
          <w:tcPr>
            <w:tcW w:w="4415" w:type="dxa"/>
          </w:tcPr>
          <w:p w14:paraId="7C3ECDB2" w14:textId="41709653" w:rsidR="00E6799D" w:rsidRPr="00110ABB" w:rsidRDefault="00E6799D" w:rsidP="00E6799D">
            <w:pPr>
              <w:pStyle w:val="TableHeading"/>
              <w:cnfStyle w:val="100000000000" w:firstRow="1" w:lastRow="0" w:firstColumn="0" w:lastColumn="0" w:oddVBand="0" w:evenVBand="0" w:oddHBand="0" w:evenHBand="0" w:firstRowFirstColumn="0" w:firstRowLastColumn="0" w:lastRowFirstColumn="0" w:lastRowLastColumn="0"/>
              <w:rPr>
                <w:szCs w:val="18"/>
              </w:rPr>
            </w:pPr>
            <w:r w:rsidRPr="008E77E9">
              <w:t>Prosthetic service provider</w:t>
            </w:r>
          </w:p>
        </w:tc>
      </w:tr>
      <w:tr w:rsidR="00C35284" w:rsidRPr="00F56161" w14:paraId="19051F15" w14:textId="77777777" w:rsidTr="00E6799D">
        <w:trPr>
          <w:trHeight w:val="329"/>
        </w:trPr>
        <w:tc>
          <w:tcPr>
            <w:cnfStyle w:val="001000000000" w:firstRow="0" w:lastRow="0" w:firstColumn="1" w:lastColumn="0" w:oddVBand="0" w:evenVBand="0" w:oddHBand="0" w:evenHBand="0" w:firstRowFirstColumn="0" w:firstRowLastColumn="0" w:lastRowFirstColumn="0" w:lastRowLastColumn="0"/>
            <w:tcW w:w="5477" w:type="dxa"/>
          </w:tcPr>
          <w:p w14:paraId="7805831F" w14:textId="77777777" w:rsidR="002C385B" w:rsidRPr="00F56161" w:rsidRDefault="002C385B" w:rsidP="00E6799D">
            <w:pPr>
              <w:pStyle w:val="TableText"/>
              <w:rPr>
                <w:szCs w:val="18"/>
              </w:rPr>
            </w:pPr>
            <w:r w:rsidRPr="005232C5">
              <w:t>Coffs Harbour Health Campus</w:t>
            </w:r>
          </w:p>
        </w:tc>
        <w:tc>
          <w:tcPr>
            <w:tcW w:w="4415" w:type="dxa"/>
          </w:tcPr>
          <w:p w14:paraId="06843580" w14:textId="77777777" w:rsidR="002C385B" w:rsidRPr="00F56161" w:rsidRDefault="002C385B" w:rsidP="00E6799D">
            <w:pPr>
              <w:pStyle w:val="TableText"/>
              <w:cnfStyle w:val="000000000000" w:firstRow="0" w:lastRow="0" w:firstColumn="0" w:lastColumn="0" w:oddVBand="0" w:evenVBand="0" w:oddHBand="0" w:evenHBand="0" w:firstRowFirstColumn="0" w:firstRowLastColumn="0" w:lastRowFirstColumn="0" w:lastRowLastColumn="0"/>
              <w:rPr>
                <w:szCs w:val="18"/>
              </w:rPr>
            </w:pPr>
            <w:r w:rsidRPr="00110ABB">
              <w:rPr>
                <w:szCs w:val="18"/>
              </w:rPr>
              <w:t>Northern Prosthetics</w:t>
            </w:r>
          </w:p>
        </w:tc>
      </w:tr>
      <w:tr w:rsidR="00C35284" w:rsidRPr="00F56161" w14:paraId="122F937C" w14:textId="77777777" w:rsidTr="00E6799D">
        <w:trPr>
          <w:trHeight w:val="329"/>
        </w:trPr>
        <w:tc>
          <w:tcPr>
            <w:cnfStyle w:val="001000000000" w:firstRow="0" w:lastRow="0" w:firstColumn="1" w:lastColumn="0" w:oddVBand="0" w:evenVBand="0" w:oddHBand="0" w:evenHBand="0" w:firstRowFirstColumn="0" w:firstRowLastColumn="0" w:lastRowFirstColumn="0" w:lastRowLastColumn="0"/>
            <w:tcW w:w="5477" w:type="dxa"/>
          </w:tcPr>
          <w:p w14:paraId="59E812D9" w14:textId="77777777" w:rsidR="002C385B" w:rsidRPr="00F56161" w:rsidRDefault="002C385B" w:rsidP="00E6799D">
            <w:pPr>
              <w:pStyle w:val="TableText"/>
              <w:rPr>
                <w:szCs w:val="18"/>
              </w:rPr>
            </w:pPr>
            <w:r w:rsidRPr="005232C5">
              <w:t>Lismore Carroll Centre</w:t>
            </w:r>
          </w:p>
        </w:tc>
        <w:tc>
          <w:tcPr>
            <w:tcW w:w="4415" w:type="dxa"/>
          </w:tcPr>
          <w:p w14:paraId="3727F004" w14:textId="77777777" w:rsidR="002C385B" w:rsidRPr="00F56161" w:rsidRDefault="002C385B" w:rsidP="00E6799D">
            <w:pPr>
              <w:pStyle w:val="TableText"/>
              <w:cnfStyle w:val="000000000000" w:firstRow="0" w:lastRow="0" w:firstColumn="0" w:lastColumn="0" w:oddVBand="0" w:evenVBand="0" w:oddHBand="0" w:evenHBand="0" w:firstRowFirstColumn="0" w:firstRowLastColumn="0" w:lastRowFirstColumn="0" w:lastRowLastColumn="0"/>
              <w:rPr>
                <w:szCs w:val="18"/>
              </w:rPr>
            </w:pPr>
            <w:r w:rsidRPr="001C4D4E">
              <w:rPr>
                <w:szCs w:val="18"/>
              </w:rPr>
              <w:t>Northern Prosthetics</w:t>
            </w:r>
          </w:p>
        </w:tc>
      </w:tr>
      <w:tr w:rsidR="00C35284" w:rsidRPr="00F56161" w14:paraId="443A4912" w14:textId="77777777" w:rsidTr="00E6799D">
        <w:trPr>
          <w:trHeight w:val="329"/>
        </w:trPr>
        <w:tc>
          <w:tcPr>
            <w:cnfStyle w:val="001000000000" w:firstRow="0" w:lastRow="0" w:firstColumn="1" w:lastColumn="0" w:oddVBand="0" w:evenVBand="0" w:oddHBand="0" w:evenHBand="0" w:firstRowFirstColumn="0" w:firstRowLastColumn="0" w:lastRowFirstColumn="0" w:lastRowLastColumn="0"/>
            <w:tcW w:w="5477" w:type="dxa"/>
          </w:tcPr>
          <w:p w14:paraId="30B5DAD5" w14:textId="77777777" w:rsidR="002C385B" w:rsidRPr="00F56161" w:rsidRDefault="002C385B" w:rsidP="00E6799D">
            <w:pPr>
              <w:pStyle w:val="TableText"/>
              <w:rPr>
                <w:szCs w:val="18"/>
              </w:rPr>
            </w:pPr>
            <w:r w:rsidRPr="005232C5">
              <w:t>Port Macquarie Base Hospital</w:t>
            </w:r>
          </w:p>
        </w:tc>
        <w:tc>
          <w:tcPr>
            <w:tcW w:w="4415" w:type="dxa"/>
          </w:tcPr>
          <w:p w14:paraId="4B98E948" w14:textId="77777777" w:rsidR="002C385B" w:rsidRPr="00F56161" w:rsidRDefault="002C385B" w:rsidP="00E6799D">
            <w:pPr>
              <w:pStyle w:val="TableText"/>
              <w:cnfStyle w:val="000000000000" w:firstRow="0" w:lastRow="0" w:firstColumn="0" w:lastColumn="0" w:oddVBand="0" w:evenVBand="0" w:oddHBand="0" w:evenHBand="0" w:firstRowFirstColumn="0" w:firstRowLastColumn="0" w:lastRowFirstColumn="0" w:lastRowLastColumn="0"/>
              <w:rPr>
                <w:szCs w:val="18"/>
              </w:rPr>
            </w:pPr>
            <w:r w:rsidRPr="00573DDE">
              <w:rPr>
                <w:szCs w:val="18"/>
              </w:rPr>
              <w:t>Hunter Prosthetics and Orthotics Service</w:t>
            </w:r>
          </w:p>
        </w:tc>
      </w:tr>
      <w:tr w:rsidR="00C35284" w:rsidRPr="00F56161" w14:paraId="55495740" w14:textId="77777777" w:rsidTr="00E6799D">
        <w:trPr>
          <w:trHeight w:val="329"/>
        </w:trPr>
        <w:tc>
          <w:tcPr>
            <w:cnfStyle w:val="001000000000" w:firstRow="0" w:lastRow="0" w:firstColumn="1" w:lastColumn="0" w:oddVBand="0" w:evenVBand="0" w:oddHBand="0" w:evenHBand="0" w:firstRowFirstColumn="0" w:firstRowLastColumn="0" w:lastRowFirstColumn="0" w:lastRowLastColumn="0"/>
            <w:tcW w:w="5477" w:type="dxa"/>
          </w:tcPr>
          <w:p w14:paraId="4F0389FB" w14:textId="77777777" w:rsidR="002C385B" w:rsidRPr="00F56161" w:rsidRDefault="002C385B" w:rsidP="00E6799D">
            <w:pPr>
              <w:pStyle w:val="TableText"/>
              <w:rPr>
                <w:szCs w:val="18"/>
              </w:rPr>
            </w:pPr>
            <w:r w:rsidRPr="005232C5">
              <w:t>Nowra Shoalhaven Hospital</w:t>
            </w:r>
          </w:p>
        </w:tc>
        <w:tc>
          <w:tcPr>
            <w:tcW w:w="4415" w:type="dxa"/>
          </w:tcPr>
          <w:p w14:paraId="55D130C8" w14:textId="77777777" w:rsidR="002C385B" w:rsidRPr="00F56161" w:rsidRDefault="002C385B" w:rsidP="00E6799D">
            <w:pPr>
              <w:pStyle w:val="TableText"/>
              <w:cnfStyle w:val="000000000000" w:firstRow="0" w:lastRow="0" w:firstColumn="0" w:lastColumn="0" w:oddVBand="0" w:evenVBand="0" w:oddHBand="0" w:evenHBand="0" w:firstRowFirstColumn="0" w:firstRowLastColumn="0" w:lastRowFirstColumn="0" w:lastRowLastColumn="0"/>
              <w:rPr>
                <w:szCs w:val="18"/>
              </w:rPr>
            </w:pPr>
            <w:r w:rsidRPr="00573DDE">
              <w:rPr>
                <w:szCs w:val="18"/>
              </w:rPr>
              <w:t>Southern Prosthetics and Orthotics</w:t>
            </w:r>
          </w:p>
        </w:tc>
      </w:tr>
      <w:tr w:rsidR="00C35284" w:rsidRPr="00F56161" w14:paraId="5E537A55" w14:textId="77777777" w:rsidTr="00E6799D">
        <w:trPr>
          <w:trHeight w:val="329"/>
        </w:trPr>
        <w:tc>
          <w:tcPr>
            <w:cnfStyle w:val="001000000000" w:firstRow="0" w:lastRow="0" w:firstColumn="1" w:lastColumn="0" w:oddVBand="0" w:evenVBand="0" w:oddHBand="0" w:evenHBand="0" w:firstRowFirstColumn="0" w:firstRowLastColumn="0" w:lastRowFirstColumn="0" w:lastRowLastColumn="0"/>
            <w:tcW w:w="5477" w:type="dxa"/>
          </w:tcPr>
          <w:p w14:paraId="4C63194D" w14:textId="77777777" w:rsidR="002C385B" w:rsidRPr="00F56161" w:rsidRDefault="002C385B" w:rsidP="00E6799D">
            <w:pPr>
              <w:pStyle w:val="TableText"/>
              <w:rPr>
                <w:szCs w:val="18"/>
              </w:rPr>
            </w:pPr>
            <w:r w:rsidRPr="005232C5">
              <w:t>Wingham Hospital</w:t>
            </w:r>
          </w:p>
        </w:tc>
        <w:tc>
          <w:tcPr>
            <w:tcW w:w="4415" w:type="dxa"/>
          </w:tcPr>
          <w:p w14:paraId="10CE8866" w14:textId="77777777" w:rsidR="002C385B" w:rsidRPr="00F56161" w:rsidRDefault="002C385B" w:rsidP="00E6799D">
            <w:pPr>
              <w:pStyle w:val="TableText"/>
              <w:cnfStyle w:val="000000000000" w:firstRow="0" w:lastRow="0" w:firstColumn="0" w:lastColumn="0" w:oddVBand="0" w:evenVBand="0" w:oddHBand="0" w:evenHBand="0" w:firstRowFirstColumn="0" w:firstRowLastColumn="0" w:lastRowFirstColumn="0" w:lastRowLastColumn="0"/>
              <w:rPr>
                <w:szCs w:val="18"/>
              </w:rPr>
            </w:pPr>
            <w:r w:rsidRPr="008C17D3">
              <w:rPr>
                <w:szCs w:val="18"/>
              </w:rPr>
              <w:t>APC Prosthetics</w:t>
            </w:r>
          </w:p>
        </w:tc>
      </w:tr>
      <w:tr w:rsidR="00C35284" w:rsidRPr="00F56161" w14:paraId="4DB0EA2E" w14:textId="77777777" w:rsidTr="00E6799D">
        <w:trPr>
          <w:trHeight w:val="316"/>
        </w:trPr>
        <w:tc>
          <w:tcPr>
            <w:cnfStyle w:val="001000000000" w:firstRow="0" w:lastRow="0" w:firstColumn="1" w:lastColumn="0" w:oddVBand="0" w:evenVBand="0" w:oddHBand="0" w:evenHBand="0" w:firstRowFirstColumn="0" w:firstRowLastColumn="0" w:lastRowFirstColumn="0" w:lastRowLastColumn="0"/>
            <w:tcW w:w="5477" w:type="dxa"/>
          </w:tcPr>
          <w:p w14:paraId="7A0941D6" w14:textId="77777777" w:rsidR="002C385B" w:rsidRPr="00F56161" w:rsidRDefault="002C385B" w:rsidP="00E6799D">
            <w:pPr>
              <w:pStyle w:val="TableText"/>
              <w:rPr>
                <w:szCs w:val="18"/>
              </w:rPr>
            </w:pPr>
            <w:r w:rsidRPr="00767AB0">
              <w:t>Albury Wodonga Prosthetics and Orthotics Service</w:t>
            </w:r>
          </w:p>
        </w:tc>
        <w:tc>
          <w:tcPr>
            <w:tcW w:w="4415" w:type="dxa"/>
          </w:tcPr>
          <w:p w14:paraId="502F9D43" w14:textId="77777777" w:rsidR="002C385B" w:rsidRPr="00F56161" w:rsidRDefault="002C385B" w:rsidP="00E6799D">
            <w:pPr>
              <w:pStyle w:val="TableText"/>
              <w:cnfStyle w:val="000000000000" w:firstRow="0" w:lastRow="0" w:firstColumn="0" w:lastColumn="0" w:oddVBand="0" w:evenVBand="0" w:oddHBand="0" w:evenHBand="0" w:firstRowFirstColumn="0" w:firstRowLastColumn="0" w:lastRowFirstColumn="0" w:lastRowLastColumn="0"/>
              <w:rPr>
                <w:szCs w:val="18"/>
              </w:rPr>
            </w:pPr>
            <w:r w:rsidRPr="00F56161">
              <w:rPr>
                <w:szCs w:val="18"/>
              </w:rPr>
              <w:t>Albury Prosthetics and Orthotics Service</w:t>
            </w:r>
          </w:p>
        </w:tc>
      </w:tr>
    </w:tbl>
    <w:p w14:paraId="1714D48F" w14:textId="1D26FA07" w:rsidR="003F7BD8" w:rsidRDefault="002C385B" w:rsidP="00E6799D">
      <w:pPr>
        <w:pStyle w:val="Caption-Source"/>
        <w:rPr>
          <w:rFonts w:ascii="ZWAdobeF" w:hAnsi="ZWAdobeF" w:cs="ZWAdobeF"/>
          <w:iCs w:val="0"/>
          <w:color w:val="auto"/>
          <w:sz w:val="2"/>
          <w:szCs w:val="2"/>
        </w:rPr>
      </w:pPr>
      <w:r w:rsidRPr="00B56150">
        <w:t xml:space="preserve">Source: </w:t>
      </w:r>
      <w:proofErr w:type="spellStart"/>
      <w:r>
        <w:t>EnableNSW</w:t>
      </w:r>
      <w:proofErr w:type="spellEnd"/>
      <w:r>
        <w:t xml:space="preserve"> (</w:t>
      </w:r>
      <w:proofErr w:type="spellStart"/>
      <w:r>
        <w:t>n.d</w:t>
      </w:r>
      <w:proofErr w:type="spellEnd"/>
      <w:r w:rsidRPr="00B56150">
        <w:t>)</w:t>
      </w:r>
      <w:r w:rsidR="007B7939">
        <w:rPr>
          <w:rFonts w:ascii="ZWAdobeF" w:hAnsi="ZWAdobeF" w:cs="ZWAdobeF"/>
          <w:iCs w:val="0"/>
          <w:color w:val="auto"/>
          <w:sz w:val="2"/>
          <w:szCs w:val="2"/>
        </w:rPr>
        <w:t>179F</w:t>
      </w:r>
      <w:r w:rsidRPr="00B56150">
        <w:rPr>
          <w:rStyle w:val="FootnoteReference"/>
          <w:i/>
          <w:iCs w:val="0"/>
          <w:sz w:val="16"/>
        </w:rPr>
        <w:footnoteReference w:id="192"/>
      </w:r>
      <w:r w:rsidR="003F7BD8">
        <w:rPr>
          <w:rFonts w:ascii="ZWAdobeF" w:hAnsi="ZWAdobeF" w:cs="ZWAdobeF"/>
          <w:iCs w:val="0"/>
          <w:color w:val="auto"/>
          <w:sz w:val="2"/>
          <w:szCs w:val="2"/>
        </w:rPr>
        <w:br w:type="page"/>
      </w:r>
    </w:p>
    <w:p w14:paraId="0B3595AD" w14:textId="1B609D41" w:rsidR="002C385B" w:rsidRPr="004A6DB4" w:rsidRDefault="004A6DB4" w:rsidP="008239ED">
      <w:pPr>
        <w:pStyle w:val="AppendixHeading2"/>
      </w:pPr>
      <w:bookmarkStart w:id="367" w:name="_Ref200968516"/>
      <w:bookmarkStart w:id="368" w:name="_Toc207348791"/>
      <w:r>
        <w:t>QLD accredited amputee clinics and PSPs</w:t>
      </w:r>
      <w:bookmarkEnd w:id="367"/>
      <w:bookmarkEnd w:id="368"/>
    </w:p>
    <w:p w14:paraId="21BBCA3E" w14:textId="4BF09744" w:rsidR="00FF7E61" w:rsidRDefault="00FF7E61" w:rsidP="00FF7E61">
      <w:pPr>
        <w:pStyle w:val="Caption"/>
      </w:pPr>
      <w:bookmarkStart w:id="369" w:name="_Ref200968529"/>
      <w:bookmarkStart w:id="370" w:name="_Ref199165979"/>
      <w:bookmarkStart w:id="371" w:name="_Toc207348699"/>
      <w:r>
        <w:t>Table</w:t>
      </w:r>
      <w:bookmarkEnd w:id="369"/>
      <w:r>
        <w:t xml:space="preserve"> </w:t>
      </w:r>
      <w:r w:rsidR="00E6799D">
        <w:fldChar w:fldCharType="begin"/>
      </w:r>
      <w:r w:rsidR="00E6799D">
        <w:instrText xml:space="preserve"> SEQ Table \* ARABIC </w:instrText>
      </w:r>
      <w:r w:rsidR="00E6799D">
        <w:fldChar w:fldCharType="separate"/>
      </w:r>
      <w:r w:rsidR="00E6799D">
        <w:rPr>
          <w:noProof/>
        </w:rPr>
        <w:t>134</w:t>
      </w:r>
      <w:r w:rsidR="00E6799D">
        <w:rPr>
          <w:noProof/>
        </w:rPr>
        <w:fldChar w:fldCharType="end"/>
      </w:r>
      <w:bookmarkEnd w:id="370"/>
      <w:r>
        <w:t xml:space="preserve">: </w:t>
      </w:r>
      <w:r w:rsidRPr="001917F1">
        <w:t xml:space="preserve"> </w:t>
      </w:r>
      <w:r>
        <w:t>QALS</w:t>
      </w:r>
      <w:r w:rsidRPr="001917F1">
        <w:t xml:space="preserve"> accredited amputee clinics and PSPs</w:t>
      </w:r>
      <w:bookmarkEnd w:id="371"/>
      <w:r w:rsidR="00082F52">
        <w:t xml:space="preserve"> </w:t>
      </w:r>
    </w:p>
    <w:tbl>
      <w:tblPr>
        <w:tblStyle w:val="KPMGTable"/>
        <w:tblW w:w="0" w:type="auto"/>
        <w:tblLook w:val="04A0" w:firstRow="1" w:lastRow="0" w:firstColumn="1" w:lastColumn="0" w:noHBand="0" w:noVBand="1"/>
      </w:tblPr>
      <w:tblGrid>
        <w:gridCol w:w="1317"/>
        <w:gridCol w:w="3928"/>
        <w:gridCol w:w="4949"/>
      </w:tblGrid>
      <w:tr w:rsidR="00E65795" w:rsidRPr="00F56161" w14:paraId="6609A55E" w14:textId="77777777" w:rsidTr="00082F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7" w:type="dxa"/>
          </w:tcPr>
          <w:p w14:paraId="3C4A6F6F" w14:textId="77777777" w:rsidR="00FF7E61" w:rsidRPr="008E77E9" w:rsidRDefault="00FF7E61" w:rsidP="00082F52">
            <w:pPr>
              <w:pStyle w:val="TableHeading"/>
              <w:rPr>
                <w:b w:val="0"/>
                <w:color w:val="FFFFFF" w:themeColor="background1"/>
                <w:szCs w:val="18"/>
              </w:rPr>
            </w:pPr>
            <w:r w:rsidRPr="008E77E9">
              <w:t>Location</w:t>
            </w:r>
          </w:p>
        </w:tc>
        <w:tc>
          <w:tcPr>
            <w:tcW w:w="3928" w:type="dxa"/>
          </w:tcPr>
          <w:p w14:paraId="0EA1D709" w14:textId="77777777" w:rsidR="00FF7E61" w:rsidRPr="00730470" w:rsidRDefault="00FF7E61" w:rsidP="00082F52">
            <w:pPr>
              <w:pStyle w:val="TableHeading"/>
              <w:cnfStyle w:val="100000000000" w:firstRow="1" w:lastRow="0" w:firstColumn="0" w:lastColumn="0" w:oddVBand="0" w:evenVBand="0" w:oddHBand="0" w:evenHBand="0" w:firstRowFirstColumn="0" w:firstRowLastColumn="0" w:lastRowFirstColumn="0" w:lastRowLastColumn="0"/>
              <w:rPr>
                <w:b w:val="0"/>
                <w:szCs w:val="18"/>
              </w:rPr>
            </w:pPr>
            <w:r w:rsidRPr="00730470">
              <w:t>QALS</w:t>
            </w:r>
            <w:r w:rsidRPr="00730470">
              <w:rPr>
                <w:b w:val="0"/>
                <w:szCs w:val="18"/>
              </w:rPr>
              <w:t xml:space="preserve"> accredited amputee clinic</w:t>
            </w:r>
          </w:p>
        </w:tc>
        <w:tc>
          <w:tcPr>
            <w:tcW w:w="4949" w:type="dxa"/>
          </w:tcPr>
          <w:p w14:paraId="71C32259" w14:textId="77777777" w:rsidR="00FF7E61" w:rsidRPr="008E77E9" w:rsidRDefault="00FF7E61" w:rsidP="00082F52">
            <w:pPr>
              <w:pStyle w:val="TableHeading"/>
              <w:cnfStyle w:val="100000000000" w:firstRow="1" w:lastRow="0" w:firstColumn="0" w:lastColumn="0" w:oddVBand="0" w:evenVBand="0" w:oddHBand="0" w:evenHBand="0" w:firstRowFirstColumn="0" w:firstRowLastColumn="0" w:lastRowFirstColumn="0" w:lastRowLastColumn="0"/>
              <w:rPr>
                <w:b w:val="0"/>
                <w:color w:val="FFFFFF" w:themeColor="background1"/>
                <w:szCs w:val="18"/>
              </w:rPr>
            </w:pPr>
            <w:r w:rsidRPr="008E77E9">
              <w:t>Prosthetic service provider</w:t>
            </w:r>
          </w:p>
        </w:tc>
      </w:tr>
      <w:tr w:rsidR="00E65795" w:rsidRPr="00F56161" w14:paraId="44788A98" w14:textId="77777777" w:rsidTr="00082F52">
        <w:trPr>
          <w:trHeight w:val="1955"/>
        </w:trPr>
        <w:tc>
          <w:tcPr>
            <w:cnfStyle w:val="001000000000" w:firstRow="0" w:lastRow="0" w:firstColumn="1" w:lastColumn="0" w:oddVBand="0" w:evenVBand="0" w:oddHBand="0" w:evenHBand="0" w:firstRowFirstColumn="0" w:firstRowLastColumn="0" w:lastRowFirstColumn="0" w:lastRowLastColumn="0"/>
            <w:tcW w:w="1317" w:type="dxa"/>
          </w:tcPr>
          <w:p w14:paraId="1B19FCDD" w14:textId="77777777" w:rsidR="00FF7E61" w:rsidRPr="008E77E9" w:rsidRDefault="00FF7E61" w:rsidP="00082F52">
            <w:pPr>
              <w:pStyle w:val="Tabletextbold"/>
              <w:rPr>
                <w:szCs w:val="18"/>
              </w:rPr>
            </w:pPr>
            <w:r w:rsidRPr="008E77E9">
              <w:t>Metropolitan</w:t>
            </w:r>
          </w:p>
        </w:tc>
        <w:tc>
          <w:tcPr>
            <w:tcW w:w="3928" w:type="dxa"/>
          </w:tcPr>
          <w:p w14:paraId="4F066B79" w14:textId="77777777" w:rsidR="00FF7E61" w:rsidRPr="000D5A4E" w:rsidRDefault="00FF7E61" w:rsidP="00082F52">
            <w:pPr>
              <w:pStyle w:val="TableBullet1"/>
              <w:cnfStyle w:val="000000000000" w:firstRow="0" w:lastRow="0" w:firstColumn="0" w:lastColumn="0" w:oddVBand="0" w:evenVBand="0" w:oddHBand="0" w:evenHBand="0" w:firstRowFirstColumn="0" w:firstRowLastColumn="0" w:lastRowFirstColumn="0" w:lastRowLastColumn="0"/>
            </w:pPr>
            <w:r>
              <w:t xml:space="preserve">Royal Brisbane and Women’s Hospital </w:t>
            </w:r>
          </w:p>
          <w:p w14:paraId="4455DBD8" w14:textId="77777777" w:rsidR="00FF7E61" w:rsidRPr="00767AB0" w:rsidRDefault="00FF7E61" w:rsidP="00082F52">
            <w:pPr>
              <w:pStyle w:val="TableBullet1"/>
              <w:cnfStyle w:val="000000000000" w:firstRow="0" w:lastRow="0" w:firstColumn="0" w:lastColumn="0" w:oddVBand="0" w:evenVBand="0" w:oddHBand="0" w:evenHBand="0" w:firstRowFirstColumn="0" w:firstRowLastColumn="0" w:lastRowFirstColumn="0" w:lastRowLastColumn="0"/>
            </w:pPr>
            <w:r>
              <w:t>Princess Alexandra Hospital</w:t>
            </w:r>
          </w:p>
          <w:p w14:paraId="2CDFD3F9" w14:textId="77777777" w:rsidR="00FF7E61" w:rsidRPr="00767AB0" w:rsidRDefault="00FF7E61" w:rsidP="00082F52">
            <w:pPr>
              <w:pStyle w:val="TableBullet1"/>
              <w:cnfStyle w:val="000000000000" w:firstRow="0" w:lastRow="0" w:firstColumn="0" w:lastColumn="0" w:oddVBand="0" w:evenVBand="0" w:oddHBand="0" w:evenHBand="0" w:firstRowFirstColumn="0" w:firstRowLastColumn="0" w:lastRowFirstColumn="0" w:lastRowLastColumn="0"/>
            </w:pPr>
            <w:r>
              <w:t>Queensland Children’s Hospital</w:t>
            </w:r>
          </w:p>
          <w:p w14:paraId="21D3BD84" w14:textId="77777777" w:rsidR="00FF7E61" w:rsidRPr="00F56161" w:rsidRDefault="00FF7E61" w:rsidP="00082F52">
            <w:pPr>
              <w:pStyle w:val="TableBullet1"/>
              <w:cnfStyle w:val="000000000000" w:firstRow="0" w:lastRow="0" w:firstColumn="0" w:lastColumn="0" w:oddVBand="0" w:evenVBand="0" w:oddHBand="0" w:evenHBand="0" w:firstRowFirstColumn="0" w:firstRowLastColumn="0" w:lastRowFirstColumn="0" w:lastRowLastColumn="0"/>
            </w:pPr>
            <w:r w:rsidRPr="00522A03">
              <w:t xml:space="preserve">Redcliffe Community Health Centre </w:t>
            </w:r>
          </w:p>
          <w:p w14:paraId="531A446C" w14:textId="77777777" w:rsidR="00FF7E61" w:rsidRPr="00522A03" w:rsidRDefault="00FF7E61" w:rsidP="00082F52">
            <w:pPr>
              <w:pStyle w:val="TableBullet1"/>
              <w:cnfStyle w:val="000000000000" w:firstRow="0" w:lastRow="0" w:firstColumn="0" w:lastColumn="0" w:oddVBand="0" w:evenVBand="0" w:oddHBand="0" w:evenHBand="0" w:firstRowFirstColumn="0" w:firstRowLastColumn="0" w:lastRowFirstColumn="0" w:lastRowLastColumn="0"/>
            </w:pPr>
            <w:r>
              <w:t>Sunshine Coast University Hospital</w:t>
            </w:r>
          </w:p>
          <w:p w14:paraId="31BFCA69" w14:textId="77777777" w:rsidR="00FF7E61" w:rsidRPr="000D5A4E" w:rsidRDefault="00FF7E61" w:rsidP="00082F52">
            <w:pPr>
              <w:pStyle w:val="TableBullet1"/>
              <w:cnfStyle w:val="000000000000" w:firstRow="0" w:lastRow="0" w:firstColumn="0" w:lastColumn="0" w:oddVBand="0" w:evenVBand="0" w:oddHBand="0" w:evenHBand="0" w:firstRowFirstColumn="0" w:firstRowLastColumn="0" w:lastRowFirstColumn="0" w:lastRowLastColumn="0"/>
            </w:pPr>
            <w:r w:rsidRPr="00522A03">
              <w:t>Gold Coast University Hospital</w:t>
            </w:r>
          </w:p>
        </w:tc>
        <w:tc>
          <w:tcPr>
            <w:tcW w:w="4949" w:type="dxa"/>
          </w:tcPr>
          <w:p w14:paraId="25C4FC8E" w14:textId="77777777" w:rsidR="00FF7E61" w:rsidRPr="00F629FD" w:rsidRDefault="00FF7E61" w:rsidP="00082F52">
            <w:pPr>
              <w:pStyle w:val="TableBullet1"/>
              <w:cnfStyle w:val="000000000000" w:firstRow="0" w:lastRow="0" w:firstColumn="0" w:lastColumn="0" w:oddVBand="0" w:evenVBand="0" w:oddHBand="0" w:evenHBand="0" w:firstRowFirstColumn="0" w:firstRowLastColumn="0" w:lastRowFirstColumn="0" w:lastRowLastColumn="0"/>
            </w:pPr>
            <w:r w:rsidRPr="008F2A9D">
              <w:t>Brisbane</w:t>
            </w:r>
            <w:r>
              <w:t xml:space="preserve">: </w:t>
            </w:r>
            <w:r w:rsidRPr="00F629FD">
              <w:t>Ability Prosthetics and Orthotics</w:t>
            </w:r>
            <w:r>
              <w:t xml:space="preserve"> (APO)</w:t>
            </w:r>
            <w:r w:rsidRPr="00F629FD">
              <w:t xml:space="preserve">, OAPL, </w:t>
            </w:r>
            <w:r>
              <w:t>Leading Edge Prosthetics</w:t>
            </w:r>
            <w:r w:rsidRPr="00F629FD">
              <w:t xml:space="preserve">, </w:t>
            </w:r>
            <w:r>
              <w:t>Prosthetic Solutions Queensland</w:t>
            </w:r>
          </w:p>
          <w:p w14:paraId="1119A855" w14:textId="77777777" w:rsidR="00FF7E61" w:rsidRPr="00F629FD" w:rsidRDefault="00FF7E61" w:rsidP="00082F52">
            <w:pPr>
              <w:pStyle w:val="TableBullet1"/>
              <w:cnfStyle w:val="000000000000" w:firstRow="0" w:lastRow="0" w:firstColumn="0" w:lastColumn="0" w:oddVBand="0" w:evenVBand="0" w:oddHBand="0" w:evenHBand="0" w:firstRowFirstColumn="0" w:firstRowLastColumn="0" w:lastRowFirstColumn="0" w:lastRowLastColumn="0"/>
            </w:pPr>
            <w:r w:rsidRPr="008F2A9D">
              <w:t>Logan:</w:t>
            </w:r>
            <w:r>
              <w:t xml:space="preserve"> </w:t>
            </w:r>
            <w:r w:rsidRPr="00F629FD">
              <w:t>OAPL, Queensland Prosthetics (QP)</w:t>
            </w:r>
          </w:p>
          <w:p w14:paraId="205B8911" w14:textId="77777777" w:rsidR="00FF7E61" w:rsidRPr="00F629FD" w:rsidRDefault="00FF7E61" w:rsidP="00082F52">
            <w:pPr>
              <w:pStyle w:val="TableBullet1"/>
              <w:cnfStyle w:val="000000000000" w:firstRow="0" w:lastRow="0" w:firstColumn="0" w:lastColumn="0" w:oddVBand="0" w:evenVBand="0" w:oddHBand="0" w:evenHBand="0" w:firstRowFirstColumn="0" w:firstRowLastColumn="0" w:lastRowFirstColumn="0" w:lastRowLastColumn="0"/>
            </w:pPr>
            <w:r w:rsidRPr="008F2A9D">
              <w:t>Gold Coast:</w:t>
            </w:r>
            <w:r>
              <w:t xml:space="preserve"> </w:t>
            </w:r>
            <w:r w:rsidRPr="00F629FD">
              <w:t xml:space="preserve">Custom Prosthetics, </w:t>
            </w:r>
            <w:r>
              <w:t>Southern Prosthetics and Orthotics</w:t>
            </w:r>
          </w:p>
          <w:p w14:paraId="72A60FE3" w14:textId="77777777" w:rsidR="00FF7E61" w:rsidRPr="002E6884" w:rsidRDefault="00FF7E61" w:rsidP="00082F52">
            <w:pPr>
              <w:pStyle w:val="TableBullet1"/>
              <w:cnfStyle w:val="000000000000" w:firstRow="0" w:lastRow="0" w:firstColumn="0" w:lastColumn="0" w:oddVBand="0" w:evenVBand="0" w:oddHBand="0" w:evenHBand="0" w:firstRowFirstColumn="0" w:firstRowLastColumn="0" w:lastRowFirstColumn="0" w:lastRowLastColumn="0"/>
            </w:pPr>
            <w:r w:rsidRPr="008F2A9D">
              <w:t>Ipswich:</w:t>
            </w:r>
            <w:r>
              <w:t xml:space="preserve"> </w:t>
            </w:r>
            <w:r w:rsidRPr="002E6884">
              <w:t>OAPL</w:t>
            </w:r>
          </w:p>
          <w:p w14:paraId="67BC78F0" w14:textId="77777777" w:rsidR="00FF7E61" w:rsidRPr="002E6884" w:rsidRDefault="00FF7E61" w:rsidP="00082F52">
            <w:pPr>
              <w:pStyle w:val="TableBullet1"/>
              <w:cnfStyle w:val="000000000000" w:firstRow="0" w:lastRow="0" w:firstColumn="0" w:lastColumn="0" w:oddVBand="0" w:evenVBand="0" w:oddHBand="0" w:evenHBand="0" w:firstRowFirstColumn="0" w:firstRowLastColumn="0" w:lastRowFirstColumn="0" w:lastRowLastColumn="0"/>
            </w:pPr>
            <w:r w:rsidRPr="008F2A9D">
              <w:t>Sunshine Coast:</w:t>
            </w:r>
            <w:r>
              <w:t xml:space="preserve"> </w:t>
            </w:r>
            <w:r w:rsidRPr="002E6884">
              <w:t xml:space="preserve">OAPL, </w:t>
            </w:r>
            <w:r>
              <w:t>Dynamic Prosthetics and Orthotics</w:t>
            </w:r>
            <w:r w:rsidRPr="002E6884">
              <w:t xml:space="preserve">, </w:t>
            </w:r>
            <w:r>
              <w:t>Prosthetics Solutions Queensland</w:t>
            </w:r>
          </w:p>
        </w:tc>
      </w:tr>
      <w:tr w:rsidR="00E65795" w:rsidRPr="00F56161" w14:paraId="22B96480" w14:textId="77777777" w:rsidTr="00082F52">
        <w:trPr>
          <w:trHeight w:val="1638"/>
        </w:trPr>
        <w:tc>
          <w:tcPr>
            <w:cnfStyle w:val="001000000000" w:firstRow="0" w:lastRow="0" w:firstColumn="1" w:lastColumn="0" w:oddVBand="0" w:evenVBand="0" w:oddHBand="0" w:evenHBand="0" w:firstRowFirstColumn="0" w:firstRowLastColumn="0" w:lastRowFirstColumn="0" w:lastRowLastColumn="0"/>
            <w:tcW w:w="1317" w:type="dxa"/>
          </w:tcPr>
          <w:p w14:paraId="5F69C946" w14:textId="77777777" w:rsidR="00FF7E61" w:rsidRPr="008E77E9" w:rsidRDefault="00FF7E61" w:rsidP="00082F52">
            <w:pPr>
              <w:pStyle w:val="Tabletextbold"/>
              <w:rPr>
                <w:color w:val="auto"/>
                <w:szCs w:val="18"/>
              </w:rPr>
            </w:pPr>
            <w:r w:rsidRPr="008E77E9">
              <w:rPr>
                <w:color w:val="auto"/>
              </w:rPr>
              <w:t>Regional</w:t>
            </w:r>
          </w:p>
        </w:tc>
        <w:tc>
          <w:tcPr>
            <w:tcW w:w="3928" w:type="dxa"/>
          </w:tcPr>
          <w:p w14:paraId="785B7D62" w14:textId="77777777" w:rsidR="00FF7E61" w:rsidRPr="0098017A" w:rsidRDefault="00FF7E61" w:rsidP="00082F52">
            <w:pPr>
              <w:pStyle w:val="TableBullet1"/>
              <w:cnfStyle w:val="000000000000" w:firstRow="0" w:lastRow="0" w:firstColumn="0" w:lastColumn="0" w:oddVBand="0" w:evenVBand="0" w:oddHBand="0" w:evenHBand="0" w:firstRowFirstColumn="0" w:firstRowLastColumn="0" w:lastRowFirstColumn="0" w:lastRowLastColumn="0"/>
            </w:pPr>
            <w:r>
              <w:t>Toowoomba Health Service</w:t>
            </w:r>
          </w:p>
          <w:p w14:paraId="68E61B93" w14:textId="77777777" w:rsidR="00FF7E61" w:rsidRPr="0098017A" w:rsidRDefault="00FF7E61" w:rsidP="00082F52">
            <w:pPr>
              <w:pStyle w:val="TableBullet1"/>
              <w:cnfStyle w:val="000000000000" w:firstRow="0" w:lastRow="0" w:firstColumn="0" w:lastColumn="0" w:oddVBand="0" w:evenVBand="0" w:oddHBand="0" w:evenHBand="0" w:firstRowFirstColumn="0" w:firstRowLastColumn="0" w:lastRowFirstColumn="0" w:lastRowLastColumn="0"/>
            </w:pPr>
            <w:r>
              <w:t>Rockhampton Hospital</w:t>
            </w:r>
          </w:p>
          <w:p w14:paraId="5EBCC3B9" w14:textId="77777777" w:rsidR="00FF7E61" w:rsidRPr="0098017A" w:rsidRDefault="00FF7E61" w:rsidP="00082F52">
            <w:pPr>
              <w:pStyle w:val="TableBullet1"/>
              <w:cnfStyle w:val="000000000000" w:firstRow="0" w:lastRow="0" w:firstColumn="0" w:lastColumn="0" w:oddVBand="0" w:evenVBand="0" w:oddHBand="0" w:evenHBand="0" w:firstRowFirstColumn="0" w:firstRowLastColumn="0" w:lastRowFirstColumn="0" w:lastRowLastColumn="0"/>
            </w:pPr>
            <w:r>
              <w:t>Maryborough General Hospital</w:t>
            </w:r>
          </w:p>
          <w:p w14:paraId="0AAD6A93" w14:textId="77777777" w:rsidR="00FF7E61" w:rsidRPr="0098017A" w:rsidRDefault="00FF7E61" w:rsidP="00082F52">
            <w:pPr>
              <w:pStyle w:val="TableBullet1"/>
              <w:cnfStyle w:val="000000000000" w:firstRow="0" w:lastRow="0" w:firstColumn="0" w:lastColumn="0" w:oddVBand="0" w:evenVBand="0" w:oddHBand="0" w:evenHBand="0" w:firstRowFirstColumn="0" w:firstRowLastColumn="0" w:lastRowFirstColumn="0" w:lastRowLastColumn="0"/>
            </w:pPr>
            <w:r>
              <w:t>Bundaberg Hospital</w:t>
            </w:r>
          </w:p>
          <w:p w14:paraId="39DE3F20" w14:textId="77777777" w:rsidR="00FF7E61" w:rsidRPr="0098017A" w:rsidRDefault="00FF7E61" w:rsidP="00082F52">
            <w:pPr>
              <w:pStyle w:val="TableBullet1"/>
              <w:cnfStyle w:val="000000000000" w:firstRow="0" w:lastRow="0" w:firstColumn="0" w:lastColumn="0" w:oddVBand="0" w:evenVBand="0" w:oddHBand="0" w:evenHBand="0" w:firstRowFirstColumn="0" w:firstRowLastColumn="0" w:lastRowFirstColumn="0" w:lastRowLastColumn="0"/>
            </w:pPr>
            <w:r>
              <w:t>Mackay base Hospital</w:t>
            </w:r>
          </w:p>
          <w:p w14:paraId="1E289188" w14:textId="77777777" w:rsidR="00FF7E61" w:rsidRPr="00767AB0" w:rsidRDefault="00FF7E61" w:rsidP="00082F52">
            <w:pPr>
              <w:pStyle w:val="TableBullet1"/>
              <w:cnfStyle w:val="000000000000" w:firstRow="0" w:lastRow="0" w:firstColumn="0" w:lastColumn="0" w:oddVBand="0" w:evenVBand="0" w:oddHBand="0" w:evenHBand="0" w:firstRowFirstColumn="0" w:firstRowLastColumn="0" w:lastRowFirstColumn="0" w:lastRowLastColumn="0"/>
            </w:pPr>
            <w:r>
              <w:t>Cairns Base Hospital</w:t>
            </w:r>
          </w:p>
          <w:p w14:paraId="1563DF42" w14:textId="77777777" w:rsidR="00FF7E61" w:rsidRPr="0098017A" w:rsidRDefault="00FF7E61" w:rsidP="00082F52">
            <w:pPr>
              <w:pStyle w:val="TableBullet1"/>
              <w:cnfStyle w:val="000000000000" w:firstRow="0" w:lastRow="0" w:firstColumn="0" w:lastColumn="0" w:oddVBand="0" w:evenVBand="0" w:oddHBand="0" w:evenHBand="0" w:firstRowFirstColumn="0" w:firstRowLastColumn="0" w:lastRowFirstColumn="0" w:lastRowLastColumn="0"/>
            </w:pPr>
            <w:r>
              <w:t>Townsville General Hospital</w:t>
            </w:r>
          </w:p>
        </w:tc>
        <w:tc>
          <w:tcPr>
            <w:tcW w:w="4949" w:type="dxa"/>
          </w:tcPr>
          <w:p w14:paraId="33789A14" w14:textId="3C69AF2D" w:rsidR="00FF7E61" w:rsidRPr="000A3518" w:rsidRDefault="00FF7E61" w:rsidP="00082F52">
            <w:pPr>
              <w:pStyle w:val="TableBullet1"/>
              <w:cnfStyle w:val="000000000000" w:firstRow="0" w:lastRow="0" w:firstColumn="0" w:lastColumn="0" w:oddVBand="0" w:evenVBand="0" w:oddHBand="0" w:evenHBand="0" w:firstRowFirstColumn="0" w:firstRowLastColumn="0" w:lastRowFirstColumn="0" w:lastRowLastColumn="0"/>
            </w:pPr>
            <w:r w:rsidRPr="000A3518">
              <w:t>Toowoomba:</w:t>
            </w:r>
            <w:r>
              <w:t xml:space="preserve"> </w:t>
            </w:r>
            <w:r w:rsidRPr="000A3518">
              <w:t xml:space="preserve">Multiple PSPs including </w:t>
            </w:r>
            <w:r>
              <w:t xml:space="preserve">APO, </w:t>
            </w:r>
            <w:r w:rsidRPr="000A3518">
              <w:t xml:space="preserve">OAPL, and </w:t>
            </w:r>
            <w:r>
              <w:t>Dynamic Prosthetics and Orthotics (DPO</w:t>
            </w:r>
            <w:r w:rsidR="004A6DB4">
              <w:t>)</w:t>
            </w:r>
          </w:p>
          <w:p w14:paraId="34BBC676" w14:textId="77777777" w:rsidR="00FF7E61" w:rsidRPr="00F56161" w:rsidRDefault="00FF7E61" w:rsidP="00082F52">
            <w:pPr>
              <w:pStyle w:val="TableBullet1"/>
              <w:cnfStyle w:val="000000000000" w:firstRow="0" w:lastRow="0" w:firstColumn="0" w:lastColumn="0" w:oddVBand="0" w:evenVBand="0" w:oddHBand="0" w:evenHBand="0" w:firstRowFirstColumn="0" w:firstRowLastColumn="0" w:lastRowFirstColumn="0" w:lastRowLastColumn="0"/>
            </w:pPr>
            <w:r w:rsidRPr="000A3518">
              <w:t>Bundaberg, Maryborough, Rockhampton, Mackay, Cairns, Townsville:</w:t>
            </w:r>
            <w:r>
              <w:t xml:space="preserve"> </w:t>
            </w:r>
            <w:r w:rsidRPr="000A3518">
              <w:t>OAPL, SSS</w:t>
            </w:r>
            <w:r>
              <w:t xml:space="preserve"> Prosthetics and Orthotics</w:t>
            </w:r>
            <w:r w:rsidRPr="000A3518">
              <w:t>, APO, and DPO</w:t>
            </w:r>
          </w:p>
        </w:tc>
      </w:tr>
    </w:tbl>
    <w:p w14:paraId="127683B1" w14:textId="52E9BD51" w:rsidR="00957DDB" w:rsidRDefault="00FF7E61" w:rsidP="00957DDB">
      <w:pPr>
        <w:pStyle w:val="Caption-Source"/>
      </w:pPr>
      <w:r w:rsidRPr="00B56150">
        <w:t xml:space="preserve">Source: </w:t>
      </w:r>
      <w:r>
        <w:t>Queensland Health (2025</w:t>
      </w:r>
      <w:r w:rsidR="00FE402B">
        <w:t>)</w:t>
      </w:r>
      <w:r>
        <w:rPr>
          <w:rStyle w:val="FootnoteReference"/>
        </w:rPr>
        <w:t xml:space="preserve"> </w:t>
      </w:r>
      <w:r w:rsidR="007B7939">
        <w:rPr>
          <w:rFonts w:ascii="ZWAdobeF" w:hAnsi="ZWAdobeF" w:cs="ZWAdobeF"/>
          <w:color w:val="auto"/>
          <w:sz w:val="2"/>
          <w:szCs w:val="2"/>
        </w:rPr>
        <w:t>180F</w:t>
      </w:r>
      <w:r>
        <w:rPr>
          <w:rStyle w:val="FootnoteReference"/>
        </w:rPr>
        <w:footnoteReference w:id="193"/>
      </w:r>
      <w:bookmarkStart w:id="372" w:name="_Ref200968705"/>
      <w:r w:rsidR="003F7BD8">
        <w:rPr>
          <w:rFonts w:ascii="ZWAdobeF" w:hAnsi="ZWAdobeF" w:cs="ZWAdobeF"/>
          <w:color w:val="auto"/>
          <w:sz w:val="2"/>
          <w:szCs w:val="2"/>
        </w:rPr>
        <w:t xml:space="preserve"> </w:t>
      </w:r>
    </w:p>
    <w:p w14:paraId="3A358A3D" w14:textId="0B803EC0" w:rsidR="00753CF9" w:rsidRPr="004A6DB4" w:rsidRDefault="001B5CD4" w:rsidP="008239ED">
      <w:pPr>
        <w:pStyle w:val="AppendixHeading2"/>
      </w:pPr>
      <w:bookmarkStart w:id="373" w:name="_Ref207347719"/>
      <w:bookmarkStart w:id="374" w:name="_Toc207348792"/>
      <w:r>
        <w:t>SA</w:t>
      </w:r>
      <w:r w:rsidR="00753CF9">
        <w:t xml:space="preserve"> accredited amputee clinics</w:t>
      </w:r>
      <w:bookmarkEnd w:id="372"/>
      <w:bookmarkEnd w:id="373"/>
      <w:bookmarkEnd w:id="374"/>
      <w:r w:rsidR="00753CF9">
        <w:t xml:space="preserve"> </w:t>
      </w:r>
    </w:p>
    <w:p w14:paraId="1ED471C2" w14:textId="60363388" w:rsidR="00B06777" w:rsidRDefault="00B06777" w:rsidP="00B06777">
      <w:pPr>
        <w:pStyle w:val="Caption"/>
      </w:pPr>
      <w:bookmarkStart w:id="375" w:name="_Ref200968699"/>
      <w:bookmarkStart w:id="376" w:name="_Ref199237748"/>
      <w:bookmarkStart w:id="377" w:name="_Toc207348700"/>
      <w:r>
        <w:t>Table</w:t>
      </w:r>
      <w:bookmarkEnd w:id="375"/>
      <w:r>
        <w:t xml:space="preserve"> </w:t>
      </w:r>
      <w:r w:rsidR="00E6799D">
        <w:fldChar w:fldCharType="begin"/>
      </w:r>
      <w:r w:rsidR="00E6799D">
        <w:instrText xml:space="preserve"> SEQ Table \* ARABIC </w:instrText>
      </w:r>
      <w:r w:rsidR="00E6799D">
        <w:fldChar w:fldCharType="separate"/>
      </w:r>
      <w:r w:rsidR="00E6799D">
        <w:rPr>
          <w:noProof/>
        </w:rPr>
        <w:t>135</w:t>
      </w:r>
      <w:r w:rsidR="00E6799D">
        <w:rPr>
          <w:noProof/>
        </w:rPr>
        <w:fldChar w:fldCharType="end"/>
      </w:r>
      <w:bookmarkEnd w:id="376"/>
      <w:r>
        <w:t xml:space="preserve">: </w:t>
      </w:r>
      <w:r w:rsidRPr="001917F1">
        <w:t xml:space="preserve"> </w:t>
      </w:r>
      <w:r w:rsidR="001B5CD4">
        <w:t>SA a</w:t>
      </w:r>
      <w:r>
        <w:t>mputee clinics</w:t>
      </w:r>
      <w:bookmarkEnd w:id="377"/>
      <w:r>
        <w:t xml:space="preserve"> </w:t>
      </w:r>
    </w:p>
    <w:tbl>
      <w:tblPr>
        <w:tblStyle w:val="KPMGTable"/>
        <w:tblW w:w="0" w:type="auto"/>
        <w:tblLook w:val="04A0" w:firstRow="1" w:lastRow="0" w:firstColumn="1" w:lastColumn="0" w:noHBand="0" w:noVBand="1"/>
      </w:tblPr>
      <w:tblGrid>
        <w:gridCol w:w="1317"/>
        <w:gridCol w:w="8748"/>
      </w:tblGrid>
      <w:tr w:rsidR="00467133" w:rsidRPr="00F56161" w14:paraId="3A7772F7" w14:textId="77777777" w:rsidTr="00082F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7" w:type="dxa"/>
          </w:tcPr>
          <w:p w14:paraId="571CE888" w14:textId="77777777" w:rsidR="00B06777" w:rsidRPr="008E77E9" w:rsidRDefault="00B06777" w:rsidP="00082F52">
            <w:pPr>
              <w:pStyle w:val="TableHeading"/>
              <w:rPr>
                <w:b w:val="0"/>
                <w:color w:val="FFFFFF" w:themeColor="background1"/>
                <w:szCs w:val="18"/>
              </w:rPr>
            </w:pPr>
            <w:r w:rsidRPr="008E77E9">
              <w:t>Location</w:t>
            </w:r>
          </w:p>
        </w:tc>
        <w:tc>
          <w:tcPr>
            <w:tcW w:w="8748" w:type="dxa"/>
          </w:tcPr>
          <w:p w14:paraId="0B118712" w14:textId="77777777" w:rsidR="00B06777" w:rsidRPr="00730470" w:rsidRDefault="00B06777" w:rsidP="00082F52">
            <w:pPr>
              <w:pStyle w:val="TableHeading"/>
              <w:cnfStyle w:val="100000000000" w:firstRow="1" w:lastRow="0" w:firstColumn="0" w:lastColumn="0" w:oddVBand="0" w:evenVBand="0" w:oddHBand="0" w:evenHBand="0" w:firstRowFirstColumn="0" w:firstRowLastColumn="0" w:lastRowFirstColumn="0" w:lastRowLastColumn="0"/>
              <w:rPr>
                <w:b w:val="0"/>
                <w:szCs w:val="18"/>
              </w:rPr>
            </w:pPr>
            <w:r w:rsidRPr="00730470">
              <w:t>A</w:t>
            </w:r>
            <w:r w:rsidRPr="00730470">
              <w:rPr>
                <w:b w:val="0"/>
                <w:szCs w:val="18"/>
              </w:rPr>
              <w:t>mputee clinic</w:t>
            </w:r>
          </w:p>
        </w:tc>
      </w:tr>
      <w:tr w:rsidR="00E65795" w:rsidRPr="00F56161" w14:paraId="64095159" w14:textId="77777777" w:rsidTr="00082F52">
        <w:trPr>
          <w:trHeight w:val="1409"/>
        </w:trPr>
        <w:tc>
          <w:tcPr>
            <w:cnfStyle w:val="001000000000" w:firstRow="0" w:lastRow="0" w:firstColumn="1" w:lastColumn="0" w:oddVBand="0" w:evenVBand="0" w:oddHBand="0" w:evenHBand="0" w:firstRowFirstColumn="0" w:firstRowLastColumn="0" w:lastRowFirstColumn="0" w:lastRowLastColumn="0"/>
            <w:tcW w:w="1317" w:type="dxa"/>
          </w:tcPr>
          <w:p w14:paraId="138234C4" w14:textId="77777777" w:rsidR="00B06777" w:rsidRPr="008E77E9" w:rsidRDefault="00B06777" w:rsidP="00082F52">
            <w:pPr>
              <w:pStyle w:val="Tabletextbold"/>
              <w:rPr>
                <w:szCs w:val="18"/>
              </w:rPr>
            </w:pPr>
            <w:r w:rsidRPr="008E77E9">
              <w:t>Metropolitan</w:t>
            </w:r>
          </w:p>
        </w:tc>
        <w:tc>
          <w:tcPr>
            <w:tcW w:w="8748" w:type="dxa"/>
          </w:tcPr>
          <w:p w14:paraId="052EFE2D" w14:textId="77777777" w:rsidR="00B06777" w:rsidRPr="005B1773" w:rsidRDefault="00B06777" w:rsidP="00082F52">
            <w:pPr>
              <w:pStyle w:val="TableBullet1"/>
              <w:cnfStyle w:val="000000000000" w:firstRow="0" w:lastRow="0" w:firstColumn="0" w:lastColumn="0" w:oddVBand="0" w:evenVBand="0" w:oddHBand="0" w:evenHBand="0" w:firstRowFirstColumn="0" w:firstRowLastColumn="0" w:lastRowFirstColumn="0" w:lastRowLastColumn="0"/>
            </w:pPr>
            <w:r w:rsidRPr="005B1773">
              <w:t>Central Adelaide: Queen Elizabeth Hospital (with outreach to the Royal Adelaide Hospital and Hampstead Rehabilitation Centre)</w:t>
            </w:r>
          </w:p>
          <w:p w14:paraId="76D9B5F2" w14:textId="77777777" w:rsidR="00B06777" w:rsidRPr="005B1773" w:rsidRDefault="00B06777" w:rsidP="00082F52">
            <w:pPr>
              <w:pStyle w:val="TableBullet1"/>
              <w:cnfStyle w:val="000000000000" w:firstRow="0" w:lastRow="0" w:firstColumn="0" w:lastColumn="0" w:oddVBand="0" w:evenVBand="0" w:oddHBand="0" w:evenHBand="0" w:firstRowFirstColumn="0" w:firstRowLastColumn="0" w:lastRowFirstColumn="0" w:lastRowLastColumn="0"/>
            </w:pPr>
            <w:r w:rsidRPr="005B1773">
              <w:t>Northern Adelaide Rehabilitation Service (Orthotics and Prosthetics Clinic)</w:t>
            </w:r>
          </w:p>
          <w:p w14:paraId="19260E8F" w14:textId="77777777" w:rsidR="00B06777" w:rsidRPr="000D5A4E" w:rsidRDefault="00B06777" w:rsidP="00082F52">
            <w:pPr>
              <w:pStyle w:val="TableBullet1"/>
              <w:cnfStyle w:val="000000000000" w:firstRow="0" w:lastRow="0" w:firstColumn="0" w:lastColumn="0" w:oddVBand="0" w:evenVBand="0" w:oddHBand="0" w:evenHBand="0" w:firstRowFirstColumn="0" w:firstRowLastColumn="0" w:lastRowFirstColumn="0" w:lastRowLastColumn="0"/>
            </w:pPr>
            <w:r w:rsidRPr="005B1773">
              <w:t>Southern Adelaide: Flinders Medical Centre</w:t>
            </w:r>
          </w:p>
        </w:tc>
      </w:tr>
      <w:tr w:rsidR="00E65795" w:rsidRPr="00F56161" w14:paraId="1D51C327" w14:textId="77777777" w:rsidTr="00082F52">
        <w:trPr>
          <w:trHeight w:val="558"/>
        </w:trPr>
        <w:tc>
          <w:tcPr>
            <w:cnfStyle w:val="001000000000" w:firstRow="0" w:lastRow="0" w:firstColumn="1" w:lastColumn="0" w:oddVBand="0" w:evenVBand="0" w:oddHBand="0" w:evenHBand="0" w:firstRowFirstColumn="0" w:firstRowLastColumn="0" w:lastRowFirstColumn="0" w:lastRowLastColumn="0"/>
            <w:tcW w:w="1317" w:type="dxa"/>
          </w:tcPr>
          <w:p w14:paraId="5482B586" w14:textId="77777777" w:rsidR="00B06777" w:rsidRPr="008E77E9" w:rsidRDefault="00B06777" w:rsidP="00082F52">
            <w:pPr>
              <w:pStyle w:val="Tabletextbold"/>
              <w:rPr>
                <w:color w:val="auto"/>
                <w:szCs w:val="18"/>
              </w:rPr>
            </w:pPr>
            <w:r w:rsidRPr="008E77E9">
              <w:rPr>
                <w:color w:val="auto"/>
              </w:rPr>
              <w:t>Regional</w:t>
            </w:r>
          </w:p>
        </w:tc>
        <w:tc>
          <w:tcPr>
            <w:tcW w:w="8748" w:type="dxa"/>
          </w:tcPr>
          <w:p w14:paraId="357AA8A0" w14:textId="77777777" w:rsidR="00B06777" w:rsidRPr="00AB5B43" w:rsidRDefault="00B06777" w:rsidP="00082F52">
            <w:pPr>
              <w:pStyle w:val="TableBullet1"/>
              <w:cnfStyle w:val="000000000000" w:firstRow="0" w:lastRow="0" w:firstColumn="0" w:lastColumn="0" w:oddVBand="0" w:evenVBand="0" w:oddHBand="0" w:evenHBand="0" w:firstRowFirstColumn="0" w:firstRowLastColumn="0" w:lastRowFirstColumn="0" w:lastRowLastColumn="0"/>
            </w:pPr>
            <w:r w:rsidRPr="00AB5B43">
              <w:t>Ceduna – Visiting service every two months (Whyalla Orthotic &amp; Prosthetic Team)</w:t>
            </w:r>
          </w:p>
          <w:p w14:paraId="3DA3DEE3" w14:textId="77777777" w:rsidR="00B06777" w:rsidRPr="00AB5B43" w:rsidRDefault="00B06777" w:rsidP="00082F52">
            <w:pPr>
              <w:pStyle w:val="TableBullet1"/>
              <w:cnfStyle w:val="000000000000" w:firstRow="0" w:lastRow="0" w:firstColumn="0" w:lastColumn="0" w:oddVBand="0" w:evenVBand="0" w:oddHBand="0" w:evenHBand="0" w:firstRowFirstColumn="0" w:firstRowLastColumn="0" w:lastRowFirstColumn="0" w:lastRowLastColumn="0"/>
            </w:pPr>
            <w:r w:rsidRPr="00AB5B43">
              <w:t xml:space="preserve">Coober Pedy – Visiting service every three months </w:t>
            </w:r>
          </w:p>
          <w:p w14:paraId="52AA7F5C" w14:textId="77777777" w:rsidR="00B06777" w:rsidRPr="00AB5B43" w:rsidRDefault="00B06777" w:rsidP="00082F52">
            <w:pPr>
              <w:pStyle w:val="TableBullet1"/>
              <w:cnfStyle w:val="000000000000" w:firstRow="0" w:lastRow="0" w:firstColumn="0" w:lastColumn="0" w:oddVBand="0" w:evenVBand="0" w:oddHBand="0" w:evenHBand="0" w:firstRowFirstColumn="0" w:firstRowLastColumn="0" w:lastRowFirstColumn="0" w:lastRowLastColumn="0"/>
            </w:pPr>
            <w:r w:rsidRPr="00AB5B43">
              <w:t>Mount Gambier – Fortnightly visits</w:t>
            </w:r>
          </w:p>
          <w:p w14:paraId="71E4BE8A" w14:textId="77777777" w:rsidR="00B06777" w:rsidRPr="00AB5B43" w:rsidRDefault="00B06777" w:rsidP="00082F52">
            <w:pPr>
              <w:pStyle w:val="TableBullet1"/>
              <w:cnfStyle w:val="000000000000" w:firstRow="0" w:lastRow="0" w:firstColumn="0" w:lastColumn="0" w:oddVBand="0" w:evenVBand="0" w:oddHBand="0" w:evenHBand="0" w:firstRowFirstColumn="0" w:firstRowLastColumn="0" w:lastRowFirstColumn="0" w:lastRowLastColumn="0"/>
            </w:pPr>
            <w:r w:rsidRPr="00AB5B43">
              <w:t>Port Augusta – Weekly service (servicing Far North SA)</w:t>
            </w:r>
          </w:p>
          <w:p w14:paraId="6F6EB754" w14:textId="77777777" w:rsidR="00B06777" w:rsidRPr="00AB5B43" w:rsidRDefault="00B06777" w:rsidP="00082F52">
            <w:pPr>
              <w:pStyle w:val="TableBullet1"/>
              <w:cnfStyle w:val="000000000000" w:firstRow="0" w:lastRow="0" w:firstColumn="0" w:lastColumn="0" w:oddVBand="0" w:evenVBand="0" w:oddHBand="0" w:evenHBand="0" w:firstRowFirstColumn="0" w:firstRowLastColumn="0" w:lastRowFirstColumn="0" w:lastRowLastColumn="0"/>
            </w:pPr>
            <w:r w:rsidRPr="00AB5B43">
              <w:t>Port Lincoln – Visiting service every third Thursday</w:t>
            </w:r>
          </w:p>
          <w:p w14:paraId="057C13D2" w14:textId="77777777" w:rsidR="00B06777" w:rsidRPr="00AB5B43" w:rsidRDefault="00B06777" w:rsidP="00082F52">
            <w:pPr>
              <w:pStyle w:val="TableBullet1"/>
              <w:cnfStyle w:val="000000000000" w:firstRow="0" w:lastRow="0" w:firstColumn="0" w:lastColumn="0" w:oddVBand="0" w:evenVBand="0" w:oddHBand="0" w:evenHBand="0" w:firstRowFirstColumn="0" w:firstRowLastColumn="0" w:lastRowFirstColumn="0" w:lastRowLastColumn="0"/>
            </w:pPr>
            <w:r w:rsidRPr="00AB5B43">
              <w:t>Port Pirie – Visiting service every third Wednesday</w:t>
            </w:r>
          </w:p>
          <w:p w14:paraId="04110DF9" w14:textId="2CFEBE17" w:rsidR="00B06777" w:rsidRPr="00AB5B43" w:rsidRDefault="00B06777" w:rsidP="00082F52">
            <w:pPr>
              <w:pStyle w:val="TableBullet1"/>
              <w:cnfStyle w:val="000000000000" w:firstRow="0" w:lastRow="0" w:firstColumn="0" w:lastColumn="0" w:oddVBand="0" w:evenVBand="0" w:oddHBand="0" w:evenHBand="0" w:firstRowFirstColumn="0" w:firstRowLastColumn="0" w:lastRowFirstColumn="0" w:lastRowLastColumn="0"/>
            </w:pPr>
            <w:r w:rsidRPr="00AB5B43">
              <w:t>Whyalla</w:t>
            </w:r>
            <w:r w:rsidR="007B7939">
              <w:rPr>
                <w:rFonts w:ascii="ZWAdobeF" w:hAnsi="ZWAdobeF" w:cs="ZWAdobeF"/>
                <w:sz w:val="2"/>
                <w:szCs w:val="2"/>
              </w:rPr>
              <w:t>181F</w:t>
            </w:r>
            <w:r w:rsidRPr="00AB5B43">
              <w:rPr>
                <w:rStyle w:val="FootnoteReference"/>
                <w:szCs w:val="20"/>
              </w:rPr>
              <w:footnoteReference w:id="194"/>
            </w:r>
          </w:p>
        </w:tc>
      </w:tr>
    </w:tbl>
    <w:p w14:paraId="0AA87625" w14:textId="77777777" w:rsidR="00082F52" w:rsidRDefault="00B06777" w:rsidP="00082F52">
      <w:pPr>
        <w:pStyle w:val="Caption-Source"/>
        <w:rPr>
          <w:rFonts w:ascii="ZWAdobeF" w:hAnsi="ZWAdobeF" w:cs="ZWAdobeF"/>
          <w:color w:val="auto"/>
          <w:sz w:val="2"/>
          <w:szCs w:val="2"/>
        </w:rPr>
        <w:sectPr w:rsidR="00082F52" w:rsidSect="00356593">
          <w:headerReference w:type="even" r:id="rId97"/>
          <w:headerReference w:type="default" r:id="rId98"/>
          <w:headerReference w:type="first" r:id="rId99"/>
          <w:pgSz w:w="11906" w:h="16838"/>
          <w:pgMar w:top="1418" w:right="851" w:bottom="1418" w:left="851" w:header="567" w:footer="284" w:gutter="0"/>
          <w:cols w:space="708"/>
          <w:docGrid w:linePitch="360"/>
        </w:sectPr>
      </w:pPr>
      <w:r w:rsidRPr="00B56150">
        <w:t xml:space="preserve">Source: </w:t>
      </w:r>
      <w:r>
        <w:t>Queensland Health. (2025).</w:t>
      </w:r>
      <w:r>
        <w:rPr>
          <w:rStyle w:val="FootnoteReference"/>
        </w:rPr>
        <w:t xml:space="preserve"> </w:t>
      </w:r>
      <w:r w:rsidR="007B7939">
        <w:rPr>
          <w:rFonts w:ascii="ZWAdobeF" w:hAnsi="ZWAdobeF" w:cs="ZWAdobeF"/>
          <w:color w:val="auto"/>
          <w:sz w:val="2"/>
          <w:szCs w:val="2"/>
        </w:rPr>
        <w:t>182F</w:t>
      </w:r>
      <w:r>
        <w:rPr>
          <w:rStyle w:val="FootnoteReference"/>
        </w:rPr>
        <w:footnoteReference w:id="195"/>
      </w:r>
    </w:p>
    <w:p w14:paraId="095EE5DB" w14:textId="552EBEDE" w:rsidR="00173E44" w:rsidRDefault="00173E44" w:rsidP="00173E44">
      <w:pPr>
        <w:pStyle w:val="Appendixheading"/>
      </w:pPr>
      <w:bookmarkStart w:id="378" w:name="_Ref204111701"/>
      <w:bookmarkStart w:id="379" w:name="_Toc207348793"/>
      <w:bookmarkStart w:id="380" w:name="_Ref201223594"/>
      <w:r>
        <w:t>: Equity issues and case studies</w:t>
      </w:r>
      <w:bookmarkEnd w:id="378"/>
      <w:bookmarkEnd w:id="379"/>
    </w:p>
    <w:p w14:paraId="5E773AD3" w14:textId="43CAC937" w:rsidR="00775378" w:rsidRPr="00DF7929" w:rsidRDefault="00775378" w:rsidP="00DF7929">
      <w:r w:rsidRPr="00DF7929">
        <w:t xml:space="preserve">As described in Section </w:t>
      </w:r>
      <w:r w:rsidR="00576922" w:rsidRPr="00DF7929">
        <w:fldChar w:fldCharType="begin"/>
      </w:r>
      <w:r w:rsidR="00576922" w:rsidRPr="00DF7929">
        <w:instrText xml:space="preserve"> REF _Ref207269738 \r \h </w:instrText>
      </w:r>
      <w:r w:rsidR="00DF7929">
        <w:instrText xml:space="preserve"> \* MERGEFORMAT </w:instrText>
      </w:r>
      <w:r w:rsidR="00576922" w:rsidRPr="00DF7929">
        <w:fldChar w:fldCharType="separate"/>
      </w:r>
      <w:r w:rsidR="00576922" w:rsidRPr="00DF7929">
        <w:t>4.2</w:t>
      </w:r>
      <w:r w:rsidR="00576922" w:rsidRPr="00DF7929">
        <w:fldChar w:fldCharType="end"/>
      </w:r>
      <w:r w:rsidRPr="00DF7929">
        <w:t xml:space="preserve">, </w:t>
      </w:r>
      <w:proofErr w:type="gramStart"/>
      <w:r w:rsidRPr="00DF7929">
        <w:t>a number of</w:t>
      </w:r>
      <w:proofErr w:type="gramEnd"/>
      <w:r w:rsidRPr="00DF7929">
        <w:t xml:space="preserve"> issues related to equitable access of prostheses have been identified</w:t>
      </w:r>
      <w:r w:rsidR="00E07E87" w:rsidRPr="00DF7929">
        <w:t xml:space="preserve"> and</w:t>
      </w:r>
      <w:r w:rsidRPr="00DF7929">
        <w:t xml:space="preserve"> grouped into </w:t>
      </w:r>
      <w:r w:rsidR="00E07E87" w:rsidRPr="00DF7929">
        <w:t xml:space="preserve">the following </w:t>
      </w:r>
      <w:r w:rsidRPr="00DF7929">
        <w:t xml:space="preserve">three categories: </w:t>
      </w:r>
    </w:p>
    <w:p w14:paraId="1F189BBA" w14:textId="77777777" w:rsidR="00775378" w:rsidRDefault="00775378" w:rsidP="00C563C1">
      <w:pPr>
        <w:pStyle w:val="ListNumber"/>
      </w:pPr>
      <w:r w:rsidRPr="00585780">
        <w:t>Differences in equitable access between different types of prostheses</w:t>
      </w:r>
    </w:p>
    <w:p w14:paraId="0E1AF7B4" w14:textId="77777777" w:rsidR="00775378" w:rsidRDefault="00775378" w:rsidP="00CD3106">
      <w:pPr>
        <w:pStyle w:val="ListNumber"/>
      </w:pPr>
      <w:r>
        <w:t>Differences in equitable access within the same type of prosthesis</w:t>
      </w:r>
    </w:p>
    <w:p w14:paraId="3B9D72A8" w14:textId="470D955A" w:rsidR="00775378" w:rsidRDefault="00775378" w:rsidP="00CD3106">
      <w:pPr>
        <w:pStyle w:val="ListNumber"/>
      </w:pPr>
      <w:r w:rsidRPr="00347A75">
        <w:t xml:space="preserve">Additional access </w:t>
      </w:r>
      <w:r>
        <w:t xml:space="preserve">issues </w:t>
      </w:r>
      <w:r w:rsidRPr="00347A75">
        <w:t>experienced by priority population groups</w:t>
      </w:r>
      <w:r>
        <w:t xml:space="preserve">. </w:t>
      </w:r>
    </w:p>
    <w:p w14:paraId="38AA04CD" w14:textId="1B00F7D6" w:rsidR="00E07E87" w:rsidRPr="00DF7929" w:rsidRDefault="00E07E87" w:rsidP="00DF7929">
      <w:r w:rsidRPr="00DF7929">
        <w:t xml:space="preserve">This appendix provides additional details regarding each equity issue, as well as case studies to further illustrate the differences in equitable access.  </w:t>
      </w:r>
    </w:p>
    <w:p w14:paraId="23350797" w14:textId="77777777" w:rsidR="00E07E87" w:rsidRPr="00DF7929" w:rsidRDefault="00775378" w:rsidP="00DF7929">
      <w:r w:rsidRPr="00DF7929">
        <w:t xml:space="preserve">The equity issues were identified via a variety of sources including desktop research and mapping of the available schemes and programs for prostheses, consultation with stakeholders including clinicians involved in the delivery of prostheses services and people living with or who have lived experience of cancer, and stakeholder survey responses. The case studies </w:t>
      </w:r>
      <w:r w:rsidR="00E07E87" w:rsidRPr="00DF7929">
        <w:t>were</w:t>
      </w:r>
      <w:r w:rsidRPr="00DF7929">
        <w:t xml:space="preserve"> developed based on the experiences and insights shared by stakeholders during consultation, however, are not based on specific individuals.</w:t>
      </w:r>
    </w:p>
    <w:p w14:paraId="17B9220E" w14:textId="77777777" w:rsidR="00E07E87" w:rsidRPr="000A5D5B" w:rsidRDefault="00E07E87" w:rsidP="008239ED">
      <w:pPr>
        <w:pStyle w:val="AppendixHeading2"/>
      </w:pPr>
      <w:bookmarkStart w:id="381" w:name="_Ref201758766"/>
      <w:bookmarkStart w:id="382" w:name="_Toc207348794"/>
      <w:r w:rsidRPr="000A5D5B">
        <w:t>Differences in equitable access between different types of prostheses</w:t>
      </w:r>
      <w:bookmarkEnd w:id="381"/>
      <w:bookmarkEnd w:id="382"/>
    </w:p>
    <w:p w14:paraId="345C37CC" w14:textId="77777777" w:rsidR="00E07E87" w:rsidRPr="00DF7929" w:rsidRDefault="00E07E87" w:rsidP="00DF7929">
      <w:r w:rsidRPr="00DF7929">
        <w:t xml:space="preserve">When considering differences in equitable access between different types of prostheses, two key issues were identified: </w:t>
      </w:r>
    </w:p>
    <w:p w14:paraId="50D5563D" w14:textId="77777777" w:rsidR="00E07E87" w:rsidRPr="00701FE3" w:rsidRDefault="00E07E87" w:rsidP="009D4EC8">
      <w:pPr>
        <w:pStyle w:val="Bullet1stlevel"/>
      </w:pPr>
      <w:r>
        <w:t>1A: I</w:t>
      </w:r>
      <w:r w:rsidRPr="00701FE3">
        <w:t>nconsistent availability of national</w:t>
      </w:r>
      <w:r>
        <w:t xml:space="preserve"> prostheses</w:t>
      </w:r>
      <w:r w:rsidRPr="00701FE3">
        <w:t xml:space="preserve"> programs </w:t>
      </w:r>
      <w:r>
        <w:t>and</w:t>
      </w:r>
      <w:r w:rsidRPr="00701FE3">
        <w:t xml:space="preserve"> schemes</w:t>
      </w:r>
    </w:p>
    <w:p w14:paraId="235A46CA" w14:textId="77777777" w:rsidR="00E07E87" w:rsidRDefault="00E07E87" w:rsidP="009D4EC8">
      <w:pPr>
        <w:pStyle w:val="Bullet1stlevel"/>
      </w:pPr>
      <w:r>
        <w:t>1B: I</w:t>
      </w:r>
      <w:r w:rsidRPr="00701FE3">
        <w:t>nconsisten</w:t>
      </w:r>
      <w:r>
        <w:t>t</w:t>
      </w:r>
      <w:r w:rsidRPr="00701FE3">
        <w:t xml:space="preserve"> funding models used by existing national programs </w:t>
      </w:r>
      <w:r>
        <w:t>and</w:t>
      </w:r>
      <w:r w:rsidRPr="00701FE3">
        <w:t xml:space="preserve"> schemes</w:t>
      </w:r>
      <w:r>
        <w:t xml:space="preserve">. </w:t>
      </w:r>
    </w:p>
    <w:p w14:paraId="595A8B0C" w14:textId="77777777" w:rsidR="00E07E87" w:rsidRPr="00C76D17" w:rsidRDefault="00E07E87" w:rsidP="00C76D17">
      <w:pPr>
        <w:pStyle w:val="appendixh3nonumber"/>
      </w:pPr>
      <w:r w:rsidRPr="00C76D17">
        <w:t>Equity Issue 1A: Inconsistent availability of national programs and schemes</w:t>
      </w:r>
    </w:p>
    <w:p w14:paraId="01953922" w14:textId="77777777" w:rsidR="00E07E87" w:rsidRPr="00E71108" w:rsidRDefault="00E07E87" w:rsidP="00DF7929">
      <w:r>
        <w:t>As described in Section 2, there is a national program and funding scheme available for people who require external breast prostheses (EBPRP) and limb prostheses (NDIS). In contrast, there is no national program or funding scheme available for people requiring a facial prosthesis. Instead, the individuals who have had a part of their face removed due to head and neck cancer are reliant on the availability of jurisdictional prostheses services, which are highly fragmented, varied and limited, or are required to fund the cost of their prostheses out of their own pocket.</w:t>
      </w:r>
    </w:p>
    <w:p w14:paraId="2C584036" w14:textId="77777777" w:rsidR="002E4C03" w:rsidRDefault="00E07E87" w:rsidP="00DF7929">
      <w:r w:rsidRPr="00E71108">
        <w:t>The differ</w:t>
      </w:r>
      <w:r>
        <w:t xml:space="preserve">ences in equitable access to prostheses due to inconsistencies in the availability of national programs and schemes is illustrated by Case Study 1A outlined </w:t>
      </w:r>
      <w:r w:rsidR="000C5764">
        <w:t>over page</w:t>
      </w:r>
      <w:r>
        <w:t xml:space="preserve">. This case study has been developed based on stakeholder experiences shared during consultation activities conducted as part of this review. </w:t>
      </w:r>
      <w:r w:rsidR="002E4C03">
        <w:br w:type="page"/>
      </w:r>
    </w:p>
    <w:p w14:paraId="0786619F" w14:textId="77777777" w:rsidR="00311DEC" w:rsidRDefault="002E4C03" w:rsidP="00FD688B">
      <w:pPr>
        <w:pStyle w:val="Heading2Summaryofkeyfindings"/>
      </w:pPr>
      <w:r w:rsidRPr="00A04F99">
        <w:t>Case Study 1A: Steve and Sylvia</w:t>
      </w:r>
    </w:p>
    <w:p w14:paraId="4A58EF58" w14:textId="16365091" w:rsidR="00505814" w:rsidRDefault="00E87D69" w:rsidP="005A6CA2">
      <w:pPr>
        <w:pStyle w:val="Calloutbodytext"/>
      </w:pPr>
      <w:r>
        <w:drawing>
          <wp:inline distT="0" distB="0" distL="0" distR="0" wp14:anchorId="51F2F30D" wp14:editId="25E04909">
            <wp:extent cx="6291580" cy="548640"/>
            <wp:effectExtent l="0" t="0" r="0" b="0"/>
            <wp:docPr id="1250329634"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329634" name="Picture 16">
                      <a:extLst>
                        <a:ext uri="{C183D7F6-B498-43B3-948B-1728B52AA6E4}">
                          <adec:decorative xmlns:adec="http://schemas.microsoft.com/office/drawing/2017/decorative" val="1"/>
                        </a:ext>
                      </a:extLst>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291580" cy="548640"/>
                    </a:xfrm>
                    <a:prstGeom prst="rect">
                      <a:avLst/>
                    </a:prstGeom>
                    <a:noFill/>
                  </pic:spPr>
                </pic:pic>
              </a:graphicData>
            </a:graphic>
          </wp:inline>
        </w:drawing>
      </w:r>
    </w:p>
    <w:p w14:paraId="495BCBA8" w14:textId="1A68CB22" w:rsidR="00311DEC" w:rsidRPr="002C624A" w:rsidRDefault="00311DEC" w:rsidP="005A6CA2">
      <w:pPr>
        <w:pStyle w:val="Calloutbodytext"/>
      </w:pPr>
      <w:r>
        <w:t>Steve</w:t>
      </w:r>
      <w:r w:rsidRPr="002C624A">
        <w:t xml:space="preserve"> is a 70-year-old </w:t>
      </w:r>
      <w:r>
        <w:t>man</w:t>
      </w:r>
      <w:r w:rsidRPr="002C624A">
        <w:t xml:space="preserve"> living in Sydney who was recently diagnosed with head and neck cancer. </w:t>
      </w:r>
      <w:r>
        <w:t>Steve</w:t>
      </w:r>
      <w:r w:rsidRPr="002C624A">
        <w:t xml:space="preserve"> is retired and an active member of </w:t>
      </w:r>
      <w:r>
        <w:t>his</w:t>
      </w:r>
      <w:r w:rsidRPr="002C624A">
        <w:t xml:space="preserve"> community – </w:t>
      </w:r>
      <w:r>
        <w:t>he</w:t>
      </w:r>
      <w:r w:rsidRPr="002C624A">
        <w:t xml:space="preserve"> plays lawn bowls once a week and </w:t>
      </w:r>
      <w:r>
        <w:t xml:space="preserve">enjoys </w:t>
      </w:r>
      <w:r w:rsidRPr="002C624A">
        <w:t>spend</w:t>
      </w:r>
      <w:r>
        <w:t>ing</w:t>
      </w:r>
      <w:r w:rsidRPr="002C624A">
        <w:t xml:space="preserve"> the remainder of </w:t>
      </w:r>
      <w:r>
        <w:t>his</w:t>
      </w:r>
      <w:r w:rsidRPr="002C624A">
        <w:t xml:space="preserve"> spare time </w:t>
      </w:r>
      <w:r>
        <w:t>helping to look after</w:t>
      </w:r>
      <w:r w:rsidRPr="002C624A">
        <w:t xml:space="preserve"> </w:t>
      </w:r>
      <w:r>
        <w:t>his</w:t>
      </w:r>
      <w:r w:rsidRPr="002C624A">
        <w:t xml:space="preserve"> three young grandchildren. </w:t>
      </w:r>
    </w:p>
    <w:p w14:paraId="61A0BD07" w14:textId="77777777" w:rsidR="00311DEC" w:rsidRPr="00DF7929" w:rsidRDefault="00311DEC" w:rsidP="005A6CA2">
      <w:pPr>
        <w:pStyle w:val="Calloutbodytext"/>
      </w:pPr>
      <w:r w:rsidRPr="002C624A">
        <w:t xml:space="preserve">As part of </w:t>
      </w:r>
      <w:r>
        <w:t>his</w:t>
      </w:r>
      <w:r w:rsidRPr="002C624A">
        <w:t xml:space="preserve"> cancer treatment, </w:t>
      </w:r>
      <w:r>
        <w:t>Steve</w:t>
      </w:r>
      <w:r w:rsidRPr="002C624A">
        <w:t xml:space="preserve"> underwent surgery to remove </w:t>
      </w:r>
      <w:r>
        <w:t>his</w:t>
      </w:r>
      <w:r w:rsidRPr="002C624A">
        <w:t xml:space="preserve"> nose. Following </w:t>
      </w:r>
      <w:r>
        <w:t>his</w:t>
      </w:r>
      <w:r w:rsidRPr="002C624A">
        <w:t xml:space="preserve"> recovery from surgery, </w:t>
      </w:r>
      <w:r>
        <w:t>Steve</w:t>
      </w:r>
      <w:r w:rsidRPr="002C624A">
        <w:t xml:space="preserve"> asked </w:t>
      </w:r>
      <w:r>
        <w:t>his</w:t>
      </w:r>
      <w:r w:rsidRPr="002C624A">
        <w:t xml:space="preserve"> surgeon about options for a prosthesis</w:t>
      </w:r>
      <w:r w:rsidRPr="00DF7929">
        <w:t>.</w:t>
      </w:r>
    </w:p>
    <w:p w14:paraId="6E809CF1" w14:textId="77777777" w:rsidR="00311DEC" w:rsidRPr="002C624A" w:rsidRDefault="00311DEC" w:rsidP="005A6CA2">
      <w:pPr>
        <w:pStyle w:val="Calloutbodytext"/>
      </w:pPr>
      <w:r w:rsidRPr="002C624A">
        <w:t xml:space="preserve">With no publicly funded </w:t>
      </w:r>
      <w:r>
        <w:t xml:space="preserve">facial </w:t>
      </w:r>
      <w:r w:rsidRPr="002C624A">
        <w:t xml:space="preserve">prostheses services available in Sydney, </w:t>
      </w:r>
      <w:r>
        <w:t>Steve</w:t>
      </w:r>
      <w:r w:rsidRPr="002C624A">
        <w:t xml:space="preserve"> was referred to a private anaplastologist. </w:t>
      </w:r>
      <w:r>
        <w:t>Steve</w:t>
      </w:r>
      <w:r w:rsidRPr="002C624A">
        <w:t xml:space="preserve"> was quote</w:t>
      </w:r>
      <w:r>
        <w:t>d</w:t>
      </w:r>
      <w:r w:rsidRPr="002C624A">
        <w:t xml:space="preserve"> $5,000 for </w:t>
      </w:r>
      <w:r>
        <w:t>a</w:t>
      </w:r>
      <w:r w:rsidRPr="002C624A">
        <w:t xml:space="preserve"> </w:t>
      </w:r>
      <w:r>
        <w:t xml:space="preserve">custom-made </w:t>
      </w:r>
      <w:r w:rsidRPr="002C624A">
        <w:t>prosthesis</w:t>
      </w:r>
      <w:r>
        <w:t>, which would need to be replaced every two to three years,</w:t>
      </w:r>
      <w:r w:rsidRPr="002C624A">
        <w:t xml:space="preserve"> and was shocked to learn that there is no government funding or rebate available. </w:t>
      </w:r>
      <w:r>
        <w:t>He</w:t>
      </w:r>
      <w:r w:rsidRPr="002C624A">
        <w:t xml:space="preserve"> enquired with both the NDIS and h</w:t>
      </w:r>
      <w:r>
        <w:t>is</w:t>
      </w:r>
      <w:r w:rsidRPr="002C624A">
        <w:t xml:space="preserve"> private health insurance, however</w:t>
      </w:r>
      <w:r>
        <w:t>,</w:t>
      </w:r>
      <w:r w:rsidRPr="002C624A">
        <w:t xml:space="preserve"> was told that facial prostheses are not covered by either scheme. With cost of living pressures and being a retiree, </w:t>
      </w:r>
      <w:r>
        <w:t>Steve</w:t>
      </w:r>
      <w:r w:rsidRPr="002C624A">
        <w:t xml:space="preserve"> </w:t>
      </w:r>
      <w:r>
        <w:t>couldn’t afford to pay for an initial prosthesis and couldn’t imagine how he could possibly afford ongoing replacements for the rest of his life</w:t>
      </w:r>
      <w:r w:rsidRPr="002C624A">
        <w:t xml:space="preserve">. </w:t>
      </w:r>
    </w:p>
    <w:p w14:paraId="7F499F2C" w14:textId="77777777" w:rsidR="0056486E" w:rsidRDefault="00311DEC" w:rsidP="005A6CA2">
      <w:pPr>
        <w:pStyle w:val="Calloutbodytext"/>
      </w:pPr>
      <w:r w:rsidRPr="002C624A">
        <w:t xml:space="preserve">Two years on from </w:t>
      </w:r>
      <w:r>
        <w:t>his</w:t>
      </w:r>
      <w:r w:rsidRPr="002C624A">
        <w:t xml:space="preserve"> surgery, </w:t>
      </w:r>
      <w:r>
        <w:t>Steve</w:t>
      </w:r>
      <w:r w:rsidRPr="002C624A">
        <w:t xml:space="preserve"> is still </w:t>
      </w:r>
      <w:r>
        <w:t xml:space="preserve">living </w:t>
      </w:r>
      <w:r w:rsidRPr="002C624A">
        <w:t xml:space="preserve">without a prosthesis and is experiencing significant mental health challenges. </w:t>
      </w:r>
      <w:r>
        <w:t>He</w:t>
      </w:r>
      <w:r w:rsidRPr="002C624A">
        <w:t xml:space="preserve"> no longer plays lawn bowls as </w:t>
      </w:r>
      <w:r>
        <w:t>his</w:t>
      </w:r>
      <w:r w:rsidRPr="002C624A">
        <w:t xml:space="preserve"> feels uncomfortable in public, </w:t>
      </w:r>
      <w:r>
        <w:t>he</w:t>
      </w:r>
      <w:r w:rsidRPr="002C624A">
        <w:t xml:space="preserve"> has withdrawn from family and friends due to embarrassment about </w:t>
      </w:r>
      <w:r>
        <w:t>his</w:t>
      </w:r>
      <w:r w:rsidRPr="002C624A">
        <w:t xml:space="preserve"> appearance and even no longer </w:t>
      </w:r>
      <w:r>
        <w:t>sees</w:t>
      </w:r>
      <w:r w:rsidRPr="002C624A">
        <w:t xml:space="preserve"> </w:t>
      </w:r>
      <w:r>
        <w:t>his</w:t>
      </w:r>
      <w:r w:rsidRPr="002C624A">
        <w:t xml:space="preserve"> grandchildren.</w:t>
      </w:r>
      <w:r w:rsidR="002E4C03">
        <w:t xml:space="preserve"> </w:t>
      </w:r>
    </w:p>
    <w:p w14:paraId="64713C7A" w14:textId="05C8C045" w:rsidR="0056486E" w:rsidRDefault="00E87D69" w:rsidP="005A6CA2">
      <w:pPr>
        <w:pStyle w:val="Calloutbodytext"/>
      </w:pPr>
      <w:r>
        <w:drawing>
          <wp:inline distT="0" distB="0" distL="0" distR="0" wp14:anchorId="66BCED7F" wp14:editId="285E9A10">
            <wp:extent cx="6291580" cy="536575"/>
            <wp:effectExtent l="0" t="0" r="0" b="0"/>
            <wp:docPr id="987981383"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981383" name="Picture 15">
                      <a:extLst>
                        <a:ext uri="{C183D7F6-B498-43B3-948B-1728B52AA6E4}">
                          <adec:decorative xmlns:adec="http://schemas.microsoft.com/office/drawing/2017/decorative" val="1"/>
                        </a:ext>
                      </a:extLst>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291580" cy="536575"/>
                    </a:xfrm>
                    <a:prstGeom prst="rect">
                      <a:avLst/>
                    </a:prstGeom>
                    <a:noFill/>
                  </pic:spPr>
                </pic:pic>
              </a:graphicData>
            </a:graphic>
          </wp:inline>
        </w:drawing>
      </w:r>
    </w:p>
    <w:p w14:paraId="01680816" w14:textId="77777777" w:rsidR="00F468AE" w:rsidRDefault="00F468AE" w:rsidP="005A6CA2">
      <w:pPr>
        <w:pStyle w:val="Calloutbodytext"/>
      </w:pPr>
      <w:r>
        <w:t xml:space="preserve">Sylvia is a 70-year-old woman living in Sydney who was recently diagnosed with breast cancer. Sylvia is retired and enjoys socialising with her friends and family. </w:t>
      </w:r>
    </w:p>
    <w:p w14:paraId="0F0ADEA1" w14:textId="77777777" w:rsidR="00F468AE" w:rsidRDefault="00F468AE" w:rsidP="005A6CA2">
      <w:pPr>
        <w:pStyle w:val="Calloutbodytext"/>
      </w:pPr>
      <w:r>
        <w:t xml:space="preserve">As part of her cancer treatment, Sylvia underwent a unilateral mastectomy. Following her surgery, Sylvia received a My Care Kit from BCNA, which included a temporary breast prosthesis and post-surgery bra. </w:t>
      </w:r>
    </w:p>
    <w:p w14:paraId="2F0B8787" w14:textId="77777777" w:rsidR="00F468AE" w:rsidRDefault="00F468AE" w:rsidP="005A6CA2">
      <w:pPr>
        <w:pStyle w:val="Calloutbodytext"/>
      </w:pPr>
      <w:r>
        <w:t xml:space="preserve">Once she had fully recovered from surgery, Sylvia’s breast care nurse referred her to an external breast retailer 10 minutes-drive from her house where she was measured and fitted for an external breast prosthesis. Sylvia was required to pay $400 upfront for her prosthesis, however, was fully re-imbursed for this through the EBPRP two weeks later. </w:t>
      </w:r>
    </w:p>
    <w:p w14:paraId="4EBE9BB3" w14:textId="685B1E7E" w:rsidR="00F468AE" w:rsidRDefault="00F468AE" w:rsidP="005A6CA2">
      <w:pPr>
        <w:pStyle w:val="Calloutbodytext"/>
      </w:pPr>
      <w:r>
        <w:t>Two years on from her surgery, Sylvia is in remission, has returned to her everyday activities and feels comfortable and confident to socialise with her friends and family thanks to her breast prosthesis. Soon, Sylvia will return to the same retailer to replace her current prosthesis. Her replacement prosthesis will be reimbursed under the EBPRP in the same way that her first prosthesis was.</w:t>
      </w:r>
    </w:p>
    <w:p w14:paraId="683B6343" w14:textId="01171A6C" w:rsidR="00E07E87" w:rsidRPr="00E138ED" w:rsidRDefault="00E07E87" w:rsidP="00E138ED">
      <w:pPr>
        <w:pStyle w:val="Caption-Source"/>
        <w:rPr>
          <w:color w:val="000000" w:themeColor="text1"/>
          <w:sz w:val="20"/>
          <w:szCs w:val="22"/>
        </w:rPr>
      </w:pPr>
      <w:r w:rsidRPr="008B616D">
        <w:t xml:space="preserve">Source: </w:t>
      </w:r>
      <w:r w:rsidR="00B26691">
        <w:t>Independent reviewer</w:t>
      </w:r>
      <w:r w:rsidRPr="008B616D">
        <w:t xml:space="preserve"> </w:t>
      </w:r>
      <w:r>
        <w:t>(</w:t>
      </w:r>
      <w:r w:rsidRPr="008B616D">
        <w:t>2025</w:t>
      </w:r>
      <w:r>
        <w:t>) using information provided by stakeholders during consultation</w:t>
      </w:r>
    </w:p>
    <w:p w14:paraId="2285FFBF" w14:textId="77777777" w:rsidR="00E138ED" w:rsidRPr="00C76D17" w:rsidRDefault="00E138ED" w:rsidP="00C76D17">
      <w:r w:rsidRPr="00C76D17">
        <w:br w:type="page"/>
      </w:r>
    </w:p>
    <w:p w14:paraId="495BE7D7" w14:textId="77777777" w:rsidR="00E07E87" w:rsidRPr="00C76D17" w:rsidRDefault="00E07E87" w:rsidP="00C76D17">
      <w:pPr>
        <w:pStyle w:val="appendixh3nonumber"/>
      </w:pPr>
      <w:r w:rsidRPr="00C76D17">
        <w:t xml:space="preserve">Equity Issue 1B: Inconsistent funding models used by existing national programs and schemes </w:t>
      </w:r>
    </w:p>
    <w:p w14:paraId="65DA0F86" w14:textId="2D94C04F" w:rsidR="00E07E87" w:rsidRPr="00DF7929" w:rsidRDefault="00E07E87" w:rsidP="00DF7929">
      <w:r w:rsidRPr="00DF7929">
        <w:t xml:space="preserve">As outlined in Section 2, different funding models underpin existing national programs and schemes for prostheses. The EBPRP operates under a reimbursement model which requires participants to make an upfront payment of at least $400 per prosthesis </w:t>
      </w:r>
      <w:proofErr w:type="gramStart"/>
      <w:r w:rsidRPr="00DF7929">
        <w:t>in order to</w:t>
      </w:r>
      <w:proofErr w:type="gramEnd"/>
      <w:r w:rsidRPr="00DF7929">
        <w:t xml:space="preserve"> access breast prostheses. As outlined in Section </w:t>
      </w:r>
      <w:r w:rsidRPr="00DF7929">
        <w:fldChar w:fldCharType="begin"/>
      </w:r>
      <w:r w:rsidRPr="00DF7929">
        <w:instrText xml:space="preserve"> REF _Ref201693732 \r \h </w:instrText>
      </w:r>
      <w:r w:rsidR="00DF7929">
        <w:instrText xml:space="preserve"> \* MERGEFORMAT </w:instrText>
      </w:r>
      <w:r w:rsidRPr="00DF7929">
        <w:fldChar w:fldCharType="separate"/>
      </w:r>
      <w:r w:rsidR="00D955D8" w:rsidRPr="00DF7929">
        <w:t>4.1.4</w:t>
      </w:r>
      <w:r w:rsidRPr="00DF7929">
        <w:fldChar w:fldCharType="end"/>
      </w:r>
      <w:r w:rsidRPr="00DF7929">
        <w:t xml:space="preserve">, the requirement to make an upfront payment is a significant barrier to access for many people who require breast prostheses, with many not being able to access a prosthesis as a result. </w:t>
      </w:r>
    </w:p>
    <w:p w14:paraId="79928183" w14:textId="77777777" w:rsidR="00E07E87" w:rsidRPr="00DF7929" w:rsidRDefault="00E07E87" w:rsidP="00DF7929">
      <w:r w:rsidRPr="00DF7929">
        <w:t xml:space="preserve">In contrast, people who meet the eligibility criteria for either the NDIS or DVA, </w:t>
      </w:r>
      <w:proofErr w:type="gramStart"/>
      <w:r w:rsidRPr="00DF7929">
        <w:t>are able to</w:t>
      </w:r>
      <w:proofErr w:type="gramEnd"/>
      <w:r w:rsidRPr="00DF7929">
        <w:t xml:space="preserve"> access fully funded limb prostheses without being required to make an upfront or gap payment. </w:t>
      </w:r>
    </w:p>
    <w:p w14:paraId="7A42B6BE" w14:textId="77777777" w:rsidR="00E138ED" w:rsidRPr="00DF7929" w:rsidRDefault="00E07E87" w:rsidP="00DF7929">
      <w:r w:rsidRPr="00DF7929">
        <w:t xml:space="preserve">The differences in equitable access to prostheses due to inconsistent funding models used by these existing national programs and schemes is illustrated by Case Study 1B outlined </w:t>
      </w:r>
      <w:r w:rsidR="000C5764" w:rsidRPr="00DF7929">
        <w:t>over page</w:t>
      </w:r>
      <w:r w:rsidRPr="00DF7929">
        <w:t xml:space="preserve">. This case study has been developed based on stakeholder experiences shared during consultation activities conducted as part of this review. </w:t>
      </w:r>
    </w:p>
    <w:p w14:paraId="461D8F09" w14:textId="77777777" w:rsidR="00130D88" w:rsidRDefault="00E138ED" w:rsidP="00FD688B">
      <w:pPr>
        <w:pStyle w:val="Heading2Summaryofkeyfindings"/>
      </w:pPr>
      <w:r w:rsidRPr="00CF495E">
        <w:t xml:space="preserve">Case </w:t>
      </w:r>
      <w:r>
        <w:t>S</w:t>
      </w:r>
      <w:r w:rsidRPr="00CF495E">
        <w:t>tudy</w:t>
      </w:r>
      <w:r>
        <w:t xml:space="preserve"> 1B</w:t>
      </w:r>
      <w:r w:rsidRPr="00CF495E">
        <w:t xml:space="preserve">: </w:t>
      </w:r>
      <w:r>
        <w:t>Ben and Bianca</w:t>
      </w:r>
    </w:p>
    <w:p w14:paraId="5F351D5B" w14:textId="23BA0449" w:rsidR="00130D88" w:rsidRDefault="00F35F09" w:rsidP="00FD688B">
      <w:pPr>
        <w:pStyle w:val="Heading2Summaryofkeyfindings"/>
      </w:pPr>
      <w:r>
        <w:rPr>
          <w:noProof/>
        </w:rPr>
        <w:drawing>
          <wp:inline distT="0" distB="0" distL="0" distR="0" wp14:anchorId="60EB0940" wp14:editId="50492FB4">
            <wp:extent cx="6291580" cy="554990"/>
            <wp:effectExtent l="0" t="0" r="0" b="0"/>
            <wp:docPr id="758054024"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054024" name="Picture 13">
                      <a:extLst>
                        <a:ext uri="{C183D7F6-B498-43B3-948B-1728B52AA6E4}">
                          <adec:decorative xmlns:adec="http://schemas.microsoft.com/office/drawing/2017/decorative" val="1"/>
                        </a:ext>
                      </a:extLst>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291580" cy="554990"/>
                    </a:xfrm>
                    <a:prstGeom prst="rect">
                      <a:avLst/>
                    </a:prstGeom>
                    <a:noFill/>
                  </pic:spPr>
                </pic:pic>
              </a:graphicData>
            </a:graphic>
          </wp:inline>
        </w:drawing>
      </w:r>
    </w:p>
    <w:p w14:paraId="2DFC506B" w14:textId="22342C4B" w:rsidR="00130D88" w:rsidRPr="00311274" w:rsidRDefault="00130D88" w:rsidP="005A6CA2">
      <w:pPr>
        <w:pStyle w:val="Calloutbodytext"/>
        <w:rPr>
          <w:color w:val="1E49E2" w:themeColor="accent1"/>
        </w:rPr>
      </w:pPr>
      <w:r w:rsidRPr="00691803">
        <w:t>Ben is a 3</w:t>
      </w:r>
      <w:r>
        <w:t>2</w:t>
      </w:r>
      <w:r w:rsidRPr="00691803">
        <w:t xml:space="preserve">-year-old man living in Brisbane who was recently diagnosed with osteosarcoma in his </w:t>
      </w:r>
      <w:r>
        <w:t>left</w:t>
      </w:r>
      <w:r w:rsidRPr="00691803">
        <w:t xml:space="preserve"> femur. </w:t>
      </w:r>
      <w:r>
        <w:t xml:space="preserve">Ben lives an active lifestyle and works as an accountant in the Brisbane CBD. </w:t>
      </w:r>
      <w:r w:rsidRPr="00311274">
        <w:t xml:space="preserve">As part of </w:t>
      </w:r>
      <w:r>
        <w:t>his</w:t>
      </w:r>
      <w:r w:rsidRPr="00311274">
        <w:t xml:space="preserve"> cancer treatment, </w:t>
      </w:r>
      <w:r>
        <w:t>Ben</w:t>
      </w:r>
      <w:r w:rsidRPr="00311274">
        <w:t xml:space="preserve"> underwent </w:t>
      </w:r>
      <w:r>
        <w:t>an above knee amputation on his left side</w:t>
      </w:r>
      <w:r w:rsidRPr="00311274">
        <w:t xml:space="preserve">. Following </w:t>
      </w:r>
      <w:r>
        <w:t>his</w:t>
      </w:r>
      <w:r w:rsidRPr="00311274">
        <w:t xml:space="preserve"> recovery from surgery, </w:t>
      </w:r>
      <w:r>
        <w:t>Ben received an interim prosthesis through his local hospital’s artificial limb scheme</w:t>
      </w:r>
      <w:r w:rsidRPr="00311274">
        <w:t>.</w:t>
      </w:r>
    </w:p>
    <w:p w14:paraId="43A5F269" w14:textId="77777777" w:rsidR="00130D88" w:rsidRPr="00311274" w:rsidRDefault="00130D88" w:rsidP="005A6CA2">
      <w:pPr>
        <w:pStyle w:val="Calloutbodytext"/>
      </w:pPr>
      <w:r>
        <w:t>After an assessment, Ben’s orthotist recommended that Ben would be an ideal candidate for a K3 level prosthetic with a microprocessor knee and energy restoring foot. This prosthetic limb would support Ben’s active lifestyle and enable him to still walk to and from the train station each day on his commute to work</w:t>
      </w:r>
      <w:r w:rsidRPr="004B4A8C">
        <w:t>.</w:t>
      </w:r>
      <w:r>
        <w:t xml:space="preserve"> Ben’s orthotist and physiotherapist supported his application to the NDIS for his prosthetic limb, which was approved and fully funded. Despite Ben’s limb being expensive (approximately $200,000), Ben was not required to make any upfront or out-of-pocket payments. </w:t>
      </w:r>
      <w:r w:rsidRPr="00311274">
        <w:t xml:space="preserve"> </w:t>
      </w:r>
    </w:p>
    <w:p w14:paraId="00B147EC" w14:textId="5051824E" w:rsidR="00130D88" w:rsidRDefault="00130D88" w:rsidP="005A6CA2">
      <w:pPr>
        <w:pStyle w:val="Calloutbodytext"/>
      </w:pPr>
      <w:r w:rsidRPr="00311274">
        <w:t xml:space="preserve">Two years on from </w:t>
      </w:r>
      <w:r>
        <w:t>his</w:t>
      </w:r>
      <w:r w:rsidRPr="00311274">
        <w:t xml:space="preserve"> surgery, </w:t>
      </w:r>
      <w:r>
        <w:t>Ben is thrilled with his prosthetic limb. He has been able to restore his function following his amputation and now maintains an active lifestyle.</w:t>
      </w:r>
    </w:p>
    <w:p w14:paraId="5FF9AE8A" w14:textId="49FDF7B4" w:rsidR="00130D88" w:rsidRDefault="00F35F09" w:rsidP="005A6CA2">
      <w:pPr>
        <w:pStyle w:val="Calloutbodytext"/>
      </w:pPr>
      <w:r w:rsidRPr="00F35F09">
        <w:drawing>
          <wp:inline distT="0" distB="0" distL="0" distR="0" wp14:anchorId="6D3320D5" wp14:editId="22B7E8B4">
            <wp:extent cx="6289675" cy="532765"/>
            <wp:effectExtent l="0" t="0" r="0" b="0"/>
            <wp:docPr id="1245013613"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013613" name="Picture 14">
                      <a:extLst>
                        <a:ext uri="{C183D7F6-B498-43B3-948B-1728B52AA6E4}">
                          <adec:decorative xmlns:adec="http://schemas.microsoft.com/office/drawing/2017/decorative" val="1"/>
                        </a:ext>
                      </a:extLst>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289675" cy="532765"/>
                    </a:xfrm>
                    <a:prstGeom prst="rect">
                      <a:avLst/>
                    </a:prstGeom>
                    <a:noFill/>
                    <a:ln>
                      <a:noFill/>
                    </a:ln>
                  </pic:spPr>
                </pic:pic>
              </a:graphicData>
            </a:graphic>
          </wp:inline>
        </w:drawing>
      </w:r>
    </w:p>
    <w:p w14:paraId="09038C41" w14:textId="58E00F03" w:rsidR="00130D88" w:rsidRPr="00130D88" w:rsidRDefault="00130D88" w:rsidP="005A6CA2">
      <w:pPr>
        <w:pStyle w:val="Calloutbodytext"/>
      </w:pPr>
      <w:r w:rsidRPr="00130D88">
        <w:t xml:space="preserve">Bianca is a 34-year-old woman living in Brisbane who was recently diagnosed with breast cancer. Bianca is married and a full-time mum to a two-year-old daughter. As part of her cancer treatment, Bianca underwent a unilateral mastectomy. Following her surgery, Bianca received a My Care Kit from BCNA, which included a temporary breast prosthesis and post-surgery bra. </w:t>
      </w:r>
    </w:p>
    <w:p w14:paraId="68284585" w14:textId="77777777" w:rsidR="00130D88" w:rsidRPr="00130D88" w:rsidRDefault="00130D88" w:rsidP="005A6CA2">
      <w:pPr>
        <w:pStyle w:val="Calloutbodytext"/>
      </w:pPr>
      <w:r w:rsidRPr="00130D88">
        <w:t xml:space="preserve">Once she had fully recovered from surgery, Bianca’s breast care nurse referred her to an external breast retailer to be fitted for an external breast prosthesis for long-term use. When Bianca called the retailer to make an appointment she was informed that she would need to make a $400 upfront payment for her prosthesis, which would later be reimbursed under the EBPRP. With increasing cost of living pressures and Bianca not currently working while raising her young daughter, the upfront payment required would put significant pressure on her family’s financial situation. Bianca decided to not proceed with purchasing the prosthesis and instead, continued to use her temporary prosthesis. </w:t>
      </w:r>
    </w:p>
    <w:p w14:paraId="4D3E58EA" w14:textId="77777777" w:rsidR="007E5605" w:rsidRDefault="00130D88" w:rsidP="005A6CA2">
      <w:pPr>
        <w:pStyle w:val="Calloutbodytext"/>
      </w:pPr>
      <w:r w:rsidRPr="00067B30">
        <w:t xml:space="preserve">Two years on from her surgery, </w:t>
      </w:r>
      <w:r>
        <w:t>Bianca is still using her temporary prosthesis. As the temporary prosthesis is not weighted nor intended for long-term use, Bianca has developed chronic neck and back pain and frequently develops skin irritations from the prosthesis. While the option to obtain a more suitable prosthesis for long-term use under the EBPRP is still available, the upfront payment required remains a significant barrier for Bianca.</w:t>
      </w:r>
    </w:p>
    <w:p w14:paraId="17FEED74" w14:textId="54B31DC1" w:rsidR="00E07E87" w:rsidRDefault="00E07E87" w:rsidP="007E5605">
      <w:pPr>
        <w:pStyle w:val="Caption-Source"/>
      </w:pPr>
      <w:r w:rsidRPr="008B616D">
        <w:t xml:space="preserve">Source: </w:t>
      </w:r>
      <w:r w:rsidR="00B26691">
        <w:t>Independent reviewer</w:t>
      </w:r>
      <w:r w:rsidR="00B26691" w:rsidRPr="00CD3106">
        <w:t xml:space="preserve"> </w:t>
      </w:r>
      <w:r>
        <w:t>(</w:t>
      </w:r>
      <w:r w:rsidRPr="008B616D">
        <w:t>2025</w:t>
      </w:r>
      <w:r>
        <w:t>) using information provided by stakeholders during consultation</w:t>
      </w:r>
      <w:r>
        <w:br w:type="page"/>
      </w:r>
    </w:p>
    <w:p w14:paraId="1DAAE6C1" w14:textId="77777777" w:rsidR="00CB5A41" w:rsidRPr="000A5D5B" w:rsidRDefault="00CB5A41" w:rsidP="008239ED">
      <w:pPr>
        <w:pStyle w:val="AppendixHeading2"/>
      </w:pPr>
      <w:bookmarkStart w:id="383" w:name="_Toc207348795"/>
      <w:r w:rsidRPr="000A5D5B">
        <w:t xml:space="preserve">Differences in equitable access </w:t>
      </w:r>
      <w:r>
        <w:t>for the same</w:t>
      </w:r>
      <w:r w:rsidRPr="000A5D5B">
        <w:t xml:space="preserve"> type of prostheses</w:t>
      </w:r>
      <w:bookmarkEnd w:id="383"/>
    </w:p>
    <w:p w14:paraId="40634484" w14:textId="77777777" w:rsidR="00CB5A41" w:rsidRPr="00DF7929" w:rsidRDefault="00CB5A41" w:rsidP="00DF7929">
      <w:r w:rsidRPr="00DF7929">
        <w:t xml:space="preserve">When considering differences in equitable access for the same type of prostheses, three key issues were identified: </w:t>
      </w:r>
    </w:p>
    <w:p w14:paraId="3B4863F4" w14:textId="77777777" w:rsidR="00CB5A41" w:rsidRPr="00B22B15" w:rsidRDefault="00CB5A41" w:rsidP="006B053A">
      <w:pPr>
        <w:pStyle w:val="Bullet1stlevel"/>
      </w:pPr>
      <w:r>
        <w:t xml:space="preserve">2A: </w:t>
      </w:r>
      <w:r w:rsidRPr="00B22B15">
        <w:t xml:space="preserve">Variability in availability of facial prostheses services between jurisdictions </w:t>
      </w:r>
    </w:p>
    <w:p w14:paraId="632F65F9" w14:textId="77777777" w:rsidR="00CB5A41" w:rsidRDefault="00CB5A41" w:rsidP="006B053A">
      <w:pPr>
        <w:pStyle w:val="Bullet1stlevel"/>
      </w:pPr>
      <w:r>
        <w:t xml:space="preserve">2B: </w:t>
      </w:r>
      <w:r w:rsidRPr="00B22B15">
        <w:t>Variability in prostheses available under the NDIS and jurisdictional limb schemes</w:t>
      </w:r>
    </w:p>
    <w:p w14:paraId="2C67F599" w14:textId="77777777" w:rsidR="00CB5A41" w:rsidRDefault="00CB5A41" w:rsidP="006B053A">
      <w:pPr>
        <w:pStyle w:val="Bullet1stlevel"/>
      </w:pPr>
      <w:r>
        <w:t xml:space="preserve">2C: </w:t>
      </w:r>
      <w:r w:rsidRPr="00B22B15">
        <w:t>Variability between jurisdictional limb schemes</w:t>
      </w:r>
      <w:r>
        <w:t>.</w:t>
      </w:r>
    </w:p>
    <w:p w14:paraId="2B45B6E4" w14:textId="77777777" w:rsidR="00CB5A41" w:rsidRPr="00C76D17" w:rsidRDefault="00CB5A41" w:rsidP="00C76D17">
      <w:pPr>
        <w:pStyle w:val="appendixh3nonumber"/>
      </w:pPr>
      <w:r w:rsidRPr="00C76D17">
        <w:t>Equity Issue 2A: Variability in availability of facial prostheses services between jurisdictions</w:t>
      </w:r>
    </w:p>
    <w:p w14:paraId="2C86072C" w14:textId="77777777" w:rsidR="00CB5A41" w:rsidRPr="00DF7929" w:rsidRDefault="00CB5A41" w:rsidP="00DF7929">
      <w:r w:rsidRPr="00DF7929">
        <w:t>As outlined in Section 2, there is significant variation across jurisdictions in the availability of publicly funded facial prostheses services, schemes and programs. In Victoria, Queensland and Western Australia, some major public hospitals provide access and funding to facial prostheses including orbital, ears, nasal, and hemifacial prostheses. In the ACT, only ocular prostheses are publicly funded, while ear, hemifacial and nasal prostheses are not covered. In New South Wales, South Australia, Tasmania and the Northern Territory, there are no publicly funded facial prostheses services, meaning individuals must travel interstate to access prostheses where they may facing long wait times as non-residents. Stakeholders described this as being a “postcode lottery” where the ability to access prostheses is entirely dependent on where you live.</w:t>
      </w:r>
    </w:p>
    <w:p w14:paraId="2CCDDB42" w14:textId="77777777" w:rsidR="00CB5A41" w:rsidRPr="00DF7929" w:rsidRDefault="00CB5A41" w:rsidP="00DF7929">
      <w:r w:rsidRPr="00DF7929">
        <w:t xml:space="preserve">The differences in equitable access to facial prostheses due to the variable availability of publicly funded facial prostheses services across Australia is illustrated by Case Study 2A outlined below. This case study has been developed based on stakeholder experiences shared during consultation activities conducted as part of this review. </w:t>
      </w:r>
    </w:p>
    <w:p w14:paraId="12AA8416" w14:textId="3299EB9A" w:rsidR="007E5605" w:rsidRDefault="007E5605" w:rsidP="00FD688B">
      <w:pPr>
        <w:pStyle w:val="Heading2Summaryofkeyfindings"/>
      </w:pPr>
      <w:r w:rsidRPr="00CF495E">
        <w:t xml:space="preserve">Case </w:t>
      </w:r>
      <w:r>
        <w:t>S</w:t>
      </w:r>
      <w:r w:rsidRPr="00CF495E">
        <w:t>tudy</w:t>
      </w:r>
      <w:r>
        <w:t xml:space="preserve"> 2A</w:t>
      </w:r>
      <w:r w:rsidRPr="00CF495E">
        <w:t xml:space="preserve">: </w:t>
      </w:r>
      <w:r>
        <w:t>Raj and Robert</w:t>
      </w:r>
    </w:p>
    <w:p w14:paraId="53CC1B6F" w14:textId="118D7AFC" w:rsidR="00C415E5" w:rsidRDefault="00346694" w:rsidP="005A6CA2">
      <w:pPr>
        <w:pStyle w:val="Calloutbodytext"/>
      </w:pPr>
      <w:r>
        <w:drawing>
          <wp:inline distT="0" distB="0" distL="0" distR="0" wp14:anchorId="18688E9B" wp14:editId="046712D7">
            <wp:extent cx="6291580" cy="554990"/>
            <wp:effectExtent l="0" t="0" r="0" b="0"/>
            <wp:docPr id="158859280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592801" name="Picture 11">
                      <a:extLst>
                        <a:ext uri="{C183D7F6-B498-43B3-948B-1728B52AA6E4}">
                          <adec:decorative xmlns:adec="http://schemas.microsoft.com/office/drawing/2017/decorative" val="1"/>
                        </a:ext>
                      </a:extLs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291580" cy="554990"/>
                    </a:xfrm>
                    <a:prstGeom prst="rect">
                      <a:avLst/>
                    </a:prstGeom>
                    <a:noFill/>
                  </pic:spPr>
                </pic:pic>
              </a:graphicData>
            </a:graphic>
          </wp:inline>
        </w:drawing>
      </w:r>
    </w:p>
    <w:p w14:paraId="7AD27362" w14:textId="77777777" w:rsidR="00C415E5" w:rsidRDefault="00C415E5" w:rsidP="005A6CA2">
      <w:pPr>
        <w:pStyle w:val="Calloutbodytext"/>
      </w:pPr>
      <w:r>
        <w:t xml:space="preserve">Raj is 54 years old, lives in Adelaide and works as a school teacher. He recently completed treatment for head and neck cancer, which resulted in the removal of one of his ears. </w:t>
      </w:r>
    </w:p>
    <w:p w14:paraId="76A164D1" w14:textId="77777777" w:rsidR="00C415E5" w:rsidRPr="000869EC" w:rsidRDefault="00C415E5" w:rsidP="005A6CA2">
      <w:pPr>
        <w:pStyle w:val="Calloutbodytext"/>
        <w:rPr>
          <w:color w:val="1E49E2" w:themeColor="accent1"/>
        </w:rPr>
      </w:pPr>
      <w:r w:rsidRPr="002C624A">
        <w:t xml:space="preserve">Following </w:t>
      </w:r>
      <w:r>
        <w:t>his</w:t>
      </w:r>
      <w:r w:rsidRPr="002C624A">
        <w:t xml:space="preserve"> recovery from surgery, </w:t>
      </w:r>
      <w:r>
        <w:t>Raj</w:t>
      </w:r>
      <w:r w:rsidRPr="002C624A">
        <w:t xml:space="preserve"> asked </w:t>
      </w:r>
      <w:r>
        <w:t>his</w:t>
      </w:r>
      <w:r w:rsidRPr="002C624A">
        <w:t xml:space="preserve"> surgeon about options for a</w:t>
      </w:r>
      <w:r>
        <w:t xml:space="preserve"> </w:t>
      </w:r>
      <w:r w:rsidRPr="002C624A">
        <w:t>prosthesis.</w:t>
      </w:r>
      <w:r>
        <w:t xml:space="preserve"> </w:t>
      </w:r>
      <w:r w:rsidRPr="002C624A">
        <w:t xml:space="preserve">With no publicly funded </w:t>
      </w:r>
      <w:r>
        <w:t xml:space="preserve">facial </w:t>
      </w:r>
      <w:r w:rsidRPr="002C624A">
        <w:t xml:space="preserve">prostheses services available in </w:t>
      </w:r>
      <w:r>
        <w:t>South Australia</w:t>
      </w:r>
      <w:r w:rsidRPr="002C624A">
        <w:t xml:space="preserve">, </w:t>
      </w:r>
      <w:r>
        <w:t>Raj</w:t>
      </w:r>
      <w:r w:rsidRPr="002C624A">
        <w:t xml:space="preserve"> was </w:t>
      </w:r>
      <w:r>
        <w:t xml:space="preserve">informed that there were no options available to him in South Australia and that he would need to travel interstate if he wanted to access a prosthesis. </w:t>
      </w:r>
    </w:p>
    <w:p w14:paraId="28A5AD9F" w14:textId="77777777" w:rsidR="00C415E5" w:rsidRDefault="00C415E5" w:rsidP="005A6CA2">
      <w:pPr>
        <w:pStyle w:val="Calloutbodytext"/>
      </w:pPr>
      <w:r>
        <w:t xml:space="preserve">Raj enquired with an interstate anaplastologist and received a quote of approximately $4,000 for a prosthetic ear, which would need to be replaced every three years. Along with the cost of travel and accommodation for consultations, fittings, and future replacements Raj could not afford this and made the difficult decision to forego a prosthesis. </w:t>
      </w:r>
    </w:p>
    <w:p w14:paraId="741593C2" w14:textId="770284CD" w:rsidR="00C415E5" w:rsidRDefault="00C415E5" w:rsidP="005A6CA2">
      <w:pPr>
        <w:pStyle w:val="Calloutbodytext"/>
      </w:pPr>
      <w:r w:rsidRPr="00907BF8">
        <w:t>Two years on from his surgery</w:t>
      </w:r>
      <w:r>
        <w:t>, Raj continues to live without a prosthesis. H</w:t>
      </w:r>
      <w:r w:rsidRPr="00907BF8">
        <w:t xml:space="preserve">e </w:t>
      </w:r>
      <w:r>
        <w:t>decided not to return to his job as a teacher</w:t>
      </w:r>
      <w:r w:rsidRPr="00907BF8">
        <w:t xml:space="preserve"> due to </w:t>
      </w:r>
      <w:r>
        <w:t xml:space="preserve">discomfort and </w:t>
      </w:r>
      <w:r w:rsidRPr="00907BF8">
        <w:t xml:space="preserve">embarrassment </w:t>
      </w:r>
      <w:r>
        <w:t>regarding</w:t>
      </w:r>
      <w:r w:rsidRPr="00907BF8">
        <w:t xml:space="preserve"> his appearance</w:t>
      </w:r>
      <w:r>
        <w:t>. He also now avoids social outings and feels increasingly isolated from his family and friends.</w:t>
      </w:r>
    </w:p>
    <w:p w14:paraId="17BD696A" w14:textId="15D0109E" w:rsidR="00C415E5" w:rsidRDefault="00FB6271" w:rsidP="005A6CA2">
      <w:pPr>
        <w:pStyle w:val="Calloutbodytext"/>
      </w:pPr>
      <w:r>
        <w:drawing>
          <wp:inline distT="0" distB="0" distL="0" distR="0" wp14:anchorId="0670D1B4" wp14:editId="014A8698">
            <wp:extent cx="6291580" cy="530225"/>
            <wp:effectExtent l="0" t="0" r="0" b="0"/>
            <wp:docPr id="2040665220"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665220" name="Picture 12">
                      <a:extLst>
                        <a:ext uri="{C183D7F6-B498-43B3-948B-1728B52AA6E4}">
                          <adec:decorative xmlns:adec="http://schemas.microsoft.com/office/drawing/2017/decorative" val="1"/>
                        </a:ext>
                      </a:extLst>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291580" cy="530225"/>
                    </a:xfrm>
                    <a:prstGeom prst="rect">
                      <a:avLst/>
                    </a:prstGeom>
                    <a:noFill/>
                  </pic:spPr>
                </pic:pic>
              </a:graphicData>
            </a:graphic>
          </wp:inline>
        </w:drawing>
      </w:r>
    </w:p>
    <w:p w14:paraId="711B5487" w14:textId="77777777" w:rsidR="00C415E5" w:rsidRDefault="00C415E5" w:rsidP="005A6CA2">
      <w:pPr>
        <w:pStyle w:val="Calloutbodytext"/>
      </w:pPr>
      <w:r>
        <w:t>Robert</w:t>
      </w:r>
      <w:r w:rsidRPr="00875740">
        <w:t xml:space="preserve"> is 56 years old</w:t>
      </w:r>
      <w:r>
        <w:t xml:space="preserve">, </w:t>
      </w:r>
      <w:r w:rsidRPr="00875740">
        <w:t>lives in Brisbane</w:t>
      </w:r>
      <w:r>
        <w:t xml:space="preserve"> and owns a cafe</w:t>
      </w:r>
      <w:r w:rsidRPr="00875740">
        <w:t xml:space="preserve">. </w:t>
      </w:r>
      <w:r>
        <w:t>Like Raj,</w:t>
      </w:r>
      <w:r w:rsidRPr="00875740">
        <w:t xml:space="preserve"> </w:t>
      </w:r>
      <w:r>
        <w:t>Robert</w:t>
      </w:r>
      <w:r w:rsidRPr="00875740">
        <w:t xml:space="preserve"> also </w:t>
      </w:r>
      <w:r>
        <w:t xml:space="preserve">recently </w:t>
      </w:r>
      <w:r w:rsidRPr="00875740">
        <w:t xml:space="preserve">underwent surgery for head and neck cancer </w:t>
      </w:r>
      <w:r>
        <w:t>that resulted in the removal of one of his ears.</w:t>
      </w:r>
    </w:p>
    <w:p w14:paraId="4086C397" w14:textId="77777777" w:rsidR="00C415E5" w:rsidRDefault="00C415E5" w:rsidP="005A6CA2">
      <w:pPr>
        <w:pStyle w:val="Calloutbodytext"/>
      </w:pPr>
      <w:r>
        <w:t>Following his surgery, Robert</w:t>
      </w:r>
      <w:r w:rsidRPr="00875740">
        <w:t xml:space="preserve"> was referred to a publicly funded facial prosthesis service </w:t>
      </w:r>
      <w:r>
        <w:t>at the Royal Brisbane and Women’s Hospital</w:t>
      </w:r>
      <w:r w:rsidRPr="00875740">
        <w:t xml:space="preserve">. </w:t>
      </w:r>
      <w:r>
        <w:t>Robert</w:t>
      </w:r>
      <w:r w:rsidRPr="00875740">
        <w:t xml:space="preserve"> was </w:t>
      </w:r>
      <w:r>
        <w:t>placed</w:t>
      </w:r>
      <w:r w:rsidRPr="00875740">
        <w:t xml:space="preserve"> on a wait list</w:t>
      </w:r>
      <w:r>
        <w:t>, however after a six-</w:t>
      </w:r>
      <w:r w:rsidRPr="00875740">
        <w:t>month</w:t>
      </w:r>
      <w:r>
        <w:t xml:space="preserve"> wait,</w:t>
      </w:r>
      <w:r w:rsidRPr="00875740">
        <w:t xml:space="preserve"> </w:t>
      </w:r>
      <w:r>
        <w:t>r</w:t>
      </w:r>
      <w:r w:rsidRPr="00875740">
        <w:t>eceiv</w:t>
      </w:r>
      <w:r>
        <w:t>ed</w:t>
      </w:r>
      <w:r w:rsidRPr="00875740">
        <w:t xml:space="preserve"> a </w:t>
      </w:r>
      <w:r>
        <w:t xml:space="preserve">custom-made </w:t>
      </w:r>
      <w:r w:rsidRPr="00875740">
        <w:t>prosthe</w:t>
      </w:r>
      <w:r>
        <w:t>tic ear</w:t>
      </w:r>
      <w:r w:rsidRPr="00875740">
        <w:t xml:space="preserve"> at no personal cost. </w:t>
      </w:r>
    </w:p>
    <w:p w14:paraId="04B3644B" w14:textId="0D0A5E23" w:rsidR="00C415E5" w:rsidRDefault="00C415E5" w:rsidP="005A6CA2">
      <w:pPr>
        <w:pStyle w:val="Calloutbodytext"/>
      </w:pPr>
      <w:r>
        <w:t>After receiving his prosthesis, Robert soon</w:t>
      </w:r>
      <w:r w:rsidRPr="00875740">
        <w:t xml:space="preserve"> return</w:t>
      </w:r>
      <w:r>
        <w:t>ed</w:t>
      </w:r>
      <w:r w:rsidRPr="00875740">
        <w:t xml:space="preserve"> to </w:t>
      </w:r>
      <w:r>
        <w:t>serving his regular customers at his cafe with a renewed sense of confidence. His prosthesis will require replacing in approximately three years, at which time he will return to the Royal Brisbane and Women’s Hospital where he will receive a replacement prosthesis at no cost.</w:t>
      </w:r>
    </w:p>
    <w:p w14:paraId="05D48CBA" w14:textId="715DB3CD" w:rsidR="00CB5A41" w:rsidRDefault="00CB5A41" w:rsidP="006B053A">
      <w:pPr>
        <w:pStyle w:val="Caption-Source"/>
      </w:pPr>
      <w:r w:rsidRPr="008B616D">
        <w:t xml:space="preserve">Source: </w:t>
      </w:r>
      <w:r w:rsidR="00B26691">
        <w:t>Independent reviewer</w:t>
      </w:r>
      <w:r w:rsidRPr="008B616D">
        <w:t xml:space="preserve"> </w:t>
      </w:r>
      <w:r>
        <w:t>(</w:t>
      </w:r>
      <w:r w:rsidRPr="008B616D">
        <w:t>2025</w:t>
      </w:r>
      <w:r>
        <w:t>) using information provided by stakeholders during consultation</w:t>
      </w:r>
      <w:r w:rsidR="006B053A">
        <w:br w:type="page"/>
      </w:r>
    </w:p>
    <w:p w14:paraId="48EF6269" w14:textId="77777777" w:rsidR="00CB5A41" w:rsidRPr="00C76D17" w:rsidRDefault="00CB5A41" w:rsidP="00C76D17">
      <w:pPr>
        <w:pStyle w:val="appendixh3nonumber"/>
      </w:pPr>
      <w:r w:rsidRPr="00C76D17">
        <w:t>Equity Issue 2B: Variability in prostheses available under the NDIS and jurisdictional limb schemes</w:t>
      </w:r>
    </w:p>
    <w:p w14:paraId="229F3CF3" w14:textId="77777777" w:rsidR="00CB5A41" w:rsidRPr="00DF7929" w:rsidRDefault="00CB5A41" w:rsidP="00DF7929">
      <w:r w:rsidRPr="00DF7929">
        <w:t xml:space="preserve">As detailed in Section 2, people who have lost their limbs due to cancer or cancer treatment typically receive their definitive prosthetic limb through the NDIS. Stakeholders reported that under the NDIS, subject to an application and approval process, advanced limbs </w:t>
      </w:r>
      <w:proofErr w:type="gramStart"/>
      <w:r w:rsidRPr="00DF7929">
        <w:t>are able to</w:t>
      </w:r>
      <w:proofErr w:type="gramEnd"/>
      <w:r w:rsidRPr="00DF7929">
        <w:t xml:space="preserve"> be accessed, including microprocessor knees and energy restoring feet.</w:t>
      </w:r>
    </w:p>
    <w:p w14:paraId="51F1F1D8" w14:textId="77777777" w:rsidR="00CB5A41" w:rsidRPr="00DF7929" w:rsidRDefault="00CB5A41" w:rsidP="00DF7929">
      <w:r w:rsidRPr="00DF7929">
        <w:t xml:space="preserve">Individuals who do not meet the eligibility criteria for the NDIS, which includes all people aged 65 years and older, are reliant on jurisdiction-based limb schemes. </w:t>
      </w:r>
      <w:proofErr w:type="gramStart"/>
      <w:r w:rsidRPr="00DF7929">
        <w:t>With the exception of</w:t>
      </w:r>
      <w:proofErr w:type="gramEnd"/>
      <w:r w:rsidRPr="00DF7929">
        <w:t xml:space="preserve"> New South Wales, jurisdictional limb schemes do not fund high grade prostheses, such as microprocessor knees and computerised components, which are funded under the NDIS for those who are eligible. This means that those reliant on jurisdictional limb schemes can typically only access basic prostheses and components such as mechanical knees. </w:t>
      </w:r>
    </w:p>
    <w:p w14:paraId="1A6AE878" w14:textId="77777777" w:rsidR="001F10E6" w:rsidRPr="00C86790" w:rsidRDefault="001F10E6" w:rsidP="00957DDB">
      <w:pPr>
        <w:pStyle w:val="Bodytext-quote2"/>
      </w:pPr>
      <w:r>
        <w:t>“Without access to higher-grade prostheses, many people aged 65 and older are left with no option but to use a wheelchair. Lower-grade prostheses can be so physically and mentally exhausting to use that walking becomes impossible</w:t>
      </w:r>
      <w:r w:rsidRPr="00C46E95">
        <w:t>.</w:t>
      </w:r>
      <w:r w:rsidRPr="00C86790">
        <w:t>"</w:t>
      </w:r>
      <w:r>
        <w:t xml:space="preserve"> </w:t>
      </w:r>
    </w:p>
    <w:p w14:paraId="7B309AB0" w14:textId="630BC1FE" w:rsidR="001F10E6" w:rsidRDefault="001F10E6" w:rsidP="00E71108">
      <w:pPr>
        <w:pStyle w:val="Bodytextquote2strong"/>
      </w:pPr>
      <w:r w:rsidRPr="0089298F">
        <w:t>-</w:t>
      </w:r>
      <w:r>
        <w:t xml:space="preserve"> Clinician</w:t>
      </w:r>
    </w:p>
    <w:p w14:paraId="4F4D5293" w14:textId="77777777" w:rsidR="00CB5A41" w:rsidRPr="00DF7929" w:rsidRDefault="00CB5A41" w:rsidP="00DF7929">
      <w:r w:rsidRPr="00DF7929">
        <w:t xml:space="preserve">The differences in equitable access due to variability in the types of prostheses available under the NDIS and jurisdictional limb schemes is illustrated by Case Study 2B outlined below. This case study has been developed based on stakeholder experiences shared during consultation activities conducted as part of this review. </w:t>
      </w:r>
    </w:p>
    <w:p w14:paraId="1590909A" w14:textId="660822A9" w:rsidR="00E87D69" w:rsidRDefault="00E87D69" w:rsidP="00FD688B">
      <w:pPr>
        <w:pStyle w:val="Heading2Summaryofkeyfindings"/>
      </w:pPr>
      <w:r w:rsidRPr="00CF495E">
        <w:t xml:space="preserve">Case </w:t>
      </w:r>
      <w:r>
        <w:t>S</w:t>
      </w:r>
      <w:r w:rsidRPr="00CF495E">
        <w:t>tudy</w:t>
      </w:r>
      <w:r>
        <w:t xml:space="preserve"> 2B</w:t>
      </w:r>
      <w:r w:rsidRPr="00CF495E">
        <w:t xml:space="preserve">: </w:t>
      </w:r>
      <w:r>
        <w:t>John and Jenny</w:t>
      </w:r>
    </w:p>
    <w:p w14:paraId="4A7C192A" w14:textId="7AEDBFE7" w:rsidR="00681C4C" w:rsidRDefault="00681C4C" w:rsidP="00FD688B">
      <w:pPr>
        <w:pStyle w:val="Heading2Summaryofkeyfindings"/>
      </w:pPr>
      <w:r>
        <w:rPr>
          <w:noProof/>
        </w:rPr>
        <w:drawing>
          <wp:inline distT="0" distB="0" distL="0" distR="0" wp14:anchorId="44779ACA" wp14:editId="231A2972">
            <wp:extent cx="6291580" cy="554990"/>
            <wp:effectExtent l="0" t="0" r="0" b="0"/>
            <wp:docPr id="805254010"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254010" name="Picture 17">
                      <a:extLst>
                        <a:ext uri="{C183D7F6-B498-43B3-948B-1728B52AA6E4}">
                          <adec:decorative xmlns:adec="http://schemas.microsoft.com/office/drawing/2017/decorative" val="1"/>
                        </a:ext>
                      </a:extLst>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291580" cy="554990"/>
                    </a:xfrm>
                    <a:prstGeom prst="rect">
                      <a:avLst/>
                    </a:prstGeom>
                    <a:noFill/>
                  </pic:spPr>
                </pic:pic>
              </a:graphicData>
            </a:graphic>
          </wp:inline>
        </w:drawing>
      </w:r>
    </w:p>
    <w:p w14:paraId="1892A8A6" w14:textId="77777777" w:rsidR="00E87D69" w:rsidRDefault="00E87D69" w:rsidP="005A6CA2">
      <w:pPr>
        <w:pStyle w:val="Calloutbodytext"/>
      </w:pPr>
      <w:r>
        <w:t>John</w:t>
      </w:r>
      <w:r w:rsidRPr="00854355">
        <w:t xml:space="preserve"> is 66 years old</w:t>
      </w:r>
      <w:r>
        <w:t>, lives in Perth</w:t>
      </w:r>
      <w:r w:rsidRPr="00854355">
        <w:t xml:space="preserve"> and recently </w:t>
      </w:r>
      <w:r>
        <w:t xml:space="preserve">underwent an </w:t>
      </w:r>
      <w:r w:rsidRPr="00854355">
        <w:t>above knee</w:t>
      </w:r>
      <w:r>
        <w:t xml:space="preserve"> amputation</w:t>
      </w:r>
      <w:r w:rsidRPr="00854355">
        <w:t xml:space="preserve"> as a result of cancer. </w:t>
      </w:r>
      <w:r>
        <w:t xml:space="preserve">Prior to his cancer diagnosis, John lived an active lifestyle and while he was starting to consider his future retirement plans, he was still working four days per week in real estate. </w:t>
      </w:r>
    </w:p>
    <w:p w14:paraId="4D5C987C" w14:textId="77777777" w:rsidR="00E87D69" w:rsidRDefault="00E87D69" w:rsidP="005A6CA2">
      <w:pPr>
        <w:pStyle w:val="Calloutbodytext"/>
      </w:pPr>
      <w:r>
        <w:t>As John</w:t>
      </w:r>
      <w:r w:rsidRPr="00854355">
        <w:t xml:space="preserve"> does not meet the age-based eligibility requirements of </w:t>
      </w:r>
      <w:r>
        <w:t xml:space="preserve">the </w:t>
      </w:r>
      <w:r w:rsidRPr="00854355">
        <w:t>NDIS</w:t>
      </w:r>
      <w:r>
        <w:t xml:space="preserve">, he is provided with </w:t>
      </w:r>
      <w:r w:rsidRPr="00854355">
        <w:t>a</w:t>
      </w:r>
      <w:r>
        <w:t xml:space="preserve"> prosthetic limb with a</w:t>
      </w:r>
      <w:r w:rsidRPr="00854355">
        <w:t xml:space="preserve"> mechanical knee unit through the </w:t>
      </w:r>
      <w:r>
        <w:t xml:space="preserve">Western Australia </w:t>
      </w:r>
      <w:r w:rsidRPr="00854355">
        <w:t xml:space="preserve">limb service. </w:t>
      </w:r>
      <w:r>
        <w:t>Following his cancer treatment, John has lost muscle mass and tone and due</w:t>
      </w:r>
      <w:r w:rsidRPr="00854355">
        <w:t xml:space="preserve"> to </w:t>
      </w:r>
      <w:r>
        <w:t>the weight of the</w:t>
      </w:r>
      <w:r w:rsidRPr="00854355">
        <w:t xml:space="preserve"> mechanical knee unit</w:t>
      </w:r>
      <w:r>
        <w:t>, John finds walking with his prosthesis extremely difficult</w:t>
      </w:r>
      <w:r w:rsidRPr="00854355">
        <w:t>.</w:t>
      </w:r>
      <w:r>
        <w:t xml:space="preserve"> </w:t>
      </w:r>
      <w:r w:rsidRPr="00854355">
        <w:t>He finds himself needing to concentrate with every step he takes</w:t>
      </w:r>
      <w:r>
        <w:t xml:space="preserve"> as his prosthetic often feels unstable, leaving him mentally and physically exhausted at the end of each day.</w:t>
      </w:r>
    </w:p>
    <w:p w14:paraId="74529F04" w14:textId="77777777" w:rsidR="00E87D69" w:rsidRPr="00854355" w:rsidRDefault="00E87D69" w:rsidP="005A6CA2">
      <w:pPr>
        <w:pStyle w:val="Calloutbodytext"/>
      </w:pPr>
      <w:r>
        <w:t>John</w:t>
      </w:r>
      <w:r w:rsidRPr="00854355">
        <w:t xml:space="preserve"> has </w:t>
      </w:r>
      <w:r>
        <w:t>also</w:t>
      </w:r>
      <w:r w:rsidRPr="00854355">
        <w:t xml:space="preserve"> </w:t>
      </w:r>
      <w:r>
        <w:t>experienced</w:t>
      </w:r>
      <w:r w:rsidRPr="00854355">
        <w:t xml:space="preserve"> </w:t>
      </w:r>
      <w:r>
        <w:t>several</w:t>
      </w:r>
      <w:r w:rsidRPr="00854355">
        <w:t xml:space="preserve"> falls </w:t>
      </w:r>
      <w:r>
        <w:t>with</w:t>
      </w:r>
      <w:r w:rsidRPr="00854355">
        <w:t xml:space="preserve"> </w:t>
      </w:r>
      <w:r>
        <w:t>the</w:t>
      </w:r>
      <w:r w:rsidRPr="00854355">
        <w:t xml:space="preserve"> use of the mechanical knee unit, particularly in the initial stages while he was getting used to the new prosthesis</w:t>
      </w:r>
      <w:r>
        <w:t>, with two falls resulting in a short hospital stay</w:t>
      </w:r>
      <w:r w:rsidRPr="00854355">
        <w:t>. As a result</w:t>
      </w:r>
      <w:r>
        <w:t xml:space="preserve"> of the falls</w:t>
      </w:r>
      <w:r w:rsidRPr="00854355">
        <w:t xml:space="preserve">, </w:t>
      </w:r>
      <w:r>
        <w:t>John</w:t>
      </w:r>
      <w:r w:rsidRPr="00854355">
        <w:t xml:space="preserve"> </w:t>
      </w:r>
      <w:r>
        <w:t>has lost confidence in walking</w:t>
      </w:r>
      <w:r w:rsidRPr="00854355">
        <w:t xml:space="preserve"> and </w:t>
      </w:r>
      <w:r>
        <w:t>now uses a wheelchair</w:t>
      </w:r>
      <w:r w:rsidRPr="00854355">
        <w:t xml:space="preserve">. </w:t>
      </w:r>
    </w:p>
    <w:p w14:paraId="7C20FCE4" w14:textId="20AB51B8" w:rsidR="00E87D69" w:rsidRDefault="00E87D69" w:rsidP="005A6CA2">
      <w:pPr>
        <w:pStyle w:val="Calloutbodytext"/>
      </w:pPr>
      <w:r>
        <w:t>Due to his mobility challenges, he decided to bring forward his retirement and not return to work. John reflects that his quality of life has deteriorated significantly since his amputation and he has found it incredibly difficult to adjust to his new life and circumstances.</w:t>
      </w:r>
    </w:p>
    <w:p w14:paraId="1C31F3D3" w14:textId="2BBA91BD" w:rsidR="00B46458" w:rsidRDefault="00B46458" w:rsidP="005A6CA2">
      <w:pPr>
        <w:pStyle w:val="Calloutbodytext"/>
      </w:pPr>
      <w:r w:rsidRPr="00B46458">
        <w:drawing>
          <wp:inline distT="0" distB="0" distL="0" distR="0" wp14:anchorId="3C126395" wp14:editId="3DB4C50B">
            <wp:extent cx="6289675" cy="532765"/>
            <wp:effectExtent l="0" t="0" r="0" b="0"/>
            <wp:docPr id="1657253771"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253771" name="Picture 18">
                      <a:extLst>
                        <a:ext uri="{C183D7F6-B498-43B3-948B-1728B52AA6E4}">
                          <adec:decorative xmlns:adec="http://schemas.microsoft.com/office/drawing/2017/decorative" val="1"/>
                        </a:ext>
                      </a:extLst>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289675" cy="532765"/>
                    </a:xfrm>
                    <a:prstGeom prst="rect">
                      <a:avLst/>
                    </a:prstGeom>
                    <a:noFill/>
                    <a:ln>
                      <a:noFill/>
                    </a:ln>
                  </pic:spPr>
                </pic:pic>
              </a:graphicData>
            </a:graphic>
          </wp:inline>
        </w:drawing>
      </w:r>
    </w:p>
    <w:p w14:paraId="4E3C681B" w14:textId="77777777" w:rsidR="00E87D69" w:rsidRDefault="00E87D69" w:rsidP="005A6CA2">
      <w:pPr>
        <w:pStyle w:val="Calloutbodytext"/>
      </w:pPr>
      <w:r>
        <w:t xml:space="preserve">In contrast, Jenny is 63 years old. Like John, Jenny recently underwent an above-knee amputation due to cancer. Being under 65 years of age, Jenny is eligible to receive a limb prosthesis through the NDIS. </w:t>
      </w:r>
    </w:p>
    <w:p w14:paraId="7E72BA75" w14:textId="77777777" w:rsidR="00E87D69" w:rsidRDefault="00E87D69" w:rsidP="005A6CA2">
      <w:pPr>
        <w:pStyle w:val="Calloutbodytext"/>
      </w:pPr>
      <w:r>
        <w:t xml:space="preserve">Jenny tried a few prostheses and found that the microprocessor knee suits her and her lifestyle best. With the support of her orthotist and physiotherapist, the NDIS approved funding for her prosthesis as well as physiotherapy sessions that helped Jenny to rebuild her strength and adjust to mobilising with her new prosthetic. </w:t>
      </w:r>
    </w:p>
    <w:p w14:paraId="15F76077" w14:textId="126814DD" w:rsidR="00E87D69" w:rsidRDefault="00E87D69" w:rsidP="005A6CA2">
      <w:pPr>
        <w:pStyle w:val="Calloutbodytext"/>
      </w:pPr>
      <w:r>
        <w:t>Jenny has been able to adjust to her new life with a prosthesis and has not experienced any adverse events such as falls due to the stability offered by her prosthesis.</w:t>
      </w:r>
    </w:p>
    <w:p w14:paraId="70F07B66" w14:textId="32379700" w:rsidR="00CB5A41" w:rsidRPr="00E87D69" w:rsidRDefault="00CB5A41" w:rsidP="00E87D69">
      <w:pPr>
        <w:pStyle w:val="Caption-Source"/>
      </w:pPr>
      <w:r w:rsidRPr="00E87D69">
        <w:t xml:space="preserve">Source: </w:t>
      </w:r>
      <w:r w:rsidR="00B95EBA">
        <w:t>Independent reviewer</w:t>
      </w:r>
      <w:r w:rsidRPr="00E87D69">
        <w:t xml:space="preserve"> (2025) using information provided by stakeholders during consultation</w:t>
      </w:r>
    </w:p>
    <w:p w14:paraId="200FD8FA" w14:textId="77777777" w:rsidR="00CB5A41" w:rsidRPr="00C76D17" w:rsidRDefault="00CB5A41" w:rsidP="00C76D17">
      <w:pPr>
        <w:pStyle w:val="appendixh3nonumber"/>
      </w:pPr>
      <w:r w:rsidRPr="00C76D17">
        <w:t>Equity Issue 2C: Variability between jurisdictional limb schemes</w:t>
      </w:r>
    </w:p>
    <w:p w14:paraId="1B03A153" w14:textId="77777777" w:rsidR="00CB5A41" w:rsidRPr="00DF7929" w:rsidRDefault="00CB5A41" w:rsidP="00DF7929">
      <w:r w:rsidRPr="00DF7929">
        <w:t xml:space="preserve">As mentioned in Section 2, there are significant differences between jurisdictional limb schemes. These differences include funding provided per person, treatment approaches, prosthetic componentry and consumables provided. </w:t>
      </w:r>
    </w:p>
    <w:p w14:paraId="7550B0F6" w14:textId="77777777" w:rsidR="00CB5A41" w:rsidRPr="00DF7929" w:rsidRDefault="00CB5A41" w:rsidP="00DF7929">
      <w:r w:rsidRPr="00DF7929">
        <w:t xml:space="preserve">As highlighted under Equity Issue 2B, stakeholders reported that New South Wales are the only jurisdiction that currently offer access to advanced componentry, including microprocessor knees. This means that if John, from Case Study 2B, lived in New South Wales rather than Western Australia, he would have likely been able to access a limb with more advanced componentry, such as a microprocessor knee or energy restoring foot. The impact of being able to access a more advanced limb for John would likely be significant. According to stakeholders consulted as part of this review, microprocessor knees offer significant benefits for older individuals </w:t>
      </w:r>
      <w:proofErr w:type="gramStart"/>
      <w:r w:rsidRPr="00DF7929">
        <w:t>in particular due to</w:t>
      </w:r>
      <w:proofErr w:type="gramEnd"/>
      <w:r w:rsidRPr="00DF7929">
        <w:t xml:space="preserve"> the enhanced safety and stability offered. Stakeholders described this inequity as a further example of “postcode lottery”. </w:t>
      </w:r>
    </w:p>
    <w:p w14:paraId="0FEB5597" w14:textId="77777777" w:rsidR="00155C98" w:rsidRPr="000A5D5B" w:rsidRDefault="00155C98" w:rsidP="008239ED">
      <w:pPr>
        <w:pStyle w:val="AppendixHeading2"/>
      </w:pPr>
      <w:bookmarkStart w:id="384" w:name="_Toc207348796"/>
      <w:r w:rsidRPr="008E1A8D">
        <w:t>Additional access issues experienced by priority population groups</w:t>
      </w:r>
      <w:bookmarkEnd w:id="384"/>
    </w:p>
    <w:p w14:paraId="523F4E0F" w14:textId="77777777" w:rsidR="00155C98" w:rsidRPr="00DF7929" w:rsidRDefault="00155C98" w:rsidP="00DF7929">
      <w:pPr>
        <w:rPr>
          <w:highlight w:val="yellow"/>
        </w:rPr>
      </w:pPr>
      <w:r w:rsidRPr="00DF7929">
        <w:t>As identified in the Australian Cancer Plan, significant disparities in cancer outcomes exist between specific population groups in Australia. This section explores the additional equity issues identified for priority population groups, as defined by the Australian Cancer Plan, in relation to access to cancer prostheses. These issues include:</w:t>
      </w:r>
    </w:p>
    <w:p w14:paraId="61A264DF" w14:textId="77777777" w:rsidR="00155C98" w:rsidRPr="00994CBE" w:rsidRDefault="00155C98" w:rsidP="00025074">
      <w:pPr>
        <w:pStyle w:val="Bullet1stlevel"/>
      </w:pPr>
      <w:r w:rsidRPr="00994CBE">
        <w:t xml:space="preserve">3A: Limited services available in rural and remote areas </w:t>
      </w:r>
    </w:p>
    <w:p w14:paraId="2E04AD88" w14:textId="77777777" w:rsidR="00155C98" w:rsidRPr="00994CBE" w:rsidRDefault="00155C98" w:rsidP="00025074">
      <w:pPr>
        <w:pStyle w:val="Bullet1stlevel"/>
      </w:pPr>
      <w:r w:rsidRPr="00994CBE">
        <w:t>3B: Financial barriers for people in lower socioeconomic groups</w:t>
      </w:r>
    </w:p>
    <w:p w14:paraId="0482112D" w14:textId="77777777" w:rsidR="00155C98" w:rsidRPr="00994CBE" w:rsidRDefault="00155C98" w:rsidP="00025074">
      <w:pPr>
        <w:pStyle w:val="Bullet1stlevel"/>
      </w:pPr>
      <w:r w:rsidRPr="00994CBE">
        <w:t>3C: Additional financial burden for young people requiring facial prostheses</w:t>
      </w:r>
    </w:p>
    <w:p w14:paraId="0CD9ABDD" w14:textId="77777777" w:rsidR="00155C98" w:rsidRPr="00C76D17" w:rsidRDefault="00155C98" w:rsidP="00C76D17">
      <w:pPr>
        <w:pStyle w:val="appendixh3nonumber"/>
      </w:pPr>
      <w:r w:rsidRPr="00C76D17">
        <w:t>Equity Issue 3A: Limited services available in rural and remote areas</w:t>
      </w:r>
    </w:p>
    <w:p w14:paraId="15A2FFD3" w14:textId="77777777" w:rsidR="00155C98" w:rsidRPr="00DF7929" w:rsidRDefault="00155C98" w:rsidP="00DF7929">
      <w:r>
        <w:t xml:space="preserve">It was consistently identified by stakeholders that people living in rural and remote areas experience additional barriers to accessing prostheses services compared to those who live in metropolitan or regional areas. As outlined in Section 2, most prostheses services </w:t>
      </w:r>
      <w:proofErr w:type="gramStart"/>
      <w:r>
        <w:t>are located in</w:t>
      </w:r>
      <w:proofErr w:type="gramEnd"/>
      <w:r>
        <w:t xml:space="preserve"> metropolitan areas, with some availability, depending on prosthesis type, in regional areas. This is reportedly driven by a combination of factors, including the relatively small size of the prosthesis workforce, the highly specialised nature of prostheses services and the relatively small </w:t>
      </w:r>
      <w:r w:rsidRPr="00DF7929">
        <w:t xml:space="preserve">number of people who require prostheses services. </w:t>
      </w:r>
    </w:p>
    <w:p w14:paraId="293D0085" w14:textId="77777777" w:rsidR="00155C98" w:rsidRPr="00DF7929" w:rsidRDefault="00155C98" w:rsidP="00DF7929">
      <w:r w:rsidRPr="00DF7929">
        <w:t xml:space="preserve">While it was highlighted by stakeholders that establishing dedicated prostheses services in rural and remote areas would be impractical and cost prohibitive, there is currently limited evidence of the use of alternate models such as virtual care, outreach/mobile services or hub and spoke models to deliver prostheses care to people in rural and remote areas. For people living in rural and remote areas, the need to travel long distances to access prostheses services presents a significant financial and logistical barrier to access that is not experienced by people living in metropolitan or regional areas. While some jurisdictions offer partial reimbursement for travel costs related to medical care, these schemes often do not cover full travel costs. </w:t>
      </w:r>
    </w:p>
    <w:p w14:paraId="389EF9E1" w14:textId="0F441961" w:rsidR="000C5764" w:rsidRPr="00DF7929" w:rsidRDefault="00155C98" w:rsidP="00DF7929">
      <w:r w:rsidRPr="00DF7929">
        <w:t xml:space="preserve">The differences in equitable access due to the limited service availability in rural and remote areas is illustrated by Case Study 3A outlined over page. This case study has been developed based on stakeholder experiences shared during consultation activities conducted as part of this review. </w:t>
      </w:r>
      <w:r w:rsidR="000C5764" w:rsidRPr="00DF7929">
        <w:br w:type="page"/>
      </w:r>
    </w:p>
    <w:p w14:paraId="278A7ADC" w14:textId="06981262" w:rsidR="00B46458" w:rsidRDefault="00B46458" w:rsidP="00FD688B">
      <w:pPr>
        <w:pStyle w:val="Heading2Summaryofkeyfindings"/>
      </w:pPr>
      <w:r w:rsidRPr="00CF495E">
        <w:t xml:space="preserve">Case </w:t>
      </w:r>
      <w:r>
        <w:t>S</w:t>
      </w:r>
      <w:r w:rsidRPr="00CF495E">
        <w:t>tudy</w:t>
      </w:r>
      <w:r>
        <w:t xml:space="preserve"> 3A</w:t>
      </w:r>
      <w:r w:rsidRPr="00CF495E">
        <w:t xml:space="preserve">: </w:t>
      </w:r>
      <w:r>
        <w:t>Robert and Rebecca</w:t>
      </w:r>
    </w:p>
    <w:p w14:paraId="56BF2782" w14:textId="32C24D2D" w:rsidR="00E354D1" w:rsidRDefault="00E354D1" w:rsidP="005A6CA2">
      <w:pPr>
        <w:pStyle w:val="Calloutbodytext"/>
      </w:pPr>
      <w:r>
        <w:drawing>
          <wp:inline distT="0" distB="0" distL="0" distR="0" wp14:anchorId="187D9024" wp14:editId="4FCDCB89">
            <wp:extent cx="6291580" cy="548640"/>
            <wp:effectExtent l="0" t="0" r="0" b="0"/>
            <wp:docPr id="201333656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336569" name="Picture 20">
                      <a:extLst>
                        <a:ext uri="{C183D7F6-B498-43B3-948B-1728B52AA6E4}">
                          <adec:decorative xmlns:adec="http://schemas.microsoft.com/office/drawing/2017/decorative" val="1"/>
                        </a:ext>
                      </a:extLs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291580" cy="548640"/>
                    </a:xfrm>
                    <a:prstGeom prst="rect">
                      <a:avLst/>
                    </a:prstGeom>
                    <a:noFill/>
                  </pic:spPr>
                </pic:pic>
              </a:graphicData>
            </a:graphic>
          </wp:inline>
        </w:drawing>
      </w:r>
    </w:p>
    <w:p w14:paraId="4B99D679" w14:textId="77777777" w:rsidR="00BC4FBB" w:rsidRDefault="00BC4FBB" w:rsidP="005A6CA2">
      <w:pPr>
        <w:pStyle w:val="Calloutbodytext"/>
      </w:pPr>
      <w:r>
        <w:t>Robert</w:t>
      </w:r>
      <w:r w:rsidRPr="00875740">
        <w:t xml:space="preserve"> is 56 years old</w:t>
      </w:r>
      <w:r>
        <w:t xml:space="preserve">, </w:t>
      </w:r>
      <w:r w:rsidRPr="00875740">
        <w:t>lives in Brisbane</w:t>
      </w:r>
      <w:r>
        <w:t xml:space="preserve"> and owns a cafe</w:t>
      </w:r>
      <w:r w:rsidRPr="00875740">
        <w:t xml:space="preserve">. </w:t>
      </w:r>
      <w:r>
        <w:t>As outlined in Case Study 2A, Robert</w:t>
      </w:r>
      <w:r w:rsidRPr="00875740">
        <w:t xml:space="preserve"> </w:t>
      </w:r>
      <w:r>
        <w:t xml:space="preserve">recently </w:t>
      </w:r>
      <w:r w:rsidRPr="00875740">
        <w:t xml:space="preserve">underwent surgery for head and neck cancer </w:t>
      </w:r>
      <w:r>
        <w:t>that resulted in the removal of one of his ears.</w:t>
      </w:r>
    </w:p>
    <w:p w14:paraId="67C5CF4C" w14:textId="77777777" w:rsidR="00BC4FBB" w:rsidRDefault="00BC4FBB" w:rsidP="005A6CA2">
      <w:pPr>
        <w:pStyle w:val="Calloutbodytext"/>
      </w:pPr>
      <w:r>
        <w:t>Following his surgery, Robert</w:t>
      </w:r>
      <w:r w:rsidRPr="00875740">
        <w:t xml:space="preserve"> was referred to a publicly funded facial prosthesis service </w:t>
      </w:r>
      <w:r>
        <w:t>at the Royal Brisbane and Women’s Hospital</w:t>
      </w:r>
      <w:r w:rsidRPr="00875740">
        <w:t xml:space="preserve">. </w:t>
      </w:r>
      <w:r>
        <w:t>Robert</w:t>
      </w:r>
      <w:r w:rsidRPr="00875740">
        <w:t xml:space="preserve"> was </w:t>
      </w:r>
      <w:r>
        <w:t>placed</w:t>
      </w:r>
      <w:r w:rsidRPr="00875740">
        <w:t xml:space="preserve"> on a wait list</w:t>
      </w:r>
      <w:r>
        <w:t xml:space="preserve">, however after a </w:t>
      </w:r>
      <w:r w:rsidRPr="00875740">
        <w:t>6 month</w:t>
      </w:r>
      <w:r>
        <w:t xml:space="preserve"> wait,</w:t>
      </w:r>
      <w:r w:rsidRPr="00875740">
        <w:t xml:space="preserve"> </w:t>
      </w:r>
      <w:r>
        <w:t>r</w:t>
      </w:r>
      <w:r w:rsidRPr="00875740">
        <w:t>eceiv</w:t>
      </w:r>
      <w:r>
        <w:t>ed</w:t>
      </w:r>
      <w:r w:rsidRPr="00875740">
        <w:t xml:space="preserve"> a </w:t>
      </w:r>
      <w:r>
        <w:t xml:space="preserve">custom-made </w:t>
      </w:r>
      <w:r w:rsidRPr="00875740">
        <w:t>prosthe</w:t>
      </w:r>
      <w:r>
        <w:t>tic ear</w:t>
      </w:r>
      <w:r w:rsidRPr="00875740">
        <w:t xml:space="preserve"> at no personal cost. </w:t>
      </w:r>
    </w:p>
    <w:p w14:paraId="224852B6" w14:textId="7E28C01F" w:rsidR="00BC4FBB" w:rsidRDefault="00BC4FBB" w:rsidP="005A6CA2">
      <w:pPr>
        <w:pStyle w:val="Calloutbodytext"/>
      </w:pPr>
      <w:r>
        <w:t>After receiving his prosthesis, Robert soon</w:t>
      </w:r>
      <w:r w:rsidRPr="00875740">
        <w:t xml:space="preserve"> return</w:t>
      </w:r>
      <w:r>
        <w:t>ed</w:t>
      </w:r>
      <w:r w:rsidRPr="00875740">
        <w:t xml:space="preserve"> to </w:t>
      </w:r>
      <w:r>
        <w:t>serving his regular customers at the cafe with a renewed sense of confidence. His prosthesis will require replacing in approximately three years, at which time he will return to the Royal Brisbane and Women’s Hospital where he will receive a replacement prosthesis at no cost</w:t>
      </w:r>
      <w:r w:rsidR="00E354D1">
        <w:t>.</w:t>
      </w:r>
    </w:p>
    <w:p w14:paraId="71C1A39D" w14:textId="3563A81E" w:rsidR="00E354D1" w:rsidRDefault="00E354D1" w:rsidP="005A6CA2">
      <w:pPr>
        <w:pStyle w:val="Calloutbodytext"/>
      </w:pPr>
      <w:r>
        <w:drawing>
          <wp:inline distT="0" distB="0" distL="0" distR="0" wp14:anchorId="45D94683" wp14:editId="25063477">
            <wp:extent cx="6291580" cy="536575"/>
            <wp:effectExtent l="0" t="0" r="0" b="0"/>
            <wp:docPr id="1936068361"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068361" name="Picture 19">
                      <a:extLst>
                        <a:ext uri="{C183D7F6-B498-43B3-948B-1728B52AA6E4}">
                          <adec:decorative xmlns:adec="http://schemas.microsoft.com/office/drawing/2017/decorative" val="1"/>
                        </a:ext>
                      </a:extLst>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291580" cy="536575"/>
                    </a:xfrm>
                    <a:prstGeom prst="rect">
                      <a:avLst/>
                    </a:prstGeom>
                    <a:noFill/>
                  </pic:spPr>
                </pic:pic>
              </a:graphicData>
            </a:graphic>
          </wp:inline>
        </w:drawing>
      </w:r>
    </w:p>
    <w:p w14:paraId="51A33D0D" w14:textId="77777777" w:rsidR="00BC4FBB" w:rsidRDefault="00BC4FBB" w:rsidP="005A6CA2">
      <w:pPr>
        <w:pStyle w:val="Calloutbodytext"/>
      </w:pPr>
      <w:r>
        <w:t>Rebecca</w:t>
      </w:r>
      <w:r w:rsidRPr="00875740">
        <w:t xml:space="preserve"> is </w:t>
      </w:r>
      <w:r>
        <w:t>4</w:t>
      </w:r>
      <w:r w:rsidRPr="00875740">
        <w:t>6 years old</w:t>
      </w:r>
      <w:r>
        <w:t xml:space="preserve"> and </w:t>
      </w:r>
      <w:r w:rsidRPr="00875740">
        <w:t>lives in</w:t>
      </w:r>
      <w:r>
        <w:t xml:space="preserve"> Mount Isa in Queensland</w:t>
      </w:r>
      <w:r w:rsidRPr="00875740">
        <w:t xml:space="preserve">. </w:t>
      </w:r>
      <w:r>
        <w:t>Like Robert,</w:t>
      </w:r>
      <w:r w:rsidRPr="00875740">
        <w:t xml:space="preserve"> </w:t>
      </w:r>
      <w:r>
        <w:t>Rebecca</w:t>
      </w:r>
      <w:r w:rsidRPr="00875740">
        <w:t xml:space="preserve"> </w:t>
      </w:r>
      <w:r>
        <w:t xml:space="preserve">recently </w:t>
      </w:r>
      <w:r w:rsidRPr="00875740">
        <w:t xml:space="preserve">underwent surgery for head and neck cancer </w:t>
      </w:r>
      <w:r>
        <w:t>that resulted in the removal of one of her ears.</w:t>
      </w:r>
    </w:p>
    <w:p w14:paraId="7E6A07EA" w14:textId="77777777" w:rsidR="00BC4FBB" w:rsidRDefault="00BC4FBB" w:rsidP="005A6CA2">
      <w:pPr>
        <w:pStyle w:val="Calloutbodytext"/>
      </w:pPr>
      <w:r>
        <w:t>Following surgery, Rebecca</w:t>
      </w:r>
      <w:r w:rsidRPr="00875740">
        <w:t xml:space="preserve"> was </w:t>
      </w:r>
      <w:r>
        <w:t xml:space="preserve">informed that the only </w:t>
      </w:r>
      <w:r w:rsidRPr="00875740">
        <w:t xml:space="preserve">publicly funded facial prosthesis service </w:t>
      </w:r>
      <w:r>
        <w:t>in Queensland was located in Brisbane</w:t>
      </w:r>
      <w:r w:rsidRPr="00875740">
        <w:t xml:space="preserve">. </w:t>
      </w:r>
      <w:r>
        <w:t xml:space="preserve">While concerned about her appearance following surgery, Rebecca had already spent </w:t>
      </w:r>
      <w:r w:rsidRPr="008547EA">
        <w:t>long</w:t>
      </w:r>
      <w:r>
        <w:t xml:space="preserve"> periods of time away from home as part of her cancer care. The prospect, and potential costs involved, of having to make additional trips to Brisbane to access prosthetic care leads Rebecca to decide against accessing a prosthesis. </w:t>
      </w:r>
    </w:p>
    <w:p w14:paraId="6607BB24" w14:textId="44BEA74D" w:rsidR="00BC4FBB" w:rsidRDefault="00BC4FBB" w:rsidP="005A6CA2">
      <w:pPr>
        <w:pStyle w:val="Calloutbodytext"/>
      </w:pPr>
      <w:r w:rsidRPr="00907BF8">
        <w:t xml:space="preserve">Two years on from </w:t>
      </w:r>
      <w:r>
        <w:t>her</w:t>
      </w:r>
      <w:r w:rsidRPr="00907BF8">
        <w:t xml:space="preserve"> surgery</w:t>
      </w:r>
      <w:r>
        <w:t xml:space="preserve">, Rebecca </w:t>
      </w:r>
      <w:r w:rsidRPr="00783E7D">
        <w:t>is still living without a prosthesis</w:t>
      </w:r>
      <w:r>
        <w:t>. S</w:t>
      </w:r>
      <w:r w:rsidRPr="00783E7D">
        <w:t xml:space="preserve">he has withdrawn from </w:t>
      </w:r>
      <w:r>
        <w:t>her community</w:t>
      </w:r>
      <w:r w:rsidRPr="00783E7D">
        <w:t xml:space="preserve"> due to embarrassment about </w:t>
      </w:r>
      <w:r>
        <w:t>her</w:t>
      </w:r>
      <w:r w:rsidRPr="00783E7D">
        <w:t xml:space="preserve"> appearance and </w:t>
      </w:r>
      <w:r>
        <w:t xml:space="preserve">is experiencing significant mental health challenges as a result.  </w:t>
      </w:r>
    </w:p>
    <w:p w14:paraId="116F8C31" w14:textId="777D805D" w:rsidR="00155C98" w:rsidRPr="00BC4FBB" w:rsidRDefault="00155C98" w:rsidP="00BC4FBB">
      <w:pPr>
        <w:pStyle w:val="Caption-Source"/>
      </w:pPr>
      <w:r w:rsidRPr="00BC4FBB">
        <w:t xml:space="preserve">Source: </w:t>
      </w:r>
      <w:r w:rsidR="00100D32">
        <w:t>Independent reviewer</w:t>
      </w:r>
      <w:r w:rsidRPr="00BC4FBB">
        <w:t xml:space="preserve"> (2025) using information provided by stakeholders during consultation</w:t>
      </w:r>
    </w:p>
    <w:p w14:paraId="7F61FA3B" w14:textId="77777777" w:rsidR="00155C98" w:rsidRPr="00C76D17" w:rsidRDefault="00155C98" w:rsidP="00C76D17">
      <w:pPr>
        <w:pStyle w:val="appendixh3nonumber"/>
      </w:pPr>
      <w:r w:rsidRPr="00C76D17">
        <w:t>Equity Issue 3B: Significant financial barriers exist for people in lower socioeconomic groups</w:t>
      </w:r>
    </w:p>
    <w:p w14:paraId="6CC99FBE" w14:textId="77777777" w:rsidR="00155C98" w:rsidRPr="00DF7929" w:rsidRDefault="00155C98" w:rsidP="00DF7929">
      <w:r w:rsidRPr="00DF7929">
        <w:t xml:space="preserve">In jurisdictions where there are no publicly funded facial prostheses services available, people in lower socioeconomic groups face significant financial barriers to access. The costs involved in accessing private prostheses services can be substantial, with the cost of an ear, nose or hemi-facial prosthetic reported to range from $2,000 to $10,000. In addition to this initial cost, facial prostheses are typically made of silicone and do not last more than two to three years, leading to recurring expenses to continually replace the prosthesis every few years for the remainder of the person’s life. </w:t>
      </w:r>
    </w:p>
    <w:p w14:paraId="0E023509" w14:textId="77777777" w:rsidR="00155C98" w:rsidRPr="00DF7929" w:rsidRDefault="00155C98" w:rsidP="00DF7929">
      <w:r>
        <w:t xml:space="preserve">These barriers are not unique to facial prostheses. People from lower socioeconomic groups were also identified to experience barriers in accessing external breast prostheses under the EBPRP. Due to the program’s reimbursement model, an upfront payment of at least $400 must be made to access a prosthesis. While this payment will be reimbursed approximately two weeks later, it was reported by stakeholders that the upfront </w:t>
      </w:r>
      <w:r w:rsidRPr="00DF7929">
        <w:t xml:space="preserve">payment can present a significant barrier to access for those in lower socioeconomic groups. </w:t>
      </w:r>
    </w:p>
    <w:p w14:paraId="3B861E5C" w14:textId="13ACCB80" w:rsidR="00213E2C" w:rsidRPr="00DF7929" w:rsidRDefault="00155C98" w:rsidP="00DF7929">
      <w:r w:rsidRPr="00DF7929">
        <w:t xml:space="preserve">These financial barriers to accessing prostheses are illustrated by Steve’s experience outlined Case Study 1A and Bianca’s experience described in Case Study 1B. </w:t>
      </w:r>
      <w:r w:rsidR="00213E2C" w:rsidRPr="00DF7929">
        <w:br w:type="page"/>
      </w:r>
    </w:p>
    <w:p w14:paraId="32EDD2C8" w14:textId="4C037401" w:rsidR="00155C98" w:rsidRPr="00C76D17" w:rsidRDefault="00155C98" w:rsidP="00C76D17">
      <w:pPr>
        <w:pStyle w:val="appendixh3nonumber"/>
      </w:pPr>
      <w:r w:rsidRPr="00C76D17">
        <w:t>Equity Issue 3C: Additional financial burden for young people requiring facial prostheses</w:t>
      </w:r>
    </w:p>
    <w:p w14:paraId="68BC0F28" w14:textId="77777777" w:rsidR="00155C98" w:rsidRPr="00DF7929" w:rsidRDefault="00155C98" w:rsidP="00DF7929">
      <w:r w:rsidRPr="00DF7929">
        <w:t xml:space="preserve">Further to the financial barriers outlined under Equity Issue 3B, there is an additional financial burden for young people who require facial prostheses where there are no publicly funded services available. Stakeholders highlighted that children up to the age of six may require a new prosthesis every couple of months as they grow. After the age of six and until fully grown, a new prosthesis is typically required every year. The increased need for replacement prostheses presents an additional financial burden and barrier to access than what would be experienced by adults living in the same jurisdiction. </w:t>
      </w:r>
    </w:p>
    <w:p w14:paraId="119E5CD5" w14:textId="77777777" w:rsidR="00155C98" w:rsidRPr="00DF7929" w:rsidRDefault="00155C98" w:rsidP="00DF7929">
      <w:r w:rsidRPr="00DF7929">
        <w:t xml:space="preserve">Additionally, in some jurisdictions it was reported by stakeholders that facial prostheses services may be provided at no cost under publicly funded paediatric services. However, once a person ages out of paediatric services, these services are no longer available. </w:t>
      </w:r>
    </w:p>
    <w:p w14:paraId="6BF8E89F" w14:textId="77777777" w:rsidR="00025074" w:rsidRPr="00C86790" w:rsidRDefault="00025074" w:rsidP="00E276F1">
      <w:pPr>
        <w:pStyle w:val="Bodytext-quote2"/>
      </w:pPr>
      <w:r w:rsidRPr="00C86790">
        <w:t>"</w:t>
      </w:r>
      <w:r w:rsidRPr="00165FD7">
        <w:t>I lost half my face at 8</w:t>
      </w:r>
      <w:r>
        <w:t xml:space="preserve"> yea</w:t>
      </w:r>
      <w:r w:rsidRPr="00165FD7">
        <w:t>rs of ag</w:t>
      </w:r>
      <w:r>
        <w:t xml:space="preserve">e – my </w:t>
      </w:r>
      <w:r w:rsidRPr="00165FD7">
        <w:t>prosthetics</w:t>
      </w:r>
      <w:r>
        <w:t xml:space="preserve"> were</w:t>
      </w:r>
      <w:r w:rsidRPr="00165FD7">
        <w:t xml:space="preserve"> covered as I was a chil</w:t>
      </w:r>
      <w:r>
        <w:t xml:space="preserve">d. </w:t>
      </w:r>
      <w:r w:rsidRPr="00165FD7">
        <w:t>I became an adult and whoosh all services disappeared. My private health told me it was cosmetic</w:t>
      </w:r>
      <w:r>
        <w:t xml:space="preserve"> and </w:t>
      </w:r>
      <w:r w:rsidRPr="00165FD7">
        <w:t>I was told I wasn’t deformed enough to get NDIS</w:t>
      </w:r>
      <w:r>
        <w:t xml:space="preserve">. </w:t>
      </w:r>
      <w:r w:rsidRPr="00165FD7">
        <w:t xml:space="preserve">I had the same prosthesis that I paid for when I was 24 </w:t>
      </w:r>
      <w:r>
        <w:t>un</w:t>
      </w:r>
      <w:r w:rsidRPr="00165FD7">
        <w:t>til I turned 50</w:t>
      </w:r>
      <w:r>
        <w:t xml:space="preserve"> – </w:t>
      </w:r>
      <w:r w:rsidRPr="00165FD7">
        <w:t>the</w:t>
      </w:r>
      <w:r>
        <w:t xml:space="preserve"> </w:t>
      </w:r>
      <w:r w:rsidRPr="00165FD7">
        <w:t xml:space="preserve">same pair of glasses for </w:t>
      </w:r>
      <w:r>
        <w:t>26</w:t>
      </w:r>
      <w:r w:rsidRPr="00165FD7">
        <w:t xml:space="preserve"> years because nobody could detach and reapply</w:t>
      </w:r>
      <w:r>
        <w:t xml:space="preserve"> the</w:t>
      </w:r>
      <w:r w:rsidRPr="00165FD7">
        <w:t xml:space="preserve"> prosthetic to spectacles.</w:t>
      </w:r>
    </w:p>
    <w:p w14:paraId="520CC246" w14:textId="6EDA01EF" w:rsidR="00155C98" w:rsidRDefault="00025074" w:rsidP="00E276F1">
      <w:pPr>
        <w:pStyle w:val="Bodytext-quote2"/>
        <w:sectPr w:rsidR="00155C98" w:rsidSect="00356593">
          <w:pgSz w:w="11906" w:h="16838"/>
          <w:pgMar w:top="1418" w:right="851" w:bottom="1418" w:left="851" w:header="567" w:footer="284" w:gutter="0"/>
          <w:cols w:space="708"/>
          <w:docGrid w:linePitch="360"/>
        </w:sectPr>
      </w:pPr>
      <w:r w:rsidRPr="00E276F1">
        <w:rPr>
          <w:rStyle w:val="Bodytextquote2strongChar"/>
        </w:rPr>
        <w:t>- Person with lived experience of cancer</w:t>
      </w:r>
    </w:p>
    <w:p w14:paraId="57886349" w14:textId="7A6A1913" w:rsidR="00945726" w:rsidRDefault="00511C43" w:rsidP="007B209A">
      <w:pPr>
        <w:pStyle w:val="Appendixheading"/>
      </w:pPr>
      <w:bookmarkStart w:id="385" w:name="_Ref204248929"/>
      <w:bookmarkStart w:id="386" w:name="_Ref204251774"/>
      <w:bookmarkStart w:id="387" w:name="_Ref204267980"/>
      <w:bookmarkStart w:id="388" w:name="_Ref204269299"/>
      <w:bookmarkStart w:id="389" w:name="_Ref204269319"/>
      <w:bookmarkStart w:id="390" w:name="_Toc207348797"/>
      <w:r>
        <w:t>:</w:t>
      </w:r>
      <w:r w:rsidR="00945726">
        <w:t xml:space="preserve"> Cost model inputs</w:t>
      </w:r>
      <w:bookmarkEnd w:id="380"/>
      <w:bookmarkEnd w:id="385"/>
      <w:bookmarkEnd w:id="386"/>
      <w:bookmarkEnd w:id="387"/>
      <w:bookmarkEnd w:id="388"/>
      <w:bookmarkEnd w:id="389"/>
      <w:bookmarkEnd w:id="390"/>
    </w:p>
    <w:p w14:paraId="0BA4C218" w14:textId="58E2B594" w:rsidR="004A17F1" w:rsidRPr="004A17F1" w:rsidRDefault="006278BC" w:rsidP="006278BC">
      <w:pPr>
        <w:pStyle w:val="Caption"/>
      </w:pPr>
      <w:bookmarkStart w:id="391" w:name="_Toc207348701"/>
      <w:r>
        <w:t xml:space="preserve">Table </w:t>
      </w:r>
      <w:r w:rsidR="00E6799D">
        <w:fldChar w:fldCharType="begin"/>
      </w:r>
      <w:r w:rsidR="00E6799D">
        <w:instrText xml:space="preserve"> SEQ Table \* ARABIC </w:instrText>
      </w:r>
      <w:r w:rsidR="00E6799D">
        <w:fldChar w:fldCharType="separate"/>
      </w:r>
      <w:r w:rsidR="00E6799D">
        <w:rPr>
          <w:noProof/>
        </w:rPr>
        <w:t>136</w:t>
      </w:r>
      <w:r w:rsidR="00E6799D">
        <w:rPr>
          <w:noProof/>
        </w:rPr>
        <w:fldChar w:fldCharType="end"/>
      </w:r>
      <w:r>
        <w:t xml:space="preserve">: Cost model </w:t>
      </w:r>
      <w:r w:rsidR="00D27D16">
        <w:t xml:space="preserve">CPI and discount rate </w:t>
      </w:r>
      <w:r>
        <w:t>inputs</w:t>
      </w:r>
      <w:bookmarkEnd w:id="391"/>
    </w:p>
    <w:tbl>
      <w:tblPr>
        <w:tblStyle w:val="KPMGTable"/>
        <w:tblW w:w="0" w:type="auto"/>
        <w:tblLook w:val="04A0" w:firstRow="1" w:lastRow="0" w:firstColumn="1" w:lastColumn="0" w:noHBand="0" w:noVBand="1"/>
      </w:tblPr>
      <w:tblGrid>
        <w:gridCol w:w="3539"/>
        <w:gridCol w:w="1276"/>
        <w:gridCol w:w="5379"/>
      </w:tblGrid>
      <w:tr w:rsidR="003202A8" w14:paraId="1ADD4008" w14:textId="77777777" w:rsidTr="00D27D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3F88BF4A" w14:textId="5FCF7132" w:rsidR="004A17F1" w:rsidRPr="00FB6194" w:rsidRDefault="00CC1CA1" w:rsidP="00D27D16">
            <w:pPr>
              <w:pStyle w:val="TableHeading"/>
            </w:pPr>
            <w:r w:rsidRPr="00FB6194">
              <w:t>Item</w:t>
            </w:r>
          </w:p>
        </w:tc>
        <w:tc>
          <w:tcPr>
            <w:tcW w:w="1276" w:type="dxa"/>
          </w:tcPr>
          <w:p w14:paraId="7C1F5285" w14:textId="7E05F73C" w:rsidR="004A17F1" w:rsidRPr="00FB6194" w:rsidRDefault="00CC1CA1" w:rsidP="00D27D16">
            <w:pPr>
              <w:pStyle w:val="TableHeading"/>
              <w:cnfStyle w:val="100000000000" w:firstRow="1" w:lastRow="0" w:firstColumn="0" w:lastColumn="0" w:oddVBand="0" w:evenVBand="0" w:oddHBand="0" w:evenHBand="0" w:firstRowFirstColumn="0" w:firstRowLastColumn="0" w:lastRowFirstColumn="0" w:lastRowLastColumn="0"/>
            </w:pPr>
            <w:r w:rsidRPr="00FB6194">
              <w:t>Value</w:t>
            </w:r>
          </w:p>
        </w:tc>
        <w:tc>
          <w:tcPr>
            <w:tcW w:w="5379" w:type="dxa"/>
          </w:tcPr>
          <w:p w14:paraId="58ADB3F2" w14:textId="02F4961A" w:rsidR="004A17F1" w:rsidRPr="00FB6194" w:rsidRDefault="00CC1CA1" w:rsidP="00D27D16">
            <w:pPr>
              <w:pStyle w:val="TableHeading"/>
              <w:cnfStyle w:val="100000000000" w:firstRow="1" w:lastRow="0" w:firstColumn="0" w:lastColumn="0" w:oddVBand="0" w:evenVBand="0" w:oddHBand="0" w:evenHBand="0" w:firstRowFirstColumn="0" w:firstRowLastColumn="0" w:lastRowFirstColumn="0" w:lastRowLastColumn="0"/>
            </w:pPr>
            <w:r w:rsidRPr="00FB6194">
              <w:t>Source</w:t>
            </w:r>
          </w:p>
        </w:tc>
      </w:tr>
      <w:tr w:rsidR="004A17F1" w14:paraId="05FB3195" w14:textId="77777777" w:rsidTr="00D27D16">
        <w:tc>
          <w:tcPr>
            <w:cnfStyle w:val="001000000000" w:firstRow="0" w:lastRow="0" w:firstColumn="1" w:lastColumn="0" w:oddVBand="0" w:evenVBand="0" w:oddHBand="0" w:evenHBand="0" w:firstRowFirstColumn="0" w:firstRowLastColumn="0" w:lastRowFirstColumn="0" w:lastRowLastColumn="0"/>
            <w:tcW w:w="3539" w:type="dxa"/>
          </w:tcPr>
          <w:p w14:paraId="34EE22B6" w14:textId="6ECFE9E1" w:rsidR="004A17F1" w:rsidRPr="00F57580" w:rsidRDefault="00CC1CA1" w:rsidP="00D27D16">
            <w:pPr>
              <w:pStyle w:val="TableText"/>
            </w:pPr>
            <w:r w:rsidRPr="00F57580">
              <w:t>Healthcare CPI</w:t>
            </w:r>
          </w:p>
        </w:tc>
        <w:tc>
          <w:tcPr>
            <w:tcW w:w="1276" w:type="dxa"/>
          </w:tcPr>
          <w:p w14:paraId="2EB6759D" w14:textId="4D49140F" w:rsidR="004A17F1" w:rsidRPr="00F57580" w:rsidRDefault="00CC1CA1" w:rsidP="00D27D16">
            <w:pPr>
              <w:pStyle w:val="TableText"/>
              <w:cnfStyle w:val="000000000000" w:firstRow="0" w:lastRow="0" w:firstColumn="0" w:lastColumn="0" w:oddVBand="0" w:evenVBand="0" w:oddHBand="0" w:evenHBand="0" w:firstRowFirstColumn="0" w:firstRowLastColumn="0" w:lastRowFirstColumn="0" w:lastRowLastColumn="0"/>
            </w:pPr>
            <w:r w:rsidRPr="00F57580">
              <w:t>4.1%</w:t>
            </w:r>
          </w:p>
        </w:tc>
        <w:tc>
          <w:tcPr>
            <w:tcW w:w="5379" w:type="dxa"/>
          </w:tcPr>
          <w:p w14:paraId="28CAC52E" w14:textId="03DD001C" w:rsidR="004A17F1" w:rsidRPr="00F57580" w:rsidRDefault="00FE361E" w:rsidP="00D27D16">
            <w:pPr>
              <w:pStyle w:val="TableText"/>
              <w:cnfStyle w:val="000000000000" w:firstRow="0" w:lastRow="0" w:firstColumn="0" w:lastColumn="0" w:oddVBand="0" w:evenVBand="0" w:oddHBand="0" w:evenHBand="0" w:firstRowFirstColumn="0" w:firstRowLastColumn="0" w:lastRowFirstColumn="0" w:lastRowLastColumn="0"/>
            </w:pPr>
            <w:r w:rsidRPr="00F57580">
              <w:t>Consumer Price Index, Australian Bureau of Statistics</w:t>
            </w:r>
          </w:p>
        </w:tc>
      </w:tr>
      <w:tr w:rsidR="004A17F1" w14:paraId="34517837" w14:textId="77777777" w:rsidTr="00D27D16">
        <w:tc>
          <w:tcPr>
            <w:cnfStyle w:val="001000000000" w:firstRow="0" w:lastRow="0" w:firstColumn="1" w:lastColumn="0" w:oddVBand="0" w:evenVBand="0" w:oddHBand="0" w:evenHBand="0" w:firstRowFirstColumn="0" w:firstRowLastColumn="0" w:lastRowFirstColumn="0" w:lastRowLastColumn="0"/>
            <w:tcW w:w="3539" w:type="dxa"/>
          </w:tcPr>
          <w:p w14:paraId="10A9D9A1" w14:textId="24823B8D" w:rsidR="004A17F1" w:rsidRPr="00F57580" w:rsidRDefault="00FE361E" w:rsidP="00D27D16">
            <w:pPr>
              <w:pStyle w:val="TableText"/>
            </w:pPr>
            <w:r w:rsidRPr="00F57580">
              <w:t>Discount Rate</w:t>
            </w:r>
          </w:p>
        </w:tc>
        <w:tc>
          <w:tcPr>
            <w:tcW w:w="1276" w:type="dxa"/>
          </w:tcPr>
          <w:p w14:paraId="5F0EA750" w14:textId="02FC2459" w:rsidR="004A17F1" w:rsidRPr="00F57580" w:rsidRDefault="00FE361E" w:rsidP="00D27D16">
            <w:pPr>
              <w:pStyle w:val="TableText"/>
              <w:cnfStyle w:val="000000000000" w:firstRow="0" w:lastRow="0" w:firstColumn="0" w:lastColumn="0" w:oddVBand="0" w:evenVBand="0" w:oddHBand="0" w:evenHBand="0" w:firstRowFirstColumn="0" w:firstRowLastColumn="0" w:lastRowFirstColumn="0" w:lastRowLastColumn="0"/>
            </w:pPr>
            <w:r w:rsidRPr="00F57580">
              <w:t>5.0%</w:t>
            </w:r>
          </w:p>
        </w:tc>
        <w:tc>
          <w:tcPr>
            <w:tcW w:w="5379" w:type="dxa"/>
          </w:tcPr>
          <w:p w14:paraId="5035A03F" w14:textId="1D1C5751" w:rsidR="004A17F1" w:rsidRPr="00F57580" w:rsidRDefault="00BD5387" w:rsidP="00D27D16">
            <w:pPr>
              <w:pStyle w:val="TableText"/>
              <w:cnfStyle w:val="000000000000" w:firstRow="0" w:lastRow="0" w:firstColumn="0" w:lastColumn="0" w:oddVBand="0" w:evenVBand="0" w:oddHBand="0" w:evenHBand="0" w:firstRowFirstColumn="0" w:firstRowLastColumn="0" w:lastRowFirstColumn="0" w:lastRowLastColumn="0"/>
            </w:pPr>
            <w:r>
              <w:t>Pharmaceutical Benefits Advisory Committee (PBAC) Guidelines</w:t>
            </w:r>
          </w:p>
        </w:tc>
      </w:tr>
    </w:tbl>
    <w:p w14:paraId="64A4638D" w14:textId="494D13C3" w:rsidR="00D27D16" w:rsidRDefault="00D27D16" w:rsidP="00D27D16">
      <w:pPr>
        <w:pStyle w:val="Caption-Source"/>
      </w:pPr>
      <w:r w:rsidRPr="00B56150">
        <w:t>Source:</w:t>
      </w:r>
      <w:r>
        <w:t xml:space="preserve"> </w:t>
      </w:r>
      <w:r w:rsidR="00100D32">
        <w:t>Independent reviewer</w:t>
      </w:r>
      <w:r w:rsidR="00100D32" w:rsidRPr="00CD3106">
        <w:t xml:space="preserve"> </w:t>
      </w:r>
      <w:r>
        <w:t>(2025)</w:t>
      </w:r>
    </w:p>
    <w:p w14:paraId="2E203088" w14:textId="6CA8CC24" w:rsidR="0033561C" w:rsidRDefault="0033561C" w:rsidP="0033561C">
      <w:pPr>
        <w:pStyle w:val="Caption"/>
      </w:pPr>
      <w:bookmarkStart w:id="392" w:name="_Toc207348702"/>
      <w:r>
        <w:t xml:space="preserve">Table </w:t>
      </w:r>
      <w:r>
        <w:fldChar w:fldCharType="begin"/>
      </w:r>
      <w:r>
        <w:instrText xml:space="preserve"> SEQ Table \* ARABIC </w:instrText>
      </w:r>
      <w:r>
        <w:fldChar w:fldCharType="separate"/>
      </w:r>
      <w:r>
        <w:rPr>
          <w:noProof/>
        </w:rPr>
        <w:t>137</w:t>
      </w:r>
      <w:r>
        <w:rPr>
          <w:noProof/>
        </w:rPr>
        <w:fldChar w:fldCharType="end"/>
      </w:r>
      <w:r>
        <w:t xml:space="preserve">: </w:t>
      </w:r>
      <w:r w:rsidRPr="00BA797A">
        <w:t>Cost model inputs</w:t>
      </w:r>
      <w:r>
        <w:t xml:space="preserve"> for head and neck cancer</w:t>
      </w:r>
      <w:bookmarkEnd w:id="392"/>
    </w:p>
    <w:tbl>
      <w:tblPr>
        <w:tblStyle w:val="KPMGTable"/>
        <w:tblW w:w="0" w:type="auto"/>
        <w:tblLook w:val="04A0" w:firstRow="1" w:lastRow="0" w:firstColumn="1" w:lastColumn="0" w:noHBand="0" w:noVBand="1"/>
      </w:tblPr>
      <w:tblGrid>
        <w:gridCol w:w="3539"/>
        <w:gridCol w:w="1276"/>
        <w:gridCol w:w="5379"/>
      </w:tblGrid>
      <w:tr w:rsidR="00280BDF" w14:paraId="4D25FD13" w14:textId="77777777" w:rsidTr="003356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5D8C9537" w14:textId="7F0301F0" w:rsidR="0033561C" w:rsidRDefault="0033561C" w:rsidP="0033561C">
            <w:pPr>
              <w:pStyle w:val="TableHeading"/>
              <w:rPr>
                <w:szCs w:val="20"/>
              </w:rPr>
            </w:pPr>
            <w:r w:rsidRPr="00FB6194">
              <w:t>Item</w:t>
            </w:r>
          </w:p>
        </w:tc>
        <w:tc>
          <w:tcPr>
            <w:tcW w:w="1276" w:type="dxa"/>
          </w:tcPr>
          <w:p w14:paraId="75454C86" w14:textId="316E3F90" w:rsidR="0033561C" w:rsidRDefault="0033561C" w:rsidP="0033561C">
            <w:pPr>
              <w:pStyle w:val="TableHeading"/>
              <w:cnfStyle w:val="100000000000" w:firstRow="1" w:lastRow="0" w:firstColumn="0" w:lastColumn="0" w:oddVBand="0" w:evenVBand="0" w:oddHBand="0" w:evenHBand="0" w:firstRowFirstColumn="0" w:firstRowLastColumn="0" w:lastRowFirstColumn="0" w:lastRowLastColumn="0"/>
              <w:rPr>
                <w:szCs w:val="20"/>
              </w:rPr>
            </w:pPr>
            <w:r w:rsidRPr="00FB6194">
              <w:t>Value</w:t>
            </w:r>
          </w:p>
        </w:tc>
        <w:tc>
          <w:tcPr>
            <w:tcW w:w="5379" w:type="dxa"/>
          </w:tcPr>
          <w:p w14:paraId="7E959FF2" w14:textId="6D893606" w:rsidR="0033561C" w:rsidRDefault="0033561C" w:rsidP="0033561C">
            <w:pPr>
              <w:pStyle w:val="TableHeading"/>
              <w:cnfStyle w:val="100000000000" w:firstRow="1" w:lastRow="0" w:firstColumn="0" w:lastColumn="0" w:oddVBand="0" w:evenVBand="0" w:oddHBand="0" w:evenHBand="0" w:firstRowFirstColumn="0" w:firstRowLastColumn="0" w:lastRowFirstColumn="0" w:lastRowLastColumn="0"/>
              <w:rPr>
                <w:szCs w:val="20"/>
              </w:rPr>
            </w:pPr>
            <w:r w:rsidRPr="00FB6194">
              <w:t>Source</w:t>
            </w:r>
          </w:p>
        </w:tc>
      </w:tr>
      <w:tr w:rsidR="00135CA5" w14:paraId="687E9069" w14:textId="77777777" w:rsidTr="0033561C">
        <w:tc>
          <w:tcPr>
            <w:cnfStyle w:val="001000000000" w:firstRow="0" w:lastRow="0" w:firstColumn="1" w:lastColumn="0" w:oddVBand="0" w:evenVBand="0" w:oddHBand="0" w:evenHBand="0" w:firstRowFirstColumn="0" w:firstRowLastColumn="0" w:lastRowFirstColumn="0" w:lastRowLastColumn="0"/>
            <w:tcW w:w="3539" w:type="dxa"/>
          </w:tcPr>
          <w:p w14:paraId="30ECB745" w14:textId="34019F19" w:rsidR="00135CA5" w:rsidRPr="0033561C" w:rsidRDefault="00115823" w:rsidP="0033561C">
            <w:pPr>
              <w:pStyle w:val="TableText"/>
            </w:pPr>
            <w:r w:rsidRPr="0033561C">
              <w:t>Cases (2024 estimate)</w:t>
            </w:r>
          </w:p>
        </w:tc>
        <w:tc>
          <w:tcPr>
            <w:tcW w:w="1276" w:type="dxa"/>
          </w:tcPr>
          <w:p w14:paraId="043F9B33" w14:textId="1967C745" w:rsidR="00135CA5" w:rsidRPr="0033561C" w:rsidRDefault="00115823" w:rsidP="0033561C">
            <w:pPr>
              <w:pStyle w:val="TableText"/>
              <w:cnfStyle w:val="000000000000" w:firstRow="0" w:lastRow="0" w:firstColumn="0" w:lastColumn="0" w:oddVBand="0" w:evenVBand="0" w:oddHBand="0" w:evenHBand="0" w:firstRowFirstColumn="0" w:firstRowLastColumn="0" w:lastRowFirstColumn="0" w:lastRowLastColumn="0"/>
            </w:pPr>
            <w:r w:rsidRPr="0033561C">
              <w:t>5,531</w:t>
            </w:r>
          </w:p>
        </w:tc>
        <w:tc>
          <w:tcPr>
            <w:tcW w:w="5379" w:type="dxa"/>
          </w:tcPr>
          <w:p w14:paraId="1731B1CC" w14:textId="445DA993" w:rsidR="00135CA5" w:rsidRPr="0033561C" w:rsidRDefault="00821FF2" w:rsidP="0033561C">
            <w:pPr>
              <w:pStyle w:val="TableText"/>
              <w:cnfStyle w:val="000000000000" w:firstRow="0" w:lastRow="0" w:firstColumn="0" w:lastColumn="0" w:oddVBand="0" w:evenVBand="0" w:oddHBand="0" w:evenHBand="0" w:firstRowFirstColumn="0" w:firstRowLastColumn="0" w:lastRowFirstColumn="0" w:lastRowLastColumn="0"/>
            </w:pPr>
            <w:r w:rsidRPr="0033561C">
              <w:t>AIHW Australian Cancer Database</w:t>
            </w:r>
          </w:p>
        </w:tc>
      </w:tr>
      <w:tr w:rsidR="00FB6194" w14:paraId="41D219AA" w14:textId="77777777" w:rsidTr="0033561C">
        <w:tc>
          <w:tcPr>
            <w:cnfStyle w:val="001000000000" w:firstRow="0" w:lastRow="0" w:firstColumn="1" w:lastColumn="0" w:oddVBand="0" w:evenVBand="0" w:oddHBand="0" w:evenHBand="0" w:firstRowFirstColumn="0" w:firstRowLastColumn="0" w:lastRowFirstColumn="0" w:lastRowLastColumn="0"/>
            <w:tcW w:w="3539" w:type="dxa"/>
          </w:tcPr>
          <w:p w14:paraId="599D72F9" w14:textId="18688469" w:rsidR="00FB6194" w:rsidRPr="0033561C" w:rsidRDefault="005E7030" w:rsidP="0033561C">
            <w:pPr>
              <w:pStyle w:val="TableText"/>
            </w:pPr>
            <w:r w:rsidRPr="0033561C">
              <w:t>Age-standardised Incidence (per 100,000</w:t>
            </w:r>
            <w:r w:rsidR="00E932BF" w:rsidRPr="0033561C">
              <w:t xml:space="preserve"> people)</w:t>
            </w:r>
          </w:p>
        </w:tc>
        <w:tc>
          <w:tcPr>
            <w:tcW w:w="1276" w:type="dxa"/>
          </w:tcPr>
          <w:p w14:paraId="0850A29C" w14:textId="701A63AD" w:rsidR="00FB6194" w:rsidRPr="0033561C" w:rsidRDefault="00E932BF" w:rsidP="0033561C">
            <w:pPr>
              <w:pStyle w:val="TableText"/>
              <w:cnfStyle w:val="000000000000" w:firstRow="0" w:lastRow="0" w:firstColumn="0" w:lastColumn="0" w:oddVBand="0" w:evenVBand="0" w:oddHBand="0" w:evenHBand="0" w:firstRowFirstColumn="0" w:firstRowLastColumn="0" w:lastRowFirstColumn="0" w:lastRowLastColumn="0"/>
            </w:pPr>
            <w:r w:rsidRPr="0033561C">
              <w:t>20.4</w:t>
            </w:r>
          </w:p>
        </w:tc>
        <w:tc>
          <w:tcPr>
            <w:tcW w:w="5379" w:type="dxa"/>
          </w:tcPr>
          <w:p w14:paraId="187B0095" w14:textId="0C887D69" w:rsidR="00FB6194" w:rsidRPr="0033561C" w:rsidRDefault="00E932BF" w:rsidP="0033561C">
            <w:pPr>
              <w:pStyle w:val="TableText"/>
              <w:cnfStyle w:val="000000000000" w:firstRow="0" w:lastRow="0" w:firstColumn="0" w:lastColumn="0" w:oddVBand="0" w:evenVBand="0" w:oddHBand="0" w:evenHBand="0" w:firstRowFirstColumn="0" w:firstRowLastColumn="0" w:lastRowFirstColumn="0" w:lastRowLastColumn="0"/>
            </w:pPr>
            <w:r w:rsidRPr="0033561C">
              <w:t>AIHW Australian Cancer Database</w:t>
            </w:r>
          </w:p>
        </w:tc>
      </w:tr>
      <w:tr w:rsidR="0016598C" w14:paraId="67CEA1F0" w14:textId="77777777" w:rsidTr="0033561C">
        <w:tc>
          <w:tcPr>
            <w:cnfStyle w:val="001000000000" w:firstRow="0" w:lastRow="0" w:firstColumn="1" w:lastColumn="0" w:oddVBand="0" w:evenVBand="0" w:oddHBand="0" w:evenHBand="0" w:firstRowFirstColumn="0" w:firstRowLastColumn="0" w:lastRowFirstColumn="0" w:lastRowLastColumn="0"/>
            <w:tcW w:w="3539" w:type="dxa"/>
          </w:tcPr>
          <w:p w14:paraId="322AB8ED" w14:textId="56541AD3" w:rsidR="0016598C" w:rsidRPr="0033561C" w:rsidRDefault="0016598C" w:rsidP="0033561C">
            <w:pPr>
              <w:pStyle w:val="TableText"/>
            </w:pPr>
            <w:r w:rsidRPr="0033561C">
              <w:t>5-year survival</w:t>
            </w:r>
          </w:p>
        </w:tc>
        <w:tc>
          <w:tcPr>
            <w:tcW w:w="1276" w:type="dxa"/>
          </w:tcPr>
          <w:p w14:paraId="2C0538EF" w14:textId="1504F166" w:rsidR="0016598C" w:rsidRPr="0033561C" w:rsidRDefault="0056230C" w:rsidP="0033561C">
            <w:pPr>
              <w:pStyle w:val="TableText"/>
              <w:cnfStyle w:val="000000000000" w:firstRow="0" w:lastRow="0" w:firstColumn="0" w:lastColumn="0" w:oddVBand="0" w:evenVBand="0" w:oddHBand="0" w:evenHBand="0" w:firstRowFirstColumn="0" w:firstRowLastColumn="0" w:lastRowFirstColumn="0" w:lastRowLastColumn="0"/>
            </w:pPr>
            <w:r w:rsidRPr="0033561C">
              <w:t>72.0%</w:t>
            </w:r>
          </w:p>
        </w:tc>
        <w:tc>
          <w:tcPr>
            <w:tcW w:w="5379" w:type="dxa"/>
          </w:tcPr>
          <w:p w14:paraId="5F6604AF" w14:textId="7932B7EB" w:rsidR="0016598C" w:rsidRPr="0033561C" w:rsidRDefault="0056230C" w:rsidP="0033561C">
            <w:pPr>
              <w:pStyle w:val="TableText"/>
              <w:cnfStyle w:val="000000000000" w:firstRow="0" w:lastRow="0" w:firstColumn="0" w:lastColumn="0" w:oddVBand="0" w:evenVBand="0" w:oddHBand="0" w:evenHBand="0" w:firstRowFirstColumn="0" w:firstRowLastColumn="0" w:lastRowFirstColumn="0" w:lastRowLastColumn="0"/>
            </w:pPr>
            <w:r w:rsidRPr="0033561C">
              <w:t>Cancer Australia</w:t>
            </w:r>
          </w:p>
        </w:tc>
      </w:tr>
      <w:tr w:rsidR="00350BFC" w14:paraId="1844F8C8" w14:textId="77777777" w:rsidTr="0033561C">
        <w:tc>
          <w:tcPr>
            <w:cnfStyle w:val="001000000000" w:firstRow="0" w:lastRow="0" w:firstColumn="1" w:lastColumn="0" w:oddVBand="0" w:evenVBand="0" w:oddHBand="0" w:evenHBand="0" w:firstRowFirstColumn="0" w:firstRowLastColumn="0" w:lastRowFirstColumn="0" w:lastRowLastColumn="0"/>
            <w:tcW w:w="3539" w:type="dxa"/>
          </w:tcPr>
          <w:p w14:paraId="6F001778" w14:textId="67396BD7" w:rsidR="00350BFC" w:rsidRPr="0033561C" w:rsidRDefault="00350BFC" w:rsidP="0033561C">
            <w:pPr>
              <w:pStyle w:val="TableText"/>
            </w:pPr>
            <w:r w:rsidRPr="0033561C">
              <w:t>Proportion requiring a prosthesis</w:t>
            </w:r>
          </w:p>
        </w:tc>
        <w:tc>
          <w:tcPr>
            <w:tcW w:w="1276" w:type="dxa"/>
          </w:tcPr>
          <w:p w14:paraId="71914EA0" w14:textId="72231B43" w:rsidR="00350BFC" w:rsidRPr="0033561C" w:rsidRDefault="00350BFC" w:rsidP="0033561C">
            <w:pPr>
              <w:pStyle w:val="TableText"/>
              <w:cnfStyle w:val="000000000000" w:firstRow="0" w:lastRow="0" w:firstColumn="0" w:lastColumn="0" w:oddVBand="0" w:evenVBand="0" w:oddHBand="0" w:evenHBand="0" w:firstRowFirstColumn="0" w:firstRowLastColumn="0" w:lastRowFirstColumn="0" w:lastRowLastColumn="0"/>
            </w:pPr>
            <w:r w:rsidRPr="0033561C">
              <w:t>4.52%</w:t>
            </w:r>
          </w:p>
        </w:tc>
        <w:tc>
          <w:tcPr>
            <w:tcW w:w="5379" w:type="dxa"/>
          </w:tcPr>
          <w:p w14:paraId="6E825006" w14:textId="4EC6410F" w:rsidR="00350BFC" w:rsidRPr="0033561C" w:rsidRDefault="00100D32" w:rsidP="0033561C">
            <w:pPr>
              <w:pStyle w:val="TableText"/>
              <w:cnfStyle w:val="000000000000" w:firstRow="0" w:lastRow="0" w:firstColumn="0" w:lastColumn="0" w:oddVBand="0" w:evenVBand="0" w:oddHBand="0" w:evenHBand="0" w:firstRowFirstColumn="0" w:firstRowLastColumn="0" w:lastRowFirstColumn="0" w:lastRowLastColumn="0"/>
            </w:pPr>
            <w:r>
              <w:t>Independent reviewer</w:t>
            </w:r>
            <w:r w:rsidR="004D07E3" w:rsidRPr="0033561C">
              <w:t xml:space="preserve"> assumption based on Head and Neck Cancer Australia Budget Submission</w:t>
            </w:r>
          </w:p>
        </w:tc>
      </w:tr>
    </w:tbl>
    <w:p w14:paraId="1090DE12" w14:textId="6E53E4A3" w:rsidR="0033561C" w:rsidRDefault="0033561C" w:rsidP="0033561C">
      <w:pPr>
        <w:pStyle w:val="Caption-Source"/>
      </w:pPr>
      <w:r w:rsidRPr="00B56150">
        <w:t>Source:</w:t>
      </w:r>
      <w:r>
        <w:t xml:space="preserve"> </w:t>
      </w:r>
      <w:r w:rsidR="00100D32">
        <w:t>Independent reviewer</w:t>
      </w:r>
      <w:r w:rsidR="00100D32" w:rsidRPr="00CD3106">
        <w:t xml:space="preserve"> </w:t>
      </w:r>
      <w:r>
        <w:t>(2025)</w:t>
      </w:r>
    </w:p>
    <w:p w14:paraId="440DE940" w14:textId="50FCBD0C" w:rsidR="0033561C" w:rsidRDefault="0033561C" w:rsidP="0033561C">
      <w:pPr>
        <w:pStyle w:val="Caption"/>
      </w:pPr>
      <w:bookmarkStart w:id="393" w:name="_Toc207348703"/>
      <w:r>
        <w:t xml:space="preserve">Table </w:t>
      </w:r>
      <w:r>
        <w:fldChar w:fldCharType="begin"/>
      </w:r>
      <w:r>
        <w:instrText xml:space="preserve"> SEQ Table \* ARABIC </w:instrText>
      </w:r>
      <w:r>
        <w:fldChar w:fldCharType="separate"/>
      </w:r>
      <w:r>
        <w:rPr>
          <w:noProof/>
        </w:rPr>
        <w:t>138</w:t>
      </w:r>
      <w:r>
        <w:rPr>
          <w:noProof/>
        </w:rPr>
        <w:fldChar w:fldCharType="end"/>
      </w:r>
      <w:r>
        <w:t xml:space="preserve">: </w:t>
      </w:r>
      <w:r w:rsidRPr="005D3187">
        <w:t xml:space="preserve">Cost model inputs for </w:t>
      </w:r>
      <w:r>
        <w:t>melanoma</w:t>
      </w:r>
      <w:bookmarkEnd w:id="393"/>
    </w:p>
    <w:tbl>
      <w:tblPr>
        <w:tblStyle w:val="KPMGTable"/>
        <w:tblW w:w="0" w:type="auto"/>
        <w:tblLook w:val="04A0" w:firstRow="1" w:lastRow="0" w:firstColumn="1" w:lastColumn="0" w:noHBand="0" w:noVBand="1"/>
      </w:tblPr>
      <w:tblGrid>
        <w:gridCol w:w="3539"/>
        <w:gridCol w:w="1276"/>
        <w:gridCol w:w="5379"/>
      </w:tblGrid>
      <w:tr w:rsidR="00280BDF" w14:paraId="483696FE" w14:textId="77777777" w:rsidTr="003356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7E3979AD" w14:textId="600CA2E7" w:rsidR="0033561C" w:rsidRDefault="0033561C" w:rsidP="0033561C">
            <w:pPr>
              <w:pStyle w:val="TableHeading"/>
              <w:rPr>
                <w:szCs w:val="20"/>
              </w:rPr>
            </w:pPr>
            <w:r w:rsidRPr="00FB6194">
              <w:t>Item</w:t>
            </w:r>
          </w:p>
        </w:tc>
        <w:tc>
          <w:tcPr>
            <w:tcW w:w="1276" w:type="dxa"/>
          </w:tcPr>
          <w:p w14:paraId="7DFDDBE7" w14:textId="5FD2574D" w:rsidR="0033561C" w:rsidRDefault="0033561C" w:rsidP="0033561C">
            <w:pPr>
              <w:pStyle w:val="TableHeading"/>
              <w:cnfStyle w:val="100000000000" w:firstRow="1" w:lastRow="0" w:firstColumn="0" w:lastColumn="0" w:oddVBand="0" w:evenVBand="0" w:oddHBand="0" w:evenHBand="0" w:firstRowFirstColumn="0" w:firstRowLastColumn="0" w:lastRowFirstColumn="0" w:lastRowLastColumn="0"/>
              <w:rPr>
                <w:szCs w:val="20"/>
              </w:rPr>
            </w:pPr>
            <w:r w:rsidRPr="00FB6194">
              <w:t>Value</w:t>
            </w:r>
          </w:p>
        </w:tc>
        <w:tc>
          <w:tcPr>
            <w:tcW w:w="5379" w:type="dxa"/>
          </w:tcPr>
          <w:p w14:paraId="0EEA2914" w14:textId="236C0795" w:rsidR="0033561C" w:rsidRDefault="0033561C" w:rsidP="0033561C">
            <w:pPr>
              <w:pStyle w:val="TableHeading"/>
              <w:cnfStyle w:val="100000000000" w:firstRow="1" w:lastRow="0" w:firstColumn="0" w:lastColumn="0" w:oddVBand="0" w:evenVBand="0" w:oddHBand="0" w:evenHBand="0" w:firstRowFirstColumn="0" w:firstRowLastColumn="0" w:lastRowFirstColumn="0" w:lastRowLastColumn="0"/>
              <w:rPr>
                <w:szCs w:val="20"/>
              </w:rPr>
            </w:pPr>
            <w:r w:rsidRPr="00FB6194">
              <w:t>Source</w:t>
            </w:r>
          </w:p>
        </w:tc>
      </w:tr>
      <w:tr w:rsidR="0056230C" w14:paraId="1C08F8B4" w14:textId="77777777" w:rsidTr="0033561C">
        <w:tc>
          <w:tcPr>
            <w:cnfStyle w:val="001000000000" w:firstRow="0" w:lastRow="0" w:firstColumn="1" w:lastColumn="0" w:oddVBand="0" w:evenVBand="0" w:oddHBand="0" w:evenHBand="0" w:firstRowFirstColumn="0" w:firstRowLastColumn="0" w:lastRowFirstColumn="0" w:lastRowLastColumn="0"/>
            <w:tcW w:w="3539" w:type="dxa"/>
          </w:tcPr>
          <w:p w14:paraId="594F98E3" w14:textId="5F796C21" w:rsidR="0056230C" w:rsidRDefault="0056230C" w:rsidP="0033561C">
            <w:pPr>
              <w:pStyle w:val="TableText"/>
            </w:pPr>
            <w:r>
              <w:t>Cases (2024 estimate)</w:t>
            </w:r>
          </w:p>
        </w:tc>
        <w:tc>
          <w:tcPr>
            <w:tcW w:w="1276" w:type="dxa"/>
          </w:tcPr>
          <w:p w14:paraId="5DA920DE" w14:textId="3FE091F3" w:rsidR="0056230C" w:rsidRDefault="00350BFC" w:rsidP="0033561C">
            <w:pPr>
              <w:pStyle w:val="TableText"/>
              <w:cnfStyle w:val="000000000000" w:firstRow="0" w:lastRow="0" w:firstColumn="0" w:lastColumn="0" w:oddVBand="0" w:evenVBand="0" w:oddHBand="0" w:evenHBand="0" w:firstRowFirstColumn="0" w:firstRowLastColumn="0" w:lastRowFirstColumn="0" w:lastRowLastColumn="0"/>
            </w:pPr>
            <w:r>
              <w:t>18,964</w:t>
            </w:r>
          </w:p>
        </w:tc>
        <w:tc>
          <w:tcPr>
            <w:tcW w:w="5379" w:type="dxa"/>
          </w:tcPr>
          <w:p w14:paraId="3C5ECDC6" w14:textId="0676DE4A" w:rsidR="0056230C" w:rsidRDefault="004D07E3" w:rsidP="0033561C">
            <w:pPr>
              <w:pStyle w:val="TableText"/>
              <w:cnfStyle w:val="000000000000" w:firstRow="0" w:lastRow="0" w:firstColumn="0" w:lastColumn="0" w:oddVBand="0" w:evenVBand="0" w:oddHBand="0" w:evenHBand="0" w:firstRowFirstColumn="0" w:firstRowLastColumn="0" w:lastRowFirstColumn="0" w:lastRowLastColumn="0"/>
            </w:pPr>
            <w:r>
              <w:t>AIHW Australian Cancer Database</w:t>
            </w:r>
          </w:p>
        </w:tc>
      </w:tr>
      <w:tr w:rsidR="0056230C" w14:paraId="1CD627CC" w14:textId="77777777" w:rsidTr="0033561C">
        <w:tc>
          <w:tcPr>
            <w:cnfStyle w:val="001000000000" w:firstRow="0" w:lastRow="0" w:firstColumn="1" w:lastColumn="0" w:oddVBand="0" w:evenVBand="0" w:oddHBand="0" w:evenHBand="0" w:firstRowFirstColumn="0" w:firstRowLastColumn="0" w:lastRowFirstColumn="0" w:lastRowLastColumn="0"/>
            <w:tcW w:w="3539" w:type="dxa"/>
          </w:tcPr>
          <w:p w14:paraId="3C696BA4" w14:textId="50361936" w:rsidR="0056230C" w:rsidRDefault="0056230C" w:rsidP="0033561C">
            <w:pPr>
              <w:pStyle w:val="TableText"/>
            </w:pPr>
            <w:r>
              <w:t>Age-standardised Incidence (per 100,000 people)</w:t>
            </w:r>
          </w:p>
        </w:tc>
        <w:tc>
          <w:tcPr>
            <w:tcW w:w="1276" w:type="dxa"/>
          </w:tcPr>
          <w:p w14:paraId="335351F7" w14:textId="3B6D7D7D" w:rsidR="0056230C" w:rsidRDefault="004D07E3" w:rsidP="0033561C">
            <w:pPr>
              <w:pStyle w:val="TableText"/>
              <w:cnfStyle w:val="000000000000" w:firstRow="0" w:lastRow="0" w:firstColumn="0" w:lastColumn="0" w:oddVBand="0" w:evenVBand="0" w:oddHBand="0" w:evenHBand="0" w:firstRowFirstColumn="0" w:firstRowLastColumn="0" w:lastRowFirstColumn="0" w:lastRowLastColumn="0"/>
            </w:pPr>
            <w:r>
              <w:t>69.8</w:t>
            </w:r>
          </w:p>
        </w:tc>
        <w:tc>
          <w:tcPr>
            <w:tcW w:w="5379" w:type="dxa"/>
          </w:tcPr>
          <w:p w14:paraId="1E7C2CFA" w14:textId="193A62F3" w:rsidR="0056230C" w:rsidRDefault="004D07E3" w:rsidP="0033561C">
            <w:pPr>
              <w:pStyle w:val="TableText"/>
              <w:cnfStyle w:val="000000000000" w:firstRow="0" w:lastRow="0" w:firstColumn="0" w:lastColumn="0" w:oddVBand="0" w:evenVBand="0" w:oddHBand="0" w:evenHBand="0" w:firstRowFirstColumn="0" w:firstRowLastColumn="0" w:lastRowFirstColumn="0" w:lastRowLastColumn="0"/>
            </w:pPr>
            <w:r>
              <w:t>AIHW Australian Cancer Database</w:t>
            </w:r>
          </w:p>
        </w:tc>
      </w:tr>
      <w:tr w:rsidR="0056230C" w14:paraId="7C8C4819" w14:textId="77777777" w:rsidTr="0033561C">
        <w:tc>
          <w:tcPr>
            <w:cnfStyle w:val="001000000000" w:firstRow="0" w:lastRow="0" w:firstColumn="1" w:lastColumn="0" w:oddVBand="0" w:evenVBand="0" w:oddHBand="0" w:evenHBand="0" w:firstRowFirstColumn="0" w:firstRowLastColumn="0" w:lastRowFirstColumn="0" w:lastRowLastColumn="0"/>
            <w:tcW w:w="3539" w:type="dxa"/>
          </w:tcPr>
          <w:p w14:paraId="68A2FA1F" w14:textId="467203AF" w:rsidR="0056230C" w:rsidRDefault="0056230C" w:rsidP="0033561C">
            <w:pPr>
              <w:pStyle w:val="TableText"/>
            </w:pPr>
            <w:r>
              <w:t>5-year survival</w:t>
            </w:r>
          </w:p>
        </w:tc>
        <w:tc>
          <w:tcPr>
            <w:tcW w:w="1276" w:type="dxa"/>
          </w:tcPr>
          <w:p w14:paraId="4F62737E" w14:textId="4218ECEA" w:rsidR="0056230C" w:rsidRDefault="004D07E3" w:rsidP="0033561C">
            <w:pPr>
              <w:pStyle w:val="TableText"/>
              <w:cnfStyle w:val="000000000000" w:firstRow="0" w:lastRow="0" w:firstColumn="0" w:lastColumn="0" w:oddVBand="0" w:evenVBand="0" w:oddHBand="0" w:evenHBand="0" w:firstRowFirstColumn="0" w:firstRowLastColumn="0" w:lastRowFirstColumn="0" w:lastRowLastColumn="0"/>
            </w:pPr>
            <w:r>
              <w:t>94.0%</w:t>
            </w:r>
          </w:p>
        </w:tc>
        <w:tc>
          <w:tcPr>
            <w:tcW w:w="5379" w:type="dxa"/>
          </w:tcPr>
          <w:p w14:paraId="0EF588C3" w14:textId="6FF2C23E" w:rsidR="0056230C" w:rsidRDefault="004D07E3" w:rsidP="0033561C">
            <w:pPr>
              <w:pStyle w:val="TableText"/>
              <w:cnfStyle w:val="000000000000" w:firstRow="0" w:lastRow="0" w:firstColumn="0" w:lastColumn="0" w:oddVBand="0" w:evenVBand="0" w:oddHBand="0" w:evenHBand="0" w:firstRowFirstColumn="0" w:firstRowLastColumn="0" w:lastRowFirstColumn="0" w:lastRowLastColumn="0"/>
            </w:pPr>
            <w:r>
              <w:t>Cancer Australia</w:t>
            </w:r>
          </w:p>
        </w:tc>
      </w:tr>
      <w:tr w:rsidR="00086E5C" w14:paraId="71D4FD0A" w14:textId="77777777" w:rsidTr="0033561C">
        <w:tc>
          <w:tcPr>
            <w:cnfStyle w:val="001000000000" w:firstRow="0" w:lastRow="0" w:firstColumn="1" w:lastColumn="0" w:oddVBand="0" w:evenVBand="0" w:oddHBand="0" w:evenHBand="0" w:firstRowFirstColumn="0" w:firstRowLastColumn="0" w:lastRowFirstColumn="0" w:lastRowLastColumn="0"/>
            <w:tcW w:w="3539" w:type="dxa"/>
          </w:tcPr>
          <w:p w14:paraId="53ED3C0E" w14:textId="2750733D" w:rsidR="00086E5C" w:rsidRDefault="00086E5C" w:rsidP="0033561C">
            <w:pPr>
              <w:pStyle w:val="TableText"/>
            </w:pPr>
            <w:r>
              <w:t>Proportion occurring on the face/head/neck</w:t>
            </w:r>
          </w:p>
        </w:tc>
        <w:tc>
          <w:tcPr>
            <w:tcW w:w="1276" w:type="dxa"/>
          </w:tcPr>
          <w:p w14:paraId="4F25CBE3" w14:textId="08DF4961" w:rsidR="00086E5C" w:rsidRDefault="002175D0" w:rsidP="0033561C">
            <w:pPr>
              <w:pStyle w:val="TableText"/>
              <w:cnfStyle w:val="000000000000" w:firstRow="0" w:lastRow="0" w:firstColumn="0" w:lastColumn="0" w:oddVBand="0" w:evenVBand="0" w:oddHBand="0" w:evenHBand="0" w:firstRowFirstColumn="0" w:firstRowLastColumn="0" w:lastRowFirstColumn="0" w:lastRowLastColumn="0"/>
            </w:pPr>
            <w:r>
              <w:t>17.5%</w:t>
            </w:r>
          </w:p>
        </w:tc>
        <w:tc>
          <w:tcPr>
            <w:tcW w:w="5379" w:type="dxa"/>
          </w:tcPr>
          <w:p w14:paraId="42ECE5E2" w14:textId="1C36C724" w:rsidR="00086E5C" w:rsidRDefault="00477463" w:rsidP="0033561C">
            <w:pPr>
              <w:pStyle w:val="TableText"/>
              <w:cnfStyle w:val="000000000000" w:firstRow="0" w:lastRow="0" w:firstColumn="0" w:lastColumn="0" w:oddVBand="0" w:evenVBand="0" w:oddHBand="0" w:evenHBand="0" w:firstRowFirstColumn="0" w:firstRowLastColumn="0" w:lastRowFirstColumn="0" w:lastRowLastColumn="0"/>
            </w:pPr>
            <w:r w:rsidRPr="00477463">
              <w:t xml:space="preserve">Zito PM, Scharf R. </w:t>
            </w:r>
            <w:r>
              <w:t xml:space="preserve">(2023) </w:t>
            </w:r>
            <w:r w:rsidRPr="00477463">
              <w:t>Melanoma of the Head and Neck</w:t>
            </w:r>
            <w:r>
              <w:t xml:space="preserve">. </w:t>
            </w:r>
            <w:r w:rsidR="002D5AC1">
              <w:t>Retrieved</w:t>
            </w:r>
            <w:r>
              <w:t xml:space="preserve"> from: </w:t>
            </w:r>
            <w:hyperlink r:id="rId110" w:history="1">
              <w:r w:rsidR="002D5AC1">
                <w:rPr>
                  <w:rStyle w:val="Hyperlink"/>
                  <w:szCs w:val="20"/>
                </w:rPr>
                <w:t>https://www.ncbi.nlm.nih.gov/books/NBK513248/</w:t>
              </w:r>
            </w:hyperlink>
          </w:p>
          <w:p w14:paraId="780BA565" w14:textId="24119BBD" w:rsidR="00086E5C" w:rsidRDefault="002D5AC1" w:rsidP="0033561C">
            <w:pPr>
              <w:pStyle w:val="TableText"/>
              <w:cnfStyle w:val="000000000000" w:firstRow="0" w:lastRow="0" w:firstColumn="0" w:lastColumn="0" w:oddVBand="0" w:evenVBand="0" w:oddHBand="0" w:evenHBand="0" w:firstRowFirstColumn="0" w:firstRowLastColumn="0" w:lastRowFirstColumn="0" w:lastRowLastColumn="0"/>
            </w:pPr>
            <w:r>
              <w:t>Note: Estimate is 10</w:t>
            </w:r>
            <w:r w:rsidR="009D45A4">
              <w:t>% to 25%, the mid-point was adopted.</w:t>
            </w:r>
          </w:p>
        </w:tc>
      </w:tr>
      <w:tr w:rsidR="0056230C" w14:paraId="1D9A4DC6" w14:textId="77777777" w:rsidTr="0033561C">
        <w:tc>
          <w:tcPr>
            <w:cnfStyle w:val="001000000000" w:firstRow="0" w:lastRow="0" w:firstColumn="1" w:lastColumn="0" w:oddVBand="0" w:evenVBand="0" w:oddHBand="0" w:evenHBand="0" w:firstRowFirstColumn="0" w:firstRowLastColumn="0" w:lastRowFirstColumn="0" w:lastRowLastColumn="0"/>
            <w:tcW w:w="3539" w:type="dxa"/>
          </w:tcPr>
          <w:p w14:paraId="454F0493" w14:textId="6A34BB78" w:rsidR="0056230C" w:rsidRDefault="004D07E3" w:rsidP="0033561C">
            <w:pPr>
              <w:pStyle w:val="TableText"/>
            </w:pPr>
            <w:r>
              <w:t>Proportion requiring a prosthesis</w:t>
            </w:r>
          </w:p>
        </w:tc>
        <w:tc>
          <w:tcPr>
            <w:tcW w:w="1276" w:type="dxa"/>
          </w:tcPr>
          <w:p w14:paraId="036F41F4" w14:textId="295E60B2" w:rsidR="0056230C" w:rsidRDefault="004D07E3" w:rsidP="0033561C">
            <w:pPr>
              <w:pStyle w:val="TableText"/>
              <w:cnfStyle w:val="000000000000" w:firstRow="0" w:lastRow="0" w:firstColumn="0" w:lastColumn="0" w:oddVBand="0" w:evenVBand="0" w:oddHBand="0" w:evenHBand="0" w:firstRowFirstColumn="0" w:firstRowLastColumn="0" w:lastRowFirstColumn="0" w:lastRowLastColumn="0"/>
            </w:pPr>
            <w:r>
              <w:t>4.52%</w:t>
            </w:r>
          </w:p>
        </w:tc>
        <w:tc>
          <w:tcPr>
            <w:tcW w:w="5379" w:type="dxa"/>
          </w:tcPr>
          <w:p w14:paraId="5E41CE75" w14:textId="208D7CEE" w:rsidR="0056230C" w:rsidRDefault="00100D32" w:rsidP="0033561C">
            <w:pPr>
              <w:pStyle w:val="TableText"/>
              <w:cnfStyle w:val="000000000000" w:firstRow="0" w:lastRow="0" w:firstColumn="0" w:lastColumn="0" w:oddVBand="0" w:evenVBand="0" w:oddHBand="0" w:evenHBand="0" w:firstRowFirstColumn="0" w:firstRowLastColumn="0" w:lastRowFirstColumn="0" w:lastRowLastColumn="0"/>
            </w:pPr>
            <w:r>
              <w:t>Independent reviewer</w:t>
            </w:r>
            <w:r w:rsidRPr="00CD3106">
              <w:t xml:space="preserve"> </w:t>
            </w:r>
            <w:r w:rsidR="004D07E3">
              <w:t>assumption based on Head and Neck Cancer Australia Budget Submission</w:t>
            </w:r>
          </w:p>
        </w:tc>
      </w:tr>
    </w:tbl>
    <w:p w14:paraId="2DDCE084" w14:textId="7BC428F1" w:rsidR="0033561C" w:rsidRDefault="0033561C" w:rsidP="0033561C">
      <w:pPr>
        <w:pStyle w:val="Caption-Source"/>
      </w:pPr>
      <w:r w:rsidRPr="00B56150">
        <w:t>Source:</w:t>
      </w:r>
      <w:r>
        <w:t xml:space="preserve"> </w:t>
      </w:r>
      <w:r w:rsidR="00100D32">
        <w:t>Independent reviewer</w:t>
      </w:r>
      <w:r w:rsidR="00100D32" w:rsidRPr="00CD3106">
        <w:t xml:space="preserve"> </w:t>
      </w:r>
      <w:r>
        <w:t>(2025)</w:t>
      </w:r>
    </w:p>
    <w:p w14:paraId="432D0517" w14:textId="24EB084B" w:rsidR="0033561C" w:rsidRDefault="0033561C" w:rsidP="0033561C">
      <w:pPr>
        <w:pStyle w:val="Caption"/>
      </w:pPr>
      <w:bookmarkStart w:id="394" w:name="_Toc207348704"/>
      <w:r>
        <w:t xml:space="preserve">Table </w:t>
      </w:r>
      <w:r>
        <w:fldChar w:fldCharType="begin"/>
      </w:r>
      <w:r>
        <w:instrText xml:space="preserve"> SEQ Table \* ARABIC </w:instrText>
      </w:r>
      <w:r>
        <w:fldChar w:fldCharType="separate"/>
      </w:r>
      <w:r>
        <w:rPr>
          <w:noProof/>
        </w:rPr>
        <w:t>139</w:t>
      </w:r>
      <w:r>
        <w:rPr>
          <w:noProof/>
        </w:rPr>
        <w:fldChar w:fldCharType="end"/>
      </w:r>
      <w:r>
        <w:t xml:space="preserve">: </w:t>
      </w:r>
      <w:r w:rsidRPr="009A366B">
        <w:t xml:space="preserve">Cost model inputs for </w:t>
      </w:r>
      <w:r>
        <w:t>eye cancer</w:t>
      </w:r>
      <w:bookmarkEnd w:id="394"/>
    </w:p>
    <w:tbl>
      <w:tblPr>
        <w:tblStyle w:val="KPMGTable"/>
        <w:tblW w:w="0" w:type="auto"/>
        <w:tblLook w:val="04A0" w:firstRow="1" w:lastRow="0" w:firstColumn="1" w:lastColumn="0" w:noHBand="0" w:noVBand="1"/>
      </w:tblPr>
      <w:tblGrid>
        <w:gridCol w:w="3539"/>
        <w:gridCol w:w="1276"/>
        <w:gridCol w:w="5379"/>
      </w:tblGrid>
      <w:tr w:rsidR="00280BDF" w14:paraId="0B015730" w14:textId="77777777" w:rsidTr="003356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278344F6" w14:textId="4365C2F6" w:rsidR="0033561C" w:rsidRDefault="0033561C" w:rsidP="00580D49">
            <w:pPr>
              <w:pStyle w:val="TableHeading"/>
              <w:rPr>
                <w:szCs w:val="20"/>
              </w:rPr>
            </w:pPr>
            <w:r w:rsidRPr="00FB6194">
              <w:t>Item</w:t>
            </w:r>
          </w:p>
        </w:tc>
        <w:tc>
          <w:tcPr>
            <w:tcW w:w="1276" w:type="dxa"/>
          </w:tcPr>
          <w:p w14:paraId="71F94883" w14:textId="31F527D7" w:rsidR="0033561C" w:rsidRDefault="0033561C" w:rsidP="00580D49">
            <w:pPr>
              <w:pStyle w:val="TableHeading"/>
              <w:cnfStyle w:val="100000000000" w:firstRow="1" w:lastRow="0" w:firstColumn="0" w:lastColumn="0" w:oddVBand="0" w:evenVBand="0" w:oddHBand="0" w:evenHBand="0" w:firstRowFirstColumn="0" w:firstRowLastColumn="0" w:lastRowFirstColumn="0" w:lastRowLastColumn="0"/>
              <w:rPr>
                <w:szCs w:val="20"/>
              </w:rPr>
            </w:pPr>
            <w:r w:rsidRPr="00FB6194">
              <w:t>Value</w:t>
            </w:r>
          </w:p>
        </w:tc>
        <w:tc>
          <w:tcPr>
            <w:tcW w:w="5379" w:type="dxa"/>
          </w:tcPr>
          <w:p w14:paraId="035FBDCF" w14:textId="25064018" w:rsidR="0033561C" w:rsidRDefault="0033561C" w:rsidP="00580D49">
            <w:pPr>
              <w:pStyle w:val="TableHeading"/>
              <w:cnfStyle w:val="100000000000" w:firstRow="1" w:lastRow="0" w:firstColumn="0" w:lastColumn="0" w:oddVBand="0" w:evenVBand="0" w:oddHBand="0" w:evenHBand="0" w:firstRowFirstColumn="0" w:firstRowLastColumn="0" w:lastRowFirstColumn="0" w:lastRowLastColumn="0"/>
              <w:rPr>
                <w:szCs w:val="20"/>
              </w:rPr>
            </w:pPr>
            <w:r w:rsidRPr="00FB6194">
              <w:t>Source</w:t>
            </w:r>
          </w:p>
        </w:tc>
      </w:tr>
      <w:tr w:rsidR="00FC0B90" w14:paraId="79A224B3" w14:textId="77777777" w:rsidTr="0033561C">
        <w:tc>
          <w:tcPr>
            <w:cnfStyle w:val="001000000000" w:firstRow="0" w:lastRow="0" w:firstColumn="1" w:lastColumn="0" w:oddVBand="0" w:evenVBand="0" w:oddHBand="0" w:evenHBand="0" w:firstRowFirstColumn="0" w:firstRowLastColumn="0" w:lastRowFirstColumn="0" w:lastRowLastColumn="0"/>
            <w:tcW w:w="3539" w:type="dxa"/>
          </w:tcPr>
          <w:p w14:paraId="7813B1EC" w14:textId="607CF8C9" w:rsidR="00FC0B90" w:rsidRDefault="00086E5C" w:rsidP="00580D49">
            <w:pPr>
              <w:pStyle w:val="TableText"/>
            </w:pPr>
            <w:r>
              <w:t>Cases (2024 estimate)</w:t>
            </w:r>
          </w:p>
        </w:tc>
        <w:tc>
          <w:tcPr>
            <w:tcW w:w="1276" w:type="dxa"/>
          </w:tcPr>
          <w:p w14:paraId="269D96B5" w14:textId="63AD254E" w:rsidR="00FC0B90" w:rsidRDefault="00977E18" w:rsidP="00580D49">
            <w:pPr>
              <w:pStyle w:val="TableText"/>
              <w:cnfStyle w:val="000000000000" w:firstRow="0" w:lastRow="0" w:firstColumn="0" w:lastColumn="0" w:oddVBand="0" w:evenVBand="0" w:oddHBand="0" w:evenHBand="0" w:firstRowFirstColumn="0" w:firstRowLastColumn="0" w:lastRowFirstColumn="0" w:lastRowLastColumn="0"/>
            </w:pPr>
            <w:r>
              <w:t>368</w:t>
            </w:r>
          </w:p>
        </w:tc>
        <w:tc>
          <w:tcPr>
            <w:tcW w:w="5379" w:type="dxa"/>
          </w:tcPr>
          <w:p w14:paraId="06AB6DDB" w14:textId="7D0F3E26" w:rsidR="00FC0B90" w:rsidRDefault="00977E18" w:rsidP="00580D49">
            <w:pPr>
              <w:pStyle w:val="TableText"/>
              <w:cnfStyle w:val="000000000000" w:firstRow="0" w:lastRow="0" w:firstColumn="0" w:lastColumn="0" w:oddVBand="0" w:evenVBand="0" w:oddHBand="0" w:evenHBand="0" w:firstRowFirstColumn="0" w:firstRowLastColumn="0" w:lastRowFirstColumn="0" w:lastRowLastColumn="0"/>
            </w:pPr>
            <w:r>
              <w:t>AIHW Australian Cancer Database</w:t>
            </w:r>
          </w:p>
        </w:tc>
      </w:tr>
      <w:tr w:rsidR="00FC0B90" w14:paraId="38737814" w14:textId="77777777" w:rsidTr="0033561C">
        <w:tc>
          <w:tcPr>
            <w:cnfStyle w:val="001000000000" w:firstRow="0" w:lastRow="0" w:firstColumn="1" w:lastColumn="0" w:oddVBand="0" w:evenVBand="0" w:oddHBand="0" w:evenHBand="0" w:firstRowFirstColumn="0" w:firstRowLastColumn="0" w:lastRowFirstColumn="0" w:lastRowLastColumn="0"/>
            <w:tcW w:w="3539" w:type="dxa"/>
          </w:tcPr>
          <w:p w14:paraId="0195BCEE" w14:textId="35611535" w:rsidR="00FC0B90" w:rsidRDefault="00086E5C" w:rsidP="00580D49">
            <w:pPr>
              <w:pStyle w:val="TableText"/>
            </w:pPr>
            <w:r>
              <w:t>Age-standardised Incidence (per 100,000 people)</w:t>
            </w:r>
          </w:p>
        </w:tc>
        <w:tc>
          <w:tcPr>
            <w:tcW w:w="1276" w:type="dxa"/>
          </w:tcPr>
          <w:p w14:paraId="687DB1F4" w14:textId="07883944" w:rsidR="00FC0B90" w:rsidRDefault="00977E18" w:rsidP="00580D49">
            <w:pPr>
              <w:pStyle w:val="TableText"/>
              <w:cnfStyle w:val="000000000000" w:firstRow="0" w:lastRow="0" w:firstColumn="0" w:lastColumn="0" w:oddVBand="0" w:evenVBand="0" w:oddHBand="0" w:evenHBand="0" w:firstRowFirstColumn="0" w:firstRowLastColumn="0" w:lastRowFirstColumn="0" w:lastRowLastColumn="0"/>
            </w:pPr>
            <w:r>
              <w:t>1.4</w:t>
            </w:r>
          </w:p>
        </w:tc>
        <w:tc>
          <w:tcPr>
            <w:tcW w:w="5379" w:type="dxa"/>
          </w:tcPr>
          <w:p w14:paraId="3920C006" w14:textId="4CD02C05" w:rsidR="00FC0B90" w:rsidRDefault="00977E18" w:rsidP="00580D49">
            <w:pPr>
              <w:pStyle w:val="TableText"/>
              <w:cnfStyle w:val="000000000000" w:firstRow="0" w:lastRow="0" w:firstColumn="0" w:lastColumn="0" w:oddVBand="0" w:evenVBand="0" w:oddHBand="0" w:evenHBand="0" w:firstRowFirstColumn="0" w:firstRowLastColumn="0" w:lastRowFirstColumn="0" w:lastRowLastColumn="0"/>
            </w:pPr>
            <w:r>
              <w:t>AIHW Australian Cancer Database</w:t>
            </w:r>
          </w:p>
        </w:tc>
      </w:tr>
      <w:tr w:rsidR="00FC0B90" w14:paraId="5AED9EF7" w14:textId="77777777" w:rsidTr="0033561C">
        <w:tc>
          <w:tcPr>
            <w:cnfStyle w:val="001000000000" w:firstRow="0" w:lastRow="0" w:firstColumn="1" w:lastColumn="0" w:oddVBand="0" w:evenVBand="0" w:oddHBand="0" w:evenHBand="0" w:firstRowFirstColumn="0" w:firstRowLastColumn="0" w:lastRowFirstColumn="0" w:lastRowLastColumn="0"/>
            <w:tcW w:w="3539" w:type="dxa"/>
          </w:tcPr>
          <w:p w14:paraId="6BA8A8AA" w14:textId="68775217" w:rsidR="00FC0B90" w:rsidRDefault="00086E5C" w:rsidP="00580D49">
            <w:pPr>
              <w:pStyle w:val="TableText"/>
            </w:pPr>
            <w:r>
              <w:t>5-year survival</w:t>
            </w:r>
          </w:p>
        </w:tc>
        <w:tc>
          <w:tcPr>
            <w:tcW w:w="1276" w:type="dxa"/>
          </w:tcPr>
          <w:p w14:paraId="405B718D" w14:textId="2A8F4B71" w:rsidR="00FC0B90" w:rsidRDefault="00E706E3" w:rsidP="00580D49">
            <w:pPr>
              <w:pStyle w:val="TableText"/>
              <w:cnfStyle w:val="000000000000" w:firstRow="0" w:lastRow="0" w:firstColumn="0" w:lastColumn="0" w:oddVBand="0" w:evenVBand="0" w:oddHBand="0" w:evenHBand="0" w:firstRowFirstColumn="0" w:firstRowLastColumn="0" w:lastRowFirstColumn="0" w:lastRowLastColumn="0"/>
            </w:pPr>
            <w:r>
              <w:t>85.0%</w:t>
            </w:r>
          </w:p>
        </w:tc>
        <w:tc>
          <w:tcPr>
            <w:tcW w:w="5379" w:type="dxa"/>
          </w:tcPr>
          <w:p w14:paraId="0F20085D" w14:textId="69358B2A" w:rsidR="00FC0B90" w:rsidRDefault="00977E18" w:rsidP="00580D49">
            <w:pPr>
              <w:pStyle w:val="TableText"/>
              <w:cnfStyle w:val="000000000000" w:firstRow="0" w:lastRow="0" w:firstColumn="0" w:lastColumn="0" w:oddVBand="0" w:evenVBand="0" w:oddHBand="0" w:evenHBand="0" w:firstRowFirstColumn="0" w:firstRowLastColumn="0" w:lastRowFirstColumn="0" w:lastRowLastColumn="0"/>
            </w:pPr>
            <w:r>
              <w:t>Cancer Australia</w:t>
            </w:r>
          </w:p>
        </w:tc>
      </w:tr>
      <w:tr w:rsidR="00FC0B90" w14:paraId="18BA29D4" w14:textId="77777777" w:rsidTr="0033561C">
        <w:tc>
          <w:tcPr>
            <w:cnfStyle w:val="001000000000" w:firstRow="0" w:lastRow="0" w:firstColumn="1" w:lastColumn="0" w:oddVBand="0" w:evenVBand="0" w:oddHBand="0" w:evenHBand="0" w:firstRowFirstColumn="0" w:firstRowLastColumn="0" w:lastRowFirstColumn="0" w:lastRowLastColumn="0"/>
            <w:tcW w:w="3539" w:type="dxa"/>
          </w:tcPr>
          <w:p w14:paraId="10683772" w14:textId="44953344" w:rsidR="00FC0B90" w:rsidRDefault="00086E5C" w:rsidP="00580D49">
            <w:pPr>
              <w:pStyle w:val="TableText"/>
            </w:pPr>
            <w:r>
              <w:t>Proportion requiring a prosthesis</w:t>
            </w:r>
          </w:p>
        </w:tc>
        <w:tc>
          <w:tcPr>
            <w:tcW w:w="1276" w:type="dxa"/>
          </w:tcPr>
          <w:p w14:paraId="0923D26E" w14:textId="2E7F7330" w:rsidR="00FC0B90" w:rsidRDefault="00977E18" w:rsidP="00580D49">
            <w:pPr>
              <w:pStyle w:val="TableText"/>
              <w:cnfStyle w:val="000000000000" w:firstRow="0" w:lastRow="0" w:firstColumn="0" w:lastColumn="0" w:oddVBand="0" w:evenVBand="0" w:oddHBand="0" w:evenHBand="0" w:firstRowFirstColumn="0" w:firstRowLastColumn="0" w:lastRowFirstColumn="0" w:lastRowLastColumn="0"/>
            </w:pPr>
            <w:r>
              <w:t>35.0%</w:t>
            </w:r>
          </w:p>
        </w:tc>
        <w:tc>
          <w:tcPr>
            <w:tcW w:w="5379" w:type="dxa"/>
          </w:tcPr>
          <w:p w14:paraId="3E4C85EA" w14:textId="384BCAB7" w:rsidR="00FC0B90" w:rsidRDefault="007E7813" w:rsidP="00580D49">
            <w:pPr>
              <w:pStyle w:val="TableText"/>
              <w:cnfStyle w:val="000000000000" w:firstRow="0" w:lastRow="0" w:firstColumn="0" w:lastColumn="0" w:oddVBand="0" w:evenVBand="0" w:oddHBand="0" w:evenHBand="0" w:firstRowFirstColumn="0" w:firstRowLastColumn="0" w:lastRowFirstColumn="0" w:lastRowLastColumn="0"/>
            </w:pPr>
            <w:r w:rsidRPr="007E7813">
              <w:t>Huang, Y., &amp; Guo, Y. (2024). Quality of life among people with eye cancer: a systematic review from 2012 to 2022. </w:t>
            </w:r>
            <w:r w:rsidRPr="007E7813">
              <w:rPr>
                <w:i/>
              </w:rPr>
              <w:t>Health and quality of life outcomes</w:t>
            </w:r>
            <w:r w:rsidRPr="007E7813">
              <w:t>, </w:t>
            </w:r>
            <w:r w:rsidRPr="007E7813">
              <w:rPr>
                <w:i/>
              </w:rPr>
              <w:t>22</w:t>
            </w:r>
            <w:r w:rsidRPr="007E7813">
              <w:t>(1), 3. https://doi.org/10.1186/s12955-023-02219-6</w:t>
            </w:r>
            <w:r w:rsidR="00B433EA" w:rsidRPr="00B433EA">
              <w:t>.</w:t>
            </w:r>
          </w:p>
        </w:tc>
      </w:tr>
    </w:tbl>
    <w:p w14:paraId="2F68F255" w14:textId="019F2BFA" w:rsidR="003F7BD8" w:rsidRDefault="00580D49" w:rsidP="00580D49">
      <w:pPr>
        <w:pStyle w:val="Caption-Source"/>
      </w:pPr>
      <w:r w:rsidRPr="00B56150">
        <w:t>Source:</w:t>
      </w:r>
      <w:r>
        <w:t xml:space="preserve"> </w:t>
      </w:r>
      <w:r w:rsidR="00100D32">
        <w:t>Independent reviewer</w:t>
      </w:r>
      <w:r w:rsidR="00100D32" w:rsidRPr="00CD3106">
        <w:t xml:space="preserve"> </w:t>
      </w:r>
      <w:r>
        <w:t>(2025)</w:t>
      </w:r>
      <w:r w:rsidR="003F7BD8">
        <w:br w:type="page"/>
      </w:r>
    </w:p>
    <w:p w14:paraId="05C17852" w14:textId="1F81A55D" w:rsidR="00355B9C" w:rsidRDefault="00355B9C" w:rsidP="00355B9C">
      <w:pPr>
        <w:pStyle w:val="Caption"/>
      </w:pPr>
      <w:bookmarkStart w:id="395" w:name="_Toc207348705"/>
      <w:r>
        <w:t xml:space="preserve">Table </w:t>
      </w:r>
      <w:r>
        <w:fldChar w:fldCharType="begin"/>
      </w:r>
      <w:r>
        <w:instrText xml:space="preserve"> SEQ Table \* ARABIC </w:instrText>
      </w:r>
      <w:r>
        <w:fldChar w:fldCharType="separate"/>
      </w:r>
      <w:r>
        <w:rPr>
          <w:noProof/>
        </w:rPr>
        <w:t>140</w:t>
      </w:r>
      <w:r>
        <w:rPr>
          <w:noProof/>
        </w:rPr>
        <w:fldChar w:fldCharType="end"/>
      </w:r>
      <w:r>
        <w:t xml:space="preserve">: </w:t>
      </w:r>
      <w:r w:rsidRPr="008A0B79">
        <w:t xml:space="preserve">Cost model inputs for </w:t>
      </w:r>
      <w:r>
        <w:t>sarcoma of all types</w:t>
      </w:r>
      <w:bookmarkEnd w:id="395"/>
    </w:p>
    <w:tbl>
      <w:tblPr>
        <w:tblStyle w:val="KPMGTable"/>
        <w:tblW w:w="0" w:type="auto"/>
        <w:tblLook w:val="04A0" w:firstRow="1" w:lastRow="0" w:firstColumn="1" w:lastColumn="0" w:noHBand="0" w:noVBand="1"/>
      </w:tblPr>
      <w:tblGrid>
        <w:gridCol w:w="3539"/>
        <w:gridCol w:w="1276"/>
        <w:gridCol w:w="5379"/>
      </w:tblGrid>
      <w:tr w:rsidR="00EF4A46" w14:paraId="67F0F848" w14:textId="77777777" w:rsidTr="00355B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1B1762F1" w14:textId="2C68DE12" w:rsidR="00355B9C" w:rsidRDefault="00355B9C" w:rsidP="00355B9C">
            <w:pPr>
              <w:pStyle w:val="TableHeading"/>
              <w:rPr>
                <w:szCs w:val="20"/>
              </w:rPr>
            </w:pPr>
            <w:r w:rsidRPr="00FB6194">
              <w:t>Item</w:t>
            </w:r>
          </w:p>
        </w:tc>
        <w:tc>
          <w:tcPr>
            <w:tcW w:w="1276" w:type="dxa"/>
          </w:tcPr>
          <w:p w14:paraId="6B3B8699" w14:textId="4E1C1B73" w:rsidR="00355B9C" w:rsidRDefault="00355B9C" w:rsidP="00355B9C">
            <w:pPr>
              <w:pStyle w:val="TableHeading"/>
              <w:cnfStyle w:val="100000000000" w:firstRow="1" w:lastRow="0" w:firstColumn="0" w:lastColumn="0" w:oddVBand="0" w:evenVBand="0" w:oddHBand="0" w:evenHBand="0" w:firstRowFirstColumn="0" w:firstRowLastColumn="0" w:lastRowFirstColumn="0" w:lastRowLastColumn="0"/>
              <w:rPr>
                <w:szCs w:val="20"/>
              </w:rPr>
            </w:pPr>
            <w:r w:rsidRPr="00FB6194">
              <w:t>Value</w:t>
            </w:r>
          </w:p>
        </w:tc>
        <w:tc>
          <w:tcPr>
            <w:tcW w:w="5379" w:type="dxa"/>
          </w:tcPr>
          <w:p w14:paraId="65A78D9F" w14:textId="2755EC7C" w:rsidR="00355B9C" w:rsidRDefault="00355B9C" w:rsidP="00355B9C">
            <w:pPr>
              <w:pStyle w:val="TableHeading"/>
              <w:cnfStyle w:val="100000000000" w:firstRow="1" w:lastRow="0" w:firstColumn="0" w:lastColumn="0" w:oddVBand="0" w:evenVBand="0" w:oddHBand="0" w:evenHBand="0" w:firstRowFirstColumn="0" w:firstRowLastColumn="0" w:lastRowFirstColumn="0" w:lastRowLastColumn="0"/>
              <w:rPr>
                <w:szCs w:val="20"/>
              </w:rPr>
            </w:pPr>
            <w:r w:rsidRPr="00FB6194">
              <w:t>Source</w:t>
            </w:r>
          </w:p>
        </w:tc>
      </w:tr>
      <w:tr w:rsidR="00636BF4" w14:paraId="222A21C5" w14:textId="77777777" w:rsidTr="00355B9C">
        <w:tc>
          <w:tcPr>
            <w:cnfStyle w:val="001000000000" w:firstRow="0" w:lastRow="0" w:firstColumn="1" w:lastColumn="0" w:oddVBand="0" w:evenVBand="0" w:oddHBand="0" w:evenHBand="0" w:firstRowFirstColumn="0" w:firstRowLastColumn="0" w:lastRowFirstColumn="0" w:lastRowLastColumn="0"/>
            <w:tcW w:w="3539" w:type="dxa"/>
          </w:tcPr>
          <w:p w14:paraId="560CB6CD" w14:textId="6F551AC6" w:rsidR="00636BF4" w:rsidRPr="00355B9C" w:rsidRDefault="00636BF4" w:rsidP="00355B9C">
            <w:pPr>
              <w:pStyle w:val="TableText"/>
            </w:pPr>
            <w:r w:rsidRPr="00355B9C">
              <w:t>Cases (2024 estimate)</w:t>
            </w:r>
          </w:p>
        </w:tc>
        <w:tc>
          <w:tcPr>
            <w:tcW w:w="1276" w:type="dxa"/>
          </w:tcPr>
          <w:p w14:paraId="40CDB87B" w14:textId="62491B40" w:rsidR="00636BF4" w:rsidRPr="00355B9C" w:rsidRDefault="00D507A8" w:rsidP="00355B9C">
            <w:pPr>
              <w:pStyle w:val="TableText"/>
              <w:cnfStyle w:val="000000000000" w:firstRow="0" w:lastRow="0" w:firstColumn="0" w:lastColumn="0" w:oddVBand="0" w:evenVBand="0" w:oddHBand="0" w:evenHBand="0" w:firstRowFirstColumn="0" w:firstRowLastColumn="0" w:lastRowFirstColumn="0" w:lastRowLastColumn="0"/>
            </w:pPr>
            <w:r w:rsidRPr="00355B9C">
              <w:t>1,782</w:t>
            </w:r>
          </w:p>
        </w:tc>
        <w:tc>
          <w:tcPr>
            <w:tcW w:w="5379" w:type="dxa"/>
          </w:tcPr>
          <w:p w14:paraId="2F2B10A4" w14:textId="78B18769" w:rsidR="00636BF4" w:rsidRPr="00355B9C" w:rsidRDefault="00161CF4" w:rsidP="00355B9C">
            <w:pPr>
              <w:pStyle w:val="TableText"/>
              <w:cnfStyle w:val="000000000000" w:firstRow="0" w:lastRow="0" w:firstColumn="0" w:lastColumn="0" w:oddVBand="0" w:evenVBand="0" w:oddHBand="0" w:evenHBand="0" w:firstRowFirstColumn="0" w:firstRowLastColumn="0" w:lastRowFirstColumn="0" w:lastRowLastColumn="0"/>
            </w:pPr>
            <w:r w:rsidRPr="00355B9C">
              <w:t>AIHW Australian Cancer Database</w:t>
            </w:r>
          </w:p>
        </w:tc>
      </w:tr>
      <w:tr w:rsidR="00636BF4" w14:paraId="5742FB8F" w14:textId="77777777" w:rsidTr="00355B9C">
        <w:tc>
          <w:tcPr>
            <w:cnfStyle w:val="001000000000" w:firstRow="0" w:lastRow="0" w:firstColumn="1" w:lastColumn="0" w:oddVBand="0" w:evenVBand="0" w:oddHBand="0" w:evenHBand="0" w:firstRowFirstColumn="0" w:firstRowLastColumn="0" w:lastRowFirstColumn="0" w:lastRowLastColumn="0"/>
            <w:tcW w:w="3539" w:type="dxa"/>
          </w:tcPr>
          <w:p w14:paraId="609010E4" w14:textId="2EF10615" w:rsidR="00636BF4" w:rsidRPr="00355B9C" w:rsidRDefault="00636BF4" w:rsidP="00355B9C">
            <w:pPr>
              <w:pStyle w:val="TableText"/>
            </w:pPr>
            <w:r w:rsidRPr="00355B9C">
              <w:t>Age-standardised Incidence (per 100,000 people)</w:t>
            </w:r>
          </w:p>
        </w:tc>
        <w:tc>
          <w:tcPr>
            <w:tcW w:w="1276" w:type="dxa"/>
          </w:tcPr>
          <w:p w14:paraId="11E4F497" w14:textId="5510830B" w:rsidR="00636BF4" w:rsidRPr="00355B9C" w:rsidRDefault="00F65EC0" w:rsidP="00355B9C">
            <w:pPr>
              <w:pStyle w:val="TableText"/>
              <w:cnfStyle w:val="000000000000" w:firstRow="0" w:lastRow="0" w:firstColumn="0" w:lastColumn="0" w:oddVBand="0" w:evenVBand="0" w:oddHBand="0" w:evenHBand="0" w:firstRowFirstColumn="0" w:firstRowLastColumn="0" w:lastRowFirstColumn="0" w:lastRowLastColumn="0"/>
            </w:pPr>
            <w:r w:rsidRPr="00355B9C">
              <w:t>9.9</w:t>
            </w:r>
          </w:p>
        </w:tc>
        <w:tc>
          <w:tcPr>
            <w:tcW w:w="5379" w:type="dxa"/>
          </w:tcPr>
          <w:p w14:paraId="1787FEB4" w14:textId="4DA4C998" w:rsidR="00636BF4" w:rsidRPr="00355B9C" w:rsidRDefault="00161CF4" w:rsidP="00355B9C">
            <w:pPr>
              <w:pStyle w:val="TableText"/>
              <w:cnfStyle w:val="000000000000" w:firstRow="0" w:lastRow="0" w:firstColumn="0" w:lastColumn="0" w:oddVBand="0" w:evenVBand="0" w:oddHBand="0" w:evenHBand="0" w:firstRowFirstColumn="0" w:firstRowLastColumn="0" w:lastRowFirstColumn="0" w:lastRowLastColumn="0"/>
            </w:pPr>
            <w:r w:rsidRPr="00355B9C">
              <w:t>AIHW Australian Cancer Database</w:t>
            </w:r>
          </w:p>
        </w:tc>
      </w:tr>
      <w:tr w:rsidR="00636BF4" w14:paraId="19C16097" w14:textId="77777777" w:rsidTr="00355B9C">
        <w:tc>
          <w:tcPr>
            <w:cnfStyle w:val="001000000000" w:firstRow="0" w:lastRow="0" w:firstColumn="1" w:lastColumn="0" w:oddVBand="0" w:evenVBand="0" w:oddHBand="0" w:evenHBand="0" w:firstRowFirstColumn="0" w:firstRowLastColumn="0" w:lastRowFirstColumn="0" w:lastRowLastColumn="0"/>
            <w:tcW w:w="3539" w:type="dxa"/>
          </w:tcPr>
          <w:p w14:paraId="69557EBE" w14:textId="6F8319AF" w:rsidR="00636BF4" w:rsidRPr="00355B9C" w:rsidRDefault="00636BF4" w:rsidP="00355B9C">
            <w:pPr>
              <w:pStyle w:val="TableText"/>
            </w:pPr>
            <w:r w:rsidRPr="00355B9C">
              <w:t>5-year survival</w:t>
            </w:r>
          </w:p>
        </w:tc>
        <w:tc>
          <w:tcPr>
            <w:tcW w:w="1276" w:type="dxa"/>
          </w:tcPr>
          <w:p w14:paraId="0FEC25C1" w14:textId="68D4C545" w:rsidR="00636BF4" w:rsidRPr="00355B9C" w:rsidRDefault="006564F9" w:rsidP="00355B9C">
            <w:pPr>
              <w:pStyle w:val="TableText"/>
              <w:cnfStyle w:val="000000000000" w:firstRow="0" w:lastRow="0" w:firstColumn="0" w:lastColumn="0" w:oddVBand="0" w:evenVBand="0" w:oddHBand="0" w:evenHBand="0" w:firstRowFirstColumn="0" w:firstRowLastColumn="0" w:lastRowFirstColumn="0" w:lastRowLastColumn="0"/>
            </w:pPr>
            <w:r w:rsidRPr="00355B9C">
              <w:t>70.0%</w:t>
            </w:r>
          </w:p>
        </w:tc>
        <w:tc>
          <w:tcPr>
            <w:tcW w:w="5379" w:type="dxa"/>
          </w:tcPr>
          <w:p w14:paraId="717111B6" w14:textId="45D6AF33" w:rsidR="00636BF4" w:rsidRPr="00355B9C" w:rsidRDefault="00161CF4" w:rsidP="00355B9C">
            <w:pPr>
              <w:pStyle w:val="TableText"/>
              <w:cnfStyle w:val="000000000000" w:firstRow="0" w:lastRow="0" w:firstColumn="0" w:lastColumn="0" w:oddVBand="0" w:evenVBand="0" w:oddHBand="0" w:evenHBand="0" w:firstRowFirstColumn="0" w:firstRowLastColumn="0" w:lastRowFirstColumn="0" w:lastRowLastColumn="0"/>
            </w:pPr>
            <w:r w:rsidRPr="00355B9C">
              <w:t>Cancer Australia</w:t>
            </w:r>
          </w:p>
        </w:tc>
      </w:tr>
      <w:tr w:rsidR="00C048CD" w14:paraId="06CD2239" w14:textId="77777777" w:rsidTr="00355B9C">
        <w:tc>
          <w:tcPr>
            <w:cnfStyle w:val="001000000000" w:firstRow="0" w:lastRow="0" w:firstColumn="1" w:lastColumn="0" w:oddVBand="0" w:evenVBand="0" w:oddHBand="0" w:evenHBand="0" w:firstRowFirstColumn="0" w:firstRowLastColumn="0" w:lastRowFirstColumn="0" w:lastRowLastColumn="0"/>
            <w:tcW w:w="3539" w:type="dxa"/>
          </w:tcPr>
          <w:p w14:paraId="0C4CE52E" w14:textId="5FA3475C" w:rsidR="00C048CD" w:rsidRPr="00355B9C" w:rsidRDefault="00C048CD" w:rsidP="00355B9C">
            <w:pPr>
              <w:pStyle w:val="TableText"/>
            </w:pPr>
            <w:r w:rsidRPr="00355B9C">
              <w:t>Proportion requiring an amputation</w:t>
            </w:r>
          </w:p>
        </w:tc>
        <w:tc>
          <w:tcPr>
            <w:tcW w:w="1276" w:type="dxa"/>
          </w:tcPr>
          <w:p w14:paraId="7D00D52C" w14:textId="28F63F0D" w:rsidR="00C048CD" w:rsidRPr="00355B9C" w:rsidRDefault="00F50864" w:rsidP="00355B9C">
            <w:pPr>
              <w:pStyle w:val="TableText"/>
              <w:cnfStyle w:val="000000000000" w:firstRow="0" w:lastRow="0" w:firstColumn="0" w:lastColumn="0" w:oddVBand="0" w:evenVBand="0" w:oddHBand="0" w:evenHBand="0" w:firstRowFirstColumn="0" w:firstRowLastColumn="0" w:lastRowFirstColumn="0" w:lastRowLastColumn="0"/>
            </w:pPr>
            <w:r w:rsidRPr="00355B9C">
              <w:t>4.20%</w:t>
            </w:r>
          </w:p>
        </w:tc>
        <w:tc>
          <w:tcPr>
            <w:tcW w:w="5379" w:type="dxa"/>
          </w:tcPr>
          <w:p w14:paraId="23FEF36B" w14:textId="1CFF93ED" w:rsidR="00C048CD" w:rsidRPr="00355B9C" w:rsidRDefault="006E159D" w:rsidP="00355B9C">
            <w:pPr>
              <w:pStyle w:val="TableText"/>
              <w:cnfStyle w:val="000000000000" w:firstRow="0" w:lastRow="0" w:firstColumn="0" w:lastColumn="0" w:oddVBand="0" w:evenVBand="0" w:oddHBand="0" w:evenHBand="0" w:firstRowFirstColumn="0" w:firstRowLastColumn="0" w:lastRowFirstColumn="0" w:lastRowLastColumn="0"/>
            </w:pPr>
            <w:r w:rsidRPr="00355B9C">
              <w:t>Dilday, J.C., Nelson, D.W., Fischer, T.D. et al. Disparities in Amputation Rates for Non-metastatic Extremity Soft Tissue Sarcomas and the Impact on Survival. Ann Surg Oncol 28, 576–584 (2021). https://doi.org/10.1245/s10434-020-08586-4</w:t>
            </w:r>
          </w:p>
        </w:tc>
      </w:tr>
    </w:tbl>
    <w:p w14:paraId="3778DC3F" w14:textId="0173B977" w:rsidR="00355B9C" w:rsidRDefault="00355B9C" w:rsidP="00355B9C">
      <w:pPr>
        <w:pStyle w:val="Caption-Source"/>
      </w:pPr>
      <w:r w:rsidRPr="00B56150">
        <w:t>Source:</w:t>
      </w:r>
      <w:r>
        <w:t xml:space="preserve"> </w:t>
      </w:r>
      <w:r w:rsidR="00100D32">
        <w:t>Independent reviewer</w:t>
      </w:r>
      <w:r w:rsidR="00100D32" w:rsidRPr="00CD3106">
        <w:t xml:space="preserve"> </w:t>
      </w:r>
      <w:r>
        <w:t>(2025)</w:t>
      </w:r>
    </w:p>
    <w:p w14:paraId="0CFED35F" w14:textId="7E5EC11C" w:rsidR="00355B9C" w:rsidRDefault="00355B9C" w:rsidP="00355B9C">
      <w:pPr>
        <w:pStyle w:val="Caption"/>
      </w:pPr>
      <w:bookmarkStart w:id="396" w:name="_Toc207348706"/>
      <w:r>
        <w:t xml:space="preserve">Table </w:t>
      </w:r>
      <w:r>
        <w:fldChar w:fldCharType="begin"/>
      </w:r>
      <w:r>
        <w:instrText xml:space="preserve"> SEQ Table \* ARABIC </w:instrText>
      </w:r>
      <w:r>
        <w:fldChar w:fldCharType="separate"/>
      </w:r>
      <w:r>
        <w:rPr>
          <w:noProof/>
        </w:rPr>
        <w:t>141</w:t>
      </w:r>
      <w:r>
        <w:rPr>
          <w:noProof/>
        </w:rPr>
        <w:fldChar w:fldCharType="end"/>
      </w:r>
      <w:r>
        <w:t xml:space="preserve">: </w:t>
      </w:r>
      <w:r w:rsidRPr="00290D4F">
        <w:t xml:space="preserve">Cost model inputs for </w:t>
      </w:r>
      <w:r>
        <w:t>breast cancer</w:t>
      </w:r>
      <w:bookmarkEnd w:id="396"/>
    </w:p>
    <w:tbl>
      <w:tblPr>
        <w:tblStyle w:val="KPMGTable"/>
        <w:tblW w:w="0" w:type="auto"/>
        <w:tblLook w:val="04A0" w:firstRow="1" w:lastRow="0" w:firstColumn="1" w:lastColumn="0" w:noHBand="0" w:noVBand="1"/>
      </w:tblPr>
      <w:tblGrid>
        <w:gridCol w:w="3539"/>
        <w:gridCol w:w="1276"/>
        <w:gridCol w:w="5379"/>
      </w:tblGrid>
      <w:tr w:rsidR="00EF4A46" w14:paraId="3125D629" w14:textId="77777777" w:rsidTr="00355B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2DC6B51B" w14:textId="78882212" w:rsidR="00355B9C" w:rsidRDefault="00355B9C" w:rsidP="00355B9C">
            <w:pPr>
              <w:pStyle w:val="TableHeading"/>
              <w:rPr>
                <w:szCs w:val="20"/>
              </w:rPr>
            </w:pPr>
            <w:r w:rsidRPr="00FB6194">
              <w:t>Item</w:t>
            </w:r>
          </w:p>
        </w:tc>
        <w:tc>
          <w:tcPr>
            <w:tcW w:w="1276" w:type="dxa"/>
          </w:tcPr>
          <w:p w14:paraId="3B1E9B09" w14:textId="198FFDE9" w:rsidR="00355B9C" w:rsidRDefault="00355B9C" w:rsidP="00355B9C">
            <w:pPr>
              <w:pStyle w:val="TableHeading"/>
              <w:cnfStyle w:val="100000000000" w:firstRow="1" w:lastRow="0" w:firstColumn="0" w:lastColumn="0" w:oddVBand="0" w:evenVBand="0" w:oddHBand="0" w:evenHBand="0" w:firstRowFirstColumn="0" w:firstRowLastColumn="0" w:lastRowFirstColumn="0" w:lastRowLastColumn="0"/>
              <w:rPr>
                <w:szCs w:val="20"/>
              </w:rPr>
            </w:pPr>
            <w:r w:rsidRPr="00FB6194">
              <w:t>Value</w:t>
            </w:r>
          </w:p>
        </w:tc>
        <w:tc>
          <w:tcPr>
            <w:tcW w:w="5379" w:type="dxa"/>
          </w:tcPr>
          <w:p w14:paraId="202E7406" w14:textId="440C8060" w:rsidR="00355B9C" w:rsidRDefault="00355B9C" w:rsidP="00355B9C">
            <w:pPr>
              <w:pStyle w:val="TableHeading"/>
              <w:cnfStyle w:val="100000000000" w:firstRow="1" w:lastRow="0" w:firstColumn="0" w:lastColumn="0" w:oddVBand="0" w:evenVBand="0" w:oddHBand="0" w:evenHBand="0" w:firstRowFirstColumn="0" w:firstRowLastColumn="0" w:lastRowFirstColumn="0" w:lastRowLastColumn="0"/>
              <w:rPr>
                <w:szCs w:val="20"/>
              </w:rPr>
            </w:pPr>
            <w:r w:rsidRPr="00FB6194">
              <w:t>Source</w:t>
            </w:r>
          </w:p>
        </w:tc>
      </w:tr>
      <w:tr w:rsidR="003E2BDC" w14:paraId="701AF19F" w14:textId="77777777" w:rsidTr="00355B9C">
        <w:tc>
          <w:tcPr>
            <w:cnfStyle w:val="001000000000" w:firstRow="0" w:lastRow="0" w:firstColumn="1" w:lastColumn="0" w:oddVBand="0" w:evenVBand="0" w:oddHBand="0" w:evenHBand="0" w:firstRowFirstColumn="0" w:firstRowLastColumn="0" w:lastRowFirstColumn="0" w:lastRowLastColumn="0"/>
            <w:tcW w:w="3539" w:type="dxa"/>
          </w:tcPr>
          <w:p w14:paraId="3798244C" w14:textId="4712D22D" w:rsidR="003E2BDC" w:rsidRPr="00355B9C" w:rsidRDefault="003E2BDC" w:rsidP="00355B9C">
            <w:pPr>
              <w:pStyle w:val="TableText"/>
            </w:pPr>
            <w:r w:rsidRPr="00355B9C">
              <w:t>Cases (2024 estimate</w:t>
            </w:r>
            <w:r w:rsidR="00A7279C" w:rsidRPr="00355B9C">
              <w:t>, female only</w:t>
            </w:r>
            <w:r w:rsidRPr="00355B9C">
              <w:t>)</w:t>
            </w:r>
          </w:p>
        </w:tc>
        <w:tc>
          <w:tcPr>
            <w:tcW w:w="1276" w:type="dxa"/>
          </w:tcPr>
          <w:p w14:paraId="62B5569E" w14:textId="74888F25" w:rsidR="003E2BDC" w:rsidRPr="00355B9C" w:rsidRDefault="00A7279C" w:rsidP="00355B9C">
            <w:pPr>
              <w:pStyle w:val="TableText"/>
              <w:cnfStyle w:val="000000000000" w:firstRow="0" w:lastRow="0" w:firstColumn="0" w:lastColumn="0" w:oddVBand="0" w:evenVBand="0" w:oddHBand="0" w:evenHBand="0" w:firstRowFirstColumn="0" w:firstRowLastColumn="0" w:lastRowFirstColumn="0" w:lastRowLastColumn="0"/>
            </w:pPr>
            <w:r w:rsidRPr="00355B9C">
              <w:t>20,973</w:t>
            </w:r>
          </w:p>
        </w:tc>
        <w:tc>
          <w:tcPr>
            <w:tcW w:w="5379" w:type="dxa"/>
          </w:tcPr>
          <w:p w14:paraId="61C8D186" w14:textId="1940D6A0" w:rsidR="003E2BDC" w:rsidRPr="00355B9C" w:rsidRDefault="003E2BDC" w:rsidP="00355B9C">
            <w:pPr>
              <w:pStyle w:val="TableText"/>
              <w:cnfStyle w:val="000000000000" w:firstRow="0" w:lastRow="0" w:firstColumn="0" w:lastColumn="0" w:oddVBand="0" w:evenVBand="0" w:oddHBand="0" w:evenHBand="0" w:firstRowFirstColumn="0" w:firstRowLastColumn="0" w:lastRowFirstColumn="0" w:lastRowLastColumn="0"/>
            </w:pPr>
            <w:r w:rsidRPr="00355B9C">
              <w:t>AIHW Australian Cancer Database</w:t>
            </w:r>
          </w:p>
        </w:tc>
      </w:tr>
      <w:tr w:rsidR="003E2BDC" w14:paraId="1B1F2B6E" w14:textId="77777777" w:rsidTr="00355B9C">
        <w:tc>
          <w:tcPr>
            <w:cnfStyle w:val="001000000000" w:firstRow="0" w:lastRow="0" w:firstColumn="1" w:lastColumn="0" w:oddVBand="0" w:evenVBand="0" w:oddHBand="0" w:evenHBand="0" w:firstRowFirstColumn="0" w:firstRowLastColumn="0" w:lastRowFirstColumn="0" w:lastRowLastColumn="0"/>
            <w:tcW w:w="3539" w:type="dxa"/>
          </w:tcPr>
          <w:p w14:paraId="3152A107" w14:textId="43833A08" w:rsidR="003E2BDC" w:rsidRPr="00355B9C" w:rsidRDefault="003E2BDC" w:rsidP="00355B9C">
            <w:pPr>
              <w:pStyle w:val="TableText"/>
            </w:pPr>
            <w:r w:rsidRPr="00355B9C">
              <w:t>Age-standardised Incidence (per 100,000 people)</w:t>
            </w:r>
          </w:p>
        </w:tc>
        <w:tc>
          <w:tcPr>
            <w:tcW w:w="1276" w:type="dxa"/>
          </w:tcPr>
          <w:p w14:paraId="49F844D0" w14:textId="6684123E" w:rsidR="003E2BDC" w:rsidRPr="00355B9C" w:rsidRDefault="00A7279C" w:rsidP="00355B9C">
            <w:pPr>
              <w:pStyle w:val="TableText"/>
              <w:cnfStyle w:val="000000000000" w:firstRow="0" w:lastRow="0" w:firstColumn="0" w:lastColumn="0" w:oddVBand="0" w:evenVBand="0" w:oddHBand="0" w:evenHBand="0" w:firstRowFirstColumn="0" w:firstRowLastColumn="0" w:lastRowFirstColumn="0" w:lastRowLastColumn="0"/>
            </w:pPr>
            <w:r w:rsidRPr="00355B9C">
              <w:t>78.1</w:t>
            </w:r>
          </w:p>
        </w:tc>
        <w:tc>
          <w:tcPr>
            <w:tcW w:w="5379" w:type="dxa"/>
          </w:tcPr>
          <w:p w14:paraId="5474AD0A" w14:textId="67767C9B" w:rsidR="003E2BDC" w:rsidRPr="00355B9C" w:rsidRDefault="003E2BDC" w:rsidP="00355B9C">
            <w:pPr>
              <w:pStyle w:val="TableText"/>
              <w:cnfStyle w:val="000000000000" w:firstRow="0" w:lastRow="0" w:firstColumn="0" w:lastColumn="0" w:oddVBand="0" w:evenVBand="0" w:oddHBand="0" w:evenHBand="0" w:firstRowFirstColumn="0" w:firstRowLastColumn="0" w:lastRowFirstColumn="0" w:lastRowLastColumn="0"/>
            </w:pPr>
            <w:r w:rsidRPr="00355B9C">
              <w:t>AIHW Australian Cancer Database</w:t>
            </w:r>
          </w:p>
        </w:tc>
      </w:tr>
      <w:tr w:rsidR="003E2BDC" w14:paraId="41D1298F" w14:textId="77777777" w:rsidTr="00355B9C">
        <w:tc>
          <w:tcPr>
            <w:cnfStyle w:val="001000000000" w:firstRow="0" w:lastRow="0" w:firstColumn="1" w:lastColumn="0" w:oddVBand="0" w:evenVBand="0" w:oddHBand="0" w:evenHBand="0" w:firstRowFirstColumn="0" w:firstRowLastColumn="0" w:lastRowFirstColumn="0" w:lastRowLastColumn="0"/>
            <w:tcW w:w="3539" w:type="dxa"/>
          </w:tcPr>
          <w:p w14:paraId="46AC1DCC" w14:textId="1C561E39" w:rsidR="003E2BDC" w:rsidRPr="00355B9C" w:rsidRDefault="003E2BDC" w:rsidP="00355B9C">
            <w:pPr>
              <w:pStyle w:val="TableText"/>
            </w:pPr>
            <w:r w:rsidRPr="00355B9C">
              <w:t>5-year survival</w:t>
            </w:r>
          </w:p>
        </w:tc>
        <w:tc>
          <w:tcPr>
            <w:tcW w:w="1276" w:type="dxa"/>
          </w:tcPr>
          <w:p w14:paraId="53FFF9D1" w14:textId="0DA684B6" w:rsidR="003E2BDC" w:rsidRPr="00355B9C" w:rsidRDefault="003406B7" w:rsidP="00355B9C">
            <w:pPr>
              <w:pStyle w:val="TableText"/>
              <w:cnfStyle w:val="000000000000" w:firstRow="0" w:lastRow="0" w:firstColumn="0" w:lastColumn="0" w:oddVBand="0" w:evenVBand="0" w:oddHBand="0" w:evenHBand="0" w:firstRowFirstColumn="0" w:firstRowLastColumn="0" w:lastRowFirstColumn="0" w:lastRowLastColumn="0"/>
            </w:pPr>
            <w:r w:rsidRPr="00355B9C">
              <w:t>92.0%</w:t>
            </w:r>
          </w:p>
        </w:tc>
        <w:tc>
          <w:tcPr>
            <w:tcW w:w="5379" w:type="dxa"/>
          </w:tcPr>
          <w:p w14:paraId="1E1FB78C" w14:textId="47974743" w:rsidR="003E2BDC" w:rsidRPr="00355B9C" w:rsidRDefault="003E2BDC" w:rsidP="00355B9C">
            <w:pPr>
              <w:pStyle w:val="TableText"/>
              <w:cnfStyle w:val="000000000000" w:firstRow="0" w:lastRow="0" w:firstColumn="0" w:lastColumn="0" w:oddVBand="0" w:evenVBand="0" w:oddHBand="0" w:evenHBand="0" w:firstRowFirstColumn="0" w:firstRowLastColumn="0" w:lastRowFirstColumn="0" w:lastRowLastColumn="0"/>
            </w:pPr>
            <w:r w:rsidRPr="00355B9C">
              <w:t>Cancer Australia</w:t>
            </w:r>
          </w:p>
        </w:tc>
      </w:tr>
      <w:tr w:rsidR="003E2BDC" w14:paraId="1E0C021A" w14:textId="77777777" w:rsidTr="00355B9C">
        <w:tc>
          <w:tcPr>
            <w:cnfStyle w:val="001000000000" w:firstRow="0" w:lastRow="0" w:firstColumn="1" w:lastColumn="0" w:oddVBand="0" w:evenVBand="0" w:oddHBand="0" w:evenHBand="0" w:firstRowFirstColumn="0" w:firstRowLastColumn="0" w:lastRowFirstColumn="0" w:lastRowLastColumn="0"/>
            <w:tcW w:w="3539" w:type="dxa"/>
          </w:tcPr>
          <w:p w14:paraId="7D5B2E03" w14:textId="7C137BDA" w:rsidR="003E2BDC" w:rsidRPr="00355B9C" w:rsidRDefault="003406B7" w:rsidP="00355B9C">
            <w:pPr>
              <w:pStyle w:val="TableText"/>
            </w:pPr>
            <w:r w:rsidRPr="00355B9C">
              <w:t xml:space="preserve">Proportion of </w:t>
            </w:r>
            <w:r w:rsidR="006816D9" w:rsidRPr="00355B9C">
              <w:t>uni</w:t>
            </w:r>
            <w:r w:rsidRPr="00355B9C">
              <w:t>lateral mastectomy</w:t>
            </w:r>
          </w:p>
        </w:tc>
        <w:tc>
          <w:tcPr>
            <w:tcW w:w="1276" w:type="dxa"/>
          </w:tcPr>
          <w:p w14:paraId="2E012A58" w14:textId="66396533" w:rsidR="003E2BDC" w:rsidRPr="00355B9C" w:rsidRDefault="006816D9" w:rsidP="00355B9C">
            <w:pPr>
              <w:pStyle w:val="TableText"/>
              <w:cnfStyle w:val="000000000000" w:firstRow="0" w:lastRow="0" w:firstColumn="0" w:lastColumn="0" w:oddVBand="0" w:evenVBand="0" w:oddHBand="0" w:evenHBand="0" w:firstRowFirstColumn="0" w:firstRowLastColumn="0" w:lastRowFirstColumn="0" w:lastRowLastColumn="0"/>
            </w:pPr>
            <w:r w:rsidRPr="00355B9C">
              <w:t>21.0%</w:t>
            </w:r>
          </w:p>
        </w:tc>
        <w:tc>
          <w:tcPr>
            <w:tcW w:w="5379" w:type="dxa"/>
          </w:tcPr>
          <w:p w14:paraId="7DC2322E" w14:textId="74A35763" w:rsidR="003E2BDC" w:rsidRPr="00355B9C" w:rsidRDefault="001D0E1C" w:rsidP="00355B9C">
            <w:pPr>
              <w:pStyle w:val="TableText"/>
              <w:cnfStyle w:val="000000000000" w:firstRow="0" w:lastRow="0" w:firstColumn="0" w:lastColumn="0" w:oddVBand="0" w:evenVBand="0" w:oddHBand="0" w:evenHBand="0" w:firstRowFirstColumn="0" w:firstRowLastColumn="0" w:lastRowFirstColumn="0" w:lastRowLastColumn="0"/>
            </w:pPr>
            <w:r w:rsidRPr="00355B9C">
              <w:t>Fefferman M, Nicholson K, Kuchta K, Pesce C, </w:t>
            </w:r>
            <w:proofErr w:type="spellStart"/>
            <w:r w:rsidRPr="00355B9C">
              <w:t>Kopkash</w:t>
            </w:r>
            <w:proofErr w:type="spellEnd"/>
            <w:r w:rsidRPr="00355B9C">
              <w:t xml:space="preserve"> K, Yao K. Rates of Bilateral Mastectomy in Patients </w:t>
            </w:r>
            <w:proofErr w:type="gramStart"/>
            <w:r w:rsidRPr="00355B9C">
              <w:t>With</w:t>
            </w:r>
            <w:proofErr w:type="gramEnd"/>
            <w:r w:rsidRPr="00355B9C">
              <w:t xml:space="preserve"> Early-Stage Breast Cancer. JAMA </w:t>
            </w:r>
            <w:proofErr w:type="spellStart"/>
            <w:r w:rsidRPr="00355B9C">
              <w:t>Netw</w:t>
            </w:r>
            <w:proofErr w:type="spellEnd"/>
            <w:r w:rsidRPr="00355B9C">
              <w:t xml:space="preserve"> Open. 2023;6(1</w:t>
            </w:r>
            <w:proofErr w:type="gramStart"/>
            <w:r w:rsidRPr="00355B9C">
              <w:t>):e</w:t>
            </w:r>
            <w:proofErr w:type="gramEnd"/>
            <w:r w:rsidRPr="00355B9C">
              <w:t>2251348. doi:10.1001/jamanetworkopen.2022.51348</w:t>
            </w:r>
          </w:p>
        </w:tc>
      </w:tr>
      <w:tr w:rsidR="006816D9" w14:paraId="1B7974C2" w14:textId="77777777" w:rsidTr="00355B9C">
        <w:tc>
          <w:tcPr>
            <w:cnfStyle w:val="001000000000" w:firstRow="0" w:lastRow="0" w:firstColumn="1" w:lastColumn="0" w:oddVBand="0" w:evenVBand="0" w:oddHBand="0" w:evenHBand="0" w:firstRowFirstColumn="0" w:firstRowLastColumn="0" w:lastRowFirstColumn="0" w:lastRowLastColumn="0"/>
            <w:tcW w:w="3539" w:type="dxa"/>
          </w:tcPr>
          <w:p w14:paraId="4ED382A1" w14:textId="765F7E84" w:rsidR="006816D9" w:rsidRPr="00355B9C" w:rsidRDefault="006816D9" w:rsidP="00355B9C">
            <w:pPr>
              <w:pStyle w:val="TableText"/>
            </w:pPr>
            <w:r w:rsidRPr="00355B9C">
              <w:t>Proportion of bilateral mastectomy</w:t>
            </w:r>
          </w:p>
        </w:tc>
        <w:tc>
          <w:tcPr>
            <w:tcW w:w="1276" w:type="dxa"/>
          </w:tcPr>
          <w:p w14:paraId="23473F58" w14:textId="7E49599F" w:rsidR="006816D9" w:rsidRPr="00355B9C" w:rsidRDefault="00513BE8" w:rsidP="00355B9C">
            <w:pPr>
              <w:pStyle w:val="TableText"/>
              <w:cnfStyle w:val="000000000000" w:firstRow="0" w:lastRow="0" w:firstColumn="0" w:lastColumn="0" w:oddVBand="0" w:evenVBand="0" w:oddHBand="0" w:evenHBand="0" w:firstRowFirstColumn="0" w:firstRowLastColumn="0" w:lastRowFirstColumn="0" w:lastRowLastColumn="0"/>
            </w:pPr>
            <w:r w:rsidRPr="00355B9C">
              <w:t>12.5%</w:t>
            </w:r>
          </w:p>
        </w:tc>
        <w:tc>
          <w:tcPr>
            <w:tcW w:w="5379" w:type="dxa"/>
          </w:tcPr>
          <w:p w14:paraId="7F55D92C" w14:textId="7C3AEE8D" w:rsidR="006816D9" w:rsidRPr="00355B9C" w:rsidRDefault="00CB39C2" w:rsidP="00355B9C">
            <w:pPr>
              <w:pStyle w:val="TableText"/>
              <w:cnfStyle w:val="000000000000" w:firstRow="0" w:lastRow="0" w:firstColumn="0" w:lastColumn="0" w:oddVBand="0" w:evenVBand="0" w:oddHBand="0" w:evenHBand="0" w:firstRowFirstColumn="0" w:firstRowLastColumn="0" w:lastRowFirstColumn="0" w:lastRowLastColumn="0"/>
            </w:pPr>
            <w:r w:rsidRPr="00355B9C">
              <w:t>Fefferman M, Nicholson K, Kuchta K, Pesce C, </w:t>
            </w:r>
            <w:proofErr w:type="spellStart"/>
            <w:r w:rsidRPr="00355B9C">
              <w:t>Kopkash</w:t>
            </w:r>
            <w:proofErr w:type="spellEnd"/>
            <w:r w:rsidRPr="00355B9C">
              <w:t xml:space="preserve"> K, Yao K. Rates of Bilateral Mastectomy in Patients </w:t>
            </w:r>
            <w:proofErr w:type="gramStart"/>
            <w:r w:rsidRPr="00355B9C">
              <w:t>With</w:t>
            </w:r>
            <w:proofErr w:type="gramEnd"/>
            <w:r w:rsidRPr="00355B9C">
              <w:t xml:space="preserve"> Early-Stage Breast Cancer. JAMA </w:t>
            </w:r>
            <w:proofErr w:type="spellStart"/>
            <w:r w:rsidRPr="00355B9C">
              <w:t>Netw</w:t>
            </w:r>
            <w:proofErr w:type="spellEnd"/>
            <w:r w:rsidRPr="00355B9C">
              <w:t xml:space="preserve"> Open. 2023;6(1</w:t>
            </w:r>
            <w:proofErr w:type="gramStart"/>
            <w:r w:rsidRPr="00355B9C">
              <w:t>):e</w:t>
            </w:r>
            <w:proofErr w:type="gramEnd"/>
            <w:r w:rsidRPr="00355B9C">
              <w:t>2251348. doi:10.1001/jamanetworkopen.2022.51348</w:t>
            </w:r>
          </w:p>
        </w:tc>
      </w:tr>
      <w:tr w:rsidR="002E40D5" w14:paraId="4D6CAE3E" w14:textId="77777777" w:rsidTr="00355B9C">
        <w:tc>
          <w:tcPr>
            <w:cnfStyle w:val="001000000000" w:firstRow="0" w:lastRow="0" w:firstColumn="1" w:lastColumn="0" w:oddVBand="0" w:evenVBand="0" w:oddHBand="0" w:evenHBand="0" w:firstRowFirstColumn="0" w:firstRowLastColumn="0" w:lastRowFirstColumn="0" w:lastRowLastColumn="0"/>
            <w:tcW w:w="3539" w:type="dxa"/>
          </w:tcPr>
          <w:p w14:paraId="04EB7381" w14:textId="747D2837" w:rsidR="002E40D5" w:rsidRPr="00355B9C" w:rsidRDefault="002E40D5" w:rsidP="00355B9C">
            <w:pPr>
              <w:pStyle w:val="TableText"/>
            </w:pPr>
            <w:r w:rsidRPr="00355B9C">
              <w:t xml:space="preserve">Proportion that </w:t>
            </w:r>
            <w:proofErr w:type="gramStart"/>
            <w:r w:rsidRPr="00355B9C">
              <w:t>have</w:t>
            </w:r>
            <w:proofErr w:type="gramEnd"/>
            <w:r w:rsidRPr="00355B9C">
              <w:t xml:space="preserve"> reconstructive surgery</w:t>
            </w:r>
          </w:p>
        </w:tc>
        <w:tc>
          <w:tcPr>
            <w:tcW w:w="1276" w:type="dxa"/>
          </w:tcPr>
          <w:p w14:paraId="57BAE1FF" w14:textId="504937BC" w:rsidR="002E40D5" w:rsidRPr="00355B9C" w:rsidRDefault="002E40D5" w:rsidP="00355B9C">
            <w:pPr>
              <w:pStyle w:val="TableText"/>
              <w:cnfStyle w:val="000000000000" w:firstRow="0" w:lastRow="0" w:firstColumn="0" w:lastColumn="0" w:oddVBand="0" w:evenVBand="0" w:oddHBand="0" w:evenHBand="0" w:firstRowFirstColumn="0" w:firstRowLastColumn="0" w:lastRowFirstColumn="0" w:lastRowLastColumn="0"/>
            </w:pPr>
            <w:r w:rsidRPr="00355B9C">
              <w:t>50.0%</w:t>
            </w:r>
          </w:p>
        </w:tc>
        <w:tc>
          <w:tcPr>
            <w:tcW w:w="5379" w:type="dxa"/>
          </w:tcPr>
          <w:p w14:paraId="377CE512" w14:textId="218D1832" w:rsidR="002E40D5" w:rsidRPr="00355B9C" w:rsidRDefault="002E40D5" w:rsidP="00355B9C">
            <w:pPr>
              <w:pStyle w:val="TableText"/>
              <w:cnfStyle w:val="000000000000" w:firstRow="0" w:lastRow="0" w:firstColumn="0" w:lastColumn="0" w:oddVBand="0" w:evenVBand="0" w:oddHBand="0" w:evenHBand="0" w:firstRowFirstColumn="0" w:firstRowLastColumn="0" w:lastRowFirstColumn="0" w:lastRowLastColumn="0"/>
            </w:pPr>
            <w:r w:rsidRPr="00355B9C">
              <w:t>RACGP</w:t>
            </w:r>
          </w:p>
        </w:tc>
      </w:tr>
    </w:tbl>
    <w:p w14:paraId="2933C124" w14:textId="323675B8" w:rsidR="00355B9C" w:rsidRDefault="00355B9C" w:rsidP="00355B9C">
      <w:pPr>
        <w:pStyle w:val="Caption-Source"/>
      </w:pPr>
      <w:r w:rsidRPr="00B56150">
        <w:t>Source:</w:t>
      </w:r>
      <w:r>
        <w:t xml:space="preserve"> </w:t>
      </w:r>
      <w:r w:rsidR="00ED4E04">
        <w:t>Independent reviewer</w:t>
      </w:r>
      <w:r w:rsidR="00ED4E04" w:rsidRPr="00CD3106">
        <w:t xml:space="preserve"> </w:t>
      </w:r>
      <w:r>
        <w:t>(2025)</w:t>
      </w:r>
    </w:p>
    <w:p w14:paraId="722A0603" w14:textId="1A31D741" w:rsidR="00355B9C" w:rsidRDefault="00355B9C" w:rsidP="00355B9C">
      <w:pPr>
        <w:pStyle w:val="Caption"/>
      </w:pPr>
      <w:bookmarkStart w:id="397" w:name="_Toc207348707"/>
      <w:r>
        <w:t xml:space="preserve">Table </w:t>
      </w:r>
      <w:r>
        <w:fldChar w:fldCharType="begin"/>
      </w:r>
      <w:r>
        <w:instrText xml:space="preserve"> SEQ Table \* ARABIC </w:instrText>
      </w:r>
      <w:r>
        <w:fldChar w:fldCharType="separate"/>
      </w:r>
      <w:r>
        <w:rPr>
          <w:noProof/>
        </w:rPr>
        <w:t>142</w:t>
      </w:r>
      <w:r>
        <w:rPr>
          <w:noProof/>
        </w:rPr>
        <w:fldChar w:fldCharType="end"/>
      </w:r>
      <w:r>
        <w:t xml:space="preserve">: </w:t>
      </w:r>
      <w:r w:rsidRPr="00F53FDC">
        <w:t>Cost model inputs</w:t>
      </w:r>
      <w:bookmarkEnd w:id="397"/>
      <w:r w:rsidRPr="00F53FDC">
        <w:t xml:space="preserve"> </w:t>
      </w:r>
    </w:p>
    <w:tbl>
      <w:tblPr>
        <w:tblStyle w:val="KPMGTable"/>
        <w:tblW w:w="0" w:type="auto"/>
        <w:tblLook w:val="04A0" w:firstRow="1" w:lastRow="0" w:firstColumn="1" w:lastColumn="0" w:noHBand="0" w:noVBand="1"/>
      </w:tblPr>
      <w:tblGrid>
        <w:gridCol w:w="3539"/>
        <w:gridCol w:w="1276"/>
        <w:gridCol w:w="5379"/>
      </w:tblGrid>
      <w:tr w:rsidR="00EF4A46" w14:paraId="148DF76F" w14:textId="77777777" w:rsidTr="00355B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2DB9A587" w14:textId="4FE5EA05" w:rsidR="00355B9C" w:rsidRDefault="00355B9C" w:rsidP="00355B9C">
            <w:pPr>
              <w:pStyle w:val="TableHeading"/>
              <w:rPr>
                <w:szCs w:val="20"/>
              </w:rPr>
            </w:pPr>
            <w:r w:rsidRPr="00FB6194">
              <w:t>Item</w:t>
            </w:r>
          </w:p>
        </w:tc>
        <w:tc>
          <w:tcPr>
            <w:tcW w:w="1276" w:type="dxa"/>
          </w:tcPr>
          <w:p w14:paraId="460FEE81" w14:textId="424FA3D3" w:rsidR="00355B9C" w:rsidRDefault="00355B9C" w:rsidP="00355B9C">
            <w:pPr>
              <w:pStyle w:val="TableHeading"/>
              <w:cnfStyle w:val="100000000000" w:firstRow="1" w:lastRow="0" w:firstColumn="0" w:lastColumn="0" w:oddVBand="0" w:evenVBand="0" w:oddHBand="0" w:evenHBand="0" w:firstRowFirstColumn="0" w:firstRowLastColumn="0" w:lastRowFirstColumn="0" w:lastRowLastColumn="0"/>
              <w:rPr>
                <w:szCs w:val="20"/>
              </w:rPr>
            </w:pPr>
            <w:r w:rsidRPr="00FB6194">
              <w:t>Value</w:t>
            </w:r>
          </w:p>
        </w:tc>
        <w:tc>
          <w:tcPr>
            <w:tcW w:w="5379" w:type="dxa"/>
          </w:tcPr>
          <w:p w14:paraId="6C3DA91F" w14:textId="044C9F9C" w:rsidR="00355B9C" w:rsidRDefault="00355B9C" w:rsidP="00355B9C">
            <w:pPr>
              <w:pStyle w:val="TableHeading"/>
              <w:cnfStyle w:val="100000000000" w:firstRow="1" w:lastRow="0" w:firstColumn="0" w:lastColumn="0" w:oddVBand="0" w:evenVBand="0" w:oddHBand="0" w:evenHBand="0" w:firstRowFirstColumn="0" w:firstRowLastColumn="0" w:lastRowFirstColumn="0" w:lastRowLastColumn="0"/>
              <w:rPr>
                <w:szCs w:val="20"/>
              </w:rPr>
            </w:pPr>
            <w:r w:rsidRPr="00FB6194">
              <w:t>Source</w:t>
            </w:r>
          </w:p>
        </w:tc>
      </w:tr>
      <w:tr w:rsidR="00CB39C2" w14:paraId="5CE72B75" w14:textId="77777777" w:rsidTr="00355B9C">
        <w:tc>
          <w:tcPr>
            <w:cnfStyle w:val="001000000000" w:firstRow="0" w:lastRow="0" w:firstColumn="1" w:lastColumn="0" w:oddVBand="0" w:evenVBand="0" w:oddHBand="0" w:evenHBand="0" w:firstRowFirstColumn="0" w:firstRowLastColumn="0" w:lastRowFirstColumn="0" w:lastRowLastColumn="0"/>
            <w:tcW w:w="3539" w:type="dxa"/>
          </w:tcPr>
          <w:p w14:paraId="2318B44D" w14:textId="56769F6B" w:rsidR="00CB39C2" w:rsidRDefault="00CB39C2" w:rsidP="00355B9C">
            <w:pPr>
              <w:pStyle w:val="TableText"/>
            </w:pPr>
            <w:r>
              <w:t>Initial facial prosthesis</w:t>
            </w:r>
          </w:p>
        </w:tc>
        <w:tc>
          <w:tcPr>
            <w:tcW w:w="1276" w:type="dxa"/>
          </w:tcPr>
          <w:p w14:paraId="05C9B72E" w14:textId="12F7292F" w:rsidR="00CB39C2" w:rsidRDefault="00CB39C2" w:rsidP="00355B9C">
            <w:pPr>
              <w:pStyle w:val="TableText"/>
              <w:cnfStyle w:val="000000000000" w:firstRow="0" w:lastRow="0" w:firstColumn="0" w:lastColumn="0" w:oddVBand="0" w:evenVBand="0" w:oddHBand="0" w:evenHBand="0" w:firstRowFirstColumn="0" w:firstRowLastColumn="0" w:lastRowFirstColumn="0" w:lastRowLastColumn="0"/>
            </w:pPr>
            <w:r>
              <w:t>$6,000</w:t>
            </w:r>
          </w:p>
        </w:tc>
        <w:tc>
          <w:tcPr>
            <w:tcW w:w="5379" w:type="dxa"/>
          </w:tcPr>
          <w:p w14:paraId="268524F2" w14:textId="6E1921AE" w:rsidR="00CB39C2" w:rsidRDefault="00CB39C2" w:rsidP="00355B9C">
            <w:pPr>
              <w:pStyle w:val="TableText"/>
              <w:cnfStyle w:val="000000000000" w:firstRow="0" w:lastRow="0" w:firstColumn="0" w:lastColumn="0" w:oddVBand="0" w:evenVBand="0" w:oddHBand="0" w:evenHBand="0" w:firstRowFirstColumn="0" w:firstRowLastColumn="0" w:lastRowFirstColumn="0" w:lastRowLastColumn="0"/>
            </w:pPr>
            <w:r>
              <w:t xml:space="preserve">Stakeholder </w:t>
            </w:r>
            <w:r w:rsidR="00227FD1">
              <w:t>consultation</w:t>
            </w:r>
          </w:p>
        </w:tc>
      </w:tr>
      <w:tr w:rsidR="00227FD1" w14:paraId="1D118B59" w14:textId="77777777" w:rsidTr="00355B9C">
        <w:tc>
          <w:tcPr>
            <w:cnfStyle w:val="001000000000" w:firstRow="0" w:lastRow="0" w:firstColumn="1" w:lastColumn="0" w:oddVBand="0" w:evenVBand="0" w:oddHBand="0" w:evenHBand="0" w:firstRowFirstColumn="0" w:firstRowLastColumn="0" w:lastRowFirstColumn="0" w:lastRowLastColumn="0"/>
            <w:tcW w:w="3539" w:type="dxa"/>
          </w:tcPr>
          <w:p w14:paraId="177B254F" w14:textId="55361375" w:rsidR="00227FD1" w:rsidRDefault="00227FD1" w:rsidP="00355B9C">
            <w:pPr>
              <w:pStyle w:val="TableText"/>
            </w:pPr>
            <w:r>
              <w:t>Replacement facial prosthesis</w:t>
            </w:r>
          </w:p>
        </w:tc>
        <w:tc>
          <w:tcPr>
            <w:tcW w:w="1276" w:type="dxa"/>
          </w:tcPr>
          <w:p w14:paraId="6A52F7A7" w14:textId="22B8C27D" w:rsidR="00227FD1" w:rsidRDefault="00227FD1" w:rsidP="00355B9C">
            <w:pPr>
              <w:pStyle w:val="TableText"/>
              <w:cnfStyle w:val="000000000000" w:firstRow="0" w:lastRow="0" w:firstColumn="0" w:lastColumn="0" w:oddVBand="0" w:evenVBand="0" w:oddHBand="0" w:evenHBand="0" w:firstRowFirstColumn="0" w:firstRowLastColumn="0" w:lastRowFirstColumn="0" w:lastRowLastColumn="0"/>
            </w:pPr>
            <w:r>
              <w:t>$4,500</w:t>
            </w:r>
          </w:p>
        </w:tc>
        <w:tc>
          <w:tcPr>
            <w:tcW w:w="5379" w:type="dxa"/>
          </w:tcPr>
          <w:p w14:paraId="0BF3A51A" w14:textId="47DE9885" w:rsidR="00227FD1" w:rsidRDefault="00227FD1" w:rsidP="00355B9C">
            <w:pPr>
              <w:pStyle w:val="TableText"/>
              <w:cnfStyle w:val="000000000000" w:firstRow="0" w:lastRow="0" w:firstColumn="0" w:lastColumn="0" w:oddVBand="0" w:evenVBand="0" w:oddHBand="0" w:evenHBand="0" w:firstRowFirstColumn="0" w:firstRowLastColumn="0" w:lastRowFirstColumn="0" w:lastRowLastColumn="0"/>
            </w:pPr>
            <w:r>
              <w:t>Stakeholder consultation (</w:t>
            </w:r>
            <w:r w:rsidR="006E49C2">
              <w:t xml:space="preserve">cost is </w:t>
            </w:r>
            <w:r>
              <w:t>estimated to be 75% of a</w:t>
            </w:r>
            <w:r w:rsidR="006E49C2">
              <w:t xml:space="preserve"> new prosthesis)</w:t>
            </w:r>
          </w:p>
        </w:tc>
      </w:tr>
      <w:tr w:rsidR="006E49C2" w14:paraId="28C2F23A" w14:textId="77777777" w:rsidTr="00355B9C">
        <w:tc>
          <w:tcPr>
            <w:cnfStyle w:val="001000000000" w:firstRow="0" w:lastRow="0" w:firstColumn="1" w:lastColumn="0" w:oddVBand="0" w:evenVBand="0" w:oddHBand="0" w:evenHBand="0" w:firstRowFirstColumn="0" w:firstRowLastColumn="0" w:lastRowFirstColumn="0" w:lastRowLastColumn="0"/>
            <w:tcW w:w="3539" w:type="dxa"/>
          </w:tcPr>
          <w:p w14:paraId="006D9319" w14:textId="707042E6" w:rsidR="006E49C2" w:rsidRDefault="006E49C2" w:rsidP="00355B9C">
            <w:pPr>
              <w:pStyle w:val="TableText"/>
            </w:pPr>
            <w:r>
              <w:t>Ocular prosthesis (new and replacement)</w:t>
            </w:r>
          </w:p>
        </w:tc>
        <w:tc>
          <w:tcPr>
            <w:tcW w:w="1276" w:type="dxa"/>
          </w:tcPr>
          <w:p w14:paraId="06B0CC26" w14:textId="2F18FE8B" w:rsidR="006E49C2" w:rsidRDefault="006E49C2" w:rsidP="00355B9C">
            <w:pPr>
              <w:pStyle w:val="TableText"/>
              <w:cnfStyle w:val="000000000000" w:firstRow="0" w:lastRow="0" w:firstColumn="0" w:lastColumn="0" w:oddVBand="0" w:evenVBand="0" w:oddHBand="0" w:evenHBand="0" w:firstRowFirstColumn="0" w:firstRowLastColumn="0" w:lastRowFirstColumn="0" w:lastRowLastColumn="0"/>
            </w:pPr>
            <w:r>
              <w:t>$2,500</w:t>
            </w:r>
          </w:p>
        </w:tc>
        <w:tc>
          <w:tcPr>
            <w:tcW w:w="5379" w:type="dxa"/>
          </w:tcPr>
          <w:p w14:paraId="47948BC5" w14:textId="50C70451" w:rsidR="006E49C2" w:rsidRDefault="006E49C2" w:rsidP="00355B9C">
            <w:pPr>
              <w:pStyle w:val="TableText"/>
              <w:cnfStyle w:val="000000000000" w:firstRow="0" w:lastRow="0" w:firstColumn="0" w:lastColumn="0" w:oddVBand="0" w:evenVBand="0" w:oddHBand="0" w:evenHBand="0" w:firstRowFirstColumn="0" w:firstRowLastColumn="0" w:lastRowFirstColumn="0" w:lastRowLastColumn="0"/>
            </w:pPr>
            <w:r>
              <w:t>Stakeholder consultation</w:t>
            </w:r>
          </w:p>
        </w:tc>
      </w:tr>
      <w:tr w:rsidR="006E49C2" w14:paraId="55513C86" w14:textId="77777777" w:rsidTr="00355B9C">
        <w:tc>
          <w:tcPr>
            <w:cnfStyle w:val="001000000000" w:firstRow="0" w:lastRow="0" w:firstColumn="1" w:lastColumn="0" w:oddVBand="0" w:evenVBand="0" w:oddHBand="0" w:evenHBand="0" w:firstRowFirstColumn="0" w:firstRowLastColumn="0" w:lastRowFirstColumn="0" w:lastRowLastColumn="0"/>
            <w:tcW w:w="3539" w:type="dxa"/>
          </w:tcPr>
          <w:p w14:paraId="19027E06" w14:textId="39CA0372" w:rsidR="006E49C2" w:rsidRDefault="00DB7A45" w:rsidP="00355B9C">
            <w:pPr>
              <w:pStyle w:val="TableText"/>
            </w:pPr>
            <w:r>
              <w:t>Ocular maintenance (annual polish)</w:t>
            </w:r>
          </w:p>
        </w:tc>
        <w:tc>
          <w:tcPr>
            <w:tcW w:w="1276" w:type="dxa"/>
          </w:tcPr>
          <w:p w14:paraId="0FA970F8" w14:textId="3E232885" w:rsidR="006E49C2" w:rsidRDefault="00DB7A45" w:rsidP="00355B9C">
            <w:pPr>
              <w:pStyle w:val="TableText"/>
              <w:cnfStyle w:val="000000000000" w:firstRow="0" w:lastRow="0" w:firstColumn="0" w:lastColumn="0" w:oddVBand="0" w:evenVBand="0" w:oddHBand="0" w:evenHBand="0" w:firstRowFirstColumn="0" w:firstRowLastColumn="0" w:lastRowFirstColumn="0" w:lastRowLastColumn="0"/>
            </w:pPr>
            <w:r>
              <w:t>$70</w:t>
            </w:r>
          </w:p>
        </w:tc>
        <w:tc>
          <w:tcPr>
            <w:tcW w:w="5379" w:type="dxa"/>
          </w:tcPr>
          <w:p w14:paraId="725F83D3" w14:textId="65D65D1E" w:rsidR="006E49C2" w:rsidRDefault="00DB7A45" w:rsidP="00355B9C">
            <w:pPr>
              <w:pStyle w:val="TableText"/>
              <w:cnfStyle w:val="000000000000" w:firstRow="0" w:lastRow="0" w:firstColumn="0" w:lastColumn="0" w:oddVBand="0" w:evenVBand="0" w:oddHBand="0" w:evenHBand="0" w:firstRowFirstColumn="0" w:firstRowLastColumn="0" w:lastRowFirstColumn="0" w:lastRowLastColumn="0"/>
            </w:pPr>
            <w:r>
              <w:t>Stakeholder consultation</w:t>
            </w:r>
          </w:p>
        </w:tc>
      </w:tr>
      <w:tr w:rsidR="001E2E0E" w14:paraId="00CCF859" w14:textId="77777777" w:rsidTr="00355B9C">
        <w:tc>
          <w:tcPr>
            <w:cnfStyle w:val="001000000000" w:firstRow="0" w:lastRow="0" w:firstColumn="1" w:lastColumn="0" w:oddVBand="0" w:evenVBand="0" w:oddHBand="0" w:evenHBand="0" w:firstRowFirstColumn="0" w:firstRowLastColumn="0" w:lastRowFirstColumn="0" w:lastRowLastColumn="0"/>
            <w:tcW w:w="3539" w:type="dxa"/>
          </w:tcPr>
          <w:p w14:paraId="6AE0BC21" w14:textId="4A2350F8" w:rsidR="001E2E0E" w:rsidRDefault="001E2E0E" w:rsidP="00355B9C">
            <w:pPr>
              <w:pStyle w:val="TableText"/>
            </w:pPr>
            <w:r>
              <w:t>Initial</w:t>
            </w:r>
            <w:r w:rsidR="005A392E">
              <w:t xml:space="preserve"> </w:t>
            </w:r>
            <w:r>
              <w:t>Artificial limb</w:t>
            </w:r>
          </w:p>
        </w:tc>
        <w:tc>
          <w:tcPr>
            <w:tcW w:w="1276" w:type="dxa"/>
          </w:tcPr>
          <w:p w14:paraId="4A9E1D4C" w14:textId="035A38E2" w:rsidR="001E2E0E" w:rsidRDefault="001E2E0E" w:rsidP="00355B9C">
            <w:pPr>
              <w:pStyle w:val="TableText"/>
              <w:cnfStyle w:val="000000000000" w:firstRow="0" w:lastRow="0" w:firstColumn="0" w:lastColumn="0" w:oddVBand="0" w:evenVBand="0" w:oddHBand="0" w:evenHBand="0" w:firstRowFirstColumn="0" w:firstRowLastColumn="0" w:lastRowFirstColumn="0" w:lastRowLastColumn="0"/>
            </w:pPr>
            <w:r>
              <w:t>$100,000</w:t>
            </w:r>
          </w:p>
        </w:tc>
        <w:tc>
          <w:tcPr>
            <w:tcW w:w="5379" w:type="dxa"/>
          </w:tcPr>
          <w:p w14:paraId="2ED6C840" w14:textId="24696D0E" w:rsidR="001E2E0E" w:rsidRDefault="00BF69DE" w:rsidP="00355B9C">
            <w:pPr>
              <w:pStyle w:val="TableText"/>
              <w:cnfStyle w:val="000000000000" w:firstRow="0" w:lastRow="0" w:firstColumn="0" w:lastColumn="0" w:oddVBand="0" w:evenVBand="0" w:oddHBand="0" w:evenHBand="0" w:firstRowFirstColumn="0" w:firstRowLastColumn="0" w:lastRowFirstColumn="0" w:lastRowLastColumn="0"/>
            </w:pPr>
            <w:r>
              <w:t>Independent reviewer</w:t>
            </w:r>
            <w:r w:rsidRPr="00CD3106">
              <w:t xml:space="preserve"> </w:t>
            </w:r>
            <w:r w:rsidR="00C11BFF">
              <w:t>assumption</w:t>
            </w:r>
            <w:r w:rsidR="00A6307B">
              <w:t xml:space="preserve"> (cost range is between </w:t>
            </w:r>
            <w:r w:rsidR="00E621B8">
              <w:t>$15k and $250k+</w:t>
            </w:r>
            <w:r w:rsidR="00D25D7F">
              <w:t xml:space="preserve">, it was identified that more than 75% of people over 65 would benefit from a </w:t>
            </w:r>
            <w:r w:rsidR="000129CA">
              <w:t>more advanced limb than the relatively basic limbs available through most state-based limb schemes)</w:t>
            </w:r>
          </w:p>
        </w:tc>
      </w:tr>
      <w:tr w:rsidR="001E2E0E" w14:paraId="445FDD6D" w14:textId="77777777" w:rsidTr="00355B9C">
        <w:tc>
          <w:tcPr>
            <w:cnfStyle w:val="001000000000" w:firstRow="0" w:lastRow="0" w:firstColumn="1" w:lastColumn="0" w:oddVBand="0" w:evenVBand="0" w:oddHBand="0" w:evenHBand="0" w:firstRowFirstColumn="0" w:firstRowLastColumn="0" w:lastRowFirstColumn="0" w:lastRowLastColumn="0"/>
            <w:tcW w:w="3539" w:type="dxa"/>
          </w:tcPr>
          <w:p w14:paraId="54663370" w14:textId="149099DA" w:rsidR="001E2E0E" w:rsidRDefault="00C11BFF" w:rsidP="00355B9C">
            <w:pPr>
              <w:pStyle w:val="TableText"/>
            </w:pPr>
            <w:r>
              <w:t>Replacement limb</w:t>
            </w:r>
          </w:p>
        </w:tc>
        <w:tc>
          <w:tcPr>
            <w:tcW w:w="1276" w:type="dxa"/>
          </w:tcPr>
          <w:p w14:paraId="6FD02674" w14:textId="33EB28D7" w:rsidR="001E2E0E" w:rsidRDefault="00C11BFF" w:rsidP="00355B9C">
            <w:pPr>
              <w:pStyle w:val="TableText"/>
              <w:cnfStyle w:val="000000000000" w:firstRow="0" w:lastRow="0" w:firstColumn="0" w:lastColumn="0" w:oddVBand="0" w:evenVBand="0" w:oddHBand="0" w:evenHBand="0" w:firstRowFirstColumn="0" w:firstRowLastColumn="0" w:lastRowFirstColumn="0" w:lastRowLastColumn="0"/>
            </w:pPr>
            <w:r>
              <w:t>$75,000</w:t>
            </w:r>
          </w:p>
        </w:tc>
        <w:tc>
          <w:tcPr>
            <w:tcW w:w="5379" w:type="dxa"/>
          </w:tcPr>
          <w:p w14:paraId="1F601705" w14:textId="6548A619" w:rsidR="001E2E0E" w:rsidRDefault="00BF69DE" w:rsidP="00355B9C">
            <w:pPr>
              <w:pStyle w:val="TableText"/>
              <w:cnfStyle w:val="000000000000" w:firstRow="0" w:lastRow="0" w:firstColumn="0" w:lastColumn="0" w:oddVBand="0" w:evenVBand="0" w:oddHBand="0" w:evenHBand="0" w:firstRowFirstColumn="0" w:firstRowLastColumn="0" w:lastRowFirstColumn="0" w:lastRowLastColumn="0"/>
            </w:pPr>
            <w:r>
              <w:t>Independent reviewer</w:t>
            </w:r>
            <w:r w:rsidRPr="00CD3106">
              <w:t xml:space="preserve"> </w:t>
            </w:r>
            <w:r w:rsidR="00C11BFF" w:rsidRPr="00CD1E9A">
              <w:t>assumption</w:t>
            </w:r>
            <w:r w:rsidR="004F7FE8">
              <w:t xml:space="preserve"> – assumed to be 75% of the cost of a new artificial limb. </w:t>
            </w:r>
          </w:p>
        </w:tc>
      </w:tr>
      <w:tr w:rsidR="001E2E0E" w14:paraId="6953B106" w14:textId="77777777" w:rsidTr="00355B9C">
        <w:tc>
          <w:tcPr>
            <w:cnfStyle w:val="001000000000" w:firstRow="0" w:lastRow="0" w:firstColumn="1" w:lastColumn="0" w:oddVBand="0" w:evenVBand="0" w:oddHBand="0" w:evenHBand="0" w:firstRowFirstColumn="0" w:firstRowLastColumn="0" w:lastRowFirstColumn="0" w:lastRowLastColumn="0"/>
            <w:tcW w:w="3539" w:type="dxa"/>
          </w:tcPr>
          <w:p w14:paraId="3055D777" w14:textId="05BE0DD5" w:rsidR="001E2E0E" w:rsidRDefault="00C11BFF" w:rsidP="00355B9C">
            <w:pPr>
              <w:pStyle w:val="TableText"/>
            </w:pPr>
            <w:r>
              <w:t>Consumables and maintenance (annual)</w:t>
            </w:r>
          </w:p>
        </w:tc>
        <w:tc>
          <w:tcPr>
            <w:tcW w:w="1276" w:type="dxa"/>
          </w:tcPr>
          <w:p w14:paraId="6837CF8A" w14:textId="5532C6F9" w:rsidR="001E2E0E" w:rsidRDefault="00C11BFF" w:rsidP="00355B9C">
            <w:pPr>
              <w:pStyle w:val="TableText"/>
              <w:cnfStyle w:val="000000000000" w:firstRow="0" w:lastRow="0" w:firstColumn="0" w:lastColumn="0" w:oddVBand="0" w:evenVBand="0" w:oddHBand="0" w:evenHBand="0" w:firstRowFirstColumn="0" w:firstRowLastColumn="0" w:lastRowFirstColumn="0" w:lastRowLastColumn="0"/>
            </w:pPr>
            <w:r>
              <w:t>$3,000</w:t>
            </w:r>
          </w:p>
        </w:tc>
        <w:tc>
          <w:tcPr>
            <w:tcW w:w="5379" w:type="dxa"/>
          </w:tcPr>
          <w:p w14:paraId="4021BCC5" w14:textId="6B93240E" w:rsidR="001E2E0E" w:rsidRDefault="00BF69DE" w:rsidP="00355B9C">
            <w:pPr>
              <w:pStyle w:val="TableText"/>
              <w:cnfStyle w:val="000000000000" w:firstRow="0" w:lastRow="0" w:firstColumn="0" w:lastColumn="0" w:oddVBand="0" w:evenVBand="0" w:oddHBand="0" w:evenHBand="0" w:firstRowFirstColumn="0" w:firstRowLastColumn="0" w:lastRowFirstColumn="0" w:lastRowLastColumn="0"/>
            </w:pPr>
            <w:r>
              <w:t>Independent reviewer</w:t>
            </w:r>
            <w:r w:rsidRPr="00CD3106">
              <w:t xml:space="preserve"> </w:t>
            </w:r>
            <w:r w:rsidR="00C11BFF" w:rsidRPr="00CD1E9A">
              <w:t>assumption</w:t>
            </w:r>
          </w:p>
        </w:tc>
      </w:tr>
      <w:tr w:rsidR="00CC3654" w14:paraId="57194F41" w14:textId="77777777" w:rsidTr="00355B9C">
        <w:tc>
          <w:tcPr>
            <w:cnfStyle w:val="001000000000" w:firstRow="0" w:lastRow="0" w:firstColumn="1" w:lastColumn="0" w:oddVBand="0" w:evenVBand="0" w:oddHBand="0" w:evenHBand="0" w:firstRowFirstColumn="0" w:firstRowLastColumn="0" w:lastRowFirstColumn="0" w:lastRowLastColumn="0"/>
            <w:tcW w:w="3539" w:type="dxa"/>
          </w:tcPr>
          <w:p w14:paraId="1928A7AD" w14:textId="443AD3B1" w:rsidR="00CC3654" w:rsidRDefault="00CC3654" w:rsidP="00355B9C">
            <w:pPr>
              <w:pStyle w:val="TableText"/>
            </w:pPr>
            <w:r>
              <w:t>External breast prosthesis</w:t>
            </w:r>
          </w:p>
        </w:tc>
        <w:tc>
          <w:tcPr>
            <w:tcW w:w="1276" w:type="dxa"/>
          </w:tcPr>
          <w:p w14:paraId="47B55DAE" w14:textId="640C553F" w:rsidR="00CC3654" w:rsidRDefault="00C11BFF" w:rsidP="00355B9C">
            <w:pPr>
              <w:pStyle w:val="TableText"/>
              <w:cnfStyle w:val="000000000000" w:firstRow="0" w:lastRow="0" w:firstColumn="0" w:lastColumn="0" w:oddVBand="0" w:evenVBand="0" w:oddHBand="0" w:evenHBand="0" w:firstRowFirstColumn="0" w:firstRowLastColumn="0" w:lastRowFirstColumn="0" w:lastRowLastColumn="0"/>
            </w:pPr>
            <w:r>
              <w:t>$400</w:t>
            </w:r>
          </w:p>
        </w:tc>
        <w:tc>
          <w:tcPr>
            <w:tcW w:w="5379" w:type="dxa"/>
          </w:tcPr>
          <w:p w14:paraId="13D7C124" w14:textId="440ADEF9" w:rsidR="00CC3654" w:rsidRDefault="00770354" w:rsidP="00355B9C">
            <w:pPr>
              <w:pStyle w:val="TableText"/>
              <w:cnfStyle w:val="000000000000" w:firstRow="0" w:lastRow="0" w:firstColumn="0" w:lastColumn="0" w:oddVBand="0" w:evenVBand="0" w:oddHBand="0" w:evenHBand="0" w:firstRowFirstColumn="0" w:firstRowLastColumn="0" w:lastRowFirstColumn="0" w:lastRowLastColumn="0"/>
            </w:pPr>
            <w:r>
              <w:t>EBPRP</w:t>
            </w:r>
          </w:p>
        </w:tc>
      </w:tr>
    </w:tbl>
    <w:p w14:paraId="338FFAF8" w14:textId="6491094A" w:rsidR="00945726" w:rsidRDefault="00FE402B" w:rsidP="00355B9C">
      <w:pPr>
        <w:pStyle w:val="Caption-Source"/>
      </w:pPr>
      <w:r w:rsidRPr="00B56150">
        <w:t>Source:</w:t>
      </w:r>
      <w:r>
        <w:t xml:space="preserve"> </w:t>
      </w:r>
      <w:r w:rsidR="00ED4E04">
        <w:t>Independent reviewer</w:t>
      </w:r>
      <w:r w:rsidR="00ED4E04" w:rsidRPr="00CD3106">
        <w:t xml:space="preserve"> </w:t>
      </w:r>
      <w:r>
        <w:t>(2025)</w:t>
      </w:r>
    </w:p>
    <w:p w14:paraId="02280886" w14:textId="77777777" w:rsidR="00963D92" w:rsidRPr="00DF7929" w:rsidRDefault="00963D92" w:rsidP="00DF7929"/>
    <w:p w14:paraId="107FB845" w14:textId="77777777" w:rsidR="00DF7929" w:rsidRPr="00DF7929" w:rsidRDefault="00DF7929" w:rsidP="00DF7929">
      <w:pPr>
        <w:sectPr w:rsidR="00DF7929" w:rsidRPr="00DF7929" w:rsidSect="00356593">
          <w:pgSz w:w="11906" w:h="16838"/>
          <w:pgMar w:top="1418" w:right="851" w:bottom="1418" w:left="851" w:header="567" w:footer="284" w:gutter="0"/>
          <w:cols w:space="708"/>
          <w:docGrid w:linePitch="360"/>
        </w:sectPr>
      </w:pPr>
    </w:p>
    <w:p w14:paraId="0ECCFB6C" w14:textId="50B4EF78" w:rsidR="00963D92" w:rsidRDefault="00963D92" w:rsidP="00963D92">
      <w:pPr>
        <w:pStyle w:val="Appendixheading"/>
      </w:pPr>
      <w:bookmarkStart w:id="398" w:name="_Ref207270030"/>
      <w:bookmarkStart w:id="399" w:name="_Toc207348798"/>
      <w:r>
        <w:t>: Alt text for</w:t>
      </w:r>
      <w:bookmarkEnd w:id="398"/>
      <w:r>
        <w:t xml:space="preserve"> </w:t>
      </w:r>
      <w:r w:rsidR="0075683A">
        <w:t>Figure 5</w:t>
      </w:r>
      <w:r w:rsidR="00AF4B15">
        <w:t xml:space="preserve"> Overarching review approach</w:t>
      </w:r>
      <w:bookmarkEnd w:id="399"/>
    </w:p>
    <w:p w14:paraId="5A3510D2" w14:textId="77777777" w:rsidR="005A0B12" w:rsidRDefault="005A0B12" w:rsidP="00097AE2">
      <w:pPr>
        <w:pStyle w:val="Heading2nonumber"/>
        <w:outlineLvl w:val="9"/>
      </w:pPr>
      <w:r>
        <w:t>Purpose</w:t>
      </w:r>
    </w:p>
    <w:p w14:paraId="5D4A0B8C" w14:textId="77777777" w:rsidR="005A0B12" w:rsidRDefault="006F30BB" w:rsidP="005A0B12">
      <w:r>
        <w:t xml:space="preserve">Purpose of the review is to understand current cancer prostheses services and schemes in Australia and in comparable countries, to identify barriers to accessing prostheses services for people living with or who have lived experience of cancer, to develop strategies to address identified gaps and barriers, considering the needs of priority population groups, and to consider the costs of a national program that addresses gaps in equity of access to prostheses for people living with or have lived experience of cancer. </w:t>
      </w:r>
    </w:p>
    <w:p w14:paraId="1CD76CEC" w14:textId="046D5A3F" w:rsidR="005A0B12" w:rsidRDefault="005A0B12" w:rsidP="00097AE2">
      <w:pPr>
        <w:pStyle w:val="Heading2nonumber"/>
        <w:outlineLvl w:val="9"/>
      </w:pPr>
      <w:r>
        <w:t>Key review questions</w:t>
      </w:r>
    </w:p>
    <w:p w14:paraId="54F98B36" w14:textId="7CA9E587" w:rsidR="006F30BB" w:rsidRDefault="006F30BB" w:rsidP="005A0B12">
      <w:r>
        <w:t>There were seven key review questions that the review was looking to answer. These included:</w:t>
      </w:r>
    </w:p>
    <w:p w14:paraId="045E746E" w14:textId="6F2785D8" w:rsidR="006F30BB" w:rsidRDefault="006F30BB" w:rsidP="00383392">
      <w:pPr>
        <w:pStyle w:val="ListNumber"/>
        <w:numPr>
          <w:ilvl w:val="0"/>
          <w:numId w:val="24"/>
        </w:numPr>
      </w:pPr>
      <w:r>
        <w:t xml:space="preserve">What prostheses services/schemes are currently </w:t>
      </w:r>
      <w:r w:rsidRPr="00331277">
        <w:t>available to people living with or who have lived experience of cancer?</w:t>
      </w:r>
    </w:p>
    <w:p w14:paraId="36A56353" w14:textId="77777777" w:rsidR="006F30BB" w:rsidRDefault="006F30BB" w:rsidP="00447EC5">
      <w:pPr>
        <w:pStyle w:val="ListNumber"/>
        <w:numPr>
          <w:ilvl w:val="0"/>
          <w:numId w:val="24"/>
        </w:numPr>
      </w:pPr>
      <w:r w:rsidRPr="003727F7">
        <w:t>What role do state, territory and commonwealth governments currently play in providing access to cancer prostheses?</w:t>
      </w:r>
    </w:p>
    <w:p w14:paraId="01E025F2" w14:textId="77777777" w:rsidR="006F30BB" w:rsidRDefault="006F30BB" w:rsidP="00447EC5">
      <w:pPr>
        <w:pStyle w:val="ListNumber"/>
        <w:numPr>
          <w:ilvl w:val="0"/>
          <w:numId w:val="24"/>
        </w:numPr>
      </w:pPr>
      <w:r>
        <w:t>In what health setting/s are people living with or who have lived experience of cancer accessing prostheses?</w:t>
      </w:r>
    </w:p>
    <w:p w14:paraId="0F1C70A3" w14:textId="77777777" w:rsidR="006F30BB" w:rsidRDefault="006F30BB" w:rsidP="00447EC5">
      <w:pPr>
        <w:pStyle w:val="ListNumber"/>
        <w:numPr>
          <w:ilvl w:val="0"/>
          <w:numId w:val="24"/>
        </w:numPr>
      </w:pPr>
      <w:r>
        <w:t>What are the current barriers faced by people living with or who have lived experience of cancer in accessing prostheses?</w:t>
      </w:r>
    </w:p>
    <w:p w14:paraId="5119C7C7" w14:textId="77777777" w:rsidR="006F30BB" w:rsidRDefault="006F30BB" w:rsidP="00447EC5">
      <w:pPr>
        <w:pStyle w:val="ListNumber"/>
        <w:numPr>
          <w:ilvl w:val="0"/>
          <w:numId w:val="24"/>
        </w:numPr>
      </w:pPr>
      <w:r w:rsidRPr="00DE6C74">
        <w:t>Are there particular prosthesis types that are more difficult than others to access? Are there particular prosthesis types that are not covered by any existing support schemes?</w:t>
      </w:r>
    </w:p>
    <w:p w14:paraId="6511EE5D" w14:textId="77777777" w:rsidR="006F30BB" w:rsidRDefault="006F30BB" w:rsidP="00447EC5">
      <w:pPr>
        <w:pStyle w:val="ListNumber"/>
        <w:numPr>
          <w:ilvl w:val="0"/>
          <w:numId w:val="24"/>
        </w:numPr>
      </w:pPr>
      <w:r w:rsidRPr="00821EED">
        <w:t>Is there a gap in equity and access to prostheses for individuals living with or post a cancer diagnosis?</w:t>
      </w:r>
    </w:p>
    <w:p w14:paraId="7BF25427" w14:textId="77777777" w:rsidR="006F30BB" w:rsidRDefault="006F30BB" w:rsidP="00447EC5">
      <w:pPr>
        <w:pStyle w:val="ListNumber"/>
        <w:numPr>
          <w:ilvl w:val="0"/>
          <w:numId w:val="24"/>
        </w:numPr>
      </w:pPr>
      <w:r w:rsidRPr="00A82386">
        <w:t>What would be the cost and appropriate delivery model for a national cancer prosthesis program?</w:t>
      </w:r>
    </w:p>
    <w:p w14:paraId="3F3541E6" w14:textId="77777777" w:rsidR="005A0B12" w:rsidRPr="005A0B12" w:rsidRDefault="005A0B12" w:rsidP="00097AE2">
      <w:pPr>
        <w:pStyle w:val="Heading2nonumber"/>
        <w:outlineLvl w:val="9"/>
      </w:pPr>
      <w:r w:rsidRPr="005A0B12">
        <w:t>Data sources</w:t>
      </w:r>
    </w:p>
    <w:p w14:paraId="1A934B5D" w14:textId="77777777" w:rsidR="006F30BB" w:rsidRDefault="006F30BB" w:rsidP="005A0B12">
      <w:r>
        <w:t xml:space="preserve">Data sources to answer the key review questions included primary and secondary data. Primary data included views and experiences of key stakeholders gained through consultation and surveys, including Department of Health, Disability and Ageing, National Disability Insurance Agency, Department of Veterans Affairs, State and territory health departments, Clinicians and retailers of prostheses, People living with or who have lived experience of cancer and their </w:t>
      </w:r>
      <w:proofErr w:type="spellStart"/>
      <w:r>
        <w:t>carers</w:t>
      </w:r>
      <w:proofErr w:type="spellEnd"/>
      <w:r>
        <w:t xml:space="preserve"> and Peak bodies and advocacy groups. Secondary data included Documents related to cancer prostheses schemes, programs and approaches used in Australia, Grey and academic literature related to cancer prostheses schemes, programs and approaches used internationally, Australian Institute of Health and Wellbeing cancer data and Australian Bureau of Statistics cancer data. </w:t>
      </w:r>
    </w:p>
    <w:p w14:paraId="7273FE75" w14:textId="3D173417" w:rsidR="00DF6E69" w:rsidRPr="00DF6E69" w:rsidRDefault="00DF6E69" w:rsidP="00097AE2">
      <w:pPr>
        <w:pStyle w:val="Heading2nonumber"/>
        <w:outlineLvl w:val="9"/>
      </w:pPr>
      <w:r w:rsidRPr="00DF6E69">
        <w:t>Outputs</w:t>
      </w:r>
    </w:p>
    <w:p w14:paraId="1FBEF78B" w14:textId="77777777" w:rsidR="006F30BB" w:rsidRDefault="006F30BB" w:rsidP="005A0B12">
      <w:r>
        <w:t xml:space="preserve">The outputs of the project include a draft and final review report. </w:t>
      </w:r>
    </w:p>
    <w:p w14:paraId="09635E59" w14:textId="48E5F449" w:rsidR="00945726" w:rsidRPr="000C5893" w:rsidRDefault="0075683A" w:rsidP="00502A0F">
      <w:pPr>
        <w:sectPr w:rsidR="00945726" w:rsidRPr="000C5893" w:rsidSect="00356593">
          <w:pgSz w:w="11906" w:h="16838"/>
          <w:pgMar w:top="1418" w:right="851" w:bottom="1418" w:left="851" w:header="567" w:footer="284" w:gutter="0"/>
          <w:cols w:space="708"/>
          <w:docGrid w:linePitch="360"/>
        </w:sectPr>
      </w:pPr>
      <w:r>
        <w:t xml:space="preserve">Return to </w:t>
      </w:r>
      <w:r w:rsidR="00AF4B15">
        <w:fldChar w:fldCharType="begin"/>
      </w:r>
      <w:r w:rsidR="00AF4B15">
        <w:instrText xml:space="preserve"> REF _Ref201823409 \h </w:instrText>
      </w:r>
      <w:r w:rsidR="00AF4B15">
        <w:fldChar w:fldCharType="separate"/>
      </w:r>
      <w:r w:rsidR="00AF4B15">
        <w:t xml:space="preserve">Figure </w:t>
      </w:r>
      <w:r w:rsidR="00AF4B15">
        <w:rPr>
          <w:noProof/>
        </w:rPr>
        <w:t>5</w:t>
      </w:r>
      <w:r w:rsidR="00AF4B15">
        <w:fldChar w:fldCharType="end"/>
      </w:r>
    </w:p>
    <w:p w14:paraId="530DE861" w14:textId="0A61116B" w:rsidR="005F3EB4" w:rsidRPr="00C76D17" w:rsidRDefault="00383392" w:rsidP="00C76D17">
      <w:r w:rsidRPr="00C76D17">
        <w:drawing>
          <wp:anchor distT="0" distB="0" distL="114300" distR="114300" simplePos="0" relativeHeight="251658240" behindDoc="1" locked="1" layoutInCell="1" allowOverlap="1" wp14:anchorId="332F8D30" wp14:editId="735A8557">
            <wp:simplePos x="0" y="0"/>
            <wp:positionH relativeFrom="page">
              <wp:align>left</wp:align>
            </wp:positionH>
            <wp:positionV relativeFrom="page">
              <wp:align>bottom</wp:align>
            </wp:positionV>
            <wp:extent cx="7559675" cy="10691495"/>
            <wp:effectExtent l="0" t="0" r="3175" b="0"/>
            <wp:wrapNone/>
            <wp:docPr id="42025494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254947" name="Graphic 1">
                      <a:extLst>
                        <a:ext uri="{C183D7F6-B498-43B3-948B-1728B52AA6E4}">
                          <adec:decorative xmlns:adec="http://schemas.microsoft.com/office/drawing/2017/decorative" val="1"/>
                        </a:ext>
                      </a:extLst>
                    </pic:cNvPr>
                    <pic:cNvPicPr/>
                  </pic:nvPicPr>
                  <pic:blipFill>
                    <a:blip r:embed="rId111">
                      <a:extLst>
                        <a:ext uri="{28A0092B-C50C-407E-A947-70E740481C1C}">
                          <a14:useLocalDpi xmlns:a14="http://schemas.microsoft.com/office/drawing/2010/main" val="0"/>
                        </a:ext>
                      </a:extLst>
                    </a:blip>
                    <a:stretch>
                      <a:fillRect/>
                    </a:stretch>
                  </pic:blipFill>
                  <pic:spPr>
                    <a:xfrm>
                      <a:off x="0" y="0"/>
                      <a:ext cx="7559847" cy="10692000"/>
                    </a:xfrm>
                    <a:prstGeom prst="rect">
                      <a:avLst/>
                    </a:prstGeom>
                  </pic:spPr>
                </pic:pic>
              </a:graphicData>
            </a:graphic>
            <wp14:sizeRelH relativeFrom="margin">
              <wp14:pctWidth>0</wp14:pctWidth>
            </wp14:sizeRelH>
            <wp14:sizeRelV relativeFrom="margin">
              <wp14:pctHeight>0</wp14:pctHeight>
            </wp14:sizeRelV>
          </wp:anchor>
        </w:drawing>
      </w:r>
    </w:p>
    <w:sectPr w:rsidR="005F3EB4" w:rsidRPr="00C76D17" w:rsidSect="00C20040">
      <w:headerReference w:type="even" r:id="rId112"/>
      <w:headerReference w:type="default" r:id="rId113"/>
      <w:footerReference w:type="default" r:id="rId114"/>
      <w:headerReference w:type="first" r:id="rId115"/>
      <w:pgSz w:w="11906" w:h="16838"/>
      <w:pgMar w:top="10490" w:right="851" w:bottom="709" w:left="851" w:header="567"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5EDF87" w14:textId="77777777" w:rsidR="003170E7" w:rsidRDefault="003170E7" w:rsidP="00FD0D02">
      <w:pPr>
        <w:spacing w:before="0" w:after="0"/>
      </w:pPr>
      <w:r>
        <w:separator/>
      </w:r>
    </w:p>
  </w:endnote>
  <w:endnote w:type="continuationSeparator" w:id="0">
    <w:p w14:paraId="55DED4BF" w14:textId="77777777" w:rsidR="003170E7" w:rsidRDefault="003170E7" w:rsidP="00FD0D02">
      <w:pPr>
        <w:spacing w:before="0" w:after="0"/>
      </w:pPr>
      <w:r>
        <w:continuationSeparator/>
      </w:r>
    </w:p>
  </w:endnote>
  <w:endnote w:type="continuationNotice" w:id="1">
    <w:p w14:paraId="3E130F08" w14:textId="77777777" w:rsidR="003170E7" w:rsidRDefault="003170E7">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altName w:val="Calibri"/>
    <w:charset w:val="00"/>
    <w:family w:val="auto"/>
    <w:pitch w:val="variable"/>
    <w:sig w:usb0="8000002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9999999">
    <w:altName w:val="Cambria"/>
    <w:panose1 w:val="00000000000000000000"/>
    <w:charset w:val="00"/>
    <w:family w:val="roman"/>
    <w:notTrueType/>
    <w:pitch w:val="default"/>
  </w:font>
  <w:font w:name="MS PGothic">
    <w:panose1 w:val="020B0600070205080204"/>
    <w:charset w:val="80"/>
    <w:family w:val="swiss"/>
    <w:pitch w:val="variable"/>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200247B" w:usb2="00000009" w:usb3="00000000" w:csb0="000001FF" w:csb1="00000000"/>
  </w:font>
  <w:font w:name="ZWAdobeF">
    <w:panose1 w:val="00000000000000000000"/>
    <w:charset w:val="00"/>
    <w:family w:val="auto"/>
    <w:pitch w:val="variable"/>
    <w:sig w:usb0="20002A87" w:usb1="00000000" w:usb2="00000000"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BBEC9C" w14:textId="77777777" w:rsidR="00FD653E" w:rsidRDefault="00FD653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6F992B" w14:textId="77777777" w:rsidR="00FD653E" w:rsidRDefault="00FD653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C4F9A7" w14:textId="77777777" w:rsidR="00FD653E" w:rsidRDefault="00FD653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52DF9D" w14:textId="163341DF" w:rsidR="00A93AAF" w:rsidRDefault="00A93AAF" w:rsidP="00A93AAF">
    <w:pPr>
      <w:pStyle w:val="Header"/>
      <w:tabs>
        <w:tab w:val="left" w:pos="2708"/>
        <w:tab w:val="right" w:pos="9637"/>
      </w:tabs>
      <w:jc w:val="left"/>
      <w:rPr>
        <w:sz w:val="14"/>
        <w:szCs w:val="20"/>
      </w:rPr>
    </w:pPr>
    <w:r w:rsidRPr="00DE07D5">
      <w:rPr>
        <w:sz w:val="14"/>
        <w:szCs w:val="20"/>
      </w:rPr>
      <w:t xml:space="preserve"> </w:t>
    </w:r>
    <w:r w:rsidRPr="00DE07D5">
      <w:rPr>
        <w:sz w:val="14"/>
        <w:szCs w:val="20"/>
      </w:rPr>
      <w:fldChar w:fldCharType="begin"/>
    </w:r>
    <w:r w:rsidRPr="00DE07D5">
      <w:rPr>
        <w:sz w:val="14"/>
        <w:szCs w:val="20"/>
      </w:rPr>
      <w:instrText xml:space="preserve"> PAGE   \* MERGEFORMAT </w:instrText>
    </w:r>
    <w:r w:rsidRPr="00DE07D5">
      <w:rPr>
        <w:sz w:val="14"/>
        <w:szCs w:val="20"/>
      </w:rPr>
      <w:fldChar w:fldCharType="separate"/>
    </w:r>
    <w:r w:rsidRPr="00DE07D5">
      <w:rPr>
        <w:sz w:val="14"/>
        <w:szCs w:val="20"/>
      </w:rPr>
      <w:t>1</w:t>
    </w:r>
    <w:r w:rsidRPr="00DE07D5">
      <w:rPr>
        <w:sz w:val="14"/>
        <w:szCs w:val="20"/>
      </w:rPr>
      <w:fldChar w:fldCharType="end"/>
    </w:r>
  </w:p>
  <w:p w14:paraId="16DA34C4" w14:textId="3AE2485C" w:rsidR="00EB7542" w:rsidRPr="00DE07D5" w:rsidRDefault="00EB7542" w:rsidP="00EB7542">
    <w:pPr>
      <w:pStyle w:val="Footer"/>
    </w:pPr>
    <w:r w:rsidRPr="00DE07D5">
      <w:t>©</w:t>
    </w:r>
    <w:sdt>
      <w:sdtPr>
        <w:alias w:val="{{FormatDateTime(Now(),&quot;yyyy&quot;)}}"/>
        <w:tag w:val="{&quot;templafy&quot;:{&quot;id&quot;:&quot;984df128-494e-40f6-81bd-2449174a9c02&quot;}}"/>
        <w:id w:val="1558201284"/>
        <w:placeholder>
          <w:docPart w:val="F0BC26D732DC45C4889BEFD393A727AD"/>
        </w:placeholder>
      </w:sdtPr>
      <w:sdtContent>
        <w:r w:rsidRPr="00DE07D5">
          <w:t>2025</w:t>
        </w:r>
      </w:sdtContent>
    </w:sdt>
    <w:r w:rsidRPr="00DE07D5">
      <w:t xml:space="preserve"> KPMG, an Australian partnership and a member firm of the KPMG global organisation of independent member firms affiliated with KPMG International Limited, a </w:t>
    </w:r>
    <w:r w:rsidRPr="00FC2EAE">
      <w:t>private</w:t>
    </w:r>
    <w:r w:rsidRPr="00DE07D5">
      <w:t xml:space="preserve"> English company limited by guarantee. All rights reserved. The KPMG name and logo are trademarks used under license by the independent member firms of the KPMG global organisation. Liability limited by a scheme approved under Professional Standards Legislation</w:t>
    </w:r>
    <w:r>
      <w: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B73608" w14:textId="0DF6FE4D" w:rsidR="00FD54A5" w:rsidRPr="00DE07D5" w:rsidRDefault="00FD54A5" w:rsidP="00FD54A5">
    <w:pPr>
      <w:pStyle w:val="Header"/>
      <w:tabs>
        <w:tab w:val="left" w:pos="2708"/>
        <w:tab w:val="right" w:pos="9637"/>
      </w:tabs>
      <w:jc w:val="left"/>
      <w:rPr>
        <w:sz w:val="14"/>
        <w:szCs w:val="20"/>
      </w:rPr>
    </w:pPr>
    <w:r w:rsidRPr="00DE07D5">
      <w:rPr>
        <w:sz w:val="14"/>
        <w:szCs w:val="20"/>
      </w:rPr>
      <w:fldChar w:fldCharType="begin"/>
    </w:r>
    <w:r w:rsidRPr="00DE07D5">
      <w:rPr>
        <w:sz w:val="14"/>
        <w:szCs w:val="20"/>
      </w:rPr>
      <w:instrText xml:space="preserve"> PAGE   \* MERGEFORMAT </w:instrText>
    </w:r>
    <w:r w:rsidRPr="00DE07D5">
      <w:rPr>
        <w:sz w:val="14"/>
        <w:szCs w:val="20"/>
      </w:rPr>
      <w:fldChar w:fldCharType="separate"/>
    </w:r>
    <w:r w:rsidR="00EC67BE">
      <w:rPr>
        <w:noProof/>
        <w:sz w:val="14"/>
        <w:szCs w:val="20"/>
      </w:rPr>
      <w:t>3</w:t>
    </w:r>
    <w:r w:rsidRPr="00DE07D5">
      <w:rPr>
        <w:sz w:val="14"/>
        <w:szCs w:val="20"/>
      </w:rPr>
      <w:fldChar w:fldCharType="end"/>
    </w:r>
  </w:p>
  <w:p w14:paraId="0A0E5497" w14:textId="7F90A1DE" w:rsidR="00EB7542" w:rsidRPr="00DE07D5" w:rsidRDefault="00EB7542" w:rsidP="00EB7542">
    <w:pPr>
      <w:pStyle w:val="Footer"/>
    </w:pPr>
    <w:r w:rsidRPr="00DE07D5">
      <w:t>©</w:t>
    </w:r>
    <w:sdt>
      <w:sdtPr>
        <w:alias w:val="{{FormatDateTime(Now(),&quot;yyyy&quot;)}}"/>
        <w:tag w:val="{&quot;templafy&quot;:{&quot;id&quot;:&quot;984df128-494e-40f6-81bd-2449174a9c02&quot;}}"/>
        <w:id w:val="-1918398864"/>
        <w:placeholder>
          <w:docPart w:val="0D3A31C8E0CA447081911CA309F45BCE"/>
        </w:placeholder>
      </w:sdtPr>
      <w:sdtContent>
        <w:r w:rsidRPr="00DE07D5">
          <w:t>2025</w:t>
        </w:r>
      </w:sdtContent>
    </w:sdt>
    <w:r w:rsidRPr="00DE07D5">
      <w:t xml:space="preserve"> KPMG, an Australian partnership and a member firm of the KPMG global organisation of independent member firms affiliated with KPMG International Limited, a </w:t>
    </w:r>
    <w:r w:rsidRPr="00FC2EAE">
      <w:t>private</w:t>
    </w:r>
    <w:r w:rsidRPr="00DE07D5">
      <w:t xml:space="preserve"> English company limited by guarantee. All rights reserved. The KPMG name and logo are trademarks used under license by the independent member firms of the KPMG global organisation. Liability limited by a scheme approved under Professional Standards Legislation.</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20C123" w14:textId="3406E13D" w:rsidR="00CE1157" w:rsidRDefault="00CE1157" w:rsidP="004E4CD7">
    <w:pPr>
      <w:pStyle w:val="Footer"/>
    </w:pPr>
    <w:r w:rsidRPr="00B2476C">
      <w:fldChar w:fldCharType="begin"/>
    </w:r>
    <w:r w:rsidRPr="00B2476C">
      <w:instrText xml:space="preserve"> PAGE   \* MERGEFORMAT </w:instrText>
    </w:r>
    <w:r w:rsidRPr="00B2476C">
      <w:fldChar w:fldCharType="separate"/>
    </w:r>
    <w:r>
      <w:t>39</w:t>
    </w:r>
    <w:r w:rsidRPr="00B2476C">
      <w:fldChar w:fldCharType="end"/>
    </w:r>
  </w:p>
  <w:p w14:paraId="01532B69" w14:textId="77777777" w:rsidR="005C1328" w:rsidRDefault="005C1328" w:rsidP="004E4CD7">
    <w:pPr>
      <w:pStyle w:val="Footer"/>
    </w:pPr>
  </w:p>
  <w:p w14:paraId="4EA7D7CA" w14:textId="5DDBA989" w:rsidR="00B85AB5" w:rsidRDefault="0053717E" w:rsidP="00FC2EAE">
    <w:pPr>
      <w:pStyle w:val="Footer"/>
    </w:pPr>
    <w:r w:rsidRPr="00DE07D5">
      <w:t>©</w:t>
    </w:r>
    <w:sdt>
      <w:sdtPr>
        <w:alias w:val="{{FormatDateTime(Now(),&quot;yyyy&quot;)}}"/>
        <w:tag w:val="{&quot;templafy&quot;:{&quot;id&quot;:&quot;984df128-494e-40f6-81bd-2449174a9c02&quot;}}"/>
        <w:id w:val="148648341"/>
        <w:placeholder>
          <w:docPart w:val="F073B62161D545EA949D99FD1CD8AA3E"/>
        </w:placeholder>
      </w:sdtPr>
      <w:sdtContent>
        <w:r w:rsidRPr="00DE07D5">
          <w:t>2025</w:t>
        </w:r>
      </w:sdtContent>
    </w:sdt>
    <w:r w:rsidRPr="00DE07D5">
      <w:t xml:space="preserve"> KPMG, an Australian partnership and a member firm of the KPMG global organisation of independent member firms affiliated with KPMG International Limited, a </w:t>
    </w:r>
    <w:r w:rsidRPr="00FC2EAE">
      <w:t>private</w:t>
    </w:r>
    <w:r w:rsidRPr="00DE07D5">
      <w:t xml:space="preserve"> English company limited by guarantee. All rights reserved. The KPMG name and logo are trademarks used under license by the independent member firms of the KPMG global organisation. Liability limited by a scheme approved under Professional Standards Legislation.</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CC39AA" w14:textId="77777777" w:rsidR="002D1979" w:rsidRPr="00F577F4" w:rsidRDefault="002D1979" w:rsidP="00CC5950">
    <w:pPr>
      <w:pStyle w:val="Head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407811" w14:textId="77777777" w:rsidR="003170E7" w:rsidRDefault="003170E7" w:rsidP="00FD0D02">
      <w:pPr>
        <w:spacing w:before="0" w:after="0"/>
      </w:pPr>
      <w:r>
        <w:separator/>
      </w:r>
    </w:p>
  </w:footnote>
  <w:footnote w:type="continuationSeparator" w:id="0">
    <w:p w14:paraId="7314A9C4" w14:textId="77777777" w:rsidR="003170E7" w:rsidRDefault="003170E7" w:rsidP="00FD0D02">
      <w:pPr>
        <w:spacing w:before="0" w:after="0"/>
      </w:pPr>
      <w:r>
        <w:continuationSeparator/>
      </w:r>
    </w:p>
  </w:footnote>
  <w:footnote w:type="continuationNotice" w:id="1">
    <w:p w14:paraId="76D218F0" w14:textId="77777777" w:rsidR="003170E7" w:rsidRDefault="003170E7">
      <w:pPr>
        <w:spacing w:before="0" w:after="0"/>
      </w:pPr>
    </w:p>
  </w:footnote>
  <w:footnote w:id="2">
    <w:p w14:paraId="5DDA4A38" w14:textId="362E7E9D" w:rsidR="0013165A" w:rsidRDefault="0013165A">
      <w:pPr>
        <w:pStyle w:val="FootnoteText"/>
      </w:pPr>
      <w:r w:rsidRPr="00EF4876">
        <w:rPr>
          <w:rStyle w:val="FootnoteReference"/>
          <w:szCs w:val="16"/>
        </w:rPr>
        <w:footnoteRef/>
      </w:r>
      <w:r w:rsidRPr="00EF4876">
        <w:rPr>
          <w:szCs w:val="16"/>
        </w:rPr>
        <w:t xml:space="preserve"> For the purposes of this report, </w:t>
      </w:r>
      <w:r w:rsidR="00A55891">
        <w:rPr>
          <w:szCs w:val="16"/>
        </w:rPr>
        <w:t xml:space="preserve">the term </w:t>
      </w:r>
      <w:r w:rsidR="00F1316C" w:rsidRPr="00EF4876">
        <w:rPr>
          <w:i/>
          <w:iCs/>
          <w:szCs w:val="16"/>
        </w:rPr>
        <w:t>N</w:t>
      </w:r>
      <w:r w:rsidRPr="00EF4876">
        <w:rPr>
          <w:i/>
          <w:iCs/>
          <w:szCs w:val="16"/>
        </w:rPr>
        <w:t>ational services, programs and schemes</w:t>
      </w:r>
      <w:r w:rsidRPr="00EF4876">
        <w:rPr>
          <w:szCs w:val="16"/>
        </w:rPr>
        <w:t xml:space="preserve"> </w:t>
      </w:r>
      <w:proofErr w:type="gramStart"/>
      <w:r w:rsidRPr="00EF4876">
        <w:rPr>
          <w:szCs w:val="16"/>
        </w:rPr>
        <w:t>refers</w:t>
      </w:r>
      <w:proofErr w:type="gramEnd"/>
      <w:r w:rsidRPr="00EF4876">
        <w:rPr>
          <w:szCs w:val="16"/>
        </w:rPr>
        <w:t xml:space="preserve"> to </w:t>
      </w:r>
      <w:r>
        <w:rPr>
          <w:szCs w:val="16"/>
        </w:rPr>
        <w:t>those services, programs and schemes that are a</w:t>
      </w:r>
      <w:r w:rsidR="0030317C">
        <w:rPr>
          <w:szCs w:val="16"/>
        </w:rPr>
        <w:t>vailable across all jurisdictions in Australia. This</w:t>
      </w:r>
      <w:r w:rsidR="0052431E">
        <w:rPr>
          <w:szCs w:val="16"/>
        </w:rPr>
        <w:t xml:space="preserve"> may</w:t>
      </w:r>
      <w:r w:rsidR="0030317C">
        <w:rPr>
          <w:szCs w:val="16"/>
        </w:rPr>
        <w:t xml:space="preserve"> include </w:t>
      </w:r>
      <w:r w:rsidR="00A55891">
        <w:rPr>
          <w:szCs w:val="16"/>
        </w:rPr>
        <w:t>services, programs and scheme</w:t>
      </w:r>
      <w:r w:rsidR="00803B66">
        <w:rPr>
          <w:szCs w:val="16"/>
        </w:rPr>
        <w:t xml:space="preserve">s </w:t>
      </w:r>
      <w:r w:rsidR="00EF7667">
        <w:rPr>
          <w:szCs w:val="16"/>
        </w:rPr>
        <w:t xml:space="preserve">that are </w:t>
      </w:r>
      <w:r w:rsidR="00803B66">
        <w:rPr>
          <w:szCs w:val="16"/>
        </w:rPr>
        <w:t xml:space="preserve">funded by </w:t>
      </w:r>
      <w:r w:rsidR="00CC600E">
        <w:rPr>
          <w:szCs w:val="16"/>
        </w:rPr>
        <w:t xml:space="preserve">the Australian Government, </w:t>
      </w:r>
      <w:r w:rsidR="00A55891">
        <w:rPr>
          <w:szCs w:val="16"/>
        </w:rPr>
        <w:t>private health insur</w:t>
      </w:r>
      <w:r w:rsidR="00CC600E">
        <w:rPr>
          <w:szCs w:val="16"/>
        </w:rPr>
        <w:t xml:space="preserve">ers </w:t>
      </w:r>
      <w:r w:rsidR="0052431E">
        <w:rPr>
          <w:szCs w:val="16"/>
        </w:rPr>
        <w:t>or</w:t>
      </w:r>
      <w:r w:rsidR="00CC600E">
        <w:rPr>
          <w:szCs w:val="16"/>
        </w:rPr>
        <w:t xml:space="preserve"> Non-Government Organisations. </w:t>
      </w:r>
      <w:r w:rsidR="00FF3E29">
        <w:rPr>
          <w:i/>
          <w:iCs/>
          <w:szCs w:val="16"/>
        </w:rPr>
        <w:t>Additional</w:t>
      </w:r>
      <w:r w:rsidR="00CC600E" w:rsidRPr="00EF4876">
        <w:rPr>
          <w:i/>
          <w:iCs/>
          <w:szCs w:val="16"/>
        </w:rPr>
        <w:t xml:space="preserve"> services, programs and schemes</w:t>
      </w:r>
      <w:r w:rsidR="00CC600E">
        <w:rPr>
          <w:szCs w:val="16"/>
        </w:rPr>
        <w:t xml:space="preserve"> </w:t>
      </w:r>
      <w:proofErr w:type="gramStart"/>
      <w:r w:rsidR="00CC600E">
        <w:rPr>
          <w:szCs w:val="16"/>
        </w:rPr>
        <w:t>refers</w:t>
      </w:r>
      <w:proofErr w:type="gramEnd"/>
      <w:r w:rsidR="00CC600E">
        <w:rPr>
          <w:szCs w:val="16"/>
        </w:rPr>
        <w:t xml:space="preserve"> to services, programs and schemes that are available in some locations</w:t>
      </w:r>
      <w:r w:rsidR="00F1316C">
        <w:rPr>
          <w:szCs w:val="16"/>
        </w:rPr>
        <w:t xml:space="preserve"> in Australia onl</w:t>
      </w:r>
      <w:r w:rsidR="00FF3E29">
        <w:rPr>
          <w:szCs w:val="16"/>
        </w:rPr>
        <w:t>y and</w:t>
      </w:r>
      <w:r w:rsidR="0052431E">
        <w:rPr>
          <w:szCs w:val="16"/>
        </w:rPr>
        <w:t xml:space="preserve"> may</w:t>
      </w:r>
      <w:r w:rsidR="00FF3E29">
        <w:rPr>
          <w:szCs w:val="16"/>
        </w:rPr>
        <w:t xml:space="preserve"> include services, programs and schemes that are funded by State/Territory Governments </w:t>
      </w:r>
      <w:r w:rsidR="0052431E">
        <w:rPr>
          <w:szCs w:val="16"/>
        </w:rPr>
        <w:t>or</w:t>
      </w:r>
      <w:r w:rsidR="00FF3E29">
        <w:rPr>
          <w:szCs w:val="16"/>
        </w:rPr>
        <w:t xml:space="preserve"> Non-Government Organisations. </w:t>
      </w:r>
    </w:p>
  </w:footnote>
  <w:footnote w:id="3">
    <w:p w14:paraId="120061F7" w14:textId="015222D6" w:rsidR="00E13F12" w:rsidRDefault="00E13F12">
      <w:pPr>
        <w:pStyle w:val="FootnoteText"/>
      </w:pPr>
      <w:r w:rsidRPr="00A563B3">
        <w:rPr>
          <w:rStyle w:val="FootnoteReference"/>
          <w:szCs w:val="16"/>
        </w:rPr>
        <w:footnoteRef/>
      </w:r>
      <w:r w:rsidRPr="00A563B3">
        <w:rPr>
          <w:szCs w:val="16"/>
        </w:rPr>
        <w:t xml:space="preserve"> </w:t>
      </w:r>
      <w:r w:rsidRPr="00E13F12">
        <w:rPr>
          <w:szCs w:val="16"/>
        </w:rPr>
        <w:t>Oral prostheses</w:t>
      </w:r>
      <w:r>
        <w:rPr>
          <w:szCs w:val="16"/>
        </w:rPr>
        <w:t xml:space="preserve"> are typically considered to be implants and / or part of dental care</w:t>
      </w:r>
      <w:r w:rsidRPr="00E13F12">
        <w:rPr>
          <w:szCs w:val="16"/>
        </w:rPr>
        <w:t xml:space="preserve"> and were determined by the Department to be out of scope for this review. Supports are currently in place for people impacted by cancer to access to dental services under the MBS. Options for improving access to dental and oral health treatment and restorative services for cancer patients will be considered by the Australian Government in response to recommendations from the 2024 Senate inquiry into the Provision of and Access to Dental Services in Australia.</w:t>
      </w:r>
    </w:p>
  </w:footnote>
  <w:footnote w:id="4">
    <w:p w14:paraId="604C1A15" w14:textId="77777777" w:rsidR="00825995" w:rsidRPr="005F0F87" w:rsidRDefault="00825995" w:rsidP="00825995">
      <w:pPr>
        <w:pStyle w:val="FootnoteText"/>
        <w:rPr>
          <w:szCs w:val="16"/>
        </w:rPr>
      </w:pPr>
      <w:r w:rsidRPr="005F0F87">
        <w:rPr>
          <w:rStyle w:val="FootnoteReference"/>
          <w:szCs w:val="16"/>
        </w:rPr>
        <w:footnoteRef/>
      </w:r>
      <w:r w:rsidRPr="005F0F87">
        <w:rPr>
          <w:szCs w:val="16"/>
        </w:rPr>
        <w:t xml:space="preserve"> Australian Institute of Health and Welfare. (2024). </w:t>
      </w:r>
      <w:r w:rsidRPr="00CE1F3E">
        <w:rPr>
          <w:i/>
          <w:szCs w:val="16"/>
        </w:rPr>
        <w:t>Cancer</w:t>
      </w:r>
      <w:r w:rsidRPr="005F0F87">
        <w:rPr>
          <w:szCs w:val="16"/>
        </w:rPr>
        <w:t>. https://www.aihw.gov.au/reports/australias-health/cancer</w:t>
      </w:r>
    </w:p>
  </w:footnote>
  <w:footnote w:id="5">
    <w:p w14:paraId="62917D74" w14:textId="77777777" w:rsidR="00825995" w:rsidRPr="00013AAA" w:rsidRDefault="00825995" w:rsidP="00825995">
      <w:pPr>
        <w:pStyle w:val="FootnoteText"/>
        <w:rPr>
          <w:szCs w:val="16"/>
        </w:rPr>
      </w:pPr>
      <w:r w:rsidRPr="00013AAA">
        <w:rPr>
          <w:rStyle w:val="FootnoteReference"/>
          <w:szCs w:val="16"/>
        </w:rPr>
        <w:footnoteRef/>
      </w:r>
      <w:r w:rsidRPr="00013AAA">
        <w:rPr>
          <w:szCs w:val="16"/>
        </w:rPr>
        <w:t xml:space="preserve"> American Cancer Institute. (2024). </w:t>
      </w:r>
      <w:r w:rsidRPr="00CE1F3E">
        <w:rPr>
          <w:i/>
          <w:szCs w:val="16"/>
        </w:rPr>
        <w:t>Prostheses</w:t>
      </w:r>
      <w:r w:rsidRPr="00013AAA">
        <w:rPr>
          <w:szCs w:val="16"/>
        </w:rPr>
        <w:t>. https://www.cancer.org/cancer/managing-cancer/side-effects/prostheses.html</w:t>
      </w:r>
    </w:p>
  </w:footnote>
  <w:footnote w:id="6">
    <w:p w14:paraId="6FF43763" w14:textId="77777777" w:rsidR="00F769C7" w:rsidRPr="006964B6" w:rsidRDefault="00F769C7" w:rsidP="00F769C7">
      <w:pPr>
        <w:pStyle w:val="FootnoteText"/>
        <w:rPr>
          <w:szCs w:val="16"/>
        </w:rPr>
      </w:pPr>
      <w:r w:rsidRPr="006964B6">
        <w:rPr>
          <w:rStyle w:val="FootnoteReference"/>
          <w:szCs w:val="16"/>
        </w:rPr>
        <w:footnoteRef/>
      </w:r>
      <w:r w:rsidRPr="006964B6">
        <w:rPr>
          <w:szCs w:val="16"/>
        </w:rPr>
        <w:t xml:space="preserve"> Department of </w:t>
      </w:r>
      <w:r>
        <w:rPr>
          <w:szCs w:val="16"/>
        </w:rPr>
        <w:t>Health, Disability and Ageing</w:t>
      </w:r>
      <w:r w:rsidRPr="006964B6">
        <w:rPr>
          <w:szCs w:val="16"/>
        </w:rPr>
        <w:t xml:space="preserve">. (2024). </w:t>
      </w:r>
      <w:r w:rsidRPr="00CE1F3E">
        <w:rPr>
          <w:i/>
          <w:szCs w:val="16"/>
        </w:rPr>
        <w:t>External Breast Prostheses Reimbursement Program Evaluation</w:t>
      </w:r>
      <w:r w:rsidRPr="006964B6">
        <w:rPr>
          <w:szCs w:val="16"/>
        </w:rPr>
        <w:t>. https://www.health.gov.au/sites/default/files/2024-09/external-breast-prostheses-reimbursement-program-evaluation-june-2024.pdf</w:t>
      </w:r>
    </w:p>
  </w:footnote>
  <w:footnote w:id="7">
    <w:p w14:paraId="41141F81" w14:textId="77777777" w:rsidR="00825995" w:rsidRPr="00AE012B" w:rsidRDefault="00825995" w:rsidP="00825995">
      <w:pPr>
        <w:pStyle w:val="FootnoteText"/>
        <w:rPr>
          <w:szCs w:val="16"/>
        </w:rPr>
      </w:pPr>
      <w:r w:rsidRPr="00AE012B">
        <w:rPr>
          <w:rStyle w:val="FootnoteReference"/>
          <w:szCs w:val="16"/>
        </w:rPr>
        <w:footnoteRef/>
      </w:r>
      <w:r w:rsidRPr="00AE012B">
        <w:rPr>
          <w:szCs w:val="16"/>
        </w:rPr>
        <w:t xml:space="preserve"> </w:t>
      </w:r>
      <w:r w:rsidRPr="004511C9">
        <w:rPr>
          <w:szCs w:val="16"/>
        </w:rPr>
        <w:t xml:space="preserve">Parliament of Australia. (2024). </w:t>
      </w:r>
      <w:r w:rsidRPr="00CE1F3E">
        <w:rPr>
          <w:i/>
          <w:szCs w:val="16"/>
        </w:rPr>
        <w:t>Equitable access to diagnosis and treatment for individuals with rare and less common cancers, including neuroendocrine cancer</w:t>
      </w:r>
      <w:r w:rsidRPr="004511C9">
        <w:rPr>
          <w:szCs w:val="16"/>
        </w:rPr>
        <w:t>. https://www.aph.gov.au/Parliamentary_Business/Committees/Senate/Community_Affairs/Cancerdiagnosis/Report</w:t>
      </w:r>
    </w:p>
  </w:footnote>
  <w:footnote w:id="8">
    <w:p w14:paraId="2B11A819" w14:textId="77777777" w:rsidR="0006447A" w:rsidRDefault="0006447A" w:rsidP="0006447A">
      <w:pPr>
        <w:pStyle w:val="FootnoteText"/>
      </w:pPr>
      <w:r>
        <w:rPr>
          <w:rStyle w:val="FootnoteReference"/>
        </w:rPr>
        <w:footnoteRef/>
      </w:r>
      <w:r>
        <w:t xml:space="preserve"> </w:t>
      </w:r>
      <w:r w:rsidRPr="004511C9">
        <w:rPr>
          <w:szCs w:val="16"/>
        </w:rPr>
        <w:t>Parliament of Australia. (2024</w:t>
      </w:r>
      <w:r w:rsidRPr="00CE1F3E">
        <w:rPr>
          <w:i/>
          <w:szCs w:val="16"/>
        </w:rPr>
        <w:t>). Equitable access to diagnosis and treatment for individuals with rare and less common cancers, including neuroendocrine cancer</w:t>
      </w:r>
      <w:r w:rsidRPr="004511C9">
        <w:rPr>
          <w:szCs w:val="16"/>
        </w:rPr>
        <w:t>. https://www.aph.gov.au/Parliamentary_Business/Committees/Senate/Community_Affairs/Cancerdiagnosis/Report</w:t>
      </w:r>
    </w:p>
  </w:footnote>
  <w:footnote w:id="9">
    <w:p w14:paraId="2CD530F6" w14:textId="77777777" w:rsidR="0006447A" w:rsidRPr="00CE1F3E" w:rsidRDefault="0006447A" w:rsidP="0006447A">
      <w:pPr>
        <w:pStyle w:val="FootnoteText"/>
        <w:rPr>
          <w:szCs w:val="16"/>
        </w:rPr>
      </w:pPr>
      <w:r>
        <w:rPr>
          <w:rStyle w:val="FootnoteReference"/>
        </w:rPr>
        <w:footnoteRef/>
      </w:r>
      <w:r>
        <w:t xml:space="preserve"> </w:t>
      </w:r>
      <w:r w:rsidRPr="006964B6">
        <w:rPr>
          <w:szCs w:val="16"/>
        </w:rPr>
        <w:t xml:space="preserve">Department of </w:t>
      </w:r>
      <w:r>
        <w:rPr>
          <w:szCs w:val="16"/>
        </w:rPr>
        <w:t>Health, Disability and Ageing</w:t>
      </w:r>
      <w:r w:rsidRPr="006964B6">
        <w:rPr>
          <w:szCs w:val="16"/>
        </w:rPr>
        <w:t xml:space="preserve">. (2024). </w:t>
      </w:r>
      <w:r w:rsidRPr="00CE1F3E">
        <w:rPr>
          <w:i/>
          <w:szCs w:val="16"/>
        </w:rPr>
        <w:t>External Breast Prostheses Reimbursement Program Evaluation</w:t>
      </w:r>
      <w:r w:rsidRPr="006964B6">
        <w:rPr>
          <w:szCs w:val="16"/>
        </w:rPr>
        <w:t>. https://www.health.gov.au/sites/default/files/2024-09/external-breast-prostheses-reimbursement-program-evaluation-june-2024.pdf</w:t>
      </w:r>
    </w:p>
  </w:footnote>
  <w:footnote w:id="10">
    <w:p w14:paraId="5831C0F4" w14:textId="77777777" w:rsidR="0006447A" w:rsidRPr="00CE1F3E" w:rsidRDefault="0006447A" w:rsidP="0006447A">
      <w:pPr>
        <w:pStyle w:val="FootnoteText"/>
        <w:rPr>
          <w:szCs w:val="16"/>
        </w:rPr>
      </w:pPr>
      <w:r w:rsidRPr="00CE1F3E">
        <w:rPr>
          <w:rStyle w:val="FootnoteReference"/>
          <w:szCs w:val="16"/>
        </w:rPr>
        <w:footnoteRef/>
      </w:r>
      <w:r w:rsidRPr="00CE1F3E">
        <w:rPr>
          <w:szCs w:val="16"/>
        </w:rPr>
        <w:t xml:space="preserve"> Cancer Australia. (2023). </w:t>
      </w:r>
      <w:r w:rsidRPr="00CE1F3E">
        <w:rPr>
          <w:i/>
          <w:iCs/>
          <w:szCs w:val="16"/>
        </w:rPr>
        <w:t>Australian Cancer Plan</w:t>
      </w:r>
      <w:r w:rsidRPr="00CE1F3E">
        <w:rPr>
          <w:szCs w:val="16"/>
        </w:rPr>
        <w:t>. https://www.canceraustralia.gov.au/australian-cancer-plan</w:t>
      </w:r>
    </w:p>
  </w:footnote>
  <w:footnote w:id="11">
    <w:p w14:paraId="30188D70" w14:textId="6F53CB60" w:rsidR="00891437" w:rsidRPr="001A6BED" w:rsidRDefault="00891437" w:rsidP="007831AE">
      <w:pPr>
        <w:pStyle w:val="FootnoteText"/>
        <w:rPr>
          <w:szCs w:val="16"/>
        </w:rPr>
      </w:pPr>
      <w:r w:rsidRPr="001A6BED">
        <w:rPr>
          <w:rStyle w:val="FootnoteReference"/>
          <w:szCs w:val="16"/>
        </w:rPr>
        <w:footnoteRef/>
      </w:r>
      <w:r>
        <w:rPr>
          <w:szCs w:val="16"/>
        </w:rPr>
        <w:t xml:space="preserve"> </w:t>
      </w:r>
      <w:r w:rsidR="00C764A8" w:rsidRPr="00C764A8">
        <w:rPr>
          <w:szCs w:val="16"/>
        </w:rPr>
        <w:t xml:space="preserve">Dental implants are considered intraoral prostheses and were determined by the Department to be out of scope for this review. </w:t>
      </w:r>
      <w:r w:rsidR="00C764A8">
        <w:rPr>
          <w:szCs w:val="16"/>
        </w:rPr>
        <w:t>Supports are</w:t>
      </w:r>
      <w:r w:rsidR="00C764A8" w:rsidRPr="00C764A8">
        <w:rPr>
          <w:szCs w:val="16"/>
        </w:rPr>
        <w:t xml:space="preserve"> currently in place for people impacted by cancer</w:t>
      </w:r>
      <w:r w:rsidR="00C764A8">
        <w:rPr>
          <w:szCs w:val="16"/>
        </w:rPr>
        <w:t xml:space="preserve"> to access dental services</w:t>
      </w:r>
      <w:r w:rsidR="00C764A8" w:rsidRPr="00C764A8">
        <w:rPr>
          <w:szCs w:val="16"/>
        </w:rPr>
        <w:t xml:space="preserve">, including a range of oral and maxillofacial medical services that attract </w:t>
      </w:r>
      <w:r w:rsidR="00E320DA">
        <w:rPr>
          <w:szCs w:val="16"/>
        </w:rPr>
        <w:t>rebates</w:t>
      </w:r>
      <w:r w:rsidR="00C764A8" w:rsidRPr="00C764A8">
        <w:rPr>
          <w:szCs w:val="16"/>
        </w:rPr>
        <w:t xml:space="preserve"> under the </w:t>
      </w:r>
      <w:r w:rsidR="00967A55" w:rsidRPr="00967A55">
        <w:rPr>
          <w:szCs w:val="16"/>
        </w:rPr>
        <w:t xml:space="preserve">Medicare Benefits Schedule </w:t>
      </w:r>
      <w:r w:rsidR="00967A55">
        <w:rPr>
          <w:szCs w:val="16"/>
        </w:rPr>
        <w:t>(</w:t>
      </w:r>
      <w:r w:rsidR="00C764A8" w:rsidRPr="00C764A8">
        <w:rPr>
          <w:szCs w:val="16"/>
        </w:rPr>
        <w:t>MBS</w:t>
      </w:r>
      <w:r w:rsidR="00967A55">
        <w:rPr>
          <w:szCs w:val="16"/>
        </w:rPr>
        <w:t>)</w:t>
      </w:r>
      <w:r w:rsidR="00C764A8" w:rsidRPr="00C764A8">
        <w:rPr>
          <w:szCs w:val="16"/>
        </w:rPr>
        <w:t xml:space="preserve"> when performed by a medical practitioner or</w:t>
      </w:r>
      <w:r w:rsidR="00E320DA">
        <w:rPr>
          <w:szCs w:val="16"/>
        </w:rPr>
        <w:t xml:space="preserve"> an</w:t>
      </w:r>
      <w:r w:rsidR="00C764A8" w:rsidRPr="00C764A8">
        <w:rPr>
          <w:szCs w:val="16"/>
        </w:rPr>
        <w:t xml:space="preserve"> approved oral and maxillofacial surgeon. MBS reconstructive items that may also be applicable to survivors of head, neck, and oral cancers include but are not limited to microvascular head and neck reconstruction items, maxilla and mandible reconstruction items, and intra-oral implantation and fixation items. Options for improving access to dental and oral health treatment and restorative services for cancer patients will be considered by the Australian Government in response to recommendations from the 2024 Senate inquiry into the Provision of and Access to Dental Services in Australia</w:t>
      </w:r>
    </w:p>
  </w:footnote>
  <w:footnote w:id="12">
    <w:p w14:paraId="3A75BCD4" w14:textId="77777777" w:rsidR="007831AE" w:rsidRPr="00D34E8A" w:rsidRDefault="007831AE" w:rsidP="007831AE">
      <w:pPr>
        <w:pStyle w:val="FootnoteText"/>
        <w:rPr>
          <w:szCs w:val="16"/>
        </w:rPr>
      </w:pPr>
      <w:r w:rsidRPr="00D34E8A">
        <w:rPr>
          <w:rStyle w:val="FootnoteReference"/>
          <w:szCs w:val="16"/>
        </w:rPr>
        <w:footnoteRef/>
      </w:r>
      <w:r w:rsidRPr="00D34E8A">
        <w:rPr>
          <w:szCs w:val="16"/>
        </w:rPr>
        <w:t xml:space="preserve"> Australian Institute of Health and Welfare. (2024). Cancer. https://www.aihw.gov.au/reports/australias-health/cancer</w:t>
      </w:r>
    </w:p>
  </w:footnote>
  <w:footnote w:id="13">
    <w:p w14:paraId="51D9E4A3" w14:textId="77777777" w:rsidR="007831AE" w:rsidRDefault="007831AE" w:rsidP="007831AE">
      <w:pPr>
        <w:pStyle w:val="FootnoteText"/>
      </w:pPr>
      <w:r w:rsidRPr="00D34E8A">
        <w:rPr>
          <w:rStyle w:val="FootnoteReference"/>
          <w:szCs w:val="16"/>
        </w:rPr>
        <w:footnoteRef/>
      </w:r>
      <w:r w:rsidRPr="00D34E8A">
        <w:rPr>
          <w:szCs w:val="16"/>
        </w:rPr>
        <w:t xml:space="preserve"> Cancer Australia. (2025). Australian Cancer Plan. https://www.australiancancerplan.gov.au</w:t>
      </w:r>
    </w:p>
  </w:footnote>
  <w:footnote w:id="14">
    <w:p w14:paraId="5C658511" w14:textId="44E59569" w:rsidR="00D60EE0" w:rsidRPr="003176A8" w:rsidRDefault="00D60EE0">
      <w:pPr>
        <w:pStyle w:val="FootnoteText"/>
        <w:rPr>
          <w:szCs w:val="16"/>
        </w:rPr>
      </w:pPr>
      <w:r>
        <w:rPr>
          <w:rStyle w:val="FootnoteReference"/>
        </w:rPr>
        <w:footnoteRef/>
      </w:r>
      <w:r>
        <w:t xml:space="preserve"> </w:t>
      </w:r>
      <w:r w:rsidR="007C2D56" w:rsidRPr="003176A8">
        <w:rPr>
          <w:szCs w:val="16"/>
        </w:rPr>
        <w:t>Cancer Australia. (2024). Head and neck cancer in Australia statistics. https://www.canceraustralia.gov.au/cancer-types/head-and-neck-cancer/head-and-neck-cancer-australia-statistics</w:t>
      </w:r>
    </w:p>
  </w:footnote>
  <w:footnote w:id="15">
    <w:p w14:paraId="5ACB3B43" w14:textId="77777777" w:rsidR="000D7CFB" w:rsidRPr="00060006" w:rsidRDefault="000D7CFB" w:rsidP="000D7CFB">
      <w:pPr>
        <w:pStyle w:val="FootnoteText"/>
        <w:rPr>
          <w:szCs w:val="16"/>
        </w:rPr>
      </w:pPr>
      <w:r w:rsidRPr="00060006">
        <w:rPr>
          <w:rStyle w:val="FootnoteReference"/>
          <w:szCs w:val="16"/>
        </w:rPr>
        <w:footnoteRef/>
      </w:r>
      <w:r w:rsidRPr="00060006">
        <w:rPr>
          <w:szCs w:val="16"/>
        </w:rPr>
        <w:t xml:space="preserve"> Head and Neck Cancer Australia. (n.d.). </w:t>
      </w:r>
      <w:r w:rsidRPr="00060006">
        <w:rPr>
          <w:i/>
          <w:iCs/>
          <w:szCs w:val="16"/>
        </w:rPr>
        <w:t>What is Head and neck Cancer.</w:t>
      </w:r>
      <w:r w:rsidRPr="00060006">
        <w:rPr>
          <w:szCs w:val="16"/>
        </w:rPr>
        <w:t xml:space="preserve"> https://www.headandneckcancer.org.au/head-and-neck-cancer-definition/what-is-oral-cancer/ </w:t>
      </w:r>
    </w:p>
  </w:footnote>
  <w:footnote w:id="16">
    <w:p w14:paraId="41AD520E" w14:textId="77777777" w:rsidR="000D7CFB" w:rsidRPr="00F44BAA" w:rsidRDefault="000D7CFB" w:rsidP="000D7CFB">
      <w:pPr>
        <w:pStyle w:val="FootnoteText"/>
        <w:rPr>
          <w:szCs w:val="16"/>
        </w:rPr>
      </w:pPr>
      <w:r w:rsidRPr="00F44BAA">
        <w:rPr>
          <w:rStyle w:val="FootnoteReference"/>
          <w:szCs w:val="16"/>
        </w:rPr>
        <w:footnoteRef/>
      </w:r>
      <w:r w:rsidRPr="00F44BAA">
        <w:rPr>
          <w:szCs w:val="16"/>
        </w:rPr>
        <w:t xml:space="preserve"> The Australian Orthotic Prosthetic Association. (n.d.). </w:t>
      </w:r>
      <w:r w:rsidRPr="00F44BAA">
        <w:rPr>
          <w:i/>
          <w:iCs/>
          <w:szCs w:val="16"/>
        </w:rPr>
        <w:t>Anaplastologist: an emerging speciality</w:t>
      </w:r>
      <w:r w:rsidRPr="00F44BAA">
        <w:rPr>
          <w:szCs w:val="16"/>
        </w:rPr>
        <w:t>. https://www.aopa.org.au/events/event/clinical-anaplastology-an-emerging-specialty#:~:text=Anaplastology%20is%20an%20allied%20health,of%20the%20face%20or%20body.</w:t>
      </w:r>
    </w:p>
  </w:footnote>
  <w:footnote w:id="17">
    <w:p w14:paraId="3131BF53" w14:textId="77777777" w:rsidR="000D7CFB" w:rsidRPr="001E0BF2" w:rsidRDefault="000D7CFB" w:rsidP="000D7CFB">
      <w:pPr>
        <w:pStyle w:val="FootnoteText"/>
        <w:rPr>
          <w:szCs w:val="16"/>
        </w:rPr>
      </w:pPr>
      <w:r w:rsidRPr="001E0BF2">
        <w:rPr>
          <w:rStyle w:val="FootnoteReference"/>
          <w:szCs w:val="16"/>
        </w:rPr>
        <w:footnoteRef/>
      </w:r>
      <w:r w:rsidRPr="001E0BF2">
        <w:rPr>
          <w:szCs w:val="16"/>
        </w:rPr>
        <w:t xml:space="preserve"> American Academy of Maxillofacial Prosthetics. (n.d.). </w:t>
      </w:r>
      <w:r w:rsidRPr="001E0BF2">
        <w:rPr>
          <w:i/>
          <w:iCs/>
          <w:szCs w:val="16"/>
        </w:rPr>
        <w:t>What is a maxillofacial prosthodontics</w:t>
      </w:r>
      <w:r w:rsidRPr="001E0BF2">
        <w:rPr>
          <w:szCs w:val="16"/>
        </w:rPr>
        <w:t>. https://www.maxillofacialprosthetics.org/referring_physicians/what_is_mp/#:~:text=Maxillofacial%20Prosthetics%20is%20a%20subspecialty,due%20to%20disease%20or%20trauma.</w:t>
      </w:r>
    </w:p>
  </w:footnote>
  <w:footnote w:id="18">
    <w:p w14:paraId="5C859DA1" w14:textId="77777777" w:rsidR="000D7CFB" w:rsidRPr="00B7480C" w:rsidRDefault="000D7CFB" w:rsidP="000D7CFB">
      <w:pPr>
        <w:pStyle w:val="FootnoteText"/>
        <w:rPr>
          <w:szCs w:val="16"/>
        </w:rPr>
      </w:pPr>
      <w:r w:rsidRPr="00B7480C">
        <w:rPr>
          <w:rStyle w:val="FootnoteReference"/>
          <w:szCs w:val="16"/>
        </w:rPr>
        <w:footnoteRef/>
      </w:r>
      <w:r w:rsidRPr="00B7480C">
        <w:rPr>
          <w:szCs w:val="16"/>
        </w:rPr>
        <w:t xml:space="preserve"> James H Morphett. (n.d.). </w:t>
      </w:r>
      <w:r w:rsidRPr="00B7480C">
        <w:rPr>
          <w:i/>
          <w:iCs/>
          <w:szCs w:val="16"/>
        </w:rPr>
        <w:t>Overview of Artificial Eye Services provided by an ocularist</w:t>
      </w:r>
      <w:r w:rsidRPr="00B7480C">
        <w:rPr>
          <w:szCs w:val="16"/>
        </w:rPr>
        <w:t>. https://jameshmorphett.com.au/overview-artificial-eye-services-ocularist/#:~:text=Ocularists%20are%20skilled%20professionals%20who,confidence%20in%20their%20everyday%20lives.</w:t>
      </w:r>
    </w:p>
  </w:footnote>
  <w:footnote w:id="19">
    <w:p w14:paraId="0CFD1876" w14:textId="77777777" w:rsidR="000D7CFB" w:rsidRPr="002308D0" w:rsidRDefault="000D7CFB" w:rsidP="000D7CFB">
      <w:pPr>
        <w:pStyle w:val="FootnoteText"/>
        <w:rPr>
          <w:szCs w:val="16"/>
        </w:rPr>
      </w:pPr>
      <w:r w:rsidRPr="002308D0">
        <w:rPr>
          <w:rStyle w:val="FootnoteReference"/>
          <w:szCs w:val="16"/>
        </w:rPr>
        <w:footnoteRef/>
      </w:r>
      <w:r w:rsidRPr="002308D0">
        <w:rPr>
          <w:szCs w:val="16"/>
        </w:rPr>
        <w:t xml:space="preserve"> Head and Neck Cancer Australia. (n.d.). </w:t>
      </w:r>
      <w:r w:rsidRPr="002308D0">
        <w:rPr>
          <w:i/>
          <w:iCs/>
          <w:szCs w:val="16"/>
        </w:rPr>
        <w:t>Facial Prosthetics</w:t>
      </w:r>
      <w:r w:rsidRPr="002308D0">
        <w:rPr>
          <w:szCs w:val="16"/>
        </w:rPr>
        <w:t>. https://www.headandneckcancer.org.au/health-wellbeing/facial-prosthetics/</w:t>
      </w:r>
    </w:p>
  </w:footnote>
  <w:footnote w:id="20">
    <w:p w14:paraId="64A01AB7" w14:textId="77777777" w:rsidR="000D7CFB" w:rsidRDefault="000D7CFB" w:rsidP="000D7CFB">
      <w:pPr>
        <w:pStyle w:val="FootnoteText"/>
      </w:pPr>
      <w:r>
        <w:rPr>
          <w:rStyle w:val="FootnoteReference"/>
        </w:rPr>
        <w:footnoteRef/>
      </w:r>
      <w:r>
        <w:rPr>
          <w:szCs w:val="16"/>
        </w:rPr>
        <w:t xml:space="preserve"> </w:t>
      </w:r>
      <w:r w:rsidRPr="00515051">
        <w:rPr>
          <w:szCs w:val="16"/>
        </w:rPr>
        <w:t>The Department of Veterans Affairs</w:t>
      </w:r>
      <w:r>
        <w:rPr>
          <w:szCs w:val="16"/>
        </w:rPr>
        <w:t xml:space="preserve">. (2023). </w:t>
      </w:r>
      <w:r>
        <w:rPr>
          <w:i/>
          <w:iCs/>
          <w:szCs w:val="16"/>
        </w:rPr>
        <w:t>RAP National Schedule of Equipment</w:t>
      </w:r>
      <w:r>
        <w:rPr>
          <w:szCs w:val="16"/>
        </w:rPr>
        <w:t xml:space="preserve">. </w:t>
      </w:r>
      <w:r w:rsidRPr="008150C7">
        <w:rPr>
          <w:szCs w:val="16"/>
        </w:rPr>
        <w:t>https://www.dva.gov.au/sites/default/files/2023-06/RAPSchedule-June2023.pdf</w:t>
      </w:r>
      <w:r>
        <w:t xml:space="preserve"> </w:t>
      </w:r>
    </w:p>
  </w:footnote>
  <w:footnote w:id="21">
    <w:p w14:paraId="1204456D" w14:textId="77777777" w:rsidR="000D7CFB" w:rsidRPr="00D674D4" w:rsidRDefault="000D7CFB" w:rsidP="000D7CFB">
      <w:pPr>
        <w:pStyle w:val="FootnoteText"/>
        <w:rPr>
          <w:szCs w:val="16"/>
        </w:rPr>
      </w:pPr>
      <w:r w:rsidRPr="00D674D4">
        <w:rPr>
          <w:rStyle w:val="FootnoteReference"/>
          <w:szCs w:val="16"/>
        </w:rPr>
        <w:footnoteRef/>
      </w:r>
      <w:r w:rsidRPr="00D674D4">
        <w:rPr>
          <w:szCs w:val="16"/>
        </w:rPr>
        <w:t xml:space="preserve"> The Department of Health, Disability and Ageing. (2025). </w:t>
      </w:r>
      <w:r w:rsidRPr="00D674D4">
        <w:rPr>
          <w:i/>
          <w:iCs/>
          <w:szCs w:val="16"/>
        </w:rPr>
        <w:t>Medical devices and human tissue products covered under private health insurance</w:t>
      </w:r>
      <w:r w:rsidRPr="00D674D4">
        <w:rPr>
          <w:szCs w:val="16"/>
        </w:rPr>
        <w:t>. https://www.health.gov.au/topics/private-health-insurance/what-private-health-insurance-covers/medical-devices-and-human-tissue-products-covered-under-private-health-insurance</w:t>
      </w:r>
    </w:p>
  </w:footnote>
  <w:footnote w:id="22">
    <w:p w14:paraId="0E9E99BA" w14:textId="77777777" w:rsidR="001E143D" w:rsidRPr="00BC2BEA" w:rsidRDefault="001E143D" w:rsidP="000D7CFB">
      <w:pPr>
        <w:pStyle w:val="FootnoteText"/>
        <w:rPr>
          <w:szCs w:val="16"/>
        </w:rPr>
      </w:pPr>
      <w:r w:rsidRPr="00BC2BEA">
        <w:rPr>
          <w:rStyle w:val="FootnoteReference"/>
          <w:szCs w:val="16"/>
        </w:rPr>
        <w:footnoteRef/>
      </w:r>
      <w:r w:rsidRPr="00BC2BEA">
        <w:rPr>
          <w:szCs w:val="16"/>
        </w:rPr>
        <w:t xml:space="preserve"> Bupa. (2025). </w:t>
      </w:r>
      <w:r w:rsidRPr="00BC2BEA">
        <w:rPr>
          <w:i/>
          <w:iCs/>
          <w:szCs w:val="16"/>
        </w:rPr>
        <w:t>Health Aids and Appliances FAQs</w:t>
      </w:r>
      <w:r w:rsidRPr="00BC2BEA">
        <w:rPr>
          <w:szCs w:val="16"/>
        </w:rPr>
        <w:t>. https://www.bupa.com.au/health-insurance/understanding-your-health-cover/health-aids-and-appliances</w:t>
      </w:r>
    </w:p>
  </w:footnote>
  <w:footnote w:id="23">
    <w:p w14:paraId="757C1D54" w14:textId="77777777" w:rsidR="00D771B8" w:rsidRPr="00AA1CBB" w:rsidRDefault="00D771B8" w:rsidP="004E7765">
      <w:pPr>
        <w:pStyle w:val="FootnoteText"/>
        <w:rPr>
          <w:szCs w:val="16"/>
        </w:rPr>
      </w:pPr>
      <w:r w:rsidRPr="00AA1CBB">
        <w:rPr>
          <w:rStyle w:val="FootnoteReference"/>
          <w:szCs w:val="16"/>
        </w:rPr>
        <w:footnoteRef/>
      </w:r>
      <w:r w:rsidRPr="00AA1CBB">
        <w:rPr>
          <w:szCs w:val="16"/>
        </w:rPr>
        <w:t xml:space="preserve"> Emergency Services Health. (202</w:t>
      </w:r>
      <w:r>
        <w:rPr>
          <w:szCs w:val="16"/>
        </w:rPr>
        <w:t>3</w:t>
      </w:r>
      <w:r w:rsidRPr="00AA1CBB">
        <w:rPr>
          <w:szCs w:val="16"/>
        </w:rPr>
        <w:t xml:space="preserve">). </w:t>
      </w:r>
      <w:r>
        <w:rPr>
          <w:i/>
          <w:iCs/>
          <w:szCs w:val="16"/>
        </w:rPr>
        <w:t>Gold Hospital Cover</w:t>
      </w:r>
      <w:r w:rsidRPr="00734F7B">
        <w:rPr>
          <w:i/>
          <w:iCs/>
          <w:szCs w:val="16"/>
        </w:rPr>
        <w:t>.</w:t>
      </w:r>
      <w:r w:rsidRPr="00AA1CBB">
        <w:rPr>
          <w:szCs w:val="16"/>
        </w:rPr>
        <w:t xml:space="preserve"> </w:t>
      </w:r>
      <w:r w:rsidRPr="00734F7B">
        <w:rPr>
          <w:szCs w:val="16"/>
        </w:rPr>
        <w:t>https://www.eshealth.com.au/health-insurance/gold-hospital-cover/</w:t>
      </w:r>
    </w:p>
  </w:footnote>
  <w:footnote w:id="24">
    <w:p w14:paraId="357E1887" w14:textId="77777777" w:rsidR="00D771B8" w:rsidRPr="003910F5" w:rsidRDefault="00D771B8" w:rsidP="000D7CFB">
      <w:pPr>
        <w:pStyle w:val="FootnoteText"/>
        <w:rPr>
          <w:szCs w:val="16"/>
        </w:rPr>
      </w:pPr>
      <w:r w:rsidRPr="003910F5">
        <w:rPr>
          <w:rStyle w:val="FootnoteReference"/>
          <w:szCs w:val="16"/>
        </w:rPr>
        <w:footnoteRef/>
      </w:r>
      <w:r w:rsidRPr="003910F5">
        <w:rPr>
          <w:szCs w:val="16"/>
        </w:rPr>
        <w:t xml:space="preserve"> HIF. (2025). Extras cover table. https://www.hif.com.au/health-insurance/extras-cover/extras-cover-table</w:t>
      </w:r>
    </w:p>
  </w:footnote>
  <w:footnote w:id="25">
    <w:p w14:paraId="417FB402" w14:textId="77777777" w:rsidR="00D771B8" w:rsidRPr="006B6946" w:rsidRDefault="00D771B8" w:rsidP="000D7CFB">
      <w:pPr>
        <w:pStyle w:val="FootnoteText"/>
        <w:rPr>
          <w:szCs w:val="16"/>
        </w:rPr>
      </w:pPr>
      <w:r w:rsidRPr="006B6946">
        <w:rPr>
          <w:rStyle w:val="FootnoteReference"/>
          <w:szCs w:val="16"/>
        </w:rPr>
        <w:footnoteRef/>
      </w:r>
      <w:r w:rsidRPr="006B6946">
        <w:rPr>
          <w:szCs w:val="16"/>
        </w:rPr>
        <w:t xml:space="preserve"> Medibank. (2025). </w:t>
      </w:r>
      <w:r w:rsidRPr="006B6946">
        <w:rPr>
          <w:i/>
          <w:iCs/>
          <w:szCs w:val="16"/>
        </w:rPr>
        <w:t>Top extras</w:t>
      </w:r>
      <w:r w:rsidRPr="006B6946">
        <w:rPr>
          <w:szCs w:val="16"/>
        </w:rPr>
        <w:t>. https://www.medibank.com.au/health-insurance/cover/top-extras/</w:t>
      </w:r>
    </w:p>
  </w:footnote>
  <w:footnote w:id="26">
    <w:p w14:paraId="6629D3F2" w14:textId="03A9DC2B" w:rsidR="00737529" w:rsidRDefault="00737529">
      <w:pPr>
        <w:pStyle w:val="FootnoteText"/>
      </w:pPr>
      <w:r>
        <w:rPr>
          <w:rStyle w:val="FootnoteReference"/>
        </w:rPr>
        <w:footnoteRef/>
      </w:r>
      <w:r>
        <w:t xml:space="preserve"> </w:t>
      </w:r>
      <w:r>
        <w:rPr>
          <w:szCs w:val="16"/>
        </w:rPr>
        <w:t xml:space="preserve">The Australian Orthotic Prosthetic Association. </w:t>
      </w:r>
      <w:r w:rsidR="00485D1B">
        <w:rPr>
          <w:szCs w:val="16"/>
        </w:rPr>
        <w:t>(</w:t>
      </w:r>
      <w:proofErr w:type="spellStart"/>
      <w:r w:rsidR="00485D1B">
        <w:rPr>
          <w:szCs w:val="16"/>
        </w:rPr>
        <w:t>n.d</w:t>
      </w:r>
      <w:proofErr w:type="spellEnd"/>
      <w:r w:rsidR="00485D1B">
        <w:rPr>
          <w:szCs w:val="16"/>
        </w:rPr>
        <w:t>).</w:t>
      </w:r>
      <w:r>
        <w:rPr>
          <w:szCs w:val="16"/>
        </w:rPr>
        <w:t xml:space="preserve"> </w:t>
      </w:r>
      <w:r w:rsidR="00485D1B">
        <w:rPr>
          <w:i/>
          <w:iCs/>
          <w:szCs w:val="16"/>
        </w:rPr>
        <w:t>Clinical Specialties in Orthotics and Prosthetics</w:t>
      </w:r>
      <w:r>
        <w:rPr>
          <w:szCs w:val="16"/>
        </w:rPr>
        <w:t xml:space="preserve">. </w:t>
      </w:r>
      <w:r w:rsidR="00485D1B" w:rsidRPr="00485D1B">
        <w:rPr>
          <w:szCs w:val="16"/>
        </w:rPr>
        <w:t>https://www.aopa.org.au/documents/item/724#:~:text=If%20the%20primary%20purpose%20of,from%20birth%2C%20often%20wear%20prosthses.</w:t>
      </w:r>
    </w:p>
  </w:footnote>
  <w:footnote w:id="27">
    <w:p w14:paraId="12EC956E" w14:textId="2700B5DC" w:rsidR="00126514" w:rsidRDefault="00126514">
      <w:pPr>
        <w:pStyle w:val="FootnoteText"/>
      </w:pPr>
      <w:r>
        <w:rPr>
          <w:rStyle w:val="FootnoteReference"/>
        </w:rPr>
        <w:footnoteRef/>
      </w:r>
      <w:r>
        <w:t xml:space="preserve"> </w:t>
      </w:r>
      <w:r w:rsidRPr="00EF325A">
        <w:rPr>
          <w:szCs w:val="16"/>
        </w:rPr>
        <w:t xml:space="preserve">NDIS. (n.d.). </w:t>
      </w:r>
      <w:r w:rsidRPr="00EF325A">
        <w:rPr>
          <w:i/>
          <w:iCs/>
          <w:szCs w:val="16"/>
        </w:rPr>
        <w:t>Supports that are NDIS supports</w:t>
      </w:r>
      <w:r w:rsidRPr="00EF325A">
        <w:rPr>
          <w:szCs w:val="16"/>
        </w:rPr>
        <w:t>.</w:t>
      </w:r>
    </w:p>
  </w:footnote>
  <w:footnote w:id="28">
    <w:p w14:paraId="4BC38DFA" w14:textId="77777777" w:rsidR="000D7CFB" w:rsidRDefault="000D7CFB" w:rsidP="000D7CFB">
      <w:pPr>
        <w:pStyle w:val="FootnoteText"/>
      </w:pPr>
      <w:r>
        <w:rPr>
          <w:rStyle w:val="FootnoteReference"/>
        </w:rPr>
        <w:footnoteRef/>
      </w:r>
      <w:r>
        <w:t xml:space="preserve"> </w:t>
      </w:r>
      <w:r w:rsidRPr="00AA5691">
        <w:rPr>
          <w:szCs w:val="16"/>
        </w:rPr>
        <w:t xml:space="preserve">Canberra Health Services. (2023). </w:t>
      </w:r>
      <w:r w:rsidRPr="00AA5691">
        <w:rPr>
          <w:i/>
          <w:iCs/>
          <w:szCs w:val="16"/>
        </w:rPr>
        <w:t>Provision of Prosthetic Eyes (Adults and Children).</w:t>
      </w:r>
      <w:r w:rsidRPr="00AA5691">
        <w:rPr>
          <w:szCs w:val="16"/>
        </w:rPr>
        <w:t xml:space="preserve"> https://view.officeapps.live.com/op/view.aspx?src=https%3A%2F%2Fwww.canberrahealthservices.act.gov.au%2F__data%2Fassets%2Fword_doc%2F0005%2F1981607%2FProvision-of-Prosthetic-Eyes.docx&amp;wdOrigin=BROWSELINK</w:t>
      </w:r>
    </w:p>
  </w:footnote>
  <w:footnote w:id="29">
    <w:p w14:paraId="282A9892" w14:textId="77777777" w:rsidR="000D7CFB" w:rsidRPr="000F07FD" w:rsidRDefault="000D7CFB" w:rsidP="000D7CFB">
      <w:pPr>
        <w:pStyle w:val="FootnoteText"/>
      </w:pPr>
      <w:r w:rsidRPr="000F07FD">
        <w:rPr>
          <w:rStyle w:val="FootnoteReference"/>
        </w:rPr>
        <w:footnoteRef/>
      </w:r>
      <w:r w:rsidRPr="000F07FD">
        <w:t xml:space="preserve"> </w:t>
      </w:r>
      <w:r w:rsidRPr="000F07FD">
        <w:rPr>
          <w:szCs w:val="16"/>
        </w:rPr>
        <w:t xml:space="preserve">Royal Brisbane and Women’s Hospital. (2022). </w:t>
      </w:r>
      <w:r w:rsidRPr="000F07FD">
        <w:rPr>
          <w:i/>
          <w:iCs/>
          <w:szCs w:val="16"/>
        </w:rPr>
        <w:t>Oral and Maxillofacial Surgery</w:t>
      </w:r>
      <w:r w:rsidRPr="000F07FD">
        <w:rPr>
          <w:szCs w:val="16"/>
        </w:rPr>
        <w:t>. https://metronorth.health.qld.gov.au/rbwh/healthcare-services/oral-maxillofacial#professional</w:t>
      </w:r>
    </w:p>
  </w:footnote>
  <w:footnote w:id="30">
    <w:p w14:paraId="052BF056" w14:textId="77777777" w:rsidR="000D7CFB" w:rsidRPr="000F07FD" w:rsidRDefault="000D7CFB" w:rsidP="000D7CFB">
      <w:pPr>
        <w:pStyle w:val="FootnoteText"/>
      </w:pPr>
      <w:r w:rsidRPr="000F07FD">
        <w:rPr>
          <w:rStyle w:val="FootnoteReference"/>
        </w:rPr>
        <w:footnoteRef/>
      </w:r>
      <w:r w:rsidRPr="000F07FD">
        <w:t xml:space="preserve"> </w:t>
      </w:r>
      <w:r w:rsidRPr="00E33B26">
        <w:rPr>
          <w:szCs w:val="16"/>
        </w:rPr>
        <w:t xml:space="preserve">The Royal Melbourne Hospital. (2023). </w:t>
      </w:r>
      <w:r w:rsidRPr="00E33B26">
        <w:rPr>
          <w:i/>
          <w:iCs/>
          <w:szCs w:val="16"/>
        </w:rPr>
        <w:t>Maxillofacial Prosthetics.</w:t>
      </w:r>
      <w:r w:rsidRPr="00E33B26">
        <w:rPr>
          <w:szCs w:val="16"/>
        </w:rPr>
        <w:t xml:space="preserve"> https://www.thermh.org.au/services/maxillofacial-prosthetics</w:t>
      </w:r>
    </w:p>
  </w:footnote>
  <w:footnote w:id="31">
    <w:p w14:paraId="286E511D" w14:textId="77777777" w:rsidR="00E768E6" w:rsidRDefault="00E768E6" w:rsidP="00E768E6">
      <w:pPr>
        <w:pStyle w:val="FootnoteText"/>
      </w:pPr>
      <w:r>
        <w:rPr>
          <w:rStyle w:val="FootnoteReference"/>
        </w:rPr>
        <w:footnoteRef/>
      </w:r>
      <w:r>
        <w:t xml:space="preserve"> </w:t>
      </w:r>
      <w:r w:rsidRPr="00AA5691">
        <w:rPr>
          <w:szCs w:val="16"/>
        </w:rPr>
        <w:t xml:space="preserve">Canberra Health Services. (2023). </w:t>
      </w:r>
      <w:r w:rsidRPr="00AA5691">
        <w:rPr>
          <w:i/>
          <w:iCs/>
          <w:szCs w:val="16"/>
        </w:rPr>
        <w:t>Provision of Prosthetic Eyes (Adults and Children).</w:t>
      </w:r>
      <w:r w:rsidRPr="00AA5691">
        <w:rPr>
          <w:szCs w:val="16"/>
        </w:rPr>
        <w:t xml:space="preserve"> https://view.officeapps.live.com/op/view.aspx?src=https%3A%2F%2Fwww.canberrahealthservices.act.gov.au%2F__data%2Fassets%2Fword_doc%2F0005%2F1981607%2FProvision-of-Prosthetic-Eyes.docx&amp;wdOrigin=BROWSELINK</w:t>
      </w:r>
    </w:p>
  </w:footnote>
  <w:footnote w:id="32">
    <w:p w14:paraId="2B2A8932" w14:textId="77777777" w:rsidR="00E768E6" w:rsidRPr="000F07FD" w:rsidRDefault="00E768E6" w:rsidP="00E768E6">
      <w:pPr>
        <w:pStyle w:val="FootnoteText"/>
      </w:pPr>
      <w:r w:rsidRPr="000F07FD">
        <w:rPr>
          <w:rStyle w:val="FootnoteReference"/>
        </w:rPr>
        <w:footnoteRef/>
      </w:r>
      <w:r w:rsidRPr="000F07FD">
        <w:t xml:space="preserve"> </w:t>
      </w:r>
      <w:r w:rsidRPr="000F07FD">
        <w:rPr>
          <w:szCs w:val="16"/>
        </w:rPr>
        <w:t xml:space="preserve">Royal Brisbane and Women’s Hospital. (2022). </w:t>
      </w:r>
      <w:r w:rsidRPr="000F07FD">
        <w:rPr>
          <w:i/>
          <w:iCs/>
          <w:szCs w:val="16"/>
        </w:rPr>
        <w:t>Oral and Maxillofacial Surgery</w:t>
      </w:r>
      <w:r w:rsidRPr="000F07FD">
        <w:rPr>
          <w:szCs w:val="16"/>
        </w:rPr>
        <w:t>. https://metronorth.health.qld.gov.au/rbwh/healthcare-services/oral-maxillofacial#professional</w:t>
      </w:r>
    </w:p>
  </w:footnote>
  <w:footnote w:id="33">
    <w:p w14:paraId="19DE1DD4" w14:textId="77777777" w:rsidR="00E768E6" w:rsidRPr="000F07FD" w:rsidRDefault="00E768E6" w:rsidP="00E768E6">
      <w:pPr>
        <w:pStyle w:val="FootnoteText"/>
      </w:pPr>
      <w:r w:rsidRPr="000F07FD">
        <w:rPr>
          <w:rStyle w:val="FootnoteReference"/>
        </w:rPr>
        <w:footnoteRef/>
      </w:r>
      <w:r w:rsidRPr="000F07FD">
        <w:t xml:space="preserve"> </w:t>
      </w:r>
      <w:r w:rsidRPr="00E33B26">
        <w:rPr>
          <w:szCs w:val="16"/>
        </w:rPr>
        <w:t xml:space="preserve">The Royal Melbourne Hospital. (2023). </w:t>
      </w:r>
      <w:r w:rsidRPr="00E33B26">
        <w:rPr>
          <w:i/>
          <w:iCs/>
          <w:szCs w:val="16"/>
        </w:rPr>
        <w:t>Maxillofacial Prosthetics.</w:t>
      </w:r>
      <w:r w:rsidRPr="00E33B26">
        <w:rPr>
          <w:szCs w:val="16"/>
        </w:rPr>
        <w:t xml:space="preserve"> https://www.thermh.org.au/services/maxillofacial-prosthetics</w:t>
      </w:r>
    </w:p>
  </w:footnote>
  <w:footnote w:id="34">
    <w:p w14:paraId="01AFB7D0" w14:textId="77777777" w:rsidR="000D7CFB" w:rsidRPr="00AA5691" w:rsidRDefault="000D7CFB" w:rsidP="000D7CFB">
      <w:pPr>
        <w:pStyle w:val="FootnoteText"/>
        <w:rPr>
          <w:szCs w:val="16"/>
        </w:rPr>
      </w:pPr>
      <w:r w:rsidRPr="00AA5691">
        <w:rPr>
          <w:rStyle w:val="FootnoteReference"/>
          <w:szCs w:val="16"/>
        </w:rPr>
        <w:footnoteRef/>
      </w:r>
      <w:r w:rsidRPr="00AA5691">
        <w:rPr>
          <w:szCs w:val="16"/>
        </w:rPr>
        <w:t xml:space="preserve"> Canberra Health Services. (2023). </w:t>
      </w:r>
      <w:r w:rsidRPr="00AA5691">
        <w:rPr>
          <w:i/>
          <w:iCs/>
          <w:szCs w:val="16"/>
        </w:rPr>
        <w:t>Provision of Prosthetic Eyes (Adults and Children).</w:t>
      </w:r>
      <w:r w:rsidRPr="00AA5691">
        <w:rPr>
          <w:szCs w:val="16"/>
        </w:rPr>
        <w:t xml:space="preserve"> https://view.officeapps.live.com/op/view.aspx?src=https%3A%2F%2Fwww.canberrahealthservices.act.gov.au%2F__data%2Fassets%2Fword_doc%2F0005%2F1981607%2FProvision-of-Prosthetic-Eyes.docx&amp;wdOrigin=BROWSELINK</w:t>
      </w:r>
    </w:p>
  </w:footnote>
  <w:footnote w:id="35">
    <w:p w14:paraId="4D2B4C40" w14:textId="77777777" w:rsidR="000D7CFB" w:rsidRPr="0006112B" w:rsidRDefault="000D7CFB" w:rsidP="000D7CFB">
      <w:pPr>
        <w:pStyle w:val="FootnoteText"/>
        <w:rPr>
          <w:szCs w:val="16"/>
        </w:rPr>
      </w:pPr>
      <w:r w:rsidRPr="0006112B">
        <w:rPr>
          <w:rStyle w:val="FootnoteReference"/>
          <w:szCs w:val="16"/>
        </w:rPr>
        <w:footnoteRef/>
      </w:r>
      <w:r w:rsidRPr="0006112B">
        <w:rPr>
          <w:szCs w:val="16"/>
        </w:rPr>
        <w:t xml:space="preserve"> James H Morphette. (n.d.). </w:t>
      </w:r>
      <w:r w:rsidRPr="0006112B">
        <w:rPr>
          <w:i/>
          <w:iCs/>
          <w:szCs w:val="16"/>
        </w:rPr>
        <w:t>Woden ACT Clinic</w:t>
      </w:r>
      <w:r w:rsidRPr="0006112B">
        <w:rPr>
          <w:szCs w:val="16"/>
        </w:rPr>
        <w:t>. https://jameshmorphett.com.au/locations/woden/</w:t>
      </w:r>
    </w:p>
  </w:footnote>
  <w:footnote w:id="36">
    <w:p w14:paraId="0B319BDA" w14:textId="77777777" w:rsidR="000D7CFB" w:rsidRPr="000B4363" w:rsidRDefault="000D7CFB" w:rsidP="000D7CFB">
      <w:pPr>
        <w:pStyle w:val="FootnoteText"/>
        <w:rPr>
          <w:szCs w:val="16"/>
        </w:rPr>
      </w:pPr>
      <w:r w:rsidRPr="000B4363">
        <w:rPr>
          <w:rStyle w:val="FootnoteReference"/>
          <w:szCs w:val="16"/>
        </w:rPr>
        <w:footnoteRef/>
      </w:r>
      <w:r w:rsidRPr="000B4363">
        <w:rPr>
          <w:szCs w:val="16"/>
        </w:rPr>
        <w:t xml:space="preserve"> James H Morphett. (n.d.). </w:t>
      </w:r>
      <w:r w:rsidRPr="000B4363">
        <w:rPr>
          <w:i/>
          <w:iCs/>
          <w:szCs w:val="16"/>
        </w:rPr>
        <w:t>Our Clinics</w:t>
      </w:r>
      <w:r w:rsidRPr="000B4363">
        <w:rPr>
          <w:szCs w:val="16"/>
        </w:rPr>
        <w:t>. https://jameshmorphett.com.au/locations/orange/</w:t>
      </w:r>
    </w:p>
  </w:footnote>
  <w:footnote w:id="37">
    <w:p w14:paraId="2BC29AE8" w14:textId="77777777" w:rsidR="007464FD" w:rsidRPr="00EB1F00" w:rsidRDefault="007464FD" w:rsidP="007464FD">
      <w:pPr>
        <w:pStyle w:val="FootnoteText"/>
        <w:rPr>
          <w:szCs w:val="16"/>
        </w:rPr>
      </w:pPr>
      <w:r w:rsidRPr="00EB1F00">
        <w:rPr>
          <w:rStyle w:val="FootnoteReference"/>
          <w:szCs w:val="16"/>
        </w:rPr>
        <w:footnoteRef/>
      </w:r>
      <w:r w:rsidRPr="00EB1F00">
        <w:rPr>
          <w:szCs w:val="16"/>
        </w:rPr>
        <w:t xml:space="preserve"> Artificial Eyes. (n.d.). </w:t>
      </w:r>
      <w:r w:rsidRPr="00C96092">
        <w:rPr>
          <w:i/>
          <w:iCs/>
          <w:szCs w:val="16"/>
        </w:rPr>
        <w:t>Ocularists in</w:t>
      </w:r>
      <w:r>
        <w:rPr>
          <w:szCs w:val="16"/>
        </w:rPr>
        <w:t xml:space="preserve"> </w:t>
      </w:r>
      <w:r>
        <w:rPr>
          <w:i/>
          <w:iCs/>
          <w:szCs w:val="16"/>
        </w:rPr>
        <w:t>Australia</w:t>
      </w:r>
      <w:r w:rsidRPr="00EB1F00">
        <w:rPr>
          <w:i/>
          <w:iCs/>
          <w:szCs w:val="16"/>
        </w:rPr>
        <w:t>.</w:t>
      </w:r>
      <w:r w:rsidRPr="00EB1F00">
        <w:rPr>
          <w:szCs w:val="16"/>
        </w:rPr>
        <w:t xml:space="preserve"> </w:t>
      </w:r>
      <w:r w:rsidRPr="00C96092">
        <w:rPr>
          <w:szCs w:val="16"/>
        </w:rPr>
        <w:t>https://artificialeyes.net/ocularists/australia/</w:t>
      </w:r>
    </w:p>
  </w:footnote>
  <w:footnote w:id="38">
    <w:p w14:paraId="0934A0C9" w14:textId="77777777" w:rsidR="000D7CFB" w:rsidRDefault="000D7CFB" w:rsidP="000D7CFB">
      <w:pPr>
        <w:pStyle w:val="FootnoteText"/>
      </w:pPr>
      <w:r>
        <w:rPr>
          <w:rStyle w:val="FootnoteReference"/>
        </w:rPr>
        <w:footnoteRef/>
      </w:r>
      <w:r>
        <w:t xml:space="preserve"> </w:t>
      </w:r>
      <w:r w:rsidRPr="000F07FD">
        <w:rPr>
          <w:szCs w:val="16"/>
        </w:rPr>
        <w:t xml:space="preserve">Royal Brisbane and Women’s Hospital. (2022). </w:t>
      </w:r>
      <w:r w:rsidRPr="000F07FD">
        <w:rPr>
          <w:i/>
          <w:iCs/>
          <w:szCs w:val="16"/>
        </w:rPr>
        <w:t>Oral and Maxillofacial Surgery</w:t>
      </w:r>
      <w:r w:rsidRPr="000F07FD">
        <w:rPr>
          <w:szCs w:val="16"/>
        </w:rPr>
        <w:t>. https://metronorth.health.qld.gov.au/rbwh/healthcare-services/oral-maxillofacial#professional</w:t>
      </w:r>
    </w:p>
  </w:footnote>
  <w:footnote w:id="39">
    <w:p w14:paraId="4C6DBFBA" w14:textId="77777777" w:rsidR="000D7CFB" w:rsidRPr="00EB1F00" w:rsidRDefault="000D7CFB" w:rsidP="000D7CFB">
      <w:pPr>
        <w:pStyle w:val="FootnoteText"/>
        <w:rPr>
          <w:szCs w:val="16"/>
        </w:rPr>
      </w:pPr>
      <w:r w:rsidRPr="00EB1F00">
        <w:rPr>
          <w:rStyle w:val="FootnoteReference"/>
          <w:szCs w:val="16"/>
        </w:rPr>
        <w:footnoteRef/>
      </w:r>
      <w:r w:rsidRPr="00EB1F00">
        <w:rPr>
          <w:szCs w:val="16"/>
        </w:rPr>
        <w:t xml:space="preserve"> Artificial Eyes Queensland. (n.d.). </w:t>
      </w:r>
      <w:r w:rsidRPr="00EB1F00">
        <w:rPr>
          <w:i/>
          <w:iCs/>
          <w:szCs w:val="16"/>
        </w:rPr>
        <w:t>Custom prosthetic eyes in Queensland.</w:t>
      </w:r>
      <w:r w:rsidRPr="00EB1F00">
        <w:rPr>
          <w:szCs w:val="16"/>
        </w:rPr>
        <w:t xml:space="preserve"> https://www.artificialeyesqueensland.com.au/prosthetic-eyes-brisbane</w:t>
      </w:r>
    </w:p>
  </w:footnote>
  <w:footnote w:id="40">
    <w:p w14:paraId="391D5E0F" w14:textId="77777777" w:rsidR="007464FD" w:rsidRPr="00EB1F00" w:rsidRDefault="007464FD" w:rsidP="007464FD">
      <w:pPr>
        <w:pStyle w:val="FootnoteText"/>
        <w:rPr>
          <w:szCs w:val="16"/>
        </w:rPr>
      </w:pPr>
      <w:r w:rsidRPr="00EB1F00">
        <w:rPr>
          <w:rStyle w:val="FootnoteReference"/>
          <w:szCs w:val="16"/>
        </w:rPr>
        <w:footnoteRef/>
      </w:r>
      <w:r w:rsidRPr="00EB1F00">
        <w:rPr>
          <w:szCs w:val="16"/>
        </w:rPr>
        <w:t xml:space="preserve"> Artificial Eyes. (n.d.). </w:t>
      </w:r>
      <w:r w:rsidRPr="00C96092">
        <w:rPr>
          <w:i/>
          <w:iCs/>
          <w:szCs w:val="16"/>
        </w:rPr>
        <w:t>Ocularists in</w:t>
      </w:r>
      <w:r>
        <w:rPr>
          <w:szCs w:val="16"/>
        </w:rPr>
        <w:t xml:space="preserve"> </w:t>
      </w:r>
      <w:r>
        <w:rPr>
          <w:i/>
          <w:iCs/>
          <w:szCs w:val="16"/>
        </w:rPr>
        <w:t>Australia</w:t>
      </w:r>
      <w:r w:rsidRPr="00EB1F00">
        <w:rPr>
          <w:i/>
          <w:iCs/>
          <w:szCs w:val="16"/>
        </w:rPr>
        <w:t>.</w:t>
      </w:r>
      <w:r w:rsidRPr="00EB1F00">
        <w:rPr>
          <w:szCs w:val="16"/>
        </w:rPr>
        <w:t xml:space="preserve"> </w:t>
      </w:r>
      <w:r w:rsidRPr="00C96092">
        <w:rPr>
          <w:szCs w:val="16"/>
        </w:rPr>
        <w:t>https://artificialeyes.net/ocularists/australia/</w:t>
      </w:r>
    </w:p>
  </w:footnote>
  <w:footnote w:id="41">
    <w:p w14:paraId="29611D16" w14:textId="77777777" w:rsidR="000D7CFB" w:rsidRPr="00E33B26" w:rsidRDefault="000D7CFB" w:rsidP="000D7CFB">
      <w:pPr>
        <w:pStyle w:val="FootnoteText"/>
        <w:rPr>
          <w:szCs w:val="16"/>
        </w:rPr>
      </w:pPr>
      <w:r w:rsidRPr="00E33B26">
        <w:rPr>
          <w:rStyle w:val="FootnoteReference"/>
          <w:szCs w:val="16"/>
        </w:rPr>
        <w:footnoteRef/>
      </w:r>
      <w:r w:rsidRPr="00E33B26">
        <w:rPr>
          <w:szCs w:val="16"/>
        </w:rPr>
        <w:t xml:space="preserve"> The Royal Melbourne Hospital. (2023). </w:t>
      </w:r>
      <w:r w:rsidRPr="00E33B26">
        <w:rPr>
          <w:i/>
          <w:iCs/>
          <w:szCs w:val="16"/>
        </w:rPr>
        <w:t>Maxillofacial Prosthetics.</w:t>
      </w:r>
      <w:r w:rsidRPr="00E33B26">
        <w:rPr>
          <w:szCs w:val="16"/>
        </w:rPr>
        <w:t xml:space="preserve"> https://www.thermh.org.au/services/maxillofacial-prosthetics</w:t>
      </w:r>
    </w:p>
  </w:footnote>
  <w:footnote w:id="42">
    <w:p w14:paraId="24DE1955" w14:textId="77777777" w:rsidR="000D7CFB" w:rsidRPr="00EB1F00" w:rsidRDefault="000D7CFB" w:rsidP="000D7CFB">
      <w:pPr>
        <w:pStyle w:val="FootnoteText"/>
        <w:rPr>
          <w:szCs w:val="16"/>
        </w:rPr>
      </w:pPr>
      <w:r w:rsidRPr="00EB1F00">
        <w:rPr>
          <w:rStyle w:val="FootnoteReference"/>
          <w:szCs w:val="16"/>
        </w:rPr>
        <w:footnoteRef/>
      </w:r>
      <w:r w:rsidRPr="00EB1F00">
        <w:rPr>
          <w:szCs w:val="16"/>
        </w:rPr>
        <w:t xml:space="preserve"> Artificial Eyes. (n.d.). </w:t>
      </w:r>
      <w:r w:rsidRPr="00C96092">
        <w:rPr>
          <w:i/>
          <w:iCs/>
          <w:szCs w:val="16"/>
        </w:rPr>
        <w:t>Ocularists in</w:t>
      </w:r>
      <w:r>
        <w:rPr>
          <w:szCs w:val="16"/>
        </w:rPr>
        <w:t xml:space="preserve"> </w:t>
      </w:r>
      <w:r>
        <w:rPr>
          <w:i/>
          <w:iCs/>
          <w:szCs w:val="16"/>
        </w:rPr>
        <w:t>Australia</w:t>
      </w:r>
      <w:r w:rsidRPr="00EB1F00">
        <w:rPr>
          <w:i/>
          <w:iCs/>
          <w:szCs w:val="16"/>
        </w:rPr>
        <w:t>.</w:t>
      </w:r>
      <w:r w:rsidRPr="00EB1F00">
        <w:rPr>
          <w:szCs w:val="16"/>
        </w:rPr>
        <w:t xml:space="preserve"> </w:t>
      </w:r>
      <w:r w:rsidRPr="00C96092">
        <w:rPr>
          <w:szCs w:val="16"/>
        </w:rPr>
        <w:t>https://artificialeyes.net/ocularists/australia/</w:t>
      </w:r>
    </w:p>
  </w:footnote>
  <w:footnote w:id="43">
    <w:p w14:paraId="505251BE" w14:textId="77777777" w:rsidR="000D7CFB" w:rsidRDefault="000D7CFB" w:rsidP="000D7CFB">
      <w:pPr>
        <w:pStyle w:val="FootnoteText"/>
      </w:pPr>
      <w:r>
        <w:rPr>
          <w:rStyle w:val="FootnoteReference"/>
        </w:rPr>
        <w:footnoteRef/>
      </w:r>
      <w:r>
        <w:t xml:space="preserve"> </w:t>
      </w:r>
      <w:r w:rsidRPr="000F07FD">
        <w:rPr>
          <w:szCs w:val="16"/>
        </w:rPr>
        <w:t xml:space="preserve">Royal Brisbane and Women’s Hospital. (2022). </w:t>
      </w:r>
      <w:r w:rsidRPr="000F07FD">
        <w:rPr>
          <w:i/>
          <w:iCs/>
          <w:szCs w:val="16"/>
        </w:rPr>
        <w:t>Oral and Maxillofacial Surgery</w:t>
      </w:r>
      <w:r w:rsidRPr="000F07FD">
        <w:rPr>
          <w:szCs w:val="16"/>
        </w:rPr>
        <w:t>. https://metronorth.health.qld.gov.au/rbwh/healthcare-services/oral-maxillofacial#professional</w:t>
      </w:r>
    </w:p>
  </w:footnote>
  <w:footnote w:id="44">
    <w:p w14:paraId="0116B860" w14:textId="77777777" w:rsidR="000D7CFB" w:rsidRPr="00EB1F00" w:rsidRDefault="000D7CFB" w:rsidP="000D7CFB">
      <w:pPr>
        <w:pStyle w:val="FootnoteText"/>
        <w:rPr>
          <w:szCs w:val="16"/>
        </w:rPr>
      </w:pPr>
      <w:r w:rsidRPr="00EB1F00">
        <w:rPr>
          <w:rStyle w:val="FootnoteReference"/>
          <w:szCs w:val="16"/>
        </w:rPr>
        <w:footnoteRef/>
      </w:r>
      <w:r w:rsidRPr="00EB1F00">
        <w:rPr>
          <w:szCs w:val="16"/>
        </w:rPr>
        <w:t xml:space="preserve"> Artificial Eyes Queensland. (n.d.). </w:t>
      </w:r>
      <w:r w:rsidRPr="00EB1F00">
        <w:rPr>
          <w:i/>
          <w:iCs/>
          <w:szCs w:val="16"/>
        </w:rPr>
        <w:t>Custom prosthetic eyes in Queensland.</w:t>
      </w:r>
      <w:r w:rsidRPr="00EB1F00">
        <w:rPr>
          <w:szCs w:val="16"/>
        </w:rPr>
        <w:t xml:space="preserve"> https://www.artificialeyesqueensland.com.au/prosthetic-eyes-brisbane</w:t>
      </w:r>
    </w:p>
  </w:footnote>
  <w:footnote w:id="45">
    <w:p w14:paraId="73706EFA" w14:textId="77777777" w:rsidR="00AF1727" w:rsidRPr="00925470" w:rsidRDefault="00AF1727" w:rsidP="00AF1727">
      <w:pPr>
        <w:pStyle w:val="FootnoteText"/>
        <w:rPr>
          <w:szCs w:val="16"/>
        </w:rPr>
      </w:pPr>
      <w:r>
        <w:rPr>
          <w:rStyle w:val="FootnoteReference"/>
        </w:rPr>
        <w:footnoteRef/>
      </w:r>
      <w:r>
        <w:t xml:space="preserve"> </w:t>
      </w:r>
      <w:r w:rsidRPr="00925470">
        <w:rPr>
          <w:szCs w:val="16"/>
        </w:rPr>
        <w:t xml:space="preserve">Breast Cancer Network Australia. (2024). </w:t>
      </w:r>
      <w:r w:rsidRPr="00925470">
        <w:rPr>
          <w:i/>
          <w:iCs/>
          <w:szCs w:val="16"/>
        </w:rPr>
        <w:t>Breast statistics cancer in Australia.</w:t>
      </w:r>
      <w:r w:rsidRPr="00925470">
        <w:rPr>
          <w:szCs w:val="16"/>
        </w:rPr>
        <w:t xml:space="preserve"> https://www.bcna.org.au/resources/about-breast-cancer/breast-statistics-cancer-in-australia/</w:t>
      </w:r>
    </w:p>
  </w:footnote>
  <w:footnote w:id="46">
    <w:p w14:paraId="3B5E56B2" w14:textId="77777777" w:rsidR="00AF1727" w:rsidRPr="00B27AA7" w:rsidRDefault="00AF1727" w:rsidP="00AF1727">
      <w:pPr>
        <w:pStyle w:val="FootnoteText"/>
        <w:rPr>
          <w:szCs w:val="16"/>
        </w:rPr>
      </w:pPr>
      <w:r w:rsidRPr="00B27AA7">
        <w:rPr>
          <w:rStyle w:val="FootnoteReference"/>
          <w:szCs w:val="16"/>
        </w:rPr>
        <w:footnoteRef/>
      </w:r>
      <w:r w:rsidRPr="00B27AA7">
        <w:rPr>
          <w:szCs w:val="16"/>
        </w:rPr>
        <w:t xml:space="preserve"> Breast Cancer Network Australia. (2021). Breast Reconstruction in Australia. https://www.bcna.org.au/media/31fl0gyg/bcna_breast-reconstruction-report_2021.pdf</w:t>
      </w:r>
    </w:p>
  </w:footnote>
  <w:footnote w:id="47">
    <w:p w14:paraId="7DB33F25" w14:textId="77777777" w:rsidR="005F311C" w:rsidRDefault="005F311C" w:rsidP="005F311C">
      <w:pPr>
        <w:pStyle w:val="FootnoteText"/>
      </w:pPr>
      <w:r>
        <w:rPr>
          <w:rStyle w:val="FootnoteReference"/>
        </w:rPr>
        <w:footnoteRef/>
      </w:r>
      <w:r>
        <w:t xml:space="preserve"> </w:t>
      </w:r>
      <w:r w:rsidRPr="00F56DC6">
        <w:rPr>
          <w:szCs w:val="16"/>
        </w:rPr>
        <w:t xml:space="preserve">Services Australia. (2024). </w:t>
      </w:r>
      <w:r w:rsidRPr="00F56DC6">
        <w:rPr>
          <w:i/>
          <w:iCs/>
          <w:szCs w:val="16"/>
        </w:rPr>
        <w:t>External Breast Prostheses Reimbursement Program</w:t>
      </w:r>
      <w:r w:rsidRPr="00F56DC6">
        <w:rPr>
          <w:szCs w:val="16"/>
        </w:rPr>
        <w:t>. https://www.servicesaustralia.gov.au/how-to-claim-external-breast-prosthesis-reimbursement-program?context=21976</w:t>
      </w:r>
    </w:p>
    <w:p w14:paraId="64F32F11" w14:textId="608A613B" w:rsidR="005F311C" w:rsidRDefault="005F311C">
      <w:pPr>
        <w:pStyle w:val="FootnoteText"/>
      </w:pPr>
    </w:p>
  </w:footnote>
  <w:footnote w:id="48">
    <w:p w14:paraId="71EF8CA7" w14:textId="77777777" w:rsidR="00895247" w:rsidRPr="00F17090" w:rsidRDefault="00895247" w:rsidP="00895247">
      <w:pPr>
        <w:pStyle w:val="FootnoteText"/>
        <w:rPr>
          <w:szCs w:val="16"/>
        </w:rPr>
      </w:pPr>
      <w:r w:rsidRPr="00F17090">
        <w:rPr>
          <w:rStyle w:val="FootnoteReference"/>
          <w:szCs w:val="16"/>
        </w:rPr>
        <w:footnoteRef/>
      </w:r>
      <w:r w:rsidRPr="00F17090">
        <w:rPr>
          <w:szCs w:val="16"/>
        </w:rPr>
        <w:t xml:space="preserve"> Department of Health</w:t>
      </w:r>
      <w:r>
        <w:rPr>
          <w:szCs w:val="16"/>
        </w:rPr>
        <w:t>, Disability</w:t>
      </w:r>
      <w:r w:rsidRPr="00F17090">
        <w:rPr>
          <w:szCs w:val="16"/>
        </w:rPr>
        <w:t xml:space="preserve"> and </w:t>
      </w:r>
      <w:r>
        <w:rPr>
          <w:szCs w:val="16"/>
        </w:rPr>
        <w:t>Ageing</w:t>
      </w:r>
      <w:r w:rsidRPr="00F17090">
        <w:rPr>
          <w:szCs w:val="16"/>
        </w:rPr>
        <w:t xml:space="preserve">. (2024). </w:t>
      </w:r>
      <w:r w:rsidRPr="00F17090">
        <w:rPr>
          <w:i/>
          <w:iCs/>
          <w:szCs w:val="16"/>
        </w:rPr>
        <w:t>External Breast Prostheses Reimbursement Program Evaluation</w:t>
      </w:r>
      <w:r w:rsidRPr="00F17090">
        <w:rPr>
          <w:szCs w:val="16"/>
        </w:rPr>
        <w:t>. https://www.health.gov.au/sites/default/files/2024-09/external-breast-prostheses-reimbursement-program-evaluation-june-2024.pdf</w:t>
      </w:r>
    </w:p>
  </w:footnote>
  <w:footnote w:id="49">
    <w:p w14:paraId="2EA87A48" w14:textId="77777777" w:rsidR="00841DAC" w:rsidRPr="00F56DC6" w:rsidRDefault="00841DAC" w:rsidP="00841DAC">
      <w:pPr>
        <w:pStyle w:val="FootnoteText"/>
        <w:rPr>
          <w:szCs w:val="16"/>
        </w:rPr>
      </w:pPr>
      <w:r w:rsidRPr="00F56DC6">
        <w:rPr>
          <w:rStyle w:val="FootnoteReference"/>
          <w:szCs w:val="16"/>
        </w:rPr>
        <w:footnoteRef/>
      </w:r>
      <w:r w:rsidRPr="00F56DC6">
        <w:rPr>
          <w:szCs w:val="16"/>
        </w:rPr>
        <w:t xml:space="preserve"> Services Australia. (2024). </w:t>
      </w:r>
      <w:r w:rsidRPr="00F56DC6">
        <w:rPr>
          <w:i/>
          <w:iCs/>
          <w:szCs w:val="16"/>
        </w:rPr>
        <w:t>External Breast Prostheses Reimbursement Program</w:t>
      </w:r>
      <w:r w:rsidRPr="00F56DC6">
        <w:rPr>
          <w:szCs w:val="16"/>
        </w:rPr>
        <w:t>. https://www.servicesaustralia.gov.au/how-to-claim-external-breast-prosthesis-reimbursement-program?context=21976</w:t>
      </w:r>
    </w:p>
  </w:footnote>
  <w:footnote w:id="50">
    <w:p w14:paraId="7D6A239A" w14:textId="77777777" w:rsidR="004E0ED5" w:rsidRPr="00A92553" w:rsidRDefault="004E0ED5" w:rsidP="004E0ED5">
      <w:pPr>
        <w:pStyle w:val="FootnoteText"/>
        <w:rPr>
          <w:szCs w:val="16"/>
        </w:rPr>
      </w:pPr>
      <w:r w:rsidRPr="00A92553">
        <w:rPr>
          <w:rStyle w:val="FootnoteReference"/>
          <w:szCs w:val="16"/>
        </w:rPr>
        <w:footnoteRef/>
      </w:r>
      <w:r w:rsidRPr="00A92553">
        <w:rPr>
          <w:szCs w:val="16"/>
        </w:rPr>
        <w:t xml:space="preserve"> Breast Cancer Network Australia. (2025). Service Register. https://www.bcna.org.au/services-and-support-groups/</w:t>
      </w:r>
    </w:p>
  </w:footnote>
  <w:footnote w:id="51">
    <w:p w14:paraId="0D9489EF" w14:textId="273A9346" w:rsidR="003E7408" w:rsidRDefault="003E7408" w:rsidP="003E7408">
      <w:pPr>
        <w:pStyle w:val="FootnoteText"/>
      </w:pPr>
      <w:r w:rsidRPr="00475583">
        <w:rPr>
          <w:rStyle w:val="FootnoteReference"/>
          <w:szCs w:val="16"/>
        </w:rPr>
        <w:footnoteRef/>
      </w:r>
      <w:r w:rsidRPr="00475583">
        <w:rPr>
          <w:szCs w:val="16"/>
        </w:rPr>
        <w:t xml:space="preserve"> </w:t>
      </w:r>
      <w:r w:rsidR="008F4F25" w:rsidRPr="00475583">
        <w:rPr>
          <w:szCs w:val="16"/>
        </w:rPr>
        <w:t xml:space="preserve">Breast Cancer Network Australia. (2025). </w:t>
      </w:r>
      <w:r w:rsidR="008F4F25" w:rsidRPr="000042B6">
        <w:rPr>
          <w:i/>
          <w:iCs/>
          <w:szCs w:val="16"/>
        </w:rPr>
        <w:t>My Care Kit</w:t>
      </w:r>
      <w:r w:rsidR="008F4F25" w:rsidRPr="00475583">
        <w:rPr>
          <w:szCs w:val="16"/>
        </w:rPr>
        <w:t>. https://www.bcna.org.au/my-care-kit/</w:t>
      </w:r>
    </w:p>
  </w:footnote>
  <w:footnote w:id="52">
    <w:p w14:paraId="25DFDDA3" w14:textId="77777777" w:rsidR="00AF1727" w:rsidRPr="00515051" w:rsidRDefault="00AF1727" w:rsidP="00AF1727">
      <w:pPr>
        <w:pStyle w:val="FootnoteText"/>
        <w:rPr>
          <w:szCs w:val="16"/>
        </w:rPr>
      </w:pPr>
      <w:r w:rsidRPr="00515051">
        <w:rPr>
          <w:rStyle w:val="FootnoteReference"/>
          <w:szCs w:val="16"/>
        </w:rPr>
        <w:footnoteRef/>
      </w:r>
      <w:r w:rsidRPr="00515051">
        <w:rPr>
          <w:szCs w:val="16"/>
        </w:rPr>
        <w:t xml:space="preserve"> The Department of Veterans Affairs. (2023). </w:t>
      </w:r>
      <w:r w:rsidRPr="00D915AB">
        <w:rPr>
          <w:i/>
          <w:iCs/>
          <w:szCs w:val="16"/>
        </w:rPr>
        <w:t>Cancer and pulmonary TB care</w:t>
      </w:r>
      <w:r w:rsidRPr="00515051">
        <w:rPr>
          <w:szCs w:val="16"/>
        </w:rPr>
        <w:t>. https://www.dva.gov.au/get-support/providers/programs-services/cancer-pulmonary-tb-care#:~:text=If%20they%20meet%20eligibility%20criteria,Liability%20Health%20Care%20(NLHC).</w:t>
      </w:r>
    </w:p>
  </w:footnote>
  <w:footnote w:id="53">
    <w:p w14:paraId="3790639B" w14:textId="77777777" w:rsidR="004D5035" w:rsidRPr="006B6946" w:rsidRDefault="004D5035" w:rsidP="004D5035">
      <w:pPr>
        <w:pStyle w:val="FootnoteText"/>
        <w:rPr>
          <w:szCs w:val="16"/>
        </w:rPr>
      </w:pPr>
      <w:r w:rsidRPr="006B6946">
        <w:rPr>
          <w:rStyle w:val="FootnoteReference"/>
          <w:szCs w:val="16"/>
        </w:rPr>
        <w:footnoteRef/>
      </w:r>
      <w:r w:rsidRPr="006B6946">
        <w:rPr>
          <w:szCs w:val="16"/>
        </w:rPr>
        <w:t xml:space="preserve"> Medibank. (2025). </w:t>
      </w:r>
      <w:r w:rsidRPr="006B6946">
        <w:rPr>
          <w:i/>
          <w:iCs/>
          <w:szCs w:val="16"/>
        </w:rPr>
        <w:t>Top extras</w:t>
      </w:r>
      <w:r w:rsidRPr="006B6946">
        <w:rPr>
          <w:szCs w:val="16"/>
        </w:rPr>
        <w:t>. https://www.medibank.com.au/health-insurance/cover/top-extras/</w:t>
      </w:r>
    </w:p>
  </w:footnote>
  <w:footnote w:id="54">
    <w:p w14:paraId="6F69ECF6" w14:textId="77777777" w:rsidR="004D5035" w:rsidRPr="00BC2BEA" w:rsidRDefault="004D5035" w:rsidP="004D5035">
      <w:pPr>
        <w:pStyle w:val="FootnoteText"/>
        <w:rPr>
          <w:szCs w:val="16"/>
        </w:rPr>
      </w:pPr>
      <w:r w:rsidRPr="00BC2BEA">
        <w:rPr>
          <w:rStyle w:val="FootnoteReference"/>
          <w:szCs w:val="16"/>
        </w:rPr>
        <w:footnoteRef/>
      </w:r>
      <w:r w:rsidRPr="00BC2BEA">
        <w:rPr>
          <w:szCs w:val="16"/>
        </w:rPr>
        <w:t xml:space="preserve"> Bupa. (2025). </w:t>
      </w:r>
      <w:r w:rsidRPr="00BC2BEA">
        <w:rPr>
          <w:i/>
          <w:iCs/>
          <w:szCs w:val="16"/>
        </w:rPr>
        <w:t>Health Aids and Appliances FAQs</w:t>
      </w:r>
      <w:r w:rsidRPr="00BC2BEA">
        <w:rPr>
          <w:szCs w:val="16"/>
        </w:rPr>
        <w:t>. https://www.bupa.com.au/health-insurance/understanding-your-health-cover/health-aids-and-appliances</w:t>
      </w:r>
    </w:p>
  </w:footnote>
  <w:footnote w:id="55">
    <w:p w14:paraId="4DB492E6" w14:textId="77777777" w:rsidR="004D5035" w:rsidRPr="003910F5" w:rsidRDefault="004D5035" w:rsidP="004D5035">
      <w:pPr>
        <w:pStyle w:val="FootnoteText"/>
        <w:rPr>
          <w:szCs w:val="16"/>
        </w:rPr>
      </w:pPr>
      <w:r w:rsidRPr="003910F5">
        <w:rPr>
          <w:rStyle w:val="FootnoteReference"/>
          <w:szCs w:val="16"/>
        </w:rPr>
        <w:footnoteRef/>
      </w:r>
      <w:r w:rsidRPr="003910F5">
        <w:rPr>
          <w:szCs w:val="16"/>
        </w:rPr>
        <w:t xml:space="preserve"> HIF. (2025). Extras cover table. https://www.hif.com.au/health-insurance/extras-cover/extras-cover-table</w:t>
      </w:r>
    </w:p>
  </w:footnote>
  <w:footnote w:id="56">
    <w:p w14:paraId="457AD9FB" w14:textId="77777777" w:rsidR="004D5035" w:rsidRPr="00AA1CBB" w:rsidRDefault="004D5035" w:rsidP="004D5035">
      <w:pPr>
        <w:pStyle w:val="FootnoteText"/>
        <w:rPr>
          <w:szCs w:val="16"/>
        </w:rPr>
      </w:pPr>
      <w:r w:rsidRPr="00AA1CBB">
        <w:rPr>
          <w:rStyle w:val="FootnoteReference"/>
          <w:szCs w:val="16"/>
        </w:rPr>
        <w:footnoteRef/>
      </w:r>
      <w:r w:rsidRPr="00AA1CBB">
        <w:rPr>
          <w:szCs w:val="16"/>
        </w:rPr>
        <w:t xml:space="preserve"> Emergency Services Health. (202</w:t>
      </w:r>
      <w:r>
        <w:rPr>
          <w:szCs w:val="16"/>
        </w:rPr>
        <w:t>3</w:t>
      </w:r>
      <w:r w:rsidRPr="00AA1CBB">
        <w:rPr>
          <w:szCs w:val="16"/>
        </w:rPr>
        <w:t>). External Breast Prostheses Benefit Guide. https://www.eshealth.com.au/information-hub/benefit-guides/external-breast-prostheses-benefit-guide/</w:t>
      </w:r>
    </w:p>
  </w:footnote>
  <w:footnote w:id="57">
    <w:p w14:paraId="0B8240F6" w14:textId="59EA76A8" w:rsidR="00AF1727" w:rsidRDefault="00AF1727" w:rsidP="00AF1727">
      <w:pPr>
        <w:pStyle w:val="FootnoteText"/>
      </w:pPr>
      <w:r>
        <w:rPr>
          <w:rStyle w:val="FootnoteReference"/>
        </w:rPr>
        <w:footnoteRef/>
      </w:r>
      <w:r>
        <w:t xml:space="preserve"> </w:t>
      </w:r>
      <w:r w:rsidR="005226CF" w:rsidRPr="00F17090">
        <w:rPr>
          <w:szCs w:val="16"/>
        </w:rPr>
        <w:t>Department of Health</w:t>
      </w:r>
      <w:r w:rsidR="005226CF">
        <w:rPr>
          <w:szCs w:val="16"/>
        </w:rPr>
        <w:t>, Disability</w:t>
      </w:r>
      <w:r w:rsidR="005226CF" w:rsidRPr="00F17090">
        <w:rPr>
          <w:szCs w:val="16"/>
        </w:rPr>
        <w:t xml:space="preserve"> and </w:t>
      </w:r>
      <w:r w:rsidR="005226CF">
        <w:rPr>
          <w:szCs w:val="16"/>
        </w:rPr>
        <w:t>Ageing</w:t>
      </w:r>
      <w:r w:rsidR="005226CF" w:rsidRPr="00F17090">
        <w:rPr>
          <w:szCs w:val="16"/>
        </w:rPr>
        <w:t xml:space="preserve">. (2024). </w:t>
      </w:r>
      <w:r w:rsidR="005226CF" w:rsidRPr="00F17090">
        <w:rPr>
          <w:i/>
          <w:iCs/>
          <w:szCs w:val="16"/>
        </w:rPr>
        <w:t>External Breast Prostheses Reimbursement Program Evaluation</w:t>
      </w:r>
      <w:r w:rsidR="005226CF" w:rsidRPr="00F17090">
        <w:rPr>
          <w:szCs w:val="16"/>
        </w:rPr>
        <w:t>. https://www.health.gov.au/sites/default/files/2024-09/external-breast-prostheses-reimbursement-program-evaluation-june-2024.pdf</w:t>
      </w:r>
    </w:p>
  </w:footnote>
  <w:footnote w:id="58">
    <w:p w14:paraId="29108D19" w14:textId="57D3B42A" w:rsidR="00200A93" w:rsidRPr="00200A93" w:rsidRDefault="00200A93">
      <w:pPr>
        <w:pStyle w:val="FootnoteText"/>
        <w:rPr>
          <w:szCs w:val="16"/>
        </w:rPr>
      </w:pPr>
      <w:r w:rsidRPr="00200A93">
        <w:rPr>
          <w:rStyle w:val="FootnoteReference"/>
          <w:szCs w:val="16"/>
        </w:rPr>
        <w:footnoteRef/>
      </w:r>
      <w:r w:rsidRPr="00200A93">
        <w:rPr>
          <w:szCs w:val="16"/>
        </w:rPr>
        <w:t xml:space="preserve"> Pink Angels. (2018). Who we are. https://pinkangels.org.au/who-we-are</w:t>
      </w:r>
    </w:p>
  </w:footnote>
  <w:footnote w:id="59">
    <w:p w14:paraId="46E3B2C9" w14:textId="77777777" w:rsidR="00694B09" w:rsidRPr="00AE56A8" w:rsidRDefault="00694B09" w:rsidP="00694B09">
      <w:pPr>
        <w:pStyle w:val="FootnoteText"/>
        <w:rPr>
          <w:szCs w:val="16"/>
        </w:rPr>
      </w:pPr>
      <w:r w:rsidRPr="00AE56A8">
        <w:rPr>
          <w:rStyle w:val="FootnoteReference"/>
          <w:szCs w:val="16"/>
        </w:rPr>
        <w:footnoteRef/>
      </w:r>
      <w:r w:rsidRPr="00AE56A8">
        <w:rPr>
          <w:szCs w:val="16"/>
        </w:rPr>
        <w:t xml:space="preserve"> Hunter Breast Cancer Foundation. (n.d.). Prosthesis Financial Support. https://hbcf.org.au/prosthesis-financial-support/</w:t>
      </w:r>
    </w:p>
  </w:footnote>
  <w:footnote w:id="60">
    <w:p w14:paraId="286B1B28" w14:textId="4284F47C" w:rsidR="006258EC" w:rsidRPr="006258EC" w:rsidRDefault="006258EC">
      <w:pPr>
        <w:pStyle w:val="FootnoteText"/>
        <w:rPr>
          <w:szCs w:val="16"/>
        </w:rPr>
      </w:pPr>
      <w:r w:rsidRPr="006258EC">
        <w:rPr>
          <w:rStyle w:val="FootnoteReference"/>
          <w:szCs w:val="16"/>
        </w:rPr>
        <w:footnoteRef/>
      </w:r>
      <w:r w:rsidRPr="006258EC">
        <w:rPr>
          <w:szCs w:val="16"/>
        </w:rPr>
        <w:t xml:space="preserve"> Be Uplifted Inc. (n.d.). Our Crocheted Knockers. https://www.beuplifted.org.au/our-crocheted-knockers/</w:t>
      </w:r>
    </w:p>
  </w:footnote>
  <w:footnote w:id="61">
    <w:p w14:paraId="1F02E274" w14:textId="77777777" w:rsidR="00AF1727" w:rsidRPr="00843D21" w:rsidRDefault="00AF1727" w:rsidP="00AF1727">
      <w:pPr>
        <w:pStyle w:val="FootnoteText"/>
        <w:rPr>
          <w:szCs w:val="16"/>
        </w:rPr>
      </w:pPr>
      <w:r w:rsidRPr="00843D21">
        <w:rPr>
          <w:rStyle w:val="FootnoteReference"/>
          <w:szCs w:val="16"/>
        </w:rPr>
        <w:footnoteRef/>
      </w:r>
      <w:r w:rsidRPr="00843D21">
        <w:rPr>
          <w:szCs w:val="16"/>
        </w:rPr>
        <w:t xml:space="preserve"> Cancer Council SA. (2022). </w:t>
      </w:r>
      <w:r w:rsidRPr="00843D21">
        <w:rPr>
          <w:i/>
          <w:iCs/>
          <w:szCs w:val="16"/>
        </w:rPr>
        <w:t>Michele’s making an impact, one stich at a time.</w:t>
      </w:r>
      <w:r w:rsidRPr="00843D21">
        <w:rPr>
          <w:szCs w:val="16"/>
        </w:rPr>
        <w:t xml:space="preserve"> https://www.cancersa.org.au/blog/micheles-making-an-impact-one-stitch-at-a-time/</w:t>
      </w:r>
    </w:p>
  </w:footnote>
  <w:footnote w:id="62">
    <w:p w14:paraId="42F854F1" w14:textId="44E25BAC" w:rsidR="007E5235" w:rsidRPr="007E5235" w:rsidRDefault="007E5235">
      <w:pPr>
        <w:pStyle w:val="FootnoteText"/>
        <w:rPr>
          <w:szCs w:val="16"/>
        </w:rPr>
      </w:pPr>
      <w:r w:rsidRPr="007E5235">
        <w:rPr>
          <w:rStyle w:val="FootnoteReference"/>
          <w:szCs w:val="16"/>
        </w:rPr>
        <w:footnoteRef/>
      </w:r>
      <w:r w:rsidRPr="007E5235">
        <w:rPr>
          <w:szCs w:val="16"/>
        </w:rPr>
        <w:t xml:space="preserve"> Cancer Research UK. (2025). </w:t>
      </w:r>
      <w:r w:rsidRPr="00496604">
        <w:rPr>
          <w:i/>
          <w:iCs/>
          <w:szCs w:val="16"/>
        </w:rPr>
        <w:t>Surgery to remove a limb for bone cancer</w:t>
      </w:r>
      <w:r w:rsidRPr="007E5235">
        <w:rPr>
          <w:szCs w:val="16"/>
        </w:rPr>
        <w:t>. https://www.cancerresearchuk.org/about-cancer/bone-cancer/treatment/surgery/surgery-remove-limb-amputation#:~:text=A%20limb%20amputation%20means%20removing,bone%20(primary%20bone%20cancer).</w:t>
      </w:r>
    </w:p>
  </w:footnote>
  <w:footnote w:id="63">
    <w:p w14:paraId="68160196" w14:textId="77DF13AC" w:rsidR="0016483E" w:rsidRPr="00496604" w:rsidRDefault="0016483E">
      <w:pPr>
        <w:pStyle w:val="FootnoteText"/>
        <w:rPr>
          <w:szCs w:val="16"/>
        </w:rPr>
      </w:pPr>
      <w:r w:rsidRPr="00496604">
        <w:rPr>
          <w:rStyle w:val="FootnoteReference"/>
          <w:szCs w:val="16"/>
        </w:rPr>
        <w:footnoteRef/>
      </w:r>
      <w:r w:rsidRPr="00496604">
        <w:rPr>
          <w:szCs w:val="16"/>
        </w:rPr>
        <w:t xml:space="preserve"> MSD Manual</w:t>
      </w:r>
      <w:r w:rsidR="00496604" w:rsidRPr="00496604">
        <w:rPr>
          <w:szCs w:val="16"/>
        </w:rPr>
        <w:t xml:space="preserve">. (2025). </w:t>
      </w:r>
      <w:r w:rsidR="00496604" w:rsidRPr="00496604">
        <w:rPr>
          <w:i/>
          <w:iCs/>
          <w:szCs w:val="16"/>
        </w:rPr>
        <w:t>Overview of Limb Prosthetics</w:t>
      </w:r>
      <w:r w:rsidR="00496604" w:rsidRPr="00496604">
        <w:rPr>
          <w:szCs w:val="16"/>
        </w:rPr>
        <w:t xml:space="preserve">. </w:t>
      </w:r>
      <w:hyperlink r:id="rId1" w:history="1">
        <w:r w:rsidR="00476291" w:rsidRPr="00EB7542">
          <w:rPr>
            <w:rStyle w:val="Hyperlink"/>
            <w:szCs w:val="16"/>
            <w:u w:val="none"/>
          </w:rPr>
          <w:t>https://www.msdmanuals.com/home/special-subjects/limb-prosthetics/overview-of-limb-prosthetics</w:t>
        </w:r>
      </w:hyperlink>
    </w:p>
  </w:footnote>
  <w:footnote w:id="64">
    <w:p w14:paraId="4989038C" w14:textId="0E7E6B85" w:rsidR="005F1140" w:rsidRDefault="005F1140">
      <w:pPr>
        <w:pStyle w:val="FootnoteText"/>
      </w:pPr>
      <w:r>
        <w:rPr>
          <w:rStyle w:val="FootnoteReference"/>
        </w:rPr>
        <w:footnoteRef/>
      </w:r>
      <w:r>
        <w:t xml:space="preserve"> </w:t>
      </w:r>
      <w:r w:rsidRPr="001E2A1B">
        <w:rPr>
          <w:szCs w:val="16"/>
        </w:rPr>
        <w:t xml:space="preserve">Limbs4life. (n.d.). </w:t>
      </w:r>
      <w:r w:rsidRPr="001E2A1B">
        <w:rPr>
          <w:i/>
          <w:iCs/>
          <w:szCs w:val="16"/>
        </w:rPr>
        <w:t>Prosthetic Funding in Australia Overview</w:t>
      </w:r>
      <w:r w:rsidRPr="001E2A1B">
        <w:rPr>
          <w:szCs w:val="16"/>
        </w:rPr>
        <w:t>. https://www.limbs4life.org.au/uploads/files/Limbs-4-Life-Prosthetic-Funding-Australia.pdf</w:t>
      </w:r>
    </w:p>
  </w:footnote>
  <w:footnote w:id="65">
    <w:p w14:paraId="6BD9845B" w14:textId="5D519A4B" w:rsidR="001E2A1B" w:rsidRPr="001E2A1B" w:rsidRDefault="001E2A1B">
      <w:pPr>
        <w:pStyle w:val="FootnoteText"/>
        <w:rPr>
          <w:szCs w:val="16"/>
        </w:rPr>
      </w:pPr>
      <w:r w:rsidRPr="001E2A1B">
        <w:rPr>
          <w:rStyle w:val="FootnoteReference"/>
          <w:szCs w:val="16"/>
        </w:rPr>
        <w:footnoteRef/>
      </w:r>
      <w:r w:rsidRPr="001E2A1B">
        <w:rPr>
          <w:szCs w:val="16"/>
        </w:rPr>
        <w:t xml:space="preserve"> </w:t>
      </w:r>
      <w:r w:rsidR="003C2A0F">
        <w:rPr>
          <w:szCs w:val="16"/>
        </w:rPr>
        <w:t>Ibid</w:t>
      </w:r>
    </w:p>
  </w:footnote>
  <w:footnote w:id="66">
    <w:p w14:paraId="0A5B403E" w14:textId="65D221FF" w:rsidR="005F1140" w:rsidRDefault="005F1140">
      <w:pPr>
        <w:pStyle w:val="FootnoteText"/>
      </w:pPr>
      <w:r>
        <w:rPr>
          <w:rStyle w:val="FootnoteReference"/>
        </w:rPr>
        <w:footnoteRef/>
      </w:r>
      <w:r>
        <w:t xml:space="preserve"> </w:t>
      </w:r>
      <w:r w:rsidR="009E2D4B" w:rsidRPr="001E2A1B">
        <w:rPr>
          <w:szCs w:val="16"/>
        </w:rPr>
        <w:t xml:space="preserve">Limbs4life. (n.d.). </w:t>
      </w:r>
      <w:r w:rsidR="009E2D4B">
        <w:rPr>
          <w:i/>
          <w:iCs/>
          <w:szCs w:val="16"/>
        </w:rPr>
        <w:t>Lower limb feet and knees</w:t>
      </w:r>
      <w:r w:rsidR="009E2D4B" w:rsidRPr="001E2A1B">
        <w:rPr>
          <w:szCs w:val="16"/>
        </w:rPr>
        <w:t xml:space="preserve">. </w:t>
      </w:r>
      <w:r w:rsidR="009E2D4B" w:rsidRPr="009E2D4B">
        <w:rPr>
          <w:szCs w:val="16"/>
        </w:rPr>
        <w:t>https://www.limbs4life.org.au/prosthetics/directory/lower-limb</w:t>
      </w:r>
    </w:p>
  </w:footnote>
  <w:footnote w:id="67">
    <w:p w14:paraId="7A2C37FE" w14:textId="3B2F0CF7" w:rsidR="008567CC" w:rsidRPr="009E1116" w:rsidRDefault="008567CC">
      <w:pPr>
        <w:pStyle w:val="FootnoteText"/>
        <w:rPr>
          <w:szCs w:val="16"/>
        </w:rPr>
      </w:pPr>
      <w:r w:rsidRPr="009E1116">
        <w:rPr>
          <w:rStyle w:val="FootnoteReference"/>
          <w:szCs w:val="16"/>
        </w:rPr>
        <w:footnoteRef/>
      </w:r>
      <w:r w:rsidRPr="009E1116">
        <w:rPr>
          <w:szCs w:val="16"/>
        </w:rPr>
        <w:t xml:space="preserve"> The Australian </w:t>
      </w:r>
      <w:r w:rsidR="009E1116" w:rsidRPr="009E1116">
        <w:rPr>
          <w:szCs w:val="16"/>
        </w:rPr>
        <w:t>Orthotic</w:t>
      </w:r>
      <w:r w:rsidRPr="009E1116">
        <w:rPr>
          <w:szCs w:val="16"/>
        </w:rPr>
        <w:t xml:space="preserve"> Prosthetic Association. (</w:t>
      </w:r>
      <w:r w:rsidR="009E1116" w:rsidRPr="009E1116">
        <w:rPr>
          <w:szCs w:val="16"/>
        </w:rPr>
        <w:t>20</w:t>
      </w:r>
      <w:r w:rsidR="000214C6" w:rsidRPr="000214C6">
        <w:rPr>
          <w:szCs w:val="16"/>
        </w:rPr>
        <w:t>1</w:t>
      </w:r>
      <w:r w:rsidR="009E1116" w:rsidRPr="009E1116">
        <w:rPr>
          <w:szCs w:val="16"/>
        </w:rPr>
        <w:t>6). Prosthe</w:t>
      </w:r>
      <w:r w:rsidR="009E1116" w:rsidRPr="009E1116">
        <w:rPr>
          <w:i/>
          <w:iCs/>
          <w:szCs w:val="16"/>
        </w:rPr>
        <w:t xml:space="preserve">ses to improve participation and function in people with upper limb loss. </w:t>
      </w:r>
      <w:r w:rsidR="009E1116" w:rsidRPr="009E1116">
        <w:rPr>
          <w:szCs w:val="16"/>
        </w:rPr>
        <w:t>https://www.aopa.org.au/documents/item/522</w:t>
      </w:r>
    </w:p>
  </w:footnote>
  <w:footnote w:id="68">
    <w:p w14:paraId="3F64C07B" w14:textId="38350D2B" w:rsidR="00EF1DD5" w:rsidRDefault="00EF1DD5">
      <w:pPr>
        <w:pStyle w:val="FootnoteText"/>
      </w:pPr>
      <w:r w:rsidRPr="00EF325A">
        <w:rPr>
          <w:rStyle w:val="FootnoteReference"/>
          <w:szCs w:val="16"/>
        </w:rPr>
        <w:footnoteRef/>
      </w:r>
      <w:r w:rsidRPr="00EF325A">
        <w:rPr>
          <w:szCs w:val="16"/>
        </w:rPr>
        <w:t xml:space="preserve"> NDIS</w:t>
      </w:r>
      <w:r w:rsidR="00EF325A" w:rsidRPr="00EF325A">
        <w:rPr>
          <w:szCs w:val="16"/>
        </w:rPr>
        <w:t xml:space="preserve">. (n.d.). </w:t>
      </w:r>
      <w:r w:rsidR="00EF325A" w:rsidRPr="00EF325A">
        <w:rPr>
          <w:i/>
          <w:iCs/>
          <w:szCs w:val="16"/>
        </w:rPr>
        <w:t>Supports that are NDIS supports</w:t>
      </w:r>
      <w:r w:rsidR="00EF325A" w:rsidRPr="00EF325A">
        <w:rPr>
          <w:szCs w:val="16"/>
        </w:rPr>
        <w:t xml:space="preserve">. </w:t>
      </w:r>
    </w:p>
  </w:footnote>
  <w:footnote w:id="69">
    <w:p w14:paraId="07815450" w14:textId="77777777" w:rsidR="00E703A3" w:rsidRPr="00B83456" w:rsidRDefault="00E703A3" w:rsidP="00E703A3">
      <w:pPr>
        <w:pStyle w:val="FootnoteText"/>
        <w:rPr>
          <w:szCs w:val="16"/>
        </w:rPr>
      </w:pPr>
      <w:r w:rsidRPr="00B83456">
        <w:rPr>
          <w:rStyle w:val="FootnoteReference"/>
          <w:szCs w:val="16"/>
        </w:rPr>
        <w:footnoteRef/>
      </w:r>
      <w:r w:rsidRPr="00B83456">
        <w:rPr>
          <w:szCs w:val="16"/>
        </w:rPr>
        <w:t xml:space="preserve"> National Disability Insurance Scheme. (2024). </w:t>
      </w:r>
      <w:r w:rsidRPr="006D7E42">
        <w:rPr>
          <w:i/>
          <w:iCs/>
          <w:szCs w:val="16"/>
        </w:rPr>
        <w:t>Incl</w:t>
      </w:r>
      <w:r w:rsidRPr="00B83456">
        <w:rPr>
          <w:i/>
          <w:iCs/>
          <w:szCs w:val="16"/>
        </w:rPr>
        <w:t xml:space="preserve">uding Specific Types of Supports in Plans Operational Guideline - Prosthetic limbs. </w:t>
      </w:r>
      <w:r w:rsidRPr="00B83456">
        <w:rPr>
          <w:szCs w:val="16"/>
        </w:rPr>
        <w:t>https://www.ndis.gov.au/operational-guidelines/including-specific-types-supports-plans-operational-guideline/including-specific-types-supports-plans-operational-guideline-prosthetic-limbs</w:t>
      </w:r>
    </w:p>
  </w:footnote>
  <w:footnote w:id="70">
    <w:p w14:paraId="370E95B6" w14:textId="77777777" w:rsidR="0016149A" w:rsidRDefault="0016149A" w:rsidP="0016149A">
      <w:pPr>
        <w:pStyle w:val="FootnoteText"/>
      </w:pPr>
      <w:r>
        <w:rPr>
          <w:rStyle w:val="FootnoteReference"/>
        </w:rPr>
        <w:footnoteRef/>
      </w:r>
      <w:r>
        <w:rPr>
          <w:szCs w:val="16"/>
        </w:rPr>
        <w:t xml:space="preserve"> </w:t>
      </w:r>
      <w:r w:rsidRPr="00515051">
        <w:rPr>
          <w:szCs w:val="16"/>
        </w:rPr>
        <w:t>The Department of Veterans Affairs</w:t>
      </w:r>
      <w:r>
        <w:rPr>
          <w:szCs w:val="16"/>
        </w:rPr>
        <w:t xml:space="preserve">. (2023). </w:t>
      </w:r>
      <w:r>
        <w:rPr>
          <w:i/>
          <w:iCs/>
          <w:szCs w:val="16"/>
        </w:rPr>
        <w:t>RAP National Schedule of Equipment</w:t>
      </w:r>
      <w:r>
        <w:rPr>
          <w:szCs w:val="16"/>
        </w:rPr>
        <w:t xml:space="preserve">. </w:t>
      </w:r>
      <w:r w:rsidRPr="008150C7">
        <w:rPr>
          <w:szCs w:val="16"/>
        </w:rPr>
        <w:t>https://www.dva.gov.au/sites/default/files/2023-06/RAPSchedule-June2023.pdf</w:t>
      </w:r>
      <w:r>
        <w:t xml:space="preserve"> </w:t>
      </w:r>
    </w:p>
  </w:footnote>
  <w:footnote w:id="71">
    <w:p w14:paraId="5058E65A" w14:textId="57798D58" w:rsidR="008150C7" w:rsidRDefault="008150C7">
      <w:pPr>
        <w:pStyle w:val="FootnoteText"/>
      </w:pPr>
      <w:r>
        <w:rPr>
          <w:rStyle w:val="FootnoteReference"/>
        </w:rPr>
        <w:footnoteRef/>
      </w:r>
      <w:r>
        <w:rPr>
          <w:szCs w:val="16"/>
        </w:rPr>
        <w:t xml:space="preserve"> </w:t>
      </w:r>
      <w:r w:rsidRPr="00515051">
        <w:rPr>
          <w:szCs w:val="16"/>
        </w:rPr>
        <w:t>The Department of Veterans Affairs</w:t>
      </w:r>
      <w:r>
        <w:rPr>
          <w:szCs w:val="16"/>
        </w:rPr>
        <w:t xml:space="preserve">. (2023). </w:t>
      </w:r>
      <w:r>
        <w:rPr>
          <w:i/>
          <w:iCs/>
          <w:szCs w:val="16"/>
        </w:rPr>
        <w:t>RAP National Schedule of Equipment</w:t>
      </w:r>
      <w:r>
        <w:rPr>
          <w:szCs w:val="16"/>
        </w:rPr>
        <w:t xml:space="preserve">. </w:t>
      </w:r>
      <w:r w:rsidRPr="008150C7">
        <w:rPr>
          <w:szCs w:val="16"/>
        </w:rPr>
        <w:t>https://www.dva.gov.au/sites/default/files/2023-06/RAPSchedule-June2023.pdf</w:t>
      </w:r>
      <w:r>
        <w:t xml:space="preserve"> </w:t>
      </w:r>
    </w:p>
  </w:footnote>
  <w:footnote w:id="72">
    <w:p w14:paraId="7DB3004F" w14:textId="4A1BC4A8" w:rsidR="00D674D4" w:rsidRPr="00D674D4" w:rsidRDefault="00D674D4">
      <w:pPr>
        <w:pStyle w:val="FootnoteText"/>
        <w:rPr>
          <w:szCs w:val="16"/>
        </w:rPr>
      </w:pPr>
      <w:r w:rsidRPr="00D674D4">
        <w:rPr>
          <w:rStyle w:val="FootnoteReference"/>
          <w:szCs w:val="16"/>
        </w:rPr>
        <w:footnoteRef/>
      </w:r>
      <w:r w:rsidRPr="00D674D4">
        <w:rPr>
          <w:szCs w:val="16"/>
        </w:rPr>
        <w:t xml:space="preserve"> The Department of Health, Disability and Ageing. (2025). </w:t>
      </w:r>
      <w:r w:rsidRPr="00D674D4">
        <w:rPr>
          <w:i/>
          <w:iCs/>
          <w:szCs w:val="16"/>
        </w:rPr>
        <w:t>Medical devices and human tissue products covered under private health insurance</w:t>
      </w:r>
      <w:r w:rsidRPr="00D674D4">
        <w:rPr>
          <w:szCs w:val="16"/>
        </w:rPr>
        <w:t>. https://www.health.gov.au/topics/private-health-insurance/what-private-health-insurance-covers/medical-devices-and-human-tissue-products-covered-under-private-health-insurance</w:t>
      </w:r>
    </w:p>
  </w:footnote>
  <w:footnote w:id="73">
    <w:p w14:paraId="3F9F3FA4" w14:textId="77777777" w:rsidR="00264CE2" w:rsidRPr="006B6946" w:rsidRDefault="00264CE2" w:rsidP="00D66C50">
      <w:pPr>
        <w:pStyle w:val="FootnoteText"/>
        <w:rPr>
          <w:szCs w:val="16"/>
        </w:rPr>
      </w:pPr>
      <w:r w:rsidRPr="006B6946">
        <w:rPr>
          <w:rStyle w:val="FootnoteReference"/>
          <w:szCs w:val="16"/>
        </w:rPr>
        <w:footnoteRef/>
      </w:r>
      <w:r w:rsidRPr="006B6946">
        <w:rPr>
          <w:szCs w:val="16"/>
        </w:rPr>
        <w:t xml:space="preserve"> Medibank. (2025). </w:t>
      </w:r>
      <w:r w:rsidRPr="006B6946">
        <w:rPr>
          <w:i/>
          <w:iCs/>
          <w:szCs w:val="16"/>
        </w:rPr>
        <w:t>Top extras</w:t>
      </w:r>
      <w:r w:rsidRPr="006B6946">
        <w:rPr>
          <w:szCs w:val="16"/>
        </w:rPr>
        <w:t>. https://www.medibank.com.au/health-insurance/cover/top-extras/</w:t>
      </w:r>
    </w:p>
  </w:footnote>
  <w:footnote w:id="74">
    <w:p w14:paraId="0CE7A51D" w14:textId="77777777" w:rsidR="007E13EA" w:rsidRPr="00BC2BEA" w:rsidRDefault="007E13EA" w:rsidP="00EE503E">
      <w:pPr>
        <w:pStyle w:val="FootnoteText"/>
        <w:rPr>
          <w:szCs w:val="16"/>
        </w:rPr>
      </w:pPr>
      <w:r w:rsidRPr="00BC2BEA">
        <w:rPr>
          <w:rStyle w:val="FootnoteReference"/>
          <w:szCs w:val="16"/>
        </w:rPr>
        <w:footnoteRef/>
      </w:r>
      <w:r w:rsidRPr="00BC2BEA">
        <w:rPr>
          <w:szCs w:val="16"/>
        </w:rPr>
        <w:t xml:space="preserve"> Bupa. (2025). </w:t>
      </w:r>
      <w:r w:rsidRPr="00BC2BEA">
        <w:rPr>
          <w:i/>
          <w:iCs/>
          <w:szCs w:val="16"/>
        </w:rPr>
        <w:t>Health Aids and Appliances FAQs</w:t>
      </w:r>
      <w:r w:rsidRPr="00BC2BEA">
        <w:rPr>
          <w:szCs w:val="16"/>
        </w:rPr>
        <w:t>. https://www.bupa.com.au/health-insurance/understanding-your-health-cover/health-aids-and-appliances</w:t>
      </w:r>
    </w:p>
  </w:footnote>
  <w:footnote w:id="75">
    <w:p w14:paraId="3C758E35" w14:textId="77777777" w:rsidR="00EB2B5E" w:rsidRPr="003910F5" w:rsidRDefault="00EB2B5E" w:rsidP="00EE503E">
      <w:pPr>
        <w:pStyle w:val="FootnoteText"/>
        <w:rPr>
          <w:szCs w:val="16"/>
        </w:rPr>
      </w:pPr>
      <w:r w:rsidRPr="003910F5">
        <w:rPr>
          <w:rStyle w:val="FootnoteReference"/>
          <w:szCs w:val="16"/>
        </w:rPr>
        <w:footnoteRef/>
      </w:r>
      <w:r w:rsidRPr="003910F5">
        <w:rPr>
          <w:szCs w:val="16"/>
        </w:rPr>
        <w:t xml:space="preserve"> HIF. (2025). Extras cover table. https://www.hif.com.au/health-insurance/extras-cover/extras-cover-table</w:t>
      </w:r>
    </w:p>
  </w:footnote>
  <w:footnote w:id="76">
    <w:p w14:paraId="3A9AF622" w14:textId="1E04D979" w:rsidR="00264CE2" w:rsidRPr="00AA1CBB" w:rsidRDefault="00264CE2" w:rsidP="00D66C50">
      <w:pPr>
        <w:pStyle w:val="FootnoteText"/>
        <w:rPr>
          <w:szCs w:val="16"/>
        </w:rPr>
      </w:pPr>
      <w:r w:rsidRPr="00AA1CBB">
        <w:rPr>
          <w:rStyle w:val="FootnoteReference"/>
          <w:szCs w:val="16"/>
        </w:rPr>
        <w:footnoteRef/>
      </w:r>
      <w:r w:rsidRPr="00AA1CBB">
        <w:rPr>
          <w:szCs w:val="16"/>
        </w:rPr>
        <w:t xml:space="preserve"> Emergency Services Health. (202</w:t>
      </w:r>
      <w:r>
        <w:rPr>
          <w:szCs w:val="16"/>
        </w:rPr>
        <w:t>3</w:t>
      </w:r>
      <w:r w:rsidRPr="00734F7B">
        <w:rPr>
          <w:i/>
          <w:iCs/>
          <w:szCs w:val="16"/>
        </w:rPr>
        <w:t xml:space="preserve">). </w:t>
      </w:r>
      <w:r>
        <w:rPr>
          <w:i/>
          <w:iCs/>
          <w:szCs w:val="16"/>
        </w:rPr>
        <w:t>Gold Hospital Cover</w:t>
      </w:r>
      <w:r w:rsidRPr="00734F7B">
        <w:rPr>
          <w:i/>
          <w:iCs/>
          <w:szCs w:val="16"/>
        </w:rPr>
        <w:t>.</w:t>
      </w:r>
      <w:r w:rsidRPr="00AA1CBB">
        <w:rPr>
          <w:szCs w:val="16"/>
        </w:rPr>
        <w:t xml:space="preserve"> </w:t>
      </w:r>
      <w:r w:rsidRPr="00734F7B">
        <w:rPr>
          <w:szCs w:val="16"/>
        </w:rPr>
        <w:t>https://www.eshealth.com.au/health-insurance/gold-hospital-cover/</w:t>
      </w:r>
    </w:p>
  </w:footnote>
  <w:footnote w:id="77">
    <w:p w14:paraId="35376CF3" w14:textId="6ED2ED33" w:rsidR="00734F7B" w:rsidRPr="00734F7B" w:rsidRDefault="00734F7B">
      <w:pPr>
        <w:pStyle w:val="FootnoteText"/>
        <w:rPr>
          <w:szCs w:val="16"/>
        </w:rPr>
      </w:pPr>
      <w:r w:rsidRPr="00734F7B">
        <w:rPr>
          <w:rStyle w:val="FootnoteReference"/>
          <w:szCs w:val="16"/>
        </w:rPr>
        <w:footnoteRef/>
      </w:r>
      <w:r w:rsidRPr="00734F7B">
        <w:rPr>
          <w:szCs w:val="16"/>
        </w:rPr>
        <w:t xml:space="preserve"> Australian Unity. (2024). </w:t>
      </w:r>
      <w:r w:rsidRPr="00734F7B">
        <w:rPr>
          <w:i/>
          <w:iCs/>
          <w:szCs w:val="16"/>
        </w:rPr>
        <w:t>Top extras Cover.</w:t>
      </w:r>
      <w:r w:rsidRPr="00734F7B">
        <w:rPr>
          <w:szCs w:val="16"/>
        </w:rPr>
        <w:t xml:space="preserve"> https://www.australianunity.com.au/health-insurance/covers/top-extras?srsltid=AfmBOop-AKNBM5D_0ZeBwe9WGgc_cWHkeQSO4201k8dL68RdFe3rWIFp</w:t>
      </w:r>
    </w:p>
  </w:footnote>
  <w:footnote w:id="78">
    <w:p w14:paraId="7CFC568E" w14:textId="77777777" w:rsidR="00D9091C" w:rsidRPr="0011534B" w:rsidRDefault="00D9091C" w:rsidP="00D9091C">
      <w:pPr>
        <w:pStyle w:val="FootnoteText"/>
        <w:rPr>
          <w:szCs w:val="16"/>
        </w:rPr>
      </w:pPr>
      <w:r w:rsidRPr="0011534B">
        <w:rPr>
          <w:rStyle w:val="FootnoteReference"/>
          <w:szCs w:val="16"/>
        </w:rPr>
        <w:footnoteRef/>
      </w:r>
      <w:r w:rsidRPr="0011534B">
        <w:rPr>
          <w:szCs w:val="16"/>
        </w:rPr>
        <w:t xml:space="preserve"> ACT Government. (2021). ACT Artificial Limb Scheme. https://view.officeapps.live.com/op/view.aspx?src=https%3A%2F%2Fwww.canberrahealthservices.act.gov.au%2F__data%2Fassets%2Fword_doc%2F0004%2F1981057%2FACT-Artificial-Limb-Scheme-ACTALS-Adults-and-Children.docx&amp;wdOrigin=BROWSELINK</w:t>
      </w:r>
    </w:p>
  </w:footnote>
  <w:footnote w:id="79">
    <w:p w14:paraId="08584261" w14:textId="691C844B" w:rsidR="00AE3DE1" w:rsidRPr="00F62781" w:rsidRDefault="00AE3DE1">
      <w:pPr>
        <w:pStyle w:val="FootnoteText"/>
        <w:rPr>
          <w:szCs w:val="16"/>
        </w:rPr>
      </w:pPr>
      <w:r w:rsidRPr="00F62781">
        <w:rPr>
          <w:rStyle w:val="FootnoteReference"/>
          <w:szCs w:val="16"/>
        </w:rPr>
        <w:footnoteRef/>
      </w:r>
      <w:r w:rsidRPr="00F62781">
        <w:rPr>
          <w:szCs w:val="16"/>
        </w:rPr>
        <w:t xml:space="preserve"> </w:t>
      </w:r>
      <w:proofErr w:type="spellStart"/>
      <w:r w:rsidR="00F62781" w:rsidRPr="00F62781">
        <w:rPr>
          <w:szCs w:val="16"/>
        </w:rPr>
        <w:t>EnableNSW</w:t>
      </w:r>
      <w:proofErr w:type="spellEnd"/>
      <w:r w:rsidR="00F62781" w:rsidRPr="00F62781">
        <w:rPr>
          <w:szCs w:val="16"/>
        </w:rPr>
        <w:t xml:space="preserve">. (n.d.). </w:t>
      </w:r>
      <w:r w:rsidR="00F62781" w:rsidRPr="00F62781">
        <w:rPr>
          <w:i/>
          <w:iCs/>
          <w:szCs w:val="16"/>
        </w:rPr>
        <w:t>Prosthetic Limb Service.</w:t>
      </w:r>
      <w:r w:rsidR="00F62781" w:rsidRPr="00F62781">
        <w:rPr>
          <w:szCs w:val="16"/>
        </w:rPr>
        <w:t xml:space="preserve"> https://www.enable.health.nsw.gov.au/about/publications/fact-sheets/pls#:~:text=The%20Prosthetic%20Limb%20Service%20(PLS,provides%20funding%20for%20prosthetic%20limbs.</w:t>
      </w:r>
    </w:p>
  </w:footnote>
  <w:footnote w:id="80">
    <w:p w14:paraId="2FAF397E" w14:textId="77777777" w:rsidR="00E4031B" w:rsidRPr="0001638E" w:rsidRDefault="00E4031B" w:rsidP="00E4031B">
      <w:pPr>
        <w:pStyle w:val="FootnoteText"/>
        <w:rPr>
          <w:szCs w:val="16"/>
        </w:rPr>
      </w:pPr>
      <w:r w:rsidRPr="0001638E">
        <w:rPr>
          <w:rStyle w:val="FootnoteReference"/>
          <w:szCs w:val="16"/>
        </w:rPr>
        <w:footnoteRef/>
      </w:r>
      <w:r w:rsidRPr="0001638E">
        <w:rPr>
          <w:szCs w:val="16"/>
        </w:rPr>
        <w:t xml:space="preserve"> Limbs for Life. (n.d.) </w:t>
      </w:r>
      <w:r w:rsidRPr="0001638E">
        <w:rPr>
          <w:i/>
          <w:iCs/>
          <w:szCs w:val="16"/>
        </w:rPr>
        <w:t>Prosthetic Funding in Australia Overview</w:t>
      </w:r>
      <w:r w:rsidRPr="0001638E">
        <w:rPr>
          <w:szCs w:val="16"/>
        </w:rPr>
        <w:t>. https://www.limbs4life.org.au/uploads/files/Limbs-4-Life-Prosthetic-Funding-Australia.pdf</w:t>
      </w:r>
    </w:p>
  </w:footnote>
  <w:footnote w:id="81">
    <w:p w14:paraId="2E806D61" w14:textId="5F4D7506" w:rsidR="00AB49A2" w:rsidRPr="00AB49A2" w:rsidRDefault="00AB49A2">
      <w:pPr>
        <w:pStyle w:val="FootnoteText"/>
        <w:rPr>
          <w:szCs w:val="16"/>
        </w:rPr>
      </w:pPr>
      <w:r w:rsidRPr="00AB49A2">
        <w:rPr>
          <w:rStyle w:val="FootnoteReference"/>
          <w:szCs w:val="16"/>
        </w:rPr>
        <w:footnoteRef/>
      </w:r>
      <w:r w:rsidRPr="00AB49A2">
        <w:rPr>
          <w:szCs w:val="16"/>
        </w:rPr>
        <w:t xml:space="preserve"> Queensland Health. (2023). Guidelines for Queensland Artificial limb Service. https://www.health.qld.gov.au/__data/assets/pdf_file/0026/1161773/guidelines-QALS.pdf</w:t>
      </w:r>
    </w:p>
  </w:footnote>
  <w:footnote w:id="82">
    <w:p w14:paraId="0A9CCAEE" w14:textId="77777777" w:rsidR="00E4031B" w:rsidRPr="00326BE6" w:rsidRDefault="00E4031B" w:rsidP="00E4031B">
      <w:pPr>
        <w:pStyle w:val="FootnoteText"/>
        <w:rPr>
          <w:szCs w:val="16"/>
        </w:rPr>
      </w:pPr>
      <w:r w:rsidRPr="00326BE6">
        <w:rPr>
          <w:rStyle w:val="FootnoteReference"/>
          <w:szCs w:val="16"/>
        </w:rPr>
        <w:footnoteRef/>
      </w:r>
      <w:r w:rsidRPr="00326BE6">
        <w:rPr>
          <w:szCs w:val="16"/>
        </w:rPr>
        <w:t xml:space="preserve"> Amputees in Touch South Australia. (n.d.) </w:t>
      </w:r>
      <w:r w:rsidRPr="00326BE6">
        <w:rPr>
          <w:i/>
          <w:iCs/>
          <w:szCs w:val="16"/>
        </w:rPr>
        <w:t>Artificial Limb Scheme (SAALS).</w:t>
      </w:r>
      <w:r w:rsidRPr="00326BE6">
        <w:rPr>
          <w:szCs w:val="16"/>
        </w:rPr>
        <w:t xml:space="preserve"> https://amputeesintouch.org.au/amputee-support/artificial-limb-scheme/#:~:text=The%20Artificial%20Limb%20Scheme%20is,Amputee%20Limb%20Service%20(SAALS).</w:t>
      </w:r>
    </w:p>
  </w:footnote>
  <w:footnote w:id="83">
    <w:p w14:paraId="3A81BB4D" w14:textId="77777777" w:rsidR="00E4031B" w:rsidRDefault="00E4031B" w:rsidP="00E4031B">
      <w:pPr>
        <w:pStyle w:val="FootnoteText"/>
      </w:pPr>
      <w:r>
        <w:rPr>
          <w:rStyle w:val="FootnoteReference"/>
        </w:rPr>
        <w:footnoteRef/>
      </w:r>
      <w:r>
        <w:t xml:space="preserve"> </w:t>
      </w:r>
      <w:r>
        <w:rPr>
          <w:szCs w:val="16"/>
        </w:rPr>
        <w:t xml:space="preserve">Department of Health Tasmania. (2025). Orthotic and Prosthetic Services. </w:t>
      </w:r>
      <w:r w:rsidRPr="00193A39">
        <w:rPr>
          <w:szCs w:val="16"/>
        </w:rPr>
        <w:t>https://www.health.tas.gov.au/health-topics/orthotics-and-prosthetics/orthotic-and-prosthetic-services</w:t>
      </w:r>
    </w:p>
  </w:footnote>
  <w:footnote w:id="84">
    <w:p w14:paraId="16CFC185" w14:textId="1674107B" w:rsidR="00E60EEC" w:rsidRPr="0001638E" w:rsidRDefault="00E60EEC">
      <w:pPr>
        <w:pStyle w:val="FootnoteText"/>
        <w:rPr>
          <w:szCs w:val="16"/>
        </w:rPr>
      </w:pPr>
      <w:r w:rsidRPr="0001638E">
        <w:rPr>
          <w:rStyle w:val="FootnoteReference"/>
          <w:szCs w:val="16"/>
        </w:rPr>
        <w:footnoteRef/>
      </w:r>
      <w:r w:rsidRPr="0001638E">
        <w:rPr>
          <w:szCs w:val="16"/>
        </w:rPr>
        <w:t xml:space="preserve"> </w:t>
      </w:r>
      <w:r w:rsidR="0001638E" w:rsidRPr="0001638E">
        <w:rPr>
          <w:szCs w:val="16"/>
        </w:rPr>
        <w:t xml:space="preserve">Limbs for Life. (n.d.) </w:t>
      </w:r>
      <w:r w:rsidR="0001638E" w:rsidRPr="0001638E">
        <w:rPr>
          <w:i/>
          <w:iCs/>
          <w:szCs w:val="16"/>
        </w:rPr>
        <w:t>Prosthetic Funding in Australia Overview</w:t>
      </w:r>
      <w:r w:rsidR="0001638E" w:rsidRPr="0001638E">
        <w:rPr>
          <w:szCs w:val="16"/>
        </w:rPr>
        <w:t>. https://www.limbs4life.org.au/uploads/files/Limbs-4-Life-Prosthetic-Funding-Australia.pdf</w:t>
      </w:r>
    </w:p>
  </w:footnote>
  <w:footnote w:id="85">
    <w:p w14:paraId="6C784658" w14:textId="77777777" w:rsidR="00116C95" w:rsidRPr="00A30AEC" w:rsidRDefault="00116C95" w:rsidP="00116C95">
      <w:pPr>
        <w:pStyle w:val="FootnoteText"/>
        <w:rPr>
          <w:szCs w:val="16"/>
        </w:rPr>
      </w:pPr>
      <w:r w:rsidRPr="00A30AEC">
        <w:rPr>
          <w:rStyle w:val="FootnoteReference"/>
          <w:szCs w:val="16"/>
        </w:rPr>
        <w:footnoteRef/>
      </w:r>
      <w:r w:rsidRPr="00A30AEC">
        <w:rPr>
          <w:szCs w:val="16"/>
        </w:rPr>
        <w:t xml:space="preserve"> </w:t>
      </w:r>
      <w:proofErr w:type="spellStart"/>
      <w:r w:rsidRPr="00A30AEC">
        <w:rPr>
          <w:szCs w:val="16"/>
        </w:rPr>
        <w:t>HealthyWA</w:t>
      </w:r>
      <w:proofErr w:type="spellEnd"/>
      <w:r w:rsidRPr="00A30AEC">
        <w:rPr>
          <w:szCs w:val="16"/>
        </w:rPr>
        <w:t xml:space="preserve">. (2022). </w:t>
      </w:r>
      <w:r w:rsidRPr="00A30AEC">
        <w:rPr>
          <w:i/>
          <w:iCs/>
          <w:szCs w:val="16"/>
        </w:rPr>
        <w:t>Prostheses for amputees</w:t>
      </w:r>
      <w:r w:rsidRPr="00A30AEC">
        <w:rPr>
          <w:szCs w:val="16"/>
        </w:rPr>
        <w:t>. https://www.healthywa.wa.gov.au/Articles/N_R/Prostheses-for-amputees</w:t>
      </w:r>
    </w:p>
  </w:footnote>
  <w:footnote w:id="86">
    <w:p w14:paraId="5C453AF0" w14:textId="77777777" w:rsidR="00B503F5" w:rsidRDefault="00B503F5" w:rsidP="00B503F5">
      <w:pPr>
        <w:pStyle w:val="FootnoteText"/>
      </w:pPr>
      <w:r>
        <w:rPr>
          <w:rStyle w:val="FootnoteReference"/>
        </w:rPr>
        <w:footnoteRef/>
      </w:r>
      <w:r>
        <w:t xml:space="preserve"> </w:t>
      </w:r>
      <w:r w:rsidRPr="00AB49A2">
        <w:rPr>
          <w:szCs w:val="16"/>
        </w:rPr>
        <w:t>Queensland Health. (2023). Guidelines for Queensland Artificial limb Service. https://www.health.qld.gov.au/__data/assets/pdf_file/0026/1161773/guidelines-QALS.pdf</w:t>
      </w:r>
    </w:p>
  </w:footnote>
  <w:footnote w:id="87">
    <w:p w14:paraId="116099AC" w14:textId="77777777" w:rsidR="00B503F5" w:rsidRDefault="00B503F5" w:rsidP="00B503F5">
      <w:pPr>
        <w:pStyle w:val="FootnoteText"/>
      </w:pPr>
      <w:r>
        <w:rPr>
          <w:rStyle w:val="FootnoteReference"/>
        </w:rPr>
        <w:footnoteRef/>
      </w:r>
      <w:r>
        <w:t xml:space="preserve"> </w:t>
      </w:r>
      <w:r w:rsidRPr="00326BE6">
        <w:rPr>
          <w:szCs w:val="16"/>
        </w:rPr>
        <w:t xml:space="preserve">Amputees in Touch South Australia. (n.d.) </w:t>
      </w:r>
      <w:r w:rsidRPr="00326BE6">
        <w:rPr>
          <w:i/>
          <w:iCs/>
          <w:szCs w:val="16"/>
        </w:rPr>
        <w:t>Artificial Limb Scheme (SAALS).</w:t>
      </w:r>
      <w:r w:rsidRPr="00326BE6">
        <w:rPr>
          <w:szCs w:val="16"/>
        </w:rPr>
        <w:t xml:space="preserve"> https://amputeesintouch.org.au/amputee-support/artificial-limb-scheme/#:~:text=The%20Artificial%20Limb%20Scheme%20is,Amputee%20Limb%20Service%20(SAALS).</w:t>
      </w:r>
    </w:p>
  </w:footnote>
  <w:footnote w:id="88">
    <w:p w14:paraId="06D1BE49" w14:textId="77777777" w:rsidR="00E959A3" w:rsidRPr="00591D2C" w:rsidRDefault="00E959A3" w:rsidP="00E959A3">
      <w:pPr>
        <w:pStyle w:val="FootnoteText"/>
        <w:rPr>
          <w:szCs w:val="16"/>
        </w:rPr>
      </w:pPr>
      <w:r w:rsidRPr="00591D2C">
        <w:rPr>
          <w:rStyle w:val="FootnoteReference"/>
          <w:szCs w:val="16"/>
        </w:rPr>
        <w:footnoteRef/>
      </w:r>
      <w:r w:rsidRPr="00591D2C">
        <w:rPr>
          <w:szCs w:val="16"/>
        </w:rPr>
        <w:t xml:space="preserve"> Cancer Research UK. (2024). Voice Prosthesis after laryngectomy. https://www.cancerresearchuk.org/about-cancer/laryngeal-cancer/living-with/speaking-after-laryngectomy/voice-prosthesis</w:t>
      </w:r>
    </w:p>
  </w:footnote>
  <w:footnote w:id="89">
    <w:p w14:paraId="39D151A7" w14:textId="4EBF84D3" w:rsidR="00591D2C" w:rsidRPr="00591D2C" w:rsidRDefault="00591D2C">
      <w:pPr>
        <w:pStyle w:val="FootnoteText"/>
        <w:rPr>
          <w:szCs w:val="16"/>
        </w:rPr>
      </w:pPr>
      <w:r w:rsidRPr="00591D2C">
        <w:rPr>
          <w:rStyle w:val="FootnoteReference"/>
          <w:szCs w:val="16"/>
        </w:rPr>
        <w:footnoteRef/>
      </w:r>
      <w:r w:rsidRPr="00591D2C">
        <w:rPr>
          <w:szCs w:val="16"/>
        </w:rPr>
        <w:t xml:space="preserve"> Cancer Research UK. (2024). Voice Prosthesis after laryngectomy. https://www.cancerresearchuk.org/about-cancer/laryngeal-cancer/living-with/speaking-after-laryngectomy/voice-prosthesis</w:t>
      </w:r>
    </w:p>
  </w:footnote>
  <w:footnote w:id="90">
    <w:p w14:paraId="59BBB8EF" w14:textId="77777777" w:rsidR="007F20C0" w:rsidRDefault="007F20C0" w:rsidP="007F20C0">
      <w:pPr>
        <w:pStyle w:val="FootnoteText"/>
      </w:pPr>
      <w:r>
        <w:rPr>
          <w:rStyle w:val="FootnoteReference"/>
        </w:rPr>
        <w:footnoteRef/>
      </w:r>
      <w:r>
        <w:rPr>
          <w:szCs w:val="16"/>
        </w:rPr>
        <w:t xml:space="preserve"> </w:t>
      </w:r>
      <w:r w:rsidRPr="00515051">
        <w:rPr>
          <w:szCs w:val="16"/>
        </w:rPr>
        <w:t>The Department of Veterans Affairs</w:t>
      </w:r>
      <w:r>
        <w:rPr>
          <w:szCs w:val="16"/>
        </w:rPr>
        <w:t xml:space="preserve">. (2023). </w:t>
      </w:r>
      <w:r>
        <w:rPr>
          <w:i/>
          <w:iCs/>
          <w:szCs w:val="16"/>
        </w:rPr>
        <w:t>RAP National Schedule of Equipment</w:t>
      </w:r>
      <w:r>
        <w:rPr>
          <w:szCs w:val="16"/>
        </w:rPr>
        <w:t xml:space="preserve">. </w:t>
      </w:r>
      <w:r w:rsidRPr="008150C7">
        <w:rPr>
          <w:szCs w:val="16"/>
        </w:rPr>
        <w:t>https://www.dva.gov.au/sites/default/files/2023-06/RAPSchedule-June2023.pdf</w:t>
      </w:r>
      <w:r>
        <w:t xml:space="preserve"> </w:t>
      </w:r>
    </w:p>
  </w:footnote>
  <w:footnote w:id="91">
    <w:p w14:paraId="0F275C8E" w14:textId="77777777" w:rsidR="00393CBC" w:rsidRPr="00D674D4" w:rsidRDefault="00393CBC" w:rsidP="00393CBC">
      <w:pPr>
        <w:pStyle w:val="FootnoteText"/>
        <w:rPr>
          <w:szCs w:val="16"/>
        </w:rPr>
      </w:pPr>
      <w:r w:rsidRPr="00D674D4">
        <w:rPr>
          <w:rStyle w:val="FootnoteReference"/>
          <w:szCs w:val="16"/>
        </w:rPr>
        <w:footnoteRef/>
      </w:r>
      <w:r w:rsidRPr="00D674D4">
        <w:rPr>
          <w:szCs w:val="16"/>
        </w:rPr>
        <w:t xml:space="preserve"> The Department of Health, Disability and Ageing. (2025). </w:t>
      </w:r>
      <w:r w:rsidRPr="00D674D4">
        <w:rPr>
          <w:i/>
          <w:iCs/>
          <w:szCs w:val="16"/>
        </w:rPr>
        <w:t>Medical devices and human tissue products covered under private health insurance</w:t>
      </w:r>
      <w:r w:rsidRPr="00D674D4">
        <w:rPr>
          <w:szCs w:val="16"/>
        </w:rPr>
        <w:t>. https://www.health.gov.au/topics/private-health-insurance/what-private-health-insurance-covers/medical-devices-and-human-tissue-products-covered-under-private-health-insurance</w:t>
      </w:r>
    </w:p>
  </w:footnote>
  <w:footnote w:id="92">
    <w:p w14:paraId="6FE629AD" w14:textId="3275C858" w:rsidR="00404E0E" w:rsidRPr="00404E0E" w:rsidRDefault="00404E0E">
      <w:pPr>
        <w:pStyle w:val="FootnoteText"/>
        <w:rPr>
          <w:szCs w:val="16"/>
        </w:rPr>
      </w:pPr>
      <w:r>
        <w:rPr>
          <w:rStyle w:val="FootnoteReference"/>
        </w:rPr>
        <w:footnoteRef/>
      </w:r>
      <w:r>
        <w:t xml:space="preserve"> </w:t>
      </w:r>
      <w:r w:rsidRPr="00EB02D5">
        <w:rPr>
          <w:szCs w:val="16"/>
        </w:rPr>
        <w:t xml:space="preserve">State-wide equipment program. (2021). </w:t>
      </w:r>
      <w:r w:rsidRPr="00EB02D5">
        <w:rPr>
          <w:i/>
          <w:iCs/>
          <w:szCs w:val="16"/>
        </w:rPr>
        <w:t>Practitioner Manual for Electronic Voice Aids/Voice Prostheses and Laryngectomy Consumables</w:t>
      </w:r>
      <w:r w:rsidRPr="00EB02D5">
        <w:rPr>
          <w:szCs w:val="16"/>
        </w:rPr>
        <w:t>.</w:t>
      </w:r>
      <w:r w:rsidR="0053717E" w:rsidRPr="0053717E">
        <w:t xml:space="preserve"> </w:t>
      </w:r>
      <w:r w:rsidR="0053717E" w:rsidRPr="0053717E">
        <w:rPr>
          <w:szCs w:val="16"/>
        </w:rPr>
        <w:t>https://swep.bhs.org.au/precriber-manuals.php</w:t>
      </w:r>
    </w:p>
  </w:footnote>
  <w:footnote w:id="93">
    <w:p w14:paraId="6B467996" w14:textId="09D7C859" w:rsidR="00D24068" w:rsidRDefault="00D24068">
      <w:pPr>
        <w:pStyle w:val="FootnoteText"/>
      </w:pPr>
      <w:r>
        <w:rPr>
          <w:rStyle w:val="FootnoteReference"/>
        </w:rPr>
        <w:footnoteRef/>
      </w:r>
      <w:r>
        <w:t xml:space="preserve"> </w:t>
      </w:r>
      <w:proofErr w:type="spellStart"/>
      <w:r w:rsidRPr="00F33141">
        <w:rPr>
          <w:szCs w:val="16"/>
        </w:rPr>
        <w:t>EnableNSW</w:t>
      </w:r>
      <w:proofErr w:type="spellEnd"/>
      <w:r w:rsidRPr="00F33141">
        <w:rPr>
          <w:szCs w:val="16"/>
        </w:rPr>
        <w:t xml:space="preserve">. (2023). </w:t>
      </w:r>
      <w:r w:rsidRPr="00F33141">
        <w:rPr>
          <w:i/>
          <w:iCs/>
          <w:szCs w:val="16"/>
        </w:rPr>
        <w:t>Electrolarynx, voice Prosthesis and laryngectomy Consumables Funding Criteria</w:t>
      </w:r>
      <w:r w:rsidRPr="00F33141">
        <w:rPr>
          <w:szCs w:val="16"/>
        </w:rPr>
        <w:t>. https://www.enable.health.nsw.gov.au/__data/assets/pdf_file/0010/806959/Electrolarynx,-Voice-Prosthesis-and-Laryngectomy-Consumables-Funding-Criteria.pdf</w:t>
      </w:r>
    </w:p>
  </w:footnote>
  <w:footnote w:id="94">
    <w:p w14:paraId="527839FA" w14:textId="0915A03A" w:rsidR="00F17800" w:rsidRPr="000C39F6" w:rsidRDefault="00F17800">
      <w:pPr>
        <w:pStyle w:val="FootnoteText"/>
        <w:rPr>
          <w:szCs w:val="16"/>
        </w:rPr>
      </w:pPr>
      <w:r w:rsidRPr="000C39F6">
        <w:rPr>
          <w:rStyle w:val="FootnoteReference"/>
          <w:szCs w:val="16"/>
        </w:rPr>
        <w:footnoteRef/>
      </w:r>
      <w:r w:rsidRPr="000C39F6">
        <w:rPr>
          <w:szCs w:val="16"/>
        </w:rPr>
        <w:t xml:space="preserve"> </w:t>
      </w:r>
      <w:proofErr w:type="spellStart"/>
      <w:r w:rsidRPr="000C39F6">
        <w:rPr>
          <w:szCs w:val="16"/>
        </w:rPr>
        <w:t>Mainmed</w:t>
      </w:r>
      <w:proofErr w:type="spellEnd"/>
      <w:r w:rsidRPr="000C39F6">
        <w:rPr>
          <w:szCs w:val="16"/>
        </w:rPr>
        <w:t xml:space="preserve">. </w:t>
      </w:r>
      <w:r w:rsidR="000C39F6" w:rsidRPr="000C39F6">
        <w:rPr>
          <w:szCs w:val="16"/>
        </w:rPr>
        <w:t xml:space="preserve">(2025). </w:t>
      </w:r>
      <w:r w:rsidR="000C39F6" w:rsidRPr="000C39F6">
        <w:rPr>
          <w:i/>
          <w:iCs/>
          <w:szCs w:val="16"/>
        </w:rPr>
        <w:t>Funding supports</w:t>
      </w:r>
      <w:r w:rsidR="000C39F6" w:rsidRPr="000C39F6">
        <w:rPr>
          <w:szCs w:val="16"/>
        </w:rPr>
        <w:t>. https://mainmed.com.au/pages/funding-support</w:t>
      </w:r>
    </w:p>
  </w:footnote>
  <w:footnote w:id="95">
    <w:p w14:paraId="296FF82E" w14:textId="488AF866" w:rsidR="00513395" w:rsidRPr="00F33141" w:rsidRDefault="00513395">
      <w:pPr>
        <w:pStyle w:val="FootnoteText"/>
        <w:rPr>
          <w:szCs w:val="16"/>
        </w:rPr>
      </w:pPr>
      <w:r w:rsidRPr="00F33141">
        <w:rPr>
          <w:rStyle w:val="FootnoteReference"/>
          <w:szCs w:val="16"/>
        </w:rPr>
        <w:footnoteRef/>
      </w:r>
      <w:r w:rsidRPr="00F33141">
        <w:rPr>
          <w:szCs w:val="16"/>
        </w:rPr>
        <w:t xml:space="preserve"> </w:t>
      </w:r>
      <w:proofErr w:type="spellStart"/>
      <w:r w:rsidRPr="00F33141">
        <w:rPr>
          <w:szCs w:val="16"/>
        </w:rPr>
        <w:t>EnableNSW</w:t>
      </w:r>
      <w:proofErr w:type="spellEnd"/>
      <w:r w:rsidRPr="00F33141">
        <w:rPr>
          <w:szCs w:val="16"/>
        </w:rPr>
        <w:t xml:space="preserve">. (2023). </w:t>
      </w:r>
      <w:r w:rsidRPr="00F33141">
        <w:rPr>
          <w:i/>
          <w:iCs/>
          <w:szCs w:val="16"/>
        </w:rPr>
        <w:t>Electrolarynx, voice Prosthesis and laryngectomy Consumables Funding Criteria</w:t>
      </w:r>
      <w:r w:rsidRPr="00F33141">
        <w:rPr>
          <w:szCs w:val="16"/>
        </w:rPr>
        <w:t>. https://www.enable.health.nsw.gov.au/__data/assets/pdf_file/0010/806959/Electrolarynx,-Voice-Prosthesis-and-Laryngectomy-Consumables-Funding-Criteria.pdf</w:t>
      </w:r>
    </w:p>
  </w:footnote>
  <w:footnote w:id="96">
    <w:p w14:paraId="72BC436B" w14:textId="77777777" w:rsidR="00DD6C6D" w:rsidRPr="00194890" w:rsidRDefault="00DD6C6D" w:rsidP="00DD6C6D">
      <w:pPr>
        <w:pStyle w:val="FootnoteText"/>
        <w:rPr>
          <w:szCs w:val="16"/>
        </w:rPr>
      </w:pPr>
      <w:r w:rsidRPr="00194890">
        <w:rPr>
          <w:rStyle w:val="FootnoteReference"/>
          <w:szCs w:val="16"/>
        </w:rPr>
        <w:footnoteRef/>
      </w:r>
      <w:r w:rsidRPr="00194890">
        <w:rPr>
          <w:szCs w:val="16"/>
        </w:rPr>
        <w:t xml:space="preserve"> Queensland Health. (2025). </w:t>
      </w:r>
      <w:r w:rsidRPr="00194890">
        <w:rPr>
          <w:i/>
          <w:iCs/>
          <w:szCs w:val="16"/>
        </w:rPr>
        <w:t>Guidelines for Queensland HME Subsidy Scheme for Laryngectomy</w:t>
      </w:r>
      <w:r w:rsidRPr="00194890">
        <w:rPr>
          <w:szCs w:val="16"/>
        </w:rPr>
        <w:t>. https://www.health.qld.gov.au/__data/assets/pdf_file/0034/847717/MASS-QHSSL-Guidelines.pdf</w:t>
      </w:r>
    </w:p>
  </w:footnote>
  <w:footnote w:id="97">
    <w:p w14:paraId="5D9C3C04" w14:textId="16D06591" w:rsidR="00513395" w:rsidRPr="00EB02D5" w:rsidRDefault="00513395">
      <w:pPr>
        <w:pStyle w:val="FootnoteText"/>
        <w:rPr>
          <w:szCs w:val="16"/>
        </w:rPr>
      </w:pPr>
      <w:r w:rsidRPr="00EB02D5">
        <w:rPr>
          <w:rStyle w:val="FootnoteReference"/>
          <w:szCs w:val="16"/>
        </w:rPr>
        <w:footnoteRef/>
      </w:r>
      <w:r w:rsidRPr="00EB02D5">
        <w:rPr>
          <w:szCs w:val="16"/>
        </w:rPr>
        <w:t xml:space="preserve"> </w:t>
      </w:r>
      <w:r w:rsidR="0053717E" w:rsidRPr="00EB02D5">
        <w:rPr>
          <w:szCs w:val="16"/>
        </w:rPr>
        <w:t xml:space="preserve">State-wide equipment program. (2021). </w:t>
      </w:r>
      <w:r w:rsidR="0053717E" w:rsidRPr="00EB02D5">
        <w:rPr>
          <w:i/>
          <w:iCs/>
          <w:szCs w:val="16"/>
        </w:rPr>
        <w:t>Practitioner Manual for Electronic Voice Aids/Voice Prostheses and Laryngectomy Consumables</w:t>
      </w:r>
      <w:r w:rsidR="0053717E" w:rsidRPr="00EB02D5">
        <w:rPr>
          <w:szCs w:val="16"/>
        </w:rPr>
        <w:t>.</w:t>
      </w:r>
      <w:r w:rsidR="0053717E" w:rsidRPr="0053717E">
        <w:t xml:space="preserve"> </w:t>
      </w:r>
      <w:r w:rsidR="0053717E" w:rsidRPr="0053717E">
        <w:rPr>
          <w:szCs w:val="16"/>
        </w:rPr>
        <w:t>https://swep.bhs.org.au/precriber-manuals.php</w:t>
      </w:r>
    </w:p>
  </w:footnote>
  <w:footnote w:id="98">
    <w:p w14:paraId="1C07BA65" w14:textId="6C9E5419" w:rsidR="00D525C5" w:rsidRDefault="00D525C5">
      <w:pPr>
        <w:pStyle w:val="FootnoteText"/>
      </w:pPr>
      <w:r>
        <w:rPr>
          <w:rStyle w:val="FootnoteReference"/>
        </w:rPr>
        <w:footnoteRef/>
      </w:r>
      <w:r>
        <w:t xml:space="preserve"> </w:t>
      </w:r>
      <w:proofErr w:type="spellStart"/>
      <w:r w:rsidR="00DD6C6D" w:rsidRPr="000C39F6">
        <w:rPr>
          <w:szCs w:val="16"/>
        </w:rPr>
        <w:t>Mainmed</w:t>
      </w:r>
      <w:proofErr w:type="spellEnd"/>
      <w:r w:rsidR="00DD6C6D" w:rsidRPr="000C39F6">
        <w:rPr>
          <w:szCs w:val="16"/>
        </w:rPr>
        <w:t xml:space="preserve">. (2025). </w:t>
      </w:r>
      <w:r w:rsidR="00DD6C6D" w:rsidRPr="000C39F6">
        <w:rPr>
          <w:i/>
          <w:iCs/>
          <w:szCs w:val="16"/>
        </w:rPr>
        <w:t>Funding supports</w:t>
      </w:r>
      <w:r w:rsidR="00DD6C6D" w:rsidRPr="000C39F6">
        <w:rPr>
          <w:szCs w:val="16"/>
        </w:rPr>
        <w:t>. https://mainmed.com.au/pages/funding-support</w:t>
      </w:r>
    </w:p>
  </w:footnote>
  <w:footnote w:id="99">
    <w:p w14:paraId="055BABC0" w14:textId="477B4F7A" w:rsidR="00C73BE0" w:rsidRPr="00C73BE0" w:rsidRDefault="00C73BE0">
      <w:pPr>
        <w:pStyle w:val="FootnoteText"/>
        <w:rPr>
          <w:szCs w:val="16"/>
        </w:rPr>
      </w:pPr>
      <w:r w:rsidRPr="00C73BE0">
        <w:rPr>
          <w:rStyle w:val="FootnoteReference"/>
          <w:szCs w:val="16"/>
        </w:rPr>
        <w:footnoteRef/>
      </w:r>
      <w:r w:rsidRPr="00C73BE0">
        <w:rPr>
          <w:szCs w:val="16"/>
        </w:rPr>
        <w:t xml:space="preserve"> Cancer Council. (2025). </w:t>
      </w:r>
      <w:r w:rsidRPr="00C73BE0">
        <w:rPr>
          <w:i/>
          <w:iCs/>
          <w:szCs w:val="16"/>
        </w:rPr>
        <w:t>Types of prostate cancer</w:t>
      </w:r>
      <w:r w:rsidRPr="00C73BE0">
        <w:rPr>
          <w:szCs w:val="16"/>
        </w:rPr>
        <w:t>. https://www.cancer.org.au/cancer-information/types-of-cancer/prostate-cancer</w:t>
      </w:r>
    </w:p>
  </w:footnote>
  <w:footnote w:id="100">
    <w:p w14:paraId="58847046" w14:textId="4452CAC6" w:rsidR="008F4532" w:rsidRPr="008F4532" w:rsidRDefault="008F4532">
      <w:pPr>
        <w:pStyle w:val="FootnoteText"/>
        <w:rPr>
          <w:szCs w:val="16"/>
        </w:rPr>
      </w:pPr>
      <w:r w:rsidRPr="008F4532">
        <w:rPr>
          <w:rStyle w:val="FootnoteReference"/>
          <w:szCs w:val="16"/>
        </w:rPr>
        <w:footnoteRef/>
      </w:r>
      <w:r w:rsidRPr="008F4532">
        <w:rPr>
          <w:szCs w:val="16"/>
        </w:rPr>
        <w:t xml:space="preserve"> Medline Plus. (2024). </w:t>
      </w:r>
      <w:r w:rsidRPr="008F4532">
        <w:rPr>
          <w:i/>
          <w:iCs/>
          <w:szCs w:val="16"/>
        </w:rPr>
        <w:t>Vacuum erectile devices</w:t>
      </w:r>
      <w:r w:rsidRPr="008F4532">
        <w:rPr>
          <w:szCs w:val="16"/>
        </w:rPr>
        <w:t>. https://medlineplus.gov/ency/patientinstructions/000985.htm</w:t>
      </w:r>
    </w:p>
  </w:footnote>
  <w:footnote w:id="101">
    <w:p w14:paraId="0418A1AE" w14:textId="77777777" w:rsidR="008906BF" w:rsidRDefault="008906BF" w:rsidP="008906BF">
      <w:pPr>
        <w:pStyle w:val="FootnoteText"/>
      </w:pPr>
      <w:r>
        <w:rPr>
          <w:rStyle w:val="FootnoteReference"/>
        </w:rPr>
        <w:footnoteRef/>
      </w:r>
      <w:r>
        <w:rPr>
          <w:szCs w:val="16"/>
        </w:rPr>
        <w:t xml:space="preserve"> </w:t>
      </w:r>
      <w:r w:rsidRPr="00515051">
        <w:rPr>
          <w:szCs w:val="16"/>
        </w:rPr>
        <w:t>The Department of Veterans Affairs</w:t>
      </w:r>
      <w:r>
        <w:rPr>
          <w:szCs w:val="16"/>
        </w:rPr>
        <w:t xml:space="preserve">. (2023). </w:t>
      </w:r>
      <w:r>
        <w:rPr>
          <w:i/>
          <w:iCs/>
          <w:szCs w:val="16"/>
        </w:rPr>
        <w:t>RAP National Schedule of Equipment</w:t>
      </w:r>
      <w:r>
        <w:rPr>
          <w:szCs w:val="16"/>
        </w:rPr>
        <w:t xml:space="preserve">. </w:t>
      </w:r>
      <w:r w:rsidRPr="008150C7">
        <w:rPr>
          <w:szCs w:val="16"/>
        </w:rPr>
        <w:t>https://www.dva.gov.au/sites/default/files/2023-06/RAPSchedule-June2023.pdf</w:t>
      </w:r>
      <w:r>
        <w:t xml:space="preserve"> </w:t>
      </w:r>
    </w:p>
  </w:footnote>
  <w:footnote w:id="102">
    <w:p w14:paraId="4C24C2B7" w14:textId="77777777" w:rsidR="000B7721" w:rsidRPr="00D674D4" w:rsidRDefault="000B7721" w:rsidP="000B7721">
      <w:pPr>
        <w:pStyle w:val="FootnoteText"/>
        <w:rPr>
          <w:szCs w:val="16"/>
        </w:rPr>
      </w:pPr>
      <w:r w:rsidRPr="00D674D4">
        <w:rPr>
          <w:rStyle w:val="FootnoteReference"/>
          <w:szCs w:val="16"/>
        </w:rPr>
        <w:footnoteRef/>
      </w:r>
      <w:r w:rsidRPr="00D674D4">
        <w:rPr>
          <w:szCs w:val="16"/>
        </w:rPr>
        <w:t xml:space="preserve"> The Department of Health, Disability and Ageing. (2025). </w:t>
      </w:r>
      <w:r w:rsidRPr="00D674D4">
        <w:rPr>
          <w:i/>
          <w:iCs/>
          <w:szCs w:val="16"/>
        </w:rPr>
        <w:t>Medical devices and human tissue products covered under private health insurance</w:t>
      </w:r>
      <w:r w:rsidRPr="00D674D4">
        <w:rPr>
          <w:szCs w:val="16"/>
        </w:rPr>
        <w:t>. https://www.health.gov.au/topics/private-health-insurance/what-private-health-insurance-covers/medical-devices-and-human-tissue-products-covered-under-private-health-insurance</w:t>
      </w:r>
    </w:p>
  </w:footnote>
  <w:footnote w:id="103">
    <w:p w14:paraId="06D6E504" w14:textId="77777777" w:rsidR="00E959A3" w:rsidRPr="00F3213A" w:rsidRDefault="00E959A3" w:rsidP="00E959A3">
      <w:pPr>
        <w:pStyle w:val="FootnoteText"/>
        <w:rPr>
          <w:szCs w:val="16"/>
        </w:rPr>
      </w:pPr>
      <w:r w:rsidRPr="00F3213A">
        <w:rPr>
          <w:rStyle w:val="FootnoteReference"/>
          <w:szCs w:val="16"/>
        </w:rPr>
        <w:footnoteRef/>
      </w:r>
      <w:r w:rsidRPr="00F3213A">
        <w:rPr>
          <w:szCs w:val="16"/>
        </w:rPr>
        <w:t xml:space="preserve"> Head and Neck Cancer Australia. (n.d.). </w:t>
      </w:r>
      <w:r w:rsidRPr="00F3213A">
        <w:rPr>
          <w:i/>
          <w:iCs/>
          <w:szCs w:val="16"/>
        </w:rPr>
        <w:t>Facial Prosthesis</w:t>
      </w:r>
      <w:r w:rsidRPr="00F3213A">
        <w:rPr>
          <w:szCs w:val="16"/>
        </w:rPr>
        <w:t>. https://www.headandneckcancer.org.au/health-wellbeing/facial-prosthetics/</w:t>
      </w:r>
    </w:p>
  </w:footnote>
  <w:footnote w:id="104">
    <w:p w14:paraId="7D1C77A2" w14:textId="77777777" w:rsidR="00E959A3" w:rsidRDefault="00E959A3" w:rsidP="00E959A3">
      <w:pPr>
        <w:pStyle w:val="FootnoteText"/>
      </w:pPr>
      <w:r>
        <w:rPr>
          <w:rStyle w:val="FootnoteReference"/>
        </w:rPr>
        <w:footnoteRef/>
      </w:r>
      <w:r>
        <w:rPr>
          <w:szCs w:val="16"/>
        </w:rPr>
        <w:t xml:space="preserve"> </w:t>
      </w:r>
      <w:r w:rsidRPr="00515051">
        <w:rPr>
          <w:szCs w:val="16"/>
        </w:rPr>
        <w:t>The Department of Veterans Affairs</w:t>
      </w:r>
      <w:r>
        <w:rPr>
          <w:szCs w:val="16"/>
        </w:rPr>
        <w:t xml:space="preserve">. (2025). </w:t>
      </w:r>
      <w:r>
        <w:rPr>
          <w:i/>
          <w:iCs/>
          <w:szCs w:val="16"/>
        </w:rPr>
        <w:t>Fee Schedule of Dental Services for Dentists and Dental Specialists</w:t>
      </w:r>
      <w:r>
        <w:rPr>
          <w:szCs w:val="16"/>
        </w:rPr>
        <w:t xml:space="preserve">. </w:t>
      </w:r>
      <w:r w:rsidRPr="00F369BC">
        <w:rPr>
          <w:szCs w:val="16"/>
        </w:rPr>
        <w:t>https://www.dva.gov.au/sites/default/files/2025-01/dentalfees-1-jan-2025.pdf</w:t>
      </w:r>
      <w:r>
        <w:t xml:space="preserve"> </w:t>
      </w:r>
    </w:p>
  </w:footnote>
  <w:footnote w:id="105">
    <w:p w14:paraId="2BF71D9B" w14:textId="367B4F81" w:rsidR="00414F90" w:rsidRPr="006D49BB" w:rsidRDefault="00414F90">
      <w:pPr>
        <w:pStyle w:val="FootnoteText"/>
        <w:rPr>
          <w:szCs w:val="16"/>
        </w:rPr>
      </w:pPr>
      <w:r>
        <w:rPr>
          <w:rStyle w:val="FootnoteReference"/>
        </w:rPr>
        <w:footnoteRef/>
      </w:r>
      <w:r w:rsidR="00F613E8">
        <w:t xml:space="preserve"> </w:t>
      </w:r>
      <w:r w:rsidR="00F613E8" w:rsidRPr="00644CC6">
        <w:rPr>
          <w:szCs w:val="16"/>
        </w:rPr>
        <w:t xml:space="preserve">Government of Canada. (2025). About Canada's health care system. </w:t>
      </w:r>
      <w:r w:rsidR="00F613E8">
        <w:rPr>
          <w:szCs w:val="16"/>
        </w:rPr>
        <w:t>https://www.canada.ca/en/health-canada/services/canada-health-care-system.html</w:t>
      </w:r>
    </w:p>
  </w:footnote>
  <w:footnote w:id="106">
    <w:p w14:paraId="329C2C24" w14:textId="2485A799" w:rsidR="0051036B" w:rsidRDefault="0051036B">
      <w:pPr>
        <w:pStyle w:val="FootnoteText"/>
      </w:pPr>
      <w:r>
        <w:rPr>
          <w:rStyle w:val="FootnoteReference"/>
        </w:rPr>
        <w:footnoteRef/>
      </w:r>
      <w:r w:rsidR="00352D01">
        <w:t xml:space="preserve"> </w:t>
      </w:r>
      <w:r w:rsidR="00352D01">
        <w:rPr>
          <w:szCs w:val="16"/>
        </w:rPr>
        <w:t>The Commonwealth Fund. (2025). I</w:t>
      </w:r>
      <w:r w:rsidR="00352D01" w:rsidRPr="00A14800">
        <w:rPr>
          <w:szCs w:val="16"/>
        </w:rPr>
        <w:t>nternational Health Care System Profiles</w:t>
      </w:r>
      <w:r w:rsidR="00352D01">
        <w:rPr>
          <w:szCs w:val="16"/>
        </w:rPr>
        <w:t xml:space="preserve"> – </w:t>
      </w:r>
      <w:r w:rsidR="00352D01" w:rsidRPr="00A14800">
        <w:rPr>
          <w:szCs w:val="16"/>
        </w:rPr>
        <w:t>Netherlands. https://www.commonwealthfund.org/</w:t>
      </w:r>
      <w:r w:rsidR="00352D01">
        <w:rPr>
          <w:szCs w:val="16"/>
        </w:rPr>
        <w:t xml:space="preserve"> </w:t>
      </w:r>
      <w:r w:rsidR="00352D01" w:rsidRPr="00A14800">
        <w:rPr>
          <w:szCs w:val="16"/>
        </w:rPr>
        <w:t>international-health-policy-</w:t>
      </w:r>
      <w:proofErr w:type="spellStart"/>
      <w:r w:rsidR="00352D01" w:rsidRPr="00A14800">
        <w:rPr>
          <w:szCs w:val="16"/>
        </w:rPr>
        <w:t>center</w:t>
      </w:r>
      <w:proofErr w:type="spellEnd"/>
      <w:r w:rsidR="00352D01" w:rsidRPr="00A14800">
        <w:rPr>
          <w:szCs w:val="16"/>
        </w:rPr>
        <w:t>/countries/</w:t>
      </w:r>
      <w:proofErr w:type="spellStart"/>
      <w:r w:rsidR="00352D01" w:rsidRPr="00A14800">
        <w:rPr>
          <w:szCs w:val="16"/>
        </w:rPr>
        <w:t>netherlands</w:t>
      </w:r>
      <w:proofErr w:type="spellEnd"/>
      <w:r w:rsidR="00352D01">
        <w:rPr>
          <w:szCs w:val="16"/>
        </w:rPr>
        <w:t xml:space="preserve"> </w:t>
      </w:r>
    </w:p>
  </w:footnote>
  <w:footnote w:id="107">
    <w:p w14:paraId="601C8A54" w14:textId="0E426768" w:rsidR="003514FF" w:rsidRDefault="003514FF" w:rsidP="003514FF">
      <w:pPr>
        <w:pStyle w:val="FootnoteText"/>
      </w:pPr>
      <w:r>
        <w:rPr>
          <w:rStyle w:val="FootnoteReference"/>
        </w:rPr>
        <w:footnoteRef/>
      </w:r>
      <w:r w:rsidR="00F40216">
        <w:t xml:space="preserve"> </w:t>
      </w:r>
      <w:r w:rsidR="00F40216">
        <w:rPr>
          <w:szCs w:val="16"/>
        </w:rPr>
        <w:t>The Commonwealth Fund. (2025). I</w:t>
      </w:r>
      <w:r w:rsidR="00F40216" w:rsidRPr="00A14800">
        <w:rPr>
          <w:szCs w:val="16"/>
        </w:rPr>
        <w:t>nternational Health Care System Profiles</w:t>
      </w:r>
      <w:r w:rsidR="00F40216">
        <w:rPr>
          <w:szCs w:val="16"/>
        </w:rPr>
        <w:t xml:space="preserve"> – New Zealand</w:t>
      </w:r>
      <w:r w:rsidR="00F40216" w:rsidRPr="00A14800">
        <w:rPr>
          <w:szCs w:val="16"/>
        </w:rPr>
        <w:t>.</w:t>
      </w:r>
      <w:r w:rsidR="00F40216">
        <w:rPr>
          <w:szCs w:val="16"/>
        </w:rPr>
        <w:t xml:space="preserve"> </w:t>
      </w:r>
      <w:r w:rsidR="00F40216" w:rsidRPr="009F5A12">
        <w:rPr>
          <w:szCs w:val="16"/>
        </w:rPr>
        <w:t>https://www.commonwealthfund.org/</w:t>
      </w:r>
      <w:r w:rsidR="00F40216">
        <w:rPr>
          <w:szCs w:val="16"/>
        </w:rPr>
        <w:t xml:space="preserve"> </w:t>
      </w:r>
      <w:r w:rsidR="00F40216" w:rsidRPr="009F5A12">
        <w:rPr>
          <w:szCs w:val="16"/>
        </w:rPr>
        <w:t>international-health-policy-</w:t>
      </w:r>
      <w:proofErr w:type="spellStart"/>
      <w:r w:rsidR="00F40216" w:rsidRPr="009F5A12">
        <w:rPr>
          <w:szCs w:val="16"/>
        </w:rPr>
        <w:t>center</w:t>
      </w:r>
      <w:proofErr w:type="spellEnd"/>
      <w:r w:rsidR="00F40216" w:rsidRPr="009F5A12">
        <w:rPr>
          <w:szCs w:val="16"/>
        </w:rPr>
        <w:t>/countries/new-</w:t>
      </w:r>
      <w:proofErr w:type="spellStart"/>
      <w:r w:rsidR="00F40216" w:rsidRPr="009F5A12">
        <w:rPr>
          <w:szCs w:val="16"/>
        </w:rPr>
        <w:t>zealand</w:t>
      </w:r>
      <w:proofErr w:type="spellEnd"/>
    </w:p>
  </w:footnote>
  <w:footnote w:id="108">
    <w:p w14:paraId="41F3B233" w14:textId="77777777" w:rsidR="00F40216" w:rsidRDefault="00F40216" w:rsidP="00F40216">
      <w:pPr>
        <w:pStyle w:val="FootnoteText"/>
      </w:pPr>
      <w:r>
        <w:rPr>
          <w:rStyle w:val="FootnoteReference"/>
        </w:rPr>
        <w:footnoteRef/>
      </w:r>
      <w:r>
        <w:t xml:space="preserve"> </w:t>
      </w:r>
      <w:r>
        <w:rPr>
          <w:szCs w:val="16"/>
        </w:rPr>
        <w:t xml:space="preserve">Medical Council of New Zealand. (2025). </w:t>
      </w:r>
      <w:r w:rsidRPr="00F50E84">
        <w:rPr>
          <w:szCs w:val="16"/>
        </w:rPr>
        <w:t>Comparable health system criteria</w:t>
      </w:r>
      <w:r>
        <w:rPr>
          <w:szCs w:val="16"/>
        </w:rPr>
        <w:t xml:space="preserve">. </w:t>
      </w:r>
      <w:r w:rsidRPr="00F50E84">
        <w:rPr>
          <w:szCs w:val="16"/>
        </w:rPr>
        <w:t>https://www.mcnz.org.nz/registration/getting-registered/registration-policy/comparable-health-system-criteria/</w:t>
      </w:r>
      <w:r>
        <w:t xml:space="preserve"> </w:t>
      </w:r>
    </w:p>
  </w:footnote>
  <w:footnote w:id="109">
    <w:p w14:paraId="4CFAD048" w14:textId="77777777" w:rsidR="00D72805" w:rsidRPr="00AB4046" w:rsidRDefault="00D72805" w:rsidP="00D72805">
      <w:pPr>
        <w:pStyle w:val="FootnoteText"/>
        <w:rPr>
          <w:lang w:val="en-US"/>
        </w:rPr>
      </w:pPr>
      <w:r>
        <w:rPr>
          <w:rStyle w:val="FootnoteReference"/>
        </w:rPr>
        <w:footnoteRef/>
      </w:r>
      <w:r>
        <w:t xml:space="preserve"> </w:t>
      </w:r>
      <w:r w:rsidRPr="008B574F">
        <w:rPr>
          <w:szCs w:val="16"/>
        </w:rPr>
        <w:t xml:space="preserve">The Commonwealth Fund. (2025). </w:t>
      </w:r>
      <w:r>
        <w:rPr>
          <w:szCs w:val="16"/>
        </w:rPr>
        <w:t>I</w:t>
      </w:r>
      <w:r w:rsidRPr="00A14800">
        <w:rPr>
          <w:szCs w:val="16"/>
        </w:rPr>
        <w:t>nternational Health Care System Profiles</w:t>
      </w:r>
      <w:r>
        <w:rPr>
          <w:szCs w:val="16"/>
        </w:rPr>
        <w:t xml:space="preserve"> – England</w:t>
      </w:r>
      <w:r w:rsidRPr="00A14800">
        <w:rPr>
          <w:szCs w:val="16"/>
        </w:rPr>
        <w:t>.</w:t>
      </w:r>
      <w:r>
        <w:rPr>
          <w:szCs w:val="16"/>
        </w:rPr>
        <w:t xml:space="preserve"> </w:t>
      </w:r>
      <w:r w:rsidRPr="008B574F">
        <w:rPr>
          <w:szCs w:val="16"/>
        </w:rPr>
        <w:t>https://www.commonwealthfund.org/international-health-policy-center/countries/england</w:t>
      </w:r>
    </w:p>
  </w:footnote>
  <w:footnote w:id="110">
    <w:p w14:paraId="31AEAF50" w14:textId="77777777" w:rsidR="00363653" w:rsidRDefault="00363653" w:rsidP="00363653">
      <w:pPr>
        <w:pStyle w:val="FootnoteText"/>
      </w:pPr>
      <w:r>
        <w:rPr>
          <w:rStyle w:val="FootnoteReference"/>
        </w:rPr>
        <w:footnoteRef/>
      </w:r>
      <w:r>
        <w:t xml:space="preserve"> </w:t>
      </w:r>
      <w:r w:rsidRPr="00D117D3">
        <w:rPr>
          <w:szCs w:val="16"/>
        </w:rPr>
        <w:t>King’s College Hospital NHS Foundation Trust. (2024). Maxillofacial prosthetics and reconstruction. https://www.kch.nhs.uk/services/services-a-to-z/maxillofacial-prosthetics-and-reconstruction/</w:t>
      </w:r>
    </w:p>
  </w:footnote>
  <w:footnote w:id="111">
    <w:p w14:paraId="15884EEE" w14:textId="77777777" w:rsidR="00363653" w:rsidRPr="00C45F79" w:rsidRDefault="00363653" w:rsidP="00363653">
      <w:pPr>
        <w:pStyle w:val="FootnoteText"/>
        <w:rPr>
          <w:szCs w:val="16"/>
        </w:rPr>
      </w:pPr>
      <w:r>
        <w:rPr>
          <w:rStyle w:val="FootnoteReference"/>
        </w:rPr>
        <w:footnoteRef/>
      </w:r>
      <w:r>
        <w:t xml:space="preserve"> </w:t>
      </w:r>
      <w:r w:rsidRPr="0036548A">
        <w:rPr>
          <w:szCs w:val="16"/>
        </w:rPr>
        <w:t>Government of Ontario. (n.d.). Application for Funding Maxillofacial Extraoral Prostheses. https://www.ontario.ca</w:t>
      </w:r>
    </w:p>
  </w:footnote>
  <w:footnote w:id="112">
    <w:p w14:paraId="2948C326" w14:textId="77777777" w:rsidR="00363653" w:rsidRDefault="00363653" w:rsidP="00363653">
      <w:pPr>
        <w:pStyle w:val="FootnoteText"/>
      </w:pPr>
      <w:r>
        <w:rPr>
          <w:rStyle w:val="FootnoteReference"/>
        </w:rPr>
        <w:footnoteRef/>
      </w:r>
      <w:r>
        <w:t xml:space="preserve"> </w:t>
      </w:r>
      <w:r w:rsidRPr="00C25729">
        <w:rPr>
          <w:szCs w:val="16"/>
        </w:rPr>
        <w:t>Head and Neck Cancer Australia. (2024). Cancer patients wait for facial prosthetics funding ahead of election. https://www.headandneckcancer.org.au</w:t>
      </w:r>
    </w:p>
  </w:footnote>
  <w:footnote w:id="113">
    <w:p w14:paraId="6773559B" w14:textId="77777777" w:rsidR="00363653" w:rsidRPr="00AB464E" w:rsidRDefault="00363653" w:rsidP="00363653">
      <w:pPr>
        <w:pStyle w:val="FootnoteText"/>
        <w:rPr>
          <w:szCs w:val="16"/>
        </w:rPr>
      </w:pPr>
      <w:r>
        <w:rPr>
          <w:rStyle w:val="FootnoteReference"/>
        </w:rPr>
        <w:footnoteRef/>
      </w:r>
      <w:r>
        <w:t xml:space="preserve"> </w:t>
      </w:r>
      <w:r w:rsidRPr="0036548A">
        <w:rPr>
          <w:szCs w:val="16"/>
        </w:rPr>
        <w:t>Government of Ontario. (n.d.). Application for Funding Maxillofacial Extraoral Prostheses. https://www.ontario.ca</w:t>
      </w:r>
    </w:p>
  </w:footnote>
  <w:footnote w:id="114">
    <w:p w14:paraId="4EA7FC1E" w14:textId="63B8B078" w:rsidR="00363653" w:rsidRDefault="00363653" w:rsidP="00363653">
      <w:pPr>
        <w:pStyle w:val="FootnoteText"/>
      </w:pPr>
      <w:r>
        <w:rPr>
          <w:rStyle w:val="FootnoteReference"/>
        </w:rPr>
        <w:footnoteRef/>
      </w:r>
      <w:r>
        <w:t xml:space="preserve"> </w:t>
      </w:r>
      <w:r w:rsidR="0061623E">
        <w:rPr>
          <w:szCs w:val="16"/>
        </w:rPr>
        <w:t xml:space="preserve">Antoni Van Leeuwenhoek. (n.d.). Facial Prosthetics. </w:t>
      </w:r>
      <w:r w:rsidR="0061623E" w:rsidRPr="003A418A">
        <w:rPr>
          <w:szCs w:val="16"/>
        </w:rPr>
        <w:t>https://www.avl.nl/en/preparing-for-your-appointment/departments-and-centers/facial-prosthetics/</w:t>
      </w:r>
    </w:p>
  </w:footnote>
  <w:footnote w:id="115">
    <w:p w14:paraId="1D7FD874" w14:textId="0FFFDC4B" w:rsidR="00363653" w:rsidRPr="009D4CA4" w:rsidRDefault="00363653" w:rsidP="00363653">
      <w:pPr>
        <w:pStyle w:val="FootnoteText"/>
        <w:rPr>
          <w:szCs w:val="16"/>
        </w:rPr>
      </w:pPr>
      <w:r>
        <w:rPr>
          <w:rStyle w:val="FootnoteReference"/>
        </w:rPr>
        <w:footnoteRef/>
      </w:r>
      <w:r>
        <w:t xml:space="preserve"> </w:t>
      </w:r>
      <w:r w:rsidR="007A1243">
        <w:rPr>
          <w:szCs w:val="16"/>
        </w:rPr>
        <w:t xml:space="preserve">NZ Prosthetic Eye Service. (n.d.). </w:t>
      </w:r>
      <w:r w:rsidR="007A1243" w:rsidRPr="0064169B">
        <w:rPr>
          <w:szCs w:val="16"/>
        </w:rPr>
        <w:t>Services Introduction</w:t>
      </w:r>
      <w:r w:rsidR="007A1243">
        <w:rPr>
          <w:szCs w:val="16"/>
        </w:rPr>
        <w:t xml:space="preserve">. </w:t>
      </w:r>
      <w:r w:rsidR="007A1243" w:rsidRPr="0064169B">
        <w:rPr>
          <w:szCs w:val="16"/>
        </w:rPr>
        <w:t>https://www.prosthetic-eyes.co.nz/services-introduction/</w:t>
      </w:r>
    </w:p>
  </w:footnote>
  <w:footnote w:id="116">
    <w:p w14:paraId="4C9F8D8A" w14:textId="77777777" w:rsidR="00363653" w:rsidRPr="009D4CA4" w:rsidRDefault="00363653" w:rsidP="00363653">
      <w:pPr>
        <w:spacing w:before="0" w:after="0"/>
        <w:rPr>
          <w:sz w:val="16"/>
          <w:szCs w:val="16"/>
        </w:rPr>
      </w:pPr>
      <w:r>
        <w:rPr>
          <w:rStyle w:val="FootnoteReference"/>
        </w:rPr>
        <w:footnoteRef/>
      </w:r>
      <w:r>
        <w:t xml:space="preserve"> </w:t>
      </w:r>
      <w:r w:rsidRPr="00D117D3">
        <w:rPr>
          <w:sz w:val="16"/>
          <w:szCs w:val="16"/>
        </w:rPr>
        <w:t>King’s College Hospital NHS Foundation Trust. (2024). Maxillofacial prosthetics and reconstruction. https://www.kch.nhs.uk/services/services-a-to-z/maxillofacial-prosthetics-and-reconstruction/</w:t>
      </w:r>
    </w:p>
  </w:footnote>
  <w:footnote w:id="117">
    <w:p w14:paraId="1F6E207C" w14:textId="21701D8A" w:rsidR="00B423D6" w:rsidRDefault="00B423D6">
      <w:pPr>
        <w:pStyle w:val="FootnoteText"/>
      </w:pPr>
      <w:r>
        <w:rPr>
          <w:rStyle w:val="FootnoteReference"/>
        </w:rPr>
        <w:footnoteRef/>
      </w:r>
      <w:r>
        <w:t xml:space="preserve"> </w:t>
      </w:r>
      <w:proofErr w:type="spellStart"/>
      <w:r w:rsidRPr="00AB464E">
        <w:rPr>
          <w:szCs w:val="16"/>
        </w:rPr>
        <w:t>HollandZorg</w:t>
      </w:r>
      <w:proofErr w:type="spellEnd"/>
      <w:r w:rsidRPr="00AB464E">
        <w:rPr>
          <w:szCs w:val="16"/>
        </w:rPr>
        <w:t>. (2025). Reimbursements breast prosthesis. https://www.hollandzorg.com/insured/reimbursements2025/breast-prosthesis</w:t>
      </w:r>
    </w:p>
  </w:footnote>
  <w:footnote w:id="118">
    <w:p w14:paraId="2B57B2FB" w14:textId="4C55B6F5" w:rsidR="007C7176" w:rsidRPr="00086BA5" w:rsidRDefault="007C7176">
      <w:pPr>
        <w:pStyle w:val="FootnoteText"/>
        <w:rPr>
          <w:szCs w:val="16"/>
        </w:rPr>
      </w:pPr>
      <w:r>
        <w:rPr>
          <w:rStyle w:val="FootnoteReference"/>
        </w:rPr>
        <w:footnoteRef/>
      </w:r>
      <w:r>
        <w:t xml:space="preserve"> </w:t>
      </w:r>
      <w:r w:rsidRPr="009D4CA4">
        <w:rPr>
          <w:szCs w:val="16"/>
        </w:rPr>
        <w:t>Health New Zealand. (2022). Breast prosthesis subsidy. https://www.tewhatuora.govt.nz/for-health-providers/claims-provider-payments-and-entitlements/breast-prosthesis-subsidy</w:t>
      </w:r>
    </w:p>
  </w:footnote>
  <w:footnote w:id="119">
    <w:p w14:paraId="59EA8D62" w14:textId="5A51EDF5" w:rsidR="007C7176" w:rsidRDefault="007C7176">
      <w:pPr>
        <w:pStyle w:val="FootnoteText"/>
      </w:pPr>
      <w:r>
        <w:rPr>
          <w:rStyle w:val="FootnoteReference"/>
        </w:rPr>
        <w:footnoteRef/>
      </w:r>
      <w:r>
        <w:t xml:space="preserve"> </w:t>
      </w:r>
      <w:r w:rsidR="00086BA5" w:rsidRPr="00AB464E">
        <w:rPr>
          <w:szCs w:val="16"/>
        </w:rPr>
        <w:t>Government of Ontario. (n.d.). Breast prostheses and artificial limbs. https://www.ontario.ca/page/breast-prostheses-and-artificial-limbs</w:t>
      </w:r>
    </w:p>
  </w:footnote>
  <w:footnote w:id="120">
    <w:p w14:paraId="7CB4D194" w14:textId="77777777" w:rsidR="00927649" w:rsidRDefault="00927649" w:rsidP="00927649">
      <w:pPr>
        <w:pStyle w:val="FootnoteText"/>
      </w:pPr>
      <w:r>
        <w:rPr>
          <w:rStyle w:val="FootnoteReference"/>
        </w:rPr>
        <w:footnoteRef/>
      </w:r>
      <w:r>
        <w:t xml:space="preserve"> </w:t>
      </w:r>
      <w:r w:rsidRPr="003B079C">
        <w:rPr>
          <w:szCs w:val="16"/>
        </w:rPr>
        <w:t>Australian Government Department of Health and Aged Care. (2023). National External Breast Prostheses Reimbursement Program. https://www.health.gov.au/our-work/national-external-breast-prostheses-reimbursement-program</w:t>
      </w:r>
    </w:p>
  </w:footnote>
  <w:footnote w:id="121">
    <w:p w14:paraId="1BE75BB5" w14:textId="77777777" w:rsidR="00D87E5B" w:rsidRPr="00AB464E" w:rsidRDefault="00D87E5B" w:rsidP="00927649">
      <w:pPr>
        <w:pStyle w:val="FootnoteText"/>
        <w:rPr>
          <w:szCs w:val="16"/>
        </w:rPr>
      </w:pPr>
      <w:r>
        <w:rPr>
          <w:rStyle w:val="FootnoteReference"/>
        </w:rPr>
        <w:footnoteRef/>
      </w:r>
      <w:r>
        <w:t xml:space="preserve"> </w:t>
      </w:r>
      <w:r w:rsidRPr="00AB464E">
        <w:rPr>
          <w:szCs w:val="16"/>
        </w:rPr>
        <w:t>Government of Ontario. (n.d.). Breast prostheses and artificial limbs. https://www.ontario.ca/page/breast-prostheses-and-artificial-limbs</w:t>
      </w:r>
    </w:p>
  </w:footnote>
  <w:footnote w:id="122">
    <w:p w14:paraId="4013E005" w14:textId="77777777" w:rsidR="00927649" w:rsidRDefault="00927649" w:rsidP="00927649">
      <w:pPr>
        <w:pStyle w:val="FootnoteText"/>
      </w:pPr>
      <w:r>
        <w:rPr>
          <w:rStyle w:val="FootnoteReference"/>
        </w:rPr>
        <w:footnoteRef/>
      </w:r>
      <w:r>
        <w:t xml:space="preserve"> </w:t>
      </w:r>
      <w:proofErr w:type="spellStart"/>
      <w:r w:rsidRPr="00AB464E">
        <w:rPr>
          <w:szCs w:val="16"/>
        </w:rPr>
        <w:t>HollandZorg</w:t>
      </w:r>
      <w:proofErr w:type="spellEnd"/>
      <w:r w:rsidRPr="00AB464E">
        <w:rPr>
          <w:szCs w:val="16"/>
        </w:rPr>
        <w:t>. (2025). Reimbursements breast prosthesis. https://www.hollandzorg.com/insured/reimbursements2025/breast-prosthesis</w:t>
      </w:r>
    </w:p>
  </w:footnote>
  <w:footnote w:id="123">
    <w:p w14:paraId="61FE4311" w14:textId="77777777" w:rsidR="00927649" w:rsidRPr="009D4CA4" w:rsidRDefault="00927649" w:rsidP="00927649">
      <w:pPr>
        <w:pStyle w:val="FootnoteText"/>
        <w:rPr>
          <w:szCs w:val="16"/>
        </w:rPr>
      </w:pPr>
      <w:r>
        <w:rPr>
          <w:rStyle w:val="FootnoteReference"/>
        </w:rPr>
        <w:footnoteRef/>
      </w:r>
      <w:r>
        <w:t xml:space="preserve"> </w:t>
      </w:r>
      <w:r w:rsidRPr="009D4CA4">
        <w:rPr>
          <w:szCs w:val="16"/>
        </w:rPr>
        <w:t>Health New Zealand. (2022). Breast prosthesis subsidy. https://www.tewhatuora.govt.nz/for-health-providers/claims-provider-payments-and-entitlements/breast-prosthesis-subsidy</w:t>
      </w:r>
    </w:p>
  </w:footnote>
  <w:footnote w:id="124">
    <w:p w14:paraId="72CE72E7" w14:textId="77777777" w:rsidR="00D87E5B" w:rsidRPr="009D4CA4" w:rsidRDefault="00D87E5B" w:rsidP="00927649">
      <w:pPr>
        <w:pStyle w:val="FootnoteText"/>
        <w:rPr>
          <w:szCs w:val="16"/>
        </w:rPr>
      </w:pPr>
      <w:r>
        <w:rPr>
          <w:rStyle w:val="FootnoteReference"/>
        </w:rPr>
        <w:footnoteRef/>
      </w:r>
      <w:r>
        <w:t xml:space="preserve"> </w:t>
      </w:r>
      <w:r w:rsidRPr="009D4CA4">
        <w:rPr>
          <w:szCs w:val="16"/>
        </w:rPr>
        <w:t>NHS Supply Chain. (n.d.). External breast prosthesis and chest support.</w:t>
      </w:r>
      <w:r w:rsidRPr="009D4CA4">
        <w:t xml:space="preserve"> </w:t>
      </w:r>
      <w:r w:rsidRPr="009D4CA4">
        <w:rPr>
          <w:szCs w:val="16"/>
        </w:rPr>
        <w:t>https://www.supplychain.nhs.uk/product-information/contract-launch-brief/external-breast-prostheses-and-associated-products/</w:t>
      </w:r>
    </w:p>
  </w:footnote>
  <w:footnote w:id="125">
    <w:p w14:paraId="475FE997" w14:textId="07F6C418" w:rsidR="00100719" w:rsidRPr="00100719" w:rsidRDefault="00100719" w:rsidP="00100719">
      <w:pPr>
        <w:pStyle w:val="FootnoteText"/>
        <w:spacing w:line="160" w:lineRule="exact"/>
        <w:rPr>
          <w:szCs w:val="16"/>
        </w:rPr>
      </w:pPr>
      <w:r>
        <w:rPr>
          <w:rStyle w:val="FootnoteReference"/>
        </w:rPr>
        <w:footnoteRef/>
      </w:r>
      <w:r>
        <w:t xml:space="preserve"> </w:t>
      </w:r>
      <w:r w:rsidRPr="00AB464E">
        <w:rPr>
          <w:szCs w:val="16"/>
        </w:rPr>
        <w:t xml:space="preserve">Government of </w:t>
      </w:r>
      <w:r w:rsidRPr="00DB6830">
        <w:rPr>
          <w:szCs w:val="16"/>
        </w:rPr>
        <w:t>Nova Scotia.</w:t>
      </w:r>
      <w:r w:rsidRPr="00AB464E">
        <w:rPr>
          <w:szCs w:val="16"/>
        </w:rPr>
        <w:t xml:space="preserve"> (n.d.). </w:t>
      </w:r>
      <w:r w:rsidRPr="00DB6830">
        <w:rPr>
          <w:szCs w:val="16"/>
        </w:rPr>
        <w:t>Arm and Leg Prosthesis Program. https://novascotia.ca/dhw/arm-and-Leg-prostheses-program/</w:t>
      </w:r>
    </w:p>
  </w:footnote>
  <w:footnote w:id="126">
    <w:p w14:paraId="58FB254E" w14:textId="32B61CB8" w:rsidR="00AA3A16" w:rsidRPr="00AA3A16" w:rsidRDefault="00AA3A16">
      <w:pPr>
        <w:pStyle w:val="FootnoteText"/>
        <w:rPr>
          <w:lang w:val="en-US"/>
        </w:rPr>
      </w:pPr>
      <w:r>
        <w:rPr>
          <w:rStyle w:val="FootnoteReference"/>
        </w:rPr>
        <w:footnoteRef/>
      </w:r>
      <w:r>
        <w:t xml:space="preserve"> </w:t>
      </w:r>
      <w:proofErr w:type="spellStart"/>
      <w:r>
        <w:rPr>
          <w:szCs w:val="16"/>
        </w:rPr>
        <w:t>Geertzen</w:t>
      </w:r>
      <w:proofErr w:type="spellEnd"/>
      <w:r w:rsidRPr="00B219BF">
        <w:rPr>
          <w:szCs w:val="16"/>
        </w:rPr>
        <w:t xml:space="preserve">, </w:t>
      </w:r>
      <w:r>
        <w:rPr>
          <w:szCs w:val="16"/>
        </w:rPr>
        <w:t>J</w:t>
      </w:r>
      <w:r w:rsidRPr="00B219BF">
        <w:rPr>
          <w:szCs w:val="16"/>
        </w:rPr>
        <w:t>., et al. (201</w:t>
      </w:r>
      <w:r>
        <w:rPr>
          <w:szCs w:val="16"/>
        </w:rPr>
        <w:t>5</w:t>
      </w:r>
      <w:r w:rsidRPr="00B219BF">
        <w:rPr>
          <w:szCs w:val="16"/>
        </w:rPr>
        <w:t>). Dutch evidence-based guidelines for amputation and prosthetics of the lower extremity: Rehabilitation process and prosthetics.</w:t>
      </w:r>
      <w:r>
        <w:rPr>
          <w:szCs w:val="16"/>
        </w:rPr>
        <w:t xml:space="preserve"> Part 2.</w:t>
      </w:r>
      <w:r w:rsidRPr="00B219BF">
        <w:rPr>
          <w:szCs w:val="16"/>
        </w:rPr>
        <w:t xml:space="preserve"> Prosthetics and Orthotics International, 3</w:t>
      </w:r>
      <w:r>
        <w:rPr>
          <w:szCs w:val="16"/>
        </w:rPr>
        <w:t>9</w:t>
      </w:r>
      <w:r w:rsidRPr="00B219BF">
        <w:rPr>
          <w:szCs w:val="16"/>
        </w:rPr>
        <w:t xml:space="preserve">(5), </w:t>
      </w:r>
      <w:r>
        <w:rPr>
          <w:szCs w:val="16"/>
        </w:rPr>
        <w:t>361</w:t>
      </w:r>
      <w:r w:rsidRPr="00B219BF">
        <w:rPr>
          <w:szCs w:val="16"/>
        </w:rPr>
        <w:t>–</w:t>
      </w:r>
      <w:r>
        <w:rPr>
          <w:szCs w:val="16"/>
        </w:rPr>
        <w:t>371</w:t>
      </w:r>
      <w:r w:rsidRPr="00B219BF">
        <w:rPr>
          <w:szCs w:val="16"/>
        </w:rPr>
        <w:t>. https://journals.sagepub.com/doi/pdf/10.1177/0309</w:t>
      </w:r>
      <w:r>
        <w:rPr>
          <w:szCs w:val="16"/>
        </w:rPr>
        <w:t xml:space="preserve"> </w:t>
      </w:r>
      <w:r w:rsidRPr="00B219BF">
        <w:rPr>
          <w:szCs w:val="16"/>
        </w:rPr>
        <w:t>364614542725</w:t>
      </w:r>
    </w:p>
  </w:footnote>
  <w:footnote w:id="127">
    <w:p w14:paraId="79E7CDD5" w14:textId="4A84AC03" w:rsidR="00100719" w:rsidRDefault="00100719">
      <w:pPr>
        <w:pStyle w:val="FootnoteText"/>
      </w:pPr>
      <w:r>
        <w:rPr>
          <w:rStyle w:val="FootnoteReference"/>
        </w:rPr>
        <w:footnoteRef/>
      </w:r>
      <w:r>
        <w:t xml:space="preserve"> </w:t>
      </w:r>
      <w:r w:rsidR="001B4D33" w:rsidRPr="00B466AB">
        <w:rPr>
          <w:szCs w:val="16"/>
        </w:rPr>
        <w:t xml:space="preserve">Amputee Care </w:t>
      </w:r>
      <w:proofErr w:type="spellStart"/>
      <w:r w:rsidR="001B4D33" w:rsidRPr="00B466AB">
        <w:rPr>
          <w:szCs w:val="16"/>
        </w:rPr>
        <w:t>Center</w:t>
      </w:r>
      <w:proofErr w:type="spellEnd"/>
      <w:r w:rsidR="001B4D33" w:rsidRPr="00B466AB">
        <w:rPr>
          <w:szCs w:val="16"/>
        </w:rPr>
        <w:t>. (n.d.)., Applying for prosthesis reimbursement from Dutch health insurance. https://amputeecarecenter.com/en/blog/applying-for-prosthesis-reimbursement-from-dutch-health-insurance</w:t>
      </w:r>
    </w:p>
  </w:footnote>
  <w:footnote w:id="128">
    <w:p w14:paraId="3A6F61B1" w14:textId="1C058770" w:rsidR="000277BF" w:rsidRPr="00696231" w:rsidRDefault="000277BF">
      <w:pPr>
        <w:pStyle w:val="FootnoteText"/>
        <w:rPr>
          <w:szCs w:val="16"/>
        </w:rPr>
      </w:pPr>
      <w:r w:rsidRPr="00696231">
        <w:rPr>
          <w:rStyle w:val="FootnoteReference"/>
          <w:szCs w:val="16"/>
        </w:rPr>
        <w:footnoteRef/>
      </w:r>
      <w:r w:rsidRPr="00696231">
        <w:rPr>
          <w:szCs w:val="16"/>
        </w:rPr>
        <w:t xml:space="preserve"> </w:t>
      </w:r>
      <w:r w:rsidR="00696231" w:rsidRPr="00696231">
        <w:rPr>
          <w:szCs w:val="16"/>
        </w:rPr>
        <w:t>Limbs4Life. (2020). A new National Disability Strategy. Submission: Stage 2 consultations. https://www.limbs4life.org.au/uploads/banner/National-Disability-Strategy-Submission-Limbs-4-Life-OCT-2020.pdf</w:t>
      </w:r>
    </w:p>
  </w:footnote>
  <w:footnote w:id="129">
    <w:p w14:paraId="4923B6B7" w14:textId="01D2C5B0" w:rsidR="00584D44" w:rsidRPr="00A441EF" w:rsidRDefault="00584D44" w:rsidP="00A441EF">
      <w:pPr>
        <w:pStyle w:val="FootnoteText"/>
        <w:spacing w:line="160" w:lineRule="exact"/>
        <w:rPr>
          <w:szCs w:val="16"/>
        </w:rPr>
      </w:pPr>
      <w:r>
        <w:rPr>
          <w:rStyle w:val="FootnoteReference"/>
        </w:rPr>
        <w:footnoteRef/>
      </w:r>
      <w:r>
        <w:t xml:space="preserve"> </w:t>
      </w:r>
      <w:r w:rsidRPr="00B219BF">
        <w:rPr>
          <w:szCs w:val="16"/>
        </w:rPr>
        <w:t>New Zealand Parliament. (2018). Artificial Limb Service Act 2018. https://www.legislation.govt.nz/act/public/2018/0034/8.0/whole.html</w:t>
      </w:r>
    </w:p>
  </w:footnote>
  <w:footnote w:id="130">
    <w:p w14:paraId="7CFE92A2" w14:textId="1F71C6BF" w:rsidR="009426FC" w:rsidRDefault="009426FC" w:rsidP="007965AC">
      <w:pPr>
        <w:pStyle w:val="FootnoteText"/>
        <w:spacing w:line="160" w:lineRule="exact"/>
      </w:pPr>
      <w:r>
        <w:rPr>
          <w:rStyle w:val="FootnoteReference"/>
        </w:rPr>
        <w:footnoteRef/>
      </w:r>
      <w:r w:rsidR="00D87E5B">
        <w:t xml:space="preserve"> </w:t>
      </w:r>
      <w:r w:rsidR="00DB6830" w:rsidRPr="00DB6830">
        <w:rPr>
          <w:szCs w:val="16"/>
        </w:rPr>
        <w:t>Limbs 4 Life. (n.d.). State and Territory Artificial Limb Schemes. https://www.limbs4life.org.au/funding/artificial-limb-schemes</w:t>
      </w:r>
    </w:p>
  </w:footnote>
  <w:footnote w:id="131">
    <w:p w14:paraId="4D4C504E" w14:textId="30717AD2" w:rsidR="009426FC" w:rsidRPr="00AB464E" w:rsidRDefault="009426FC" w:rsidP="007965AC">
      <w:pPr>
        <w:pStyle w:val="FootnoteText"/>
        <w:spacing w:line="160" w:lineRule="exact"/>
        <w:rPr>
          <w:szCs w:val="16"/>
        </w:rPr>
      </w:pPr>
      <w:r>
        <w:rPr>
          <w:rStyle w:val="FootnoteReference"/>
        </w:rPr>
        <w:footnoteRef/>
      </w:r>
      <w:r>
        <w:t xml:space="preserve"> </w:t>
      </w:r>
      <w:r w:rsidRPr="00AB464E">
        <w:rPr>
          <w:szCs w:val="16"/>
        </w:rPr>
        <w:t xml:space="preserve">Government of </w:t>
      </w:r>
      <w:r w:rsidR="00DB6830" w:rsidRPr="00DB6830">
        <w:rPr>
          <w:szCs w:val="16"/>
        </w:rPr>
        <w:t>Nova Scotia.</w:t>
      </w:r>
      <w:r w:rsidRPr="00AB464E">
        <w:rPr>
          <w:szCs w:val="16"/>
        </w:rPr>
        <w:t xml:space="preserve"> (n.d.). </w:t>
      </w:r>
      <w:r w:rsidR="00DB6830" w:rsidRPr="00DB6830">
        <w:rPr>
          <w:szCs w:val="16"/>
        </w:rPr>
        <w:t>Arm and Leg Prosthesis Program. https://novascotia.ca/dhw/arm-and-Leg-prostheses-program/</w:t>
      </w:r>
    </w:p>
  </w:footnote>
  <w:footnote w:id="132">
    <w:p w14:paraId="49FC5B61" w14:textId="5870F3FE" w:rsidR="00590DFF" w:rsidRPr="00590DFF" w:rsidRDefault="00590DFF">
      <w:pPr>
        <w:pStyle w:val="FootnoteText"/>
        <w:rPr>
          <w:lang w:val="en-US"/>
        </w:rPr>
      </w:pPr>
      <w:r>
        <w:rPr>
          <w:rStyle w:val="FootnoteReference"/>
        </w:rPr>
        <w:footnoteRef/>
      </w:r>
      <w:r>
        <w:t xml:space="preserve"> </w:t>
      </w:r>
      <w:r w:rsidR="00F42273" w:rsidRPr="00B466AB">
        <w:rPr>
          <w:szCs w:val="16"/>
        </w:rPr>
        <w:t xml:space="preserve">Amputee Care </w:t>
      </w:r>
      <w:proofErr w:type="spellStart"/>
      <w:r w:rsidR="00F42273" w:rsidRPr="00B466AB">
        <w:rPr>
          <w:szCs w:val="16"/>
        </w:rPr>
        <w:t>Center</w:t>
      </w:r>
      <w:proofErr w:type="spellEnd"/>
      <w:r w:rsidR="00F42273" w:rsidRPr="00B466AB">
        <w:rPr>
          <w:szCs w:val="16"/>
        </w:rPr>
        <w:t>. (n.d.)., Applying for prosthesis reimbursement from Dutch health insurance. https://amputeecarecenter.com/en/blog/applying-for-prosthesis-reimbursement-from-dutch-health-insurance</w:t>
      </w:r>
    </w:p>
  </w:footnote>
  <w:footnote w:id="133">
    <w:p w14:paraId="03B19921" w14:textId="7B26255D" w:rsidR="009426FC" w:rsidRDefault="009426FC" w:rsidP="007965AC">
      <w:pPr>
        <w:pStyle w:val="FootnoteText"/>
        <w:spacing w:line="160" w:lineRule="exact"/>
      </w:pPr>
      <w:r>
        <w:rPr>
          <w:rStyle w:val="FootnoteReference"/>
        </w:rPr>
        <w:footnoteRef/>
      </w:r>
      <w:r w:rsidR="00D87E5B">
        <w:t xml:space="preserve"> </w:t>
      </w:r>
      <w:proofErr w:type="spellStart"/>
      <w:r w:rsidR="00590DFF">
        <w:rPr>
          <w:szCs w:val="16"/>
        </w:rPr>
        <w:t>Geertzen</w:t>
      </w:r>
      <w:proofErr w:type="spellEnd"/>
      <w:r w:rsidR="00590DFF">
        <w:rPr>
          <w:szCs w:val="16"/>
        </w:rPr>
        <w:t>,</w:t>
      </w:r>
      <w:r w:rsidR="00B219BF" w:rsidRPr="00B219BF">
        <w:rPr>
          <w:szCs w:val="16"/>
        </w:rPr>
        <w:t xml:space="preserve"> L., et al. (</w:t>
      </w:r>
      <w:r w:rsidR="00590DFF" w:rsidRPr="00B219BF">
        <w:rPr>
          <w:szCs w:val="16"/>
        </w:rPr>
        <w:t>201</w:t>
      </w:r>
      <w:r w:rsidR="00590DFF">
        <w:rPr>
          <w:szCs w:val="16"/>
        </w:rPr>
        <w:t>5</w:t>
      </w:r>
      <w:r w:rsidR="00B219BF" w:rsidRPr="00B219BF">
        <w:rPr>
          <w:szCs w:val="16"/>
        </w:rPr>
        <w:t>). Dutch evidence-based guidelines for amputation and prosthetics of the lower extremity: Rehabilitation process and prosthetics</w:t>
      </w:r>
      <w:r w:rsidR="00590DFF">
        <w:rPr>
          <w:szCs w:val="16"/>
        </w:rPr>
        <w:t xml:space="preserve"> – Part 2</w:t>
      </w:r>
      <w:r w:rsidR="00590DFF" w:rsidRPr="00B219BF">
        <w:rPr>
          <w:szCs w:val="16"/>
        </w:rPr>
        <w:t>.</w:t>
      </w:r>
      <w:r w:rsidR="00B219BF" w:rsidRPr="00B219BF">
        <w:rPr>
          <w:szCs w:val="16"/>
        </w:rPr>
        <w:t xml:space="preserve"> Prosthetics and Orthotics International, </w:t>
      </w:r>
      <w:r w:rsidR="00590DFF" w:rsidRPr="00B219BF">
        <w:rPr>
          <w:szCs w:val="16"/>
        </w:rPr>
        <w:t>3</w:t>
      </w:r>
      <w:r w:rsidR="00590DFF">
        <w:rPr>
          <w:szCs w:val="16"/>
        </w:rPr>
        <w:t>9</w:t>
      </w:r>
      <w:r w:rsidR="00B219BF" w:rsidRPr="00B219BF">
        <w:rPr>
          <w:szCs w:val="16"/>
        </w:rPr>
        <w:t>(5</w:t>
      </w:r>
      <w:r w:rsidR="00590DFF">
        <w:rPr>
          <w:szCs w:val="16"/>
        </w:rPr>
        <w:t>) 361 – 371</w:t>
      </w:r>
      <w:r w:rsidR="00590DFF" w:rsidRPr="00B219BF">
        <w:rPr>
          <w:szCs w:val="16"/>
        </w:rPr>
        <w:t>.</w:t>
      </w:r>
      <w:r w:rsidR="00B219BF" w:rsidRPr="00B219BF">
        <w:rPr>
          <w:szCs w:val="16"/>
        </w:rPr>
        <w:t xml:space="preserve"> https://journals.sagepub.com/doi/pdf/10.1177/0309364614542725</w:t>
      </w:r>
    </w:p>
  </w:footnote>
  <w:footnote w:id="134">
    <w:p w14:paraId="13DA0F24" w14:textId="2B978DA9" w:rsidR="005973F6" w:rsidRPr="005973F6" w:rsidRDefault="005973F6">
      <w:pPr>
        <w:pStyle w:val="FootnoteText"/>
        <w:rPr>
          <w:lang w:val="en-US"/>
        </w:rPr>
      </w:pPr>
      <w:r>
        <w:rPr>
          <w:rStyle w:val="FootnoteReference"/>
        </w:rPr>
        <w:footnoteRef/>
      </w:r>
      <w:r>
        <w:t xml:space="preserve"> </w:t>
      </w:r>
      <w:r w:rsidRPr="00A72A6E">
        <w:rPr>
          <w:szCs w:val="16"/>
        </w:rPr>
        <w:t xml:space="preserve">Peke </w:t>
      </w:r>
      <w:proofErr w:type="spellStart"/>
      <w:r w:rsidRPr="00A72A6E">
        <w:rPr>
          <w:szCs w:val="16"/>
        </w:rPr>
        <w:t>Waihanga</w:t>
      </w:r>
      <w:proofErr w:type="spellEnd"/>
      <w:r w:rsidRPr="00A72A6E">
        <w:rPr>
          <w:szCs w:val="16"/>
        </w:rPr>
        <w:t xml:space="preserve"> </w:t>
      </w:r>
      <w:proofErr w:type="spellStart"/>
      <w:r w:rsidRPr="00A72A6E">
        <w:rPr>
          <w:szCs w:val="16"/>
        </w:rPr>
        <w:t>Artifical</w:t>
      </w:r>
      <w:proofErr w:type="spellEnd"/>
      <w:r w:rsidRPr="00A72A6E">
        <w:rPr>
          <w:szCs w:val="16"/>
        </w:rPr>
        <w:t xml:space="preserve"> Limb Service. (2025). Services. https://www.pw.co.nz/services</w:t>
      </w:r>
    </w:p>
  </w:footnote>
  <w:footnote w:id="135">
    <w:p w14:paraId="4F4C43D4" w14:textId="74D2D734" w:rsidR="009426FC" w:rsidRPr="009D4CA4" w:rsidRDefault="009426FC" w:rsidP="007965AC">
      <w:pPr>
        <w:pStyle w:val="FootnoteText"/>
        <w:spacing w:line="160" w:lineRule="exact"/>
        <w:rPr>
          <w:szCs w:val="16"/>
        </w:rPr>
      </w:pPr>
      <w:r>
        <w:rPr>
          <w:rStyle w:val="FootnoteReference"/>
        </w:rPr>
        <w:footnoteRef/>
      </w:r>
      <w:r w:rsidR="00D87E5B">
        <w:t xml:space="preserve"> </w:t>
      </w:r>
      <w:r w:rsidR="00B219BF" w:rsidRPr="00B219BF">
        <w:rPr>
          <w:szCs w:val="16"/>
        </w:rPr>
        <w:t>New Zealand Parliament. (2018). Artificial Limb Service Act 2018. https://www.legislation.govt.nz/act/public/2018/0034/8.0/whole.html</w:t>
      </w:r>
    </w:p>
  </w:footnote>
  <w:footnote w:id="136">
    <w:p w14:paraId="3BD308BD" w14:textId="73A7CEC4" w:rsidR="00D87E5B" w:rsidRPr="009D4CA4" w:rsidRDefault="00D87E5B" w:rsidP="007965AC">
      <w:pPr>
        <w:spacing w:before="0" w:after="0" w:line="160" w:lineRule="exact"/>
        <w:rPr>
          <w:sz w:val="16"/>
          <w:szCs w:val="16"/>
        </w:rPr>
      </w:pPr>
      <w:r>
        <w:rPr>
          <w:rStyle w:val="FootnoteReference"/>
        </w:rPr>
        <w:footnoteRef/>
      </w:r>
      <w:r w:rsidR="00886FA3">
        <w:rPr>
          <w:sz w:val="16"/>
          <w:szCs w:val="16"/>
        </w:rPr>
        <w:t>NHS</w:t>
      </w:r>
      <w:r w:rsidR="00886FA3" w:rsidRPr="000B6403">
        <w:rPr>
          <w:sz w:val="16"/>
          <w:szCs w:val="16"/>
        </w:rPr>
        <w:t xml:space="preserve"> (</w:t>
      </w:r>
      <w:r w:rsidR="00886FA3">
        <w:rPr>
          <w:sz w:val="16"/>
          <w:szCs w:val="16"/>
        </w:rPr>
        <w:t>2023</w:t>
      </w:r>
      <w:r w:rsidR="00886FA3" w:rsidRPr="000B6403">
        <w:rPr>
          <w:sz w:val="16"/>
          <w:szCs w:val="16"/>
        </w:rPr>
        <w:t xml:space="preserve">). Prosthetic limbs: </w:t>
      </w:r>
      <w:r w:rsidR="00886FA3">
        <w:rPr>
          <w:sz w:val="16"/>
          <w:szCs w:val="16"/>
        </w:rPr>
        <w:t xml:space="preserve">Amputation. </w:t>
      </w:r>
      <w:r w:rsidR="00886FA3" w:rsidRPr="000A00CC">
        <w:rPr>
          <w:sz w:val="16"/>
          <w:szCs w:val="16"/>
        </w:rPr>
        <w:t>https://www.nhs.uk/tests-and-treatments/amputation/#:~:text=If%20you%20have%20a%20prosthetic,wheelchair%20ramp%20or%20a%20stairlift.</w:t>
      </w:r>
    </w:p>
  </w:footnote>
  <w:footnote w:id="137">
    <w:p w14:paraId="2B3F1369" w14:textId="55F76882" w:rsidR="00896EAB" w:rsidRDefault="00896EAB">
      <w:pPr>
        <w:pStyle w:val="FootnoteText"/>
      </w:pPr>
      <w:r>
        <w:rPr>
          <w:rStyle w:val="FootnoteReference"/>
        </w:rPr>
        <w:footnoteRef/>
      </w:r>
      <w:r>
        <w:t xml:space="preserve"> </w:t>
      </w:r>
      <w:r w:rsidR="00D87406" w:rsidRPr="00E97147">
        <w:rPr>
          <w:szCs w:val="16"/>
        </w:rPr>
        <w:t>Government of Ontario. (n.d.). Communication aids. https://www.ontario.ca/page/communication-aids</w:t>
      </w:r>
    </w:p>
  </w:footnote>
  <w:footnote w:id="138">
    <w:p w14:paraId="384C828B" w14:textId="3E5AABEE" w:rsidR="00D87406" w:rsidRDefault="00D87406">
      <w:pPr>
        <w:pStyle w:val="FootnoteText"/>
      </w:pPr>
      <w:r>
        <w:rPr>
          <w:rStyle w:val="FootnoteReference"/>
        </w:rPr>
        <w:footnoteRef/>
      </w:r>
      <w:r>
        <w:t xml:space="preserve"> </w:t>
      </w:r>
      <w:r w:rsidRPr="005E1202">
        <w:rPr>
          <w:szCs w:val="16"/>
        </w:rPr>
        <w:t>Van der Molen, L., et al. (2013). Practice of laryngectomy rehabilitation interventions: a perspective from Europe / the Netherlands. https://pure.uva.nl/ws/files/2022455/126203_review_practice_of_laryngectomy_rehab_NKI_LvdMolen_2013.pdf</w:t>
      </w:r>
    </w:p>
  </w:footnote>
  <w:footnote w:id="139">
    <w:p w14:paraId="516DE172" w14:textId="4CA618CF" w:rsidR="00C021F0" w:rsidRDefault="00C021F0">
      <w:pPr>
        <w:pStyle w:val="FootnoteText"/>
      </w:pPr>
      <w:r w:rsidRPr="005E1202">
        <w:rPr>
          <w:rStyle w:val="FootnoteReference"/>
          <w:szCs w:val="16"/>
        </w:rPr>
        <w:footnoteRef/>
      </w:r>
      <w:r w:rsidRPr="005E1202">
        <w:rPr>
          <w:szCs w:val="16"/>
        </w:rPr>
        <w:t xml:space="preserve"> </w:t>
      </w:r>
      <w:r w:rsidRPr="00E97147">
        <w:rPr>
          <w:szCs w:val="16"/>
        </w:rPr>
        <w:t xml:space="preserve">Government of Ontario. (n.d.). </w:t>
      </w:r>
      <w:r w:rsidR="00E97147" w:rsidRPr="00E97147">
        <w:rPr>
          <w:szCs w:val="16"/>
        </w:rPr>
        <w:t>Communication aids. https://www.ontario.ca/page/communication-aids</w:t>
      </w:r>
    </w:p>
  </w:footnote>
  <w:footnote w:id="140">
    <w:p w14:paraId="5024A091" w14:textId="568CA326" w:rsidR="00956623" w:rsidRPr="005E1202" w:rsidRDefault="00D72017">
      <w:pPr>
        <w:pStyle w:val="FootnoteText"/>
        <w:rPr>
          <w:szCs w:val="16"/>
        </w:rPr>
      </w:pPr>
      <w:r w:rsidRPr="005E1202">
        <w:rPr>
          <w:rStyle w:val="FootnoteReference"/>
          <w:szCs w:val="16"/>
        </w:rPr>
        <w:footnoteRef/>
      </w:r>
      <w:r w:rsidRPr="005E1202">
        <w:rPr>
          <w:szCs w:val="16"/>
        </w:rPr>
        <w:t xml:space="preserve"> </w:t>
      </w:r>
      <w:r w:rsidR="00393084" w:rsidRPr="005E1202">
        <w:rPr>
          <w:szCs w:val="16"/>
        </w:rPr>
        <w:t xml:space="preserve">Beck, A. C. C., et al. (2019). Patient access to voice prostheses and heat and moisture exchangers: </w:t>
      </w:r>
      <w:r w:rsidR="00956623" w:rsidRPr="005E1202">
        <w:rPr>
          <w:szCs w:val="16"/>
        </w:rPr>
        <w:t xml:space="preserve">Factors influencing physician’s prescription and reimbursement in eight European countries. </w:t>
      </w:r>
      <w:hyperlink r:id="rId2" w:history="1">
        <w:r w:rsidR="00956623" w:rsidRPr="00886FA3">
          <w:rPr>
            <w:rStyle w:val="Hyperlink"/>
            <w:szCs w:val="16"/>
            <w:u w:val="none"/>
          </w:rPr>
          <w:t>https://www.sciencedirect.com/science/article/pii/S1368837519300636</w:t>
        </w:r>
      </w:hyperlink>
    </w:p>
  </w:footnote>
  <w:footnote w:id="141">
    <w:p w14:paraId="5B4AB3BA" w14:textId="022309C4" w:rsidR="00AA0B5D" w:rsidRPr="00AA0B5D" w:rsidRDefault="00956623">
      <w:pPr>
        <w:pStyle w:val="FootnoteText"/>
        <w:rPr>
          <w:szCs w:val="16"/>
        </w:rPr>
      </w:pPr>
      <w:r w:rsidRPr="005E1202">
        <w:rPr>
          <w:rStyle w:val="FootnoteReference"/>
          <w:szCs w:val="16"/>
        </w:rPr>
        <w:footnoteRef/>
      </w:r>
      <w:r w:rsidRPr="005E1202">
        <w:rPr>
          <w:szCs w:val="16"/>
        </w:rPr>
        <w:t xml:space="preserve"> Van der Molen, L., et al. (2013). Practice of laryngectomy rehabilitation interventions: a perspective from Europe / the Netherlands. </w:t>
      </w:r>
      <w:r w:rsidR="005E1202" w:rsidRPr="005E1202">
        <w:rPr>
          <w:szCs w:val="16"/>
        </w:rPr>
        <w:t>https://pure.uva.nl/ws/files/2022455/126203_review_practice_of_laryngectomy_rehab_NKI_LvdMolen_2013.pdf</w:t>
      </w:r>
    </w:p>
  </w:footnote>
  <w:footnote w:id="142">
    <w:p w14:paraId="7AC6B9EF" w14:textId="725E661A" w:rsidR="00AA0B5D" w:rsidRDefault="00AA0B5D">
      <w:pPr>
        <w:pStyle w:val="FootnoteText"/>
      </w:pPr>
      <w:r w:rsidRPr="00816809">
        <w:rPr>
          <w:rStyle w:val="FootnoteReference"/>
          <w:szCs w:val="16"/>
        </w:rPr>
        <w:footnoteRef/>
      </w:r>
      <w:r w:rsidRPr="00816809">
        <w:rPr>
          <w:szCs w:val="16"/>
        </w:rPr>
        <w:t xml:space="preserve"> </w:t>
      </w:r>
      <w:r w:rsidRPr="005E1202">
        <w:rPr>
          <w:szCs w:val="16"/>
        </w:rPr>
        <w:t xml:space="preserve">Beck, A. C. C., et al. (2019). Patient access to voice prostheses and heat and moisture exchangers: Factors influencing physician’s prescription and reimbursement in eight European countries. </w:t>
      </w:r>
      <w:hyperlink r:id="rId3" w:history="1">
        <w:r w:rsidRPr="00886FA3">
          <w:rPr>
            <w:rStyle w:val="Hyperlink"/>
            <w:szCs w:val="16"/>
            <w:u w:val="none"/>
          </w:rPr>
          <w:t>https://www.sciencedirect.com/science/article/pii/S1368837519300636</w:t>
        </w:r>
      </w:hyperlink>
    </w:p>
  </w:footnote>
  <w:footnote w:id="143">
    <w:p w14:paraId="2D024FB5" w14:textId="30BF974F" w:rsidR="00AA0B5D" w:rsidRDefault="00AA0B5D">
      <w:pPr>
        <w:pStyle w:val="FootnoteText"/>
      </w:pPr>
      <w:r w:rsidRPr="00816809">
        <w:rPr>
          <w:rStyle w:val="FootnoteReference"/>
          <w:szCs w:val="16"/>
        </w:rPr>
        <w:footnoteRef/>
      </w:r>
      <w:r w:rsidRPr="00816809">
        <w:rPr>
          <w:szCs w:val="16"/>
        </w:rPr>
        <w:t xml:space="preserve"> Cancer </w:t>
      </w:r>
      <w:r w:rsidR="00816809" w:rsidRPr="00816809">
        <w:rPr>
          <w:szCs w:val="16"/>
        </w:rPr>
        <w:t xml:space="preserve">Research UK. (2024). Voice prosthesis after laryngectomy. </w:t>
      </w:r>
      <w:r w:rsidRPr="00816809">
        <w:rPr>
          <w:szCs w:val="16"/>
        </w:rPr>
        <w:t>https://www.cancerresearchuk.org/about-cancer/laryngeal-cancer/living-with/speaking-after-laryngectomy/voice-prosthesis</w:t>
      </w:r>
    </w:p>
  </w:footnote>
  <w:footnote w:id="144">
    <w:p w14:paraId="0999988B" w14:textId="23576F04" w:rsidR="00E84D65" w:rsidRDefault="00E84D65">
      <w:pPr>
        <w:pStyle w:val="FootnoteText"/>
      </w:pPr>
      <w:r w:rsidRPr="00E84D65">
        <w:rPr>
          <w:rStyle w:val="FootnoteReference"/>
          <w:szCs w:val="16"/>
        </w:rPr>
        <w:footnoteRef/>
      </w:r>
      <w:r>
        <w:t xml:space="preserve"> </w:t>
      </w:r>
      <w:r w:rsidRPr="00515051">
        <w:rPr>
          <w:szCs w:val="16"/>
        </w:rPr>
        <w:t>The Department of Veterans Affairs</w:t>
      </w:r>
      <w:r>
        <w:rPr>
          <w:szCs w:val="16"/>
        </w:rPr>
        <w:t xml:space="preserve">. (2023). </w:t>
      </w:r>
      <w:r>
        <w:rPr>
          <w:i/>
          <w:iCs/>
          <w:szCs w:val="16"/>
        </w:rPr>
        <w:t>RAP National Schedule of Equipment</w:t>
      </w:r>
      <w:r>
        <w:rPr>
          <w:szCs w:val="16"/>
        </w:rPr>
        <w:t xml:space="preserve">. </w:t>
      </w:r>
      <w:r w:rsidRPr="008150C7">
        <w:rPr>
          <w:szCs w:val="16"/>
        </w:rPr>
        <w:t>https://www.dva.gov.au/sites/default/files/2023-06/RAPSchedule-June2023.pdf</w:t>
      </w:r>
    </w:p>
  </w:footnote>
  <w:footnote w:id="145">
    <w:p w14:paraId="40077EA4" w14:textId="478F79E4" w:rsidR="00E23F35" w:rsidRPr="0021687E" w:rsidRDefault="00E23F35">
      <w:pPr>
        <w:pStyle w:val="FootnoteText"/>
        <w:rPr>
          <w:szCs w:val="16"/>
        </w:rPr>
      </w:pPr>
      <w:r w:rsidRPr="0021687E">
        <w:rPr>
          <w:rStyle w:val="FootnoteReference"/>
          <w:szCs w:val="16"/>
        </w:rPr>
        <w:footnoteRef/>
      </w:r>
      <w:r w:rsidRPr="0021687E">
        <w:rPr>
          <w:szCs w:val="16"/>
        </w:rPr>
        <w:t xml:space="preserve"> </w:t>
      </w:r>
      <w:r w:rsidR="00CC18F1">
        <w:rPr>
          <w:szCs w:val="16"/>
        </w:rPr>
        <w:t>Healthwise Alberta.</w:t>
      </w:r>
      <w:r w:rsidRPr="0021687E">
        <w:rPr>
          <w:szCs w:val="16"/>
        </w:rPr>
        <w:t xml:space="preserve"> (202</w:t>
      </w:r>
      <w:r w:rsidR="00CC18F1">
        <w:rPr>
          <w:szCs w:val="16"/>
        </w:rPr>
        <w:t>4</w:t>
      </w:r>
      <w:r w:rsidRPr="0021687E">
        <w:rPr>
          <w:szCs w:val="16"/>
        </w:rPr>
        <w:t xml:space="preserve">). </w:t>
      </w:r>
      <w:r w:rsidR="00CC18F1">
        <w:rPr>
          <w:szCs w:val="16"/>
        </w:rPr>
        <w:t>Vacuum devices for erection problems.</w:t>
      </w:r>
      <w:r w:rsidRPr="0021687E">
        <w:rPr>
          <w:szCs w:val="16"/>
        </w:rPr>
        <w:t xml:space="preserve"> </w:t>
      </w:r>
      <w:r w:rsidR="00B77C16" w:rsidRPr="00B77C16">
        <w:rPr>
          <w:szCs w:val="16"/>
        </w:rPr>
        <w:t>https://myhealth.alberta.ca/Health/pages/conditions.aspx?hwid=hw111500</w:t>
      </w:r>
    </w:p>
  </w:footnote>
  <w:footnote w:id="146">
    <w:p w14:paraId="2998DFA9" w14:textId="30DFAACE" w:rsidR="00A14292" w:rsidRPr="0021687E" w:rsidRDefault="00A14292">
      <w:pPr>
        <w:pStyle w:val="FootnoteText"/>
        <w:rPr>
          <w:szCs w:val="16"/>
        </w:rPr>
      </w:pPr>
      <w:r w:rsidRPr="0021687E">
        <w:rPr>
          <w:rStyle w:val="FootnoteReference"/>
          <w:szCs w:val="16"/>
        </w:rPr>
        <w:footnoteRef/>
      </w:r>
      <w:r w:rsidRPr="0021687E">
        <w:rPr>
          <w:szCs w:val="16"/>
        </w:rPr>
        <w:t xml:space="preserve"> </w:t>
      </w:r>
      <w:proofErr w:type="spellStart"/>
      <w:r w:rsidRPr="0021687E">
        <w:rPr>
          <w:szCs w:val="16"/>
        </w:rPr>
        <w:t>HARDFacts</w:t>
      </w:r>
      <w:proofErr w:type="spellEnd"/>
      <w:r w:rsidR="00947129" w:rsidRPr="0021687E">
        <w:rPr>
          <w:szCs w:val="16"/>
        </w:rPr>
        <w:t xml:space="preserve"> – Boston Scientific. (n.d.). </w:t>
      </w:r>
      <w:r w:rsidR="001C6D48">
        <w:rPr>
          <w:szCs w:val="16"/>
        </w:rPr>
        <w:t>Non-surgical treatments l Vacuum Erection Devices or Pump.</w:t>
      </w:r>
      <w:r w:rsidR="00947129" w:rsidRPr="0021687E">
        <w:rPr>
          <w:szCs w:val="16"/>
        </w:rPr>
        <w:t xml:space="preserve"> </w:t>
      </w:r>
      <w:r w:rsidR="00A26314" w:rsidRPr="0021687E">
        <w:rPr>
          <w:szCs w:val="16"/>
        </w:rPr>
        <w:t>https://www.hardfacts.co.nz/treatment-options</w:t>
      </w:r>
      <w:r w:rsidR="001C6D48" w:rsidRPr="001C6D48">
        <w:rPr>
          <w:szCs w:val="16"/>
        </w:rPr>
        <w:t>/vacuum-erection.html</w:t>
      </w:r>
    </w:p>
  </w:footnote>
  <w:footnote w:id="147">
    <w:p w14:paraId="4DD6AAAB" w14:textId="1B91056F" w:rsidR="00A26314" w:rsidRPr="0021687E" w:rsidRDefault="00A26314">
      <w:pPr>
        <w:pStyle w:val="FootnoteText"/>
        <w:rPr>
          <w:szCs w:val="16"/>
        </w:rPr>
      </w:pPr>
      <w:r w:rsidRPr="0021687E">
        <w:rPr>
          <w:rStyle w:val="FootnoteReference"/>
          <w:szCs w:val="16"/>
        </w:rPr>
        <w:footnoteRef/>
      </w:r>
      <w:r w:rsidRPr="0021687E">
        <w:rPr>
          <w:szCs w:val="16"/>
        </w:rPr>
        <w:t xml:space="preserve"> </w:t>
      </w:r>
      <w:proofErr w:type="spellStart"/>
      <w:r w:rsidRPr="0021687E">
        <w:rPr>
          <w:szCs w:val="16"/>
        </w:rPr>
        <w:t>HARDFacts</w:t>
      </w:r>
      <w:proofErr w:type="spellEnd"/>
      <w:r w:rsidRPr="0021687E">
        <w:rPr>
          <w:szCs w:val="16"/>
        </w:rPr>
        <w:t xml:space="preserve"> – Boston Scientific. (n.d.). Frequently asked questions about erection dysfunction. https://www.hardfacts.co.nz/resources/faq.html</w:t>
      </w:r>
    </w:p>
  </w:footnote>
  <w:footnote w:id="148">
    <w:p w14:paraId="5B268AF5" w14:textId="7990F82D" w:rsidR="00FC0BFA" w:rsidRDefault="00FC0BFA">
      <w:pPr>
        <w:pStyle w:val="FootnoteText"/>
      </w:pPr>
      <w:r w:rsidRPr="0021687E">
        <w:rPr>
          <w:rStyle w:val="FootnoteReference"/>
          <w:szCs w:val="16"/>
        </w:rPr>
        <w:footnoteRef/>
      </w:r>
      <w:r w:rsidRPr="0021687E">
        <w:rPr>
          <w:szCs w:val="16"/>
        </w:rPr>
        <w:t xml:space="preserve"> </w:t>
      </w:r>
      <w:proofErr w:type="spellStart"/>
      <w:r w:rsidR="00571BB3">
        <w:rPr>
          <w:szCs w:val="16"/>
        </w:rPr>
        <w:t>iMedicare</w:t>
      </w:r>
      <w:proofErr w:type="spellEnd"/>
      <w:r w:rsidR="00BF7B57">
        <w:rPr>
          <w:szCs w:val="16"/>
        </w:rPr>
        <w:t xml:space="preserve">. (n.d.). </w:t>
      </w:r>
      <w:r w:rsidR="00F61B8F">
        <w:rPr>
          <w:szCs w:val="16"/>
        </w:rPr>
        <w:t xml:space="preserve">Available on Prescription. </w:t>
      </w:r>
      <w:r w:rsidR="00F61B8F" w:rsidRPr="00F61B8F">
        <w:rPr>
          <w:szCs w:val="16"/>
        </w:rPr>
        <w:t>https://www.mypelvichealth.co.uk/en/info/soma-information/availabilty-on-prescription-new/</w:t>
      </w:r>
    </w:p>
  </w:footnote>
  <w:footnote w:id="149">
    <w:p w14:paraId="5D200E05" w14:textId="5FD8198C" w:rsidR="0000004D" w:rsidRDefault="0000004D">
      <w:pPr>
        <w:pStyle w:val="FootnoteText"/>
      </w:pPr>
      <w:r w:rsidRPr="0000004D">
        <w:rPr>
          <w:rStyle w:val="FootnoteReference"/>
          <w:szCs w:val="16"/>
        </w:rPr>
        <w:footnoteRef/>
      </w:r>
      <w:r w:rsidRPr="0000004D">
        <w:rPr>
          <w:szCs w:val="16"/>
        </w:rPr>
        <w:t xml:space="preserve"> </w:t>
      </w:r>
      <w:r>
        <w:rPr>
          <w:szCs w:val="16"/>
        </w:rPr>
        <w:t xml:space="preserve">NHS Cambridge University Hospitals NHS Foundation Trust. (2022). Vacuum erection assistance devices: frequently asked questions. </w:t>
      </w:r>
      <w:r w:rsidRPr="0000004D">
        <w:rPr>
          <w:szCs w:val="16"/>
        </w:rPr>
        <w:t>https://www.cuh.nhs.uk/patient-information/vacuum-erection-assistance-devices-frequently-asked-questions/</w:t>
      </w:r>
    </w:p>
  </w:footnote>
  <w:footnote w:id="150">
    <w:p w14:paraId="470C2874" w14:textId="77777777" w:rsidR="003326CA" w:rsidRDefault="003326CA" w:rsidP="003326CA">
      <w:pPr>
        <w:pStyle w:val="FootnoteText"/>
      </w:pPr>
      <w:r w:rsidRPr="003D7341">
        <w:rPr>
          <w:rStyle w:val="FootnoteReference"/>
          <w:szCs w:val="16"/>
        </w:rPr>
        <w:footnoteRef/>
      </w:r>
      <w:r w:rsidRPr="003D7341">
        <w:rPr>
          <w:szCs w:val="16"/>
        </w:rPr>
        <w:t xml:space="preserve"> </w:t>
      </w:r>
      <w:r w:rsidRPr="00515051">
        <w:rPr>
          <w:szCs w:val="16"/>
        </w:rPr>
        <w:t>The Department of Veterans Affairs</w:t>
      </w:r>
      <w:r>
        <w:rPr>
          <w:szCs w:val="16"/>
        </w:rPr>
        <w:t xml:space="preserve">. (2025). </w:t>
      </w:r>
      <w:r>
        <w:rPr>
          <w:i/>
          <w:iCs/>
          <w:szCs w:val="16"/>
        </w:rPr>
        <w:t>Fee Schedule of Dental Services for Dentists and Dental Specialists</w:t>
      </w:r>
      <w:r>
        <w:rPr>
          <w:szCs w:val="16"/>
        </w:rPr>
        <w:t xml:space="preserve">. </w:t>
      </w:r>
      <w:r w:rsidRPr="00F369BC">
        <w:rPr>
          <w:szCs w:val="16"/>
        </w:rPr>
        <w:t>https://www.dva.gov.au/sites/default/files/2025-01/dentalfees-1-jan-2025.pdf</w:t>
      </w:r>
    </w:p>
  </w:footnote>
  <w:footnote w:id="151">
    <w:p w14:paraId="3878D3F1" w14:textId="77777777" w:rsidR="003326CA" w:rsidRPr="00C02ADE" w:rsidRDefault="003326CA" w:rsidP="003326CA">
      <w:pPr>
        <w:pStyle w:val="FootnoteText"/>
        <w:rPr>
          <w:szCs w:val="16"/>
        </w:rPr>
      </w:pPr>
      <w:r w:rsidRPr="00C02ADE">
        <w:rPr>
          <w:rStyle w:val="FootnoteReference"/>
          <w:szCs w:val="16"/>
        </w:rPr>
        <w:footnoteRef/>
      </w:r>
      <w:r w:rsidRPr="00C02ADE">
        <w:rPr>
          <w:szCs w:val="16"/>
        </w:rPr>
        <w:t xml:space="preserve"> Government of Canada. (2025). Canadian Dental Care Plan: What services are covered. https://www.canada.ca/en/services/benefits/dental/dental-care-plan/coverage.html</w:t>
      </w:r>
    </w:p>
  </w:footnote>
  <w:footnote w:id="152">
    <w:p w14:paraId="0E678A50" w14:textId="77777777" w:rsidR="003326CA" w:rsidRPr="00C02ADE" w:rsidRDefault="003326CA" w:rsidP="003326CA">
      <w:pPr>
        <w:pStyle w:val="FootnoteText"/>
        <w:rPr>
          <w:szCs w:val="16"/>
        </w:rPr>
      </w:pPr>
      <w:r w:rsidRPr="00C02ADE">
        <w:rPr>
          <w:rStyle w:val="FootnoteReference"/>
          <w:szCs w:val="16"/>
        </w:rPr>
        <w:footnoteRef/>
      </w:r>
      <w:r w:rsidRPr="00C02ADE">
        <w:rPr>
          <w:szCs w:val="16"/>
        </w:rPr>
        <w:t xml:space="preserve"> Canadian Dental Association. (2025). Dental Implants – Replacing Missing Teeth. https://www.cda-adc.ca/en/oral_health/procedures/dental_implants/</w:t>
      </w:r>
    </w:p>
  </w:footnote>
  <w:footnote w:id="153">
    <w:p w14:paraId="3531D6A9" w14:textId="77777777" w:rsidR="003326CA" w:rsidRPr="00C02ADE" w:rsidRDefault="003326CA" w:rsidP="003326CA">
      <w:pPr>
        <w:pStyle w:val="FootnoteText"/>
        <w:rPr>
          <w:szCs w:val="16"/>
        </w:rPr>
      </w:pPr>
      <w:r w:rsidRPr="00C02ADE">
        <w:rPr>
          <w:rStyle w:val="FootnoteReference"/>
          <w:szCs w:val="16"/>
        </w:rPr>
        <w:footnoteRef/>
      </w:r>
      <w:r w:rsidRPr="00C02ADE">
        <w:rPr>
          <w:szCs w:val="16"/>
        </w:rPr>
        <w:t xml:space="preserve"> Lassus Tandartsen. (n.d.). Dentures. https://lassustandartsen.nl/amsterdam/en/specialisatie/dentures/</w:t>
      </w:r>
    </w:p>
  </w:footnote>
  <w:footnote w:id="154">
    <w:p w14:paraId="5404E2B1" w14:textId="77777777" w:rsidR="003326CA" w:rsidRPr="00C02ADE" w:rsidRDefault="003326CA" w:rsidP="003326CA">
      <w:pPr>
        <w:pStyle w:val="FootnoteText"/>
        <w:rPr>
          <w:szCs w:val="16"/>
        </w:rPr>
      </w:pPr>
      <w:r w:rsidRPr="00C02ADE">
        <w:rPr>
          <w:rStyle w:val="FootnoteReference"/>
          <w:szCs w:val="16"/>
        </w:rPr>
        <w:footnoteRef/>
      </w:r>
      <w:r w:rsidRPr="00C02ADE">
        <w:rPr>
          <w:szCs w:val="16"/>
        </w:rPr>
        <w:t xml:space="preserve"> Expatica. (2025). Dutch dentists: dental care in the Netherlands. https://www.expatica.com/nl/healthcare/healthcare-services/dutch-dental-care-104612/</w:t>
      </w:r>
    </w:p>
  </w:footnote>
  <w:footnote w:id="155">
    <w:p w14:paraId="5A797D36" w14:textId="77777777" w:rsidR="003326CA" w:rsidRPr="00C02ADE" w:rsidRDefault="003326CA" w:rsidP="003326CA">
      <w:pPr>
        <w:pStyle w:val="FootnoteText"/>
        <w:rPr>
          <w:szCs w:val="16"/>
        </w:rPr>
      </w:pPr>
      <w:r w:rsidRPr="00C02ADE">
        <w:rPr>
          <w:rStyle w:val="FootnoteReference"/>
          <w:szCs w:val="16"/>
        </w:rPr>
        <w:footnoteRef/>
      </w:r>
      <w:r w:rsidRPr="00C02ADE">
        <w:rPr>
          <w:szCs w:val="16"/>
        </w:rPr>
        <w:t xml:space="preserve"> Cancer Society NZ. (2020). Oral health services for cancer patients. https://healthcodesign.org.nz/assets/Documents/OIA/2020/09-September/oral-health-services-for-cancer-patients.pdf</w:t>
      </w:r>
    </w:p>
  </w:footnote>
  <w:footnote w:id="156">
    <w:p w14:paraId="01C56374" w14:textId="77777777" w:rsidR="003326CA" w:rsidRPr="00C02ADE" w:rsidRDefault="003326CA" w:rsidP="003326CA">
      <w:pPr>
        <w:pStyle w:val="FootnoteText"/>
        <w:rPr>
          <w:szCs w:val="16"/>
        </w:rPr>
      </w:pPr>
      <w:r w:rsidRPr="00C02ADE">
        <w:rPr>
          <w:rStyle w:val="FootnoteReference"/>
          <w:szCs w:val="16"/>
        </w:rPr>
        <w:footnoteRef/>
      </w:r>
      <w:r w:rsidRPr="00C02ADE">
        <w:rPr>
          <w:szCs w:val="16"/>
        </w:rPr>
        <w:t xml:space="preserve"> NHS UK. (2022). Dental treatments. https://www.nhs.uk/live-well/healthy-teeth-and-gums/dental-treatments/</w:t>
      </w:r>
    </w:p>
  </w:footnote>
  <w:footnote w:id="157">
    <w:p w14:paraId="0C84FCA9" w14:textId="77777777" w:rsidR="003326CA" w:rsidRDefault="003326CA" w:rsidP="003326CA">
      <w:pPr>
        <w:pStyle w:val="FootnoteText"/>
      </w:pPr>
      <w:r w:rsidRPr="00C02ADE">
        <w:rPr>
          <w:rStyle w:val="FootnoteReference"/>
          <w:szCs w:val="16"/>
        </w:rPr>
        <w:footnoteRef/>
      </w:r>
      <w:r w:rsidRPr="00C02ADE">
        <w:rPr>
          <w:szCs w:val="16"/>
        </w:rPr>
        <w:t xml:space="preserve"> Implant </w:t>
      </w:r>
      <w:proofErr w:type="spellStart"/>
      <w:r w:rsidRPr="00C02ADE">
        <w:rPr>
          <w:szCs w:val="16"/>
        </w:rPr>
        <w:t>Center</w:t>
      </w:r>
      <w:proofErr w:type="spellEnd"/>
      <w:r w:rsidRPr="00C02ADE">
        <w:rPr>
          <w:szCs w:val="16"/>
        </w:rPr>
        <w:t xml:space="preserve"> UK. (n.d.). Denture, Prosthesis. https://implantcenter-dentistry.co.uk/our-services/prosthetic-dentistry/denture-prosthesis/</w:t>
      </w:r>
    </w:p>
  </w:footnote>
  <w:footnote w:id="158">
    <w:p w14:paraId="6E878CF9" w14:textId="4DE88BF5" w:rsidR="006C61FA" w:rsidRPr="006C61FA" w:rsidRDefault="006C61FA">
      <w:pPr>
        <w:pStyle w:val="FootnoteText"/>
        <w:rPr>
          <w:szCs w:val="16"/>
        </w:rPr>
      </w:pPr>
      <w:r w:rsidRPr="006C61FA">
        <w:rPr>
          <w:rStyle w:val="FootnoteReference"/>
          <w:szCs w:val="16"/>
        </w:rPr>
        <w:footnoteRef/>
      </w:r>
      <w:r w:rsidRPr="006C61FA">
        <w:rPr>
          <w:szCs w:val="16"/>
        </w:rPr>
        <w:t xml:space="preserve"> National Disability Insurance Scheme. (2024). </w:t>
      </w:r>
      <w:r w:rsidRPr="006C61FA">
        <w:rPr>
          <w:i/>
          <w:iCs/>
          <w:szCs w:val="16"/>
        </w:rPr>
        <w:t>What does NDIS fund?</w:t>
      </w:r>
      <w:r w:rsidRPr="006C61FA">
        <w:rPr>
          <w:szCs w:val="16"/>
        </w:rPr>
        <w:t> https://ourguidelines.ndis.gov.au/would-we-fund-it/what-does-ndis-fund</w:t>
      </w:r>
    </w:p>
  </w:footnote>
  <w:footnote w:id="159">
    <w:p w14:paraId="392E5936" w14:textId="6F60B8BE" w:rsidR="005133BF" w:rsidRPr="00A74F22" w:rsidRDefault="005133BF">
      <w:pPr>
        <w:pStyle w:val="FootnoteText"/>
        <w:rPr>
          <w:szCs w:val="16"/>
        </w:rPr>
      </w:pPr>
      <w:r>
        <w:rPr>
          <w:rStyle w:val="FootnoteReference"/>
        </w:rPr>
        <w:footnoteRef/>
      </w:r>
      <w:r w:rsidRPr="00A74F22">
        <w:rPr>
          <w:szCs w:val="16"/>
        </w:rPr>
        <w:t>The National Code of Conduct for Health Care Workers</w:t>
      </w:r>
      <w:r>
        <w:rPr>
          <w:szCs w:val="16"/>
        </w:rPr>
        <w:t xml:space="preserve"> sets the </w:t>
      </w:r>
      <w:r w:rsidRPr="005133BF">
        <w:rPr>
          <w:szCs w:val="16"/>
        </w:rPr>
        <w:t>minimum standards of conduct and practice expected of health care workers. Complaints and breaches</w:t>
      </w:r>
      <w:r>
        <w:rPr>
          <w:szCs w:val="16"/>
        </w:rPr>
        <w:t xml:space="preserve"> of the code of conduct</w:t>
      </w:r>
      <w:r w:rsidRPr="005133BF">
        <w:rPr>
          <w:szCs w:val="16"/>
        </w:rPr>
        <w:t xml:space="preserve"> are assessed by jurisdictional health complaints entities</w:t>
      </w:r>
      <w:r>
        <w:rPr>
          <w:szCs w:val="16"/>
        </w:rPr>
        <w:t xml:space="preserve"> and a</w:t>
      </w:r>
      <w:r w:rsidRPr="005133BF">
        <w:rPr>
          <w:szCs w:val="16"/>
        </w:rPr>
        <w:t>dverse outcomes recorded against health professionals may result in conditions placed on their practice or prohibition of further practice</w:t>
      </w:r>
      <w:r>
        <w:rPr>
          <w:szCs w:val="16"/>
        </w:rPr>
        <w:t xml:space="preserve">. </w:t>
      </w:r>
    </w:p>
  </w:footnote>
  <w:footnote w:id="160">
    <w:p w14:paraId="51DEE5C1" w14:textId="77777777" w:rsidR="00911495" w:rsidRPr="001F15FC" w:rsidRDefault="00911495" w:rsidP="00911495">
      <w:pPr>
        <w:pStyle w:val="FootnoteText"/>
        <w:rPr>
          <w:szCs w:val="16"/>
        </w:rPr>
      </w:pPr>
      <w:r w:rsidRPr="001F15FC">
        <w:rPr>
          <w:rStyle w:val="FootnoteReference"/>
          <w:szCs w:val="16"/>
        </w:rPr>
        <w:footnoteRef/>
      </w:r>
      <w:r w:rsidRPr="001F15FC">
        <w:rPr>
          <w:szCs w:val="16"/>
        </w:rPr>
        <w:t xml:space="preserve"> The Medicare Benefits Schedule (MBS) provides Medicare benefits (rebates) for privately provided health services. There are items listed on the MBS that provide a rebate for surgery, including reconstructive surgery, that may be undertaken prior to the fitting of external prosthesis. </w:t>
      </w:r>
      <w:proofErr w:type="gramStart"/>
      <w:r w:rsidRPr="001F15FC">
        <w:rPr>
          <w:szCs w:val="16"/>
        </w:rPr>
        <w:t>However</w:t>
      </w:r>
      <w:proofErr w:type="gramEnd"/>
      <w:r w:rsidRPr="001F15FC">
        <w:rPr>
          <w:szCs w:val="16"/>
        </w:rPr>
        <w:t xml:space="preserve"> the MBS does not cover the costs of products or goods such as prostheses.</w:t>
      </w:r>
    </w:p>
  </w:footnote>
  <w:footnote w:id="161">
    <w:p w14:paraId="30DFE8A9" w14:textId="2286504B" w:rsidR="00DA2774" w:rsidRDefault="00DA2774">
      <w:pPr>
        <w:pStyle w:val="FootnoteText"/>
      </w:pPr>
      <w:r w:rsidRPr="00EF4876">
        <w:rPr>
          <w:rStyle w:val="FootnoteReference"/>
          <w:szCs w:val="16"/>
        </w:rPr>
        <w:footnoteRef/>
      </w:r>
      <w:r w:rsidRPr="00EF4876">
        <w:rPr>
          <w:szCs w:val="16"/>
        </w:rPr>
        <w:t xml:space="preserve"> </w:t>
      </w:r>
      <w:r w:rsidR="00B30D43" w:rsidRPr="00EF4876">
        <w:rPr>
          <w:szCs w:val="16"/>
        </w:rPr>
        <w:t xml:space="preserve">Currently under the NDIS, there are both </w:t>
      </w:r>
      <w:r w:rsidR="00CE600B">
        <w:rPr>
          <w:szCs w:val="16"/>
        </w:rPr>
        <w:t>r</w:t>
      </w:r>
      <w:r w:rsidR="00B30D43" w:rsidRPr="00EF4876">
        <w:rPr>
          <w:szCs w:val="16"/>
        </w:rPr>
        <w:t xml:space="preserve">egistered and </w:t>
      </w:r>
      <w:r w:rsidR="00CE600B">
        <w:rPr>
          <w:szCs w:val="16"/>
        </w:rPr>
        <w:t>u</w:t>
      </w:r>
      <w:r w:rsidR="00B3512C">
        <w:rPr>
          <w:szCs w:val="16"/>
        </w:rPr>
        <w:t>n</w:t>
      </w:r>
      <w:r w:rsidR="00B30D43" w:rsidRPr="00EF4876">
        <w:rPr>
          <w:szCs w:val="16"/>
        </w:rPr>
        <w:t xml:space="preserve">registered </w:t>
      </w:r>
      <w:r w:rsidR="00CE600B">
        <w:rPr>
          <w:szCs w:val="16"/>
        </w:rPr>
        <w:t>p</w:t>
      </w:r>
      <w:r w:rsidR="00B30D43" w:rsidRPr="00EF4876">
        <w:rPr>
          <w:szCs w:val="16"/>
        </w:rPr>
        <w:t xml:space="preserve">roviders. </w:t>
      </w:r>
      <w:r w:rsidR="00B3512C" w:rsidRPr="00EF4876">
        <w:rPr>
          <w:szCs w:val="16"/>
        </w:rPr>
        <w:t xml:space="preserve">Registered </w:t>
      </w:r>
      <w:r w:rsidR="00CE600B">
        <w:rPr>
          <w:szCs w:val="16"/>
        </w:rPr>
        <w:t>p</w:t>
      </w:r>
      <w:r w:rsidR="00B3512C" w:rsidRPr="00EF4876">
        <w:rPr>
          <w:szCs w:val="16"/>
        </w:rPr>
        <w:t>roviders are individuals or organisations that have been approved by the NDIS Quality and Safeguards Commission</w:t>
      </w:r>
      <w:r w:rsidR="00B3512C">
        <w:rPr>
          <w:szCs w:val="16"/>
        </w:rPr>
        <w:t xml:space="preserve"> </w:t>
      </w:r>
      <w:r w:rsidR="00B3512C" w:rsidRPr="00EF4876">
        <w:rPr>
          <w:szCs w:val="16"/>
        </w:rPr>
        <w:t>to deliver specific NDIS supports and services. This registration process involves meeting certain quality and safety standards, undergoing audits, and demonstrating compliance with the NDIS Practice Standards and the NDIS Code of Conduct</w:t>
      </w:r>
      <w:r w:rsidR="00B3512C" w:rsidRPr="00CE600B">
        <w:rPr>
          <w:szCs w:val="16"/>
        </w:rPr>
        <w:t xml:space="preserve">. </w:t>
      </w:r>
      <w:r w:rsidR="00FF004E">
        <w:rPr>
          <w:szCs w:val="16"/>
        </w:rPr>
        <w:t>NDIS p</w:t>
      </w:r>
      <w:r w:rsidR="00CE600B" w:rsidRPr="00CE600B">
        <w:rPr>
          <w:szCs w:val="16"/>
        </w:rPr>
        <w:t xml:space="preserve">articipants who </w:t>
      </w:r>
      <w:r w:rsidR="00CE600B" w:rsidRPr="00EF4876">
        <w:rPr>
          <w:szCs w:val="16"/>
        </w:rPr>
        <w:t>self-manage</w:t>
      </w:r>
      <w:r w:rsidR="00CE600B" w:rsidRPr="00CE600B">
        <w:rPr>
          <w:szCs w:val="16"/>
        </w:rPr>
        <w:t xml:space="preserve"> their NDIS funds have the flexibility to use both registered and unregistered providers. Unregistered providers must adhere to the NDIS Code of Conduct</w:t>
      </w:r>
      <w:r w:rsidR="00CE600B">
        <w:rPr>
          <w:szCs w:val="16"/>
        </w:rPr>
        <w:t xml:space="preserve"> however have </w:t>
      </w:r>
      <w:r w:rsidR="00FF004E">
        <w:rPr>
          <w:szCs w:val="16"/>
        </w:rPr>
        <w:t xml:space="preserve">not been </w:t>
      </w:r>
      <w:r w:rsidR="00CE600B" w:rsidRPr="00CE600B">
        <w:rPr>
          <w:szCs w:val="16"/>
        </w:rPr>
        <w:t xml:space="preserve">through the registration and audit process with the NDIS </w:t>
      </w:r>
      <w:r w:rsidR="00FF004E" w:rsidRPr="00CF1E5A">
        <w:rPr>
          <w:szCs w:val="16"/>
        </w:rPr>
        <w:t xml:space="preserve">Quality and Safeguards </w:t>
      </w:r>
      <w:r w:rsidR="00CE600B" w:rsidRPr="00CE600B">
        <w:rPr>
          <w:szCs w:val="16"/>
        </w:rPr>
        <w:t>Commission</w:t>
      </w:r>
      <w:r w:rsidR="00FF004E">
        <w:rPr>
          <w:szCs w:val="16"/>
        </w:rPr>
        <w:t xml:space="preserve">. </w:t>
      </w:r>
    </w:p>
  </w:footnote>
  <w:footnote w:id="162">
    <w:p w14:paraId="7E7E4156" w14:textId="2D991386" w:rsidR="000E536B" w:rsidRDefault="000E536B">
      <w:pPr>
        <w:pStyle w:val="FootnoteText"/>
      </w:pPr>
      <w:r>
        <w:rPr>
          <w:rStyle w:val="FootnoteReference"/>
        </w:rPr>
        <w:footnoteRef/>
      </w:r>
      <w:r>
        <w:t xml:space="preserve"> </w:t>
      </w:r>
      <w:r w:rsidR="004C0CC4" w:rsidRPr="00377194">
        <w:rPr>
          <w:szCs w:val="16"/>
        </w:rPr>
        <w:t>Department of Health, Disability and Ageing. (2025</w:t>
      </w:r>
      <w:r w:rsidR="004C0CC4" w:rsidRPr="00377194">
        <w:rPr>
          <w:i/>
          <w:iCs/>
          <w:szCs w:val="16"/>
        </w:rPr>
        <w:t xml:space="preserve">). </w:t>
      </w:r>
      <w:r w:rsidR="00A36CFC" w:rsidRPr="00377194">
        <w:rPr>
          <w:i/>
          <w:iCs/>
          <w:szCs w:val="16"/>
        </w:rPr>
        <w:t>National Registration and Accreditation Scheme</w:t>
      </w:r>
      <w:r w:rsidR="00A36CFC" w:rsidRPr="00377194">
        <w:rPr>
          <w:szCs w:val="16"/>
        </w:rPr>
        <w:t>. https://www.health.gov.au/our-work/national-registration-and-accreditation-scheme</w:t>
      </w:r>
    </w:p>
  </w:footnote>
  <w:footnote w:id="163">
    <w:p w14:paraId="1C1DAA4F" w14:textId="3AFC7784" w:rsidR="000D1E65" w:rsidRDefault="000D1E65">
      <w:pPr>
        <w:pStyle w:val="FootnoteText"/>
      </w:pPr>
      <w:r>
        <w:rPr>
          <w:rStyle w:val="FootnoteReference"/>
        </w:rPr>
        <w:footnoteRef/>
      </w:r>
      <w:r>
        <w:t xml:space="preserve"> </w:t>
      </w:r>
      <w:r w:rsidRPr="00377194">
        <w:rPr>
          <w:szCs w:val="16"/>
        </w:rPr>
        <w:t>It is noted that a</w:t>
      </w:r>
      <w:r w:rsidR="00FB4AF3" w:rsidRPr="00377194">
        <w:rPr>
          <w:szCs w:val="16"/>
        </w:rPr>
        <w:t>n independent review of regulatory complexity in the National Registration and Accreditation Scheme</w:t>
      </w:r>
      <w:r w:rsidR="00FB4AF3">
        <w:rPr>
          <w:szCs w:val="16"/>
        </w:rPr>
        <w:t xml:space="preserve"> is currently underway, with the final report </w:t>
      </w:r>
      <w:r w:rsidR="003E3577">
        <w:rPr>
          <w:szCs w:val="16"/>
        </w:rPr>
        <w:t>anticipated</w:t>
      </w:r>
      <w:r w:rsidR="002C7CB1">
        <w:rPr>
          <w:szCs w:val="16"/>
        </w:rPr>
        <w:t xml:space="preserve"> to be delivered to Health Ministers in September 2025. </w:t>
      </w:r>
      <w:r w:rsidR="000E0209">
        <w:rPr>
          <w:szCs w:val="16"/>
        </w:rPr>
        <w:t xml:space="preserve">The recommendations </w:t>
      </w:r>
      <w:r w:rsidR="003E3577">
        <w:rPr>
          <w:szCs w:val="16"/>
        </w:rPr>
        <w:t>from</w:t>
      </w:r>
      <w:r w:rsidR="000E0209">
        <w:rPr>
          <w:szCs w:val="16"/>
        </w:rPr>
        <w:t xml:space="preserve"> this review may need to be considered with respect to </w:t>
      </w:r>
      <w:r w:rsidR="003E3577">
        <w:rPr>
          <w:szCs w:val="16"/>
        </w:rPr>
        <w:t xml:space="preserve">establishing any new </w:t>
      </w:r>
      <w:r w:rsidR="003E3577" w:rsidRPr="003E3577">
        <w:rPr>
          <w:szCs w:val="16"/>
        </w:rPr>
        <w:t>registration or accreditation scheme</w:t>
      </w:r>
      <w:r w:rsidR="003E3577">
        <w:rPr>
          <w:szCs w:val="16"/>
        </w:rPr>
        <w:t xml:space="preserve">s for providers of facial prostheses. </w:t>
      </w:r>
    </w:p>
  </w:footnote>
  <w:footnote w:id="164">
    <w:p w14:paraId="43FC7090" w14:textId="77777777" w:rsidR="008F71EA" w:rsidRDefault="008F71EA" w:rsidP="008F71EA">
      <w:pPr>
        <w:pStyle w:val="FootnoteText"/>
      </w:pPr>
      <w:r>
        <w:rPr>
          <w:rStyle w:val="FootnoteReference"/>
        </w:rPr>
        <w:footnoteRef/>
      </w:r>
      <w:r>
        <w:t xml:space="preserve"> </w:t>
      </w:r>
      <w:r w:rsidRPr="00F17090">
        <w:rPr>
          <w:szCs w:val="16"/>
        </w:rPr>
        <w:t>Department of Health</w:t>
      </w:r>
      <w:r>
        <w:rPr>
          <w:szCs w:val="16"/>
        </w:rPr>
        <w:t>, Disability</w:t>
      </w:r>
      <w:r w:rsidRPr="00F17090">
        <w:rPr>
          <w:szCs w:val="16"/>
        </w:rPr>
        <w:t xml:space="preserve"> and </w:t>
      </w:r>
      <w:r>
        <w:rPr>
          <w:szCs w:val="16"/>
        </w:rPr>
        <w:t>Ageing</w:t>
      </w:r>
      <w:r w:rsidRPr="00F17090">
        <w:rPr>
          <w:szCs w:val="16"/>
        </w:rPr>
        <w:t xml:space="preserve">. (2024). </w:t>
      </w:r>
      <w:r w:rsidRPr="00F17090">
        <w:rPr>
          <w:i/>
          <w:iCs/>
          <w:szCs w:val="16"/>
        </w:rPr>
        <w:t>External Breast Prostheses Reimbursement Program Evaluation</w:t>
      </w:r>
      <w:r w:rsidRPr="00F17090">
        <w:rPr>
          <w:szCs w:val="16"/>
        </w:rPr>
        <w:t>. https://www.health.gov.au/sites/default/files/2024-09/external-breast-prostheses-reimbursement-program-evaluation-june-2024.pdf</w:t>
      </w:r>
    </w:p>
  </w:footnote>
  <w:footnote w:id="165">
    <w:p w14:paraId="2CCF0F3D" w14:textId="77777777" w:rsidR="00DD1E2B" w:rsidRPr="00A239A7" w:rsidRDefault="00DD1E2B" w:rsidP="00DD1E2B">
      <w:pPr>
        <w:pStyle w:val="FootnoteText"/>
        <w:rPr>
          <w:szCs w:val="16"/>
        </w:rPr>
      </w:pPr>
      <w:r w:rsidRPr="00A239A7">
        <w:rPr>
          <w:rStyle w:val="FootnoteReference"/>
          <w:szCs w:val="16"/>
        </w:rPr>
        <w:footnoteRef/>
      </w:r>
      <w:r w:rsidRPr="00A239A7">
        <w:rPr>
          <w:szCs w:val="16"/>
        </w:rPr>
        <w:t xml:space="preserve"> </w:t>
      </w:r>
      <w:r w:rsidRPr="00ED519F">
        <w:rPr>
          <w:szCs w:val="16"/>
        </w:rPr>
        <w:t>Huynh, T.H.N., Kuruvilla, D.R., Nester, M.D. </w:t>
      </w:r>
      <w:r w:rsidRPr="00ED519F">
        <w:rPr>
          <w:i/>
          <w:iCs/>
          <w:szCs w:val="16"/>
        </w:rPr>
        <w:t>et al.</w:t>
      </w:r>
      <w:r w:rsidRPr="00ED519F">
        <w:rPr>
          <w:szCs w:val="16"/>
        </w:rPr>
        <w:t> Limb Amputations in Cancer: Modern Perspectives, Outcomes, and Alternatives. </w:t>
      </w:r>
      <w:r w:rsidRPr="00ED519F">
        <w:rPr>
          <w:i/>
          <w:iCs/>
          <w:szCs w:val="16"/>
        </w:rPr>
        <w:t>Curr Oncol Rep</w:t>
      </w:r>
      <w:r w:rsidRPr="00ED519F">
        <w:rPr>
          <w:szCs w:val="16"/>
        </w:rPr>
        <w:t> </w:t>
      </w:r>
      <w:r w:rsidRPr="00ED519F">
        <w:rPr>
          <w:b/>
          <w:bCs/>
          <w:szCs w:val="16"/>
        </w:rPr>
        <w:t>25</w:t>
      </w:r>
      <w:r w:rsidRPr="00ED519F">
        <w:rPr>
          <w:szCs w:val="16"/>
        </w:rPr>
        <w:t>, 1457–1465 (2023). https://doi.org/10.1007/s11912-023-01475-5</w:t>
      </w:r>
    </w:p>
  </w:footnote>
  <w:footnote w:id="166">
    <w:p w14:paraId="723EABDC" w14:textId="45A9E256" w:rsidR="00DD1E2B" w:rsidRPr="0019780B" w:rsidRDefault="00DD1E2B" w:rsidP="00DD1E2B">
      <w:pPr>
        <w:pStyle w:val="FootnoteText"/>
        <w:rPr>
          <w:szCs w:val="16"/>
        </w:rPr>
      </w:pPr>
      <w:r w:rsidRPr="00A239A7">
        <w:rPr>
          <w:rStyle w:val="FootnoteReference"/>
          <w:szCs w:val="16"/>
        </w:rPr>
        <w:footnoteRef/>
      </w:r>
      <w:r>
        <w:rPr>
          <w:szCs w:val="16"/>
        </w:rPr>
        <w:t xml:space="preserve"> </w:t>
      </w:r>
      <w:r w:rsidRPr="00CE1C89">
        <w:rPr>
          <w:szCs w:val="16"/>
        </w:rPr>
        <w:t>Evans, D.R., Lazarides, A.L., Visgauss, J.D. </w:t>
      </w:r>
      <w:r w:rsidRPr="00CE1C89">
        <w:rPr>
          <w:i/>
          <w:iCs/>
          <w:szCs w:val="16"/>
        </w:rPr>
        <w:t>et al.</w:t>
      </w:r>
      <w:r w:rsidRPr="00CE1C89">
        <w:rPr>
          <w:szCs w:val="16"/>
        </w:rPr>
        <w:t> Limb salvage versus amputation in patients with osteosarcoma of the extremities: an update in the modern era using the National Cancer Database. </w:t>
      </w:r>
      <w:r w:rsidRPr="00CE1C89">
        <w:rPr>
          <w:i/>
          <w:iCs/>
          <w:szCs w:val="16"/>
        </w:rPr>
        <w:t>BMC Cancer</w:t>
      </w:r>
      <w:r w:rsidRPr="00CE1C89">
        <w:rPr>
          <w:szCs w:val="16"/>
        </w:rPr>
        <w:t> </w:t>
      </w:r>
      <w:r w:rsidRPr="00CE1C89">
        <w:rPr>
          <w:b/>
          <w:bCs/>
          <w:szCs w:val="16"/>
        </w:rPr>
        <w:t>20</w:t>
      </w:r>
      <w:r w:rsidRPr="00CE1C89">
        <w:rPr>
          <w:szCs w:val="16"/>
        </w:rPr>
        <w:t>, 995 (2020). https://doi.org/10.1186/s12885-020-07502-z</w:t>
      </w:r>
    </w:p>
  </w:footnote>
  <w:footnote w:id="167">
    <w:p w14:paraId="51D1DC0D" w14:textId="77777777" w:rsidR="00B275A0" w:rsidRDefault="00B275A0" w:rsidP="00B275A0">
      <w:pPr>
        <w:pStyle w:val="FootnoteText"/>
      </w:pPr>
      <w:r w:rsidRPr="00A4554B">
        <w:rPr>
          <w:rStyle w:val="FootnoteReference"/>
          <w:szCs w:val="16"/>
        </w:rPr>
        <w:footnoteRef/>
      </w:r>
      <w:r w:rsidRPr="00A4554B">
        <w:rPr>
          <w:szCs w:val="16"/>
        </w:rPr>
        <w:t xml:space="preserve"> In line with the Australian Cancer Plan, priority population groups include Aboriginal and Torres Strait Islander </w:t>
      </w:r>
      <w:r>
        <w:rPr>
          <w:szCs w:val="16"/>
        </w:rPr>
        <w:t>people</w:t>
      </w:r>
      <w:r w:rsidRPr="00A4554B">
        <w:rPr>
          <w:szCs w:val="16"/>
        </w:rPr>
        <w:t xml:space="preserve">, </w:t>
      </w:r>
      <w:r>
        <w:rPr>
          <w:szCs w:val="16"/>
        </w:rPr>
        <w:t>people</w:t>
      </w:r>
      <w:r w:rsidRPr="00A4554B">
        <w:rPr>
          <w:szCs w:val="16"/>
        </w:rPr>
        <w:t xml:space="preserve"> living in rural and remote areas, LGBTIQA+ </w:t>
      </w:r>
      <w:r>
        <w:rPr>
          <w:szCs w:val="16"/>
        </w:rPr>
        <w:t>people</w:t>
      </w:r>
      <w:r w:rsidRPr="00A4554B">
        <w:rPr>
          <w:szCs w:val="16"/>
        </w:rPr>
        <w:t xml:space="preserve">, </w:t>
      </w:r>
      <w:r>
        <w:rPr>
          <w:szCs w:val="16"/>
        </w:rPr>
        <w:t>people</w:t>
      </w:r>
      <w:r w:rsidRPr="00A4554B">
        <w:rPr>
          <w:szCs w:val="16"/>
        </w:rPr>
        <w:t xml:space="preserve"> from Culturally and Linguistically Diverse backgrounds, </w:t>
      </w:r>
      <w:r>
        <w:rPr>
          <w:szCs w:val="16"/>
        </w:rPr>
        <w:t>people</w:t>
      </w:r>
      <w:r w:rsidRPr="00A4554B">
        <w:rPr>
          <w:szCs w:val="16"/>
        </w:rPr>
        <w:t xml:space="preserve"> living with disability, </w:t>
      </w:r>
      <w:r>
        <w:rPr>
          <w:szCs w:val="16"/>
        </w:rPr>
        <w:t>people</w:t>
      </w:r>
      <w:r w:rsidRPr="00A4554B">
        <w:rPr>
          <w:szCs w:val="16"/>
        </w:rPr>
        <w:t xml:space="preserve"> in lower socioeconomic groups, </w:t>
      </w:r>
      <w:r>
        <w:rPr>
          <w:szCs w:val="16"/>
        </w:rPr>
        <w:t>people</w:t>
      </w:r>
      <w:r w:rsidRPr="00A4554B">
        <w:rPr>
          <w:szCs w:val="16"/>
        </w:rPr>
        <w:t xml:space="preserve"> living with a mental illness, older </w:t>
      </w:r>
      <w:r>
        <w:rPr>
          <w:szCs w:val="16"/>
        </w:rPr>
        <w:t>people</w:t>
      </w:r>
      <w:r w:rsidRPr="00A4554B">
        <w:rPr>
          <w:szCs w:val="16"/>
        </w:rPr>
        <w:t>, adolescent</w:t>
      </w:r>
      <w:r>
        <w:rPr>
          <w:szCs w:val="16"/>
        </w:rPr>
        <w:t>s</w:t>
      </w:r>
      <w:r w:rsidRPr="00A4554B">
        <w:rPr>
          <w:szCs w:val="16"/>
        </w:rPr>
        <w:t xml:space="preserve"> and young adult </w:t>
      </w:r>
      <w:r>
        <w:rPr>
          <w:szCs w:val="16"/>
        </w:rPr>
        <w:t>people,</w:t>
      </w:r>
      <w:r w:rsidRPr="00A4554B">
        <w:rPr>
          <w:szCs w:val="16"/>
        </w:rPr>
        <w:t xml:space="preserve"> and children</w:t>
      </w:r>
    </w:p>
  </w:footnote>
  <w:footnote w:id="168">
    <w:p w14:paraId="7AF3CFA0" w14:textId="77777777" w:rsidR="00B275A0" w:rsidRDefault="00B275A0" w:rsidP="00B275A0">
      <w:pPr>
        <w:pStyle w:val="FootnoteText"/>
      </w:pPr>
      <w:r w:rsidRPr="00A4554B">
        <w:rPr>
          <w:rStyle w:val="FootnoteReference"/>
          <w:szCs w:val="16"/>
        </w:rPr>
        <w:footnoteRef/>
      </w:r>
      <w:r w:rsidRPr="00A4554B">
        <w:rPr>
          <w:szCs w:val="16"/>
        </w:rPr>
        <w:t xml:space="preserve"> In line with the Australian Cancer Plan, priority population groups include Aboriginal and Torres Strait Islander </w:t>
      </w:r>
      <w:r>
        <w:rPr>
          <w:szCs w:val="16"/>
        </w:rPr>
        <w:t>people</w:t>
      </w:r>
      <w:r w:rsidRPr="00A4554B">
        <w:rPr>
          <w:szCs w:val="16"/>
        </w:rPr>
        <w:t>,</w:t>
      </w:r>
      <w:r>
        <w:rPr>
          <w:szCs w:val="16"/>
        </w:rPr>
        <w:t xml:space="preserve"> people</w:t>
      </w:r>
      <w:r w:rsidRPr="00A4554B">
        <w:rPr>
          <w:szCs w:val="16"/>
        </w:rPr>
        <w:t xml:space="preserve"> living in rural and remote areas, LGBTIQA+ </w:t>
      </w:r>
      <w:r>
        <w:rPr>
          <w:szCs w:val="16"/>
        </w:rPr>
        <w:t>people</w:t>
      </w:r>
      <w:r w:rsidRPr="00A4554B">
        <w:rPr>
          <w:szCs w:val="16"/>
        </w:rPr>
        <w:t xml:space="preserve">, </w:t>
      </w:r>
      <w:r>
        <w:rPr>
          <w:szCs w:val="16"/>
        </w:rPr>
        <w:t>people</w:t>
      </w:r>
      <w:r w:rsidRPr="00A4554B">
        <w:rPr>
          <w:szCs w:val="16"/>
        </w:rPr>
        <w:t xml:space="preserve"> from Culturally and Linguistically Diverse backgrounds, </w:t>
      </w:r>
      <w:r>
        <w:rPr>
          <w:szCs w:val="16"/>
        </w:rPr>
        <w:t>people</w:t>
      </w:r>
      <w:r w:rsidRPr="00A4554B">
        <w:rPr>
          <w:szCs w:val="16"/>
        </w:rPr>
        <w:t xml:space="preserve"> living with disability, </w:t>
      </w:r>
      <w:r>
        <w:rPr>
          <w:szCs w:val="16"/>
        </w:rPr>
        <w:t>people</w:t>
      </w:r>
      <w:r w:rsidRPr="00A4554B">
        <w:rPr>
          <w:szCs w:val="16"/>
        </w:rPr>
        <w:t xml:space="preserve"> in lower socioeconomic groups, </w:t>
      </w:r>
      <w:r>
        <w:rPr>
          <w:szCs w:val="16"/>
        </w:rPr>
        <w:t>people</w:t>
      </w:r>
      <w:r w:rsidRPr="00A4554B">
        <w:rPr>
          <w:szCs w:val="16"/>
        </w:rPr>
        <w:t xml:space="preserve"> living with a mental illness, older </w:t>
      </w:r>
      <w:r>
        <w:rPr>
          <w:szCs w:val="16"/>
        </w:rPr>
        <w:t>people</w:t>
      </w:r>
      <w:r w:rsidRPr="00A4554B">
        <w:rPr>
          <w:szCs w:val="16"/>
        </w:rPr>
        <w:t xml:space="preserve">, adolescent and young adult </w:t>
      </w:r>
      <w:r>
        <w:rPr>
          <w:szCs w:val="16"/>
        </w:rPr>
        <w:t>people</w:t>
      </w:r>
      <w:r w:rsidRPr="00A4554B">
        <w:rPr>
          <w:szCs w:val="16"/>
        </w:rPr>
        <w:t xml:space="preserve"> and children</w:t>
      </w:r>
    </w:p>
  </w:footnote>
  <w:footnote w:id="169">
    <w:p w14:paraId="76713A23" w14:textId="691C9C7D" w:rsidR="00B275A0" w:rsidRPr="0079542A" w:rsidRDefault="00B275A0" w:rsidP="00B275A0">
      <w:pPr>
        <w:pStyle w:val="FootnoteText"/>
      </w:pPr>
      <w:r w:rsidRPr="005B18B8">
        <w:rPr>
          <w:rStyle w:val="FootnoteReference"/>
          <w:szCs w:val="16"/>
        </w:rPr>
        <w:footnoteRef/>
      </w:r>
      <w:r w:rsidRPr="005B18B8">
        <w:rPr>
          <w:szCs w:val="16"/>
        </w:rPr>
        <w:t xml:space="preserve"> </w:t>
      </w:r>
      <w:r w:rsidR="0079542A" w:rsidRPr="00A4554B">
        <w:rPr>
          <w:szCs w:val="16"/>
        </w:rPr>
        <w:t xml:space="preserve">In line with the Australian Cancer Plan, priority population groups include Aboriginal and Torres Strait Islander </w:t>
      </w:r>
      <w:r w:rsidR="0079542A">
        <w:rPr>
          <w:szCs w:val="16"/>
        </w:rPr>
        <w:t>people</w:t>
      </w:r>
      <w:r w:rsidR="0079542A" w:rsidRPr="00A4554B">
        <w:rPr>
          <w:szCs w:val="16"/>
        </w:rPr>
        <w:t>,</w:t>
      </w:r>
      <w:r w:rsidR="0079542A">
        <w:rPr>
          <w:szCs w:val="16"/>
        </w:rPr>
        <w:t xml:space="preserve"> people</w:t>
      </w:r>
      <w:r w:rsidR="0079542A" w:rsidRPr="00A4554B">
        <w:rPr>
          <w:szCs w:val="16"/>
        </w:rPr>
        <w:t xml:space="preserve"> living in rural and remote areas, LGBTIQA+ </w:t>
      </w:r>
      <w:r w:rsidR="0079542A">
        <w:rPr>
          <w:szCs w:val="16"/>
        </w:rPr>
        <w:t>people</w:t>
      </w:r>
      <w:r w:rsidR="0079542A" w:rsidRPr="00A4554B">
        <w:rPr>
          <w:szCs w:val="16"/>
        </w:rPr>
        <w:t xml:space="preserve">, </w:t>
      </w:r>
      <w:r w:rsidR="0079542A">
        <w:rPr>
          <w:szCs w:val="16"/>
        </w:rPr>
        <w:t>people</w:t>
      </w:r>
      <w:r w:rsidR="0079542A" w:rsidRPr="00A4554B">
        <w:rPr>
          <w:szCs w:val="16"/>
        </w:rPr>
        <w:t xml:space="preserve"> from Culturally and Linguistically Diverse backgrounds, </w:t>
      </w:r>
      <w:r w:rsidR="0079542A">
        <w:rPr>
          <w:szCs w:val="16"/>
        </w:rPr>
        <w:t>people</w:t>
      </w:r>
      <w:r w:rsidR="0079542A" w:rsidRPr="00A4554B">
        <w:rPr>
          <w:szCs w:val="16"/>
        </w:rPr>
        <w:t xml:space="preserve"> living with disability, </w:t>
      </w:r>
      <w:r w:rsidR="0079542A">
        <w:rPr>
          <w:szCs w:val="16"/>
        </w:rPr>
        <w:t>people</w:t>
      </w:r>
      <w:r w:rsidR="0079542A" w:rsidRPr="00A4554B">
        <w:rPr>
          <w:szCs w:val="16"/>
        </w:rPr>
        <w:t xml:space="preserve"> in lower socioeconomic groups, </w:t>
      </w:r>
      <w:r w:rsidR="0079542A">
        <w:rPr>
          <w:szCs w:val="16"/>
        </w:rPr>
        <w:t>people</w:t>
      </w:r>
      <w:r w:rsidR="0079542A" w:rsidRPr="00A4554B">
        <w:rPr>
          <w:szCs w:val="16"/>
        </w:rPr>
        <w:t xml:space="preserve"> living with a mental illness, older </w:t>
      </w:r>
      <w:r w:rsidR="0079542A">
        <w:rPr>
          <w:szCs w:val="16"/>
        </w:rPr>
        <w:t>people</w:t>
      </w:r>
      <w:r w:rsidR="0079542A" w:rsidRPr="00A4554B">
        <w:rPr>
          <w:szCs w:val="16"/>
        </w:rPr>
        <w:t xml:space="preserve">, adolescent and young adult </w:t>
      </w:r>
      <w:r w:rsidR="0079542A">
        <w:rPr>
          <w:szCs w:val="16"/>
        </w:rPr>
        <w:t>people</w:t>
      </w:r>
      <w:r w:rsidR="0079542A" w:rsidRPr="00A4554B">
        <w:rPr>
          <w:szCs w:val="16"/>
        </w:rPr>
        <w:t xml:space="preserve"> and children</w:t>
      </w:r>
    </w:p>
  </w:footnote>
  <w:footnote w:id="170">
    <w:p w14:paraId="70D04B38" w14:textId="6F8978A6" w:rsidR="00B275A0" w:rsidRDefault="00B275A0" w:rsidP="00B275A0">
      <w:pPr>
        <w:pStyle w:val="FootnoteText"/>
      </w:pPr>
      <w:r w:rsidRPr="003F1697">
        <w:rPr>
          <w:rStyle w:val="FootnoteReference"/>
          <w:szCs w:val="16"/>
        </w:rPr>
        <w:footnoteRef/>
      </w:r>
      <w:r w:rsidR="00EC09DB" w:rsidRPr="003F1697">
        <w:rPr>
          <w:szCs w:val="16"/>
        </w:rPr>
        <w:t xml:space="preserve"> </w:t>
      </w:r>
      <w:r w:rsidR="00331184" w:rsidRPr="00A4554B">
        <w:rPr>
          <w:szCs w:val="16"/>
        </w:rPr>
        <w:t xml:space="preserve">In line with the Australian Cancer Plan, priority population groups include Aboriginal and Torres Strait Islander </w:t>
      </w:r>
      <w:r w:rsidR="00331184">
        <w:rPr>
          <w:szCs w:val="16"/>
        </w:rPr>
        <w:t>people</w:t>
      </w:r>
      <w:r w:rsidR="00331184" w:rsidRPr="00A4554B">
        <w:rPr>
          <w:szCs w:val="16"/>
        </w:rPr>
        <w:t xml:space="preserve">, </w:t>
      </w:r>
      <w:r w:rsidR="00331184">
        <w:rPr>
          <w:szCs w:val="16"/>
        </w:rPr>
        <w:t>people</w:t>
      </w:r>
      <w:r w:rsidR="00331184" w:rsidRPr="00A4554B">
        <w:rPr>
          <w:szCs w:val="16"/>
        </w:rPr>
        <w:t xml:space="preserve"> living in rural and remote areas, LGBTIQA+ </w:t>
      </w:r>
      <w:r w:rsidR="00331184">
        <w:rPr>
          <w:szCs w:val="16"/>
        </w:rPr>
        <w:t>people</w:t>
      </w:r>
      <w:r w:rsidR="00331184" w:rsidRPr="00A4554B">
        <w:rPr>
          <w:szCs w:val="16"/>
        </w:rPr>
        <w:t xml:space="preserve">, </w:t>
      </w:r>
      <w:r w:rsidR="00331184">
        <w:rPr>
          <w:szCs w:val="16"/>
        </w:rPr>
        <w:t>people</w:t>
      </w:r>
      <w:r w:rsidR="00331184" w:rsidRPr="00A4554B">
        <w:rPr>
          <w:szCs w:val="16"/>
        </w:rPr>
        <w:t xml:space="preserve"> from Culturally and Linguistically Diverse backgrounds, </w:t>
      </w:r>
      <w:r w:rsidR="00331184">
        <w:rPr>
          <w:szCs w:val="16"/>
        </w:rPr>
        <w:t>people</w:t>
      </w:r>
      <w:r w:rsidR="00331184" w:rsidRPr="00A4554B">
        <w:rPr>
          <w:szCs w:val="16"/>
        </w:rPr>
        <w:t xml:space="preserve"> living with disability, </w:t>
      </w:r>
      <w:r w:rsidR="00331184">
        <w:rPr>
          <w:szCs w:val="16"/>
        </w:rPr>
        <w:t>people</w:t>
      </w:r>
      <w:r w:rsidR="00331184" w:rsidRPr="00A4554B">
        <w:rPr>
          <w:szCs w:val="16"/>
        </w:rPr>
        <w:t xml:space="preserve"> in lower socioeconomic groups, </w:t>
      </w:r>
      <w:r w:rsidR="00331184">
        <w:rPr>
          <w:szCs w:val="16"/>
        </w:rPr>
        <w:t>people</w:t>
      </w:r>
      <w:r w:rsidR="00331184" w:rsidRPr="00A4554B">
        <w:rPr>
          <w:szCs w:val="16"/>
        </w:rPr>
        <w:t xml:space="preserve"> living with a mental illness, older </w:t>
      </w:r>
      <w:r w:rsidR="00331184">
        <w:rPr>
          <w:szCs w:val="16"/>
        </w:rPr>
        <w:t>people</w:t>
      </w:r>
      <w:r w:rsidR="00331184" w:rsidRPr="00A4554B">
        <w:rPr>
          <w:szCs w:val="16"/>
        </w:rPr>
        <w:t xml:space="preserve">, adolescent and young adult </w:t>
      </w:r>
      <w:r w:rsidR="00331184">
        <w:rPr>
          <w:szCs w:val="16"/>
        </w:rPr>
        <w:t>people</w:t>
      </w:r>
      <w:r w:rsidR="00331184" w:rsidRPr="00A4554B">
        <w:rPr>
          <w:szCs w:val="16"/>
        </w:rPr>
        <w:t xml:space="preserve"> and children</w:t>
      </w:r>
    </w:p>
  </w:footnote>
  <w:footnote w:id="171">
    <w:p w14:paraId="01E2A2F3" w14:textId="6A4EF529" w:rsidR="00B275A0" w:rsidRDefault="00B275A0" w:rsidP="00B275A0">
      <w:pPr>
        <w:pStyle w:val="FootnoteText"/>
      </w:pPr>
      <w:r w:rsidRPr="00952193">
        <w:rPr>
          <w:rStyle w:val="FootnoteReference"/>
          <w:szCs w:val="16"/>
        </w:rPr>
        <w:footnoteRef/>
      </w:r>
      <w:r w:rsidR="00EC09DB" w:rsidRPr="00952193">
        <w:rPr>
          <w:szCs w:val="16"/>
        </w:rPr>
        <w:t xml:space="preserve"> </w:t>
      </w:r>
      <w:r w:rsidR="00331184">
        <w:rPr>
          <w:szCs w:val="16"/>
        </w:rPr>
        <w:t>Ibid.</w:t>
      </w:r>
    </w:p>
  </w:footnote>
  <w:footnote w:id="172">
    <w:p w14:paraId="4AC8DFA3" w14:textId="77777777" w:rsidR="00110E9D" w:rsidRDefault="00110E9D" w:rsidP="00110E9D">
      <w:pPr>
        <w:pStyle w:val="FootnoteText"/>
      </w:pPr>
      <w:r>
        <w:rPr>
          <w:rStyle w:val="FootnoteReference"/>
        </w:rPr>
        <w:footnoteRef/>
      </w:r>
      <w:r>
        <w:t xml:space="preserve"> </w:t>
      </w:r>
      <w:r w:rsidRPr="00515051">
        <w:rPr>
          <w:szCs w:val="16"/>
        </w:rPr>
        <w:t>The Department of Veterans Affairs</w:t>
      </w:r>
      <w:r>
        <w:rPr>
          <w:szCs w:val="16"/>
        </w:rPr>
        <w:t xml:space="preserve">. (2023). </w:t>
      </w:r>
      <w:r>
        <w:rPr>
          <w:i/>
          <w:iCs/>
          <w:szCs w:val="16"/>
        </w:rPr>
        <w:t>RAP National Schedule of Equipment</w:t>
      </w:r>
      <w:r>
        <w:rPr>
          <w:szCs w:val="16"/>
        </w:rPr>
        <w:t xml:space="preserve">. </w:t>
      </w:r>
      <w:r w:rsidRPr="008150C7">
        <w:rPr>
          <w:szCs w:val="16"/>
        </w:rPr>
        <w:t>https://www.dva.gov.au/sites/default/files/2023-06/RAPSchedule-June2023.pdf</w:t>
      </w:r>
    </w:p>
  </w:footnote>
  <w:footnote w:id="173">
    <w:p w14:paraId="269BCDB2" w14:textId="77777777" w:rsidR="00C7217D" w:rsidRDefault="00C7217D" w:rsidP="00C7217D">
      <w:pPr>
        <w:pStyle w:val="FootnoteText"/>
      </w:pPr>
      <w:r>
        <w:rPr>
          <w:rStyle w:val="FootnoteReference"/>
        </w:rPr>
        <w:footnoteRef/>
      </w:r>
      <w:r>
        <w:t xml:space="preserve"> </w:t>
      </w:r>
      <w:r w:rsidRPr="00AA5691">
        <w:rPr>
          <w:szCs w:val="16"/>
        </w:rPr>
        <w:t xml:space="preserve">Canberra Health Services. (2023). </w:t>
      </w:r>
      <w:r w:rsidRPr="00AA5691">
        <w:rPr>
          <w:i/>
          <w:iCs/>
          <w:szCs w:val="16"/>
        </w:rPr>
        <w:t>Provision of Prosthetic Eyes (Adults and Children).</w:t>
      </w:r>
      <w:r w:rsidRPr="00AA5691">
        <w:rPr>
          <w:szCs w:val="16"/>
        </w:rPr>
        <w:t xml:space="preserve"> https://view.officeapps.live.com/op/view.aspx?src=https%3A%2F%2Fwww.canberrahealthservices.act.gov.au%2F__data%2Fassets%2Fword_doc%2F0005%2F1981607%2FProvision-of-Prosthetic-Eyes.docx&amp;wdOrigin=BROWSELINK</w:t>
      </w:r>
    </w:p>
  </w:footnote>
  <w:footnote w:id="174">
    <w:p w14:paraId="4B5D5D68" w14:textId="77777777" w:rsidR="008F122F" w:rsidRPr="000F07FD" w:rsidRDefault="008F122F" w:rsidP="008F122F">
      <w:pPr>
        <w:pStyle w:val="FootnoteText"/>
      </w:pPr>
      <w:r w:rsidRPr="000F07FD">
        <w:rPr>
          <w:rStyle w:val="FootnoteReference"/>
        </w:rPr>
        <w:footnoteRef/>
      </w:r>
      <w:r w:rsidRPr="000F07FD">
        <w:t xml:space="preserve"> </w:t>
      </w:r>
      <w:r w:rsidRPr="000F07FD">
        <w:rPr>
          <w:szCs w:val="16"/>
        </w:rPr>
        <w:t xml:space="preserve">Royal Brisbane and Women’s Hospital. (2022). </w:t>
      </w:r>
      <w:r w:rsidRPr="000F07FD">
        <w:rPr>
          <w:i/>
          <w:iCs/>
          <w:szCs w:val="16"/>
        </w:rPr>
        <w:t>Oral and Maxillofacial Surgery</w:t>
      </w:r>
      <w:r w:rsidRPr="000F07FD">
        <w:rPr>
          <w:szCs w:val="16"/>
        </w:rPr>
        <w:t>. https://metronorth.health.qld.gov.au/rbwh/healthcare-services/oral-maxillofacial#professional</w:t>
      </w:r>
    </w:p>
  </w:footnote>
  <w:footnote w:id="175">
    <w:p w14:paraId="5EDB0D6B" w14:textId="77777777" w:rsidR="00DB00A2" w:rsidRPr="000F07FD" w:rsidRDefault="00DB00A2" w:rsidP="00DB00A2">
      <w:pPr>
        <w:pStyle w:val="FootnoteText"/>
      </w:pPr>
      <w:r w:rsidRPr="000F07FD">
        <w:rPr>
          <w:rStyle w:val="FootnoteReference"/>
        </w:rPr>
        <w:footnoteRef/>
      </w:r>
      <w:r w:rsidRPr="000F07FD">
        <w:t xml:space="preserve"> </w:t>
      </w:r>
      <w:r w:rsidRPr="00E33B26">
        <w:rPr>
          <w:szCs w:val="16"/>
        </w:rPr>
        <w:t xml:space="preserve">The Royal Melbourne Hospital. (2023). </w:t>
      </w:r>
      <w:r w:rsidRPr="00E33B26">
        <w:rPr>
          <w:i/>
          <w:iCs/>
          <w:szCs w:val="16"/>
        </w:rPr>
        <w:t>Maxillofacial Prosthetics.</w:t>
      </w:r>
      <w:r w:rsidRPr="00E33B26">
        <w:rPr>
          <w:szCs w:val="16"/>
        </w:rPr>
        <w:t xml:space="preserve"> https://www.thermh.org.au/services/maxillofacial-prosthetics</w:t>
      </w:r>
    </w:p>
  </w:footnote>
  <w:footnote w:id="176">
    <w:p w14:paraId="5798CF80" w14:textId="77777777" w:rsidR="00380EBA" w:rsidRDefault="00380EBA" w:rsidP="00380EBA">
      <w:pPr>
        <w:pStyle w:val="FootnoteText"/>
      </w:pPr>
      <w:r>
        <w:rPr>
          <w:rStyle w:val="FootnoteReference"/>
        </w:rPr>
        <w:footnoteRef/>
      </w:r>
      <w:r>
        <w:t xml:space="preserve"> </w:t>
      </w:r>
      <w:r w:rsidRPr="00F56DC6">
        <w:rPr>
          <w:szCs w:val="16"/>
        </w:rPr>
        <w:t xml:space="preserve">Services Australia. (2024). </w:t>
      </w:r>
      <w:r w:rsidRPr="00F56DC6">
        <w:rPr>
          <w:i/>
          <w:iCs/>
          <w:szCs w:val="16"/>
        </w:rPr>
        <w:t>External Breast Prostheses Reimbursement Program</w:t>
      </w:r>
      <w:r w:rsidRPr="00F56DC6">
        <w:rPr>
          <w:szCs w:val="16"/>
        </w:rPr>
        <w:t>. https://www.servicesaustralia.gov.au/how-to-claim-external-breast-prosthesis-reimbursement-program?context=21976</w:t>
      </w:r>
    </w:p>
  </w:footnote>
  <w:footnote w:id="177">
    <w:p w14:paraId="53DADFC5" w14:textId="77777777" w:rsidR="00652100" w:rsidRDefault="00652100" w:rsidP="00652100">
      <w:pPr>
        <w:pStyle w:val="FootnoteText"/>
      </w:pPr>
      <w:r w:rsidRPr="00475583">
        <w:rPr>
          <w:rStyle w:val="FootnoteReference"/>
          <w:szCs w:val="16"/>
        </w:rPr>
        <w:footnoteRef/>
      </w:r>
      <w:r w:rsidRPr="00475583">
        <w:rPr>
          <w:szCs w:val="16"/>
        </w:rPr>
        <w:t xml:space="preserve"> Breast Cancer Network Australia. (2025). </w:t>
      </w:r>
      <w:r w:rsidRPr="000042B6">
        <w:rPr>
          <w:i/>
          <w:iCs/>
          <w:szCs w:val="16"/>
        </w:rPr>
        <w:t>My Care Kit</w:t>
      </w:r>
      <w:r w:rsidRPr="00475583">
        <w:rPr>
          <w:szCs w:val="16"/>
        </w:rPr>
        <w:t>. https://www.bcna.org.au/my-care-kit/</w:t>
      </w:r>
    </w:p>
  </w:footnote>
  <w:footnote w:id="178">
    <w:p w14:paraId="3A0B47B4" w14:textId="6646464F" w:rsidR="00652100" w:rsidRDefault="00652100" w:rsidP="00652100">
      <w:pPr>
        <w:pStyle w:val="FootnoteText"/>
      </w:pPr>
      <w:r w:rsidRPr="00475583">
        <w:rPr>
          <w:rStyle w:val="FootnoteReference"/>
          <w:szCs w:val="16"/>
        </w:rPr>
        <w:footnoteRef/>
      </w:r>
      <w:r w:rsidRPr="00475583">
        <w:rPr>
          <w:szCs w:val="16"/>
        </w:rPr>
        <w:t xml:space="preserve"> </w:t>
      </w:r>
      <w:r>
        <w:rPr>
          <w:szCs w:val="16"/>
        </w:rPr>
        <w:t>Knitted Knockers Australia</w:t>
      </w:r>
      <w:r w:rsidRPr="00475583">
        <w:rPr>
          <w:szCs w:val="16"/>
        </w:rPr>
        <w:t>. (</w:t>
      </w:r>
      <w:r>
        <w:rPr>
          <w:szCs w:val="16"/>
        </w:rPr>
        <w:t>n.d.</w:t>
      </w:r>
      <w:r w:rsidRPr="00475583">
        <w:rPr>
          <w:szCs w:val="16"/>
        </w:rPr>
        <w:t xml:space="preserve">). </w:t>
      </w:r>
      <w:r w:rsidRPr="000042B6">
        <w:rPr>
          <w:i/>
          <w:iCs/>
          <w:szCs w:val="16"/>
        </w:rPr>
        <w:t>Prosthesis</w:t>
      </w:r>
      <w:r w:rsidRPr="00475583">
        <w:rPr>
          <w:szCs w:val="16"/>
        </w:rPr>
        <w:t xml:space="preserve">. </w:t>
      </w:r>
      <w:r w:rsidRPr="002F1D85">
        <w:rPr>
          <w:szCs w:val="16"/>
        </w:rPr>
        <w:t>https://knittedknockersaustralia.com/</w:t>
      </w:r>
      <w:r w:rsidR="00243A26">
        <w:rPr>
          <w:szCs w:val="16"/>
        </w:rPr>
        <w:t>prosthesis</w:t>
      </w:r>
      <w:r w:rsidRPr="002F1D85">
        <w:rPr>
          <w:szCs w:val="16"/>
        </w:rPr>
        <w:t>/</w:t>
      </w:r>
    </w:p>
  </w:footnote>
  <w:footnote w:id="179">
    <w:p w14:paraId="4F28A859" w14:textId="77777777" w:rsidR="00652100" w:rsidRDefault="00652100" w:rsidP="00652100">
      <w:pPr>
        <w:pStyle w:val="FootnoteText"/>
      </w:pPr>
      <w:r>
        <w:rPr>
          <w:rStyle w:val="FootnoteReference"/>
        </w:rPr>
        <w:footnoteRef/>
      </w:r>
      <w:r>
        <w:t xml:space="preserve"> </w:t>
      </w:r>
      <w:r w:rsidRPr="00515051">
        <w:rPr>
          <w:szCs w:val="16"/>
        </w:rPr>
        <w:t>The Department of Veterans Affairs</w:t>
      </w:r>
      <w:r>
        <w:rPr>
          <w:szCs w:val="16"/>
        </w:rPr>
        <w:t xml:space="preserve">. (2021). </w:t>
      </w:r>
      <w:r w:rsidRPr="00EF6CAE">
        <w:rPr>
          <w:i/>
          <w:iCs/>
          <w:szCs w:val="16"/>
        </w:rPr>
        <w:t>Breast Prosthesis – Non-implanted</w:t>
      </w:r>
      <w:r>
        <w:rPr>
          <w:szCs w:val="16"/>
        </w:rPr>
        <w:t xml:space="preserve">. </w:t>
      </w:r>
      <w:r w:rsidRPr="00EF6CAE">
        <w:rPr>
          <w:szCs w:val="16"/>
        </w:rPr>
        <w:t>https://www.dva.gov.au/providers/rehabilitation-appliances-program-rap/rap-schedule/rap-aw02</w:t>
      </w:r>
    </w:p>
  </w:footnote>
  <w:footnote w:id="180">
    <w:p w14:paraId="520929DC" w14:textId="77777777" w:rsidR="00D40FED" w:rsidRDefault="00D40FED" w:rsidP="00D40FED">
      <w:pPr>
        <w:pStyle w:val="FootnoteText"/>
      </w:pPr>
      <w:r w:rsidRPr="00862CE0">
        <w:rPr>
          <w:rStyle w:val="FootnoteReference"/>
          <w:szCs w:val="16"/>
        </w:rPr>
        <w:footnoteRef/>
      </w:r>
      <w:r w:rsidRPr="00862CE0">
        <w:rPr>
          <w:szCs w:val="16"/>
        </w:rPr>
        <w:t xml:space="preserve"> NDIS. (2024). Assistive Technology, Home modifications and consumables code guide 2024-2025</w:t>
      </w:r>
    </w:p>
  </w:footnote>
  <w:footnote w:id="181">
    <w:p w14:paraId="49C05724" w14:textId="77777777" w:rsidR="00900F82" w:rsidRDefault="00900F82" w:rsidP="00900F82">
      <w:pPr>
        <w:pStyle w:val="FootnoteText"/>
      </w:pPr>
      <w:r>
        <w:rPr>
          <w:rStyle w:val="FootnoteReference"/>
        </w:rPr>
        <w:footnoteRef/>
      </w:r>
      <w:r>
        <w:t xml:space="preserve"> </w:t>
      </w:r>
      <w:r w:rsidRPr="00B83456">
        <w:rPr>
          <w:szCs w:val="16"/>
        </w:rPr>
        <w:t xml:space="preserve">National Disability Insurance Scheme. (2024). </w:t>
      </w:r>
      <w:r w:rsidRPr="006D7E42">
        <w:rPr>
          <w:i/>
          <w:iCs/>
          <w:szCs w:val="16"/>
        </w:rPr>
        <w:t>Incl</w:t>
      </w:r>
      <w:r w:rsidRPr="00B83456">
        <w:rPr>
          <w:i/>
          <w:iCs/>
          <w:szCs w:val="16"/>
        </w:rPr>
        <w:t xml:space="preserve">uding Specific Types of Supports in Plans Operational Guideline - Prosthetic limbs. </w:t>
      </w:r>
      <w:r w:rsidRPr="00B83456">
        <w:rPr>
          <w:szCs w:val="16"/>
        </w:rPr>
        <w:t>https://www.ndis.gov.au/operational-guidelines/including-specific-types-supports-plans-operational-guideline/including-specific-types-supports-plans-operational-guideline-prosthetic-limbs</w:t>
      </w:r>
    </w:p>
  </w:footnote>
  <w:footnote w:id="182">
    <w:p w14:paraId="74B1AD51" w14:textId="77777777" w:rsidR="00786BC7" w:rsidRDefault="00786BC7" w:rsidP="00786BC7">
      <w:pPr>
        <w:pStyle w:val="FootnoteText"/>
      </w:pPr>
      <w:r>
        <w:rPr>
          <w:rStyle w:val="FootnoteReference"/>
        </w:rPr>
        <w:footnoteRef/>
      </w:r>
      <w:r>
        <w:t xml:space="preserve"> </w:t>
      </w:r>
      <w:r w:rsidRPr="00515051">
        <w:rPr>
          <w:szCs w:val="16"/>
        </w:rPr>
        <w:t>The Department of Veterans Affairs</w:t>
      </w:r>
      <w:r>
        <w:rPr>
          <w:szCs w:val="16"/>
        </w:rPr>
        <w:t xml:space="preserve">. (2023). </w:t>
      </w:r>
      <w:r>
        <w:rPr>
          <w:i/>
          <w:iCs/>
          <w:szCs w:val="16"/>
        </w:rPr>
        <w:t>RAP National Schedule of Equipment</w:t>
      </w:r>
      <w:r>
        <w:rPr>
          <w:szCs w:val="16"/>
        </w:rPr>
        <w:t xml:space="preserve">. </w:t>
      </w:r>
      <w:r w:rsidRPr="008150C7">
        <w:rPr>
          <w:szCs w:val="16"/>
        </w:rPr>
        <w:t>https://www.dva.gov.au/sites/default/files/2023-06/RAPSchedule-June2023.pdf</w:t>
      </w:r>
    </w:p>
  </w:footnote>
  <w:footnote w:id="183">
    <w:p w14:paraId="3A6CA2B0" w14:textId="77777777" w:rsidR="00804C69" w:rsidRDefault="00804C69" w:rsidP="00804C69">
      <w:pPr>
        <w:pStyle w:val="FootnoteText"/>
      </w:pPr>
      <w:r>
        <w:rPr>
          <w:rStyle w:val="FootnoteReference"/>
        </w:rPr>
        <w:footnoteRef/>
      </w:r>
      <w:r>
        <w:t xml:space="preserve"> </w:t>
      </w:r>
      <w:r w:rsidRPr="00F3265B">
        <w:rPr>
          <w:szCs w:val="16"/>
        </w:rPr>
        <w:t>ACT Government. (2021). ACT Artificial Limb Scheme. https://view.officeapps.live.com/op/view.aspx?src=https%3A%2F%2Fwww.canberrahealthservices.act.gov.au%2F__data%2Fassets%2Fword_doc%2F0004%2F1981057%2FACT-Artificial-Limb-Scheme-ACTALS-Adults-and-Children.docx&amp;wdOrigin=BROWSELINK</w:t>
      </w:r>
    </w:p>
  </w:footnote>
  <w:footnote w:id="184">
    <w:p w14:paraId="46855DA3" w14:textId="77777777" w:rsidR="00DC0B1A" w:rsidRPr="00627A00" w:rsidRDefault="00DC0B1A" w:rsidP="00DC0B1A">
      <w:pPr>
        <w:pStyle w:val="FootnoteText"/>
        <w:rPr>
          <w:szCs w:val="16"/>
        </w:rPr>
      </w:pPr>
      <w:r>
        <w:rPr>
          <w:rStyle w:val="FootnoteReference"/>
        </w:rPr>
        <w:footnoteRef/>
      </w:r>
      <w:r>
        <w:t xml:space="preserve"> </w:t>
      </w:r>
      <w:proofErr w:type="spellStart"/>
      <w:r w:rsidRPr="00F62781">
        <w:rPr>
          <w:szCs w:val="16"/>
        </w:rPr>
        <w:t>EnableNSW</w:t>
      </w:r>
      <w:proofErr w:type="spellEnd"/>
      <w:r w:rsidRPr="00F62781">
        <w:rPr>
          <w:szCs w:val="16"/>
        </w:rPr>
        <w:t xml:space="preserve">. (n.d.). </w:t>
      </w:r>
      <w:r w:rsidRPr="00F62781">
        <w:rPr>
          <w:i/>
          <w:iCs/>
          <w:szCs w:val="16"/>
        </w:rPr>
        <w:t>Prosthetic Limb Service.</w:t>
      </w:r>
      <w:r w:rsidRPr="00F62781">
        <w:rPr>
          <w:szCs w:val="16"/>
        </w:rPr>
        <w:t xml:space="preserve"> https://www.enable.health.nsw.gov.au/about/publications/fact-sheets/pls#:~:text=The%20Prosthetic%20Limb%20Service%20(PLS,provides%20funding%20for%20prosthetic%20limbs.</w:t>
      </w:r>
    </w:p>
  </w:footnote>
  <w:footnote w:id="185">
    <w:p w14:paraId="439B4F9C" w14:textId="77777777" w:rsidR="00670D14" w:rsidRDefault="00670D14" w:rsidP="00670D14">
      <w:pPr>
        <w:pStyle w:val="FootnoteText"/>
      </w:pPr>
      <w:r>
        <w:rPr>
          <w:rStyle w:val="FootnoteReference"/>
        </w:rPr>
        <w:footnoteRef/>
      </w:r>
      <w:r>
        <w:t xml:space="preserve"> </w:t>
      </w:r>
      <w:r w:rsidRPr="00EF5938">
        <w:rPr>
          <w:szCs w:val="16"/>
        </w:rPr>
        <w:t xml:space="preserve">NT Government. (n.d.). </w:t>
      </w:r>
      <w:r w:rsidRPr="00EF5938">
        <w:rPr>
          <w:i/>
          <w:iCs/>
          <w:szCs w:val="16"/>
        </w:rPr>
        <w:t>Prosthetics and orthotics.</w:t>
      </w:r>
      <w:r w:rsidRPr="00EF5938">
        <w:rPr>
          <w:szCs w:val="16"/>
        </w:rPr>
        <w:t xml:space="preserve"> https://nt.gov.au/wellbeing/allied-health/prosthetics-and-orthotics</w:t>
      </w:r>
    </w:p>
  </w:footnote>
  <w:footnote w:id="186">
    <w:p w14:paraId="189CA00F" w14:textId="77777777" w:rsidR="004B053B" w:rsidRPr="00B515DB" w:rsidRDefault="004B053B" w:rsidP="004B053B">
      <w:pPr>
        <w:pStyle w:val="FootnoteText"/>
        <w:rPr>
          <w:szCs w:val="16"/>
        </w:rPr>
      </w:pPr>
      <w:r w:rsidRPr="00B515DB">
        <w:rPr>
          <w:rStyle w:val="FootnoteReference"/>
          <w:szCs w:val="16"/>
        </w:rPr>
        <w:footnoteRef/>
      </w:r>
      <w:r w:rsidRPr="00B515DB">
        <w:rPr>
          <w:szCs w:val="16"/>
        </w:rPr>
        <w:t xml:space="preserve"> </w:t>
      </w:r>
      <w:r w:rsidRPr="00AB49A2">
        <w:rPr>
          <w:szCs w:val="16"/>
        </w:rPr>
        <w:t>Queensland Health. (2023). Guidelines for Queensland Artificial limb Service. https://www.health.qld.gov.au/__data/assets/pdf_file/0026/1161773/guidelines-QALS.pdf</w:t>
      </w:r>
    </w:p>
  </w:footnote>
  <w:footnote w:id="187">
    <w:p w14:paraId="6472FED4" w14:textId="77777777" w:rsidR="00670D14" w:rsidRPr="004F50F3" w:rsidRDefault="00670D14" w:rsidP="00670D14">
      <w:pPr>
        <w:pStyle w:val="FootnoteText"/>
        <w:rPr>
          <w:szCs w:val="16"/>
        </w:rPr>
      </w:pPr>
      <w:r>
        <w:rPr>
          <w:rStyle w:val="FootnoteReference"/>
        </w:rPr>
        <w:footnoteRef/>
      </w:r>
      <w:r>
        <w:t xml:space="preserve"> </w:t>
      </w:r>
      <w:r w:rsidRPr="00326BE6">
        <w:rPr>
          <w:szCs w:val="16"/>
        </w:rPr>
        <w:t xml:space="preserve">Amputees in Touch South Australia. (n.d.) </w:t>
      </w:r>
      <w:r w:rsidRPr="00326BE6">
        <w:rPr>
          <w:i/>
          <w:iCs/>
          <w:szCs w:val="16"/>
        </w:rPr>
        <w:t>Artificial Limb Scheme (SAALS).</w:t>
      </w:r>
      <w:r w:rsidRPr="00326BE6">
        <w:rPr>
          <w:szCs w:val="16"/>
        </w:rPr>
        <w:t xml:space="preserve"> https://amputeesintouch.org.au/amputee-support/artificial-limb-scheme/#:~:text=The%20Artificial%20Limb%20Scheme%20is,Amputee%20Limb%20Service%20(SAALS).</w:t>
      </w:r>
    </w:p>
  </w:footnote>
  <w:footnote w:id="188">
    <w:p w14:paraId="0B0AE1C1" w14:textId="77777777" w:rsidR="00670D14" w:rsidRDefault="00670D14" w:rsidP="00670D14">
      <w:pPr>
        <w:pStyle w:val="FootnoteText"/>
      </w:pPr>
      <w:r>
        <w:rPr>
          <w:rStyle w:val="FootnoteReference"/>
        </w:rPr>
        <w:footnoteRef/>
      </w:r>
      <w:r>
        <w:t xml:space="preserve"> </w:t>
      </w:r>
      <w:r>
        <w:rPr>
          <w:szCs w:val="16"/>
        </w:rPr>
        <w:t xml:space="preserve">Department of Health Tasmania. (2025). Orthotic and Prosthetic Services. </w:t>
      </w:r>
      <w:r w:rsidRPr="00193A39">
        <w:rPr>
          <w:szCs w:val="16"/>
        </w:rPr>
        <w:t>https://www.health.tas.gov.au/health-topics/orthotics-and-prosthetics/orthotic-and-prosthetic-services</w:t>
      </w:r>
    </w:p>
  </w:footnote>
  <w:footnote w:id="189">
    <w:p w14:paraId="6AA96BBC" w14:textId="77777777" w:rsidR="00FC3A6B" w:rsidRPr="00E156CD" w:rsidRDefault="00FC3A6B" w:rsidP="00FC3A6B">
      <w:pPr>
        <w:pStyle w:val="FootnoteText"/>
        <w:rPr>
          <w:szCs w:val="16"/>
        </w:rPr>
      </w:pPr>
      <w:r w:rsidRPr="00E156CD">
        <w:rPr>
          <w:rStyle w:val="FootnoteReference"/>
          <w:szCs w:val="16"/>
        </w:rPr>
        <w:footnoteRef/>
      </w:r>
      <w:r w:rsidRPr="00E156CD">
        <w:rPr>
          <w:szCs w:val="16"/>
        </w:rPr>
        <w:t xml:space="preserve"> The Royal Melbourne Hospital. (2024). </w:t>
      </w:r>
      <w:r w:rsidRPr="00E156CD">
        <w:rPr>
          <w:i/>
          <w:iCs/>
          <w:szCs w:val="16"/>
        </w:rPr>
        <w:t>Prosthetics and Orthotics.</w:t>
      </w:r>
      <w:r w:rsidRPr="00E156CD">
        <w:rPr>
          <w:szCs w:val="16"/>
        </w:rPr>
        <w:t xml:space="preserve"> https://www.thermh.org.au/services/prosthetics-orthotics</w:t>
      </w:r>
    </w:p>
  </w:footnote>
  <w:footnote w:id="190">
    <w:p w14:paraId="1EFAAFD1" w14:textId="77777777" w:rsidR="00060E97" w:rsidRPr="00A30AEC" w:rsidRDefault="00060E97" w:rsidP="00060E97">
      <w:pPr>
        <w:pStyle w:val="FootnoteText"/>
        <w:rPr>
          <w:szCs w:val="16"/>
        </w:rPr>
      </w:pPr>
      <w:r w:rsidRPr="00A30AEC">
        <w:rPr>
          <w:rStyle w:val="FootnoteReference"/>
          <w:szCs w:val="16"/>
        </w:rPr>
        <w:footnoteRef/>
      </w:r>
      <w:r w:rsidRPr="00A30AEC">
        <w:rPr>
          <w:szCs w:val="16"/>
        </w:rPr>
        <w:t xml:space="preserve"> </w:t>
      </w:r>
      <w:proofErr w:type="spellStart"/>
      <w:r w:rsidRPr="00A30AEC">
        <w:rPr>
          <w:szCs w:val="16"/>
        </w:rPr>
        <w:t>HealthyWA</w:t>
      </w:r>
      <w:proofErr w:type="spellEnd"/>
      <w:r w:rsidRPr="00A30AEC">
        <w:rPr>
          <w:szCs w:val="16"/>
        </w:rPr>
        <w:t xml:space="preserve">. (2022). </w:t>
      </w:r>
      <w:r w:rsidRPr="00A30AEC">
        <w:rPr>
          <w:i/>
          <w:iCs/>
          <w:szCs w:val="16"/>
        </w:rPr>
        <w:t>Prostheses for amputees</w:t>
      </w:r>
      <w:r w:rsidRPr="00A30AEC">
        <w:rPr>
          <w:szCs w:val="16"/>
        </w:rPr>
        <w:t>. https://www.healthywa.wa.gov.au/Articles/N_R/Prostheses-for-amputees</w:t>
      </w:r>
    </w:p>
  </w:footnote>
  <w:footnote w:id="191">
    <w:p w14:paraId="6A31296E" w14:textId="77777777" w:rsidR="002F2966" w:rsidRPr="00ED3486" w:rsidRDefault="002F2966" w:rsidP="002F2966">
      <w:pPr>
        <w:pStyle w:val="FootnoteText"/>
        <w:rPr>
          <w:szCs w:val="16"/>
        </w:rPr>
      </w:pPr>
      <w:r>
        <w:rPr>
          <w:rStyle w:val="FootnoteReference"/>
        </w:rPr>
        <w:footnoteRef/>
      </w:r>
      <w:r>
        <w:t xml:space="preserve"> </w:t>
      </w:r>
      <w:proofErr w:type="spellStart"/>
      <w:r w:rsidRPr="00A30AEC">
        <w:rPr>
          <w:szCs w:val="16"/>
        </w:rPr>
        <w:t>HealthyWA</w:t>
      </w:r>
      <w:proofErr w:type="spellEnd"/>
      <w:r w:rsidRPr="00A30AEC">
        <w:rPr>
          <w:szCs w:val="16"/>
        </w:rPr>
        <w:t xml:space="preserve">. (2022). </w:t>
      </w:r>
      <w:r w:rsidRPr="00A30AEC">
        <w:rPr>
          <w:i/>
          <w:iCs/>
          <w:szCs w:val="16"/>
        </w:rPr>
        <w:t>Prostheses for amputees</w:t>
      </w:r>
      <w:r w:rsidRPr="00A30AEC">
        <w:rPr>
          <w:szCs w:val="16"/>
        </w:rPr>
        <w:t>. https://www.healthywa.wa.gov.au/Articles/N_R/Prostheses-for-amputees</w:t>
      </w:r>
    </w:p>
  </w:footnote>
  <w:footnote w:id="192">
    <w:p w14:paraId="34EB4564" w14:textId="77777777" w:rsidR="002C385B" w:rsidRDefault="002C385B" w:rsidP="002C385B">
      <w:pPr>
        <w:pStyle w:val="FootnoteText"/>
      </w:pPr>
      <w:r>
        <w:rPr>
          <w:rStyle w:val="FootnoteReference"/>
        </w:rPr>
        <w:footnoteRef/>
      </w:r>
      <w:r>
        <w:t xml:space="preserve"> </w:t>
      </w:r>
      <w:proofErr w:type="spellStart"/>
      <w:r>
        <w:rPr>
          <w:szCs w:val="16"/>
        </w:rPr>
        <w:t>EnableNSW</w:t>
      </w:r>
      <w:proofErr w:type="spellEnd"/>
      <w:r>
        <w:rPr>
          <w:szCs w:val="16"/>
        </w:rPr>
        <w:t xml:space="preserve">. (n.d.) </w:t>
      </w:r>
      <w:proofErr w:type="spellStart"/>
      <w:r>
        <w:rPr>
          <w:szCs w:val="16"/>
        </w:rPr>
        <w:t>EnableNSW</w:t>
      </w:r>
      <w:proofErr w:type="spellEnd"/>
      <w:r>
        <w:rPr>
          <w:szCs w:val="16"/>
        </w:rPr>
        <w:t xml:space="preserve"> accredited amputee clinics.</w:t>
      </w:r>
      <w:r w:rsidRPr="00D60BA8">
        <w:t xml:space="preserve"> </w:t>
      </w:r>
      <w:r w:rsidRPr="00D60BA8">
        <w:rPr>
          <w:szCs w:val="16"/>
        </w:rPr>
        <w:t>https://www.enable.health.nsw.gov.au/services/pls/enablensw-accredited-amputee-clinics</w:t>
      </w:r>
    </w:p>
  </w:footnote>
  <w:footnote w:id="193">
    <w:p w14:paraId="76F49CE0" w14:textId="77777777" w:rsidR="00FF7E61" w:rsidRPr="00B515DB" w:rsidRDefault="00FF7E61" w:rsidP="00FF7E61">
      <w:pPr>
        <w:pStyle w:val="FootnoteText"/>
        <w:rPr>
          <w:szCs w:val="16"/>
        </w:rPr>
      </w:pPr>
      <w:r w:rsidRPr="00B515DB">
        <w:rPr>
          <w:rStyle w:val="FootnoteReference"/>
          <w:szCs w:val="16"/>
        </w:rPr>
        <w:footnoteRef/>
      </w:r>
      <w:r w:rsidRPr="00B515DB">
        <w:rPr>
          <w:szCs w:val="16"/>
        </w:rPr>
        <w:t xml:space="preserve"> </w:t>
      </w:r>
      <w:r>
        <w:rPr>
          <w:szCs w:val="16"/>
        </w:rPr>
        <w:t>Queensland Health</w:t>
      </w:r>
      <w:r w:rsidRPr="00B515DB">
        <w:rPr>
          <w:szCs w:val="16"/>
        </w:rPr>
        <w:t>.</w:t>
      </w:r>
      <w:r>
        <w:rPr>
          <w:szCs w:val="16"/>
        </w:rPr>
        <w:t xml:space="preserve"> 2025. </w:t>
      </w:r>
      <w:r w:rsidRPr="001A71C8">
        <w:rPr>
          <w:i/>
          <w:iCs/>
          <w:szCs w:val="16"/>
        </w:rPr>
        <w:t>QALS Resources – Groups and Contact Lists. https</w:t>
      </w:r>
      <w:r w:rsidRPr="001A71C8">
        <w:rPr>
          <w:szCs w:val="16"/>
        </w:rPr>
        <w:t>://www.health.qld.gov.au/mass/prescribe/artificial-limbs/qals-groups#AmputeeClinics</w:t>
      </w:r>
    </w:p>
  </w:footnote>
  <w:footnote w:id="194">
    <w:p w14:paraId="15A3AC74" w14:textId="77777777" w:rsidR="00B06777" w:rsidRPr="004F50F3" w:rsidRDefault="00B06777" w:rsidP="00B06777">
      <w:pPr>
        <w:pStyle w:val="FootnoteText"/>
        <w:rPr>
          <w:szCs w:val="16"/>
        </w:rPr>
      </w:pPr>
      <w:r w:rsidRPr="004F50F3">
        <w:rPr>
          <w:rStyle w:val="FootnoteReference"/>
          <w:szCs w:val="16"/>
        </w:rPr>
        <w:footnoteRef/>
      </w:r>
      <w:r w:rsidRPr="004F50F3">
        <w:rPr>
          <w:szCs w:val="16"/>
        </w:rPr>
        <w:t xml:space="preserve"> SA Health. (2025). Orthotics and prosthetic services. https://www.sahealth.sa.gov.au/wps/wcm/connect/public+content/sa+health+internet/services/hospitals/rehabilitation+services/orthotics+and+prosthetics+services/orthotics+and+prosthetics+services#_Ceduna</w:t>
      </w:r>
    </w:p>
  </w:footnote>
  <w:footnote w:id="195">
    <w:p w14:paraId="431BA519" w14:textId="77777777" w:rsidR="00B06777" w:rsidRPr="00B515DB" w:rsidRDefault="00B06777" w:rsidP="00B06777">
      <w:pPr>
        <w:pStyle w:val="FootnoteText"/>
        <w:rPr>
          <w:szCs w:val="16"/>
        </w:rPr>
      </w:pPr>
      <w:r w:rsidRPr="00B515DB">
        <w:rPr>
          <w:rStyle w:val="FootnoteReference"/>
          <w:szCs w:val="16"/>
        </w:rPr>
        <w:footnoteRef/>
      </w:r>
      <w:r w:rsidRPr="00B515DB">
        <w:rPr>
          <w:szCs w:val="16"/>
        </w:rPr>
        <w:t xml:space="preserve"> </w:t>
      </w:r>
      <w:r>
        <w:rPr>
          <w:szCs w:val="16"/>
        </w:rPr>
        <w:t>Queensland Health</w:t>
      </w:r>
      <w:r w:rsidRPr="00B515DB">
        <w:rPr>
          <w:szCs w:val="16"/>
        </w:rPr>
        <w:t>.</w:t>
      </w:r>
      <w:r>
        <w:rPr>
          <w:szCs w:val="16"/>
        </w:rPr>
        <w:t xml:space="preserve"> 2025. </w:t>
      </w:r>
      <w:r w:rsidRPr="001A71C8">
        <w:rPr>
          <w:i/>
          <w:iCs/>
          <w:szCs w:val="16"/>
        </w:rPr>
        <w:t>QALS Resources – Groups and Contact Lists. https</w:t>
      </w:r>
      <w:r w:rsidRPr="001A71C8">
        <w:rPr>
          <w:szCs w:val="16"/>
        </w:rPr>
        <w:t>://www.health.qld.gov.au/mass/prescribe/artificial-limbs/qals-groups#AmputeeClinics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4B0B44" w14:textId="77777777" w:rsidR="00FD653E" w:rsidRDefault="00FD653E">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F5314E" w14:textId="0F9C4FC8" w:rsidR="00311FB1" w:rsidRDefault="00311FB1">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1D1961" w14:textId="77777777" w:rsidR="00981DBF" w:rsidRDefault="00981DBF">
    <w:pPr>
      <w:pStyle w:val="Header"/>
    </w:pPr>
  </w:p>
  <w:p w14:paraId="035715C1" w14:textId="77777777" w:rsidR="00E2796C" w:rsidRDefault="00E2796C">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297C17" w14:textId="08C93B09" w:rsidR="00BB46F3" w:rsidRPr="00137B59" w:rsidRDefault="00BB46F3" w:rsidP="006D2DE3">
    <w:pPr>
      <w:pStyle w:val="Header"/>
      <w:ind w:left="-1134"/>
    </w:pPr>
    <w:r>
      <w:t>INDEPENDENT REVIEW OF CANCER PROSTHESES EQUITY IN AUSTRALIA</w:t>
    </w:r>
  </w:p>
  <w:p w14:paraId="131F814C" w14:textId="68B0DE5F" w:rsidR="00BB46F3" w:rsidRDefault="00ED3A90" w:rsidP="00B73136">
    <w:pPr>
      <w:pStyle w:val="Header"/>
    </w:pPr>
    <w:r w:rsidRPr="00676A25">
      <w:t xml:space="preserve">FINAL </w:t>
    </w:r>
    <w:r w:rsidR="00BB46F3">
      <w:t xml:space="preserve">REVIEW REPORT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D98E4A" w14:textId="33A37FD1" w:rsidR="00311FB1" w:rsidRDefault="00311FB1">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F42712" w14:textId="7B8DE7F5" w:rsidR="00FA1569" w:rsidRDefault="00FA1569">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187500" w14:textId="41ECC738" w:rsidR="00311FB1" w:rsidRDefault="00311FB1">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611EE1" w14:textId="77777777" w:rsidR="000704C4" w:rsidRDefault="00000000">
    <w:pPr>
      <w:pStyle w:val="Header"/>
    </w:pPr>
    <w:r>
      <w:rPr>
        <w:noProof/>
      </w:rPr>
      <w:pict w14:anchorId="3670B5B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62" type="#_x0000_t136" style="position:absolute;left:0;text-align:left;margin-left:0;margin-top:0;width:513.8pt;height:205.5pt;rotation:315;z-index:-25165824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C6E99D" w14:textId="12030676" w:rsidR="000704C4" w:rsidRPr="00137B59" w:rsidRDefault="000704C4" w:rsidP="00704C6C">
    <w:pPr>
      <w:pStyle w:val="Header"/>
    </w:pPr>
    <w:r w:rsidRPr="00FF1BF2">
      <w:t>INDEPENDENT REVIEW OF CANCER PROSTHESES EQUITY IN AUSTRALIA</w:t>
    </w:r>
  </w:p>
  <w:p w14:paraId="00FCCEA8" w14:textId="61D710A3" w:rsidR="000704C4" w:rsidRDefault="00ED3A90" w:rsidP="00704C6C">
    <w:pPr>
      <w:pStyle w:val="Header"/>
    </w:pPr>
    <w:r w:rsidRPr="00DD401C">
      <w:t xml:space="preserve">FINAL </w:t>
    </w:r>
    <w:r>
      <w:t xml:space="preserve">REVIEW REPORT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1FFA7E" w14:textId="77777777" w:rsidR="000704C4" w:rsidRDefault="00000000">
    <w:pPr>
      <w:pStyle w:val="Header"/>
    </w:pPr>
    <w:r>
      <w:rPr>
        <w:noProof/>
      </w:rPr>
      <w:pict w14:anchorId="119A1D4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64" type="#_x0000_t136" style="position:absolute;left:0;text-align:left;margin-left:0;margin-top:0;width:513.8pt;height:205.5pt;rotation:315;z-index:-251658239;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B634A8" w14:textId="69EA1E24" w:rsidR="00F757C8" w:rsidRPr="00137B59" w:rsidRDefault="00F757C8" w:rsidP="006D2DE3">
    <w:pPr>
      <w:pStyle w:val="Header"/>
      <w:ind w:left="-1134"/>
    </w:pPr>
    <w:r>
      <w:t>INDEPENDENT REVIEW OF CANCER PROSTHESES EQUITY IN AUSTRALIA</w:t>
    </w:r>
  </w:p>
  <w:p w14:paraId="6B0F094A" w14:textId="09EEB8D4" w:rsidR="00F757C8" w:rsidRDefault="009F7832" w:rsidP="006D2DE3">
    <w:pPr>
      <w:pStyle w:val="Header"/>
    </w:pPr>
    <w:r w:rsidRPr="00210A81">
      <w:rPr>
        <w:color w:val="auto"/>
      </w:rPr>
      <w:t xml:space="preserve">FINAL </w:t>
    </w:r>
    <w:r w:rsidR="00F757C8">
      <w:t xml:space="preserve">REVIEW REPORT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817EB4" w14:textId="2061DC46" w:rsidR="005B753C" w:rsidRDefault="005B753C" w:rsidP="000D24C6">
    <w:pPr>
      <w:pStyle w:val="Header"/>
    </w:pPr>
    <w:r>
      <w:tab/>
    </w:r>
  </w:p>
  <w:p w14:paraId="6146159E" w14:textId="34609D5B" w:rsidR="00042C09" w:rsidRDefault="005B753C" w:rsidP="000D24C6">
    <w:pPr>
      <w:pStyle w:val="Header"/>
    </w:pPr>
    <w:r>
      <w:tab/>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73041D" w14:textId="2B0E035C" w:rsidR="00D21677" w:rsidRPr="00137B59" w:rsidRDefault="00D21677" w:rsidP="00D21677">
    <w:pPr>
      <w:pStyle w:val="Header"/>
      <w:ind w:left="-1134"/>
    </w:pPr>
    <w:r>
      <w:t>INDEPENDENT REVIEW OF CANCER PROSTHESES EQUITY IN AUSTRALIA</w:t>
    </w:r>
  </w:p>
  <w:p w14:paraId="6A106868" w14:textId="67C7F326" w:rsidR="00D21677" w:rsidRDefault="00D21677" w:rsidP="00D21677">
    <w:pPr>
      <w:pStyle w:val="Header"/>
    </w:pPr>
    <w:r w:rsidRPr="00210A81">
      <w:rPr>
        <w:color w:val="auto"/>
      </w:rPr>
      <w:t xml:space="preserve">FINAL </w:t>
    </w:r>
    <w:r>
      <w:t xml:space="preserve">REVIEW REPORT </w:t>
    </w:r>
  </w:p>
  <w:p w14:paraId="260E1A0B" w14:textId="12823C1E" w:rsidR="00F757C8" w:rsidRDefault="00F757C8" w:rsidP="00D21677">
    <w:pPr>
      <w:pStyle w:val="Header"/>
      <w:ind w:left="-1134"/>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15FE72" w14:textId="66A37DEA" w:rsidR="00D21677" w:rsidRPr="00137B59" w:rsidRDefault="00D21677" w:rsidP="00D21677">
    <w:pPr>
      <w:pStyle w:val="Header"/>
      <w:ind w:left="-1134"/>
    </w:pPr>
    <w:r>
      <w:t>INDEPENDENT REVIEW OF CANCER PROSTHESES EQUITY IN AUSTRALIA</w:t>
    </w:r>
  </w:p>
  <w:p w14:paraId="7FE49854" w14:textId="1B83B79D" w:rsidR="002931BB" w:rsidRDefault="00D21677" w:rsidP="00D21677">
    <w:pPr>
      <w:pStyle w:val="Header"/>
    </w:pPr>
    <w:r w:rsidRPr="00210A81">
      <w:rPr>
        <w:color w:val="auto"/>
      </w:rPr>
      <w:t xml:space="preserve">FINAL </w:t>
    </w:r>
    <w:r>
      <w:t xml:space="preserve">REVIEW REPORT </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1542B6" w14:textId="29227A10" w:rsidR="00363653" w:rsidRPr="00137B59" w:rsidRDefault="00363653" w:rsidP="00F757C8">
    <w:pPr>
      <w:pStyle w:val="Header"/>
      <w:ind w:left="-1134"/>
    </w:pPr>
    <w:r>
      <w:t>INDEPENDENT REVIEW OF CANCER PROSTHESES EQUITY IN AUSTRALIA</w:t>
    </w:r>
  </w:p>
  <w:p w14:paraId="7D411505" w14:textId="73936BDA" w:rsidR="00ED3A90" w:rsidRDefault="00ED3A90" w:rsidP="00ED3A90">
    <w:pPr>
      <w:pStyle w:val="Header"/>
    </w:pPr>
    <w:r w:rsidRPr="00DD401C">
      <w:t xml:space="preserve">FINAL </w:t>
    </w:r>
    <w:r>
      <w:t>REVIEW REPORT</w:t>
    </w:r>
  </w:p>
  <w:p w14:paraId="35DA91CF" w14:textId="77777777" w:rsidR="00363653" w:rsidRDefault="00363653" w:rsidP="00E42C94">
    <w:pPr>
      <w:pStyle w:val="Header"/>
      <w:jc w:val="left"/>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BA4BFD" w14:textId="2AB17B8D" w:rsidR="00F757C8" w:rsidRPr="00137B59" w:rsidRDefault="00F757C8" w:rsidP="00676A25">
    <w:pPr>
      <w:pStyle w:val="Header"/>
    </w:pPr>
    <w:r w:rsidRPr="00C134D7">
      <w:t xml:space="preserve"> </w:t>
    </w:r>
    <w:r>
      <w:t>INDEPENDENT REVIEW OF CANCER PROSTHESES EQUITY IN AUSTRALIA</w:t>
    </w:r>
  </w:p>
  <w:p w14:paraId="0A01FFE8" w14:textId="16D69BEB" w:rsidR="00F757C8" w:rsidRDefault="00927EE6" w:rsidP="00F757C8">
    <w:pPr>
      <w:pStyle w:val="Header"/>
    </w:pPr>
    <w:r w:rsidRPr="00210A81">
      <w:t xml:space="preserve">FINAL </w:t>
    </w:r>
    <w:r w:rsidR="00F757C8">
      <w:t xml:space="preserve">REVIEW REPORT </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2230BF" w14:textId="75DD8B7D" w:rsidR="00050FA4" w:rsidRPr="00E42C94" w:rsidRDefault="00050FA4" w:rsidP="00F757C8">
    <w:pPr>
      <w:pStyle w:val="Header"/>
      <w:ind w:left="-1134"/>
      <w:rPr>
        <w:color w:val="auto"/>
      </w:rPr>
    </w:pPr>
    <w:r w:rsidRPr="00E42C94">
      <w:rPr>
        <w:color w:val="auto"/>
      </w:rPr>
      <w:t xml:space="preserve"> INDEPENDENT REVIEW OF CANCER PROSTHESES EQUITY IN AUSTRALIA</w:t>
    </w:r>
  </w:p>
  <w:p w14:paraId="65B4D07F" w14:textId="1BE9CF63" w:rsidR="00050FA4" w:rsidRPr="00E42C94" w:rsidRDefault="00927EE6" w:rsidP="00F757C8">
    <w:pPr>
      <w:pStyle w:val="Header"/>
      <w:rPr>
        <w:color w:val="auto"/>
      </w:rPr>
    </w:pPr>
    <w:r w:rsidRPr="00210A81">
      <w:rPr>
        <w:color w:val="auto"/>
      </w:rPr>
      <w:t xml:space="preserve">FINAL </w:t>
    </w:r>
    <w:r w:rsidR="00050FA4" w:rsidRPr="00E42C94">
      <w:rPr>
        <w:color w:val="auto"/>
      </w:rPr>
      <w:t xml:space="preserve">REVIEW REPORT </w:t>
    </w:r>
  </w:p>
  <w:p w14:paraId="5B59B6D2" w14:textId="5F6B4102" w:rsidR="00050FA4" w:rsidRPr="00E42C94" w:rsidRDefault="00050FA4" w:rsidP="000D6A58">
    <w:pPr>
      <w:pStyle w:val="Header"/>
      <w:jc w:val="left"/>
      <w:rPr>
        <w:color w:val="auto"/>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DAD32E" w14:textId="06DE26F4" w:rsidR="00050FA4" w:rsidRPr="00137B59" w:rsidRDefault="00050FA4" w:rsidP="00F757C8">
    <w:pPr>
      <w:pStyle w:val="Header"/>
      <w:ind w:left="-1134"/>
    </w:pPr>
    <w:r>
      <w:rPr>
        <w:noProof/>
        <w:lang w:eastAsia="en-AU"/>
      </w:rPr>
      <w:drawing>
        <wp:anchor distT="0" distB="0" distL="114300" distR="114300" simplePos="0" relativeHeight="251658246" behindDoc="0" locked="0" layoutInCell="1" allowOverlap="1" wp14:anchorId="36B5284F" wp14:editId="7C84E155">
          <wp:simplePos x="0" y="0"/>
          <wp:positionH relativeFrom="margin">
            <wp:align>left</wp:align>
          </wp:positionH>
          <wp:positionV relativeFrom="paragraph">
            <wp:posOffset>47212</wp:posOffset>
          </wp:positionV>
          <wp:extent cx="574040" cy="233680"/>
          <wp:effectExtent l="0" t="0" r="0" b="0"/>
          <wp:wrapThrough wrapText="bothSides">
            <wp:wrapPolygon edited="0">
              <wp:start x="0" y="0"/>
              <wp:lineTo x="0" y="19370"/>
              <wp:lineTo x="20788" y="19370"/>
              <wp:lineTo x="20788" y="0"/>
              <wp:lineTo x="0" y="0"/>
            </wp:wrapPolygon>
          </wp:wrapThrough>
          <wp:docPr id="452614321" name="Picture 4526143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614321" name="Picture 45261432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4040" cy="2336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58247" behindDoc="0" locked="0" layoutInCell="1" allowOverlap="1" wp14:anchorId="1BC76D49" wp14:editId="10C57B95">
          <wp:simplePos x="0" y="0"/>
          <wp:positionH relativeFrom="margin">
            <wp:align>left</wp:align>
          </wp:positionH>
          <wp:positionV relativeFrom="paragraph">
            <wp:posOffset>47212</wp:posOffset>
          </wp:positionV>
          <wp:extent cx="574040" cy="233680"/>
          <wp:effectExtent l="0" t="0" r="0" b="0"/>
          <wp:wrapThrough wrapText="bothSides">
            <wp:wrapPolygon edited="0">
              <wp:start x="0" y="0"/>
              <wp:lineTo x="0" y="19370"/>
              <wp:lineTo x="20788" y="19370"/>
              <wp:lineTo x="20788" y="0"/>
              <wp:lineTo x="0" y="0"/>
            </wp:wrapPolygon>
          </wp:wrapThrough>
          <wp:docPr id="1094561590" name="Picture 10945615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561590" name="Picture 1094561590">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4040" cy="233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134D7">
      <w:t xml:space="preserve"> </w:t>
    </w:r>
    <w:r>
      <w:t>INDEPENDENT REVIEW OF CANCER PROSTHESES EQUITY IN AUSTRALIA</w:t>
    </w:r>
  </w:p>
  <w:p w14:paraId="02E46135" w14:textId="77777777" w:rsidR="00050FA4" w:rsidRDefault="00050FA4" w:rsidP="00F757C8">
    <w:pPr>
      <w:pStyle w:val="Header"/>
    </w:pPr>
    <w:r w:rsidRPr="000D6A58">
      <w:rPr>
        <w:b/>
        <w:bCs/>
        <w:color w:val="auto"/>
      </w:rPr>
      <w:t>DRAFT</w:t>
    </w:r>
    <w:r w:rsidRPr="000D6A58">
      <w:rPr>
        <w:color w:val="auto"/>
      </w:rPr>
      <w:t xml:space="preserve"> </w:t>
    </w:r>
    <w:r>
      <w:t xml:space="preserve">REVIEW REPORT </w:t>
    </w:r>
  </w:p>
  <w:p w14:paraId="0E71EB66" w14:textId="77777777" w:rsidR="00050FA4" w:rsidRDefault="00050FA4" w:rsidP="00F757C8">
    <w:pPr>
      <w:pStyle w:val="Header"/>
      <w:jc w:val="left"/>
    </w:pPr>
  </w:p>
  <w:p w14:paraId="436063ED" w14:textId="77777777" w:rsidR="00050FA4" w:rsidRDefault="00050FA4" w:rsidP="000D24C6">
    <w:pPr>
      <w:pStyle w:val="Header"/>
    </w:pPr>
  </w:p>
  <w:p w14:paraId="63E64A98" w14:textId="77777777" w:rsidR="00050FA4" w:rsidRDefault="00050FA4">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502F01" w14:textId="58297A39" w:rsidR="00826807" w:rsidRPr="00137B59" w:rsidRDefault="00927EE6" w:rsidP="006D2DE3">
    <w:pPr>
      <w:pStyle w:val="Header"/>
      <w:ind w:left="-1134"/>
    </w:pPr>
    <w:r>
      <w:t>I</w:t>
    </w:r>
    <w:r w:rsidR="00826807">
      <w:t>NDEPENDENT REVIEW OF CANCER PROSTHESES EQUITY IN AUSTRALIA</w:t>
    </w:r>
  </w:p>
  <w:p w14:paraId="6EA5176F" w14:textId="46DDC635" w:rsidR="00826807" w:rsidRPr="005D0F14" w:rsidRDefault="00ED3A90" w:rsidP="005D0F14">
    <w:pPr>
      <w:pStyle w:val="Header"/>
      <w:rPr>
        <w:b/>
        <w:bCs/>
        <w:color w:val="FF0000"/>
      </w:rPr>
    </w:pPr>
    <w:r w:rsidRPr="00DD401C">
      <w:t xml:space="preserve">FINAL </w:t>
    </w:r>
    <w:r>
      <w:t>REVIEW REPORT</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19C0C8" w14:textId="70FE3B1C" w:rsidR="00D2468B" w:rsidRPr="00137B59" w:rsidRDefault="00D2468B" w:rsidP="006D2DE3">
    <w:pPr>
      <w:pStyle w:val="Header"/>
      <w:ind w:left="-1134"/>
    </w:pPr>
    <w:r w:rsidRPr="00F96A96">
      <w:t xml:space="preserve"> </w:t>
    </w:r>
    <w:r>
      <w:t>INDEPENDENT REVIEW OF CANCER PROSTHESES EQUITY IN AUSTRALIA</w:t>
    </w:r>
  </w:p>
  <w:p w14:paraId="1D05AEF8" w14:textId="08DDB847" w:rsidR="00D2468B" w:rsidRDefault="00D2468B" w:rsidP="00ED3A90">
    <w:pPr>
      <w:pStyle w:val="Header"/>
    </w:pPr>
    <w:r w:rsidRPr="00DD401C">
      <w:t xml:space="preserve">FINAL </w:t>
    </w:r>
    <w:r>
      <w:t xml:space="preserve">REVIEW REPORT </w:t>
    </w:r>
  </w:p>
  <w:p w14:paraId="34A2840B" w14:textId="15F301AB" w:rsidR="00D2468B" w:rsidRDefault="00D2468B" w:rsidP="006D2DE3">
    <w:pPr>
      <w:pStyle w:val="Header"/>
    </w:pPr>
  </w:p>
  <w:p w14:paraId="59B05D35" w14:textId="0815A32F" w:rsidR="00D2468B" w:rsidRDefault="00D2468B" w:rsidP="006D2DE3">
    <w:pPr>
      <w:pStyle w:val="Header"/>
      <w:ind w:left="-1134"/>
    </w:pPr>
  </w:p>
  <w:p w14:paraId="5DF49178" w14:textId="77777777" w:rsidR="00D2468B" w:rsidRDefault="00D2468B">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1F899B" w14:textId="50940D77" w:rsidR="00D2468B" w:rsidRPr="00137B59" w:rsidRDefault="00D2468B" w:rsidP="006D2DE3">
    <w:pPr>
      <w:pStyle w:val="Header"/>
      <w:ind w:left="-1134"/>
    </w:pPr>
    <w:r>
      <w:t>INDEPENDENT REVIEW OF CANCER PROSTHESES EQUITY IN AUSTRALIA</w:t>
    </w:r>
  </w:p>
  <w:p w14:paraId="3CA996F2" w14:textId="1D7D1BC4" w:rsidR="00D2468B" w:rsidRPr="00BE0A02" w:rsidRDefault="00D2468B" w:rsidP="00BE0A02">
    <w:pPr>
      <w:pStyle w:val="Header"/>
    </w:pPr>
    <w:r w:rsidRPr="00DD401C">
      <w:t xml:space="preserve">FINAL </w:t>
    </w:r>
    <w:r>
      <w:t xml:space="preserve">REVIEW REPORT </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D19B11" w14:textId="0BF722D8" w:rsidR="00116140" w:rsidRPr="00137B59" w:rsidRDefault="00116140" w:rsidP="006D2DE3">
    <w:pPr>
      <w:pStyle w:val="Header"/>
      <w:ind w:left="-1134"/>
    </w:pPr>
    <w:r>
      <w:t>INDEPENDENT REVIEW OF CANCER PROSTHESES EQUITY IN AUSTRALIA</w:t>
    </w:r>
  </w:p>
  <w:p w14:paraId="4EBC4F7A" w14:textId="77777777" w:rsidR="00116140" w:rsidRDefault="00116140" w:rsidP="006D2DE3">
    <w:pPr>
      <w:pStyle w:val="Header"/>
    </w:pPr>
    <w:r w:rsidRPr="001719EC">
      <w:rPr>
        <w:b/>
        <w:bCs/>
        <w:color w:val="auto"/>
      </w:rPr>
      <w:t>DRAFT</w:t>
    </w:r>
    <w:r w:rsidRPr="001719EC">
      <w:rPr>
        <w:color w:val="auto"/>
      </w:rPr>
      <w:t xml:space="preserve"> </w:t>
    </w:r>
    <w:r>
      <w:t xml:space="preserve">REVIEW REPORT </w:t>
    </w:r>
  </w:p>
  <w:p w14:paraId="2941CABF" w14:textId="77777777" w:rsidR="00116140" w:rsidRDefault="00116140" w:rsidP="006D2DE3">
    <w:pPr>
      <w:pStyle w:val="Header"/>
      <w:ind w:left="-1134"/>
    </w:pPr>
  </w:p>
  <w:p w14:paraId="5C0BC98B" w14:textId="77777777" w:rsidR="00116140" w:rsidRDefault="0011614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66B020" w14:textId="77777777" w:rsidR="00FD653E" w:rsidRDefault="00FD653E">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3B794A" w14:textId="4505782C" w:rsidR="00B85AB5" w:rsidRDefault="00B85AB5">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9486A2" w14:textId="23007DB5" w:rsidR="009675CE" w:rsidRPr="00137B59" w:rsidRDefault="00CE1157" w:rsidP="00CE1157">
    <w:pPr>
      <w:pStyle w:val="Header"/>
      <w:ind w:left="-1134"/>
    </w:pPr>
    <w:r>
      <w:t>INDEPENDENT REVIEW OF CANCER PROSTHESES EQUITY IN AUSTRALIA</w:t>
    </w:r>
  </w:p>
  <w:p w14:paraId="49E21766" w14:textId="6DA41EB5" w:rsidR="00826807" w:rsidRDefault="005828AB">
    <w:pPr>
      <w:pStyle w:val="Header"/>
    </w:pPr>
    <w:r>
      <w:t xml:space="preserve">FINAL </w:t>
    </w:r>
    <w:r w:rsidR="00826807">
      <w:t>REVIEW REPORT</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786E3A" w14:textId="0A324172" w:rsidR="00B85AB5" w:rsidRDefault="00B85AB5">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81CF2A" w14:textId="368ACA9B" w:rsidR="006A051F" w:rsidRDefault="006A051F">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B710B9" w14:textId="4D2BDB4E" w:rsidR="006D2DE3" w:rsidRPr="00137B59" w:rsidRDefault="009675CE" w:rsidP="006D2DE3">
    <w:pPr>
      <w:pStyle w:val="Header"/>
      <w:ind w:left="-1134"/>
    </w:pPr>
    <w:r>
      <w:rPr>
        <w:noProof/>
        <w:lang w:eastAsia="en-AU"/>
      </w:rPr>
      <w:drawing>
        <wp:anchor distT="0" distB="0" distL="114300" distR="114300" simplePos="0" relativeHeight="251658248" behindDoc="0" locked="0" layoutInCell="1" allowOverlap="1" wp14:anchorId="565C3121" wp14:editId="3DF14697">
          <wp:simplePos x="0" y="0"/>
          <wp:positionH relativeFrom="margin">
            <wp:align>left</wp:align>
          </wp:positionH>
          <wp:positionV relativeFrom="paragraph">
            <wp:posOffset>47212</wp:posOffset>
          </wp:positionV>
          <wp:extent cx="574040" cy="233680"/>
          <wp:effectExtent l="0" t="0" r="0" b="0"/>
          <wp:wrapThrough wrapText="bothSides">
            <wp:wrapPolygon edited="0">
              <wp:start x="0" y="0"/>
              <wp:lineTo x="0" y="19370"/>
              <wp:lineTo x="20788" y="19370"/>
              <wp:lineTo x="20788" y="0"/>
              <wp:lineTo x="0" y="0"/>
            </wp:wrapPolygon>
          </wp:wrapThrough>
          <wp:docPr id="2082932855" name="Picture 20829328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932855" name="Picture 208293285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4040" cy="233680"/>
                  </a:xfrm>
                  <a:prstGeom prst="rect">
                    <a:avLst/>
                  </a:prstGeom>
                  <a:noFill/>
                  <a:ln>
                    <a:noFill/>
                  </a:ln>
                </pic:spPr>
              </pic:pic>
            </a:graphicData>
          </a:graphic>
          <wp14:sizeRelH relativeFrom="page">
            <wp14:pctWidth>0</wp14:pctWidth>
          </wp14:sizeRelH>
          <wp14:sizeRelV relativeFrom="page">
            <wp14:pctHeight>0</wp14:pctHeight>
          </wp14:sizeRelV>
        </wp:anchor>
      </w:drawing>
    </w:r>
    <w:r w:rsidR="00C134D7" w:rsidRPr="00C134D7">
      <w:t xml:space="preserve"> </w:t>
    </w:r>
    <w:r w:rsidR="006D2DE3">
      <w:t>INDEPENDENT REVIEW OF CANCER PROSTHESES EQUITY IN AUSTRALIA</w:t>
    </w:r>
  </w:p>
  <w:p w14:paraId="5509546F" w14:textId="00CDA21B" w:rsidR="006D2DE3" w:rsidRDefault="006D2DE3" w:rsidP="006D2DE3">
    <w:pPr>
      <w:pStyle w:val="Header"/>
    </w:pPr>
    <w:r w:rsidRPr="001719EC">
      <w:rPr>
        <w:b/>
        <w:bCs/>
        <w:color w:val="auto"/>
      </w:rPr>
      <w:t>DRAFT</w:t>
    </w:r>
    <w:r w:rsidRPr="001719EC">
      <w:rPr>
        <w:color w:val="auto"/>
      </w:rPr>
      <w:t xml:space="preserve"> </w:t>
    </w:r>
    <w:r>
      <w:t xml:space="preserve">REVIEW REPORT </w:t>
    </w:r>
  </w:p>
  <w:p w14:paraId="49CE62CC" w14:textId="61F90E3F" w:rsidR="009675CE" w:rsidRDefault="009675CE" w:rsidP="006D2DE3">
    <w:pPr>
      <w:pStyle w:val="Header"/>
      <w:ind w:left="-1134"/>
    </w:pPr>
  </w:p>
  <w:p w14:paraId="0DB119A8" w14:textId="77777777" w:rsidR="009675CE" w:rsidRDefault="009675CE" w:rsidP="000D24C6">
    <w:pPr>
      <w:pStyle w:val="Header"/>
    </w:pPr>
  </w:p>
  <w:p w14:paraId="373C1A9A" w14:textId="77777777" w:rsidR="009675CE" w:rsidRDefault="009675CE">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49D257" w14:textId="1783CE37" w:rsidR="006A051F" w:rsidRDefault="006A051F">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EA9CA8" w14:textId="3EAAB167" w:rsidR="006A051F" w:rsidRDefault="006A051F">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993F50" w14:textId="5976CE79" w:rsidR="00CE1157" w:rsidRPr="00137B59" w:rsidRDefault="00CE1157" w:rsidP="00CE1157">
    <w:pPr>
      <w:pStyle w:val="Header"/>
      <w:ind w:left="-1134"/>
    </w:pPr>
    <w:r>
      <w:t>INDEPENDENT REVIEW OF CANCER PROSTHESES EQUITY IN AUSTRALIA</w:t>
    </w:r>
  </w:p>
  <w:p w14:paraId="5E320AEF" w14:textId="213DC272" w:rsidR="009675CE" w:rsidRDefault="005828AB" w:rsidP="00F528C3">
    <w:pPr>
      <w:pStyle w:val="Header"/>
    </w:pPr>
    <w:r w:rsidRPr="005828AB">
      <w:t xml:space="preserve">FINAL </w:t>
    </w:r>
    <w:r w:rsidR="00CE1157">
      <w:t>REVIEW REPORT</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A084A3" w14:textId="4EE4E825" w:rsidR="006A051F" w:rsidRDefault="006A051F">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46421B" w14:textId="77777777" w:rsidR="00155C98" w:rsidRDefault="00000000">
    <w:pPr>
      <w:pStyle w:val="Header"/>
    </w:pPr>
    <w:r>
      <w:rPr>
        <w:noProof/>
      </w:rPr>
      <w:pict w14:anchorId="3240BD9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03" type="#_x0000_t136" style="position:absolute;left:0;text-align:left;margin-left:0;margin-top:0;width:513.8pt;height:205.5pt;rotation:315;z-index:-25165823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2D8571" w14:textId="4B05C43E" w:rsidR="00D955D8" w:rsidRDefault="00D955D8" w:rsidP="000D24C6">
    <w:pPr>
      <w:pStyle w:val="Header"/>
    </w:pPr>
    <w:r>
      <w:tab/>
    </w:r>
  </w:p>
  <w:p w14:paraId="777DDC9F" w14:textId="5549CB89" w:rsidR="00D955D8" w:rsidRDefault="00D955D8" w:rsidP="000D24C6">
    <w:pPr>
      <w:pStyle w:val="Header"/>
    </w:pPr>
    <w:r>
      <w:tab/>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3EC219" w14:textId="3DDBCFD9" w:rsidR="00155C98" w:rsidRPr="00137B59" w:rsidRDefault="00155C98" w:rsidP="00356593">
    <w:pPr>
      <w:pStyle w:val="Header"/>
    </w:pPr>
    <w:r w:rsidRPr="00C134D7">
      <w:t xml:space="preserve"> </w:t>
    </w:r>
    <w:r>
      <w:t>INDEPENDENT REVIEW OF CANCER PROSTHESES EQUITY IN AUSTRALIA</w:t>
    </w:r>
  </w:p>
  <w:p w14:paraId="58A9091B" w14:textId="29E369BB" w:rsidR="00155C98" w:rsidRDefault="005828AB" w:rsidP="000229FC">
    <w:pPr>
      <w:pStyle w:val="Header"/>
    </w:pPr>
    <w:r w:rsidRPr="005828AB">
      <w:t xml:space="preserve">FINAL </w:t>
    </w:r>
    <w:r w:rsidR="00155C98">
      <w:t xml:space="preserve">REVIEW REPORT </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DB8CBF" w14:textId="77777777" w:rsidR="00155C98" w:rsidRDefault="00000000">
    <w:pPr>
      <w:pStyle w:val="Header"/>
    </w:pPr>
    <w:r>
      <w:rPr>
        <w:noProof/>
      </w:rPr>
      <w:pict w14:anchorId="2807373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04" type="#_x0000_t136" style="position:absolute;left:0;text-align:left;margin-left:0;margin-top:0;width:513.8pt;height:205.5pt;rotation:315;z-index:-251658235;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6C144B" w14:textId="038FAC99" w:rsidR="00311FB1" w:rsidRDefault="00000000">
    <w:pPr>
      <w:pStyle w:val="Header"/>
    </w:pPr>
    <w:r>
      <w:rPr>
        <w:noProof/>
      </w:rPr>
      <w:pict w14:anchorId="42243EF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89" type="#_x0000_t136" style="position:absolute;left:0;text-align:left;margin-left:0;margin-top:0;width:513.8pt;height:205.5pt;rotation:315;z-index:-25165823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04713" w14:textId="54B2E3A6" w:rsidR="00630B86" w:rsidRDefault="00630B86">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A53FD3" w14:textId="7DA8082F" w:rsidR="00311FB1" w:rsidRDefault="00000000">
    <w:pPr>
      <w:pStyle w:val="Header"/>
    </w:pPr>
    <w:r>
      <w:rPr>
        <w:noProof/>
      </w:rPr>
      <w:pict w14:anchorId="4DBD991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91" type="#_x0000_t136" style="position:absolute;left:0;text-align:left;margin-left:0;margin-top:0;width:513.8pt;height:205.5pt;rotation:315;z-index:-251658237;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10B39D" w14:textId="02E76E00" w:rsidR="00C01E4A" w:rsidRPr="00137B59" w:rsidRDefault="00C01E4A" w:rsidP="00C01E4A">
    <w:pPr>
      <w:pStyle w:val="Header"/>
      <w:ind w:left="-1134"/>
    </w:pPr>
    <w:r w:rsidRPr="00F96A96">
      <w:t xml:space="preserve"> </w:t>
    </w:r>
    <w:r>
      <w:t>INDEPENDENT REVIEW OF CANCER PROSTHESES EQUITY IN AUSTRALIA</w:t>
    </w:r>
  </w:p>
  <w:p w14:paraId="02CE3854" w14:textId="3770C16C" w:rsidR="00C01E4A" w:rsidRDefault="00C01E4A" w:rsidP="00C01E4A">
    <w:pPr>
      <w:pStyle w:val="Header"/>
    </w:pPr>
    <w:r w:rsidRPr="00210A81">
      <w:t xml:space="preserve">FINAL </w:t>
    </w:r>
    <w:r>
      <w:t xml:space="preserve">REVIEW REPORT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D5C7B4" w14:textId="7FF23CB8" w:rsidR="00311FB1" w:rsidRDefault="00311FB1">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886F99" w14:textId="25566F22" w:rsidR="00311FB1" w:rsidRDefault="00311FB1">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29FED9" w14:textId="7AAD5683" w:rsidR="00311FB1" w:rsidRDefault="00311FB1">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3C7EF" w14:textId="0373A67C" w:rsidR="006D2DE3" w:rsidRPr="00137B59" w:rsidRDefault="00F96A96" w:rsidP="006D2DE3">
    <w:pPr>
      <w:pStyle w:val="Header"/>
      <w:ind w:left="-1134"/>
    </w:pPr>
    <w:r w:rsidRPr="00F96A96">
      <w:t xml:space="preserve"> </w:t>
    </w:r>
    <w:r w:rsidR="006D2DE3">
      <w:t>INDEPENDENT REVIEW OF CANCER PROSTHESES EQUITY IN AUSTRALIA</w:t>
    </w:r>
  </w:p>
  <w:p w14:paraId="2AFB170F" w14:textId="1D42CC0F" w:rsidR="00630B86" w:rsidRDefault="00FD2150">
    <w:pPr>
      <w:pStyle w:val="Header"/>
    </w:pPr>
    <w:r w:rsidRPr="00210A81">
      <w:t xml:space="preserve">FINAL </w:t>
    </w:r>
    <w:r w:rsidR="006D2DE3">
      <w:t xml:space="preserve">REVIEW REPORT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88629548"/>
    <w:lvl w:ilvl="0">
      <w:start w:val="1"/>
      <w:numFmt w:val="decimal"/>
      <w:pStyle w:val="ListNumber5"/>
      <w:lvlText w:val="%1."/>
      <w:lvlJc w:val="left"/>
      <w:pPr>
        <w:tabs>
          <w:tab w:val="num" w:pos="7020"/>
        </w:tabs>
        <w:ind w:left="7020" w:hanging="360"/>
      </w:pPr>
    </w:lvl>
  </w:abstractNum>
  <w:abstractNum w:abstractNumId="1" w15:restartNumberingAfterBreak="0">
    <w:nsid w:val="FFFFFF7D"/>
    <w:multiLevelType w:val="singleLevel"/>
    <w:tmpl w:val="66F88DBA"/>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1C369540"/>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4EC07690"/>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FFFFFF89"/>
    <w:multiLevelType w:val="singleLevel"/>
    <w:tmpl w:val="14CAFE16"/>
    <w:lvl w:ilvl="0">
      <w:start w:val="1"/>
      <w:numFmt w:val="bullet"/>
      <w:pStyle w:val="ListBullet"/>
      <w:lvlText w:val=""/>
      <w:lvlJc w:val="left"/>
      <w:pPr>
        <w:tabs>
          <w:tab w:val="num" w:pos="360"/>
        </w:tabs>
        <w:ind w:left="360" w:hanging="360"/>
      </w:pPr>
      <w:rPr>
        <w:rFonts w:ascii="Symbol" w:hAnsi="Symbol" w:hint="default"/>
      </w:rPr>
    </w:lvl>
  </w:abstractNum>
  <w:abstractNum w:abstractNumId="5" w15:restartNumberingAfterBreak="0">
    <w:nsid w:val="114656F4"/>
    <w:multiLevelType w:val="singleLevel"/>
    <w:tmpl w:val="FF3EAD00"/>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6" w15:restartNumberingAfterBreak="0">
    <w:nsid w:val="1D53425E"/>
    <w:multiLevelType w:val="hybridMultilevel"/>
    <w:tmpl w:val="759073D6"/>
    <w:lvl w:ilvl="0" w:tplc="697C2B88">
      <w:start w:val="1"/>
      <w:numFmt w:val="bullet"/>
      <w:pStyle w:val="Bullet1stlevel"/>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240D3E62"/>
    <w:multiLevelType w:val="hybridMultilevel"/>
    <w:tmpl w:val="E7AA280A"/>
    <w:lvl w:ilvl="0" w:tplc="16B8E518">
      <w:start w:val="1"/>
      <w:numFmt w:val="bullet"/>
      <w:pStyle w:val="TableBullet1"/>
      <w:lvlText w:val="•"/>
      <w:lvlJc w:val="left"/>
      <w:pPr>
        <w:ind w:left="720" w:hanging="360"/>
      </w:pPr>
      <w:rPr>
        <w:rFonts w:ascii="Univers 45 Light" w:hAnsi="Univers 45 Light" w:cs="Arial Unicode MS" w:hint="default"/>
        <w:color w:val="auto"/>
        <w:sz w:val="18"/>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EAB01EA"/>
    <w:multiLevelType w:val="singleLevel"/>
    <w:tmpl w:val="2D322988"/>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9" w15:restartNumberingAfterBreak="0">
    <w:nsid w:val="357F166A"/>
    <w:multiLevelType w:val="multilevel"/>
    <w:tmpl w:val="873ECE26"/>
    <w:lvl w:ilvl="0">
      <w:start w:val="1"/>
      <w:numFmt w:val="upperLetter"/>
      <w:pStyle w:val="Appendixheading"/>
      <w:suff w:val="nothing"/>
      <w:lvlText w:val="Appendix %1"/>
      <w:lvlJc w:val="left"/>
      <w:pPr>
        <w:ind w:left="0" w:firstLine="0"/>
      </w:pPr>
      <w:rPr>
        <w:rFonts w:hint="default"/>
      </w:rPr>
    </w:lvl>
    <w:lvl w:ilvl="1">
      <w:start w:val="1"/>
      <w:numFmt w:val="decimal"/>
      <w:pStyle w:val="AppendixHeading2"/>
      <w:lvlText w:val="%1.%2"/>
      <w:lvlJc w:val="left"/>
      <w:pPr>
        <w:tabs>
          <w:tab w:val="num" w:pos="720"/>
        </w:tabs>
        <w:ind w:left="720" w:hanging="720"/>
      </w:pPr>
      <w:rPr>
        <w:rFonts w:hint="default"/>
      </w:rPr>
    </w:lvl>
    <w:lvl w:ilvl="2">
      <w:start w:val="1"/>
      <w:numFmt w:val="decimal"/>
      <w:pStyle w:val="AppendixHeading3"/>
      <w:lvlText w:val="%1.%2.%3"/>
      <w:lvlJc w:val="left"/>
      <w:pPr>
        <w:tabs>
          <w:tab w:val="num" w:pos="720"/>
        </w:tabs>
        <w:ind w:left="720" w:hanging="720"/>
      </w:pPr>
      <w:rPr>
        <w:rFonts w:hint="default"/>
      </w:rPr>
    </w:lvl>
    <w:lvl w:ilvl="3">
      <w:start w:val="1"/>
      <w:numFmt w:val="decimal"/>
      <w:pStyle w:val="AppendixHeading4"/>
      <w:lvlText w:val="%1.%2.%3.%4"/>
      <w:lvlJc w:val="left"/>
      <w:pPr>
        <w:tabs>
          <w:tab w:val="num" w:pos="720"/>
        </w:tabs>
        <w:ind w:left="720" w:hanging="72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35B1022D"/>
    <w:multiLevelType w:val="multilevel"/>
    <w:tmpl w:val="216C8D42"/>
    <w:lvl w:ilvl="0">
      <w:start w:val="1"/>
      <w:numFmt w:val="decimal"/>
      <w:pStyle w:val="ListNumber"/>
      <w:lvlText w:val="%1."/>
      <w:lvlJc w:val="left"/>
      <w:pPr>
        <w:tabs>
          <w:tab w:val="num" w:pos="284"/>
        </w:tabs>
        <w:ind w:left="284" w:hanging="284"/>
      </w:pPr>
      <w:rPr>
        <w:rFonts w:ascii="Arial" w:hAnsi="Arial" w:cs="Arial" w:hint="default"/>
        <w:sz w:val="20"/>
      </w:rPr>
    </w:lvl>
    <w:lvl w:ilvl="1">
      <w:start w:val="1"/>
      <w:numFmt w:val="decimal"/>
      <w:lvlText w:val="%1.%2."/>
      <w:lvlJc w:val="left"/>
      <w:pPr>
        <w:tabs>
          <w:tab w:val="num" w:pos="567"/>
        </w:tabs>
        <w:ind w:left="851" w:hanging="567"/>
      </w:pPr>
      <w:rPr>
        <w:rFonts w:ascii="Arial" w:hAnsi="Arial" w:cs="Arial" w:hint="default"/>
        <w:sz w:val="20"/>
      </w:rPr>
    </w:lvl>
    <w:lvl w:ilvl="2">
      <w:start w:val="1"/>
      <w:numFmt w:val="decimal"/>
      <w:lvlText w:val="%1.%2.%3"/>
      <w:lvlJc w:val="left"/>
      <w:pPr>
        <w:tabs>
          <w:tab w:val="num" w:pos="1134"/>
        </w:tabs>
        <w:ind w:left="1418" w:hanging="567"/>
      </w:pPr>
      <w:rPr>
        <w:rFonts w:ascii="Arial" w:hAnsi="Arial" w:hint="default"/>
        <w:sz w:val="20"/>
      </w:rPr>
    </w:lvl>
    <w:lvl w:ilvl="3">
      <w:start w:val="1"/>
      <w:numFmt w:val="decimal"/>
      <w:lvlText w:val="%4—"/>
      <w:lvlJc w:val="left"/>
      <w:pPr>
        <w:tabs>
          <w:tab w:val="num" w:pos="1361"/>
        </w:tabs>
        <w:ind w:left="1361" w:hanging="341"/>
      </w:pPr>
      <w:rPr>
        <w:rFonts w:ascii="Arial" w:hAnsi="Arial" w:cs="Arial" w:hint="default"/>
      </w:rPr>
    </w:lvl>
    <w:lvl w:ilvl="4">
      <w:start w:val="1"/>
      <w:numFmt w:val="lowerLetter"/>
      <w:lvlText w:val="-"/>
      <w:lvlJc w:val="left"/>
      <w:pPr>
        <w:tabs>
          <w:tab w:val="num" w:pos="1701"/>
        </w:tabs>
        <w:ind w:left="1701" w:hanging="340"/>
      </w:pPr>
      <w:rPr>
        <w:rFonts w:ascii="9999999" w:hAnsi="9999999" w:hint="default"/>
      </w:rPr>
    </w:lvl>
    <w:lvl w:ilvl="5">
      <w:start w:val="1"/>
      <w:numFmt w:val="lowerRoman"/>
      <w:lvlText w:val="—"/>
      <w:lvlJc w:val="left"/>
      <w:pPr>
        <w:tabs>
          <w:tab w:val="num" w:pos="2041"/>
        </w:tabs>
        <w:ind w:left="2041" w:hanging="340"/>
      </w:pPr>
      <w:rPr>
        <w:rFonts w:ascii="Arial" w:hAnsi="Arial" w:cs="Arial" w:hint="default"/>
      </w:rPr>
    </w:lvl>
    <w:lvl w:ilvl="6">
      <w:start w:val="1"/>
      <w:numFmt w:val="decimal"/>
      <w:lvlText w:val="-"/>
      <w:lvlJc w:val="left"/>
      <w:pPr>
        <w:tabs>
          <w:tab w:val="num" w:pos="2381"/>
        </w:tabs>
        <w:ind w:left="2381" w:hanging="340"/>
      </w:pPr>
      <w:rPr>
        <w:rFonts w:ascii="9999999" w:hAnsi="9999999" w:hint="default"/>
      </w:rPr>
    </w:lvl>
    <w:lvl w:ilvl="7">
      <w:start w:val="1"/>
      <w:numFmt w:val="lowerLetter"/>
      <w:lvlText w:val="—"/>
      <w:lvlJc w:val="left"/>
      <w:pPr>
        <w:tabs>
          <w:tab w:val="num" w:pos="2721"/>
        </w:tabs>
        <w:ind w:left="2721" w:hanging="340"/>
      </w:pPr>
      <w:rPr>
        <w:rFonts w:ascii="Arial" w:hAnsi="Arial" w:cs="Arial" w:hint="default"/>
      </w:rPr>
    </w:lvl>
    <w:lvl w:ilvl="8">
      <w:start w:val="1"/>
      <w:numFmt w:val="lowerRoman"/>
      <w:lvlText w:val="-"/>
      <w:lvlJc w:val="left"/>
      <w:pPr>
        <w:tabs>
          <w:tab w:val="num" w:pos="3061"/>
        </w:tabs>
        <w:ind w:left="3061" w:hanging="340"/>
      </w:pPr>
      <w:rPr>
        <w:rFonts w:ascii="9999999" w:hAnsi="9999999" w:hint="default"/>
      </w:rPr>
    </w:lvl>
  </w:abstractNum>
  <w:abstractNum w:abstractNumId="11" w15:restartNumberingAfterBreak="0">
    <w:nsid w:val="3A436059"/>
    <w:multiLevelType w:val="hybridMultilevel"/>
    <w:tmpl w:val="06B817D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3BB00425"/>
    <w:multiLevelType w:val="multilevel"/>
    <w:tmpl w:val="0C090001"/>
    <w:styleLink w:val="Bullets"/>
    <w:lvl w:ilvl="0">
      <w:start w:val="1"/>
      <w:numFmt w:val="bullet"/>
      <w:lvlText w:val="•"/>
      <w:lvlJc w:val="left"/>
      <w:pPr>
        <w:ind w:left="360" w:hanging="360"/>
      </w:pPr>
      <w:rPr>
        <w:rFonts w:ascii="Arial" w:hAnsi="Arial" w:hint="default"/>
        <w:color w:val="auto"/>
        <w:sz w:val="24"/>
      </w:rPr>
    </w:lvl>
    <w:lvl w:ilvl="1">
      <w:start w:val="1"/>
      <w:numFmt w:val="bullet"/>
      <w:lvlText w:val="‒"/>
      <w:lvlJc w:val="left"/>
      <w:pPr>
        <w:ind w:left="1440" w:hanging="360"/>
      </w:pPr>
      <w:rPr>
        <w:rFonts w:ascii="Arial" w:hAnsi="Arial" w:hint="default"/>
      </w:rPr>
    </w:lvl>
    <w:lvl w:ilvl="2">
      <w:start w:val="1"/>
      <w:numFmt w:val="bullet"/>
      <w:lvlText w:val="—"/>
      <w:lvlJc w:val="left"/>
      <w:pPr>
        <w:ind w:left="2160" w:hanging="360"/>
      </w:pPr>
      <w:rPr>
        <w:rFonts w:ascii="Arial" w:hAnsi="Arial"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3CDF03D8"/>
    <w:multiLevelType w:val="hybridMultilevel"/>
    <w:tmpl w:val="50926724"/>
    <w:lvl w:ilvl="0" w:tplc="303E4B1C">
      <w:numFmt w:val="bullet"/>
      <w:lvlText w:val="-"/>
      <w:lvlJc w:val="left"/>
      <w:pPr>
        <w:ind w:left="360" w:hanging="360"/>
      </w:pPr>
      <w:rPr>
        <w:rFonts w:ascii="Arial" w:eastAsiaTheme="minorHAnsi" w:hAnsi="Arial" w:cs="Arial" w:hint="default"/>
        <w:color w:val="auto"/>
        <w:sz w:val="18"/>
        <w:szCs w:val="18"/>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3E021DE5"/>
    <w:multiLevelType w:val="multilevel"/>
    <w:tmpl w:val="AD0C5032"/>
    <w:lvl w:ilvl="0">
      <w:start w:val="1"/>
      <w:numFmt w:val="bullet"/>
      <w:lvlText w:val="•"/>
      <w:lvlJc w:val="left"/>
      <w:pPr>
        <w:ind w:left="284" w:hanging="284"/>
      </w:pPr>
      <w:rPr>
        <w:rFonts w:ascii="Arial" w:hAnsi="Arial" w:hint="default"/>
        <w:color w:val="auto"/>
        <w:sz w:val="20"/>
      </w:rPr>
    </w:lvl>
    <w:lvl w:ilvl="1">
      <w:start w:val="1"/>
      <w:numFmt w:val="bullet"/>
      <w:pStyle w:val="Bullet2ndlevel"/>
      <w:lvlText w:val="‒"/>
      <w:lvlJc w:val="left"/>
      <w:pPr>
        <w:ind w:left="567" w:hanging="283"/>
      </w:pPr>
      <w:rPr>
        <w:rFonts w:ascii="Arial" w:hAnsi="Arial" w:hint="default"/>
        <w:sz w:val="20"/>
      </w:rPr>
    </w:lvl>
    <w:lvl w:ilvl="2">
      <w:start w:val="1"/>
      <w:numFmt w:val="bullet"/>
      <w:pStyle w:val="Bullet3rdlevel"/>
      <w:lvlText w:val="—"/>
      <w:lvlJc w:val="left"/>
      <w:pPr>
        <w:ind w:left="851" w:hanging="284"/>
      </w:pPr>
      <w:rPr>
        <w:rFonts w:ascii="Arial" w:hAnsi="Arial" w:hint="default"/>
        <w:sz w:val="20"/>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4070481E"/>
    <w:multiLevelType w:val="singleLevel"/>
    <w:tmpl w:val="F3ACC6B2"/>
    <w:lvl w:ilvl="0">
      <w:start w:val="1"/>
      <w:numFmt w:val="bullet"/>
      <w:pStyle w:val="TableBullet1stlevel"/>
      <w:lvlText w:val="•"/>
      <w:lvlJc w:val="left"/>
      <w:pPr>
        <w:tabs>
          <w:tab w:val="num" w:pos="340"/>
        </w:tabs>
        <w:ind w:left="340" w:hanging="340"/>
      </w:pPr>
      <w:rPr>
        <w:rFonts w:ascii="Arial" w:hAnsi="Arial" w:cs="Arial" w:hint="default"/>
        <w:color w:val="auto"/>
        <w:sz w:val="24"/>
      </w:rPr>
    </w:lvl>
  </w:abstractNum>
  <w:abstractNum w:abstractNumId="16" w15:restartNumberingAfterBreak="0">
    <w:nsid w:val="458E188E"/>
    <w:multiLevelType w:val="hybridMultilevel"/>
    <w:tmpl w:val="8F7880E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4DA74360"/>
    <w:multiLevelType w:val="hybridMultilevel"/>
    <w:tmpl w:val="DD187B9C"/>
    <w:lvl w:ilvl="0" w:tplc="303E4B1C">
      <w:numFmt w:val="bullet"/>
      <w:lvlText w:val="-"/>
      <w:lvlJc w:val="left"/>
      <w:pPr>
        <w:ind w:left="309" w:hanging="360"/>
      </w:pPr>
      <w:rPr>
        <w:rFonts w:ascii="Arial" w:eastAsiaTheme="minorHAnsi" w:hAnsi="Arial" w:cs="Arial" w:hint="default"/>
        <w:color w:val="auto"/>
        <w:sz w:val="18"/>
        <w:szCs w:val="18"/>
      </w:rPr>
    </w:lvl>
    <w:lvl w:ilvl="1" w:tplc="0C090003" w:tentative="1">
      <w:start w:val="1"/>
      <w:numFmt w:val="bullet"/>
      <w:lvlText w:val="o"/>
      <w:lvlJc w:val="left"/>
      <w:pPr>
        <w:ind w:left="1029" w:hanging="360"/>
      </w:pPr>
      <w:rPr>
        <w:rFonts w:ascii="Courier New" w:hAnsi="Courier New" w:cs="Courier New" w:hint="default"/>
      </w:rPr>
    </w:lvl>
    <w:lvl w:ilvl="2" w:tplc="0C090005" w:tentative="1">
      <w:start w:val="1"/>
      <w:numFmt w:val="bullet"/>
      <w:lvlText w:val=""/>
      <w:lvlJc w:val="left"/>
      <w:pPr>
        <w:ind w:left="1749" w:hanging="360"/>
      </w:pPr>
      <w:rPr>
        <w:rFonts w:ascii="Wingdings" w:hAnsi="Wingdings" w:hint="default"/>
      </w:rPr>
    </w:lvl>
    <w:lvl w:ilvl="3" w:tplc="0C090001" w:tentative="1">
      <w:start w:val="1"/>
      <w:numFmt w:val="bullet"/>
      <w:lvlText w:val=""/>
      <w:lvlJc w:val="left"/>
      <w:pPr>
        <w:ind w:left="2469" w:hanging="360"/>
      </w:pPr>
      <w:rPr>
        <w:rFonts w:ascii="Symbol" w:hAnsi="Symbol" w:hint="default"/>
      </w:rPr>
    </w:lvl>
    <w:lvl w:ilvl="4" w:tplc="0C090003" w:tentative="1">
      <w:start w:val="1"/>
      <w:numFmt w:val="bullet"/>
      <w:lvlText w:val="o"/>
      <w:lvlJc w:val="left"/>
      <w:pPr>
        <w:ind w:left="3189" w:hanging="360"/>
      </w:pPr>
      <w:rPr>
        <w:rFonts w:ascii="Courier New" w:hAnsi="Courier New" w:cs="Courier New" w:hint="default"/>
      </w:rPr>
    </w:lvl>
    <w:lvl w:ilvl="5" w:tplc="0C090005" w:tentative="1">
      <w:start w:val="1"/>
      <w:numFmt w:val="bullet"/>
      <w:lvlText w:val=""/>
      <w:lvlJc w:val="left"/>
      <w:pPr>
        <w:ind w:left="3909" w:hanging="360"/>
      </w:pPr>
      <w:rPr>
        <w:rFonts w:ascii="Wingdings" w:hAnsi="Wingdings" w:hint="default"/>
      </w:rPr>
    </w:lvl>
    <w:lvl w:ilvl="6" w:tplc="0C090001" w:tentative="1">
      <w:start w:val="1"/>
      <w:numFmt w:val="bullet"/>
      <w:lvlText w:val=""/>
      <w:lvlJc w:val="left"/>
      <w:pPr>
        <w:ind w:left="4629" w:hanging="360"/>
      </w:pPr>
      <w:rPr>
        <w:rFonts w:ascii="Symbol" w:hAnsi="Symbol" w:hint="default"/>
      </w:rPr>
    </w:lvl>
    <w:lvl w:ilvl="7" w:tplc="0C090003" w:tentative="1">
      <w:start w:val="1"/>
      <w:numFmt w:val="bullet"/>
      <w:lvlText w:val="o"/>
      <w:lvlJc w:val="left"/>
      <w:pPr>
        <w:ind w:left="5349" w:hanging="360"/>
      </w:pPr>
      <w:rPr>
        <w:rFonts w:ascii="Courier New" w:hAnsi="Courier New" w:cs="Courier New" w:hint="default"/>
      </w:rPr>
    </w:lvl>
    <w:lvl w:ilvl="8" w:tplc="0C090005" w:tentative="1">
      <w:start w:val="1"/>
      <w:numFmt w:val="bullet"/>
      <w:lvlText w:val=""/>
      <w:lvlJc w:val="left"/>
      <w:pPr>
        <w:ind w:left="6069" w:hanging="360"/>
      </w:pPr>
      <w:rPr>
        <w:rFonts w:ascii="Wingdings" w:hAnsi="Wingdings" w:hint="default"/>
      </w:rPr>
    </w:lvl>
  </w:abstractNum>
  <w:abstractNum w:abstractNumId="18" w15:restartNumberingAfterBreak="0">
    <w:nsid w:val="54C42140"/>
    <w:multiLevelType w:val="hybridMultilevel"/>
    <w:tmpl w:val="B22486FC"/>
    <w:lvl w:ilvl="0" w:tplc="C3BA610C">
      <w:start w:val="1"/>
      <w:numFmt w:val="bullet"/>
      <w:pStyle w:val="Bullet1KeyFinding"/>
      <w:lvlText w:val=""/>
      <w:lvlJc w:val="left"/>
      <w:pPr>
        <w:ind w:left="360" w:hanging="360"/>
      </w:pPr>
      <w:rPr>
        <w:rFonts w:ascii="Symbol" w:hAnsi="Symbol" w:hint="default"/>
        <w:color w:val="auto"/>
      </w:rPr>
    </w:lvl>
    <w:lvl w:ilvl="1" w:tplc="303E4B1C">
      <w:numFmt w:val="bullet"/>
      <w:lvlText w:val="-"/>
      <w:lvlJc w:val="left"/>
      <w:pPr>
        <w:ind w:left="360" w:hanging="360"/>
      </w:pPr>
      <w:rPr>
        <w:rFonts w:ascii="Arial" w:eastAsiaTheme="minorHAnsi" w:hAnsi="Arial" w:cs="Arial" w:hint="default"/>
        <w:color w:val="auto"/>
        <w:sz w:val="18"/>
        <w:szCs w:val="18"/>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56E84F30"/>
    <w:multiLevelType w:val="multilevel"/>
    <w:tmpl w:val="216C8D42"/>
    <w:lvl w:ilvl="0">
      <w:start w:val="1"/>
      <w:numFmt w:val="decimal"/>
      <w:lvlText w:val="%1."/>
      <w:lvlJc w:val="left"/>
      <w:pPr>
        <w:tabs>
          <w:tab w:val="num" w:pos="284"/>
        </w:tabs>
        <w:ind w:left="284" w:hanging="284"/>
      </w:pPr>
      <w:rPr>
        <w:rFonts w:ascii="Arial" w:hAnsi="Arial" w:cs="Arial" w:hint="default"/>
        <w:sz w:val="20"/>
      </w:rPr>
    </w:lvl>
    <w:lvl w:ilvl="1">
      <w:start w:val="1"/>
      <w:numFmt w:val="decimal"/>
      <w:lvlText w:val="%1.%2."/>
      <w:lvlJc w:val="left"/>
      <w:pPr>
        <w:tabs>
          <w:tab w:val="num" w:pos="567"/>
        </w:tabs>
        <w:ind w:left="851" w:hanging="567"/>
      </w:pPr>
      <w:rPr>
        <w:rFonts w:ascii="Arial" w:hAnsi="Arial" w:cs="Arial" w:hint="default"/>
        <w:sz w:val="20"/>
      </w:rPr>
    </w:lvl>
    <w:lvl w:ilvl="2">
      <w:start w:val="1"/>
      <w:numFmt w:val="decimal"/>
      <w:lvlText w:val="%1.%2.%3"/>
      <w:lvlJc w:val="left"/>
      <w:pPr>
        <w:tabs>
          <w:tab w:val="num" w:pos="1134"/>
        </w:tabs>
        <w:ind w:left="1418" w:hanging="567"/>
      </w:pPr>
      <w:rPr>
        <w:rFonts w:ascii="Arial" w:hAnsi="Arial" w:hint="default"/>
        <w:sz w:val="20"/>
      </w:rPr>
    </w:lvl>
    <w:lvl w:ilvl="3">
      <w:start w:val="1"/>
      <w:numFmt w:val="decimal"/>
      <w:lvlText w:val="%4—"/>
      <w:lvlJc w:val="left"/>
      <w:pPr>
        <w:tabs>
          <w:tab w:val="num" w:pos="1361"/>
        </w:tabs>
        <w:ind w:left="1361" w:hanging="341"/>
      </w:pPr>
      <w:rPr>
        <w:rFonts w:ascii="Arial" w:hAnsi="Arial" w:cs="Arial" w:hint="default"/>
      </w:rPr>
    </w:lvl>
    <w:lvl w:ilvl="4">
      <w:start w:val="1"/>
      <w:numFmt w:val="lowerLetter"/>
      <w:lvlText w:val="-"/>
      <w:lvlJc w:val="left"/>
      <w:pPr>
        <w:tabs>
          <w:tab w:val="num" w:pos="1701"/>
        </w:tabs>
        <w:ind w:left="1701" w:hanging="340"/>
      </w:pPr>
      <w:rPr>
        <w:rFonts w:ascii="9999999" w:hAnsi="9999999" w:hint="default"/>
      </w:rPr>
    </w:lvl>
    <w:lvl w:ilvl="5">
      <w:start w:val="1"/>
      <w:numFmt w:val="lowerRoman"/>
      <w:lvlText w:val="—"/>
      <w:lvlJc w:val="left"/>
      <w:pPr>
        <w:tabs>
          <w:tab w:val="num" w:pos="2041"/>
        </w:tabs>
        <w:ind w:left="2041" w:hanging="340"/>
      </w:pPr>
      <w:rPr>
        <w:rFonts w:ascii="Arial" w:hAnsi="Arial" w:cs="Arial" w:hint="default"/>
      </w:rPr>
    </w:lvl>
    <w:lvl w:ilvl="6">
      <w:start w:val="1"/>
      <w:numFmt w:val="decimal"/>
      <w:lvlText w:val="-"/>
      <w:lvlJc w:val="left"/>
      <w:pPr>
        <w:tabs>
          <w:tab w:val="num" w:pos="2381"/>
        </w:tabs>
        <w:ind w:left="2381" w:hanging="340"/>
      </w:pPr>
      <w:rPr>
        <w:rFonts w:ascii="9999999" w:hAnsi="9999999" w:hint="default"/>
      </w:rPr>
    </w:lvl>
    <w:lvl w:ilvl="7">
      <w:start w:val="1"/>
      <w:numFmt w:val="lowerLetter"/>
      <w:lvlText w:val="—"/>
      <w:lvlJc w:val="left"/>
      <w:pPr>
        <w:tabs>
          <w:tab w:val="num" w:pos="2721"/>
        </w:tabs>
        <w:ind w:left="2721" w:hanging="340"/>
      </w:pPr>
      <w:rPr>
        <w:rFonts w:ascii="Arial" w:hAnsi="Arial" w:cs="Arial" w:hint="default"/>
      </w:rPr>
    </w:lvl>
    <w:lvl w:ilvl="8">
      <w:start w:val="1"/>
      <w:numFmt w:val="lowerRoman"/>
      <w:lvlText w:val="-"/>
      <w:lvlJc w:val="left"/>
      <w:pPr>
        <w:tabs>
          <w:tab w:val="num" w:pos="3061"/>
        </w:tabs>
        <w:ind w:left="3061" w:hanging="340"/>
      </w:pPr>
      <w:rPr>
        <w:rFonts w:ascii="9999999" w:hAnsi="9999999" w:hint="default"/>
      </w:rPr>
    </w:lvl>
  </w:abstractNum>
  <w:abstractNum w:abstractNumId="20" w15:restartNumberingAfterBreak="0">
    <w:nsid w:val="5CD8044D"/>
    <w:multiLevelType w:val="singleLevel"/>
    <w:tmpl w:val="95541AF2"/>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21" w15:restartNumberingAfterBreak="0">
    <w:nsid w:val="5D0B4722"/>
    <w:multiLevelType w:val="multilevel"/>
    <w:tmpl w:val="4F34D038"/>
    <w:lvl w:ilvl="0">
      <w:start w:val="1"/>
      <w:numFmt w:val="decimal"/>
      <w:pStyle w:val="Heading1"/>
      <w:lvlText w:val="%1"/>
      <w:lvlJc w:val="left"/>
      <w:pPr>
        <w:tabs>
          <w:tab w:val="num" w:pos="720"/>
        </w:tabs>
        <w:ind w:left="720" w:hanging="720"/>
      </w:pPr>
      <w:rPr>
        <w:rFonts w:hint="default"/>
      </w:rPr>
    </w:lvl>
    <w:lvl w:ilvl="1">
      <w:start w:val="1"/>
      <w:numFmt w:val="decimal"/>
      <w:pStyle w:val="Heading2"/>
      <w:lvlText w:val="%1.%2"/>
      <w:lvlJc w:val="left"/>
      <w:pPr>
        <w:tabs>
          <w:tab w:val="num" w:pos="720"/>
        </w:tabs>
        <w:ind w:left="720" w:hanging="720"/>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none"/>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22" w15:restartNumberingAfterBreak="0">
    <w:nsid w:val="6A1D20DE"/>
    <w:multiLevelType w:val="singleLevel"/>
    <w:tmpl w:val="ABC41410"/>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23" w15:restartNumberingAfterBreak="0">
    <w:nsid w:val="725E45BE"/>
    <w:multiLevelType w:val="multilevel"/>
    <w:tmpl w:val="3A86A2DA"/>
    <w:lvl w:ilvl="0">
      <w:start w:val="1"/>
      <w:numFmt w:val="decimal"/>
      <w:lvlText w:val="%1."/>
      <w:lvlJc w:val="left"/>
      <w:pPr>
        <w:tabs>
          <w:tab w:val="num" w:pos="284"/>
        </w:tabs>
        <w:ind w:left="284" w:hanging="284"/>
      </w:pPr>
      <w:rPr>
        <w:rFonts w:ascii="Arial" w:hAnsi="Arial" w:cs="Arial" w:hint="default"/>
        <w:sz w:val="20"/>
      </w:rPr>
    </w:lvl>
    <w:lvl w:ilvl="1">
      <w:start w:val="1"/>
      <w:numFmt w:val="decimal"/>
      <w:lvlText w:val="%1.%2."/>
      <w:lvlJc w:val="left"/>
      <w:pPr>
        <w:tabs>
          <w:tab w:val="num" w:pos="567"/>
        </w:tabs>
        <w:ind w:left="851" w:hanging="567"/>
      </w:pPr>
      <w:rPr>
        <w:rFonts w:ascii="Arial" w:hAnsi="Arial" w:cs="Arial" w:hint="default"/>
        <w:sz w:val="20"/>
      </w:rPr>
    </w:lvl>
    <w:lvl w:ilvl="2">
      <w:start w:val="1"/>
      <w:numFmt w:val="decimal"/>
      <w:lvlText w:val="%1.%2.%3"/>
      <w:lvlJc w:val="left"/>
      <w:pPr>
        <w:tabs>
          <w:tab w:val="num" w:pos="1134"/>
        </w:tabs>
        <w:ind w:left="1418" w:hanging="567"/>
      </w:pPr>
      <w:rPr>
        <w:rFonts w:ascii="Arial" w:hAnsi="Arial" w:hint="default"/>
        <w:sz w:val="20"/>
      </w:rPr>
    </w:lvl>
    <w:lvl w:ilvl="3">
      <w:start w:val="1"/>
      <w:numFmt w:val="decimal"/>
      <w:lvlText w:val="%4—"/>
      <w:lvlJc w:val="left"/>
      <w:pPr>
        <w:tabs>
          <w:tab w:val="num" w:pos="1361"/>
        </w:tabs>
        <w:ind w:left="1361" w:hanging="341"/>
      </w:pPr>
      <w:rPr>
        <w:rFonts w:ascii="Arial" w:hAnsi="Arial" w:cs="Arial" w:hint="default"/>
      </w:rPr>
    </w:lvl>
    <w:lvl w:ilvl="4">
      <w:start w:val="1"/>
      <w:numFmt w:val="lowerLetter"/>
      <w:lvlText w:val="-"/>
      <w:lvlJc w:val="left"/>
      <w:pPr>
        <w:tabs>
          <w:tab w:val="num" w:pos="1701"/>
        </w:tabs>
        <w:ind w:left="1701" w:hanging="340"/>
      </w:pPr>
      <w:rPr>
        <w:rFonts w:ascii="9999999" w:hAnsi="9999999" w:hint="default"/>
      </w:rPr>
    </w:lvl>
    <w:lvl w:ilvl="5">
      <w:start w:val="1"/>
      <w:numFmt w:val="lowerRoman"/>
      <w:lvlText w:val="—"/>
      <w:lvlJc w:val="left"/>
      <w:pPr>
        <w:tabs>
          <w:tab w:val="num" w:pos="2041"/>
        </w:tabs>
        <w:ind w:left="2041" w:hanging="340"/>
      </w:pPr>
      <w:rPr>
        <w:rFonts w:ascii="Arial" w:hAnsi="Arial" w:cs="Arial" w:hint="default"/>
      </w:rPr>
    </w:lvl>
    <w:lvl w:ilvl="6">
      <w:start w:val="1"/>
      <w:numFmt w:val="decimal"/>
      <w:lvlText w:val="-"/>
      <w:lvlJc w:val="left"/>
      <w:pPr>
        <w:tabs>
          <w:tab w:val="num" w:pos="2381"/>
        </w:tabs>
        <w:ind w:left="2381" w:hanging="340"/>
      </w:pPr>
      <w:rPr>
        <w:rFonts w:ascii="9999999" w:hAnsi="9999999" w:hint="default"/>
      </w:rPr>
    </w:lvl>
    <w:lvl w:ilvl="7">
      <w:start w:val="1"/>
      <w:numFmt w:val="lowerLetter"/>
      <w:lvlText w:val="—"/>
      <w:lvlJc w:val="left"/>
      <w:pPr>
        <w:tabs>
          <w:tab w:val="num" w:pos="2721"/>
        </w:tabs>
        <w:ind w:left="2721" w:hanging="340"/>
      </w:pPr>
      <w:rPr>
        <w:rFonts w:ascii="Arial" w:hAnsi="Arial" w:cs="Arial" w:hint="default"/>
      </w:rPr>
    </w:lvl>
    <w:lvl w:ilvl="8">
      <w:start w:val="1"/>
      <w:numFmt w:val="lowerRoman"/>
      <w:lvlText w:val="-"/>
      <w:lvlJc w:val="left"/>
      <w:pPr>
        <w:tabs>
          <w:tab w:val="num" w:pos="3061"/>
        </w:tabs>
        <w:ind w:left="3061" w:hanging="340"/>
      </w:pPr>
      <w:rPr>
        <w:rFonts w:ascii="9999999" w:hAnsi="9999999" w:hint="default"/>
      </w:rPr>
    </w:lvl>
  </w:abstractNum>
  <w:num w:numId="1" w16cid:durableId="245963036">
    <w:abstractNumId w:val="12"/>
  </w:num>
  <w:num w:numId="2" w16cid:durableId="76100315">
    <w:abstractNumId w:val="14"/>
  </w:num>
  <w:num w:numId="3" w16cid:durableId="1175143453">
    <w:abstractNumId w:val="18"/>
  </w:num>
  <w:num w:numId="4" w16cid:durableId="1097873189">
    <w:abstractNumId w:val="7"/>
  </w:num>
  <w:num w:numId="5" w16cid:durableId="1569850325">
    <w:abstractNumId w:val="3"/>
  </w:num>
  <w:num w:numId="6" w16cid:durableId="1155338881">
    <w:abstractNumId w:val="2"/>
  </w:num>
  <w:num w:numId="7" w16cid:durableId="959844747">
    <w:abstractNumId w:val="1"/>
  </w:num>
  <w:num w:numId="8" w16cid:durableId="1665087436">
    <w:abstractNumId w:val="0"/>
  </w:num>
  <w:num w:numId="9" w16cid:durableId="1742216417">
    <w:abstractNumId w:val="6"/>
  </w:num>
  <w:num w:numId="10" w16cid:durableId="76489301">
    <w:abstractNumId w:val="9"/>
  </w:num>
  <w:num w:numId="11" w16cid:durableId="1626885575">
    <w:abstractNumId w:val="21"/>
    <w:lvlOverride w:ilvl="0">
      <w:lvl w:ilvl="0">
        <w:start w:val="1"/>
        <w:numFmt w:val="decimal"/>
        <w:pStyle w:val="Heading1"/>
        <w:lvlText w:val="%1"/>
        <w:lvlJc w:val="left"/>
        <w:pPr>
          <w:ind w:left="720" w:hanging="720"/>
        </w:pPr>
        <w:rPr>
          <w:rFonts w:hint="default"/>
        </w:rPr>
      </w:lvl>
    </w:lvlOverride>
    <w:lvlOverride w:ilvl="1">
      <w:lvl w:ilvl="1">
        <w:start w:val="1"/>
        <w:numFmt w:val="decimal"/>
        <w:pStyle w:val="Heading2"/>
        <w:lvlText w:val="%1.%2"/>
        <w:lvlJc w:val="left"/>
        <w:pPr>
          <w:ind w:left="0" w:firstLine="0"/>
        </w:pPr>
        <w:rPr>
          <w:rFonts w:hint="default"/>
        </w:rPr>
      </w:lvl>
    </w:lvlOverride>
    <w:lvlOverride w:ilvl="2">
      <w:lvl w:ilvl="2">
        <w:start w:val="1"/>
        <w:numFmt w:val="decimal"/>
        <w:pStyle w:val="Heading3"/>
        <w:lvlText w:val="%1.%2.%3"/>
        <w:lvlJc w:val="left"/>
        <w:pPr>
          <w:ind w:left="680" w:hanging="680"/>
        </w:pPr>
        <w:rPr>
          <w:rFonts w:hint="default"/>
        </w:rPr>
      </w:lvl>
    </w:lvlOverride>
    <w:lvlOverride w:ilvl="3">
      <w:lvl w:ilvl="3">
        <w:start w:val="1"/>
        <w:numFmt w:val="decimal"/>
        <w:lvlText w:val="%1.%2.%3.%4"/>
        <w:lvlJc w:val="left"/>
        <w:pPr>
          <w:tabs>
            <w:tab w:val="num" w:pos="720"/>
          </w:tabs>
          <w:ind w:left="720" w:hanging="720"/>
        </w:pPr>
        <w:rPr>
          <w:rFonts w:hint="default"/>
        </w:rPr>
      </w:lvl>
    </w:lvlOverride>
    <w:lvlOverride w:ilvl="4">
      <w:lvl w:ilvl="4">
        <w:start w:val="1"/>
        <w:numFmt w:val="none"/>
        <w:suff w:val="nothing"/>
        <w:lvlText w:val=""/>
        <w:lvlJc w:val="left"/>
        <w:pPr>
          <w:ind w:left="0" w:firstLine="0"/>
        </w:pPr>
        <w:rPr>
          <w:rFonts w:hint="default"/>
        </w:rPr>
      </w:lvl>
    </w:lvlOverride>
    <w:lvlOverride w:ilvl="5">
      <w:lvl w:ilvl="5">
        <w:start w:val="1"/>
        <w:numFmt w:val="none"/>
        <w:pStyle w:val="Heading6"/>
        <w:suff w:val="nothing"/>
        <w:lvlText w:val=""/>
        <w:lvlJc w:val="left"/>
        <w:pPr>
          <w:ind w:left="0" w:firstLine="0"/>
        </w:pPr>
        <w:rPr>
          <w:rFonts w:hint="default"/>
        </w:rPr>
      </w:lvl>
    </w:lvlOverride>
    <w:lvlOverride w:ilvl="6">
      <w:lvl w:ilvl="6">
        <w:start w:val="1"/>
        <w:numFmt w:val="none"/>
        <w:pStyle w:val="Heading7"/>
        <w:suff w:val="nothing"/>
        <w:lvlText w:val=""/>
        <w:lvlJc w:val="left"/>
        <w:pPr>
          <w:ind w:left="0" w:firstLine="0"/>
        </w:pPr>
        <w:rPr>
          <w:rFonts w:hint="default"/>
        </w:rPr>
      </w:lvl>
    </w:lvlOverride>
    <w:lvlOverride w:ilvl="7">
      <w:lvl w:ilvl="7">
        <w:start w:val="1"/>
        <w:numFmt w:val="none"/>
        <w:pStyle w:val="Heading8"/>
        <w:suff w:val="nothing"/>
        <w:lvlText w:val=""/>
        <w:lvlJc w:val="left"/>
        <w:pPr>
          <w:ind w:left="0" w:firstLine="0"/>
        </w:pPr>
        <w:rPr>
          <w:rFonts w:hint="default"/>
        </w:rPr>
      </w:lvl>
    </w:lvlOverride>
    <w:lvlOverride w:ilvl="8">
      <w:lvl w:ilvl="8">
        <w:start w:val="1"/>
        <w:numFmt w:val="none"/>
        <w:pStyle w:val="Heading9"/>
        <w:suff w:val="nothing"/>
        <w:lvlText w:val=""/>
        <w:lvlJc w:val="left"/>
        <w:pPr>
          <w:ind w:left="0" w:firstLine="0"/>
        </w:pPr>
        <w:rPr>
          <w:rFonts w:hint="default"/>
        </w:rPr>
      </w:lvl>
    </w:lvlOverride>
  </w:num>
  <w:num w:numId="12" w16cid:durableId="1997605630">
    <w:abstractNumId w:val="20"/>
  </w:num>
  <w:num w:numId="13" w16cid:durableId="1149401946">
    <w:abstractNumId w:val="5"/>
  </w:num>
  <w:num w:numId="14" w16cid:durableId="1241792056">
    <w:abstractNumId w:val="8"/>
  </w:num>
  <w:num w:numId="15" w16cid:durableId="1520122769">
    <w:abstractNumId w:val="22"/>
  </w:num>
  <w:num w:numId="16" w16cid:durableId="1356274934">
    <w:abstractNumId w:val="15"/>
  </w:num>
  <w:num w:numId="17" w16cid:durableId="1728063735">
    <w:abstractNumId w:val="13"/>
  </w:num>
  <w:num w:numId="18" w16cid:durableId="718938939">
    <w:abstractNumId w:val="17"/>
  </w:num>
  <w:num w:numId="19" w16cid:durableId="57675226">
    <w:abstractNumId w:val="4"/>
  </w:num>
  <w:num w:numId="20" w16cid:durableId="448403769">
    <w:abstractNumId w:val="16"/>
  </w:num>
  <w:num w:numId="21" w16cid:durableId="622804386">
    <w:abstractNumId w:val="11"/>
  </w:num>
  <w:num w:numId="22" w16cid:durableId="8330404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778795794">
    <w:abstractNumId w:val="10"/>
  </w:num>
  <w:num w:numId="24" w16cid:durableId="30994552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326931819">
    <w:abstractNumId w:val="21"/>
    <w:lvlOverride w:ilvl="0">
      <w:startOverride w:val="1"/>
      <w:lvl w:ilvl="0">
        <w:start w:val="1"/>
        <w:numFmt w:val="decimal"/>
        <w:pStyle w:val="Heading1"/>
        <w:lvlText w:val="%1"/>
        <w:lvlJc w:val="left"/>
        <w:pPr>
          <w:ind w:left="720" w:hanging="720"/>
        </w:pPr>
        <w:rPr>
          <w:rFonts w:hint="default"/>
        </w:rPr>
      </w:lvl>
    </w:lvlOverride>
    <w:lvlOverride w:ilvl="1">
      <w:startOverride w:val="1"/>
      <w:lvl w:ilvl="1">
        <w:start w:val="1"/>
        <w:numFmt w:val="decimal"/>
        <w:pStyle w:val="Heading2"/>
        <w:lvlText w:val="%1.%2"/>
        <w:lvlJc w:val="left"/>
        <w:pPr>
          <w:ind w:left="0" w:firstLine="0"/>
        </w:pPr>
        <w:rPr>
          <w:rFonts w:hint="default"/>
        </w:rPr>
      </w:lvl>
    </w:lvlOverride>
    <w:lvlOverride w:ilvl="2">
      <w:startOverride w:val="1"/>
      <w:lvl w:ilvl="2">
        <w:start w:val="1"/>
        <w:numFmt w:val="decimal"/>
        <w:pStyle w:val="Heading3"/>
        <w:lvlText w:val="%1.%2.%3"/>
        <w:lvlJc w:val="left"/>
        <w:pPr>
          <w:ind w:left="680" w:hanging="680"/>
        </w:pPr>
        <w:rPr>
          <w:rFonts w:hint="default"/>
        </w:rPr>
      </w:lvl>
    </w:lvlOverride>
    <w:lvlOverride w:ilvl="3">
      <w:startOverride w:val="1"/>
      <w:lvl w:ilvl="3">
        <w:start w:val="1"/>
        <w:numFmt w:val="decimal"/>
        <w:lvlText w:val="%1.%2.%3.%4"/>
        <w:lvlJc w:val="left"/>
        <w:pPr>
          <w:tabs>
            <w:tab w:val="num" w:pos="720"/>
          </w:tabs>
          <w:ind w:left="720" w:hanging="720"/>
        </w:pPr>
        <w:rPr>
          <w:rFonts w:hint="default"/>
        </w:rPr>
      </w:lvl>
    </w:lvlOverride>
    <w:lvlOverride w:ilvl="4">
      <w:startOverride w:val="1"/>
      <w:lvl w:ilvl="4">
        <w:start w:val="1"/>
        <w:numFmt w:val="none"/>
        <w:suff w:val="nothing"/>
        <w:lvlText w:val=""/>
        <w:lvlJc w:val="left"/>
        <w:pPr>
          <w:ind w:left="0" w:firstLine="0"/>
        </w:pPr>
        <w:rPr>
          <w:rFonts w:hint="default"/>
        </w:rPr>
      </w:lvl>
    </w:lvlOverride>
    <w:lvlOverride w:ilvl="5">
      <w:startOverride w:val="1"/>
      <w:lvl w:ilvl="5">
        <w:start w:val="1"/>
        <w:numFmt w:val="none"/>
        <w:pStyle w:val="Heading6"/>
        <w:suff w:val="nothing"/>
        <w:lvlText w:val=""/>
        <w:lvlJc w:val="left"/>
        <w:pPr>
          <w:ind w:left="0" w:firstLine="0"/>
        </w:pPr>
        <w:rPr>
          <w:rFonts w:hint="default"/>
        </w:rPr>
      </w:lvl>
    </w:lvlOverride>
    <w:lvlOverride w:ilvl="6">
      <w:startOverride w:val="1"/>
      <w:lvl w:ilvl="6">
        <w:start w:val="1"/>
        <w:numFmt w:val="none"/>
        <w:pStyle w:val="Heading7"/>
        <w:suff w:val="nothing"/>
        <w:lvlText w:val=""/>
        <w:lvlJc w:val="left"/>
        <w:pPr>
          <w:ind w:left="0" w:firstLine="0"/>
        </w:pPr>
        <w:rPr>
          <w:rFonts w:hint="default"/>
        </w:rPr>
      </w:lvl>
    </w:lvlOverride>
    <w:lvlOverride w:ilvl="7">
      <w:startOverride w:val="1"/>
      <w:lvl w:ilvl="7">
        <w:start w:val="1"/>
        <w:numFmt w:val="none"/>
        <w:pStyle w:val="Heading8"/>
        <w:suff w:val="nothing"/>
        <w:lvlText w:val=""/>
        <w:lvlJc w:val="left"/>
        <w:pPr>
          <w:ind w:left="0" w:firstLine="0"/>
        </w:pPr>
        <w:rPr>
          <w:rFonts w:hint="default"/>
        </w:rPr>
      </w:lvl>
    </w:lvlOverride>
    <w:lvlOverride w:ilvl="8">
      <w:startOverride w:val="1"/>
      <w:lvl w:ilvl="8">
        <w:start w:val="1"/>
        <w:numFmt w:val="none"/>
        <w:pStyle w:val="Heading9"/>
        <w:suff w:val="nothing"/>
        <w:lvlText w:val=""/>
        <w:lvlJc w:val="left"/>
        <w:pPr>
          <w:ind w:left="0" w:firstLine="0"/>
        </w:pPr>
        <w:rPr>
          <w:rFonts w:hint="default"/>
        </w:rPr>
      </w:lvl>
    </w:lvlOverride>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ocumentProtection w:edit="readOnly" w:enforcement="0"/>
  <w:defaultTabStop w:val="720"/>
  <w:clickAndTypeStyle w:val="BodyText"/>
  <w:characterSpacingControl w:val="doNotCompress"/>
  <w:savePreviewPicture/>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4401"/>
    <w:rsid w:val="0000004D"/>
    <w:rsid w:val="00000131"/>
    <w:rsid w:val="0000013E"/>
    <w:rsid w:val="00000166"/>
    <w:rsid w:val="0000017F"/>
    <w:rsid w:val="0000021B"/>
    <w:rsid w:val="0000029A"/>
    <w:rsid w:val="00000370"/>
    <w:rsid w:val="000003B4"/>
    <w:rsid w:val="00000462"/>
    <w:rsid w:val="0000047B"/>
    <w:rsid w:val="000004B2"/>
    <w:rsid w:val="0000059C"/>
    <w:rsid w:val="000005A4"/>
    <w:rsid w:val="00000623"/>
    <w:rsid w:val="00000657"/>
    <w:rsid w:val="00000671"/>
    <w:rsid w:val="00000699"/>
    <w:rsid w:val="000006AA"/>
    <w:rsid w:val="000006C5"/>
    <w:rsid w:val="000006D8"/>
    <w:rsid w:val="0000076F"/>
    <w:rsid w:val="0000079C"/>
    <w:rsid w:val="00000874"/>
    <w:rsid w:val="00000883"/>
    <w:rsid w:val="0000089E"/>
    <w:rsid w:val="000008B4"/>
    <w:rsid w:val="0000094F"/>
    <w:rsid w:val="00000978"/>
    <w:rsid w:val="0000099A"/>
    <w:rsid w:val="00000A1D"/>
    <w:rsid w:val="00000A82"/>
    <w:rsid w:val="00000A89"/>
    <w:rsid w:val="00000B5D"/>
    <w:rsid w:val="00000C95"/>
    <w:rsid w:val="00000CF7"/>
    <w:rsid w:val="00000D41"/>
    <w:rsid w:val="00000D8B"/>
    <w:rsid w:val="00000E68"/>
    <w:rsid w:val="00000E96"/>
    <w:rsid w:val="00001039"/>
    <w:rsid w:val="0000124B"/>
    <w:rsid w:val="00001277"/>
    <w:rsid w:val="0000127A"/>
    <w:rsid w:val="000012AF"/>
    <w:rsid w:val="000012B7"/>
    <w:rsid w:val="00001322"/>
    <w:rsid w:val="00001343"/>
    <w:rsid w:val="000013AC"/>
    <w:rsid w:val="0000151D"/>
    <w:rsid w:val="00001538"/>
    <w:rsid w:val="000016A2"/>
    <w:rsid w:val="000016CA"/>
    <w:rsid w:val="0000172E"/>
    <w:rsid w:val="00001807"/>
    <w:rsid w:val="00001838"/>
    <w:rsid w:val="000018DF"/>
    <w:rsid w:val="000019D1"/>
    <w:rsid w:val="000019E1"/>
    <w:rsid w:val="00001A47"/>
    <w:rsid w:val="00001BA1"/>
    <w:rsid w:val="00001C55"/>
    <w:rsid w:val="00001C7B"/>
    <w:rsid w:val="00001C9A"/>
    <w:rsid w:val="00001CA6"/>
    <w:rsid w:val="00001CA9"/>
    <w:rsid w:val="00001CEF"/>
    <w:rsid w:val="00001CF6"/>
    <w:rsid w:val="00001E5C"/>
    <w:rsid w:val="00001ED2"/>
    <w:rsid w:val="000020F4"/>
    <w:rsid w:val="0000227F"/>
    <w:rsid w:val="000022AF"/>
    <w:rsid w:val="000022B4"/>
    <w:rsid w:val="000023AF"/>
    <w:rsid w:val="00002409"/>
    <w:rsid w:val="00002566"/>
    <w:rsid w:val="0000256A"/>
    <w:rsid w:val="000025A1"/>
    <w:rsid w:val="000025CD"/>
    <w:rsid w:val="00002627"/>
    <w:rsid w:val="00002642"/>
    <w:rsid w:val="0000266C"/>
    <w:rsid w:val="00002758"/>
    <w:rsid w:val="0000287C"/>
    <w:rsid w:val="00002A01"/>
    <w:rsid w:val="00002A7C"/>
    <w:rsid w:val="00002B43"/>
    <w:rsid w:val="00002BDD"/>
    <w:rsid w:val="00002C21"/>
    <w:rsid w:val="00002C2C"/>
    <w:rsid w:val="00002D80"/>
    <w:rsid w:val="00002E6D"/>
    <w:rsid w:val="00002E85"/>
    <w:rsid w:val="00002EC2"/>
    <w:rsid w:val="00002FE2"/>
    <w:rsid w:val="00002FF5"/>
    <w:rsid w:val="00003049"/>
    <w:rsid w:val="00003129"/>
    <w:rsid w:val="00003186"/>
    <w:rsid w:val="0000318B"/>
    <w:rsid w:val="0000353F"/>
    <w:rsid w:val="000035F8"/>
    <w:rsid w:val="00003639"/>
    <w:rsid w:val="000036D8"/>
    <w:rsid w:val="00003796"/>
    <w:rsid w:val="000038C6"/>
    <w:rsid w:val="000038E4"/>
    <w:rsid w:val="00003A00"/>
    <w:rsid w:val="00003AC2"/>
    <w:rsid w:val="00003B0A"/>
    <w:rsid w:val="00003BF3"/>
    <w:rsid w:val="00003D17"/>
    <w:rsid w:val="00003D28"/>
    <w:rsid w:val="00003D62"/>
    <w:rsid w:val="00003D8D"/>
    <w:rsid w:val="00003D8E"/>
    <w:rsid w:val="00003D98"/>
    <w:rsid w:val="00003DC4"/>
    <w:rsid w:val="00003DD9"/>
    <w:rsid w:val="00003E6E"/>
    <w:rsid w:val="00004050"/>
    <w:rsid w:val="000040F0"/>
    <w:rsid w:val="000041A1"/>
    <w:rsid w:val="000041B4"/>
    <w:rsid w:val="00004235"/>
    <w:rsid w:val="000042AF"/>
    <w:rsid w:val="000042B6"/>
    <w:rsid w:val="0000435B"/>
    <w:rsid w:val="000043C0"/>
    <w:rsid w:val="000043CC"/>
    <w:rsid w:val="00004467"/>
    <w:rsid w:val="000044A5"/>
    <w:rsid w:val="000044E6"/>
    <w:rsid w:val="000046D9"/>
    <w:rsid w:val="00004781"/>
    <w:rsid w:val="00004888"/>
    <w:rsid w:val="000048CA"/>
    <w:rsid w:val="00004951"/>
    <w:rsid w:val="000049CD"/>
    <w:rsid w:val="00004B20"/>
    <w:rsid w:val="00004C3E"/>
    <w:rsid w:val="00004C4C"/>
    <w:rsid w:val="00004DC5"/>
    <w:rsid w:val="00004E29"/>
    <w:rsid w:val="00004F26"/>
    <w:rsid w:val="00004F6E"/>
    <w:rsid w:val="00004F73"/>
    <w:rsid w:val="00005115"/>
    <w:rsid w:val="00005129"/>
    <w:rsid w:val="000051F7"/>
    <w:rsid w:val="000051F8"/>
    <w:rsid w:val="00005226"/>
    <w:rsid w:val="0000530E"/>
    <w:rsid w:val="00005529"/>
    <w:rsid w:val="0000554F"/>
    <w:rsid w:val="000055BF"/>
    <w:rsid w:val="0000567C"/>
    <w:rsid w:val="0000573B"/>
    <w:rsid w:val="00005834"/>
    <w:rsid w:val="00005857"/>
    <w:rsid w:val="000058D3"/>
    <w:rsid w:val="000058D7"/>
    <w:rsid w:val="00005911"/>
    <w:rsid w:val="00005A9D"/>
    <w:rsid w:val="00005ABC"/>
    <w:rsid w:val="00005ACA"/>
    <w:rsid w:val="00005B83"/>
    <w:rsid w:val="00005CF7"/>
    <w:rsid w:val="00005D85"/>
    <w:rsid w:val="00005E1D"/>
    <w:rsid w:val="00005E47"/>
    <w:rsid w:val="00005E90"/>
    <w:rsid w:val="00005FC1"/>
    <w:rsid w:val="000060A2"/>
    <w:rsid w:val="0000610A"/>
    <w:rsid w:val="00006180"/>
    <w:rsid w:val="000062AC"/>
    <w:rsid w:val="00006405"/>
    <w:rsid w:val="0000652F"/>
    <w:rsid w:val="00006583"/>
    <w:rsid w:val="000065C1"/>
    <w:rsid w:val="000065DA"/>
    <w:rsid w:val="00006601"/>
    <w:rsid w:val="00006663"/>
    <w:rsid w:val="00006678"/>
    <w:rsid w:val="00006703"/>
    <w:rsid w:val="000068D2"/>
    <w:rsid w:val="0000693D"/>
    <w:rsid w:val="000069BF"/>
    <w:rsid w:val="00006AFF"/>
    <w:rsid w:val="00006BB5"/>
    <w:rsid w:val="00006C3C"/>
    <w:rsid w:val="00006C87"/>
    <w:rsid w:val="00006CF8"/>
    <w:rsid w:val="00006E7F"/>
    <w:rsid w:val="00006E94"/>
    <w:rsid w:val="00007019"/>
    <w:rsid w:val="00007091"/>
    <w:rsid w:val="00007176"/>
    <w:rsid w:val="0000717C"/>
    <w:rsid w:val="00007201"/>
    <w:rsid w:val="00007289"/>
    <w:rsid w:val="000072FD"/>
    <w:rsid w:val="00007326"/>
    <w:rsid w:val="0000740C"/>
    <w:rsid w:val="00007458"/>
    <w:rsid w:val="0000758C"/>
    <w:rsid w:val="000076C0"/>
    <w:rsid w:val="000076EC"/>
    <w:rsid w:val="00007711"/>
    <w:rsid w:val="00007766"/>
    <w:rsid w:val="00007894"/>
    <w:rsid w:val="00007918"/>
    <w:rsid w:val="0000796A"/>
    <w:rsid w:val="00007A30"/>
    <w:rsid w:val="00007BF4"/>
    <w:rsid w:val="00007C98"/>
    <w:rsid w:val="00007D2B"/>
    <w:rsid w:val="00007D45"/>
    <w:rsid w:val="00007EAB"/>
    <w:rsid w:val="00007FDF"/>
    <w:rsid w:val="00010047"/>
    <w:rsid w:val="000102BD"/>
    <w:rsid w:val="00010352"/>
    <w:rsid w:val="000103A4"/>
    <w:rsid w:val="0001060D"/>
    <w:rsid w:val="00010675"/>
    <w:rsid w:val="00010685"/>
    <w:rsid w:val="000106A6"/>
    <w:rsid w:val="0001072C"/>
    <w:rsid w:val="00010739"/>
    <w:rsid w:val="0001073B"/>
    <w:rsid w:val="000107B5"/>
    <w:rsid w:val="000107C6"/>
    <w:rsid w:val="0001095C"/>
    <w:rsid w:val="0001096C"/>
    <w:rsid w:val="000109A6"/>
    <w:rsid w:val="00010A56"/>
    <w:rsid w:val="00010C33"/>
    <w:rsid w:val="00010D1F"/>
    <w:rsid w:val="00010DA4"/>
    <w:rsid w:val="00010DFB"/>
    <w:rsid w:val="00010E3D"/>
    <w:rsid w:val="00010E8D"/>
    <w:rsid w:val="00010EC8"/>
    <w:rsid w:val="00010FDF"/>
    <w:rsid w:val="000111D0"/>
    <w:rsid w:val="000112C3"/>
    <w:rsid w:val="000112E1"/>
    <w:rsid w:val="0001136A"/>
    <w:rsid w:val="0001140C"/>
    <w:rsid w:val="000114C2"/>
    <w:rsid w:val="000115A4"/>
    <w:rsid w:val="000115BA"/>
    <w:rsid w:val="0001162E"/>
    <w:rsid w:val="00011670"/>
    <w:rsid w:val="000116BB"/>
    <w:rsid w:val="0001172B"/>
    <w:rsid w:val="0001172E"/>
    <w:rsid w:val="00011804"/>
    <w:rsid w:val="00011822"/>
    <w:rsid w:val="000118FE"/>
    <w:rsid w:val="00011949"/>
    <w:rsid w:val="00011C3A"/>
    <w:rsid w:val="00011C5A"/>
    <w:rsid w:val="00011D30"/>
    <w:rsid w:val="00011DCA"/>
    <w:rsid w:val="00011EA2"/>
    <w:rsid w:val="00011EBF"/>
    <w:rsid w:val="00011F11"/>
    <w:rsid w:val="00011FD3"/>
    <w:rsid w:val="00011FE2"/>
    <w:rsid w:val="00012029"/>
    <w:rsid w:val="0001212C"/>
    <w:rsid w:val="000121CB"/>
    <w:rsid w:val="00012281"/>
    <w:rsid w:val="0001233D"/>
    <w:rsid w:val="000123BD"/>
    <w:rsid w:val="000124DA"/>
    <w:rsid w:val="00012518"/>
    <w:rsid w:val="0001256C"/>
    <w:rsid w:val="00012588"/>
    <w:rsid w:val="00012784"/>
    <w:rsid w:val="000127AE"/>
    <w:rsid w:val="000127DC"/>
    <w:rsid w:val="00012814"/>
    <w:rsid w:val="000128FD"/>
    <w:rsid w:val="00012901"/>
    <w:rsid w:val="0001291B"/>
    <w:rsid w:val="00012993"/>
    <w:rsid w:val="0001299D"/>
    <w:rsid w:val="000129CA"/>
    <w:rsid w:val="000129D6"/>
    <w:rsid w:val="00012A69"/>
    <w:rsid w:val="00012A70"/>
    <w:rsid w:val="00012B29"/>
    <w:rsid w:val="00012B60"/>
    <w:rsid w:val="00012B61"/>
    <w:rsid w:val="00012BE8"/>
    <w:rsid w:val="00012BF1"/>
    <w:rsid w:val="00012DE4"/>
    <w:rsid w:val="00012DF3"/>
    <w:rsid w:val="00012E47"/>
    <w:rsid w:val="00012EB8"/>
    <w:rsid w:val="00012EBE"/>
    <w:rsid w:val="00013062"/>
    <w:rsid w:val="000130FA"/>
    <w:rsid w:val="00013162"/>
    <w:rsid w:val="00013168"/>
    <w:rsid w:val="000132E4"/>
    <w:rsid w:val="00013317"/>
    <w:rsid w:val="00013472"/>
    <w:rsid w:val="00013474"/>
    <w:rsid w:val="000134E2"/>
    <w:rsid w:val="000135BE"/>
    <w:rsid w:val="00013623"/>
    <w:rsid w:val="00013624"/>
    <w:rsid w:val="000136C8"/>
    <w:rsid w:val="000137D0"/>
    <w:rsid w:val="00013A26"/>
    <w:rsid w:val="00013A93"/>
    <w:rsid w:val="00013AAA"/>
    <w:rsid w:val="00013AF8"/>
    <w:rsid w:val="00013B4D"/>
    <w:rsid w:val="00013B75"/>
    <w:rsid w:val="00013BF1"/>
    <w:rsid w:val="00013CCD"/>
    <w:rsid w:val="00013D55"/>
    <w:rsid w:val="00013D70"/>
    <w:rsid w:val="00013EAC"/>
    <w:rsid w:val="00013FA4"/>
    <w:rsid w:val="00014002"/>
    <w:rsid w:val="00014097"/>
    <w:rsid w:val="000140B3"/>
    <w:rsid w:val="000140F7"/>
    <w:rsid w:val="000141D6"/>
    <w:rsid w:val="000142CF"/>
    <w:rsid w:val="00014316"/>
    <w:rsid w:val="00014385"/>
    <w:rsid w:val="00014616"/>
    <w:rsid w:val="00014801"/>
    <w:rsid w:val="000148C9"/>
    <w:rsid w:val="0001499D"/>
    <w:rsid w:val="00014B1F"/>
    <w:rsid w:val="00014B87"/>
    <w:rsid w:val="00014BBF"/>
    <w:rsid w:val="00014C18"/>
    <w:rsid w:val="00014D96"/>
    <w:rsid w:val="00014DC7"/>
    <w:rsid w:val="00014F37"/>
    <w:rsid w:val="000150E5"/>
    <w:rsid w:val="00015197"/>
    <w:rsid w:val="0001519F"/>
    <w:rsid w:val="00015210"/>
    <w:rsid w:val="00015380"/>
    <w:rsid w:val="0001545A"/>
    <w:rsid w:val="0001548A"/>
    <w:rsid w:val="0001561A"/>
    <w:rsid w:val="00015622"/>
    <w:rsid w:val="00015657"/>
    <w:rsid w:val="00015718"/>
    <w:rsid w:val="00015793"/>
    <w:rsid w:val="000157F5"/>
    <w:rsid w:val="00015820"/>
    <w:rsid w:val="00015848"/>
    <w:rsid w:val="00015853"/>
    <w:rsid w:val="00015937"/>
    <w:rsid w:val="000159F1"/>
    <w:rsid w:val="00015A07"/>
    <w:rsid w:val="00015ABD"/>
    <w:rsid w:val="00015C8D"/>
    <w:rsid w:val="00015CE8"/>
    <w:rsid w:val="00015D0D"/>
    <w:rsid w:val="00015D20"/>
    <w:rsid w:val="000160DF"/>
    <w:rsid w:val="00016171"/>
    <w:rsid w:val="000162F6"/>
    <w:rsid w:val="0001638B"/>
    <w:rsid w:val="0001638E"/>
    <w:rsid w:val="000163E5"/>
    <w:rsid w:val="00016408"/>
    <w:rsid w:val="00016428"/>
    <w:rsid w:val="000164AF"/>
    <w:rsid w:val="0001655E"/>
    <w:rsid w:val="000166E9"/>
    <w:rsid w:val="0001671B"/>
    <w:rsid w:val="0001671D"/>
    <w:rsid w:val="0001679F"/>
    <w:rsid w:val="000167FD"/>
    <w:rsid w:val="00016858"/>
    <w:rsid w:val="00016895"/>
    <w:rsid w:val="00016A4D"/>
    <w:rsid w:val="00016B0F"/>
    <w:rsid w:val="00016CC0"/>
    <w:rsid w:val="00016D87"/>
    <w:rsid w:val="00016DC3"/>
    <w:rsid w:val="00016DE3"/>
    <w:rsid w:val="00016E22"/>
    <w:rsid w:val="0001707A"/>
    <w:rsid w:val="000170FC"/>
    <w:rsid w:val="000171CA"/>
    <w:rsid w:val="000171E4"/>
    <w:rsid w:val="00017226"/>
    <w:rsid w:val="00017231"/>
    <w:rsid w:val="000172D2"/>
    <w:rsid w:val="00017305"/>
    <w:rsid w:val="00017479"/>
    <w:rsid w:val="000174CD"/>
    <w:rsid w:val="000175B8"/>
    <w:rsid w:val="000175EE"/>
    <w:rsid w:val="00017752"/>
    <w:rsid w:val="00017809"/>
    <w:rsid w:val="000178BE"/>
    <w:rsid w:val="000178EC"/>
    <w:rsid w:val="00017949"/>
    <w:rsid w:val="00017A25"/>
    <w:rsid w:val="00017A2D"/>
    <w:rsid w:val="00017A60"/>
    <w:rsid w:val="00017AAE"/>
    <w:rsid w:val="00017AFC"/>
    <w:rsid w:val="00017B5F"/>
    <w:rsid w:val="00017C58"/>
    <w:rsid w:val="00017C8F"/>
    <w:rsid w:val="00017D28"/>
    <w:rsid w:val="00017D92"/>
    <w:rsid w:val="00017E65"/>
    <w:rsid w:val="00017F42"/>
    <w:rsid w:val="00017FC0"/>
    <w:rsid w:val="000200FF"/>
    <w:rsid w:val="0002033D"/>
    <w:rsid w:val="000203BA"/>
    <w:rsid w:val="000203EC"/>
    <w:rsid w:val="00020438"/>
    <w:rsid w:val="00020467"/>
    <w:rsid w:val="00020495"/>
    <w:rsid w:val="0002049A"/>
    <w:rsid w:val="00020511"/>
    <w:rsid w:val="000205DB"/>
    <w:rsid w:val="000205EE"/>
    <w:rsid w:val="00020604"/>
    <w:rsid w:val="00020642"/>
    <w:rsid w:val="000206A2"/>
    <w:rsid w:val="000206B4"/>
    <w:rsid w:val="00020741"/>
    <w:rsid w:val="000207C5"/>
    <w:rsid w:val="000207C7"/>
    <w:rsid w:val="000208C9"/>
    <w:rsid w:val="00020A4C"/>
    <w:rsid w:val="00020ACB"/>
    <w:rsid w:val="00020AD1"/>
    <w:rsid w:val="00020BC1"/>
    <w:rsid w:val="00020BD4"/>
    <w:rsid w:val="00020BF6"/>
    <w:rsid w:val="00020C42"/>
    <w:rsid w:val="00020D09"/>
    <w:rsid w:val="00020D54"/>
    <w:rsid w:val="00020E91"/>
    <w:rsid w:val="00020F00"/>
    <w:rsid w:val="00020F9B"/>
    <w:rsid w:val="00020FBA"/>
    <w:rsid w:val="00021040"/>
    <w:rsid w:val="000210BD"/>
    <w:rsid w:val="000210F1"/>
    <w:rsid w:val="0002117C"/>
    <w:rsid w:val="000211DD"/>
    <w:rsid w:val="000211E1"/>
    <w:rsid w:val="00021207"/>
    <w:rsid w:val="000212A0"/>
    <w:rsid w:val="000213B7"/>
    <w:rsid w:val="000213BE"/>
    <w:rsid w:val="0002146E"/>
    <w:rsid w:val="000214C6"/>
    <w:rsid w:val="0002154C"/>
    <w:rsid w:val="00021565"/>
    <w:rsid w:val="00021689"/>
    <w:rsid w:val="0002169C"/>
    <w:rsid w:val="0002182E"/>
    <w:rsid w:val="00021864"/>
    <w:rsid w:val="000218DD"/>
    <w:rsid w:val="000219B9"/>
    <w:rsid w:val="00021A30"/>
    <w:rsid w:val="00021AFC"/>
    <w:rsid w:val="00021B33"/>
    <w:rsid w:val="00021B82"/>
    <w:rsid w:val="00021BCD"/>
    <w:rsid w:val="00021BCF"/>
    <w:rsid w:val="00021CE4"/>
    <w:rsid w:val="00021EAE"/>
    <w:rsid w:val="00021F23"/>
    <w:rsid w:val="00021FDD"/>
    <w:rsid w:val="0002202F"/>
    <w:rsid w:val="0002215C"/>
    <w:rsid w:val="000221AD"/>
    <w:rsid w:val="00022232"/>
    <w:rsid w:val="00022240"/>
    <w:rsid w:val="000222D0"/>
    <w:rsid w:val="00022311"/>
    <w:rsid w:val="00022360"/>
    <w:rsid w:val="000223AE"/>
    <w:rsid w:val="0002247D"/>
    <w:rsid w:val="000224B8"/>
    <w:rsid w:val="0002255E"/>
    <w:rsid w:val="000225E5"/>
    <w:rsid w:val="000225ED"/>
    <w:rsid w:val="0002269A"/>
    <w:rsid w:val="000226BA"/>
    <w:rsid w:val="000226CA"/>
    <w:rsid w:val="000226E7"/>
    <w:rsid w:val="000226FE"/>
    <w:rsid w:val="000228A4"/>
    <w:rsid w:val="000228C6"/>
    <w:rsid w:val="0002293B"/>
    <w:rsid w:val="0002294A"/>
    <w:rsid w:val="000229FC"/>
    <w:rsid w:val="00022B7A"/>
    <w:rsid w:val="00022BF5"/>
    <w:rsid w:val="00022C3B"/>
    <w:rsid w:val="00022D49"/>
    <w:rsid w:val="00022D68"/>
    <w:rsid w:val="00022E7E"/>
    <w:rsid w:val="00022FA5"/>
    <w:rsid w:val="0002318C"/>
    <w:rsid w:val="000231CC"/>
    <w:rsid w:val="00023246"/>
    <w:rsid w:val="0002324B"/>
    <w:rsid w:val="00023251"/>
    <w:rsid w:val="000232D6"/>
    <w:rsid w:val="0002333F"/>
    <w:rsid w:val="000233DD"/>
    <w:rsid w:val="00023418"/>
    <w:rsid w:val="000234FC"/>
    <w:rsid w:val="000235CE"/>
    <w:rsid w:val="000235ED"/>
    <w:rsid w:val="000235F0"/>
    <w:rsid w:val="00023854"/>
    <w:rsid w:val="00023902"/>
    <w:rsid w:val="0002395E"/>
    <w:rsid w:val="000239FB"/>
    <w:rsid w:val="00023A98"/>
    <w:rsid w:val="00023AA0"/>
    <w:rsid w:val="00023AB0"/>
    <w:rsid w:val="00023AD1"/>
    <w:rsid w:val="00023B5B"/>
    <w:rsid w:val="00023BC3"/>
    <w:rsid w:val="00023BCF"/>
    <w:rsid w:val="00023CE3"/>
    <w:rsid w:val="00023D9B"/>
    <w:rsid w:val="00023E5D"/>
    <w:rsid w:val="00023EB6"/>
    <w:rsid w:val="00024024"/>
    <w:rsid w:val="000240F1"/>
    <w:rsid w:val="00024152"/>
    <w:rsid w:val="00024224"/>
    <w:rsid w:val="000243F2"/>
    <w:rsid w:val="000244C1"/>
    <w:rsid w:val="000245AD"/>
    <w:rsid w:val="000245BE"/>
    <w:rsid w:val="000246EE"/>
    <w:rsid w:val="00024712"/>
    <w:rsid w:val="000247B3"/>
    <w:rsid w:val="0002483D"/>
    <w:rsid w:val="00024962"/>
    <w:rsid w:val="0002497A"/>
    <w:rsid w:val="0002499B"/>
    <w:rsid w:val="000249CC"/>
    <w:rsid w:val="00024ACD"/>
    <w:rsid w:val="00024B73"/>
    <w:rsid w:val="00024BA4"/>
    <w:rsid w:val="00024C0D"/>
    <w:rsid w:val="00024CBF"/>
    <w:rsid w:val="00024CDB"/>
    <w:rsid w:val="00024D00"/>
    <w:rsid w:val="00024D86"/>
    <w:rsid w:val="00024FD3"/>
    <w:rsid w:val="00025004"/>
    <w:rsid w:val="00025074"/>
    <w:rsid w:val="00025089"/>
    <w:rsid w:val="00025122"/>
    <w:rsid w:val="0002514C"/>
    <w:rsid w:val="00025294"/>
    <w:rsid w:val="000252AE"/>
    <w:rsid w:val="000252E3"/>
    <w:rsid w:val="000252FE"/>
    <w:rsid w:val="00025336"/>
    <w:rsid w:val="00025354"/>
    <w:rsid w:val="000253C3"/>
    <w:rsid w:val="000253EC"/>
    <w:rsid w:val="00025519"/>
    <w:rsid w:val="0002555C"/>
    <w:rsid w:val="0002563C"/>
    <w:rsid w:val="0002566E"/>
    <w:rsid w:val="000257D9"/>
    <w:rsid w:val="0002590E"/>
    <w:rsid w:val="00025A5D"/>
    <w:rsid w:val="00025E22"/>
    <w:rsid w:val="000260A8"/>
    <w:rsid w:val="000261BC"/>
    <w:rsid w:val="00026206"/>
    <w:rsid w:val="00026385"/>
    <w:rsid w:val="000264E8"/>
    <w:rsid w:val="000264EB"/>
    <w:rsid w:val="0002650B"/>
    <w:rsid w:val="0002664F"/>
    <w:rsid w:val="000266B1"/>
    <w:rsid w:val="000268A9"/>
    <w:rsid w:val="000268E2"/>
    <w:rsid w:val="00026996"/>
    <w:rsid w:val="000269B8"/>
    <w:rsid w:val="000269C1"/>
    <w:rsid w:val="00026B03"/>
    <w:rsid w:val="00026CD5"/>
    <w:rsid w:val="00026D00"/>
    <w:rsid w:val="00026D30"/>
    <w:rsid w:val="00026EE7"/>
    <w:rsid w:val="00026EF8"/>
    <w:rsid w:val="0002704F"/>
    <w:rsid w:val="000270B5"/>
    <w:rsid w:val="00027155"/>
    <w:rsid w:val="00027167"/>
    <w:rsid w:val="00027199"/>
    <w:rsid w:val="000271C1"/>
    <w:rsid w:val="000271CC"/>
    <w:rsid w:val="0002726D"/>
    <w:rsid w:val="000272E4"/>
    <w:rsid w:val="00027319"/>
    <w:rsid w:val="00027357"/>
    <w:rsid w:val="0002735E"/>
    <w:rsid w:val="00027406"/>
    <w:rsid w:val="0002740A"/>
    <w:rsid w:val="00027480"/>
    <w:rsid w:val="00027496"/>
    <w:rsid w:val="0002749F"/>
    <w:rsid w:val="000275DF"/>
    <w:rsid w:val="000275EB"/>
    <w:rsid w:val="00027733"/>
    <w:rsid w:val="00027749"/>
    <w:rsid w:val="000277BF"/>
    <w:rsid w:val="00027855"/>
    <w:rsid w:val="000278AB"/>
    <w:rsid w:val="00027B86"/>
    <w:rsid w:val="00027CCB"/>
    <w:rsid w:val="00027CE0"/>
    <w:rsid w:val="00027EF0"/>
    <w:rsid w:val="00027F04"/>
    <w:rsid w:val="00027FCB"/>
    <w:rsid w:val="0003003B"/>
    <w:rsid w:val="0003016A"/>
    <w:rsid w:val="000301AA"/>
    <w:rsid w:val="00030298"/>
    <w:rsid w:val="00030434"/>
    <w:rsid w:val="000304F0"/>
    <w:rsid w:val="00030526"/>
    <w:rsid w:val="00030726"/>
    <w:rsid w:val="00030729"/>
    <w:rsid w:val="00030814"/>
    <w:rsid w:val="000308E3"/>
    <w:rsid w:val="00030911"/>
    <w:rsid w:val="00030927"/>
    <w:rsid w:val="000309FF"/>
    <w:rsid w:val="00030AB5"/>
    <w:rsid w:val="00030AF1"/>
    <w:rsid w:val="00030D5C"/>
    <w:rsid w:val="00030D7A"/>
    <w:rsid w:val="00030DCB"/>
    <w:rsid w:val="00030E50"/>
    <w:rsid w:val="00030ECE"/>
    <w:rsid w:val="00030F26"/>
    <w:rsid w:val="00030F3E"/>
    <w:rsid w:val="00030F59"/>
    <w:rsid w:val="00030F8C"/>
    <w:rsid w:val="00031027"/>
    <w:rsid w:val="000310DA"/>
    <w:rsid w:val="00031125"/>
    <w:rsid w:val="00031159"/>
    <w:rsid w:val="000312A0"/>
    <w:rsid w:val="000312E7"/>
    <w:rsid w:val="000313A1"/>
    <w:rsid w:val="0003146A"/>
    <w:rsid w:val="00031689"/>
    <w:rsid w:val="000317A3"/>
    <w:rsid w:val="000317A7"/>
    <w:rsid w:val="0003181C"/>
    <w:rsid w:val="00031896"/>
    <w:rsid w:val="00031906"/>
    <w:rsid w:val="00031996"/>
    <w:rsid w:val="00031A07"/>
    <w:rsid w:val="00031A0E"/>
    <w:rsid w:val="00031A67"/>
    <w:rsid w:val="00031BB2"/>
    <w:rsid w:val="00031CB3"/>
    <w:rsid w:val="00031D07"/>
    <w:rsid w:val="00031D8B"/>
    <w:rsid w:val="00031DD4"/>
    <w:rsid w:val="00031E45"/>
    <w:rsid w:val="00031E94"/>
    <w:rsid w:val="00031F89"/>
    <w:rsid w:val="00031F8A"/>
    <w:rsid w:val="00031FAF"/>
    <w:rsid w:val="00032301"/>
    <w:rsid w:val="0003231A"/>
    <w:rsid w:val="000324AE"/>
    <w:rsid w:val="000324D0"/>
    <w:rsid w:val="00032666"/>
    <w:rsid w:val="000326A8"/>
    <w:rsid w:val="00032800"/>
    <w:rsid w:val="00032942"/>
    <w:rsid w:val="0003299E"/>
    <w:rsid w:val="00032A19"/>
    <w:rsid w:val="00032A4A"/>
    <w:rsid w:val="00032AC9"/>
    <w:rsid w:val="00032B7C"/>
    <w:rsid w:val="00032B91"/>
    <w:rsid w:val="00032BBE"/>
    <w:rsid w:val="00032CCD"/>
    <w:rsid w:val="00032D3D"/>
    <w:rsid w:val="00032D50"/>
    <w:rsid w:val="00032E60"/>
    <w:rsid w:val="00032EE8"/>
    <w:rsid w:val="000330A8"/>
    <w:rsid w:val="00033150"/>
    <w:rsid w:val="000334BA"/>
    <w:rsid w:val="000335D2"/>
    <w:rsid w:val="0003361B"/>
    <w:rsid w:val="0003378B"/>
    <w:rsid w:val="000337F7"/>
    <w:rsid w:val="00033804"/>
    <w:rsid w:val="0003394E"/>
    <w:rsid w:val="00033A2B"/>
    <w:rsid w:val="00033ADA"/>
    <w:rsid w:val="00033AE1"/>
    <w:rsid w:val="00033AE2"/>
    <w:rsid w:val="00033B56"/>
    <w:rsid w:val="00033C37"/>
    <w:rsid w:val="00033DC2"/>
    <w:rsid w:val="00033E48"/>
    <w:rsid w:val="00033E98"/>
    <w:rsid w:val="00033EA1"/>
    <w:rsid w:val="00033F21"/>
    <w:rsid w:val="000340C6"/>
    <w:rsid w:val="00034169"/>
    <w:rsid w:val="000342AA"/>
    <w:rsid w:val="0003446B"/>
    <w:rsid w:val="00034472"/>
    <w:rsid w:val="000346A2"/>
    <w:rsid w:val="00034828"/>
    <w:rsid w:val="00034883"/>
    <w:rsid w:val="0003499F"/>
    <w:rsid w:val="000349EA"/>
    <w:rsid w:val="00034A2F"/>
    <w:rsid w:val="00034A4B"/>
    <w:rsid w:val="00034AC5"/>
    <w:rsid w:val="00034AF5"/>
    <w:rsid w:val="00034B39"/>
    <w:rsid w:val="00034CC7"/>
    <w:rsid w:val="00034CCE"/>
    <w:rsid w:val="00034E0A"/>
    <w:rsid w:val="00034E7A"/>
    <w:rsid w:val="00034F6C"/>
    <w:rsid w:val="00034FDA"/>
    <w:rsid w:val="00035052"/>
    <w:rsid w:val="0003508F"/>
    <w:rsid w:val="000350AC"/>
    <w:rsid w:val="000350BC"/>
    <w:rsid w:val="0003520F"/>
    <w:rsid w:val="00035395"/>
    <w:rsid w:val="0003540D"/>
    <w:rsid w:val="000354D8"/>
    <w:rsid w:val="00035532"/>
    <w:rsid w:val="000355A8"/>
    <w:rsid w:val="000355DA"/>
    <w:rsid w:val="00035647"/>
    <w:rsid w:val="0003571D"/>
    <w:rsid w:val="000358B6"/>
    <w:rsid w:val="0003590E"/>
    <w:rsid w:val="00035925"/>
    <w:rsid w:val="00035999"/>
    <w:rsid w:val="000359C9"/>
    <w:rsid w:val="000359DC"/>
    <w:rsid w:val="00035A3B"/>
    <w:rsid w:val="00035AAD"/>
    <w:rsid w:val="00035BC1"/>
    <w:rsid w:val="00035C42"/>
    <w:rsid w:val="00035CB9"/>
    <w:rsid w:val="00035E1E"/>
    <w:rsid w:val="00035E46"/>
    <w:rsid w:val="00035E65"/>
    <w:rsid w:val="00035EE2"/>
    <w:rsid w:val="00035F16"/>
    <w:rsid w:val="00036134"/>
    <w:rsid w:val="00036370"/>
    <w:rsid w:val="0003657F"/>
    <w:rsid w:val="000365F7"/>
    <w:rsid w:val="000366EE"/>
    <w:rsid w:val="000366F2"/>
    <w:rsid w:val="000367AE"/>
    <w:rsid w:val="000367FD"/>
    <w:rsid w:val="0003680E"/>
    <w:rsid w:val="00036821"/>
    <w:rsid w:val="00036833"/>
    <w:rsid w:val="000369B2"/>
    <w:rsid w:val="00036A71"/>
    <w:rsid w:val="00036A85"/>
    <w:rsid w:val="00036AB7"/>
    <w:rsid w:val="00036AD8"/>
    <w:rsid w:val="00036B90"/>
    <w:rsid w:val="00036BE6"/>
    <w:rsid w:val="00036C14"/>
    <w:rsid w:val="00036C99"/>
    <w:rsid w:val="00036DA6"/>
    <w:rsid w:val="00036E10"/>
    <w:rsid w:val="00036FD5"/>
    <w:rsid w:val="00037021"/>
    <w:rsid w:val="00037058"/>
    <w:rsid w:val="00037185"/>
    <w:rsid w:val="000372BA"/>
    <w:rsid w:val="00037381"/>
    <w:rsid w:val="00037389"/>
    <w:rsid w:val="0003741D"/>
    <w:rsid w:val="00037444"/>
    <w:rsid w:val="000374DC"/>
    <w:rsid w:val="000374E1"/>
    <w:rsid w:val="000374F0"/>
    <w:rsid w:val="00037511"/>
    <w:rsid w:val="00037747"/>
    <w:rsid w:val="000377B7"/>
    <w:rsid w:val="00037864"/>
    <w:rsid w:val="0003791B"/>
    <w:rsid w:val="00037A31"/>
    <w:rsid w:val="00037A3E"/>
    <w:rsid w:val="00037AF4"/>
    <w:rsid w:val="00037B1A"/>
    <w:rsid w:val="00037B54"/>
    <w:rsid w:val="00037B7B"/>
    <w:rsid w:val="00037BB7"/>
    <w:rsid w:val="00037BC2"/>
    <w:rsid w:val="00037BDD"/>
    <w:rsid w:val="00037C28"/>
    <w:rsid w:val="00037C45"/>
    <w:rsid w:val="00037D9D"/>
    <w:rsid w:val="00037DA5"/>
    <w:rsid w:val="00037ECD"/>
    <w:rsid w:val="00037F13"/>
    <w:rsid w:val="00037F5B"/>
    <w:rsid w:val="00037F84"/>
    <w:rsid w:val="000400C8"/>
    <w:rsid w:val="00040340"/>
    <w:rsid w:val="00040408"/>
    <w:rsid w:val="0004056B"/>
    <w:rsid w:val="00040591"/>
    <w:rsid w:val="000405E2"/>
    <w:rsid w:val="0004070B"/>
    <w:rsid w:val="000407CA"/>
    <w:rsid w:val="0004080A"/>
    <w:rsid w:val="00040836"/>
    <w:rsid w:val="00040844"/>
    <w:rsid w:val="00040915"/>
    <w:rsid w:val="000409DE"/>
    <w:rsid w:val="00040A58"/>
    <w:rsid w:val="00040B25"/>
    <w:rsid w:val="00040C62"/>
    <w:rsid w:val="00040E39"/>
    <w:rsid w:val="00040EB1"/>
    <w:rsid w:val="00040F0F"/>
    <w:rsid w:val="00040F60"/>
    <w:rsid w:val="00040F7B"/>
    <w:rsid w:val="00040F81"/>
    <w:rsid w:val="0004104F"/>
    <w:rsid w:val="000410BA"/>
    <w:rsid w:val="0004124B"/>
    <w:rsid w:val="000413AB"/>
    <w:rsid w:val="000413CD"/>
    <w:rsid w:val="00041427"/>
    <w:rsid w:val="0004147D"/>
    <w:rsid w:val="0004157A"/>
    <w:rsid w:val="000415E1"/>
    <w:rsid w:val="000417CF"/>
    <w:rsid w:val="00041923"/>
    <w:rsid w:val="0004192A"/>
    <w:rsid w:val="00041991"/>
    <w:rsid w:val="000419B7"/>
    <w:rsid w:val="00041A08"/>
    <w:rsid w:val="00041A1C"/>
    <w:rsid w:val="00041B19"/>
    <w:rsid w:val="00041B24"/>
    <w:rsid w:val="00041B6A"/>
    <w:rsid w:val="00041BC1"/>
    <w:rsid w:val="00041C00"/>
    <w:rsid w:val="00041CA9"/>
    <w:rsid w:val="00041D0A"/>
    <w:rsid w:val="00041D63"/>
    <w:rsid w:val="0004205B"/>
    <w:rsid w:val="000420A9"/>
    <w:rsid w:val="000420FB"/>
    <w:rsid w:val="000421E7"/>
    <w:rsid w:val="00042236"/>
    <w:rsid w:val="0004223E"/>
    <w:rsid w:val="00042261"/>
    <w:rsid w:val="000423A2"/>
    <w:rsid w:val="000423E4"/>
    <w:rsid w:val="00042531"/>
    <w:rsid w:val="00042544"/>
    <w:rsid w:val="000425E8"/>
    <w:rsid w:val="0004261A"/>
    <w:rsid w:val="0004273B"/>
    <w:rsid w:val="00042815"/>
    <w:rsid w:val="000429BD"/>
    <w:rsid w:val="00042B43"/>
    <w:rsid w:val="00042B48"/>
    <w:rsid w:val="00042C09"/>
    <w:rsid w:val="00042C21"/>
    <w:rsid w:val="00042D60"/>
    <w:rsid w:val="00042DB8"/>
    <w:rsid w:val="00042E45"/>
    <w:rsid w:val="00042F57"/>
    <w:rsid w:val="000430DE"/>
    <w:rsid w:val="000430EA"/>
    <w:rsid w:val="000432E6"/>
    <w:rsid w:val="000432FB"/>
    <w:rsid w:val="00043317"/>
    <w:rsid w:val="00043387"/>
    <w:rsid w:val="000433AB"/>
    <w:rsid w:val="000433D5"/>
    <w:rsid w:val="000433FF"/>
    <w:rsid w:val="0004345C"/>
    <w:rsid w:val="000434DB"/>
    <w:rsid w:val="0004353D"/>
    <w:rsid w:val="000435B1"/>
    <w:rsid w:val="000435E1"/>
    <w:rsid w:val="000435FA"/>
    <w:rsid w:val="00043622"/>
    <w:rsid w:val="000436A2"/>
    <w:rsid w:val="000438EA"/>
    <w:rsid w:val="00043C3A"/>
    <w:rsid w:val="00043CA3"/>
    <w:rsid w:val="00043DE1"/>
    <w:rsid w:val="00043E1A"/>
    <w:rsid w:val="00043E99"/>
    <w:rsid w:val="00043E9B"/>
    <w:rsid w:val="00043ECB"/>
    <w:rsid w:val="00043F9A"/>
    <w:rsid w:val="0004404F"/>
    <w:rsid w:val="00044188"/>
    <w:rsid w:val="00044213"/>
    <w:rsid w:val="00044272"/>
    <w:rsid w:val="000442AF"/>
    <w:rsid w:val="00044372"/>
    <w:rsid w:val="0004445D"/>
    <w:rsid w:val="00044541"/>
    <w:rsid w:val="000445FF"/>
    <w:rsid w:val="0004465F"/>
    <w:rsid w:val="00044689"/>
    <w:rsid w:val="000446F5"/>
    <w:rsid w:val="0004470E"/>
    <w:rsid w:val="00044710"/>
    <w:rsid w:val="00044934"/>
    <w:rsid w:val="000449BA"/>
    <w:rsid w:val="000449D3"/>
    <w:rsid w:val="00044A57"/>
    <w:rsid w:val="00044ACE"/>
    <w:rsid w:val="00044CEF"/>
    <w:rsid w:val="00044F15"/>
    <w:rsid w:val="00044F74"/>
    <w:rsid w:val="00044FCA"/>
    <w:rsid w:val="0004512E"/>
    <w:rsid w:val="000451BE"/>
    <w:rsid w:val="000452BD"/>
    <w:rsid w:val="000452F3"/>
    <w:rsid w:val="00045389"/>
    <w:rsid w:val="0004548D"/>
    <w:rsid w:val="0004558D"/>
    <w:rsid w:val="0004563D"/>
    <w:rsid w:val="00045770"/>
    <w:rsid w:val="00045774"/>
    <w:rsid w:val="00045817"/>
    <w:rsid w:val="0004587F"/>
    <w:rsid w:val="000458A5"/>
    <w:rsid w:val="0004598D"/>
    <w:rsid w:val="00045AFB"/>
    <w:rsid w:val="00045B05"/>
    <w:rsid w:val="00045BFE"/>
    <w:rsid w:val="00045D0D"/>
    <w:rsid w:val="00045EAF"/>
    <w:rsid w:val="00045F4A"/>
    <w:rsid w:val="0004605F"/>
    <w:rsid w:val="00046071"/>
    <w:rsid w:val="0004611F"/>
    <w:rsid w:val="00046185"/>
    <w:rsid w:val="000462F8"/>
    <w:rsid w:val="000463A9"/>
    <w:rsid w:val="0004645E"/>
    <w:rsid w:val="000464BC"/>
    <w:rsid w:val="00046528"/>
    <w:rsid w:val="00046533"/>
    <w:rsid w:val="00046660"/>
    <w:rsid w:val="000467DD"/>
    <w:rsid w:val="00046840"/>
    <w:rsid w:val="00046918"/>
    <w:rsid w:val="00046AF7"/>
    <w:rsid w:val="00046CBD"/>
    <w:rsid w:val="00046CDF"/>
    <w:rsid w:val="00046D28"/>
    <w:rsid w:val="00046D5A"/>
    <w:rsid w:val="00046D6D"/>
    <w:rsid w:val="00046E8E"/>
    <w:rsid w:val="00046EC0"/>
    <w:rsid w:val="00046F2D"/>
    <w:rsid w:val="00046F48"/>
    <w:rsid w:val="00047155"/>
    <w:rsid w:val="0004717A"/>
    <w:rsid w:val="000471A0"/>
    <w:rsid w:val="000471BE"/>
    <w:rsid w:val="000472B8"/>
    <w:rsid w:val="0004741F"/>
    <w:rsid w:val="00047427"/>
    <w:rsid w:val="0004749E"/>
    <w:rsid w:val="000476D0"/>
    <w:rsid w:val="00047717"/>
    <w:rsid w:val="000478B6"/>
    <w:rsid w:val="000478C0"/>
    <w:rsid w:val="00047987"/>
    <w:rsid w:val="00047A5C"/>
    <w:rsid w:val="00047A67"/>
    <w:rsid w:val="00047B0A"/>
    <w:rsid w:val="00047C1B"/>
    <w:rsid w:val="00047CEF"/>
    <w:rsid w:val="00047D2A"/>
    <w:rsid w:val="00047D99"/>
    <w:rsid w:val="00047D9E"/>
    <w:rsid w:val="00047DC1"/>
    <w:rsid w:val="00047DF7"/>
    <w:rsid w:val="00047EA3"/>
    <w:rsid w:val="00047F25"/>
    <w:rsid w:val="00047F78"/>
    <w:rsid w:val="00047FF8"/>
    <w:rsid w:val="00050054"/>
    <w:rsid w:val="0005011C"/>
    <w:rsid w:val="00050174"/>
    <w:rsid w:val="000501C2"/>
    <w:rsid w:val="000501EA"/>
    <w:rsid w:val="00050249"/>
    <w:rsid w:val="0005035B"/>
    <w:rsid w:val="000503D6"/>
    <w:rsid w:val="0005051A"/>
    <w:rsid w:val="00050731"/>
    <w:rsid w:val="00050739"/>
    <w:rsid w:val="00050826"/>
    <w:rsid w:val="00050835"/>
    <w:rsid w:val="000508F5"/>
    <w:rsid w:val="000509F3"/>
    <w:rsid w:val="00050E16"/>
    <w:rsid w:val="00050F6D"/>
    <w:rsid w:val="00050FA4"/>
    <w:rsid w:val="000510F1"/>
    <w:rsid w:val="000512D9"/>
    <w:rsid w:val="000513A2"/>
    <w:rsid w:val="000513E1"/>
    <w:rsid w:val="0005144D"/>
    <w:rsid w:val="0005152A"/>
    <w:rsid w:val="0005164A"/>
    <w:rsid w:val="0005165A"/>
    <w:rsid w:val="00051672"/>
    <w:rsid w:val="00051694"/>
    <w:rsid w:val="000516F2"/>
    <w:rsid w:val="00051752"/>
    <w:rsid w:val="000517D3"/>
    <w:rsid w:val="000517EC"/>
    <w:rsid w:val="00051809"/>
    <w:rsid w:val="0005181B"/>
    <w:rsid w:val="0005188B"/>
    <w:rsid w:val="00051AEF"/>
    <w:rsid w:val="00051C99"/>
    <w:rsid w:val="00051DD9"/>
    <w:rsid w:val="00051F13"/>
    <w:rsid w:val="00051F14"/>
    <w:rsid w:val="00051FBD"/>
    <w:rsid w:val="00051FFD"/>
    <w:rsid w:val="0005203C"/>
    <w:rsid w:val="00052051"/>
    <w:rsid w:val="000520C5"/>
    <w:rsid w:val="00052125"/>
    <w:rsid w:val="000521C0"/>
    <w:rsid w:val="000523DC"/>
    <w:rsid w:val="000523F8"/>
    <w:rsid w:val="0005241D"/>
    <w:rsid w:val="00052422"/>
    <w:rsid w:val="00052433"/>
    <w:rsid w:val="00052497"/>
    <w:rsid w:val="000525AC"/>
    <w:rsid w:val="000525C4"/>
    <w:rsid w:val="0005261B"/>
    <w:rsid w:val="0005278E"/>
    <w:rsid w:val="00052A23"/>
    <w:rsid w:val="00052A48"/>
    <w:rsid w:val="00052C4D"/>
    <w:rsid w:val="00052D12"/>
    <w:rsid w:val="00052E3B"/>
    <w:rsid w:val="00052E3C"/>
    <w:rsid w:val="00052EDF"/>
    <w:rsid w:val="00052F0A"/>
    <w:rsid w:val="00052FEC"/>
    <w:rsid w:val="00052FF7"/>
    <w:rsid w:val="000530B8"/>
    <w:rsid w:val="0005318C"/>
    <w:rsid w:val="000531AA"/>
    <w:rsid w:val="000532B9"/>
    <w:rsid w:val="000533DB"/>
    <w:rsid w:val="000534C0"/>
    <w:rsid w:val="000534D6"/>
    <w:rsid w:val="000534FE"/>
    <w:rsid w:val="00053522"/>
    <w:rsid w:val="000535E3"/>
    <w:rsid w:val="000535FC"/>
    <w:rsid w:val="000536E4"/>
    <w:rsid w:val="000536FF"/>
    <w:rsid w:val="00053764"/>
    <w:rsid w:val="00053884"/>
    <w:rsid w:val="0005388E"/>
    <w:rsid w:val="000538B0"/>
    <w:rsid w:val="0005392F"/>
    <w:rsid w:val="00053AB4"/>
    <w:rsid w:val="00053B04"/>
    <w:rsid w:val="00053CE5"/>
    <w:rsid w:val="00053CF5"/>
    <w:rsid w:val="00053D17"/>
    <w:rsid w:val="00053D52"/>
    <w:rsid w:val="00053E46"/>
    <w:rsid w:val="000540D2"/>
    <w:rsid w:val="00054137"/>
    <w:rsid w:val="0005416E"/>
    <w:rsid w:val="00054179"/>
    <w:rsid w:val="00054219"/>
    <w:rsid w:val="000543AC"/>
    <w:rsid w:val="000543B5"/>
    <w:rsid w:val="000543B6"/>
    <w:rsid w:val="00054459"/>
    <w:rsid w:val="00054593"/>
    <w:rsid w:val="00054604"/>
    <w:rsid w:val="000546E3"/>
    <w:rsid w:val="000546FD"/>
    <w:rsid w:val="000547E8"/>
    <w:rsid w:val="000548A3"/>
    <w:rsid w:val="00054ABF"/>
    <w:rsid w:val="00054B0E"/>
    <w:rsid w:val="00054BF9"/>
    <w:rsid w:val="00054D0A"/>
    <w:rsid w:val="00054D84"/>
    <w:rsid w:val="00054D9C"/>
    <w:rsid w:val="00055016"/>
    <w:rsid w:val="00055021"/>
    <w:rsid w:val="0005504A"/>
    <w:rsid w:val="0005510D"/>
    <w:rsid w:val="00055120"/>
    <w:rsid w:val="000551D3"/>
    <w:rsid w:val="00055222"/>
    <w:rsid w:val="00055355"/>
    <w:rsid w:val="0005537F"/>
    <w:rsid w:val="00055461"/>
    <w:rsid w:val="00055518"/>
    <w:rsid w:val="000555AC"/>
    <w:rsid w:val="000557E1"/>
    <w:rsid w:val="000557FC"/>
    <w:rsid w:val="000558F8"/>
    <w:rsid w:val="00055A3A"/>
    <w:rsid w:val="00055AA6"/>
    <w:rsid w:val="00055C4B"/>
    <w:rsid w:val="00055CDD"/>
    <w:rsid w:val="00055D7C"/>
    <w:rsid w:val="00055D93"/>
    <w:rsid w:val="00055E1C"/>
    <w:rsid w:val="00055E86"/>
    <w:rsid w:val="00055EC9"/>
    <w:rsid w:val="00055ED4"/>
    <w:rsid w:val="00055FA4"/>
    <w:rsid w:val="00055FB5"/>
    <w:rsid w:val="00055FBE"/>
    <w:rsid w:val="00055FE3"/>
    <w:rsid w:val="00056054"/>
    <w:rsid w:val="000560C8"/>
    <w:rsid w:val="000560CC"/>
    <w:rsid w:val="0005612D"/>
    <w:rsid w:val="00056204"/>
    <w:rsid w:val="00056269"/>
    <w:rsid w:val="0005634A"/>
    <w:rsid w:val="0005634F"/>
    <w:rsid w:val="0005638F"/>
    <w:rsid w:val="000564C9"/>
    <w:rsid w:val="00056528"/>
    <w:rsid w:val="0005654A"/>
    <w:rsid w:val="00056552"/>
    <w:rsid w:val="00056610"/>
    <w:rsid w:val="00056638"/>
    <w:rsid w:val="00056653"/>
    <w:rsid w:val="000566DA"/>
    <w:rsid w:val="00056701"/>
    <w:rsid w:val="00056711"/>
    <w:rsid w:val="000567DB"/>
    <w:rsid w:val="00056812"/>
    <w:rsid w:val="00056852"/>
    <w:rsid w:val="00056917"/>
    <w:rsid w:val="0005696C"/>
    <w:rsid w:val="0005696E"/>
    <w:rsid w:val="00056994"/>
    <w:rsid w:val="000569F8"/>
    <w:rsid w:val="00056A3F"/>
    <w:rsid w:val="00056AEF"/>
    <w:rsid w:val="00056B61"/>
    <w:rsid w:val="00056B9B"/>
    <w:rsid w:val="00056BE6"/>
    <w:rsid w:val="00056C66"/>
    <w:rsid w:val="00056DC8"/>
    <w:rsid w:val="000570E1"/>
    <w:rsid w:val="0005713A"/>
    <w:rsid w:val="00057205"/>
    <w:rsid w:val="00057244"/>
    <w:rsid w:val="00057247"/>
    <w:rsid w:val="0005728E"/>
    <w:rsid w:val="000572D0"/>
    <w:rsid w:val="00057399"/>
    <w:rsid w:val="00057448"/>
    <w:rsid w:val="0005746D"/>
    <w:rsid w:val="000574CD"/>
    <w:rsid w:val="000575FE"/>
    <w:rsid w:val="00057682"/>
    <w:rsid w:val="000576FC"/>
    <w:rsid w:val="0005782D"/>
    <w:rsid w:val="00057830"/>
    <w:rsid w:val="00057863"/>
    <w:rsid w:val="000578D0"/>
    <w:rsid w:val="00057922"/>
    <w:rsid w:val="00057A68"/>
    <w:rsid w:val="00057BF8"/>
    <w:rsid w:val="00057C3B"/>
    <w:rsid w:val="00057CAB"/>
    <w:rsid w:val="00057DFC"/>
    <w:rsid w:val="00057EE3"/>
    <w:rsid w:val="00057F41"/>
    <w:rsid w:val="00057F8F"/>
    <w:rsid w:val="00057FCC"/>
    <w:rsid w:val="00060004"/>
    <w:rsid w:val="00060006"/>
    <w:rsid w:val="0006006F"/>
    <w:rsid w:val="00060082"/>
    <w:rsid w:val="000601F4"/>
    <w:rsid w:val="0006029D"/>
    <w:rsid w:val="000603E5"/>
    <w:rsid w:val="00060403"/>
    <w:rsid w:val="00060407"/>
    <w:rsid w:val="00060487"/>
    <w:rsid w:val="000604B6"/>
    <w:rsid w:val="00060504"/>
    <w:rsid w:val="000605F5"/>
    <w:rsid w:val="0006063A"/>
    <w:rsid w:val="00060A54"/>
    <w:rsid w:val="00060A83"/>
    <w:rsid w:val="00060D05"/>
    <w:rsid w:val="00060D35"/>
    <w:rsid w:val="00060D3F"/>
    <w:rsid w:val="00060D72"/>
    <w:rsid w:val="00060E7B"/>
    <w:rsid w:val="00060E97"/>
    <w:rsid w:val="00060EBC"/>
    <w:rsid w:val="00060F16"/>
    <w:rsid w:val="00060F4B"/>
    <w:rsid w:val="00060F64"/>
    <w:rsid w:val="0006112B"/>
    <w:rsid w:val="00061173"/>
    <w:rsid w:val="000612B3"/>
    <w:rsid w:val="00061336"/>
    <w:rsid w:val="0006139D"/>
    <w:rsid w:val="00061402"/>
    <w:rsid w:val="0006141A"/>
    <w:rsid w:val="00061454"/>
    <w:rsid w:val="000614CE"/>
    <w:rsid w:val="000615CB"/>
    <w:rsid w:val="00061740"/>
    <w:rsid w:val="00061782"/>
    <w:rsid w:val="000617D9"/>
    <w:rsid w:val="000618ED"/>
    <w:rsid w:val="00061979"/>
    <w:rsid w:val="00061A77"/>
    <w:rsid w:val="00061B17"/>
    <w:rsid w:val="00061C45"/>
    <w:rsid w:val="00061C67"/>
    <w:rsid w:val="00061CDA"/>
    <w:rsid w:val="00061D88"/>
    <w:rsid w:val="00061EC0"/>
    <w:rsid w:val="00061EE5"/>
    <w:rsid w:val="00061F15"/>
    <w:rsid w:val="00061F3F"/>
    <w:rsid w:val="00062011"/>
    <w:rsid w:val="000620EF"/>
    <w:rsid w:val="0006214F"/>
    <w:rsid w:val="00062252"/>
    <w:rsid w:val="00062277"/>
    <w:rsid w:val="00062324"/>
    <w:rsid w:val="0006241D"/>
    <w:rsid w:val="00062499"/>
    <w:rsid w:val="000626A9"/>
    <w:rsid w:val="0006273C"/>
    <w:rsid w:val="00062747"/>
    <w:rsid w:val="0006275C"/>
    <w:rsid w:val="0006275E"/>
    <w:rsid w:val="00062783"/>
    <w:rsid w:val="0006287F"/>
    <w:rsid w:val="00062A5C"/>
    <w:rsid w:val="00062A78"/>
    <w:rsid w:val="00062ABD"/>
    <w:rsid w:val="00062BE0"/>
    <w:rsid w:val="00062D04"/>
    <w:rsid w:val="00062D36"/>
    <w:rsid w:val="00062DA7"/>
    <w:rsid w:val="00062E3F"/>
    <w:rsid w:val="00062F78"/>
    <w:rsid w:val="0006303E"/>
    <w:rsid w:val="00063136"/>
    <w:rsid w:val="000633FA"/>
    <w:rsid w:val="000634FF"/>
    <w:rsid w:val="000635E5"/>
    <w:rsid w:val="00063608"/>
    <w:rsid w:val="00063649"/>
    <w:rsid w:val="00063853"/>
    <w:rsid w:val="00063935"/>
    <w:rsid w:val="000639D6"/>
    <w:rsid w:val="00063A39"/>
    <w:rsid w:val="00063B3C"/>
    <w:rsid w:val="00063CEC"/>
    <w:rsid w:val="00063D73"/>
    <w:rsid w:val="00063D74"/>
    <w:rsid w:val="00063D8A"/>
    <w:rsid w:val="00063DCA"/>
    <w:rsid w:val="00063DD2"/>
    <w:rsid w:val="00063DE1"/>
    <w:rsid w:val="00063EF2"/>
    <w:rsid w:val="00063F46"/>
    <w:rsid w:val="0006400C"/>
    <w:rsid w:val="00064017"/>
    <w:rsid w:val="000640D1"/>
    <w:rsid w:val="000640D5"/>
    <w:rsid w:val="000640EA"/>
    <w:rsid w:val="0006412E"/>
    <w:rsid w:val="00064188"/>
    <w:rsid w:val="000641A1"/>
    <w:rsid w:val="0006422B"/>
    <w:rsid w:val="0006426B"/>
    <w:rsid w:val="0006427C"/>
    <w:rsid w:val="0006434A"/>
    <w:rsid w:val="0006437B"/>
    <w:rsid w:val="00064404"/>
    <w:rsid w:val="0006447A"/>
    <w:rsid w:val="000644B5"/>
    <w:rsid w:val="00064552"/>
    <w:rsid w:val="00064567"/>
    <w:rsid w:val="00064615"/>
    <w:rsid w:val="0006461A"/>
    <w:rsid w:val="00064637"/>
    <w:rsid w:val="000646EB"/>
    <w:rsid w:val="0006486F"/>
    <w:rsid w:val="000648D9"/>
    <w:rsid w:val="0006494E"/>
    <w:rsid w:val="000649EC"/>
    <w:rsid w:val="00064A02"/>
    <w:rsid w:val="00064A3B"/>
    <w:rsid w:val="00064ACB"/>
    <w:rsid w:val="00064AD8"/>
    <w:rsid w:val="00064B39"/>
    <w:rsid w:val="00064B98"/>
    <w:rsid w:val="00064CD2"/>
    <w:rsid w:val="00064D14"/>
    <w:rsid w:val="00064D28"/>
    <w:rsid w:val="00064D3C"/>
    <w:rsid w:val="00064D85"/>
    <w:rsid w:val="00064DE9"/>
    <w:rsid w:val="00064EE3"/>
    <w:rsid w:val="00064F73"/>
    <w:rsid w:val="00064FE8"/>
    <w:rsid w:val="0006500D"/>
    <w:rsid w:val="00065028"/>
    <w:rsid w:val="00065177"/>
    <w:rsid w:val="00065427"/>
    <w:rsid w:val="0006554C"/>
    <w:rsid w:val="00065639"/>
    <w:rsid w:val="00065641"/>
    <w:rsid w:val="000656AC"/>
    <w:rsid w:val="000656FF"/>
    <w:rsid w:val="000657E6"/>
    <w:rsid w:val="000658AE"/>
    <w:rsid w:val="0006596C"/>
    <w:rsid w:val="00065A00"/>
    <w:rsid w:val="00065A3B"/>
    <w:rsid w:val="00065AC9"/>
    <w:rsid w:val="00065AF3"/>
    <w:rsid w:val="00065B1F"/>
    <w:rsid w:val="00065B92"/>
    <w:rsid w:val="00065D82"/>
    <w:rsid w:val="00065E74"/>
    <w:rsid w:val="00065EA8"/>
    <w:rsid w:val="00065F18"/>
    <w:rsid w:val="00065F3F"/>
    <w:rsid w:val="00065F5B"/>
    <w:rsid w:val="00065FE6"/>
    <w:rsid w:val="0006607D"/>
    <w:rsid w:val="000660A6"/>
    <w:rsid w:val="000660C5"/>
    <w:rsid w:val="000660E2"/>
    <w:rsid w:val="0006615F"/>
    <w:rsid w:val="0006622A"/>
    <w:rsid w:val="000662E2"/>
    <w:rsid w:val="00066355"/>
    <w:rsid w:val="000663E6"/>
    <w:rsid w:val="00066607"/>
    <w:rsid w:val="000666F0"/>
    <w:rsid w:val="000666FC"/>
    <w:rsid w:val="00066761"/>
    <w:rsid w:val="00066810"/>
    <w:rsid w:val="000668DB"/>
    <w:rsid w:val="0006697F"/>
    <w:rsid w:val="0006698F"/>
    <w:rsid w:val="00066A2E"/>
    <w:rsid w:val="00066A92"/>
    <w:rsid w:val="00066AA9"/>
    <w:rsid w:val="00066AB0"/>
    <w:rsid w:val="00066ADC"/>
    <w:rsid w:val="00066CC4"/>
    <w:rsid w:val="00066D58"/>
    <w:rsid w:val="00066D5E"/>
    <w:rsid w:val="00066DEA"/>
    <w:rsid w:val="00066E1D"/>
    <w:rsid w:val="00066EC5"/>
    <w:rsid w:val="00066EDE"/>
    <w:rsid w:val="00066F9B"/>
    <w:rsid w:val="0006706A"/>
    <w:rsid w:val="00067182"/>
    <w:rsid w:val="000671E3"/>
    <w:rsid w:val="0006727C"/>
    <w:rsid w:val="0006735E"/>
    <w:rsid w:val="0006741E"/>
    <w:rsid w:val="00067575"/>
    <w:rsid w:val="0006758A"/>
    <w:rsid w:val="00067618"/>
    <w:rsid w:val="0006764E"/>
    <w:rsid w:val="0006766F"/>
    <w:rsid w:val="00067672"/>
    <w:rsid w:val="000676A9"/>
    <w:rsid w:val="00067711"/>
    <w:rsid w:val="0006771D"/>
    <w:rsid w:val="00067747"/>
    <w:rsid w:val="00067807"/>
    <w:rsid w:val="0006783E"/>
    <w:rsid w:val="000678EA"/>
    <w:rsid w:val="00067957"/>
    <w:rsid w:val="000679B9"/>
    <w:rsid w:val="00067A03"/>
    <w:rsid w:val="00067AB5"/>
    <w:rsid w:val="00067B30"/>
    <w:rsid w:val="00067B36"/>
    <w:rsid w:val="00067D44"/>
    <w:rsid w:val="00067D61"/>
    <w:rsid w:val="00067E69"/>
    <w:rsid w:val="00067EE8"/>
    <w:rsid w:val="00067F28"/>
    <w:rsid w:val="00067F39"/>
    <w:rsid w:val="00067F89"/>
    <w:rsid w:val="00070097"/>
    <w:rsid w:val="000700A1"/>
    <w:rsid w:val="00070171"/>
    <w:rsid w:val="0007022A"/>
    <w:rsid w:val="00070241"/>
    <w:rsid w:val="0007025D"/>
    <w:rsid w:val="00070287"/>
    <w:rsid w:val="0007028A"/>
    <w:rsid w:val="000703C4"/>
    <w:rsid w:val="000704C4"/>
    <w:rsid w:val="000704EA"/>
    <w:rsid w:val="0007065B"/>
    <w:rsid w:val="00070662"/>
    <w:rsid w:val="00070758"/>
    <w:rsid w:val="00070888"/>
    <w:rsid w:val="000708F1"/>
    <w:rsid w:val="00070917"/>
    <w:rsid w:val="00070AFA"/>
    <w:rsid w:val="00070B7D"/>
    <w:rsid w:val="00070DE4"/>
    <w:rsid w:val="00070DEB"/>
    <w:rsid w:val="00070E91"/>
    <w:rsid w:val="00070E93"/>
    <w:rsid w:val="00070F22"/>
    <w:rsid w:val="0007101E"/>
    <w:rsid w:val="0007112F"/>
    <w:rsid w:val="0007114B"/>
    <w:rsid w:val="0007133B"/>
    <w:rsid w:val="00071352"/>
    <w:rsid w:val="000713BF"/>
    <w:rsid w:val="000713FE"/>
    <w:rsid w:val="000714EF"/>
    <w:rsid w:val="00071597"/>
    <w:rsid w:val="0007181C"/>
    <w:rsid w:val="0007190A"/>
    <w:rsid w:val="00071999"/>
    <w:rsid w:val="00071A5D"/>
    <w:rsid w:val="00071A74"/>
    <w:rsid w:val="00071AA0"/>
    <w:rsid w:val="00071B5B"/>
    <w:rsid w:val="00071C02"/>
    <w:rsid w:val="00071D9A"/>
    <w:rsid w:val="00071DA7"/>
    <w:rsid w:val="00071E4D"/>
    <w:rsid w:val="00071E54"/>
    <w:rsid w:val="00071F17"/>
    <w:rsid w:val="00071F39"/>
    <w:rsid w:val="00072079"/>
    <w:rsid w:val="000720B5"/>
    <w:rsid w:val="000720DF"/>
    <w:rsid w:val="000720FA"/>
    <w:rsid w:val="0007210E"/>
    <w:rsid w:val="0007221C"/>
    <w:rsid w:val="000722C4"/>
    <w:rsid w:val="00072303"/>
    <w:rsid w:val="0007231C"/>
    <w:rsid w:val="000723B8"/>
    <w:rsid w:val="0007266B"/>
    <w:rsid w:val="00072696"/>
    <w:rsid w:val="000726A6"/>
    <w:rsid w:val="00072754"/>
    <w:rsid w:val="000727FF"/>
    <w:rsid w:val="00072822"/>
    <w:rsid w:val="00072849"/>
    <w:rsid w:val="0007285A"/>
    <w:rsid w:val="000729E2"/>
    <w:rsid w:val="00072AB4"/>
    <w:rsid w:val="00072B0C"/>
    <w:rsid w:val="00072D94"/>
    <w:rsid w:val="00072DA7"/>
    <w:rsid w:val="00072E0B"/>
    <w:rsid w:val="00072E41"/>
    <w:rsid w:val="00072F4C"/>
    <w:rsid w:val="00072F55"/>
    <w:rsid w:val="00072F5A"/>
    <w:rsid w:val="00072FB2"/>
    <w:rsid w:val="00073001"/>
    <w:rsid w:val="00073052"/>
    <w:rsid w:val="000730D0"/>
    <w:rsid w:val="000731AE"/>
    <w:rsid w:val="0007324A"/>
    <w:rsid w:val="000732E3"/>
    <w:rsid w:val="00073373"/>
    <w:rsid w:val="00073449"/>
    <w:rsid w:val="00073477"/>
    <w:rsid w:val="000734CE"/>
    <w:rsid w:val="00073566"/>
    <w:rsid w:val="000735C3"/>
    <w:rsid w:val="00073608"/>
    <w:rsid w:val="00073632"/>
    <w:rsid w:val="000736BB"/>
    <w:rsid w:val="000737CD"/>
    <w:rsid w:val="000737FF"/>
    <w:rsid w:val="000738EE"/>
    <w:rsid w:val="00073990"/>
    <w:rsid w:val="000739BB"/>
    <w:rsid w:val="00073A13"/>
    <w:rsid w:val="00073B36"/>
    <w:rsid w:val="00073BFD"/>
    <w:rsid w:val="00073E18"/>
    <w:rsid w:val="00073E6A"/>
    <w:rsid w:val="00073F3B"/>
    <w:rsid w:val="00073F45"/>
    <w:rsid w:val="0007400E"/>
    <w:rsid w:val="00074075"/>
    <w:rsid w:val="0007415E"/>
    <w:rsid w:val="00074164"/>
    <w:rsid w:val="000741B0"/>
    <w:rsid w:val="000741E2"/>
    <w:rsid w:val="0007435A"/>
    <w:rsid w:val="000743A2"/>
    <w:rsid w:val="000743D8"/>
    <w:rsid w:val="000744D7"/>
    <w:rsid w:val="000745B8"/>
    <w:rsid w:val="000745BD"/>
    <w:rsid w:val="0007470A"/>
    <w:rsid w:val="000747F3"/>
    <w:rsid w:val="00074930"/>
    <w:rsid w:val="00074AC2"/>
    <w:rsid w:val="00074B66"/>
    <w:rsid w:val="00074C0E"/>
    <w:rsid w:val="00074CF5"/>
    <w:rsid w:val="00074D3C"/>
    <w:rsid w:val="00074E03"/>
    <w:rsid w:val="00074F9C"/>
    <w:rsid w:val="00074FBD"/>
    <w:rsid w:val="00074FC4"/>
    <w:rsid w:val="00075048"/>
    <w:rsid w:val="00075133"/>
    <w:rsid w:val="0007513F"/>
    <w:rsid w:val="000751B8"/>
    <w:rsid w:val="000751FB"/>
    <w:rsid w:val="00075374"/>
    <w:rsid w:val="000753F4"/>
    <w:rsid w:val="00075470"/>
    <w:rsid w:val="000754FC"/>
    <w:rsid w:val="00075590"/>
    <w:rsid w:val="000755B3"/>
    <w:rsid w:val="000755E4"/>
    <w:rsid w:val="00075634"/>
    <w:rsid w:val="000757F8"/>
    <w:rsid w:val="00075AD1"/>
    <w:rsid w:val="00075B04"/>
    <w:rsid w:val="00075B15"/>
    <w:rsid w:val="00075B6A"/>
    <w:rsid w:val="00075B82"/>
    <w:rsid w:val="00075BB7"/>
    <w:rsid w:val="00075C84"/>
    <w:rsid w:val="00075DCA"/>
    <w:rsid w:val="00075DD8"/>
    <w:rsid w:val="00075E64"/>
    <w:rsid w:val="00075EFA"/>
    <w:rsid w:val="0007610B"/>
    <w:rsid w:val="0007610E"/>
    <w:rsid w:val="00076111"/>
    <w:rsid w:val="00076165"/>
    <w:rsid w:val="000762BE"/>
    <w:rsid w:val="000763BE"/>
    <w:rsid w:val="000764B7"/>
    <w:rsid w:val="000764BE"/>
    <w:rsid w:val="0007650B"/>
    <w:rsid w:val="000765AF"/>
    <w:rsid w:val="00076837"/>
    <w:rsid w:val="00076856"/>
    <w:rsid w:val="000768B1"/>
    <w:rsid w:val="00076953"/>
    <w:rsid w:val="00076A32"/>
    <w:rsid w:val="00076B11"/>
    <w:rsid w:val="00076B58"/>
    <w:rsid w:val="00076B5E"/>
    <w:rsid w:val="00076BAC"/>
    <w:rsid w:val="00076D89"/>
    <w:rsid w:val="00076D94"/>
    <w:rsid w:val="00076E16"/>
    <w:rsid w:val="00076E41"/>
    <w:rsid w:val="00076E60"/>
    <w:rsid w:val="00076EE6"/>
    <w:rsid w:val="00076EF6"/>
    <w:rsid w:val="00076F66"/>
    <w:rsid w:val="000770DA"/>
    <w:rsid w:val="000771C8"/>
    <w:rsid w:val="00077227"/>
    <w:rsid w:val="00077386"/>
    <w:rsid w:val="000774D0"/>
    <w:rsid w:val="0007770B"/>
    <w:rsid w:val="0007773F"/>
    <w:rsid w:val="000777BC"/>
    <w:rsid w:val="000777D9"/>
    <w:rsid w:val="00077837"/>
    <w:rsid w:val="00077864"/>
    <w:rsid w:val="00077918"/>
    <w:rsid w:val="000779D0"/>
    <w:rsid w:val="00077A2B"/>
    <w:rsid w:val="00077A4C"/>
    <w:rsid w:val="00077A6C"/>
    <w:rsid w:val="00077A75"/>
    <w:rsid w:val="00077BD9"/>
    <w:rsid w:val="00077D6C"/>
    <w:rsid w:val="00077E8F"/>
    <w:rsid w:val="00077EC8"/>
    <w:rsid w:val="0008008A"/>
    <w:rsid w:val="000800CF"/>
    <w:rsid w:val="0008011B"/>
    <w:rsid w:val="0008016B"/>
    <w:rsid w:val="00080268"/>
    <w:rsid w:val="00080273"/>
    <w:rsid w:val="000802C0"/>
    <w:rsid w:val="00080305"/>
    <w:rsid w:val="0008034B"/>
    <w:rsid w:val="000803A2"/>
    <w:rsid w:val="000803CA"/>
    <w:rsid w:val="00080468"/>
    <w:rsid w:val="000804DD"/>
    <w:rsid w:val="0008056F"/>
    <w:rsid w:val="0008065E"/>
    <w:rsid w:val="00080727"/>
    <w:rsid w:val="000807A1"/>
    <w:rsid w:val="000807D3"/>
    <w:rsid w:val="00080857"/>
    <w:rsid w:val="0008085A"/>
    <w:rsid w:val="00080888"/>
    <w:rsid w:val="00080AE5"/>
    <w:rsid w:val="00080B92"/>
    <w:rsid w:val="00080D85"/>
    <w:rsid w:val="00080D9E"/>
    <w:rsid w:val="00080EF3"/>
    <w:rsid w:val="00080FE2"/>
    <w:rsid w:val="0008102C"/>
    <w:rsid w:val="0008129A"/>
    <w:rsid w:val="000812DE"/>
    <w:rsid w:val="000813E3"/>
    <w:rsid w:val="0008146F"/>
    <w:rsid w:val="000814ED"/>
    <w:rsid w:val="00081559"/>
    <w:rsid w:val="00081676"/>
    <w:rsid w:val="0008167C"/>
    <w:rsid w:val="00081701"/>
    <w:rsid w:val="0008171F"/>
    <w:rsid w:val="000817FD"/>
    <w:rsid w:val="0008180F"/>
    <w:rsid w:val="00081898"/>
    <w:rsid w:val="000818B3"/>
    <w:rsid w:val="00081905"/>
    <w:rsid w:val="0008192F"/>
    <w:rsid w:val="00081A81"/>
    <w:rsid w:val="00081AF7"/>
    <w:rsid w:val="00081BC6"/>
    <w:rsid w:val="00081BF2"/>
    <w:rsid w:val="00081C8C"/>
    <w:rsid w:val="00081D2F"/>
    <w:rsid w:val="00081D99"/>
    <w:rsid w:val="00081DBD"/>
    <w:rsid w:val="00081DBE"/>
    <w:rsid w:val="00081DE8"/>
    <w:rsid w:val="00081EB1"/>
    <w:rsid w:val="00081F70"/>
    <w:rsid w:val="00082008"/>
    <w:rsid w:val="0008201E"/>
    <w:rsid w:val="00082078"/>
    <w:rsid w:val="0008208B"/>
    <w:rsid w:val="00082135"/>
    <w:rsid w:val="00082236"/>
    <w:rsid w:val="00082333"/>
    <w:rsid w:val="0008238D"/>
    <w:rsid w:val="000823BA"/>
    <w:rsid w:val="00082537"/>
    <w:rsid w:val="0008269B"/>
    <w:rsid w:val="00082706"/>
    <w:rsid w:val="00082714"/>
    <w:rsid w:val="0008271B"/>
    <w:rsid w:val="000828AA"/>
    <w:rsid w:val="00082924"/>
    <w:rsid w:val="0008292B"/>
    <w:rsid w:val="00082C86"/>
    <w:rsid w:val="00082DF0"/>
    <w:rsid w:val="00082EEC"/>
    <w:rsid w:val="00082F07"/>
    <w:rsid w:val="00082F2C"/>
    <w:rsid w:val="00082F52"/>
    <w:rsid w:val="00082F93"/>
    <w:rsid w:val="00082FF5"/>
    <w:rsid w:val="00083012"/>
    <w:rsid w:val="00083068"/>
    <w:rsid w:val="000831BF"/>
    <w:rsid w:val="000831FD"/>
    <w:rsid w:val="00083222"/>
    <w:rsid w:val="00083226"/>
    <w:rsid w:val="000832F1"/>
    <w:rsid w:val="00083325"/>
    <w:rsid w:val="0008336E"/>
    <w:rsid w:val="00083375"/>
    <w:rsid w:val="000833D7"/>
    <w:rsid w:val="00083442"/>
    <w:rsid w:val="000834D7"/>
    <w:rsid w:val="00083522"/>
    <w:rsid w:val="0008352C"/>
    <w:rsid w:val="0008359B"/>
    <w:rsid w:val="000837D4"/>
    <w:rsid w:val="000837F8"/>
    <w:rsid w:val="0008388E"/>
    <w:rsid w:val="00083948"/>
    <w:rsid w:val="00083976"/>
    <w:rsid w:val="00083A57"/>
    <w:rsid w:val="00083A73"/>
    <w:rsid w:val="00083BFE"/>
    <w:rsid w:val="00083C08"/>
    <w:rsid w:val="00083CE1"/>
    <w:rsid w:val="00083D63"/>
    <w:rsid w:val="00083DB3"/>
    <w:rsid w:val="00083DDB"/>
    <w:rsid w:val="00083E51"/>
    <w:rsid w:val="00083ED1"/>
    <w:rsid w:val="00084024"/>
    <w:rsid w:val="00084084"/>
    <w:rsid w:val="00084088"/>
    <w:rsid w:val="000840D9"/>
    <w:rsid w:val="000840F3"/>
    <w:rsid w:val="00084160"/>
    <w:rsid w:val="000842FA"/>
    <w:rsid w:val="0008433D"/>
    <w:rsid w:val="00084357"/>
    <w:rsid w:val="000844A5"/>
    <w:rsid w:val="000844A9"/>
    <w:rsid w:val="000844CD"/>
    <w:rsid w:val="000844E4"/>
    <w:rsid w:val="000844E5"/>
    <w:rsid w:val="000844F2"/>
    <w:rsid w:val="000845BE"/>
    <w:rsid w:val="000845E3"/>
    <w:rsid w:val="0008480F"/>
    <w:rsid w:val="0008488A"/>
    <w:rsid w:val="000848E0"/>
    <w:rsid w:val="000848E2"/>
    <w:rsid w:val="00084A07"/>
    <w:rsid w:val="00084B7C"/>
    <w:rsid w:val="00084B8B"/>
    <w:rsid w:val="00084D38"/>
    <w:rsid w:val="00084DDD"/>
    <w:rsid w:val="00084E6D"/>
    <w:rsid w:val="00084ED5"/>
    <w:rsid w:val="00084F3D"/>
    <w:rsid w:val="00084FD8"/>
    <w:rsid w:val="00085097"/>
    <w:rsid w:val="000851CB"/>
    <w:rsid w:val="000851EE"/>
    <w:rsid w:val="0008524B"/>
    <w:rsid w:val="000852AF"/>
    <w:rsid w:val="00085310"/>
    <w:rsid w:val="00085345"/>
    <w:rsid w:val="00085698"/>
    <w:rsid w:val="0008574C"/>
    <w:rsid w:val="000857A5"/>
    <w:rsid w:val="000857EF"/>
    <w:rsid w:val="00085942"/>
    <w:rsid w:val="0008595F"/>
    <w:rsid w:val="00085968"/>
    <w:rsid w:val="00085986"/>
    <w:rsid w:val="00085999"/>
    <w:rsid w:val="00085A89"/>
    <w:rsid w:val="00085A98"/>
    <w:rsid w:val="00085BBD"/>
    <w:rsid w:val="00085BD8"/>
    <w:rsid w:val="00085BDC"/>
    <w:rsid w:val="00085CDE"/>
    <w:rsid w:val="00085CFF"/>
    <w:rsid w:val="00085D11"/>
    <w:rsid w:val="00085D89"/>
    <w:rsid w:val="00085E01"/>
    <w:rsid w:val="00085FA4"/>
    <w:rsid w:val="00085FD6"/>
    <w:rsid w:val="00086036"/>
    <w:rsid w:val="0008606A"/>
    <w:rsid w:val="00086127"/>
    <w:rsid w:val="0008613F"/>
    <w:rsid w:val="00086196"/>
    <w:rsid w:val="000861C2"/>
    <w:rsid w:val="000863DC"/>
    <w:rsid w:val="00086411"/>
    <w:rsid w:val="0008644D"/>
    <w:rsid w:val="00086648"/>
    <w:rsid w:val="00086763"/>
    <w:rsid w:val="000867B7"/>
    <w:rsid w:val="00086800"/>
    <w:rsid w:val="00086885"/>
    <w:rsid w:val="0008693D"/>
    <w:rsid w:val="000869EC"/>
    <w:rsid w:val="00086A00"/>
    <w:rsid w:val="00086A0F"/>
    <w:rsid w:val="00086AD3"/>
    <w:rsid w:val="00086AE7"/>
    <w:rsid w:val="00086BA5"/>
    <w:rsid w:val="00086DCA"/>
    <w:rsid w:val="00086E5C"/>
    <w:rsid w:val="00086EA3"/>
    <w:rsid w:val="00086F33"/>
    <w:rsid w:val="00086F3A"/>
    <w:rsid w:val="000870F7"/>
    <w:rsid w:val="0008710A"/>
    <w:rsid w:val="00087150"/>
    <w:rsid w:val="0008727C"/>
    <w:rsid w:val="0008728D"/>
    <w:rsid w:val="00087352"/>
    <w:rsid w:val="0008736B"/>
    <w:rsid w:val="000873CB"/>
    <w:rsid w:val="0008740C"/>
    <w:rsid w:val="00087536"/>
    <w:rsid w:val="000875A4"/>
    <w:rsid w:val="0008763E"/>
    <w:rsid w:val="00087643"/>
    <w:rsid w:val="000876EE"/>
    <w:rsid w:val="000877C7"/>
    <w:rsid w:val="00087997"/>
    <w:rsid w:val="000879E2"/>
    <w:rsid w:val="000879FA"/>
    <w:rsid w:val="00087B96"/>
    <w:rsid w:val="00087CAD"/>
    <w:rsid w:val="00087D28"/>
    <w:rsid w:val="00087EC2"/>
    <w:rsid w:val="00087F16"/>
    <w:rsid w:val="00087F77"/>
    <w:rsid w:val="00090009"/>
    <w:rsid w:val="00090010"/>
    <w:rsid w:val="000900C2"/>
    <w:rsid w:val="000901EA"/>
    <w:rsid w:val="0009023C"/>
    <w:rsid w:val="000903E9"/>
    <w:rsid w:val="0009041F"/>
    <w:rsid w:val="0009046E"/>
    <w:rsid w:val="0009054F"/>
    <w:rsid w:val="00090647"/>
    <w:rsid w:val="00090766"/>
    <w:rsid w:val="0009087B"/>
    <w:rsid w:val="00090A90"/>
    <w:rsid w:val="00090A93"/>
    <w:rsid w:val="00090AE2"/>
    <w:rsid w:val="00090B23"/>
    <w:rsid w:val="00090B7F"/>
    <w:rsid w:val="00090C3D"/>
    <w:rsid w:val="00090C5C"/>
    <w:rsid w:val="00090D0A"/>
    <w:rsid w:val="00090DE0"/>
    <w:rsid w:val="00090E90"/>
    <w:rsid w:val="00090EB5"/>
    <w:rsid w:val="00090EF2"/>
    <w:rsid w:val="00091078"/>
    <w:rsid w:val="000911BE"/>
    <w:rsid w:val="00091227"/>
    <w:rsid w:val="00091240"/>
    <w:rsid w:val="000915B3"/>
    <w:rsid w:val="00091645"/>
    <w:rsid w:val="000916A0"/>
    <w:rsid w:val="000916B3"/>
    <w:rsid w:val="00091786"/>
    <w:rsid w:val="000917FD"/>
    <w:rsid w:val="00091809"/>
    <w:rsid w:val="00091853"/>
    <w:rsid w:val="0009194F"/>
    <w:rsid w:val="00091ABC"/>
    <w:rsid w:val="00091B67"/>
    <w:rsid w:val="00091C67"/>
    <w:rsid w:val="00091D45"/>
    <w:rsid w:val="00091D8B"/>
    <w:rsid w:val="00091E76"/>
    <w:rsid w:val="00091FA0"/>
    <w:rsid w:val="00091FDD"/>
    <w:rsid w:val="000920CE"/>
    <w:rsid w:val="000920F1"/>
    <w:rsid w:val="00092111"/>
    <w:rsid w:val="00092150"/>
    <w:rsid w:val="00092187"/>
    <w:rsid w:val="00092343"/>
    <w:rsid w:val="00092344"/>
    <w:rsid w:val="0009235A"/>
    <w:rsid w:val="00092415"/>
    <w:rsid w:val="00092531"/>
    <w:rsid w:val="000926C6"/>
    <w:rsid w:val="00092792"/>
    <w:rsid w:val="000927B9"/>
    <w:rsid w:val="000927BD"/>
    <w:rsid w:val="000928C5"/>
    <w:rsid w:val="000928D7"/>
    <w:rsid w:val="00092916"/>
    <w:rsid w:val="00092A13"/>
    <w:rsid w:val="00092A89"/>
    <w:rsid w:val="00092ACD"/>
    <w:rsid w:val="00092BDA"/>
    <w:rsid w:val="00092C54"/>
    <w:rsid w:val="00092CB2"/>
    <w:rsid w:val="00092CE5"/>
    <w:rsid w:val="00092E52"/>
    <w:rsid w:val="00092F15"/>
    <w:rsid w:val="00092F66"/>
    <w:rsid w:val="00092FBF"/>
    <w:rsid w:val="000930A8"/>
    <w:rsid w:val="000930EC"/>
    <w:rsid w:val="00093166"/>
    <w:rsid w:val="000932C5"/>
    <w:rsid w:val="000932C9"/>
    <w:rsid w:val="000932E9"/>
    <w:rsid w:val="000933A6"/>
    <w:rsid w:val="000934A6"/>
    <w:rsid w:val="00093525"/>
    <w:rsid w:val="00093543"/>
    <w:rsid w:val="000935D8"/>
    <w:rsid w:val="00093711"/>
    <w:rsid w:val="000937CF"/>
    <w:rsid w:val="000937F6"/>
    <w:rsid w:val="0009389B"/>
    <w:rsid w:val="000938D6"/>
    <w:rsid w:val="00093932"/>
    <w:rsid w:val="0009397F"/>
    <w:rsid w:val="00093A6E"/>
    <w:rsid w:val="00093AA5"/>
    <w:rsid w:val="00093B97"/>
    <w:rsid w:val="00093C95"/>
    <w:rsid w:val="00093CCE"/>
    <w:rsid w:val="00093CE7"/>
    <w:rsid w:val="00093D04"/>
    <w:rsid w:val="00093DC4"/>
    <w:rsid w:val="00093FEA"/>
    <w:rsid w:val="00094093"/>
    <w:rsid w:val="0009415E"/>
    <w:rsid w:val="0009420C"/>
    <w:rsid w:val="0009421F"/>
    <w:rsid w:val="00094246"/>
    <w:rsid w:val="00094325"/>
    <w:rsid w:val="00094412"/>
    <w:rsid w:val="0009441A"/>
    <w:rsid w:val="000944AA"/>
    <w:rsid w:val="0009466A"/>
    <w:rsid w:val="0009466B"/>
    <w:rsid w:val="00094707"/>
    <w:rsid w:val="0009481A"/>
    <w:rsid w:val="00094866"/>
    <w:rsid w:val="00094919"/>
    <w:rsid w:val="0009494B"/>
    <w:rsid w:val="000949A7"/>
    <w:rsid w:val="000949B6"/>
    <w:rsid w:val="000949BB"/>
    <w:rsid w:val="00094AEE"/>
    <w:rsid w:val="00094B57"/>
    <w:rsid w:val="00094B8D"/>
    <w:rsid w:val="00094B92"/>
    <w:rsid w:val="00094BB5"/>
    <w:rsid w:val="00094BCC"/>
    <w:rsid w:val="00094C5B"/>
    <w:rsid w:val="00094C91"/>
    <w:rsid w:val="00094D53"/>
    <w:rsid w:val="00094D9B"/>
    <w:rsid w:val="00094DCE"/>
    <w:rsid w:val="00094E46"/>
    <w:rsid w:val="00094EEE"/>
    <w:rsid w:val="00094F21"/>
    <w:rsid w:val="00094F29"/>
    <w:rsid w:val="00094F7B"/>
    <w:rsid w:val="00095048"/>
    <w:rsid w:val="00095062"/>
    <w:rsid w:val="000950A6"/>
    <w:rsid w:val="000950F5"/>
    <w:rsid w:val="0009513A"/>
    <w:rsid w:val="00095143"/>
    <w:rsid w:val="0009541D"/>
    <w:rsid w:val="00095429"/>
    <w:rsid w:val="00095464"/>
    <w:rsid w:val="000954F2"/>
    <w:rsid w:val="00095506"/>
    <w:rsid w:val="0009564C"/>
    <w:rsid w:val="000956D6"/>
    <w:rsid w:val="0009573F"/>
    <w:rsid w:val="00095774"/>
    <w:rsid w:val="000957F5"/>
    <w:rsid w:val="000958C6"/>
    <w:rsid w:val="000958D2"/>
    <w:rsid w:val="00095904"/>
    <w:rsid w:val="0009594F"/>
    <w:rsid w:val="0009596D"/>
    <w:rsid w:val="000959CB"/>
    <w:rsid w:val="00095A27"/>
    <w:rsid w:val="00095C44"/>
    <w:rsid w:val="00095C85"/>
    <w:rsid w:val="00095CE9"/>
    <w:rsid w:val="00095DF8"/>
    <w:rsid w:val="00095E04"/>
    <w:rsid w:val="00095FF7"/>
    <w:rsid w:val="000960B3"/>
    <w:rsid w:val="00096102"/>
    <w:rsid w:val="00096161"/>
    <w:rsid w:val="0009624F"/>
    <w:rsid w:val="0009626F"/>
    <w:rsid w:val="000962B4"/>
    <w:rsid w:val="00096430"/>
    <w:rsid w:val="000964E2"/>
    <w:rsid w:val="000965A1"/>
    <w:rsid w:val="000965A5"/>
    <w:rsid w:val="0009665E"/>
    <w:rsid w:val="00096739"/>
    <w:rsid w:val="00096776"/>
    <w:rsid w:val="00096923"/>
    <w:rsid w:val="00096A12"/>
    <w:rsid w:val="00096A9F"/>
    <w:rsid w:val="00096B42"/>
    <w:rsid w:val="00096B7B"/>
    <w:rsid w:val="00096BAD"/>
    <w:rsid w:val="00096BB7"/>
    <w:rsid w:val="00096BD7"/>
    <w:rsid w:val="00096BFA"/>
    <w:rsid w:val="00096C80"/>
    <w:rsid w:val="00096CBF"/>
    <w:rsid w:val="00096D4D"/>
    <w:rsid w:val="00096DE5"/>
    <w:rsid w:val="00096E37"/>
    <w:rsid w:val="00096F03"/>
    <w:rsid w:val="00097006"/>
    <w:rsid w:val="00097071"/>
    <w:rsid w:val="00097072"/>
    <w:rsid w:val="0009725C"/>
    <w:rsid w:val="00097268"/>
    <w:rsid w:val="0009746D"/>
    <w:rsid w:val="000974F7"/>
    <w:rsid w:val="00097673"/>
    <w:rsid w:val="00097674"/>
    <w:rsid w:val="000976C1"/>
    <w:rsid w:val="000977D6"/>
    <w:rsid w:val="00097941"/>
    <w:rsid w:val="0009796C"/>
    <w:rsid w:val="000979F1"/>
    <w:rsid w:val="00097AE2"/>
    <w:rsid w:val="00097AED"/>
    <w:rsid w:val="00097B74"/>
    <w:rsid w:val="00097B76"/>
    <w:rsid w:val="00097BA2"/>
    <w:rsid w:val="00097BE9"/>
    <w:rsid w:val="00097C37"/>
    <w:rsid w:val="00097CD6"/>
    <w:rsid w:val="00097D31"/>
    <w:rsid w:val="00097D43"/>
    <w:rsid w:val="00097D55"/>
    <w:rsid w:val="00097E1E"/>
    <w:rsid w:val="00097E7F"/>
    <w:rsid w:val="00097FE3"/>
    <w:rsid w:val="000A0122"/>
    <w:rsid w:val="000A012A"/>
    <w:rsid w:val="000A022C"/>
    <w:rsid w:val="000A02C2"/>
    <w:rsid w:val="000A039C"/>
    <w:rsid w:val="000A06A1"/>
    <w:rsid w:val="000A078B"/>
    <w:rsid w:val="000A07B8"/>
    <w:rsid w:val="000A07E6"/>
    <w:rsid w:val="000A0839"/>
    <w:rsid w:val="000A0877"/>
    <w:rsid w:val="000A0949"/>
    <w:rsid w:val="000A09D4"/>
    <w:rsid w:val="000A0B39"/>
    <w:rsid w:val="000A0B85"/>
    <w:rsid w:val="000A0BA2"/>
    <w:rsid w:val="000A0BB4"/>
    <w:rsid w:val="000A0C84"/>
    <w:rsid w:val="000A0CD3"/>
    <w:rsid w:val="000A0DBA"/>
    <w:rsid w:val="000A0ECD"/>
    <w:rsid w:val="000A0F45"/>
    <w:rsid w:val="000A0FB1"/>
    <w:rsid w:val="000A1055"/>
    <w:rsid w:val="000A10C0"/>
    <w:rsid w:val="000A110A"/>
    <w:rsid w:val="000A1275"/>
    <w:rsid w:val="000A1309"/>
    <w:rsid w:val="000A130A"/>
    <w:rsid w:val="000A131C"/>
    <w:rsid w:val="000A136C"/>
    <w:rsid w:val="000A156F"/>
    <w:rsid w:val="000A1571"/>
    <w:rsid w:val="000A163F"/>
    <w:rsid w:val="000A1679"/>
    <w:rsid w:val="000A16B0"/>
    <w:rsid w:val="000A16E4"/>
    <w:rsid w:val="000A177D"/>
    <w:rsid w:val="000A179F"/>
    <w:rsid w:val="000A17DC"/>
    <w:rsid w:val="000A1861"/>
    <w:rsid w:val="000A1871"/>
    <w:rsid w:val="000A18F3"/>
    <w:rsid w:val="000A19CA"/>
    <w:rsid w:val="000A1A54"/>
    <w:rsid w:val="000A1BF7"/>
    <w:rsid w:val="000A1C51"/>
    <w:rsid w:val="000A1CC4"/>
    <w:rsid w:val="000A1CD8"/>
    <w:rsid w:val="000A1D48"/>
    <w:rsid w:val="000A1DA5"/>
    <w:rsid w:val="000A1E3E"/>
    <w:rsid w:val="000A1EB5"/>
    <w:rsid w:val="000A1EC3"/>
    <w:rsid w:val="000A1EFA"/>
    <w:rsid w:val="000A1F6B"/>
    <w:rsid w:val="000A2025"/>
    <w:rsid w:val="000A209D"/>
    <w:rsid w:val="000A2176"/>
    <w:rsid w:val="000A21F4"/>
    <w:rsid w:val="000A2216"/>
    <w:rsid w:val="000A238C"/>
    <w:rsid w:val="000A243F"/>
    <w:rsid w:val="000A2545"/>
    <w:rsid w:val="000A2557"/>
    <w:rsid w:val="000A2603"/>
    <w:rsid w:val="000A265A"/>
    <w:rsid w:val="000A26D6"/>
    <w:rsid w:val="000A2725"/>
    <w:rsid w:val="000A2779"/>
    <w:rsid w:val="000A27B4"/>
    <w:rsid w:val="000A2855"/>
    <w:rsid w:val="000A28BD"/>
    <w:rsid w:val="000A2911"/>
    <w:rsid w:val="000A29CD"/>
    <w:rsid w:val="000A2A48"/>
    <w:rsid w:val="000A2C3E"/>
    <w:rsid w:val="000A2CB3"/>
    <w:rsid w:val="000A2CE8"/>
    <w:rsid w:val="000A2DF4"/>
    <w:rsid w:val="000A2F7F"/>
    <w:rsid w:val="000A30AF"/>
    <w:rsid w:val="000A30DC"/>
    <w:rsid w:val="000A30EB"/>
    <w:rsid w:val="000A3131"/>
    <w:rsid w:val="000A31DD"/>
    <w:rsid w:val="000A3280"/>
    <w:rsid w:val="000A32A9"/>
    <w:rsid w:val="000A32B0"/>
    <w:rsid w:val="000A33C7"/>
    <w:rsid w:val="000A3495"/>
    <w:rsid w:val="000A350E"/>
    <w:rsid w:val="000A3518"/>
    <w:rsid w:val="000A3541"/>
    <w:rsid w:val="000A3569"/>
    <w:rsid w:val="000A359E"/>
    <w:rsid w:val="000A3610"/>
    <w:rsid w:val="000A364F"/>
    <w:rsid w:val="000A36C6"/>
    <w:rsid w:val="000A36CE"/>
    <w:rsid w:val="000A382D"/>
    <w:rsid w:val="000A387D"/>
    <w:rsid w:val="000A39AA"/>
    <w:rsid w:val="000A39CE"/>
    <w:rsid w:val="000A3A1E"/>
    <w:rsid w:val="000A3A77"/>
    <w:rsid w:val="000A3A9F"/>
    <w:rsid w:val="000A3AF3"/>
    <w:rsid w:val="000A3B2E"/>
    <w:rsid w:val="000A3BD6"/>
    <w:rsid w:val="000A3C92"/>
    <w:rsid w:val="000A3D3B"/>
    <w:rsid w:val="000A3DB8"/>
    <w:rsid w:val="000A3DBA"/>
    <w:rsid w:val="000A3DF3"/>
    <w:rsid w:val="000A3F98"/>
    <w:rsid w:val="000A3FBA"/>
    <w:rsid w:val="000A3FE2"/>
    <w:rsid w:val="000A40EA"/>
    <w:rsid w:val="000A411D"/>
    <w:rsid w:val="000A41A5"/>
    <w:rsid w:val="000A429B"/>
    <w:rsid w:val="000A4309"/>
    <w:rsid w:val="000A440F"/>
    <w:rsid w:val="000A448E"/>
    <w:rsid w:val="000A45FC"/>
    <w:rsid w:val="000A484B"/>
    <w:rsid w:val="000A492E"/>
    <w:rsid w:val="000A4A33"/>
    <w:rsid w:val="000A4A65"/>
    <w:rsid w:val="000A4A97"/>
    <w:rsid w:val="000A4AD1"/>
    <w:rsid w:val="000A4AFB"/>
    <w:rsid w:val="000A4BAF"/>
    <w:rsid w:val="000A4C04"/>
    <w:rsid w:val="000A4C56"/>
    <w:rsid w:val="000A4C87"/>
    <w:rsid w:val="000A4C92"/>
    <w:rsid w:val="000A4CC8"/>
    <w:rsid w:val="000A4D7E"/>
    <w:rsid w:val="000A4E5F"/>
    <w:rsid w:val="000A4ECB"/>
    <w:rsid w:val="000A4F21"/>
    <w:rsid w:val="000A5023"/>
    <w:rsid w:val="000A5149"/>
    <w:rsid w:val="000A51BF"/>
    <w:rsid w:val="000A53E3"/>
    <w:rsid w:val="000A5481"/>
    <w:rsid w:val="000A54B0"/>
    <w:rsid w:val="000A5593"/>
    <w:rsid w:val="000A55E3"/>
    <w:rsid w:val="000A56A7"/>
    <w:rsid w:val="000A5772"/>
    <w:rsid w:val="000A58EB"/>
    <w:rsid w:val="000A59E5"/>
    <w:rsid w:val="000A5A3B"/>
    <w:rsid w:val="000A5ACB"/>
    <w:rsid w:val="000A5C86"/>
    <w:rsid w:val="000A5C90"/>
    <w:rsid w:val="000A5D5B"/>
    <w:rsid w:val="000A5E04"/>
    <w:rsid w:val="000A607B"/>
    <w:rsid w:val="000A60A1"/>
    <w:rsid w:val="000A60B3"/>
    <w:rsid w:val="000A60D0"/>
    <w:rsid w:val="000A60DC"/>
    <w:rsid w:val="000A6125"/>
    <w:rsid w:val="000A61F7"/>
    <w:rsid w:val="000A62E6"/>
    <w:rsid w:val="000A63A9"/>
    <w:rsid w:val="000A6432"/>
    <w:rsid w:val="000A6458"/>
    <w:rsid w:val="000A651C"/>
    <w:rsid w:val="000A656E"/>
    <w:rsid w:val="000A6840"/>
    <w:rsid w:val="000A684D"/>
    <w:rsid w:val="000A68BF"/>
    <w:rsid w:val="000A6A1D"/>
    <w:rsid w:val="000A6A4E"/>
    <w:rsid w:val="000A6AA0"/>
    <w:rsid w:val="000A6B27"/>
    <w:rsid w:val="000A6BBD"/>
    <w:rsid w:val="000A6CAC"/>
    <w:rsid w:val="000A6CC3"/>
    <w:rsid w:val="000A6D06"/>
    <w:rsid w:val="000A6E2B"/>
    <w:rsid w:val="000A6E42"/>
    <w:rsid w:val="000A6E78"/>
    <w:rsid w:val="000A6EA0"/>
    <w:rsid w:val="000A6FE2"/>
    <w:rsid w:val="000A7077"/>
    <w:rsid w:val="000A7085"/>
    <w:rsid w:val="000A70A3"/>
    <w:rsid w:val="000A70F2"/>
    <w:rsid w:val="000A7124"/>
    <w:rsid w:val="000A71C6"/>
    <w:rsid w:val="000A727C"/>
    <w:rsid w:val="000A7518"/>
    <w:rsid w:val="000A75DF"/>
    <w:rsid w:val="000A7617"/>
    <w:rsid w:val="000A768F"/>
    <w:rsid w:val="000A784E"/>
    <w:rsid w:val="000A78F8"/>
    <w:rsid w:val="000A7959"/>
    <w:rsid w:val="000A79A7"/>
    <w:rsid w:val="000A79D8"/>
    <w:rsid w:val="000A7AD0"/>
    <w:rsid w:val="000A7B5E"/>
    <w:rsid w:val="000A7B95"/>
    <w:rsid w:val="000A7C61"/>
    <w:rsid w:val="000A7CE7"/>
    <w:rsid w:val="000A7F79"/>
    <w:rsid w:val="000B00A0"/>
    <w:rsid w:val="000B0141"/>
    <w:rsid w:val="000B01AE"/>
    <w:rsid w:val="000B01BF"/>
    <w:rsid w:val="000B01EA"/>
    <w:rsid w:val="000B01FF"/>
    <w:rsid w:val="000B0394"/>
    <w:rsid w:val="000B03AC"/>
    <w:rsid w:val="000B0468"/>
    <w:rsid w:val="000B04C2"/>
    <w:rsid w:val="000B050A"/>
    <w:rsid w:val="000B054E"/>
    <w:rsid w:val="000B05C9"/>
    <w:rsid w:val="000B06D6"/>
    <w:rsid w:val="000B06FD"/>
    <w:rsid w:val="000B07FE"/>
    <w:rsid w:val="000B08C0"/>
    <w:rsid w:val="000B0A21"/>
    <w:rsid w:val="000B0A6D"/>
    <w:rsid w:val="000B0AF2"/>
    <w:rsid w:val="000B0B0E"/>
    <w:rsid w:val="000B0B5D"/>
    <w:rsid w:val="000B0BA1"/>
    <w:rsid w:val="000B0BBC"/>
    <w:rsid w:val="000B0BD1"/>
    <w:rsid w:val="000B0CBE"/>
    <w:rsid w:val="000B0ECE"/>
    <w:rsid w:val="000B0F67"/>
    <w:rsid w:val="000B1028"/>
    <w:rsid w:val="000B1060"/>
    <w:rsid w:val="000B107C"/>
    <w:rsid w:val="000B110B"/>
    <w:rsid w:val="000B11A6"/>
    <w:rsid w:val="000B11AA"/>
    <w:rsid w:val="000B11E4"/>
    <w:rsid w:val="000B126D"/>
    <w:rsid w:val="000B12C8"/>
    <w:rsid w:val="000B12D6"/>
    <w:rsid w:val="000B13C9"/>
    <w:rsid w:val="000B150F"/>
    <w:rsid w:val="000B158D"/>
    <w:rsid w:val="000B1609"/>
    <w:rsid w:val="000B1648"/>
    <w:rsid w:val="000B1691"/>
    <w:rsid w:val="000B16B9"/>
    <w:rsid w:val="000B174A"/>
    <w:rsid w:val="000B17EE"/>
    <w:rsid w:val="000B1830"/>
    <w:rsid w:val="000B1871"/>
    <w:rsid w:val="000B18AA"/>
    <w:rsid w:val="000B1AD1"/>
    <w:rsid w:val="000B1B55"/>
    <w:rsid w:val="000B1BCC"/>
    <w:rsid w:val="000B1D7D"/>
    <w:rsid w:val="000B1D86"/>
    <w:rsid w:val="000B1E0B"/>
    <w:rsid w:val="000B1E32"/>
    <w:rsid w:val="000B1F51"/>
    <w:rsid w:val="000B1F6E"/>
    <w:rsid w:val="000B202D"/>
    <w:rsid w:val="000B23B1"/>
    <w:rsid w:val="000B23CD"/>
    <w:rsid w:val="000B249A"/>
    <w:rsid w:val="000B24AB"/>
    <w:rsid w:val="000B24EA"/>
    <w:rsid w:val="000B252E"/>
    <w:rsid w:val="000B2585"/>
    <w:rsid w:val="000B2623"/>
    <w:rsid w:val="000B2699"/>
    <w:rsid w:val="000B2749"/>
    <w:rsid w:val="000B2762"/>
    <w:rsid w:val="000B279D"/>
    <w:rsid w:val="000B27B1"/>
    <w:rsid w:val="000B2830"/>
    <w:rsid w:val="000B28A1"/>
    <w:rsid w:val="000B28C0"/>
    <w:rsid w:val="000B29EB"/>
    <w:rsid w:val="000B2A3B"/>
    <w:rsid w:val="000B2A7A"/>
    <w:rsid w:val="000B2B01"/>
    <w:rsid w:val="000B2C8A"/>
    <w:rsid w:val="000B2D77"/>
    <w:rsid w:val="000B2D88"/>
    <w:rsid w:val="000B2FAA"/>
    <w:rsid w:val="000B3091"/>
    <w:rsid w:val="000B3147"/>
    <w:rsid w:val="000B3158"/>
    <w:rsid w:val="000B322D"/>
    <w:rsid w:val="000B3244"/>
    <w:rsid w:val="000B34BD"/>
    <w:rsid w:val="000B36FB"/>
    <w:rsid w:val="000B386F"/>
    <w:rsid w:val="000B38A5"/>
    <w:rsid w:val="000B38DE"/>
    <w:rsid w:val="000B391F"/>
    <w:rsid w:val="000B392B"/>
    <w:rsid w:val="000B3B43"/>
    <w:rsid w:val="000B3B6C"/>
    <w:rsid w:val="000B3DF0"/>
    <w:rsid w:val="000B3DFA"/>
    <w:rsid w:val="000B3E29"/>
    <w:rsid w:val="000B3E3D"/>
    <w:rsid w:val="000B3E4B"/>
    <w:rsid w:val="000B3E84"/>
    <w:rsid w:val="000B3ED3"/>
    <w:rsid w:val="000B3F1A"/>
    <w:rsid w:val="000B3F98"/>
    <w:rsid w:val="000B40BC"/>
    <w:rsid w:val="000B415E"/>
    <w:rsid w:val="000B419A"/>
    <w:rsid w:val="000B41DB"/>
    <w:rsid w:val="000B4259"/>
    <w:rsid w:val="000B42A0"/>
    <w:rsid w:val="000B432D"/>
    <w:rsid w:val="000B4363"/>
    <w:rsid w:val="000B4436"/>
    <w:rsid w:val="000B4604"/>
    <w:rsid w:val="000B46AB"/>
    <w:rsid w:val="000B46C1"/>
    <w:rsid w:val="000B46C2"/>
    <w:rsid w:val="000B471F"/>
    <w:rsid w:val="000B4779"/>
    <w:rsid w:val="000B4791"/>
    <w:rsid w:val="000B48C5"/>
    <w:rsid w:val="000B4902"/>
    <w:rsid w:val="000B4921"/>
    <w:rsid w:val="000B4AC4"/>
    <w:rsid w:val="000B4B80"/>
    <w:rsid w:val="000B4BB5"/>
    <w:rsid w:val="000B4D4F"/>
    <w:rsid w:val="000B4E76"/>
    <w:rsid w:val="000B4EEB"/>
    <w:rsid w:val="000B4F5C"/>
    <w:rsid w:val="000B5010"/>
    <w:rsid w:val="000B5085"/>
    <w:rsid w:val="000B50FA"/>
    <w:rsid w:val="000B5126"/>
    <w:rsid w:val="000B5161"/>
    <w:rsid w:val="000B51D8"/>
    <w:rsid w:val="000B51EA"/>
    <w:rsid w:val="000B52A2"/>
    <w:rsid w:val="000B52ED"/>
    <w:rsid w:val="000B542F"/>
    <w:rsid w:val="000B549B"/>
    <w:rsid w:val="000B553D"/>
    <w:rsid w:val="000B554A"/>
    <w:rsid w:val="000B5572"/>
    <w:rsid w:val="000B55FB"/>
    <w:rsid w:val="000B5601"/>
    <w:rsid w:val="000B56B1"/>
    <w:rsid w:val="000B572A"/>
    <w:rsid w:val="000B57AE"/>
    <w:rsid w:val="000B5928"/>
    <w:rsid w:val="000B5A1A"/>
    <w:rsid w:val="000B5AA5"/>
    <w:rsid w:val="000B5AC9"/>
    <w:rsid w:val="000B5B05"/>
    <w:rsid w:val="000B5B48"/>
    <w:rsid w:val="000B5B53"/>
    <w:rsid w:val="000B5DBC"/>
    <w:rsid w:val="000B5F33"/>
    <w:rsid w:val="000B5FAA"/>
    <w:rsid w:val="000B60B0"/>
    <w:rsid w:val="000B618C"/>
    <w:rsid w:val="000B621E"/>
    <w:rsid w:val="000B62AF"/>
    <w:rsid w:val="000B62E6"/>
    <w:rsid w:val="000B636A"/>
    <w:rsid w:val="000B63DB"/>
    <w:rsid w:val="000B63F7"/>
    <w:rsid w:val="000B6403"/>
    <w:rsid w:val="000B6451"/>
    <w:rsid w:val="000B6455"/>
    <w:rsid w:val="000B65C0"/>
    <w:rsid w:val="000B6646"/>
    <w:rsid w:val="000B6693"/>
    <w:rsid w:val="000B66DC"/>
    <w:rsid w:val="000B678D"/>
    <w:rsid w:val="000B68F3"/>
    <w:rsid w:val="000B6943"/>
    <w:rsid w:val="000B69AE"/>
    <w:rsid w:val="000B69BB"/>
    <w:rsid w:val="000B6A5C"/>
    <w:rsid w:val="000B6B20"/>
    <w:rsid w:val="000B6CA1"/>
    <w:rsid w:val="000B6D78"/>
    <w:rsid w:val="000B6DAC"/>
    <w:rsid w:val="000B704F"/>
    <w:rsid w:val="000B7144"/>
    <w:rsid w:val="000B72C3"/>
    <w:rsid w:val="000B735C"/>
    <w:rsid w:val="000B736E"/>
    <w:rsid w:val="000B75D7"/>
    <w:rsid w:val="000B7607"/>
    <w:rsid w:val="000B7643"/>
    <w:rsid w:val="000B764E"/>
    <w:rsid w:val="000B7686"/>
    <w:rsid w:val="000B7721"/>
    <w:rsid w:val="000B7894"/>
    <w:rsid w:val="000B78DB"/>
    <w:rsid w:val="000B7920"/>
    <w:rsid w:val="000B7C67"/>
    <w:rsid w:val="000B7C81"/>
    <w:rsid w:val="000B7DEB"/>
    <w:rsid w:val="000B7FE9"/>
    <w:rsid w:val="000B7FF3"/>
    <w:rsid w:val="000C00B6"/>
    <w:rsid w:val="000C010F"/>
    <w:rsid w:val="000C035B"/>
    <w:rsid w:val="000C03A8"/>
    <w:rsid w:val="000C03BC"/>
    <w:rsid w:val="000C06C3"/>
    <w:rsid w:val="000C0728"/>
    <w:rsid w:val="000C084E"/>
    <w:rsid w:val="000C0853"/>
    <w:rsid w:val="000C0882"/>
    <w:rsid w:val="000C091F"/>
    <w:rsid w:val="000C094D"/>
    <w:rsid w:val="000C09E1"/>
    <w:rsid w:val="000C0A58"/>
    <w:rsid w:val="000C0B86"/>
    <w:rsid w:val="000C0B8C"/>
    <w:rsid w:val="000C0C2D"/>
    <w:rsid w:val="000C0D32"/>
    <w:rsid w:val="000C0DDA"/>
    <w:rsid w:val="000C0E24"/>
    <w:rsid w:val="000C0FF1"/>
    <w:rsid w:val="000C101D"/>
    <w:rsid w:val="000C11C1"/>
    <w:rsid w:val="000C12B1"/>
    <w:rsid w:val="000C1303"/>
    <w:rsid w:val="000C1348"/>
    <w:rsid w:val="000C1359"/>
    <w:rsid w:val="000C1376"/>
    <w:rsid w:val="000C143E"/>
    <w:rsid w:val="000C14A8"/>
    <w:rsid w:val="000C14CF"/>
    <w:rsid w:val="000C14E4"/>
    <w:rsid w:val="000C1574"/>
    <w:rsid w:val="000C15A6"/>
    <w:rsid w:val="000C1608"/>
    <w:rsid w:val="000C167B"/>
    <w:rsid w:val="000C16AC"/>
    <w:rsid w:val="000C16E6"/>
    <w:rsid w:val="000C170C"/>
    <w:rsid w:val="000C173F"/>
    <w:rsid w:val="000C1778"/>
    <w:rsid w:val="000C17E4"/>
    <w:rsid w:val="000C1868"/>
    <w:rsid w:val="000C192F"/>
    <w:rsid w:val="000C19A6"/>
    <w:rsid w:val="000C19D8"/>
    <w:rsid w:val="000C1A00"/>
    <w:rsid w:val="000C1A22"/>
    <w:rsid w:val="000C1C17"/>
    <w:rsid w:val="000C1D98"/>
    <w:rsid w:val="000C1DCF"/>
    <w:rsid w:val="000C1E03"/>
    <w:rsid w:val="000C1FD7"/>
    <w:rsid w:val="000C2127"/>
    <w:rsid w:val="000C21F0"/>
    <w:rsid w:val="000C22DD"/>
    <w:rsid w:val="000C240D"/>
    <w:rsid w:val="000C25B6"/>
    <w:rsid w:val="000C27CB"/>
    <w:rsid w:val="000C2842"/>
    <w:rsid w:val="000C287B"/>
    <w:rsid w:val="000C2A78"/>
    <w:rsid w:val="000C2B0C"/>
    <w:rsid w:val="000C2B63"/>
    <w:rsid w:val="000C2CC8"/>
    <w:rsid w:val="000C2D5A"/>
    <w:rsid w:val="000C2E55"/>
    <w:rsid w:val="000C2E8E"/>
    <w:rsid w:val="000C2F23"/>
    <w:rsid w:val="000C2F8D"/>
    <w:rsid w:val="000C2FCC"/>
    <w:rsid w:val="000C301E"/>
    <w:rsid w:val="000C303C"/>
    <w:rsid w:val="000C306D"/>
    <w:rsid w:val="000C31CD"/>
    <w:rsid w:val="000C324A"/>
    <w:rsid w:val="000C3314"/>
    <w:rsid w:val="000C3317"/>
    <w:rsid w:val="000C3592"/>
    <w:rsid w:val="000C35A5"/>
    <w:rsid w:val="000C36F6"/>
    <w:rsid w:val="000C3730"/>
    <w:rsid w:val="000C3749"/>
    <w:rsid w:val="000C3784"/>
    <w:rsid w:val="000C386B"/>
    <w:rsid w:val="000C38AE"/>
    <w:rsid w:val="000C39CA"/>
    <w:rsid w:val="000C39F6"/>
    <w:rsid w:val="000C3B51"/>
    <w:rsid w:val="000C3BB0"/>
    <w:rsid w:val="000C3C10"/>
    <w:rsid w:val="000C3C16"/>
    <w:rsid w:val="000C3CD7"/>
    <w:rsid w:val="000C3DA7"/>
    <w:rsid w:val="000C3DBE"/>
    <w:rsid w:val="000C3DFA"/>
    <w:rsid w:val="000C3E27"/>
    <w:rsid w:val="000C3E49"/>
    <w:rsid w:val="000C3E80"/>
    <w:rsid w:val="000C3FF6"/>
    <w:rsid w:val="000C4026"/>
    <w:rsid w:val="000C40E8"/>
    <w:rsid w:val="000C41A9"/>
    <w:rsid w:val="000C4210"/>
    <w:rsid w:val="000C4222"/>
    <w:rsid w:val="000C42AA"/>
    <w:rsid w:val="000C4460"/>
    <w:rsid w:val="000C4471"/>
    <w:rsid w:val="000C44B3"/>
    <w:rsid w:val="000C4549"/>
    <w:rsid w:val="000C4656"/>
    <w:rsid w:val="000C4675"/>
    <w:rsid w:val="000C468F"/>
    <w:rsid w:val="000C46B1"/>
    <w:rsid w:val="000C4745"/>
    <w:rsid w:val="000C4836"/>
    <w:rsid w:val="000C484C"/>
    <w:rsid w:val="000C4994"/>
    <w:rsid w:val="000C49D2"/>
    <w:rsid w:val="000C49F9"/>
    <w:rsid w:val="000C4A3B"/>
    <w:rsid w:val="000C4A77"/>
    <w:rsid w:val="000C4B42"/>
    <w:rsid w:val="000C4B53"/>
    <w:rsid w:val="000C4BD4"/>
    <w:rsid w:val="000C4C1B"/>
    <w:rsid w:val="000C4D25"/>
    <w:rsid w:val="000C4D8B"/>
    <w:rsid w:val="000C4E0F"/>
    <w:rsid w:val="000C4F81"/>
    <w:rsid w:val="000C4FA1"/>
    <w:rsid w:val="000C4FCA"/>
    <w:rsid w:val="000C503B"/>
    <w:rsid w:val="000C506B"/>
    <w:rsid w:val="000C5145"/>
    <w:rsid w:val="000C514C"/>
    <w:rsid w:val="000C5197"/>
    <w:rsid w:val="000C5320"/>
    <w:rsid w:val="000C53B1"/>
    <w:rsid w:val="000C5538"/>
    <w:rsid w:val="000C5550"/>
    <w:rsid w:val="000C558D"/>
    <w:rsid w:val="000C562D"/>
    <w:rsid w:val="000C5693"/>
    <w:rsid w:val="000C56B6"/>
    <w:rsid w:val="000C570F"/>
    <w:rsid w:val="000C5764"/>
    <w:rsid w:val="000C57B5"/>
    <w:rsid w:val="000C5875"/>
    <w:rsid w:val="000C5893"/>
    <w:rsid w:val="000C58CC"/>
    <w:rsid w:val="000C591A"/>
    <w:rsid w:val="000C5929"/>
    <w:rsid w:val="000C5947"/>
    <w:rsid w:val="000C5B1D"/>
    <w:rsid w:val="000C5C33"/>
    <w:rsid w:val="000C5C6D"/>
    <w:rsid w:val="000C5CC4"/>
    <w:rsid w:val="000C5DC3"/>
    <w:rsid w:val="000C5EEB"/>
    <w:rsid w:val="000C60B3"/>
    <w:rsid w:val="000C6247"/>
    <w:rsid w:val="000C642C"/>
    <w:rsid w:val="000C648C"/>
    <w:rsid w:val="000C64FA"/>
    <w:rsid w:val="000C662F"/>
    <w:rsid w:val="000C66E2"/>
    <w:rsid w:val="000C66E5"/>
    <w:rsid w:val="000C6780"/>
    <w:rsid w:val="000C67CA"/>
    <w:rsid w:val="000C684E"/>
    <w:rsid w:val="000C68F7"/>
    <w:rsid w:val="000C6A36"/>
    <w:rsid w:val="000C6AE6"/>
    <w:rsid w:val="000C6CA7"/>
    <w:rsid w:val="000C6CBD"/>
    <w:rsid w:val="000C6D64"/>
    <w:rsid w:val="000C6D7D"/>
    <w:rsid w:val="000C6DA6"/>
    <w:rsid w:val="000C6EB5"/>
    <w:rsid w:val="000C6F92"/>
    <w:rsid w:val="000C6FA3"/>
    <w:rsid w:val="000C6FB6"/>
    <w:rsid w:val="000C7062"/>
    <w:rsid w:val="000C709B"/>
    <w:rsid w:val="000C71D2"/>
    <w:rsid w:val="000C7267"/>
    <w:rsid w:val="000C7280"/>
    <w:rsid w:val="000C7333"/>
    <w:rsid w:val="000C7384"/>
    <w:rsid w:val="000C7493"/>
    <w:rsid w:val="000C7505"/>
    <w:rsid w:val="000C752C"/>
    <w:rsid w:val="000C7573"/>
    <w:rsid w:val="000C760D"/>
    <w:rsid w:val="000C761E"/>
    <w:rsid w:val="000C763E"/>
    <w:rsid w:val="000C76D4"/>
    <w:rsid w:val="000C76F5"/>
    <w:rsid w:val="000C7773"/>
    <w:rsid w:val="000C77BF"/>
    <w:rsid w:val="000C7819"/>
    <w:rsid w:val="000C7A91"/>
    <w:rsid w:val="000C7B0F"/>
    <w:rsid w:val="000C7B29"/>
    <w:rsid w:val="000C7C2B"/>
    <w:rsid w:val="000C7D24"/>
    <w:rsid w:val="000C7E0D"/>
    <w:rsid w:val="000C7E65"/>
    <w:rsid w:val="000C7EA6"/>
    <w:rsid w:val="000C7EEF"/>
    <w:rsid w:val="000D0045"/>
    <w:rsid w:val="000D00C0"/>
    <w:rsid w:val="000D00E8"/>
    <w:rsid w:val="000D0102"/>
    <w:rsid w:val="000D014C"/>
    <w:rsid w:val="000D01F7"/>
    <w:rsid w:val="000D025A"/>
    <w:rsid w:val="000D0349"/>
    <w:rsid w:val="000D03FA"/>
    <w:rsid w:val="000D03FB"/>
    <w:rsid w:val="000D04B5"/>
    <w:rsid w:val="000D04BD"/>
    <w:rsid w:val="000D0616"/>
    <w:rsid w:val="000D0736"/>
    <w:rsid w:val="000D0798"/>
    <w:rsid w:val="000D09C6"/>
    <w:rsid w:val="000D0A34"/>
    <w:rsid w:val="000D0A74"/>
    <w:rsid w:val="000D0B8C"/>
    <w:rsid w:val="000D0BA0"/>
    <w:rsid w:val="000D0CA4"/>
    <w:rsid w:val="000D0F0D"/>
    <w:rsid w:val="000D0F6F"/>
    <w:rsid w:val="000D1028"/>
    <w:rsid w:val="000D11B9"/>
    <w:rsid w:val="000D11BB"/>
    <w:rsid w:val="000D12A6"/>
    <w:rsid w:val="000D12C9"/>
    <w:rsid w:val="000D12D9"/>
    <w:rsid w:val="000D1375"/>
    <w:rsid w:val="000D13DA"/>
    <w:rsid w:val="000D15BB"/>
    <w:rsid w:val="000D15E1"/>
    <w:rsid w:val="000D16C4"/>
    <w:rsid w:val="000D16D0"/>
    <w:rsid w:val="000D16D6"/>
    <w:rsid w:val="000D16F3"/>
    <w:rsid w:val="000D1721"/>
    <w:rsid w:val="000D1735"/>
    <w:rsid w:val="000D1753"/>
    <w:rsid w:val="000D17F6"/>
    <w:rsid w:val="000D18A4"/>
    <w:rsid w:val="000D18AC"/>
    <w:rsid w:val="000D195D"/>
    <w:rsid w:val="000D198D"/>
    <w:rsid w:val="000D1B11"/>
    <w:rsid w:val="000D1BF6"/>
    <w:rsid w:val="000D1D0F"/>
    <w:rsid w:val="000D1D35"/>
    <w:rsid w:val="000D1D45"/>
    <w:rsid w:val="000D1E32"/>
    <w:rsid w:val="000D1E65"/>
    <w:rsid w:val="000D1FC7"/>
    <w:rsid w:val="000D1FD2"/>
    <w:rsid w:val="000D205F"/>
    <w:rsid w:val="000D217A"/>
    <w:rsid w:val="000D221A"/>
    <w:rsid w:val="000D2223"/>
    <w:rsid w:val="000D227D"/>
    <w:rsid w:val="000D2396"/>
    <w:rsid w:val="000D23D3"/>
    <w:rsid w:val="000D23E6"/>
    <w:rsid w:val="000D24C6"/>
    <w:rsid w:val="000D24DC"/>
    <w:rsid w:val="000D2511"/>
    <w:rsid w:val="000D261E"/>
    <w:rsid w:val="000D263A"/>
    <w:rsid w:val="000D2646"/>
    <w:rsid w:val="000D277E"/>
    <w:rsid w:val="000D27E4"/>
    <w:rsid w:val="000D2815"/>
    <w:rsid w:val="000D290D"/>
    <w:rsid w:val="000D2929"/>
    <w:rsid w:val="000D29BC"/>
    <w:rsid w:val="000D2A18"/>
    <w:rsid w:val="000D2A30"/>
    <w:rsid w:val="000D2A4C"/>
    <w:rsid w:val="000D2AEB"/>
    <w:rsid w:val="000D2C19"/>
    <w:rsid w:val="000D2C6D"/>
    <w:rsid w:val="000D2CFF"/>
    <w:rsid w:val="000D306C"/>
    <w:rsid w:val="000D30EA"/>
    <w:rsid w:val="000D3197"/>
    <w:rsid w:val="000D31A2"/>
    <w:rsid w:val="000D31D0"/>
    <w:rsid w:val="000D31E2"/>
    <w:rsid w:val="000D3263"/>
    <w:rsid w:val="000D32D3"/>
    <w:rsid w:val="000D338A"/>
    <w:rsid w:val="000D348F"/>
    <w:rsid w:val="000D351A"/>
    <w:rsid w:val="000D365B"/>
    <w:rsid w:val="000D3688"/>
    <w:rsid w:val="000D36F7"/>
    <w:rsid w:val="000D3776"/>
    <w:rsid w:val="000D37A8"/>
    <w:rsid w:val="000D383D"/>
    <w:rsid w:val="000D39AA"/>
    <w:rsid w:val="000D39CF"/>
    <w:rsid w:val="000D3A9E"/>
    <w:rsid w:val="000D3AE7"/>
    <w:rsid w:val="000D3B6F"/>
    <w:rsid w:val="000D3C66"/>
    <w:rsid w:val="000D3C9C"/>
    <w:rsid w:val="000D3CB0"/>
    <w:rsid w:val="000D3CF7"/>
    <w:rsid w:val="000D3DDE"/>
    <w:rsid w:val="000D3EAD"/>
    <w:rsid w:val="000D3F30"/>
    <w:rsid w:val="000D3F88"/>
    <w:rsid w:val="000D3FD3"/>
    <w:rsid w:val="000D406E"/>
    <w:rsid w:val="000D40B0"/>
    <w:rsid w:val="000D40E7"/>
    <w:rsid w:val="000D424E"/>
    <w:rsid w:val="000D428C"/>
    <w:rsid w:val="000D4306"/>
    <w:rsid w:val="000D4462"/>
    <w:rsid w:val="000D451A"/>
    <w:rsid w:val="000D4536"/>
    <w:rsid w:val="000D454B"/>
    <w:rsid w:val="000D4660"/>
    <w:rsid w:val="000D46A6"/>
    <w:rsid w:val="000D472C"/>
    <w:rsid w:val="000D481E"/>
    <w:rsid w:val="000D4983"/>
    <w:rsid w:val="000D4992"/>
    <w:rsid w:val="000D4A1B"/>
    <w:rsid w:val="000D4A34"/>
    <w:rsid w:val="000D4B03"/>
    <w:rsid w:val="000D4B60"/>
    <w:rsid w:val="000D4B64"/>
    <w:rsid w:val="000D4C2C"/>
    <w:rsid w:val="000D4CC8"/>
    <w:rsid w:val="000D4CF3"/>
    <w:rsid w:val="000D4D87"/>
    <w:rsid w:val="000D4DEE"/>
    <w:rsid w:val="000D4E91"/>
    <w:rsid w:val="000D4F97"/>
    <w:rsid w:val="000D5036"/>
    <w:rsid w:val="000D5060"/>
    <w:rsid w:val="000D5090"/>
    <w:rsid w:val="000D518E"/>
    <w:rsid w:val="000D5217"/>
    <w:rsid w:val="000D52C3"/>
    <w:rsid w:val="000D5351"/>
    <w:rsid w:val="000D53F0"/>
    <w:rsid w:val="000D5505"/>
    <w:rsid w:val="000D55FF"/>
    <w:rsid w:val="000D568A"/>
    <w:rsid w:val="000D56CC"/>
    <w:rsid w:val="000D57B1"/>
    <w:rsid w:val="000D588C"/>
    <w:rsid w:val="000D5A4E"/>
    <w:rsid w:val="000D5AAF"/>
    <w:rsid w:val="000D5B33"/>
    <w:rsid w:val="000D5BAB"/>
    <w:rsid w:val="000D5BDE"/>
    <w:rsid w:val="000D5C77"/>
    <w:rsid w:val="000D5CE1"/>
    <w:rsid w:val="000D5F16"/>
    <w:rsid w:val="000D5FA5"/>
    <w:rsid w:val="000D604F"/>
    <w:rsid w:val="000D6051"/>
    <w:rsid w:val="000D608A"/>
    <w:rsid w:val="000D60C4"/>
    <w:rsid w:val="000D60C8"/>
    <w:rsid w:val="000D620C"/>
    <w:rsid w:val="000D62C2"/>
    <w:rsid w:val="000D636C"/>
    <w:rsid w:val="000D6466"/>
    <w:rsid w:val="000D65DC"/>
    <w:rsid w:val="000D65ED"/>
    <w:rsid w:val="000D679F"/>
    <w:rsid w:val="000D6A27"/>
    <w:rsid w:val="000D6A58"/>
    <w:rsid w:val="000D6B09"/>
    <w:rsid w:val="000D6BF2"/>
    <w:rsid w:val="000D6C41"/>
    <w:rsid w:val="000D6C58"/>
    <w:rsid w:val="000D6F7F"/>
    <w:rsid w:val="000D70A0"/>
    <w:rsid w:val="000D70A5"/>
    <w:rsid w:val="000D71A9"/>
    <w:rsid w:val="000D73B4"/>
    <w:rsid w:val="000D73D6"/>
    <w:rsid w:val="000D7407"/>
    <w:rsid w:val="000D755E"/>
    <w:rsid w:val="000D7573"/>
    <w:rsid w:val="000D757D"/>
    <w:rsid w:val="000D7A4E"/>
    <w:rsid w:val="000D7A8B"/>
    <w:rsid w:val="000D7A94"/>
    <w:rsid w:val="000D7B11"/>
    <w:rsid w:val="000D7B8B"/>
    <w:rsid w:val="000D7C03"/>
    <w:rsid w:val="000D7CFB"/>
    <w:rsid w:val="000D7D05"/>
    <w:rsid w:val="000D7F06"/>
    <w:rsid w:val="000E0073"/>
    <w:rsid w:val="000E00A2"/>
    <w:rsid w:val="000E0132"/>
    <w:rsid w:val="000E013B"/>
    <w:rsid w:val="000E0168"/>
    <w:rsid w:val="000E0209"/>
    <w:rsid w:val="000E0226"/>
    <w:rsid w:val="000E027A"/>
    <w:rsid w:val="000E04B5"/>
    <w:rsid w:val="000E04C5"/>
    <w:rsid w:val="000E05CB"/>
    <w:rsid w:val="000E0650"/>
    <w:rsid w:val="000E0738"/>
    <w:rsid w:val="000E07C8"/>
    <w:rsid w:val="000E07EB"/>
    <w:rsid w:val="000E0817"/>
    <w:rsid w:val="000E081C"/>
    <w:rsid w:val="000E088C"/>
    <w:rsid w:val="000E0958"/>
    <w:rsid w:val="000E098C"/>
    <w:rsid w:val="000E09B4"/>
    <w:rsid w:val="000E09FB"/>
    <w:rsid w:val="000E0A48"/>
    <w:rsid w:val="000E0ACF"/>
    <w:rsid w:val="000E0BD4"/>
    <w:rsid w:val="000E0C6B"/>
    <w:rsid w:val="000E0D6D"/>
    <w:rsid w:val="000E0E6E"/>
    <w:rsid w:val="000E0E79"/>
    <w:rsid w:val="000E0EF0"/>
    <w:rsid w:val="000E0F39"/>
    <w:rsid w:val="000E0FBC"/>
    <w:rsid w:val="000E1056"/>
    <w:rsid w:val="000E10A2"/>
    <w:rsid w:val="000E120B"/>
    <w:rsid w:val="000E140C"/>
    <w:rsid w:val="000E143F"/>
    <w:rsid w:val="000E1502"/>
    <w:rsid w:val="000E1549"/>
    <w:rsid w:val="000E1594"/>
    <w:rsid w:val="000E15A0"/>
    <w:rsid w:val="000E15FD"/>
    <w:rsid w:val="000E16B3"/>
    <w:rsid w:val="000E176E"/>
    <w:rsid w:val="000E17B4"/>
    <w:rsid w:val="000E17DD"/>
    <w:rsid w:val="000E1872"/>
    <w:rsid w:val="000E18AF"/>
    <w:rsid w:val="000E18CC"/>
    <w:rsid w:val="000E1946"/>
    <w:rsid w:val="000E1974"/>
    <w:rsid w:val="000E19AC"/>
    <w:rsid w:val="000E19C2"/>
    <w:rsid w:val="000E1B70"/>
    <w:rsid w:val="000E1BC8"/>
    <w:rsid w:val="000E1C0F"/>
    <w:rsid w:val="000E1CD4"/>
    <w:rsid w:val="000E1D04"/>
    <w:rsid w:val="000E1D0F"/>
    <w:rsid w:val="000E1D1D"/>
    <w:rsid w:val="000E1E29"/>
    <w:rsid w:val="000E1E53"/>
    <w:rsid w:val="000E1E84"/>
    <w:rsid w:val="000E212E"/>
    <w:rsid w:val="000E2181"/>
    <w:rsid w:val="000E2251"/>
    <w:rsid w:val="000E2266"/>
    <w:rsid w:val="000E2268"/>
    <w:rsid w:val="000E2366"/>
    <w:rsid w:val="000E23B7"/>
    <w:rsid w:val="000E254E"/>
    <w:rsid w:val="000E2569"/>
    <w:rsid w:val="000E25AF"/>
    <w:rsid w:val="000E25E5"/>
    <w:rsid w:val="000E25EA"/>
    <w:rsid w:val="000E2686"/>
    <w:rsid w:val="000E2724"/>
    <w:rsid w:val="000E2788"/>
    <w:rsid w:val="000E2893"/>
    <w:rsid w:val="000E2A10"/>
    <w:rsid w:val="000E2A44"/>
    <w:rsid w:val="000E2B55"/>
    <w:rsid w:val="000E2B8D"/>
    <w:rsid w:val="000E2C4F"/>
    <w:rsid w:val="000E2C54"/>
    <w:rsid w:val="000E2C90"/>
    <w:rsid w:val="000E2CFB"/>
    <w:rsid w:val="000E2DE1"/>
    <w:rsid w:val="000E2E5C"/>
    <w:rsid w:val="000E2F4C"/>
    <w:rsid w:val="000E2F54"/>
    <w:rsid w:val="000E30EF"/>
    <w:rsid w:val="000E31D0"/>
    <w:rsid w:val="000E321E"/>
    <w:rsid w:val="000E32DF"/>
    <w:rsid w:val="000E33E1"/>
    <w:rsid w:val="000E3519"/>
    <w:rsid w:val="000E3523"/>
    <w:rsid w:val="000E3568"/>
    <w:rsid w:val="000E356B"/>
    <w:rsid w:val="000E35A2"/>
    <w:rsid w:val="000E3603"/>
    <w:rsid w:val="000E3695"/>
    <w:rsid w:val="000E36DE"/>
    <w:rsid w:val="000E36E0"/>
    <w:rsid w:val="000E3746"/>
    <w:rsid w:val="000E3862"/>
    <w:rsid w:val="000E39DF"/>
    <w:rsid w:val="000E3BB6"/>
    <w:rsid w:val="000E3D1A"/>
    <w:rsid w:val="000E3DAA"/>
    <w:rsid w:val="000E3DC6"/>
    <w:rsid w:val="000E3EB8"/>
    <w:rsid w:val="000E3FD1"/>
    <w:rsid w:val="000E40A9"/>
    <w:rsid w:val="000E40CD"/>
    <w:rsid w:val="000E411F"/>
    <w:rsid w:val="000E419E"/>
    <w:rsid w:val="000E41BF"/>
    <w:rsid w:val="000E435D"/>
    <w:rsid w:val="000E4425"/>
    <w:rsid w:val="000E44D1"/>
    <w:rsid w:val="000E4537"/>
    <w:rsid w:val="000E4593"/>
    <w:rsid w:val="000E462C"/>
    <w:rsid w:val="000E4675"/>
    <w:rsid w:val="000E4686"/>
    <w:rsid w:val="000E47D7"/>
    <w:rsid w:val="000E47F2"/>
    <w:rsid w:val="000E4816"/>
    <w:rsid w:val="000E48AC"/>
    <w:rsid w:val="000E4943"/>
    <w:rsid w:val="000E497A"/>
    <w:rsid w:val="000E49DC"/>
    <w:rsid w:val="000E49E4"/>
    <w:rsid w:val="000E4A5C"/>
    <w:rsid w:val="000E4A84"/>
    <w:rsid w:val="000E4A8E"/>
    <w:rsid w:val="000E4A98"/>
    <w:rsid w:val="000E4C14"/>
    <w:rsid w:val="000E4CA3"/>
    <w:rsid w:val="000E4D74"/>
    <w:rsid w:val="000E4DD7"/>
    <w:rsid w:val="000E4E00"/>
    <w:rsid w:val="000E4E06"/>
    <w:rsid w:val="000E4E8F"/>
    <w:rsid w:val="000E4EBE"/>
    <w:rsid w:val="000E4F6F"/>
    <w:rsid w:val="000E4F87"/>
    <w:rsid w:val="000E4FCB"/>
    <w:rsid w:val="000E5148"/>
    <w:rsid w:val="000E51F3"/>
    <w:rsid w:val="000E5201"/>
    <w:rsid w:val="000E52E6"/>
    <w:rsid w:val="000E536B"/>
    <w:rsid w:val="000E5450"/>
    <w:rsid w:val="000E5480"/>
    <w:rsid w:val="000E564F"/>
    <w:rsid w:val="000E565B"/>
    <w:rsid w:val="000E5680"/>
    <w:rsid w:val="000E56AC"/>
    <w:rsid w:val="000E56E8"/>
    <w:rsid w:val="000E56EE"/>
    <w:rsid w:val="000E5700"/>
    <w:rsid w:val="000E570B"/>
    <w:rsid w:val="000E581A"/>
    <w:rsid w:val="000E5876"/>
    <w:rsid w:val="000E58D1"/>
    <w:rsid w:val="000E5A0C"/>
    <w:rsid w:val="000E5BCE"/>
    <w:rsid w:val="000E5C48"/>
    <w:rsid w:val="000E5C70"/>
    <w:rsid w:val="000E5C7B"/>
    <w:rsid w:val="000E5CF2"/>
    <w:rsid w:val="000E5D7C"/>
    <w:rsid w:val="000E5D97"/>
    <w:rsid w:val="000E5DE0"/>
    <w:rsid w:val="000E5F3D"/>
    <w:rsid w:val="000E5FC2"/>
    <w:rsid w:val="000E5FEF"/>
    <w:rsid w:val="000E61BC"/>
    <w:rsid w:val="000E6455"/>
    <w:rsid w:val="000E6516"/>
    <w:rsid w:val="000E661D"/>
    <w:rsid w:val="000E67A2"/>
    <w:rsid w:val="000E67E7"/>
    <w:rsid w:val="000E6875"/>
    <w:rsid w:val="000E687B"/>
    <w:rsid w:val="000E68D7"/>
    <w:rsid w:val="000E6C96"/>
    <w:rsid w:val="000E6DD0"/>
    <w:rsid w:val="000E6E16"/>
    <w:rsid w:val="000E6F5A"/>
    <w:rsid w:val="000E6FBD"/>
    <w:rsid w:val="000E700C"/>
    <w:rsid w:val="000E7050"/>
    <w:rsid w:val="000E70A2"/>
    <w:rsid w:val="000E70E0"/>
    <w:rsid w:val="000E7126"/>
    <w:rsid w:val="000E7145"/>
    <w:rsid w:val="000E718D"/>
    <w:rsid w:val="000E7240"/>
    <w:rsid w:val="000E732C"/>
    <w:rsid w:val="000E738E"/>
    <w:rsid w:val="000E7396"/>
    <w:rsid w:val="000E7448"/>
    <w:rsid w:val="000E7579"/>
    <w:rsid w:val="000E7638"/>
    <w:rsid w:val="000E7686"/>
    <w:rsid w:val="000E77A3"/>
    <w:rsid w:val="000E796B"/>
    <w:rsid w:val="000E797A"/>
    <w:rsid w:val="000E798F"/>
    <w:rsid w:val="000E799B"/>
    <w:rsid w:val="000E79C0"/>
    <w:rsid w:val="000E7C20"/>
    <w:rsid w:val="000E7C58"/>
    <w:rsid w:val="000E7DBC"/>
    <w:rsid w:val="000E7FBD"/>
    <w:rsid w:val="000F0011"/>
    <w:rsid w:val="000F005B"/>
    <w:rsid w:val="000F008A"/>
    <w:rsid w:val="000F009A"/>
    <w:rsid w:val="000F024E"/>
    <w:rsid w:val="000F03BC"/>
    <w:rsid w:val="000F045A"/>
    <w:rsid w:val="000F0463"/>
    <w:rsid w:val="000F049E"/>
    <w:rsid w:val="000F051E"/>
    <w:rsid w:val="000F0535"/>
    <w:rsid w:val="000F0571"/>
    <w:rsid w:val="000F06BF"/>
    <w:rsid w:val="000F070E"/>
    <w:rsid w:val="000F07FD"/>
    <w:rsid w:val="000F0984"/>
    <w:rsid w:val="000F0B2C"/>
    <w:rsid w:val="000F0BE4"/>
    <w:rsid w:val="000F0DA5"/>
    <w:rsid w:val="000F0DEA"/>
    <w:rsid w:val="000F0EDE"/>
    <w:rsid w:val="000F104D"/>
    <w:rsid w:val="000F108E"/>
    <w:rsid w:val="000F112E"/>
    <w:rsid w:val="000F1134"/>
    <w:rsid w:val="000F11E7"/>
    <w:rsid w:val="000F131D"/>
    <w:rsid w:val="000F132C"/>
    <w:rsid w:val="000F139B"/>
    <w:rsid w:val="000F142D"/>
    <w:rsid w:val="000F1485"/>
    <w:rsid w:val="000F16BE"/>
    <w:rsid w:val="000F16C5"/>
    <w:rsid w:val="000F170D"/>
    <w:rsid w:val="000F1781"/>
    <w:rsid w:val="000F17CC"/>
    <w:rsid w:val="000F18D6"/>
    <w:rsid w:val="000F191D"/>
    <w:rsid w:val="000F1922"/>
    <w:rsid w:val="000F1A47"/>
    <w:rsid w:val="000F1A86"/>
    <w:rsid w:val="000F1A94"/>
    <w:rsid w:val="000F1AE7"/>
    <w:rsid w:val="000F1B36"/>
    <w:rsid w:val="000F1B44"/>
    <w:rsid w:val="000F1BEA"/>
    <w:rsid w:val="000F1CE2"/>
    <w:rsid w:val="000F202B"/>
    <w:rsid w:val="000F21CF"/>
    <w:rsid w:val="000F21F2"/>
    <w:rsid w:val="000F2239"/>
    <w:rsid w:val="000F2383"/>
    <w:rsid w:val="000F249A"/>
    <w:rsid w:val="000F2552"/>
    <w:rsid w:val="000F266D"/>
    <w:rsid w:val="000F26CB"/>
    <w:rsid w:val="000F27FF"/>
    <w:rsid w:val="000F2827"/>
    <w:rsid w:val="000F28B5"/>
    <w:rsid w:val="000F28F1"/>
    <w:rsid w:val="000F293A"/>
    <w:rsid w:val="000F29F6"/>
    <w:rsid w:val="000F29FF"/>
    <w:rsid w:val="000F2B4D"/>
    <w:rsid w:val="000F2BBB"/>
    <w:rsid w:val="000F2C4C"/>
    <w:rsid w:val="000F2D43"/>
    <w:rsid w:val="000F2FC7"/>
    <w:rsid w:val="000F2FEF"/>
    <w:rsid w:val="000F30A6"/>
    <w:rsid w:val="000F30BD"/>
    <w:rsid w:val="000F3211"/>
    <w:rsid w:val="000F325A"/>
    <w:rsid w:val="000F327B"/>
    <w:rsid w:val="000F3297"/>
    <w:rsid w:val="000F33B6"/>
    <w:rsid w:val="000F33CB"/>
    <w:rsid w:val="000F33E2"/>
    <w:rsid w:val="000F34CB"/>
    <w:rsid w:val="000F35B1"/>
    <w:rsid w:val="000F3602"/>
    <w:rsid w:val="000F368E"/>
    <w:rsid w:val="000F3788"/>
    <w:rsid w:val="000F384B"/>
    <w:rsid w:val="000F388B"/>
    <w:rsid w:val="000F3A3C"/>
    <w:rsid w:val="000F3B38"/>
    <w:rsid w:val="000F3BF7"/>
    <w:rsid w:val="000F3C83"/>
    <w:rsid w:val="000F3CE7"/>
    <w:rsid w:val="000F3DC4"/>
    <w:rsid w:val="000F3E21"/>
    <w:rsid w:val="000F3E71"/>
    <w:rsid w:val="000F3E7E"/>
    <w:rsid w:val="000F3EB6"/>
    <w:rsid w:val="000F4014"/>
    <w:rsid w:val="000F4126"/>
    <w:rsid w:val="000F4127"/>
    <w:rsid w:val="000F41A4"/>
    <w:rsid w:val="000F4340"/>
    <w:rsid w:val="000F44C7"/>
    <w:rsid w:val="000F4563"/>
    <w:rsid w:val="000F46B9"/>
    <w:rsid w:val="000F4736"/>
    <w:rsid w:val="000F474B"/>
    <w:rsid w:val="000F4780"/>
    <w:rsid w:val="000F49C0"/>
    <w:rsid w:val="000F4D55"/>
    <w:rsid w:val="000F4D5C"/>
    <w:rsid w:val="000F4DDC"/>
    <w:rsid w:val="000F4E7C"/>
    <w:rsid w:val="000F4F3C"/>
    <w:rsid w:val="000F4F66"/>
    <w:rsid w:val="000F4F82"/>
    <w:rsid w:val="000F4FD3"/>
    <w:rsid w:val="000F5054"/>
    <w:rsid w:val="000F50BD"/>
    <w:rsid w:val="000F51B0"/>
    <w:rsid w:val="000F51E4"/>
    <w:rsid w:val="000F5217"/>
    <w:rsid w:val="000F5364"/>
    <w:rsid w:val="000F53C0"/>
    <w:rsid w:val="000F54A8"/>
    <w:rsid w:val="000F54F1"/>
    <w:rsid w:val="000F552A"/>
    <w:rsid w:val="000F5664"/>
    <w:rsid w:val="000F56E3"/>
    <w:rsid w:val="000F57B0"/>
    <w:rsid w:val="000F5839"/>
    <w:rsid w:val="000F592A"/>
    <w:rsid w:val="000F5B02"/>
    <w:rsid w:val="000F5B68"/>
    <w:rsid w:val="000F5C52"/>
    <w:rsid w:val="000F5CE6"/>
    <w:rsid w:val="000F5DC8"/>
    <w:rsid w:val="000F5E4F"/>
    <w:rsid w:val="000F5E64"/>
    <w:rsid w:val="000F5F28"/>
    <w:rsid w:val="000F5FC3"/>
    <w:rsid w:val="000F61F2"/>
    <w:rsid w:val="000F6277"/>
    <w:rsid w:val="000F6471"/>
    <w:rsid w:val="000F65E3"/>
    <w:rsid w:val="000F67B8"/>
    <w:rsid w:val="000F6873"/>
    <w:rsid w:val="000F6913"/>
    <w:rsid w:val="000F6993"/>
    <w:rsid w:val="000F6AC3"/>
    <w:rsid w:val="000F6B0C"/>
    <w:rsid w:val="000F6B86"/>
    <w:rsid w:val="000F6CD5"/>
    <w:rsid w:val="000F6D04"/>
    <w:rsid w:val="000F6D7E"/>
    <w:rsid w:val="000F6E88"/>
    <w:rsid w:val="000F6EEE"/>
    <w:rsid w:val="000F6F51"/>
    <w:rsid w:val="000F6F73"/>
    <w:rsid w:val="000F6FB1"/>
    <w:rsid w:val="000F6FEA"/>
    <w:rsid w:val="000F702A"/>
    <w:rsid w:val="000F70AF"/>
    <w:rsid w:val="000F7138"/>
    <w:rsid w:val="000F71E9"/>
    <w:rsid w:val="000F73A1"/>
    <w:rsid w:val="000F7423"/>
    <w:rsid w:val="000F74AD"/>
    <w:rsid w:val="000F74F8"/>
    <w:rsid w:val="000F75D4"/>
    <w:rsid w:val="000F75FF"/>
    <w:rsid w:val="000F7652"/>
    <w:rsid w:val="000F767B"/>
    <w:rsid w:val="000F76F1"/>
    <w:rsid w:val="000F7785"/>
    <w:rsid w:val="000F778A"/>
    <w:rsid w:val="000F77EF"/>
    <w:rsid w:val="000F77F7"/>
    <w:rsid w:val="000F7815"/>
    <w:rsid w:val="000F79D2"/>
    <w:rsid w:val="000F79FE"/>
    <w:rsid w:val="000F7A1D"/>
    <w:rsid w:val="000F7A9B"/>
    <w:rsid w:val="000F7AC3"/>
    <w:rsid w:val="000F7AC5"/>
    <w:rsid w:val="000F7B90"/>
    <w:rsid w:val="000F7B9B"/>
    <w:rsid w:val="000F7C06"/>
    <w:rsid w:val="000F7C9D"/>
    <w:rsid w:val="000F7D3D"/>
    <w:rsid w:val="000F7D8B"/>
    <w:rsid w:val="000F7DA5"/>
    <w:rsid w:val="000F7E71"/>
    <w:rsid w:val="000F7ED9"/>
    <w:rsid w:val="000F7F29"/>
    <w:rsid w:val="000F7FA5"/>
    <w:rsid w:val="000F7FD6"/>
    <w:rsid w:val="0010000F"/>
    <w:rsid w:val="00100064"/>
    <w:rsid w:val="00100081"/>
    <w:rsid w:val="001000FA"/>
    <w:rsid w:val="00100119"/>
    <w:rsid w:val="00100253"/>
    <w:rsid w:val="001002D1"/>
    <w:rsid w:val="001002F3"/>
    <w:rsid w:val="00100360"/>
    <w:rsid w:val="001003DA"/>
    <w:rsid w:val="001005A1"/>
    <w:rsid w:val="0010064D"/>
    <w:rsid w:val="00100719"/>
    <w:rsid w:val="001009F2"/>
    <w:rsid w:val="00100BA8"/>
    <w:rsid w:val="00100C86"/>
    <w:rsid w:val="00100CC9"/>
    <w:rsid w:val="00100CD3"/>
    <w:rsid w:val="00100D32"/>
    <w:rsid w:val="00100DCA"/>
    <w:rsid w:val="00100E27"/>
    <w:rsid w:val="00100E29"/>
    <w:rsid w:val="00100F5F"/>
    <w:rsid w:val="00101042"/>
    <w:rsid w:val="001010F6"/>
    <w:rsid w:val="001011ED"/>
    <w:rsid w:val="0010130C"/>
    <w:rsid w:val="001013AA"/>
    <w:rsid w:val="001013E6"/>
    <w:rsid w:val="00101824"/>
    <w:rsid w:val="00101876"/>
    <w:rsid w:val="001018DA"/>
    <w:rsid w:val="001018F7"/>
    <w:rsid w:val="00101918"/>
    <w:rsid w:val="0010197B"/>
    <w:rsid w:val="00101996"/>
    <w:rsid w:val="001019F7"/>
    <w:rsid w:val="00101A34"/>
    <w:rsid w:val="00101A37"/>
    <w:rsid w:val="00101A76"/>
    <w:rsid w:val="00101B38"/>
    <w:rsid w:val="00101BF7"/>
    <w:rsid w:val="00101C2C"/>
    <w:rsid w:val="00101CC5"/>
    <w:rsid w:val="00101FCA"/>
    <w:rsid w:val="0010205A"/>
    <w:rsid w:val="001020EA"/>
    <w:rsid w:val="001020FF"/>
    <w:rsid w:val="001021C4"/>
    <w:rsid w:val="00102256"/>
    <w:rsid w:val="001024A2"/>
    <w:rsid w:val="001024FA"/>
    <w:rsid w:val="00102531"/>
    <w:rsid w:val="00102589"/>
    <w:rsid w:val="0010269B"/>
    <w:rsid w:val="001026DD"/>
    <w:rsid w:val="00102742"/>
    <w:rsid w:val="0010279D"/>
    <w:rsid w:val="0010297B"/>
    <w:rsid w:val="00102995"/>
    <w:rsid w:val="00102A44"/>
    <w:rsid w:val="00102AB0"/>
    <w:rsid w:val="00102AC8"/>
    <w:rsid w:val="00102B16"/>
    <w:rsid w:val="00102BD5"/>
    <w:rsid w:val="00102BE7"/>
    <w:rsid w:val="00102C23"/>
    <w:rsid w:val="00102D67"/>
    <w:rsid w:val="00102DE4"/>
    <w:rsid w:val="00102DF0"/>
    <w:rsid w:val="00102E9B"/>
    <w:rsid w:val="001030B9"/>
    <w:rsid w:val="0010310A"/>
    <w:rsid w:val="00103178"/>
    <w:rsid w:val="001031A8"/>
    <w:rsid w:val="00103496"/>
    <w:rsid w:val="001034CD"/>
    <w:rsid w:val="00103569"/>
    <w:rsid w:val="0010358A"/>
    <w:rsid w:val="0010358E"/>
    <w:rsid w:val="001035C9"/>
    <w:rsid w:val="001035D2"/>
    <w:rsid w:val="001035E0"/>
    <w:rsid w:val="0010360C"/>
    <w:rsid w:val="001036DD"/>
    <w:rsid w:val="001037EC"/>
    <w:rsid w:val="0010390D"/>
    <w:rsid w:val="00103973"/>
    <w:rsid w:val="00103BC9"/>
    <w:rsid w:val="00103BCC"/>
    <w:rsid w:val="00103C81"/>
    <w:rsid w:val="00103C90"/>
    <w:rsid w:val="00103F71"/>
    <w:rsid w:val="00104066"/>
    <w:rsid w:val="001041BB"/>
    <w:rsid w:val="001041E0"/>
    <w:rsid w:val="0010421D"/>
    <w:rsid w:val="0010439D"/>
    <w:rsid w:val="001043EB"/>
    <w:rsid w:val="001043EE"/>
    <w:rsid w:val="00104465"/>
    <w:rsid w:val="00104481"/>
    <w:rsid w:val="00104567"/>
    <w:rsid w:val="001046B7"/>
    <w:rsid w:val="001046E3"/>
    <w:rsid w:val="00104722"/>
    <w:rsid w:val="0010485B"/>
    <w:rsid w:val="00104870"/>
    <w:rsid w:val="001048D0"/>
    <w:rsid w:val="00104990"/>
    <w:rsid w:val="001049B1"/>
    <w:rsid w:val="001049C3"/>
    <w:rsid w:val="00104A85"/>
    <w:rsid w:val="00104A95"/>
    <w:rsid w:val="00104B20"/>
    <w:rsid w:val="00104B8A"/>
    <w:rsid w:val="00104BFA"/>
    <w:rsid w:val="00104C15"/>
    <w:rsid w:val="00104C9F"/>
    <w:rsid w:val="00104CC0"/>
    <w:rsid w:val="00104DC8"/>
    <w:rsid w:val="00104E1A"/>
    <w:rsid w:val="00104F40"/>
    <w:rsid w:val="00104FFA"/>
    <w:rsid w:val="00104FFF"/>
    <w:rsid w:val="001050C0"/>
    <w:rsid w:val="00105236"/>
    <w:rsid w:val="0010525F"/>
    <w:rsid w:val="00105265"/>
    <w:rsid w:val="00105266"/>
    <w:rsid w:val="001052C8"/>
    <w:rsid w:val="001052D0"/>
    <w:rsid w:val="00105324"/>
    <w:rsid w:val="0010532E"/>
    <w:rsid w:val="0010548E"/>
    <w:rsid w:val="00105524"/>
    <w:rsid w:val="001057D4"/>
    <w:rsid w:val="001057EE"/>
    <w:rsid w:val="00105894"/>
    <w:rsid w:val="001058A2"/>
    <w:rsid w:val="001058F0"/>
    <w:rsid w:val="001059F1"/>
    <w:rsid w:val="00105B33"/>
    <w:rsid w:val="00105B67"/>
    <w:rsid w:val="00105BDA"/>
    <w:rsid w:val="00105DAE"/>
    <w:rsid w:val="00105EC4"/>
    <w:rsid w:val="00105F24"/>
    <w:rsid w:val="00105F5B"/>
    <w:rsid w:val="00105F8F"/>
    <w:rsid w:val="00106012"/>
    <w:rsid w:val="001060A6"/>
    <w:rsid w:val="00106137"/>
    <w:rsid w:val="00106228"/>
    <w:rsid w:val="0010629C"/>
    <w:rsid w:val="0010641E"/>
    <w:rsid w:val="00106469"/>
    <w:rsid w:val="001064AD"/>
    <w:rsid w:val="001064B6"/>
    <w:rsid w:val="001064E3"/>
    <w:rsid w:val="0010671F"/>
    <w:rsid w:val="0010681E"/>
    <w:rsid w:val="00106891"/>
    <w:rsid w:val="001068C7"/>
    <w:rsid w:val="0010694A"/>
    <w:rsid w:val="00106988"/>
    <w:rsid w:val="00106B33"/>
    <w:rsid w:val="00106B48"/>
    <w:rsid w:val="00106BBA"/>
    <w:rsid w:val="00106C10"/>
    <w:rsid w:val="00106D50"/>
    <w:rsid w:val="00106E83"/>
    <w:rsid w:val="00106F02"/>
    <w:rsid w:val="00106F1A"/>
    <w:rsid w:val="00106F75"/>
    <w:rsid w:val="00106FA7"/>
    <w:rsid w:val="001070D7"/>
    <w:rsid w:val="00107135"/>
    <w:rsid w:val="0010727C"/>
    <w:rsid w:val="001072C6"/>
    <w:rsid w:val="0010730E"/>
    <w:rsid w:val="0010733D"/>
    <w:rsid w:val="00107359"/>
    <w:rsid w:val="00107409"/>
    <w:rsid w:val="0010770B"/>
    <w:rsid w:val="00107778"/>
    <w:rsid w:val="00107800"/>
    <w:rsid w:val="0010782D"/>
    <w:rsid w:val="0010783B"/>
    <w:rsid w:val="00107866"/>
    <w:rsid w:val="00107943"/>
    <w:rsid w:val="00107A7F"/>
    <w:rsid w:val="00107AB9"/>
    <w:rsid w:val="00107AD3"/>
    <w:rsid w:val="00107B25"/>
    <w:rsid w:val="00107B35"/>
    <w:rsid w:val="00107BFD"/>
    <w:rsid w:val="00107C75"/>
    <w:rsid w:val="00107EAA"/>
    <w:rsid w:val="00107F93"/>
    <w:rsid w:val="00107FE1"/>
    <w:rsid w:val="00107FED"/>
    <w:rsid w:val="001100CB"/>
    <w:rsid w:val="001101AE"/>
    <w:rsid w:val="001101F2"/>
    <w:rsid w:val="00110329"/>
    <w:rsid w:val="00110524"/>
    <w:rsid w:val="00110553"/>
    <w:rsid w:val="0011055F"/>
    <w:rsid w:val="001106D3"/>
    <w:rsid w:val="001106DF"/>
    <w:rsid w:val="0011078C"/>
    <w:rsid w:val="001108F8"/>
    <w:rsid w:val="0011098B"/>
    <w:rsid w:val="00110AA6"/>
    <w:rsid w:val="00110ABB"/>
    <w:rsid w:val="00110AF7"/>
    <w:rsid w:val="00110B27"/>
    <w:rsid w:val="00110B4C"/>
    <w:rsid w:val="00110CA7"/>
    <w:rsid w:val="00110D96"/>
    <w:rsid w:val="00110E2C"/>
    <w:rsid w:val="00110E4E"/>
    <w:rsid w:val="00110E93"/>
    <w:rsid w:val="00110E9D"/>
    <w:rsid w:val="00110EA0"/>
    <w:rsid w:val="00111021"/>
    <w:rsid w:val="001110B0"/>
    <w:rsid w:val="001110C9"/>
    <w:rsid w:val="001111BE"/>
    <w:rsid w:val="00111208"/>
    <w:rsid w:val="0011127B"/>
    <w:rsid w:val="0011145F"/>
    <w:rsid w:val="00111484"/>
    <w:rsid w:val="00111528"/>
    <w:rsid w:val="00111557"/>
    <w:rsid w:val="001116AB"/>
    <w:rsid w:val="001116D2"/>
    <w:rsid w:val="001116F3"/>
    <w:rsid w:val="001117A0"/>
    <w:rsid w:val="001117CB"/>
    <w:rsid w:val="00111821"/>
    <w:rsid w:val="00111849"/>
    <w:rsid w:val="0011190A"/>
    <w:rsid w:val="00111B14"/>
    <w:rsid w:val="00111BFF"/>
    <w:rsid w:val="00111C5A"/>
    <w:rsid w:val="00111C73"/>
    <w:rsid w:val="00111D22"/>
    <w:rsid w:val="00111E0F"/>
    <w:rsid w:val="00111E8C"/>
    <w:rsid w:val="00111FB5"/>
    <w:rsid w:val="0011201E"/>
    <w:rsid w:val="001120E7"/>
    <w:rsid w:val="00112156"/>
    <w:rsid w:val="0011221A"/>
    <w:rsid w:val="0011221E"/>
    <w:rsid w:val="001122E9"/>
    <w:rsid w:val="001123DD"/>
    <w:rsid w:val="0011251C"/>
    <w:rsid w:val="001125DF"/>
    <w:rsid w:val="00112651"/>
    <w:rsid w:val="0011268B"/>
    <w:rsid w:val="00112698"/>
    <w:rsid w:val="00112772"/>
    <w:rsid w:val="00112831"/>
    <w:rsid w:val="00112895"/>
    <w:rsid w:val="001128E8"/>
    <w:rsid w:val="00112959"/>
    <w:rsid w:val="001129B1"/>
    <w:rsid w:val="00112B2A"/>
    <w:rsid w:val="00112B80"/>
    <w:rsid w:val="00112BDF"/>
    <w:rsid w:val="00112C79"/>
    <w:rsid w:val="00112D29"/>
    <w:rsid w:val="00112D70"/>
    <w:rsid w:val="00112EAE"/>
    <w:rsid w:val="00112F8B"/>
    <w:rsid w:val="00112F9A"/>
    <w:rsid w:val="00112F9D"/>
    <w:rsid w:val="0011303B"/>
    <w:rsid w:val="00113079"/>
    <w:rsid w:val="001130DD"/>
    <w:rsid w:val="00113118"/>
    <w:rsid w:val="0011316D"/>
    <w:rsid w:val="00113195"/>
    <w:rsid w:val="0011327D"/>
    <w:rsid w:val="001132C7"/>
    <w:rsid w:val="001132D3"/>
    <w:rsid w:val="0011330B"/>
    <w:rsid w:val="001133C8"/>
    <w:rsid w:val="001133F1"/>
    <w:rsid w:val="001133F6"/>
    <w:rsid w:val="00113434"/>
    <w:rsid w:val="00113542"/>
    <w:rsid w:val="00113639"/>
    <w:rsid w:val="0011365A"/>
    <w:rsid w:val="0011376D"/>
    <w:rsid w:val="0011376F"/>
    <w:rsid w:val="00113939"/>
    <w:rsid w:val="00113949"/>
    <w:rsid w:val="00113996"/>
    <w:rsid w:val="00113A55"/>
    <w:rsid w:val="00113B1D"/>
    <w:rsid w:val="00113B3F"/>
    <w:rsid w:val="00113B77"/>
    <w:rsid w:val="00113BA1"/>
    <w:rsid w:val="00113C0A"/>
    <w:rsid w:val="00113C1A"/>
    <w:rsid w:val="00113C31"/>
    <w:rsid w:val="00113C87"/>
    <w:rsid w:val="00113C8D"/>
    <w:rsid w:val="00113D01"/>
    <w:rsid w:val="00113D52"/>
    <w:rsid w:val="00113D66"/>
    <w:rsid w:val="00113E77"/>
    <w:rsid w:val="00113EB2"/>
    <w:rsid w:val="00113FBA"/>
    <w:rsid w:val="0011400E"/>
    <w:rsid w:val="00114046"/>
    <w:rsid w:val="00114122"/>
    <w:rsid w:val="0011417C"/>
    <w:rsid w:val="001141EA"/>
    <w:rsid w:val="00114204"/>
    <w:rsid w:val="00114262"/>
    <w:rsid w:val="0011426B"/>
    <w:rsid w:val="0011429E"/>
    <w:rsid w:val="001142F9"/>
    <w:rsid w:val="00114380"/>
    <w:rsid w:val="00114413"/>
    <w:rsid w:val="0011465D"/>
    <w:rsid w:val="001146D9"/>
    <w:rsid w:val="0011475D"/>
    <w:rsid w:val="00114866"/>
    <w:rsid w:val="001148D2"/>
    <w:rsid w:val="00114964"/>
    <w:rsid w:val="00114A02"/>
    <w:rsid w:val="00114A63"/>
    <w:rsid w:val="00114A64"/>
    <w:rsid w:val="00114A70"/>
    <w:rsid w:val="00114AC0"/>
    <w:rsid w:val="00114B6A"/>
    <w:rsid w:val="00114BBA"/>
    <w:rsid w:val="00114D56"/>
    <w:rsid w:val="00114DA2"/>
    <w:rsid w:val="00114DAB"/>
    <w:rsid w:val="00114DE6"/>
    <w:rsid w:val="00114DEB"/>
    <w:rsid w:val="00114EE2"/>
    <w:rsid w:val="00114F62"/>
    <w:rsid w:val="00115002"/>
    <w:rsid w:val="00115065"/>
    <w:rsid w:val="001150B4"/>
    <w:rsid w:val="00115174"/>
    <w:rsid w:val="001151A8"/>
    <w:rsid w:val="001151BF"/>
    <w:rsid w:val="00115241"/>
    <w:rsid w:val="00115284"/>
    <w:rsid w:val="001152B7"/>
    <w:rsid w:val="0011534B"/>
    <w:rsid w:val="0011534F"/>
    <w:rsid w:val="001153D0"/>
    <w:rsid w:val="001153E0"/>
    <w:rsid w:val="00115504"/>
    <w:rsid w:val="0011551A"/>
    <w:rsid w:val="00115616"/>
    <w:rsid w:val="0011565B"/>
    <w:rsid w:val="0011568D"/>
    <w:rsid w:val="001156C6"/>
    <w:rsid w:val="0011570C"/>
    <w:rsid w:val="00115790"/>
    <w:rsid w:val="00115823"/>
    <w:rsid w:val="0011591D"/>
    <w:rsid w:val="0011596C"/>
    <w:rsid w:val="00115A9F"/>
    <w:rsid w:val="00115B0B"/>
    <w:rsid w:val="00115B72"/>
    <w:rsid w:val="00115BDF"/>
    <w:rsid w:val="00115C02"/>
    <w:rsid w:val="00115CF6"/>
    <w:rsid w:val="00115ED5"/>
    <w:rsid w:val="00116140"/>
    <w:rsid w:val="001161C8"/>
    <w:rsid w:val="00116308"/>
    <w:rsid w:val="001163A9"/>
    <w:rsid w:val="0011648A"/>
    <w:rsid w:val="001165FE"/>
    <w:rsid w:val="00116618"/>
    <w:rsid w:val="00116710"/>
    <w:rsid w:val="00116786"/>
    <w:rsid w:val="0011678C"/>
    <w:rsid w:val="001167D4"/>
    <w:rsid w:val="00116827"/>
    <w:rsid w:val="0011682D"/>
    <w:rsid w:val="0011687C"/>
    <w:rsid w:val="0011690F"/>
    <w:rsid w:val="0011692C"/>
    <w:rsid w:val="0011695B"/>
    <w:rsid w:val="00116A5B"/>
    <w:rsid w:val="00116A6D"/>
    <w:rsid w:val="00116B14"/>
    <w:rsid w:val="00116BCB"/>
    <w:rsid w:val="00116C15"/>
    <w:rsid w:val="00116C43"/>
    <w:rsid w:val="00116C95"/>
    <w:rsid w:val="00116DE8"/>
    <w:rsid w:val="00116E11"/>
    <w:rsid w:val="00116E2F"/>
    <w:rsid w:val="00116E66"/>
    <w:rsid w:val="00116ECE"/>
    <w:rsid w:val="00117044"/>
    <w:rsid w:val="001170C9"/>
    <w:rsid w:val="00117195"/>
    <w:rsid w:val="0011737B"/>
    <w:rsid w:val="001173D6"/>
    <w:rsid w:val="001173DE"/>
    <w:rsid w:val="00117437"/>
    <w:rsid w:val="0011760C"/>
    <w:rsid w:val="001176C7"/>
    <w:rsid w:val="001176EA"/>
    <w:rsid w:val="001176F6"/>
    <w:rsid w:val="00117711"/>
    <w:rsid w:val="00117806"/>
    <w:rsid w:val="00117848"/>
    <w:rsid w:val="001178BD"/>
    <w:rsid w:val="00117A53"/>
    <w:rsid w:val="00117B3D"/>
    <w:rsid w:val="00117C24"/>
    <w:rsid w:val="00117C39"/>
    <w:rsid w:val="00117C3A"/>
    <w:rsid w:val="00117C4F"/>
    <w:rsid w:val="00117C58"/>
    <w:rsid w:val="00117CE9"/>
    <w:rsid w:val="00117E58"/>
    <w:rsid w:val="00117F61"/>
    <w:rsid w:val="00117FA5"/>
    <w:rsid w:val="00117FB7"/>
    <w:rsid w:val="00120033"/>
    <w:rsid w:val="0012007C"/>
    <w:rsid w:val="0012013B"/>
    <w:rsid w:val="00120145"/>
    <w:rsid w:val="0012033F"/>
    <w:rsid w:val="00120391"/>
    <w:rsid w:val="001203BE"/>
    <w:rsid w:val="00120400"/>
    <w:rsid w:val="001204EB"/>
    <w:rsid w:val="001205DC"/>
    <w:rsid w:val="001205EA"/>
    <w:rsid w:val="00120620"/>
    <w:rsid w:val="00120627"/>
    <w:rsid w:val="00120679"/>
    <w:rsid w:val="001206DA"/>
    <w:rsid w:val="00120718"/>
    <w:rsid w:val="0012076B"/>
    <w:rsid w:val="0012088B"/>
    <w:rsid w:val="001208BD"/>
    <w:rsid w:val="00120AE9"/>
    <w:rsid w:val="00120B64"/>
    <w:rsid w:val="00120C0B"/>
    <w:rsid w:val="00120C35"/>
    <w:rsid w:val="00120C5D"/>
    <w:rsid w:val="00120D3C"/>
    <w:rsid w:val="00120E81"/>
    <w:rsid w:val="00120F0D"/>
    <w:rsid w:val="00120F3F"/>
    <w:rsid w:val="00120F71"/>
    <w:rsid w:val="00120F72"/>
    <w:rsid w:val="00121116"/>
    <w:rsid w:val="001211B3"/>
    <w:rsid w:val="00121328"/>
    <w:rsid w:val="00121522"/>
    <w:rsid w:val="0012152A"/>
    <w:rsid w:val="0012154E"/>
    <w:rsid w:val="0012158F"/>
    <w:rsid w:val="001215BC"/>
    <w:rsid w:val="001215F5"/>
    <w:rsid w:val="00121662"/>
    <w:rsid w:val="0012168D"/>
    <w:rsid w:val="00121715"/>
    <w:rsid w:val="00121820"/>
    <w:rsid w:val="0012194A"/>
    <w:rsid w:val="001219BE"/>
    <w:rsid w:val="00121A14"/>
    <w:rsid w:val="00121A45"/>
    <w:rsid w:val="00121AF6"/>
    <w:rsid w:val="00121B25"/>
    <w:rsid w:val="00121D3A"/>
    <w:rsid w:val="00121D59"/>
    <w:rsid w:val="00121FAF"/>
    <w:rsid w:val="00121FBF"/>
    <w:rsid w:val="00122007"/>
    <w:rsid w:val="00122065"/>
    <w:rsid w:val="0012206C"/>
    <w:rsid w:val="0012209A"/>
    <w:rsid w:val="0012215E"/>
    <w:rsid w:val="001221AE"/>
    <w:rsid w:val="001221BF"/>
    <w:rsid w:val="001221CF"/>
    <w:rsid w:val="001222D4"/>
    <w:rsid w:val="001222F5"/>
    <w:rsid w:val="00122501"/>
    <w:rsid w:val="0012251A"/>
    <w:rsid w:val="00122538"/>
    <w:rsid w:val="00122556"/>
    <w:rsid w:val="001226F5"/>
    <w:rsid w:val="0012272E"/>
    <w:rsid w:val="00122751"/>
    <w:rsid w:val="00122769"/>
    <w:rsid w:val="001227F6"/>
    <w:rsid w:val="001227FF"/>
    <w:rsid w:val="00122897"/>
    <w:rsid w:val="0012289A"/>
    <w:rsid w:val="00122923"/>
    <w:rsid w:val="00122A20"/>
    <w:rsid w:val="00122A8D"/>
    <w:rsid w:val="00122C95"/>
    <w:rsid w:val="00122D84"/>
    <w:rsid w:val="00122DF8"/>
    <w:rsid w:val="00122E0E"/>
    <w:rsid w:val="00122E42"/>
    <w:rsid w:val="00122E4D"/>
    <w:rsid w:val="00122E54"/>
    <w:rsid w:val="00122E9F"/>
    <w:rsid w:val="00122F02"/>
    <w:rsid w:val="00122F18"/>
    <w:rsid w:val="00122F7C"/>
    <w:rsid w:val="0012302C"/>
    <w:rsid w:val="001230DE"/>
    <w:rsid w:val="00123296"/>
    <w:rsid w:val="0012352B"/>
    <w:rsid w:val="00123555"/>
    <w:rsid w:val="00123615"/>
    <w:rsid w:val="001237C3"/>
    <w:rsid w:val="0012380B"/>
    <w:rsid w:val="001238C9"/>
    <w:rsid w:val="001238DD"/>
    <w:rsid w:val="00123A50"/>
    <w:rsid w:val="00123A77"/>
    <w:rsid w:val="00123C11"/>
    <w:rsid w:val="00123CC4"/>
    <w:rsid w:val="00123DD0"/>
    <w:rsid w:val="00123F50"/>
    <w:rsid w:val="001240F8"/>
    <w:rsid w:val="00124169"/>
    <w:rsid w:val="00124193"/>
    <w:rsid w:val="001241DF"/>
    <w:rsid w:val="001242DA"/>
    <w:rsid w:val="00124359"/>
    <w:rsid w:val="0012438D"/>
    <w:rsid w:val="0012441B"/>
    <w:rsid w:val="0012447B"/>
    <w:rsid w:val="00124524"/>
    <w:rsid w:val="00124562"/>
    <w:rsid w:val="001245A9"/>
    <w:rsid w:val="001245DF"/>
    <w:rsid w:val="001247A9"/>
    <w:rsid w:val="001248A5"/>
    <w:rsid w:val="00124983"/>
    <w:rsid w:val="001249E9"/>
    <w:rsid w:val="00124BB7"/>
    <w:rsid w:val="00124C76"/>
    <w:rsid w:val="00124CA8"/>
    <w:rsid w:val="00124CD5"/>
    <w:rsid w:val="00124D2D"/>
    <w:rsid w:val="00124DCE"/>
    <w:rsid w:val="00124DFE"/>
    <w:rsid w:val="00124E4A"/>
    <w:rsid w:val="00124E95"/>
    <w:rsid w:val="00124F17"/>
    <w:rsid w:val="00124F4B"/>
    <w:rsid w:val="00124F56"/>
    <w:rsid w:val="00125077"/>
    <w:rsid w:val="001250BC"/>
    <w:rsid w:val="001250BE"/>
    <w:rsid w:val="001250C6"/>
    <w:rsid w:val="001250F6"/>
    <w:rsid w:val="00125115"/>
    <w:rsid w:val="0012514D"/>
    <w:rsid w:val="00125204"/>
    <w:rsid w:val="001252F8"/>
    <w:rsid w:val="00125329"/>
    <w:rsid w:val="0012538B"/>
    <w:rsid w:val="001253CE"/>
    <w:rsid w:val="00125483"/>
    <w:rsid w:val="00125518"/>
    <w:rsid w:val="0012553B"/>
    <w:rsid w:val="001256C9"/>
    <w:rsid w:val="00125760"/>
    <w:rsid w:val="0012589F"/>
    <w:rsid w:val="001258A6"/>
    <w:rsid w:val="001258D8"/>
    <w:rsid w:val="001258FD"/>
    <w:rsid w:val="00125910"/>
    <w:rsid w:val="001259F7"/>
    <w:rsid w:val="00125A33"/>
    <w:rsid w:val="00125A7C"/>
    <w:rsid w:val="00125C2E"/>
    <w:rsid w:val="00125C6D"/>
    <w:rsid w:val="00125C78"/>
    <w:rsid w:val="00125C96"/>
    <w:rsid w:val="00125E75"/>
    <w:rsid w:val="00125F07"/>
    <w:rsid w:val="00125F22"/>
    <w:rsid w:val="00125F3A"/>
    <w:rsid w:val="00125F80"/>
    <w:rsid w:val="00125FDE"/>
    <w:rsid w:val="00125FF0"/>
    <w:rsid w:val="00126119"/>
    <w:rsid w:val="001261B4"/>
    <w:rsid w:val="00126264"/>
    <w:rsid w:val="001263BB"/>
    <w:rsid w:val="00126424"/>
    <w:rsid w:val="0012648D"/>
    <w:rsid w:val="00126514"/>
    <w:rsid w:val="00126536"/>
    <w:rsid w:val="00126548"/>
    <w:rsid w:val="0012668C"/>
    <w:rsid w:val="00126774"/>
    <w:rsid w:val="001267FE"/>
    <w:rsid w:val="00126912"/>
    <w:rsid w:val="00126938"/>
    <w:rsid w:val="00126987"/>
    <w:rsid w:val="00126A64"/>
    <w:rsid w:val="00126A84"/>
    <w:rsid w:val="00126BF5"/>
    <w:rsid w:val="00126CA0"/>
    <w:rsid w:val="00126CA5"/>
    <w:rsid w:val="00126DC8"/>
    <w:rsid w:val="00126EAB"/>
    <w:rsid w:val="00127079"/>
    <w:rsid w:val="001270FF"/>
    <w:rsid w:val="00127180"/>
    <w:rsid w:val="0012718C"/>
    <w:rsid w:val="00127218"/>
    <w:rsid w:val="00127230"/>
    <w:rsid w:val="00127237"/>
    <w:rsid w:val="00127281"/>
    <w:rsid w:val="001272E2"/>
    <w:rsid w:val="0012735F"/>
    <w:rsid w:val="00127367"/>
    <w:rsid w:val="00127437"/>
    <w:rsid w:val="0012757A"/>
    <w:rsid w:val="001275C1"/>
    <w:rsid w:val="001275CD"/>
    <w:rsid w:val="001277E4"/>
    <w:rsid w:val="00127804"/>
    <w:rsid w:val="0012787F"/>
    <w:rsid w:val="00127882"/>
    <w:rsid w:val="0012798A"/>
    <w:rsid w:val="00127A64"/>
    <w:rsid w:val="00127A83"/>
    <w:rsid w:val="00127B4F"/>
    <w:rsid w:val="00127C67"/>
    <w:rsid w:val="00127C74"/>
    <w:rsid w:val="00127DAD"/>
    <w:rsid w:val="00127E5B"/>
    <w:rsid w:val="00127EB4"/>
    <w:rsid w:val="00127FC0"/>
    <w:rsid w:val="00127FF0"/>
    <w:rsid w:val="00130043"/>
    <w:rsid w:val="0013012C"/>
    <w:rsid w:val="0013017E"/>
    <w:rsid w:val="001301A9"/>
    <w:rsid w:val="001301AB"/>
    <w:rsid w:val="00130222"/>
    <w:rsid w:val="00130233"/>
    <w:rsid w:val="001302DD"/>
    <w:rsid w:val="00130321"/>
    <w:rsid w:val="00130349"/>
    <w:rsid w:val="0013034C"/>
    <w:rsid w:val="001303A8"/>
    <w:rsid w:val="001303AE"/>
    <w:rsid w:val="001303F3"/>
    <w:rsid w:val="00130439"/>
    <w:rsid w:val="0013043F"/>
    <w:rsid w:val="001304BE"/>
    <w:rsid w:val="001305B3"/>
    <w:rsid w:val="00130740"/>
    <w:rsid w:val="00130903"/>
    <w:rsid w:val="0013094C"/>
    <w:rsid w:val="0013096C"/>
    <w:rsid w:val="001309DA"/>
    <w:rsid w:val="001309F8"/>
    <w:rsid w:val="00130A17"/>
    <w:rsid w:val="00130A27"/>
    <w:rsid w:val="00130BA6"/>
    <w:rsid w:val="00130BC6"/>
    <w:rsid w:val="00130C10"/>
    <w:rsid w:val="00130CD3"/>
    <w:rsid w:val="00130D45"/>
    <w:rsid w:val="00130D88"/>
    <w:rsid w:val="00130DEE"/>
    <w:rsid w:val="00130E0F"/>
    <w:rsid w:val="00130E72"/>
    <w:rsid w:val="00130EEE"/>
    <w:rsid w:val="00130F19"/>
    <w:rsid w:val="00130F5B"/>
    <w:rsid w:val="00130FC5"/>
    <w:rsid w:val="001310C5"/>
    <w:rsid w:val="00131107"/>
    <w:rsid w:val="001311DF"/>
    <w:rsid w:val="001311FE"/>
    <w:rsid w:val="00131289"/>
    <w:rsid w:val="001313A2"/>
    <w:rsid w:val="00131490"/>
    <w:rsid w:val="001314B3"/>
    <w:rsid w:val="001314DE"/>
    <w:rsid w:val="001314F4"/>
    <w:rsid w:val="0013153E"/>
    <w:rsid w:val="00131554"/>
    <w:rsid w:val="00131627"/>
    <w:rsid w:val="0013165A"/>
    <w:rsid w:val="00131687"/>
    <w:rsid w:val="00131778"/>
    <w:rsid w:val="0013186E"/>
    <w:rsid w:val="00131912"/>
    <w:rsid w:val="00131917"/>
    <w:rsid w:val="00131977"/>
    <w:rsid w:val="00131AB1"/>
    <w:rsid w:val="00131B01"/>
    <w:rsid w:val="00131B4F"/>
    <w:rsid w:val="00131B89"/>
    <w:rsid w:val="00131BFA"/>
    <w:rsid w:val="00131C61"/>
    <w:rsid w:val="00131CDF"/>
    <w:rsid w:val="00131E1C"/>
    <w:rsid w:val="00131E3E"/>
    <w:rsid w:val="00131F34"/>
    <w:rsid w:val="00131F58"/>
    <w:rsid w:val="00131FCA"/>
    <w:rsid w:val="00132023"/>
    <w:rsid w:val="00132053"/>
    <w:rsid w:val="00132073"/>
    <w:rsid w:val="001320C6"/>
    <w:rsid w:val="001320D2"/>
    <w:rsid w:val="0013216C"/>
    <w:rsid w:val="0013218C"/>
    <w:rsid w:val="001322DB"/>
    <w:rsid w:val="00132316"/>
    <w:rsid w:val="0013246E"/>
    <w:rsid w:val="001324EC"/>
    <w:rsid w:val="00132584"/>
    <w:rsid w:val="0013263D"/>
    <w:rsid w:val="00132642"/>
    <w:rsid w:val="00132661"/>
    <w:rsid w:val="001327E6"/>
    <w:rsid w:val="0013293C"/>
    <w:rsid w:val="00132950"/>
    <w:rsid w:val="001329A5"/>
    <w:rsid w:val="00132A0B"/>
    <w:rsid w:val="00132A1E"/>
    <w:rsid w:val="00132AB0"/>
    <w:rsid w:val="00132B31"/>
    <w:rsid w:val="00132B4C"/>
    <w:rsid w:val="00132DFA"/>
    <w:rsid w:val="00132E0A"/>
    <w:rsid w:val="00132E46"/>
    <w:rsid w:val="00132E83"/>
    <w:rsid w:val="00132FA6"/>
    <w:rsid w:val="001331A8"/>
    <w:rsid w:val="001331E9"/>
    <w:rsid w:val="001332B4"/>
    <w:rsid w:val="001332F7"/>
    <w:rsid w:val="00133373"/>
    <w:rsid w:val="0013341C"/>
    <w:rsid w:val="0013343A"/>
    <w:rsid w:val="0013349B"/>
    <w:rsid w:val="001334AF"/>
    <w:rsid w:val="0013358F"/>
    <w:rsid w:val="00133639"/>
    <w:rsid w:val="00133659"/>
    <w:rsid w:val="0013379D"/>
    <w:rsid w:val="001339B1"/>
    <w:rsid w:val="00133BEC"/>
    <w:rsid w:val="00133C28"/>
    <w:rsid w:val="00133C38"/>
    <w:rsid w:val="00133CEF"/>
    <w:rsid w:val="00133D66"/>
    <w:rsid w:val="00133F33"/>
    <w:rsid w:val="00133F6D"/>
    <w:rsid w:val="00133F89"/>
    <w:rsid w:val="0013405D"/>
    <w:rsid w:val="00134074"/>
    <w:rsid w:val="001340D1"/>
    <w:rsid w:val="0013411C"/>
    <w:rsid w:val="001341F2"/>
    <w:rsid w:val="00134253"/>
    <w:rsid w:val="00134255"/>
    <w:rsid w:val="0013425B"/>
    <w:rsid w:val="001342B8"/>
    <w:rsid w:val="001342C8"/>
    <w:rsid w:val="001342F1"/>
    <w:rsid w:val="00134391"/>
    <w:rsid w:val="001343D0"/>
    <w:rsid w:val="00134408"/>
    <w:rsid w:val="0013441E"/>
    <w:rsid w:val="0013445C"/>
    <w:rsid w:val="0013449F"/>
    <w:rsid w:val="0013452F"/>
    <w:rsid w:val="00134667"/>
    <w:rsid w:val="001346B8"/>
    <w:rsid w:val="001346BC"/>
    <w:rsid w:val="00134826"/>
    <w:rsid w:val="00134956"/>
    <w:rsid w:val="001349B2"/>
    <w:rsid w:val="001349F9"/>
    <w:rsid w:val="00134A80"/>
    <w:rsid w:val="00134ADA"/>
    <w:rsid w:val="00134B59"/>
    <w:rsid w:val="00134C61"/>
    <w:rsid w:val="00134DBD"/>
    <w:rsid w:val="00134DFD"/>
    <w:rsid w:val="00134F24"/>
    <w:rsid w:val="00134F69"/>
    <w:rsid w:val="00134FA4"/>
    <w:rsid w:val="00134FA9"/>
    <w:rsid w:val="00134FEF"/>
    <w:rsid w:val="001350CD"/>
    <w:rsid w:val="001350E3"/>
    <w:rsid w:val="00135166"/>
    <w:rsid w:val="00135459"/>
    <w:rsid w:val="00135481"/>
    <w:rsid w:val="00135549"/>
    <w:rsid w:val="0013565E"/>
    <w:rsid w:val="001356E7"/>
    <w:rsid w:val="00135766"/>
    <w:rsid w:val="00135776"/>
    <w:rsid w:val="001358C6"/>
    <w:rsid w:val="0013598E"/>
    <w:rsid w:val="001359E7"/>
    <w:rsid w:val="00135A10"/>
    <w:rsid w:val="00135BFC"/>
    <w:rsid w:val="00135C3C"/>
    <w:rsid w:val="00135C89"/>
    <w:rsid w:val="00135CA5"/>
    <w:rsid w:val="00135CCC"/>
    <w:rsid w:val="00135D04"/>
    <w:rsid w:val="00135E1E"/>
    <w:rsid w:val="00135E3E"/>
    <w:rsid w:val="00135EC0"/>
    <w:rsid w:val="00135FAD"/>
    <w:rsid w:val="001361B8"/>
    <w:rsid w:val="001362B8"/>
    <w:rsid w:val="00136374"/>
    <w:rsid w:val="001363DE"/>
    <w:rsid w:val="001363E4"/>
    <w:rsid w:val="00136411"/>
    <w:rsid w:val="001364BA"/>
    <w:rsid w:val="001364C5"/>
    <w:rsid w:val="00136512"/>
    <w:rsid w:val="0013657E"/>
    <w:rsid w:val="001366EA"/>
    <w:rsid w:val="00136710"/>
    <w:rsid w:val="001367BE"/>
    <w:rsid w:val="00136814"/>
    <w:rsid w:val="0013692E"/>
    <w:rsid w:val="00136A67"/>
    <w:rsid w:val="00136B62"/>
    <w:rsid w:val="00136C54"/>
    <w:rsid w:val="00136D6B"/>
    <w:rsid w:val="00136DF1"/>
    <w:rsid w:val="00137051"/>
    <w:rsid w:val="0013705F"/>
    <w:rsid w:val="0013713E"/>
    <w:rsid w:val="00137158"/>
    <w:rsid w:val="00137183"/>
    <w:rsid w:val="00137251"/>
    <w:rsid w:val="00137281"/>
    <w:rsid w:val="001372F0"/>
    <w:rsid w:val="001375F2"/>
    <w:rsid w:val="00137659"/>
    <w:rsid w:val="001376BE"/>
    <w:rsid w:val="001376EB"/>
    <w:rsid w:val="0013777F"/>
    <w:rsid w:val="00137789"/>
    <w:rsid w:val="0013791B"/>
    <w:rsid w:val="00137931"/>
    <w:rsid w:val="0013797F"/>
    <w:rsid w:val="001379ED"/>
    <w:rsid w:val="00137C16"/>
    <w:rsid w:val="00137ECA"/>
    <w:rsid w:val="00137F46"/>
    <w:rsid w:val="00137FCB"/>
    <w:rsid w:val="00140057"/>
    <w:rsid w:val="0014035F"/>
    <w:rsid w:val="0014036B"/>
    <w:rsid w:val="0014039C"/>
    <w:rsid w:val="0014046E"/>
    <w:rsid w:val="00140499"/>
    <w:rsid w:val="00140528"/>
    <w:rsid w:val="0014054B"/>
    <w:rsid w:val="0014060F"/>
    <w:rsid w:val="001406AA"/>
    <w:rsid w:val="001406F0"/>
    <w:rsid w:val="00140701"/>
    <w:rsid w:val="00140703"/>
    <w:rsid w:val="0014080B"/>
    <w:rsid w:val="00140825"/>
    <w:rsid w:val="001408A8"/>
    <w:rsid w:val="001408DA"/>
    <w:rsid w:val="00140904"/>
    <w:rsid w:val="001409B7"/>
    <w:rsid w:val="001409C2"/>
    <w:rsid w:val="00140A58"/>
    <w:rsid w:val="00140B71"/>
    <w:rsid w:val="00140BB6"/>
    <w:rsid w:val="00140D6B"/>
    <w:rsid w:val="00140E31"/>
    <w:rsid w:val="00140E67"/>
    <w:rsid w:val="00140F19"/>
    <w:rsid w:val="00140F8F"/>
    <w:rsid w:val="00141387"/>
    <w:rsid w:val="0014140F"/>
    <w:rsid w:val="001414E1"/>
    <w:rsid w:val="00141504"/>
    <w:rsid w:val="00141513"/>
    <w:rsid w:val="001415B0"/>
    <w:rsid w:val="001415C6"/>
    <w:rsid w:val="00141611"/>
    <w:rsid w:val="00141744"/>
    <w:rsid w:val="001417CF"/>
    <w:rsid w:val="00141964"/>
    <w:rsid w:val="001419B8"/>
    <w:rsid w:val="00141ACF"/>
    <w:rsid w:val="00141B65"/>
    <w:rsid w:val="00141B84"/>
    <w:rsid w:val="00141B89"/>
    <w:rsid w:val="00141BB0"/>
    <w:rsid w:val="00141D3D"/>
    <w:rsid w:val="00141E2D"/>
    <w:rsid w:val="00141E3F"/>
    <w:rsid w:val="00141E65"/>
    <w:rsid w:val="00141E79"/>
    <w:rsid w:val="00141F1E"/>
    <w:rsid w:val="00141F54"/>
    <w:rsid w:val="00141FFC"/>
    <w:rsid w:val="001420C1"/>
    <w:rsid w:val="001421C1"/>
    <w:rsid w:val="0014246D"/>
    <w:rsid w:val="00142472"/>
    <w:rsid w:val="0014247F"/>
    <w:rsid w:val="001425BE"/>
    <w:rsid w:val="00142669"/>
    <w:rsid w:val="00142672"/>
    <w:rsid w:val="001426D6"/>
    <w:rsid w:val="001426FC"/>
    <w:rsid w:val="00142759"/>
    <w:rsid w:val="00142851"/>
    <w:rsid w:val="001429B7"/>
    <w:rsid w:val="00142B04"/>
    <w:rsid w:val="00142B57"/>
    <w:rsid w:val="00142B7F"/>
    <w:rsid w:val="00142CE0"/>
    <w:rsid w:val="00142ECA"/>
    <w:rsid w:val="0014300F"/>
    <w:rsid w:val="0014306E"/>
    <w:rsid w:val="001432BB"/>
    <w:rsid w:val="00143354"/>
    <w:rsid w:val="001433E2"/>
    <w:rsid w:val="00143409"/>
    <w:rsid w:val="00143597"/>
    <w:rsid w:val="0014359D"/>
    <w:rsid w:val="001435A4"/>
    <w:rsid w:val="001436B5"/>
    <w:rsid w:val="0014370A"/>
    <w:rsid w:val="00143733"/>
    <w:rsid w:val="00143810"/>
    <w:rsid w:val="00143819"/>
    <w:rsid w:val="001438C4"/>
    <w:rsid w:val="0014398E"/>
    <w:rsid w:val="001439BF"/>
    <w:rsid w:val="001439D1"/>
    <w:rsid w:val="00143B20"/>
    <w:rsid w:val="00143B3B"/>
    <w:rsid w:val="00143C5B"/>
    <w:rsid w:val="00143DBB"/>
    <w:rsid w:val="00143E52"/>
    <w:rsid w:val="00143EA1"/>
    <w:rsid w:val="00143F5D"/>
    <w:rsid w:val="00143F94"/>
    <w:rsid w:val="001440CE"/>
    <w:rsid w:val="00144147"/>
    <w:rsid w:val="00144257"/>
    <w:rsid w:val="00144378"/>
    <w:rsid w:val="001443C3"/>
    <w:rsid w:val="001443F1"/>
    <w:rsid w:val="00144453"/>
    <w:rsid w:val="001444B4"/>
    <w:rsid w:val="001444B6"/>
    <w:rsid w:val="001445D0"/>
    <w:rsid w:val="00144757"/>
    <w:rsid w:val="001447F3"/>
    <w:rsid w:val="0014481A"/>
    <w:rsid w:val="0014492B"/>
    <w:rsid w:val="00144A7E"/>
    <w:rsid w:val="00144AF7"/>
    <w:rsid w:val="00144BCA"/>
    <w:rsid w:val="00144DA4"/>
    <w:rsid w:val="00144F01"/>
    <w:rsid w:val="00144FEC"/>
    <w:rsid w:val="00145077"/>
    <w:rsid w:val="0014509E"/>
    <w:rsid w:val="001450A5"/>
    <w:rsid w:val="001450C2"/>
    <w:rsid w:val="001452F4"/>
    <w:rsid w:val="00145418"/>
    <w:rsid w:val="001454CB"/>
    <w:rsid w:val="00145570"/>
    <w:rsid w:val="0014575B"/>
    <w:rsid w:val="00145826"/>
    <w:rsid w:val="00145856"/>
    <w:rsid w:val="0014588D"/>
    <w:rsid w:val="00145929"/>
    <w:rsid w:val="00145943"/>
    <w:rsid w:val="0014597E"/>
    <w:rsid w:val="00145A2C"/>
    <w:rsid w:val="00145A39"/>
    <w:rsid w:val="00145AB5"/>
    <w:rsid w:val="00145B77"/>
    <w:rsid w:val="00145B80"/>
    <w:rsid w:val="00145D44"/>
    <w:rsid w:val="00145DD7"/>
    <w:rsid w:val="00145DF4"/>
    <w:rsid w:val="00145EBE"/>
    <w:rsid w:val="00145EE4"/>
    <w:rsid w:val="0014604E"/>
    <w:rsid w:val="00146055"/>
    <w:rsid w:val="001462BF"/>
    <w:rsid w:val="0014636E"/>
    <w:rsid w:val="00146445"/>
    <w:rsid w:val="00146555"/>
    <w:rsid w:val="00146564"/>
    <w:rsid w:val="001465C6"/>
    <w:rsid w:val="001465E3"/>
    <w:rsid w:val="00146789"/>
    <w:rsid w:val="0014678F"/>
    <w:rsid w:val="0014681B"/>
    <w:rsid w:val="0014685B"/>
    <w:rsid w:val="001468B0"/>
    <w:rsid w:val="001468F6"/>
    <w:rsid w:val="00146A16"/>
    <w:rsid w:val="00146A2B"/>
    <w:rsid w:val="00146AAB"/>
    <w:rsid w:val="00146C75"/>
    <w:rsid w:val="00146DC0"/>
    <w:rsid w:val="00146E15"/>
    <w:rsid w:val="00146E7A"/>
    <w:rsid w:val="00146EC3"/>
    <w:rsid w:val="00146F50"/>
    <w:rsid w:val="00146FC0"/>
    <w:rsid w:val="00146FCF"/>
    <w:rsid w:val="00146FF0"/>
    <w:rsid w:val="00147048"/>
    <w:rsid w:val="001470CF"/>
    <w:rsid w:val="001470D7"/>
    <w:rsid w:val="00147100"/>
    <w:rsid w:val="0014728A"/>
    <w:rsid w:val="0014731F"/>
    <w:rsid w:val="0014740A"/>
    <w:rsid w:val="001474C8"/>
    <w:rsid w:val="001474D5"/>
    <w:rsid w:val="00147580"/>
    <w:rsid w:val="001475A2"/>
    <w:rsid w:val="00147722"/>
    <w:rsid w:val="001477E7"/>
    <w:rsid w:val="00147892"/>
    <w:rsid w:val="001478F0"/>
    <w:rsid w:val="00147902"/>
    <w:rsid w:val="00147949"/>
    <w:rsid w:val="001479ED"/>
    <w:rsid w:val="00147AC7"/>
    <w:rsid w:val="00147D1C"/>
    <w:rsid w:val="00147EC6"/>
    <w:rsid w:val="00147F7D"/>
    <w:rsid w:val="00147FFC"/>
    <w:rsid w:val="001500BA"/>
    <w:rsid w:val="001500C8"/>
    <w:rsid w:val="00150154"/>
    <w:rsid w:val="0015018C"/>
    <w:rsid w:val="00150219"/>
    <w:rsid w:val="0015031A"/>
    <w:rsid w:val="00150377"/>
    <w:rsid w:val="001503F3"/>
    <w:rsid w:val="0015044C"/>
    <w:rsid w:val="0015051D"/>
    <w:rsid w:val="0015053C"/>
    <w:rsid w:val="00150570"/>
    <w:rsid w:val="001505F9"/>
    <w:rsid w:val="00150604"/>
    <w:rsid w:val="001506B1"/>
    <w:rsid w:val="001507D0"/>
    <w:rsid w:val="001508C7"/>
    <w:rsid w:val="001508DE"/>
    <w:rsid w:val="00150AB1"/>
    <w:rsid w:val="00150ACD"/>
    <w:rsid w:val="00150B1A"/>
    <w:rsid w:val="00150C21"/>
    <w:rsid w:val="00150D30"/>
    <w:rsid w:val="00150EAA"/>
    <w:rsid w:val="00150FA3"/>
    <w:rsid w:val="00151002"/>
    <w:rsid w:val="0015115C"/>
    <w:rsid w:val="00151178"/>
    <w:rsid w:val="001511BD"/>
    <w:rsid w:val="001511CC"/>
    <w:rsid w:val="001512CF"/>
    <w:rsid w:val="0015131E"/>
    <w:rsid w:val="001513C4"/>
    <w:rsid w:val="00151595"/>
    <w:rsid w:val="00151608"/>
    <w:rsid w:val="00151631"/>
    <w:rsid w:val="0015184B"/>
    <w:rsid w:val="001518BA"/>
    <w:rsid w:val="001518E0"/>
    <w:rsid w:val="0015192B"/>
    <w:rsid w:val="00151B44"/>
    <w:rsid w:val="00151E73"/>
    <w:rsid w:val="00151EA4"/>
    <w:rsid w:val="00151EE9"/>
    <w:rsid w:val="00151F7B"/>
    <w:rsid w:val="00151F7D"/>
    <w:rsid w:val="00152095"/>
    <w:rsid w:val="001520D0"/>
    <w:rsid w:val="00152104"/>
    <w:rsid w:val="00152115"/>
    <w:rsid w:val="0015216E"/>
    <w:rsid w:val="00152203"/>
    <w:rsid w:val="0015222C"/>
    <w:rsid w:val="001522E0"/>
    <w:rsid w:val="001522FE"/>
    <w:rsid w:val="0015233A"/>
    <w:rsid w:val="00152405"/>
    <w:rsid w:val="00152463"/>
    <w:rsid w:val="001524AC"/>
    <w:rsid w:val="00152571"/>
    <w:rsid w:val="001526FA"/>
    <w:rsid w:val="001527C1"/>
    <w:rsid w:val="0015281D"/>
    <w:rsid w:val="00152821"/>
    <w:rsid w:val="00152921"/>
    <w:rsid w:val="0015294A"/>
    <w:rsid w:val="00152A47"/>
    <w:rsid w:val="00152AD1"/>
    <w:rsid w:val="00152B46"/>
    <w:rsid w:val="00152C6D"/>
    <w:rsid w:val="00152DB9"/>
    <w:rsid w:val="00152EEA"/>
    <w:rsid w:val="00152F19"/>
    <w:rsid w:val="00152FC2"/>
    <w:rsid w:val="001530E8"/>
    <w:rsid w:val="001530EF"/>
    <w:rsid w:val="00153126"/>
    <w:rsid w:val="00153162"/>
    <w:rsid w:val="0015334F"/>
    <w:rsid w:val="001533D3"/>
    <w:rsid w:val="001533E3"/>
    <w:rsid w:val="00153471"/>
    <w:rsid w:val="00153694"/>
    <w:rsid w:val="001536EC"/>
    <w:rsid w:val="00153728"/>
    <w:rsid w:val="001537C6"/>
    <w:rsid w:val="00153947"/>
    <w:rsid w:val="00153B08"/>
    <w:rsid w:val="00153B5F"/>
    <w:rsid w:val="00153BE2"/>
    <w:rsid w:val="00153C1F"/>
    <w:rsid w:val="00153C9A"/>
    <w:rsid w:val="00153D72"/>
    <w:rsid w:val="00153D9B"/>
    <w:rsid w:val="00153DA7"/>
    <w:rsid w:val="00153DDC"/>
    <w:rsid w:val="00153F4D"/>
    <w:rsid w:val="00153FC0"/>
    <w:rsid w:val="0015409C"/>
    <w:rsid w:val="001541DC"/>
    <w:rsid w:val="00154222"/>
    <w:rsid w:val="0015428B"/>
    <w:rsid w:val="001542C1"/>
    <w:rsid w:val="001542D6"/>
    <w:rsid w:val="00154412"/>
    <w:rsid w:val="00154570"/>
    <w:rsid w:val="0015457C"/>
    <w:rsid w:val="001545AA"/>
    <w:rsid w:val="001545AF"/>
    <w:rsid w:val="00154630"/>
    <w:rsid w:val="0015464A"/>
    <w:rsid w:val="00154781"/>
    <w:rsid w:val="00154808"/>
    <w:rsid w:val="00154877"/>
    <w:rsid w:val="0015494D"/>
    <w:rsid w:val="00154A98"/>
    <w:rsid w:val="00154BE1"/>
    <w:rsid w:val="00154D09"/>
    <w:rsid w:val="00154D84"/>
    <w:rsid w:val="00154DD4"/>
    <w:rsid w:val="00154F5B"/>
    <w:rsid w:val="00155192"/>
    <w:rsid w:val="001551D2"/>
    <w:rsid w:val="001552A0"/>
    <w:rsid w:val="0015541E"/>
    <w:rsid w:val="0015553B"/>
    <w:rsid w:val="0015557F"/>
    <w:rsid w:val="001555B4"/>
    <w:rsid w:val="001557AE"/>
    <w:rsid w:val="001557BE"/>
    <w:rsid w:val="00155840"/>
    <w:rsid w:val="001559B5"/>
    <w:rsid w:val="00155A15"/>
    <w:rsid w:val="00155A76"/>
    <w:rsid w:val="00155B03"/>
    <w:rsid w:val="00155BED"/>
    <w:rsid w:val="00155C98"/>
    <w:rsid w:val="00155CB4"/>
    <w:rsid w:val="00155CF3"/>
    <w:rsid w:val="00155DC9"/>
    <w:rsid w:val="00155E26"/>
    <w:rsid w:val="00155F2B"/>
    <w:rsid w:val="00155F60"/>
    <w:rsid w:val="0015605B"/>
    <w:rsid w:val="0015616F"/>
    <w:rsid w:val="00156282"/>
    <w:rsid w:val="001562D3"/>
    <w:rsid w:val="001562D6"/>
    <w:rsid w:val="001562F3"/>
    <w:rsid w:val="0015650E"/>
    <w:rsid w:val="0015655D"/>
    <w:rsid w:val="00156577"/>
    <w:rsid w:val="00156615"/>
    <w:rsid w:val="00156793"/>
    <w:rsid w:val="001568A6"/>
    <w:rsid w:val="001568C5"/>
    <w:rsid w:val="00156978"/>
    <w:rsid w:val="00156AA2"/>
    <w:rsid w:val="00156BF8"/>
    <w:rsid w:val="00156C20"/>
    <w:rsid w:val="00156C36"/>
    <w:rsid w:val="00156C4A"/>
    <w:rsid w:val="00156E02"/>
    <w:rsid w:val="00156E3F"/>
    <w:rsid w:val="00156E83"/>
    <w:rsid w:val="00156EE3"/>
    <w:rsid w:val="00156F71"/>
    <w:rsid w:val="0015706C"/>
    <w:rsid w:val="00157071"/>
    <w:rsid w:val="001570AA"/>
    <w:rsid w:val="00157196"/>
    <w:rsid w:val="001571C4"/>
    <w:rsid w:val="00157257"/>
    <w:rsid w:val="001574F5"/>
    <w:rsid w:val="00157525"/>
    <w:rsid w:val="00157646"/>
    <w:rsid w:val="0015764C"/>
    <w:rsid w:val="00157657"/>
    <w:rsid w:val="001576AE"/>
    <w:rsid w:val="00157740"/>
    <w:rsid w:val="001577EB"/>
    <w:rsid w:val="00157845"/>
    <w:rsid w:val="001578D1"/>
    <w:rsid w:val="0015796D"/>
    <w:rsid w:val="001579B7"/>
    <w:rsid w:val="001579C9"/>
    <w:rsid w:val="00157C16"/>
    <w:rsid w:val="00157CB3"/>
    <w:rsid w:val="00157CB4"/>
    <w:rsid w:val="00157DD8"/>
    <w:rsid w:val="00157E39"/>
    <w:rsid w:val="00157E9A"/>
    <w:rsid w:val="00157EBB"/>
    <w:rsid w:val="00157FA9"/>
    <w:rsid w:val="00160159"/>
    <w:rsid w:val="00160193"/>
    <w:rsid w:val="001601D1"/>
    <w:rsid w:val="00160286"/>
    <w:rsid w:val="00160297"/>
    <w:rsid w:val="001602C5"/>
    <w:rsid w:val="001604D6"/>
    <w:rsid w:val="00160583"/>
    <w:rsid w:val="001605A7"/>
    <w:rsid w:val="001607D7"/>
    <w:rsid w:val="00160853"/>
    <w:rsid w:val="001608D9"/>
    <w:rsid w:val="001608E2"/>
    <w:rsid w:val="001608FE"/>
    <w:rsid w:val="00160911"/>
    <w:rsid w:val="00160941"/>
    <w:rsid w:val="00160C4D"/>
    <w:rsid w:val="00160CFA"/>
    <w:rsid w:val="00160DA5"/>
    <w:rsid w:val="00160DAE"/>
    <w:rsid w:val="00160DE9"/>
    <w:rsid w:val="00160F31"/>
    <w:rsid w:val="00160F5D"/>
    <w:rsid w:val="00161023"/>
    <w:rsid w:val="00161143"/>
    <w:rsid w:val="001611BE"/>
    <w:rsid w:val="001611EB"/>
    <w:rsid w:val="001612DC"/>
    <w:rsid w:val="001613C5"/>
    <w:rsid w:val="0016146B"/>
    <w:rsid w:val="0016149A"/>
    <w:rsid w:val="001614A5"/>
    <w:rsid w:val="001614CF"/>
    <w:rsid w:val="001614DC"/>
    <w:rsid w:val="00161504"/>
    <w:rsid w:val="0016153D"/>
    <w:rsid w:val="00161637"/>
    <w:rsid w:val="0016169C"/>
    <w:rsid w:val="001616AB"/>
    <w:rsid w:val="0016182C"/>
    <w:rsid w:val="00161851"/>
    <w:rsid w:val="001618B2"/>
    <w:rsid w:val="001618B4"/>
    <w:rsid w:val="00161A75"/>
    <w:rsid w:val="00161B6D"/>
    <w:rsid w:val="00161B95"/>
    <w:rsid w:val="00161BA0"/>
    <w:rsid w:val="00161BD0"/>
    <w:rsid w:val="00161BF6"/>
    <w:rsid w:val="00161C5F"/>
    <w:rsid w:val="00161C6C"/>
    <w:rsid w:val="00161CF4"/>
    <w:rsid w:val="00161D2E"/>
    <w:rsid w:val="00161D56"/>
    <w:rsid w:val="00161D66"/>
    <w:rsid w:val="00161DFA"/>
    <w:rsid w:val="00161E14"/>
    <w:rsid w:val="00161E27"/>
    <w:rsid w:val="00161EA2"/>
    <w:rsid w:val="00161F01"/>
    <w:rsid w:val="00161F34"/>
    <w:rsid w:val="00161F35"/>
    <w:rsid w:val="00161F54"/>
    <w:rsid w:val="00162326"/>
    <w:rsid w:val="0016235E"/>
    <w:rsid w:val="00162361"/>
    <w:rsid w:val="001625E4"/>
    <w:rsid w:val="0016261D"/>
    <w:rsid w:val="00162676"/>
    <w:rsid w:val="00162727"/>
    <w:rsid w:val="0016274D"/>
    <w:rsid w:val="0016282F"/>
    <w:rsid w:val="001629FA"/>
    <w:rsid w:val="00162A76"/>
    <w:rsid w:val="00162ADF"/>
    <w:rsid w:val="00162B1B"/>
    <w:rsid w:val="00162B28"/>
    <w:rsid w:val="00162BCB"/>
    <w:rsid w:val="00162BD2"/>
    <w:rsid w:val="00162C18"/>
    <w:rsid w:val="00162C40"/>
    <w:rsid w:val="00162C54"/>
    <w:rsid w:val="00162C5F"/>
    <w:rsid w:val="00162CA7"/>
    <w:rsid w:val="00162CAF"/>
    <w:rsid w:val="00162D3B"/>
    <w:rsid w:val="00162D6B"/>
    <w:rsid w:val="00162DBF"/>
    <w:rsid w:val="00162DF3"/>
    <w:rsid w:val="00162F3E"/>
    <w:rsid w:val="00162F6D"/>
    <w:rsid w:val="0016301D"/>
    <w:rsid w:val="00163098"/>
    <w:rsid w:val="001630D4"/>
    <w:rsid w:val="001630E1"/>
    <w:rsid w:val="0016310C"/>
    <w:rsid w:val="001633C6"/>
    <w:rsid w:val="00163440"/>
    <w:rsid w:val="00163515"/>
    <w:rsid w:val="00163553"/>
    <w:rsid w:val="00163560"/>
    <w:rsid w:val="001635A0"/>
    <w:rsid w:val="0016360D"/>
    <w:rsid w:val="0016367D"/>
    <w:rsid w:val="00163724"/>
    <w:rsid w:val="001637BD"/>
    <w:rsid w:val="00163829"/>
    <w:rsid w:val="0016382D"/>
    <w:rsid w:val="00163871"/>
    <w:rsid w:val="00163ABC"/>
    <w:rsid w:val="00163B98"/>
    <w:rsid w:val="00163BE4"/>
    <w:rsid w:val="00163BEB"/>
    <w:rsid w:val="00163C66"/>
    <w:rsid w:val="00163D0E"/>
    <w:rsid w:val="00163D25"/>
    <w:rsid w:val="00163E3F"/>
    <w:rsid w:val="00163E5A"/>
    <w:rsid w:val="00163E91"/>
    <w:rsid w:val="00163EEE"/>
    <w:rsid w:val="00163EF6"/>
    <w:rsid w:val="00163F37"/>
    <w:rsid w:val="00163F92"/>
    <w:rsid w:val="0016402A"/>
    <w:rsid w:val="00164136"/>
    <w:rsid w:val="0016416A"/>
    <w:rsid w:val="00164190"/>
    <w:rsid w:val="001641FA"/>
    <w:rsid w:val="00164341"/>
    <w:rsid w:val="0016438D"/>
    <w:rsid w:val="00164441"/>
    <w:rsid w:val="00164482"/>
    <w:rsid w:val="001645C2"/>
    <w:rsid w:val="00164640"/>
    <w:rsid w:val="001646AC"/>
    <w:rsid w:val="00164719"/>
    <w:rsid w:val="0016475E"/>
    <w:rsid w:val="0016483E"/>
    <w:rsid w:val="001648B9"/>
    <w:rsid w:val="001649E9"/>
    <w:rsid w:val="00164A18"/>
    <w:rsid w:val="00164A75"/>
    <w:rsid w:val="00164ADC"/>
    <w:rsid w:val="00164B67"/>
    <w:rsid w:val="00164BFB"/>
    <w:rsid w:val="00164BFC"/>
    <w:rsid w:val="00164D08"/>
    <w:rsid w:val="00164DA9"/>
    <w:rsid w:val="00164E72"/>
    <w:rsid w:val="00164EB7"/>
    <w:rsid w:val="00164EC0"/>
    <w:rsid w:val="0016506C"/>
    <w:rsid w:val="0016509F"/>
    <w:rsid w:val="001651AF"/>
    <w:rsid w:val="001651F3"/>
    <w:rsid w:val="001652B8"/>
    <w:rsid w:val="0016531E"/>
    <w:rsid w:val="00165474"/>
    <w:rsid w:val="001654A1"/>
    <w:rsid w:val="001654A8"/>
    <w:rsid w:val="001656BE"/>
    <w:rsid w:val="00165770"/>
    <w:rsid w:val="001657B9"/>
    <w:rsid w:val="001657E6"/>
    <w:rsid w:val="00165814"/>
    <w:rsid w:val="0016581B"/>
    <w:rsid w:val="00165833"/>
    <w:rsid w:val="001658D1"/>
    <w:rsid w:val="001658F6"/>
    <w:rsid w:val="00165982"/>
    <w:rsid w:val="0016598C"/>
    <w:rsid w:val="00165D59"/>
    <w:rsid w:val="00165E99"/>
    <w:rsid w:val="00165FD7"/>
    <w:rsid w:val="00166019"/>
    <w:rsid w:val="00166192"/>
    <w:rsid w:val="001661A8"/>
    <w:rsid w:val="00166255"/>
    <w:rsid w:val="00166346"/>
    <w:rsid w:val="00166361"/>
    <w:rsid w:val="0016642A"/>
    <w:rsid w:val="001664DF"/>
    <w:rsid w:val="00166591"/>
    <w:rsid w:val="0016663C"/>
    <w:rsid w:val="00166689"/>
    <w:rsid w:val="0016668A"/>
    <w:rsid w:val="0016674E"/>
    <w:rsid w:val="001667FF"/>
    <w:rsid w:val="001668E6"/>
    <w:rsid w:val="00166973"/>
    <w:rsid w:val="00166A10"/>
    <w:rsid w:val="00166AC2"/>
    <w:rsid w:val="00166B13"/>
    <w:rsid w:val="00166BA1"/>
    <w:rsid w:val="00166CAA"/>
    <w:rsid w:val="00166CBA"/>
    <w:rsid w:val="00166E59"/>
    <w:rsid w:val="00166FAA"/>
    <w:rsid w:val="00166FD4"/>
    <w:rsid w:val="00166FE2"/>
    <w:rsid w:val="0016729A"/>
    <w:rsid w:val="0016734F"/>
    <w:rsid w:val="00167362"/>
    <w:rsid w:val="00167366"/>
    <w:rsid w:val="001673BD"/>
    <w:rsid w:val="001673EC"/>
    <w:rsid w:val="00167421"/>
    <w:rsid w:val="00167463"/>
    <w:rsid w:val="0016753E"/>
    <w:rsid w:val="0016772E"/>
    <w:rsid w:val="00167746"/>
    <w:rsid w:val="00167820"/>
    <w:rsid w:val="00167832"/>
    <w:rsid w:val="00167855"/>
    <w:rsid w:val="00167941"/>
    <w:rsid w:val="00167967"/>
    <w:rsid w:val="00167A19"/>
    <w:rsid w:val="00167AED"/>
    <w:rsid w:val="00167BC9"/>
    <w:rsid w:val="00167D00"/>
    <w:rsid w:val="00167D09"/>
    <w:rsid w:val="00167E31"/>
    <w:rsid w:val="00167E44"/>
    <w:rsid w:val="00167F55"/>
    <w:rsid w:val="00167F6D"/>
    <w:rsid w:val="00170013"/>
    <w:rsid w:val="00170101"/>
    <w:rsid w:val="001701A9"/>
    <w:rsid w:val="00170225"/>
    <w:rsid w:val="00170282"/>
    <w:rsid w:val="001702B6"/>
    <w:rsid w:val="0017036E"/>
    <w:rsid w:val="001703CE"/>
    <w:rsid w:val="001704EF"/>
    <w:rsid w:val="00170627"/>
    <w:rsid w:val="00170679"/>
    <w:rsid w:val="001706AE"/>
    <w:rsid w:val="001706FE"/>
    <w:rsid w:val="00170700"/>
    <w:rsid w:val="00170761"/>
    <w:rsid w:val="001707B4"/>
    <w:rsid w:val="00170814"/>
    <w:rsid w:val="0017089F"/>
    <w:rsid w:val="001708A7"/>
    <w:rsid w:val="001708AA"/>
    <w:rsid w:val="00170963"/>
    <w:rsid w:val="00170CD9"/>
    <w:rsid w:val="00170E02"/>
    <w:rsid w:val="00170E08"/>
    <w:rsid w:val="00170E2A"/>
    <w:rsid w:val="00170E44"/>
    <w:rsid w:val="00170E69"/>
    <w:rsid w:val="00170EC1"/>
    <w:rsid w:val="00170F12"/>
    <w:rsid w:val="00170F2F"/>
    <w:rsid w:val="00170FCF"/>
    <w:rsid w:val="001710A6"/>
    <w:rsid w:val="001710AF"/>
    <w:rsid w:val="0017122E"/>
    <w:rsid w:val="001713B5"/>
    <w:rsid w:val="00171417"/>
    <w:rsid w:val="0017153B"/>
    <w:rsid w:val="001715BC"/>
    <w:rsid w:val="00171608"/>
    <w:rsid w:val="0017161F"/>
    <w:rsid w:val="00171709"/>
    <w:rsid w:val="00171714"/>
    <w:rsid w:val="00171799"/>
    <w:rsid w:val="001717E3"/>
    <w:rsid w:val="0017180D"/>
    <w:rsid w:val="00171848"/>
    <w:rsid w:val="00171916"/>
    <w:rsid w:val="00171945"/>
    <w:rsid w:val="001719EC"/>
    <w:rsid w:val="00171A30"/>
    <w:rsid w:val="00171B19"/>
    <w:rsid w:val="00171B3E"/>
    <w:rsid w:val="00171C76"/>
    <w:rsid w:val="00171D30"/>
    <w:rsid w:val="00171D45"/>
    <w:rsid w:val="00171DB4"/>
    <w:rsid w:val="00171E13"/>
    <w:rsid w:val="00171E70"/>
    <w:rsid w:val="00172064"/>
    <w:rsid w:val="0017210A"/>
    <w:rsid w:val="001722FB"/>
    <w:rsid w:val="0017231B"/>
    <w:rsid w:val="001723BA"/>
    <w:rsid w:val="0017242B"/>
    <w:rsid w:val="00172466"/>
    <w:rsid w:val="00172660"/>
    <w:rsid w:val="001726E8"/>
    <w:rsid w:val="001726F0"/>
    <w:rsid w:val="0017270B"/>
    <w:rsid w:val="0017273B"/>
    <w:rsid w:val="0017275D"/>
    <w:rsid w:val="0017291A"/>
    <w:rsid w:val="0017291E"/>
    <w:rsid w:val="001729E2"/>
    <w:rsid w:val="00172A03"/>
    <w:rsid w:val="00172ACA"/>
    <w:rsid w:val="00172B12"/>
    <w:rsid w:val="00172BB6"/>
    <w:rsid w:val="00172BBF"/>
    <w:rsid w:val="00172D5D"/>
    <w:rsid w:val="00172DCA"/>
    <w:rsid w:val="00172DFC"/>
    <w:rsid w:val="00172E6D"/>
    <w:rsid w:val="00172E87"/>
    <w:rsid w:val="00172FE3"/>
    <w:rsid w:val="00173056"/>
    <w:rsid w:val="0017305F"/>
    <w:rsid w:val="001730AB"/>
    <w:rsid w:val="00173146"/>
    <w:rsid w:val="001732F9"/>
    <w:rsid w:val="001733B4"/>
    <w:rsid w:val="0017345C"/>
    <w:rsid w:val="001734FA"/>
    <w:rsid w:val="0017357C"/>
    <w:rsid w:val="00173660"/>
    <w:rsid w:val="00173661"/>
    <w:rsid w:val="00173724"/>
    <w:rsid w:val="001737C2"/>
    <w:rsid w:val="00173845"/>
    <w:rsid w:val="00173879"/>
    <w:rsid w:val="00173AF1"/>
    <w:rsid w:val="00173E44"/>
    <w:rsid w:val="00173E70"/>
    <w:rsid w:val="00173EFF"/>
    <w:rsid w:val="00173FC4"/>
    <w:rsid w:val="00173FF3"/>
    <w:rsid w:val="0017406F"/>
    <w:rsid w:val="001740AD"/>
    <w:rsid w:val="001740DF"/>
    <w:rsid w:val="0017411B"/>
    <w:rsid w:val="0017412D"/>
    <w:rsid w:val="00174188"/>
    <w:rsid w:val="0017422F"/>
    <w:rsid w:val="001742DE"/>
    <w:rsid w:val="001743AE"/>
    <w:rsid w:val="001744F2"/>
    <w:rsid w:val="00174507"/>
    <w:rsid w:val="0017450B"/>
    <w:rsid w:val="0017452A"/>
    <w:rsid w:val="001745A7"/>
    <w:rsid w:val="001745A8"/>
    <w:rsid w:val="001745B3"/>
    <w:rsid w:val="001745D1"/>
    <w:rsid w:val="00174612"/>
    <w:rsid w:val="0017478D"/>
    <w:rsid w:val="001747DF"/>
    <w:rsid w:val="0017483F"/>
    <w:rsid w:val="00174869"/>
    <w:rsid w:val="00174901"/>
    <w:rsid w:val="0017499C"/>
    <w:rsid w:val="001749F8"/>
    <w:rsid w:val="00174A68"/>
    <w:rsid w:val="00174A7E"/>
    <w:rsid w:val="00174B2E"/>
    <w:rsid w:val="00174BD6"/>
    <w:rsid w:val="00174C73"/>
    <w:rsid w:val="00174E30"/>
    <w:rsid w:val="0017502A"/>
    <w:rsid w:val="00175076"/>
    <w:rsid w:val="00175139"/>
    <w:rsid w:val="00175145"/>
    <w:rsid w:val="001751EB"/>
    <w:rsid w:val="00175205"/>
    <w:rsid w:val="0017521E"/>
    <w:rsid w:val="001752C6"/>
    <w:rsid w:val="0017531E"/>
    <w:rsid w:val="00175386"/>
    <w:rsid w:val="001754F4"/>
    <w:rsid w:val="0017577E"/>
    <w:rsid w:val="00175782"/>
    <w:rsid w:val="001757D9"/>
    <w:rsid w:val="00175844"/>
    <w:rsid w:val="00175847"/>
    <w:rsid w:val="001758D6"/>
    <w:rsid w:val="00175A5F"/>
    <w:rsid w:val="00175AB1"/>
    <w:rsid w:val="00175ABC"/>
    <w:rsid w:val="00175B78"/>
    <w:rsid w:val="00175C37"/>
    <w:rsid w:val="00175C60"/>
    <w:rsid w:val="00175D01"/>
    <w:rsid w:val="00175D2A"/>
    <w:rsid w:val="00175D3C"/>
    <w:rsid w:val="00175DD9"/>
    <w:rsid w:val="00175DEC"/>
    <w:rsid w:val="00175FBF"/>
    <w:rsid w:val="00176252"/>
    <w:rsid w:val="0017627D"/>
    <w:rsid w:val="001762CF"/>
    <w:rsid w:val="001762F7"/>
    <w:rsid w:val="00176390"/>
    <w:rsid w:val="001763B8"/>
    <w:rsid w:val="00176434"/>
    <w:rsid w:val="0017643B"/>
    <w:rsid w:val="00176495"/>
    <w:rsid w:val="001765AA"/>
    <w:rsid w:val="001765EE"/>
    <w:rsid w:val="001766B2"/>
    <w:rsid w:val="00176827"/>
    <w:rsid w:val="0017687A"/>
    <w:rsid w:val="001768B3"/>
    <w:rsid w:val="00176904"/>
    <w:rsid w:val="00176A0A"/>
    <w:rsid w:val="00176A3D"/>
    <w:rsid w:val="00176B17"/>
    <w:rsid w:val="00176B39"/>
    <w:rsid w:val="00176BA6"/>
    <w:rsid w:val="00176BE7"/>
    <w:rsid w:val="00176D39"/>
    <w:rsid w:val="00176E92"/>
    <w:rsid w:val="00176FD2"/>
    <w:rsid w:val="00177077"/>
    <w:rsid w:val="001770A2"/>
    <w:rsid w:val="00177106"/>
    <w:rsid w:val="00177145"/>
    <w:rsid w:val="001771A8"/>
    <w:rsid w:val="0017722C"/>
    <w:rsid w:val="00177233"/>
    <w:rsid w:val="0017726A"/>
    <w:rsid w:val="001772D3"/>
    <w:rsid w:val="0017742D"/>
    <w:rsid w:val="0017757C"/>
    <w:rsid w:val="0017758A"/>
    <w:rsid w:val="00177590"/>
    <w:rsid w:val="001775DD"/>
    <w:rsid w:val="00177781"/>
    <w:rsid w:val="00177782"/>
    <w:rsid w:val="001777F1"/>
    <w:rsid w:val="00177810"/>
    <w:rsid w:val="0017781A"/>
    <w:rsid w:val="0017788B"/>
    <w:rsid w:val="00177A30"/>
    <w:rsid w:val="00177AC9"/>
    <w:rsid w:val="00177AD3"/>
    <w:rsid w:val="00177D8F"/>
    <w:rsid w:val="00177EC8"/>
    <w:rsid w:val="00177FAC"/>
    <w:rsid w:val="001802D4"/>
    <w:rsid w:val="0018030B"/>
    <w:rsid w:val="00180340"/>
    <w:rsid w:val="001804C8"/>
    <w:rsid w:val="00180599"/>
    <w:rsid w:val="00180605"/>
    <w:rsid w:val="00180634"/>
    <w:rsid w:val="001807BD"/>
    <w:rsid w:val="001807E1"/>
    <w:rsid w:val="001807ED"/>
    <w:rsid w:val="00180816"/>
    <w:rsid w:val="00180927"/>
    <w:rsid w:val="0018098F"/>
    <w:rsid w:val="001809F7"/>
    <w:rsid w:val="00180A5A"/>
    <w:rsid w:val="00180B5E"/>
    <w:rsid w:val="00180BEF"/>
    <w:rsid w:val="00180C17"/>
    <w:rsid w:val="00180CE6"/>
    <w:rsid w:val="00180E19"/>
    <w:rsid w:val="00180E62"/>
    <w:rsid w:val="00180E74"/>
    <w:rsid w:val="00180F4A"/>
    <w:rsid w:val="00180FD2"/>
    <w:rsid w:val="0018103F"/>
    <w:rsid w:val="001810AB"/>
    <w:rsid w:val="001811C8"/>
    <w:rsid w:val="001812BB"/>
    <w:rsid w:val="0018132B"/>
    <w:rsid w:val="001813C1"/>
    <w:rsid w:val="00181503"/>
    <w:rsid w:val="0018152A"/>
    <w:rsid w:val="00181540"/>
    <w:rsid w:val="00181633"/>
    <w:rsid w:val="00181648"/>
    <w:rsid w:val="00181672"/>
    <w:rsid w:val="0018168F"/>
    <w:rsid w:val="001816A0"/>
    <w:rsid w:val="00181791"/>
    <w:rsid w:val="00181801"/>
    <w:rsid w:val="0018190F"/>
    <w:rsid w:val="0018199C"/>
    <w:rsid w:val="001819B0"/>
    <w:rsid w:val="00181AEE"/>
    <w:rsid w:val="00181BCB"/>
    <w:rsid w:val="00181C19"/>
    <w:rsid w:val="00181D22"/>
    <w:rsid w:val="00181D6C"/>
    <w:rsid w:val="00181F09"/>
    <w:rsid w:val="001820B2"/>
    <w:rsid w:val="0018210A"/>
    <w:rsid w:val="00182161"/>
    <w:rsid w:val="00182165"/>
    <w:rsid w:val="0018224A"/>
    <w:rsid w:val="0018230C"/>
    <w:rsid w:val="00182320"/>
    <w:rsid w:val="00182360"/>
    <w:rsid w:val="0018240E"/>
    <w:rsid w:val="001824A3"/>
    <w:rsid w:val="0018251D"/>
    <w:rsid w:val="0018272B"/>
    <w:rsid w:val="00182775"/>
    <w:rsid w:val="001827BA"/>
    <w:rsid w:val="00182857"/>
    <w:rsid w:val="00182CC8"/>
    <w:rsid w:val="00182D65"/>
    <w:rsid w:val="00182DA8"/>
    <w:rsid w:val="00183011"/>
    <w:rsid w:val="00183017"/>
    <w:rsid w:val="00183049"/>
    <w:rsid w:val="001830FE"/>
    <w:rsid w:val="00183172"/>
    <w:rsid w:val="00183243"/>
    <w:rsid w:val="001832A1"/>
    <w:rsid w:val="00183343"/>
    <w:rsid w:val="0018343C"/>
    <w:rsid w:val="0018343D"/>
    <w:rsid w:val="00183454"/>
    <w:rsid w:val="0018360B"/>
    <w:rsid w:val="00183764"/>
    <w:rsid w:val="001837DD"/>
    <w:rsid w:val="0018386F"/>
    <w:rsid w:val="00183939"/>
    <w:rsid w:val="0018393D"/>
    <w:rsid w:val="0018393F"/>
    <w:rsid w:val="001839B0"/>
    <w:rsid w:val="00183A36"/>
    <w:rsid w:val="00183A90"/>
    <w:rsid w:val="00183C13"/>
    <w:rsid w:val="00183D32"/>
    <w:rsid w:val="00183EDA"/>
    <w:rsid w:val="00183F8F"/>
    <w:rsid w:val="0018406B"/>
    <w:rsid w:val="001840EA"/>
    <w:rsid w:val="001841CF"/>
    <w:rsid w:val="001842AC"/>
    <w:rsid w:val="00184352"/>
    <w:rsid w:val="00184565"/>
    <w:rsid w:val="0018465B"/>
    <w:rsid w:val="0018466B"/>
    <w:rsid w:val="0018469E"/>
    <w:rsid w:val="00184731"/>
    <w:rsid w:val="00184A47"/>
    <w:rsid w:val="00184B52"/>
    <w:rsid w:val="00184BB8"/>
    <w:rsid w:val="00184BD8"/>
    <w:rsid w:val="00184C76"/>
    <w:rsid w:val="00184C9F"/>
    <w:rsid w:val="00184D5E"/>
    <w:rsid w:val="00184EB7"/>
    <w:rsid w:val="00184F63"/>
    <w:rsid w:val="00184FE7"/>
    <w:rsid w:val="00185064"/>
    <w:rsid w:val="00185177"/>
    <w:rsid w:val="001851F8"/>
    <w:rsid w:val="001852E3"/>
    <w:rsid w:val="00185367"/>
    <w:rsid w:val="001853B1"/>
    <w:rsid w:val="001853B9"/>
    <w:rsid w:val="00185575"/>
    <w:rsid w:val="00185580"/>
    <w:rsid w:val="0018565C"/>
    <w:rsid w:val="00185662"/>
    <w:rsid w:val="001856B0"/>
    <w:rsid w:val="0018578F"/>
    <w:rsid w:val="001858B5"/>
    <w:rsid w:val="0018594E"/>
    <w:rsid w:val="00185975"/>
    <w:rsid w:val="001859CA"/>
    <w:rsid w:val="00185A1C"/>
    <w:rsid w:val="00185A48"/>
    <w:rsid w:val="00185ACD"/>
    <w:rsid w:val="00185E03"/>
    <w:rsid w:val="00185E5F"/>
    <w:rsid w:val="00185EB8"/>
    <w:rsid w:val="00185F93"/>
    <w:rsid w:val="0018605E"/>
    <w:rsid w:val="0018606F"/>
    <w:rsid w:val="00186152"/>
    <w:rsid w:val="001862AE"/>
    <w:rsid w:val="00186437"/>
    <w:rsid w:val="001864A9"/>
    <w:rsid w:val="001864F9"/>
    <w:rsid w:val="0018656B"/>
    <w:rsid w:val="001865DB"/>
    <w:rsid w:val="0018674F"/>
    <w:rsid w:val="00186A73"/>
    <w:rsid w:val="00186AA1"/>
    <w:rsid w:val="00186B3B"/>
    <w:rsid w:val="00186B50"/>
    <w:rsid w:val="00186BE1"/>
    <w:rsid w:val="00186C8C"/>
    <w:rsid w:val="00186CB9"/>
    <w:rsid w:val="00186DC6"/>
    <w:rsid w:val="00186E2D"/>
    <w:rsid w:val="00186E2E"/>
    <w:rsid w:val="00186F1A"/>
    <w:rsid w:val="00186F78"/>
    <w:rsid w:val="00187063"/>
    <w:rsid w:val="001870CF"/>
    <w:rsid w:val="00187140"/>
    <w:rsid w:val="0018719A"/>
    <w:rsid w:val="0018719D"/>
    <w:rsid w:val="001871A8"/>
    <w:rsid w:val="00187230"/>
    <w:rsid w:val="0018723F"/>
    <w:rsid w:val="001872A7"/>
    <w:rsid w:val="001872B7"/>
    <w:rsid w:val="001872BD"/>
    <w:rsid w:val="001873CE"/>
    <w:rsid w:val="00187493"/>
    <w:rsid w:val="00187502"/>
    <w:rsid w:val="0018751B"/>
    <w:rsid w:val="0018767A"/>
    <w:rsid w:val="0018788E"/>
    <w:rsid w:val="001878D4"/>
    <w:rsid w:val="00187900"/>
    <w:rsid w:val="0018799B"/>
    <w:rsid w:val="001879A5"/>
    <w:rsid w:val="00187B22"/>
    <w:rsid w:val="00187B29"/>
    <w:rsid w:val="00187B7D"/>
    <w:rsid w:val="00187B99"/>
    <w:rsid w:val="00187DD2"/>
    <w:rsid w:val="00187DD3"/>
    <w:rsid w:val="00187E4C"/>
    <w:rsid w:val="00190043"/>
    <w:rsid w:val="00190098"/>
    <w:rsid w:val="001900E6"/>
    <w:rsid w:val="00190151"/>
    <w:rsid w:val="001901CD"/>
    <w:rsid w:val="001904CA"/>
    <w:rsid w:val="00190565"/>
    <w:rsid w:val="0019061C"/>
    <w:rsid w:val="0019064D"/>
    <w:rsid w:val="0019065F"/>
    <w:rsid w:val="0019075B"/>
    <w:rsid w:val="0019085B"/>
    <w:rsid w:val="00190863"/>
    <w:rsid w:val="001908A3"/>
    <w:rsid w:val="001908EA"/>
    <w:rsid w:val="00190952"/>
    <w:rsid w:val="00190A81"/>
    <w:rsid w:val="00190B04"/>
    <w:rsid w:val="00190BA2"/>
    <w:rsid w:val="00190C01"/>
    <w:rsid w:val="00190C25"/>
    <w:rsid w:val="00190D46"/>
    <w:rsid w:val="00190D62"/>
    <w:rsid w:val="00190D6B"/>
    <w:rsid w:val="00190DDE"/>
    <w:rsid w:val="00191048"/>
    <w:rsid w:val="00191070"/>
    <w:rsid w:val="001910CA"/>
    <w:rsid w:val="001910FC"/>
    <w:rsid w:val="0019112C"/>
    <w:rsid w:val="001911C0"/>
    <w:rsid w:val="00191328"/>
    <w:rsid w:val="0019134B"/>
    <w:rsid w:val="00191478"/>
    <w:rsid w:val="001915B7"/>
    <w:rsid w:val="001916EF"/>
    <w:rsid w:val="001917DB"/>
    <w:rsid w:val="00191840"/>
    <w:rsid w:val="00191951"/>
    <w:rsid w:val="001919AF"/>
    <w:rsid w:val="001919BB"/>
    <w:rsid w:val="00191A19"/>
    <w:rsid w:val="00191B08"/>
    <w:rsid w:val="00191B3B"/>
    <w:rsid w:val="00191B69"/>
    <w:rsid w:val="00191C15"/>
    <w:rsid w:val="00191C2D"/>
    <w:rsid w:val="00191D1F"/>
    <w:rsid w:val="00191D95"/>
    <w:rsid w:val="00191E01"/>
    <w:rsid w:val="00192029"/>
    <w:rsid w:val="00192121"/>
    <w:rsid w:val="00192134"/>
    <w:rsid w:val="00192270"/>
    <w:rsid w:val="0019228D"/>
    <w:rsid w:val="00192293"/>
    <w:rsid w:val="001922A5"/>
    <w:rsid w:val="001922EB"/>
    <w:rsid w:val="001925D4"/>
    <w:rsid w:val="001926F7"/>
    <w:rsid w:val="0019278C"/>
    <w:rsid w:val="001927C3"/>
    <w:rsid w:val="00192849"/>
    <w:rsid w:val="0019291D"/>
    <w:rsid w:val="00192AE2"/>
    <w:rsid w:val="00192BF3"/>
    <w:rsid w:val="00192C40"/>
    <w:rsid w:val="00192D0E"/>
    <w:rsid w:val="00192DBD"/>
    <w:rsid w:val="00192E24"/>
    <w:rsid w:val="00192E97"/>
    <w:rsid w:val="00192EA8"/>
    <w:rsid w:val="00192EB4"/>
    <w:rsid w:val="00192F1B"/>
    <w:rsid w:val="00192F33"/>
    <w:rsid w:val="00192FAF"/>
    <w:rsid w:val="00192FE4"/>
    <w:rsid w:val="00192FE8"/>
    <w:rsid w:val="001930AB"/>
    <w:rsid w:val="001930CF"/>
    <w:rsid w:val="00193221"/>
    <w:rsid w:val="001933A4"/>
    <w:rsid w:val="00193436"/>
    <w:rsid w:val="00193523"/>
    <w:rsid w:val="001936EC"/>
    <w:rsid w:val="00193715"/>
    <w:rsid w:val="00193774"/>
    <w:rsid w:val="001938EF"/>
    <w:rsid w:val="00193A39"/>
    <w:rsid w:val="00193AC8"/>
    <w:rsid w:val="00193B40"/>
    <w:rsid w:val="00193B61"/>
    <w:rsid w:val="00193BFB"/>
    <w:rsid w:val="00193CA0"/>
    <w:rsid w:val="00193D6B"/>
    <w:rsid w:val="00193E4B"/>
    <w:rsid w:val="00193F8A"/>
    <w:rsid w:val="001940D5"/>
    <w:rsid w:val="00194144"/>
    <w:rsid w:val="001941DC"/>
    <w:rsid w:val="0019424B"/>
    <w:rsid w:val="001942B0"/>
    <w:rsid w:val="001943A3"/>
    <w:rsid w:val="00194414"/>
    <w:rsid w:val="0019465C"/>
    <w:rsid w:val="001947B6"/>
    <w:rsid w:val="001947C5"/>
    <w:rsid w:val="001947F5"/>
    <w:rsid w:val="00194805"/>
    <w:rsid w:val="00194890"/>
    <w:rsid w:val="00194908"/>
    <w:rsid w:val="0019494F"/>
    <w:rsid w:val="00194A1F"/>
    <w:rsid w:val="00194ADF"/>
    <w:rsid w:val="00194B38"/>
    <w:rsid w:val="00194B85"/>
    <w:rsid w:val="00194B90"/>
    <w:rsid w:val="00194DC8"/>
    <w:rsid w:val="00194E8F"/>
    <w:rsid w:val="00194EA3"/>
    <w:rsid w:val="00194EF8"/>
    <w:rsid w:val="0019505B"/>
    <w:rsid w:val="0019508D"/>
    <w:rsid w:val="001950AE"/>
    <w:rsid w:val="00195171"/>
    <w:rsid w:val="00195274"/>
    <w:rsid w:val="0019534D"/>
    <w:rsid w:val="0019540A"/>
    <w:rsid w:val="0019549B"/>
    <w:rsid w:val="001954FF"/>
    <w:rsid w:val="001955EC"/>
    <w:rsid w:val="0019562E"/>
    <w:rsid w:val="001956C6"/>
    <w:rsid w:val="0019574F"/>
    <w:rsid w:val="0019578D"/>
    <w:rsid w:val="001957D3"/>
    <w:rsid w:val="001957E1"/>
    <w:rsid w:val="001958B6"/>
    <w:rsid w:val="0019597A"/>
    <w:rsid w:val="00195B24"/>
    <w:rsid w:val="00195BF8"/>
    <w:rsid w:val="00195C15"/>
    <w:rsid w:val="00195C2E"/>
    <w:rsid w:val="00195C83"/>
    <w:rsid w:val="00195EB2"/>
    <w:rsid w:val="00195FE3"/>
    <w:rsid w:val="0019604B"/>
    <w:rsid w:val="0019608B"/>
    <w:rsid w:val="001960D0"/>
    <w:rsid w:val="0019622E"/>
    <w:rsid w:val="001962B8"/>
    <w:rsid w:val="00196433"/>
    <w:rsid w:val="001964F2"/>
    <w:rsid w:val="0019668C"/>
    <w:rsid w:val="00196775"/>
    <w:rsid w:val="00196852"/>
    <w:rsid w:val="001968A6"/>
    <w:rsid w:val="00196A84"/>
    <w:rsid w:val="00196AC8"/>
    <w:rsid w:val="00196AF1"/>
    <w:rsid w:val="00196B5E"/>
    <w:rsid w:val="00196BCD"/>
    <w:rsid w:val="00196CAC"/>
    <w:rsid w:val="00196D09"/>
    <w:rsid w:val="00196D26"/>
    <w:rsid w:val="00196DA9"/>
    <w:rsid w:val="00196E20"/>
    <w:rsid w:val="00196E5D"/>
    <w:rsid w:val="00196FF3"/>
    <w:rsid w:val="00197037"/>
    <w:rsid w:val="00197059"/>
    <w:rsid w:val="00197172"/>
    <w:rsid w:val="0019718F"/>
    <w:rsid w:val="00197267"/>
    <w:rsid w:val="00197338"/>
    <w:rsid w:val="0019736D"/>
    <w:rsid w:val="0019752A"/>
    <w:rsid w:val="00197533"/>
    <w:rsid w:val="001975BF"/>
    <w:rsid w:val="00197664"/>
    <w:rsid w:val="00197692"/>
    <w:rsid w:val="001976B9"/>
    <w:rsid w:val="0019772A"/>
    <w:rsid w:val="00197745"/>
    <w:rsid w:val="001977D2"/>
    <w:rsid w:val="0019780B"/>
    <w:rsid w:val="00197913"/>
    <w:rsid w:val="001979F1"/>
    <w:rsid w:val="00197AE7"/>
    <w:rsid w:val="00197B86"/>
    <w:rsid w:val="00197C42"/>
    <w:rsid w:val="00197D02"/>
    <w:rsid w:val="00197D4E"/>
    <w:rsid w:val="00197EC4"/>
    <w:rsid w:val="00197F20"/>
    <w:rsid w:val="001A0011"/>
    <w:rsid w:val="001A001D"/>
    <w:rsid w:val="001A0021"/>
    <w:rsid w:val="001A0070"/>
    <w:rsid w:val="001A00F8"/>
    <w:rsid w:val="001A017D"/>
    <w:rsid w:val="001A02A6"/>
    <w:rsid w:val="001A02C3"/>
    <w:rsid w:val="001A037B"/>
    <w:rsid w:val="001A0459"/>
    <w:rsid w:val="001A0566"/>
    <w:rsid w:val="001A0596"/>
    <w:rsid w:val="001A065E"/>
    <w:rsid w:val="001A0688"/>
    <w:rsid w:val="001A0773"/>
    <w:rsid w:val="001A0861"/>
    <w:rsid w:val="001A0892"/>
    <w:rsid w:val="001A0A53"/>
    <w:rsid w:val="001A0A80"/>
    <w:rsid w:val="001A0A8C"/>
    <w:rsid w:val="001A0CC6"/>
    <w:rsid w:val="001A0E78"/>
    <w:rsid w:val="001A0F3C"/>
    <w:rsid w:val="001A0FB3"/>
    <w:rsid w:val="001A0FCF"/>
    <w:rsid w:val="001A102A"/>
    <w:rsid w:val="001A1187"/>
    <w:rsid w:val="001A1228"/>
    <w:rsid w:val="001A12A6"/>
    <w:rsid w:val="001A1332"/>
    <w:rsid w:val="001A136B"/>
    <w:rsid w:val="001A138D"/>
    <w:rsid w:val="001A14BB"/>
    <w:rsid w:val="001A14CC"/>
    <w:rsid w:val="001A14FC"/>
    <w:rsid w:val="001A170C"/>
    <w:rsid w:val="001A1754"/>
    <w:rsid w:val="001A178C"/>
    <w:rsid w:val="001A1931"/>
    <w:rsid w:val="001A193D"/>
    <w:rsid w:val="001A1B75"/>
    <w:rsid w:val="001A1D77"/>
    <w:rsid w:val="001A1DD9"/>
    <w:rsid w:val="001A1E9B"/>
    <w:rsid w:val="001A1F73"/>
    <w:rsid w:val="001A2044"/>
    <w:rsid w:val="001A208F"/>
    <w:rsid w:val="001A20C9"/>
    <w:rsid w:val="001A2156"/>
    <w:rsid w:val="001A2255"/>
    <w:rsid w:val="001A225F"/>
    <w:rsid w:val="001A2266"/>
    <w:rsid w:val="001A2299"/>
    <w:rsid w:val="001A2586"/>
    <w:rsid w:val="001A259D"/>
    <w:rsid w:val="001A26BE"/>
    <w:rsid w:val="001A2704"/>
    <w:rsid w:val="001A2778"/>
    <w:rsid w:val="001A2779"/>
    <w:rsid w:val="001A2891"/>
    <w:rsid w:val="001A289B"/>
    <w:rsid w:val="001A290C"/>
    <w:rsid w:val="001A2923"/>
    <w:rsid w:val="001A29C0"/>
    <w:rsid w:val="001A2A14"/>
    <w:rsid w:val="001A2A62"/>
    <w:rsid w:val="001A2A79"/>
    <w:rsid w:val="001A2B33"/>
    <w:rsid w:val="001A2B8D"/>
    <w:rsid w:val="001A2BF9"/>
    <w:rsid w:val="001A2C6E"/>
    <w:rsid w:val="001A2CBA"/>
    <w:rsid w:val="001A2DC2"/>
    <w:rsid w:val="001A2E87"/>
    <w:rsid w:val="001A2E9E"/>
    <w:rsid w:val="001A2ED9"/>
    <w:rsid w:val="001A2F0A"/>
    <w:rsid w:val="001A2FC1"/>
    <w:rsid w:val="001A2FE6"/>
    <w:rsid w:val="001A3024"/>
    <w:rsid w:val="001A3068"/>
    <w:rsid w:val="001A313A"/>
    <w:rsid w:val="001A328B"/>
    <w:rsid w:val="001A32D6"/>
    <w:rsid w:val="001A32F6"/>
    <w:rsid w:val="001A33A7"/>
    <w:rsid w:val="001A34AC"/>
    <w:rsid w:val="001A3557"/>
    <w:rsid w:val="001A358F"/>
    <w:rsid w:val="001A35E6"/>
    <w:rsid w:val="001A3719"/>
    <w:rsid w:val="001A3760"/>
    <w:rsid w:val="001A3762"/>
    <w:rsid w:val="001A37E2"/>
    <w:rsid w:val="001A3834"/>
    <w:rsid w:val="001A38CA"/>
    <w:rsid w:val="001A3A6E"/>
    <w:rsid w:val="001A3AB4"/>
    <w:rsid w:val="001A3B2A"/>
    <w:rsid w:val="001A3C46"/>
    <w:rsid w:val="001A3CCB"/>
    <w:rsid w:val="001A3CD4"/>
    <w:rsid w:val="001A3DCE"/>
    <w:rsid w:val="001A3FD6"/>
    <w:rsid w:val="001A3FDF"/>
    <w:rsid w:val="001A4148"/>
    <w:rsid w:val="001A415A"/>
    <w:rsid w:val="001A42A0"/>
    <w:rsid w:val="001A42C4"/>
    <w:rsid w:val="001A42E9"/>
    <w:rsid w:val="001A433A"/>
    <w:rsid w:val="001A437E"/>
    <w:rsid w:val="001A458E"/>
    <w:rsid w:val="001A45A7"/>
    <w:rsid w:val="001A45B9"/>
    <w:rsid w:val="001A4635"/>
    <w:rsid w:val="001A4747"/>
    <w:rsid w:val="001A47F3"/>
    <w:rsid w:val="001A4824"/>
    <w:rsid w:val="001A4851"/>
    <w:rsid w:val="001A4865"/>
    <w:rsid w:val="001A4883"/>
    <w:rsid w:val="001A49BB"/>
    <w:rsid w:val="001A4A79"/>
    <w:rsid w:val="001A4B24"/>
    <w:rsid w:val="001A4B4A"/>
    <w:rsid w:val="001A4BFB"/>
    <w:rsid w:val="001A4C06"/>
    <w:rsid w:val="001A4CB9"/>
    <w:rsid w:val="001A4CF9"/>
    <w:rsid w:val="001A4DE4"/>
    <w:rsid w:val="001A4EF0"/>
    <w:rsid w:val="001A5059"/>
    <w:rsid w:val="001A5091"/>
    <w:rsid w:val="001A517B"/>
    <w:rsid w:val="001A51D4"/>
    <w:rsid w:val="001A51E1"/>
    <w:rsid w:val="001A5256"/>
    <w:rsid w:val="001A52B1"/>
    <w:rsid w:val="001A52FE"/>
    <w:rsid w:val="001A5469"/>
    <w:rsid w:val="001A548E"/>
    <w:rsid w:val="001A54BB"/>
    <w:rsid w:val="001A54F1"/>
    <w:rsid w:val="001A550F"/>
    <w:rsid w:val="001A5582"/>
    <w:rsid w:val="001A5593"/>
    <w:rsid w:val="001A55FC"/>
    <w:rsid w:val="001A560C"/>
    <w:rsid w:val="001A56DF"/>
    <w:rsid w:val="001A5705"/>
    <w:rsid w:val="001A578D"/>
    <w:rsid w:val="001A5862"/>
    <w:rsid w:val="001A58A6"/>
    <w:rsid w:val="001A58FE"/>
    <w:rsid w:val="001A5BC1"/>
    <w:rsid w:val="001A5BF1"/>
    <w:rsid w:val="001A5C15"/>
    <w:rsid w:val="001A5C6B"/>
    <w:rsid w:val="001A5C8D"/>
    <w:rsid w:val="001A5CE5"/>
    <w:rsid w:val="001A5D32"/>
    <w:rsid w:val="001A5E93"/>
    <w:rsid w:val="001A5EBB"/>
    <w:rsid w:val="001A5FAF"/>
    <w:rsid w:val="001A60F5"/>
    <w:rsid w:val="001A62E2"/>
    <w:rsid w:val="001A6345"/>
    <w:rsid w:val="001A648D"/>
    <w:rsid w:val="001A6554"/>
    <w:rsid w:val="001A65B5"/>
    <w:rsid w:val="001A6673"/>
    <w:rsid w:val="001A667B"/>
    <w:rsid w:val="001A6698"/>
    <w:rsid w:val="001A66A9"/>
    <w:rsid w:val="001A66B7"/>
    <w:rsid w:val="001A6851"/>
    <w:rsid w:val="001A68E2"/>
    <w:rsid w:val="001A6978"/>
    <w:rsid w:val="001A69A8"/>
    <w:rsid w:val="001A6A6B"/>
    <w:rsid w:val="001A6A9D"/>
    <w:rsid w:val="001A6B03"/>
    <w:rsid w:val="001A6BBE"/>
    <w:rsid w:val="001A6C7A"/>
    <w:rsid w:val="001A6CF9"/>
    <w:rsid w:val="001A6D85"/>
    <w:rsid w:val="001A6E49"/>
    <w:rsid w:val="001A6ECE"/>
    <w:rsid w:val="001A6EE8"/>
    <w:rsid w:val="001A704D"/>
    <w:rsid w:val="001A7156"/>
    <w:rsid w:val="001A7172"/>
    <w:rsid w:val="001A71C8"/>
    <w:rsid w:val="001A71DB"/>
    <w:rsid w:val="001A7281"/>
    <w:rsid w:val="001A7512"/>
    <w:rsid w:val="001A75FD"/>
    <w:rsid w:val="001A7772"/>
    <w:rsid w:val="001A77A5"/>
    <w:rsid w:val="001A782C"/>
    <w:rsid w:val="001A7841"/>
    <w:rsid w:val="001A7868"/>
    <w:rsid w:val="001A78F2"/>
    <w:rsid w:val="001A793C"/>
    <w:rsid w:val="001A7944"/>
    <w:rsid w:val="001A7A99"/>
    <w:rsid w:val="001A7AC5"/>
    <w:rsid w:val="001A7B35"/>
    <w:rsid w:val="001A7B8A"/>
    <w:rsid w:val="001A7E51"/>
    <w:rsid w:val="001A7E7B"/>
    <w:rsid w:val="001B006B"/>
    <w:rsid w:val="001B0087"/>
    <w:rsid w:val="001B01BB"/>
    <w:rsid w:val="001B0261"/>
    <w:rsid w:val="001B0321"/>
    <w:rsid w:val="001B0371"/>
    <w:rsid w:val="001B03E8"/>
    <w:rsid w:val="001B0421"/>
    <w:rsid w:val="001B0477"/>
    <w:rsid w:val="001B0591"/>
    <w:rsid w:val="001B05B9"/>
    <w:rsid w:val="001B05CB"/>
    <w:rsid w:val="001B06A5"/>
    <w:rsid w:val="001B06D7"/>
    <w:rsid w:val="001B0A80"/>
    <w:rsid w:val="001B0B01"/>
    <w:rsid w:val="001B0BBA"/>
    <w:rsid w:val="001B0BE4"/>
    <w:rsid w:val="001B0CA1"/>
    <w:rsid w:val="001B0CAA"/>
    <w:rsid w:val="001B0CE8"/>
    <w:rsid w:val="001B0CF5"/>
    <w:rsid w:val="001B0E37"/>
    <w:rsid w:val="001B0FFC"/>
    <w:rsid w:val="001B10DA"/>
    <w:rsid w:val="001B10F5"/>
    <w:rsid w:val="001B1136"/>
    <w:rsid w:val="001B1177"/>
    <w:rsid w:val="001B119A"/>
    <w:rsid w:val="001B13B5"/>
    <w:rsid w:val="001B13F6"/>
    <w:rsid w:val="001B145E"/>
    <w:rsid w:val="001B1571"/>
    <w:rsid w:val="001B170D"/>
    <w:rsid w:val="001B17CD"/>
    <w:rsid w:val="001B187B"/>
    <w:rsid w:val="001B18BD"/>
    <w:rsid w:val="001B18C7"/>
    <w:rsid w:val="001B18F0"/>
    <w:rsid w:val="001B1B93"/>
    <w:rsid w:val="001B1BB4"/>
    <w:rsid w:val="001B1BFC"/>
    <w:rsid w:val="001B1DDF"/>
    <w:rsid w:val="001B1DFB"/>
    <w:rsid w:val="001B1E33"/>
    <w:rsid w:val="001B2011"/>
    <w:rsid w:val="001B20D1"/>
    <w:rsid w:val="001B2134"/>
    <w:rsid w:val="001B220A"/>
    <w:rsid w:val="001B2239"/>
    <w:rsid w:val="001B226C"/>
    <w:rsid w:val="001B230D"/>
    <w:rsid w:val="001B238E"/>
    <w:rsid w:val="001B2459"/>
    <w:rsid w:val="001B27A6"/>
    <w:rsid w:val="001B29A2"/>
    <w:rsid w:val="001B29B6"/>
    <w:rsid w:val="001B29C2"/>
    <w:rsid w:val="001B2A2F"/>
    <w:rsid w:val="001B2B64"/>
    <w:rsid w:val="001B2B74"/>
    <w:rsid w:val="001B2B9B"/>
    <w:rsid w:val="001B2C76"/>
    <w:rsid w:val="001B2CD2"/>
    <w:rsid w:val="001B2D21"/>
    <w:rsid w:val="001B2D55"/>
    <w:rsid w:val="001B2DB8"/>
    <w:rsid w:val="001B2F21"/>
    <w:rsid w:val="001B2F37"/>
    <w:rsid w:val="001B304A"/>
    <w:rsid w:val="001B30A4"/>
    <w:rsid w:val="001B334E"/>
    <w:rsid w:val="001B3375"/>
    <w:rsid w:val="001B3446"/>
    <w:rsid w:val="001B3534"/>
    <w:rsid w:val="001B3542"/>
    <w:rsid w:val="001B35A6"/>
    <w:rsid w:val="001B35B6"/>
    <w:rsid w:val="001B37A1"/>
    <w:rsid w:val="001B3858"/>
    <w:rsid w:val="001B3880"/>
    <w:rsid w:val="001B396C"/>
    <w:rsid w:val="001B3A44"/>
    <w:rsid w:val="001B3A6F"/>
    <w:rsid w:val="001B3C02"/>
    <w:rsid w:val="001B3CBD"/>
    <w:rsid w:val="001B3E0C"/>
    <w:rsid w:val="001B3E52"/>
    <w:rsid w:val="001B406C"/>
    <w:rsid w:val="001B407C"/>
    <w:rsid w:val="001B40B4"/>
    <w:rsid w:val="001B419F"/>
    <w:rsid w:val="001B420C"/>
    <w:rsid w:val="001B4354"/>
    <w:rsid w:val="001B4373"/>
    <w:rsid w:val="001B4479"/>
    <w:rsid w:val="001B4632"/>
    <w:rsid w:val="001B46F7"/>
    <w:rsid w:val="001B4741"/>
    <w:rsid w:val="001B47FA"/>
    <w:rsid w:val="001B4BCD"/>
    <w:rsid w:val="001B4C98"/>
    <w:rsid w:val="001B4D33"/>
    <w:rsid w:val="001B4D64"/>
    <w:rsid w:val="001B4E9C"/>
    <w:rsid w:val="001B4ECA"/>
    <w:rsid w:val="001B50F8"/>
    <w:rsid w:val="001B515F"/>
    <w:rsid w:val="001B516E"/>
    <w:rsid w:val="001B529F"/>
    <w:rsid w:val="001B538B"/>
    <w:rsid w:val="001B539F"/>
    <w:rsid w:val="001B53D0"/>
    <w:rsid w:val="001B53DB"/>
    <w:rsid w:val="001B53FD"/>
    <w:rsid w:val="001B54E5"/>
    <w:rsid w:val="001B5568"/>
    <w:rsid w:val="001B55D5"/>
    <w:rsid w:val="001B55F9"/>
    <w:rsid w:val="001B5656"/>
    <w:rsid w:val="001B5679"/>
    <w:rsid w:val="001B5731"/>
    <w:rsid w:val="001B5764"/>
    <w:rsid w:val="001B58A5"/>
    <w:rsid w:val="001B5994"/>
    <w:rsid w:val="001B59A3"/>
    <w:rsid w:val="001B5A8A"/>
    <w:rsid w:val="001B5A98"/>
    <w:rsid w:val="001B5AA9"/>
    <w:rsid w:val="001B5AE0"/>
    <w:rsid w:val="001B5B02"/>
    <w:rsid w:val="001B5B6E"/>
    <w:rsid w:val="001B5B82"/>
    <w:rsid w:val="001B5BAA"/>
    <w:rsid w:val="001B5BBB"/>
    <w:rsid w:val="001B5C58"/>
    <w:rsid w:val="001B5C6F"/>
    <w:rsid w:val="001B5C98"/>
    <w:rsid w:val="001B5CD4"/>
    <w:rsid w:val="001B5D62"/>
    <w:rsid w:val="001B5DA5"/>
    <w:rsid w:val="001B5E34"/>
    <w:rsid w:val="001B5E3F"/>
    <w:rsid w:val="001B5E76"/>
    <w:rsid w:val="001B5F2E"/>
    <w:rsid w:val="001B5F58"/>
    <w:rsid w:val="001B5FE1"/>
    <w:rsid w:val="001B5FFF"/>
    <w:rsid w:val="001B6018"/>
    <w:rsid w:val="001B60A3"/>
    <w:rsid w:val="001B60C4"/>
    <w:rsid w:val="001B60DD"/>
    <w:rsid w:val="001B60EC"/>
    <w:rsid w:val="001B61A0"/>
    <w:rsid w:val="001B61A3"/>
    <w:rsid w:val="001B6349"/>
    <w:rsid w:val="001B640A"/>
    <w:rsid w:val="001B64E3"/>
    <w:rsid w:val="001B64FB"/>
    <w:rsid w:val="001B669B"/>
    <w:rsid w:val="001B679E"/>
    <w:rsid w:val="001B692B"/>
    <w:rsid w:val="001B6A4A"/>
    <w:rsid w:val="001B6A85"/>
    <w:rsid w:val="001B6AC7"/>
    <w:rsid w:val="001B6ADF"/>
    <w:rsid w:val="001B6B30"/>
    <w:rsid w:val="001B6B32"/>
    <w:rsid w:val="001B6CD9"/>
    <w:rsid w:val="001B6CDE"/>
    <w:rsid w:val="001B6D9C"/>
    <w:rsid w:val="001B6DAB"/>
    <w:rsid w:val="001B6E84"/>
    <w:rsid w:val="001B6FA4"/>
    <w:rsid w:val="001B6FAC"/>
    <w:rsid w:val="001B7175"/>
    <w:rsid w:val="001B71F6"/>
    <w:rsid w:val="001B7267"/>
    <w:rsid w:val="001B72E7"/>
    <w:rsid w:val="001B730B"/>
    <w:rsid w:val="001B73CB"/>
    <w:rsid w:val="001B73DC"/>
    <w:rsid w:val="001B740C"/>
    <w:rsid w:val="001B7469"/>
    <w:rsid w:val="001B78BD"/>
    <w:rsid w:val="001B7915"/>
    <w:rsid w:val="001B7930"/>
    <w:rsid w:val="001B793C"/>
    <w:rsid w:val="001B794D"/>
    <w:rsid w:val="001B7A00"/>
    <w:rsid w:val="001B7B56"/>
    <w:rsid w:val="001B7BAE"/>
    <w:rsid w:val="001B7DE2"/>
    <w:rsid w:val="001B7FCC"/>
    <w:rsid w:val="001B7FEB"/>
    <w:rsid w:val="001C0020"/>
    <w:rsid w:val="001C0122"/>
    <w:rsid w:val="001C019B"/>
    <w:rsid w:val="001C025C"/>
    <w:rsid w:val="001C039B"/>
    <w:rsid w:val="001C047A"/>
    <w:rsid w:val="001C04F9"/>
    <w:rsid w:val="001C05C6"/>
    <w:rsid w:val="001C065F"/>
    <w:rsid w:val="001C06A0"/>
    <w:rsid w:val="001C06C5"/>
    <w:rsid w:val="001C0716"/>
    <w:rsid w:val="001C078E"/>
    <w:rsid w:val="001C079B"/>
    <w:rsid w:val="001C07B4"/>
    <w:rsid w:val="001C096C"/>
    <w:rsid w:val="001C0A9E"/>
    <w:rsid w:val="001C0C66"/>
    <w:rsid w:val="001C0CFB"/>
    <w:rsid w:val="001C0D45"/>
    <w:rsid w:val="001C0DA0"/>
    <w:rsid w:val="001C0DE5"/>
    <w:rsid w:val="001C0EC7"/>
    <w:rsid w:val="001C113B"/>
    <w:rsid w:val="001C11C4"/>
    <w:rsid w:val="001C1227"/>
    <w:rsid w:val="001C1376"/>
    <w:rsid w:val="001C148E"/>
    <w:rsid w:val="001C1510"/>
    <w:rsid w:val="001C152C"/>
    <w:rsid w:val="001C152E"/>
    <w:rsid w:val="001C1591"/>
    <w:rsid w:val="001C160A"/>
    <w:rsid w:val="001C16B2"/>
    <w:rsid w:val="001C1738"/>
    <w:rsid w:val="001C17C6"/>
    <w:rsid w:val="001C18CC"/>
    <w:rsid w:val="001C1912"/>
    <w:rsid w:val="001C19FA"/>
    <w:rsid w:val="001C1A0E"/>
    <w:rsid w:val="001C1C2A"/>
    <w:rsid w:val="001C1C5B"/>
    <w:rsid w:val="001C1C73"/>
    <w:rsid w:val="001C1C88"/>
    <w:rsid w:val="001C1D3A"/>
    <w:rsid w:val="001C1D4B"/>
    <w:rsid w:val="001C1D85"/>
    <w:rsid w:val="001C1DA2"/>
    <w:rsid w:val="001C1DAB"/>
    <w:rsid w:val="001C1DFF"/>
    <w:rsid w:val="001C1F9D"/>
    <w:rsid w:val="001C1FDE"/>
    <w:rsid w:val="001C206E"/>
    <w:rsid w:val="001C2103"/>
    <w:rsid w:val="001C21D2"/>
    <w:rsid w:val="001C22C8"/>
    <w:rsid w:val="001C22CE"/>
    <w:rsid w:val="001C2378"/>
    <w:rsid w:val="001C2460"/>
    <w:rsid w:val="001C2466"/>
    <w:rsid w:val="001C24DF"/>
    <w:rsid w:val="001C25B0"/>
    <w:rsid w:val="001C2639"/>
    <w:rsid w:val="001C2654"/>
    <w:rsid w:val="001C267D"/>
    <w:rsid w:val="001C26D5"/>
    <w:rsid w:val="001C27F3"/>
    <w:rsid w:val="001C29B8"/>
    <w:rsid w:val="001C29CC"/>
    <w:rsid w:val="001C2C29"/>
    <w:rsid w:val="001C2D44"/>
    <w:rsid w:val="001C2DF2"/>
    <w:rsid w:val="001C2E08"/>
    <w:rsid w:val="001C2E32"/>
    <w:rsid w:val="001C2F1A"/>
    <w:rsid w:val="001C2F47"/>
    <w:rsid w:val="001C3232"/>
    <w:rsid w:val="001C332D"/>
    <w:rsid w:val="001C3475"/>
    <w:rsid w:val="001C34CE"/>
    <w:rsid w:val="001C34E3"/>
    <w:rsid w:val="001C357A"/>
    <w:rsid w:val="001C3677"/>
    <w:rsid w:val="001C3708"/>
    <w:rsid w:val="001C3719"/>
    <w:rsid w:val="001C375B"/>
    <w:rsid w:val="001C37E0"/>
    <w:rsid w:val="001C38C8"/>
    <w:rsid w:val="001C38DF"/>
    <w:rsid w:val="001C3A1D"/>
    <w:rsid w:val="001C3B36"/>
    <w:rsid w:val="001C3B76"/>
    <w:rsid w:val="001C3CEC"/>
    <w:rsid w:val="001C3E63"/>
    <w:rsid w:val="001C3E82"/>
    <w:rsid w:val="001C3ECC"/>
    <w:rsid w:val="001C3F34"/>
    <w:rsid w:val="001C3F5B"/>
    <w:rsid w:val="001C3F9A"/>
    <w:rsid w:val="001C4134"/>
    <w:rsid w:val="001C41E9"/>
    <w:rsid w:val="001C427E"/>
    <w:rsid w:val="001C42B3"/>
    <w:rsid w:val="001C43C8"/>
    <w:rsid w:val="001C4401"/>
    <w:rsid w:val="001C449B"/>
    <w:rsid w:val="001C44B0"/>
    <w:rsid w:val="001C44C1"/>
    <w:rsid w:val="001C4513"/>
    <w:rsid w:val="001C45CF"/>
    <w:rsid w:val="001C4657"/>
    <w:rsid w:val="001C4774"/>
    <w:rsid w:val="001C4828"/>
    <w:rsid w:val="001C48A0"/>
    <w:rsid w:val="001C490B"/>
    <w:rsid w:val="001C4BAB"/>
    <w:rsid w:val="001C4BE8"/>
    <w:rsid w:val="001C4C70"/>
    <w:rsid w:val="001C4CB8"/>
    <w:rsid w:val="001C4CD0"/>
    <w:rsid w:val="001C4D4E"/>
    <w:rsid w:val="001C4D55"/>
    <w:rsid w:val="001C4D6A"/>
    <w:rsid w:val="001C4E3C"/>
    <w:rsid w:val="001C4E6A"/>
    <w:rsid w:val="001C4E94"/>
    <w:rsid w:val="001C5040"/>
    <w:rsid w:val="001C5130"/>
    <w:rsid w:val="001C528A"/>
    <w:rsid w:val="001C52D1"/>
    <w:rsid w:val="001C52FB"/>
    <w:rsid w:val="001C5311"/>
    <w:rsid w:val="001C5337"/>
    <w:rsid w:val="001C53A6"/>
    <w:rsid w:val="001C5513"/>
    <w:rsid w:val="001C554E"/>
    <w:rsid w:val="001C55C4"/>
    <w:rsid w:val="001C55E5"/>
    <w:rsid w:val="001C562D"/>
    <w:rsid w:val="001C56EE"/>
    <w:rsid w:val="001C57A8"/>
    <w:rsid w:val="001C5929"/>
    <w:rsid w:val="001C598A"/>
    <w:rsid w:val="001C59A6"/>
    <w:rsid w:val="001C59FB"/>
    <w:rsid w:val="001C5A6D"/>
    <w:rsid w:val="001C5ABD"/>
    <w:rsid w:val="001C5B7C"/>
    <w:rsid w:val="001C5C0D"/>
    <w:rsid w:val="001C5CAD"/>
    <w:rsid w:val="001C5D03"/>
    <w:rsid w:val="001C5D70"/>
    <w:rsid w:val="001C5DAD"/>
    <w:rsid w:val="001C5FCE"/>
    <w:rsid w:val="001C5FFB"/>
    <w:rsid w:val="001C6046"/>
    <w:rsid w:val="001C6104"/>
    <w:rsid w:val="001C6123"/>
    <w:rsid w:val="001C61C3"/>
    <w:rsid w:val="001C6223"/>
    <w:rsid w:val="001C62AA"/>
    <w:rsid w:val="001C62B6"/>
    <w:rsid w:val="001C6335"/>
    <w:rsid w:val="001C63CE"/>
    <w:rsid w:val="001C6668"/>
    <w:rsid w:val="001C6674"/>
    <w:rsid w:val="001C66AC"/>
    <w:rsid w:val="001C66E1"/>
    <w:rsid w:val="001C66E8"/>
    <w:rsid w:val="001C68F9"/>
    <w:rsid w:val="001C6982"/>
    <w:rsid w:val="001C6990"/>
    <w:rsid w:val="001C6AF9"/>
    <w:rsid w:val="001C6B80"/>
    <w:rsid w:val="001C6BDC"/>
    <w:rsid w:val="001C6C24"/>
    <w:rsid w:val="001C6CDA"/>
    <w:rsid w:val="001C6D48"/>
    <w:rsid w:val="001C6D98"/>
    <w:rsid w:val="001C6E1C"/>
    <w:rsid w:val="001C6E9A"/>
    <w:rsid w:val="001C6EA1"/>
    <w:rsid w:val="001C6EA9"/>
    <w:rsid w:val="001C70D1"/>
    <w:rsid w:val="001C7127"/>
    <w:rsid w:val="001C714E"/>
    <w:rsid w:val="001C7157"/>
    <w:rsid w:val="001C71BB"/>
    <w:rsid w:val="001C723E"/>
    <w:rsid w:val="001C72D3"/>
    <w:rsid w:val="001C7390"/>
    <w:rsid w:val="001C73B2"/>
    <w:rsid w:val="001C73D3"/>
    <w:rsid w:val="001C73F5"/>
    <w:rsid w:val="001C748F"/>
    <w:rsid w:val="001C74EA"/>
    <w:rsid w:val="001C74EB"/>
    <w:rsid w:val="001C7571"/>
    <w:rsid w:val="001C75C3"/>
    <w:rsid w:val="001C75C6"/>
    <w:rsid w:val="001C771F"/>
    <w:rsid w:val="001C77AE"/>
    <w:rsid w:val="001C77EA"/>
    <w:rsid w:val="001C7936"/>
    <w:rsid w:val="001C79D4"/>
    <w:rsid w:val="001C7A15"/>
    <w:rsid w:val="001C7B63"/>
    <w:rsid w:val="001C7B8C"/>
    <w:rsid w:val="001C7C65"/>
    <w:rsid w:val="001C7CE3"/>
    <w:rsid w:val="001C7D2C"/>
    <w:rsid w:val="001C7D67"/>
    <w:rsid w:val="001C7D82"/>
    <w:rsid w:val="001C7E06"/>
    <w:rsid w:val="001C7F87"/>
    <w:rsid w:val="001C7FF8"/>
    <w:rsid w:val="001D0059"/>
    <w:rsid w:val="001D0073"/>
    <w:rsid w:val="001D015B"/>
    <w:rsid w:val="001D0393"/>
    <w:rsid w:val="001D0458"/>
    <w:rsid w:val="001D060B"/>
    <w:rsid w:val="001D073A"/>
    <w:rsid w:val="001D0912"/>
    <w:rsid w:val="001D0956"/>
    <w:rsid w:val="001D09E8"/>
    <w:rsid w:val="001D0A0D"/>
    <w:rsid w:val="001D0BD9"/>
    <w:rsid w:val="001D0C0C"/>
    <w:rsid w:val="001D0CEB"/>
    <w:rsid w:val="001D0CFD"/>
    <w:rsid w:val="001D0D15"/>
    <w:rsid w:val="001D0E1C"/>
    <w:rsid w:val="001D0EEC"/>
    <w:rsid w:val="001D0F5B"/>
    <w:rsid w:val="001D0F5D"/>
    <w:rsid w:val="001D0FA5"/>
    <w:rsid w:val="001D0FBA"/>
    <w:rsid w:val="001D0FF9"/>
    <w:rsid w:val="001D1134"/>
    <w:rsid w:val="001D11F9"/>
    <w:rsid w:val="001D1232"/>
    <w:rsid w:val="001D1300"/>
    <w:rsid w:val="001D13E9"/>
    <w:rsid w:val="001D1410"/>
    <w:rsid w:val="001D14F3"/>
    <w:rsid w:val="001D1552"/>
    <w:rsid w:val="001D158C"/>
    <w:rsid w:val="001D168C"/>
    <w:rsid w:val="001D16D2"/>
    <w:rsid w:val="001D17E4"/>
    <w:rsid w:val="001D17F9"/>
    <w:rsid w:val="001D1866"/>
    <w:rsid w:val="001D18BE"/>
    <w:rsid w:val="001D1904"/>
    <w:rsid w:val="001D1914"/>
    <w:rsid w:val="001D1B28"/>
    <w:rsid w:val="001D1C32"/>
    <w:rsid w:val="001D1C78"/>
    <w:rsid w:val="001D1D18"/>
    <w:rsid w:val="001D1E58"/>
    <w:rsid w:val="001D1E7D"/>
    <w:rsid w:val="001D1F0D"/>
    <w:rsid w:val="001D1F4D"/>
    <w:rsid w:val="001D21F1"/>
    <w:rsid w:val="001D24E5"/>
    <w:rsid w:val="001D2613"/>
    <w:rsid w:val="001D275B"/>
    <w:rsid w:val="001D27C4"/>
    <w:rsid w:val="001D27C7"/>
    <w:rsid w:val="001D282B"/>
    <w:rsid w:val="001D28CA"/>
    <w:rsid w:val="001D294C"/>
    <w:rsid w:val="001D295A"/>
    <w:rsid w:val="001D2AFE"/>
    <w:rsid w:val="001D2B19"/>
    <w:rsid w:val="001D2C2A"/>
    <w:rsid w:val="001D2CED"/>
    <w:rsid w:val="001D2D51"/>
    <w:rsid w:val="001D2D9A"/>
    <w:rsid w:val="001D2EFE"/>
    <w:rsid w:val="001D2F8E"/>
    <w:rsid w:val="001D316E"/>
    <w:rsid w:val="001D31AE"/>
    <w:rsid w:val="001D31EC"/>
    <w:rsid w:val="001D3208"/>
    <w:rsid w:val="001D3326"/>
    <w:rsid w:val="001D346A"/>
    <w:rsid w:val="001D348B"/>
    <w:rsid w:val="001D34A0"/>
    <w:rsid w:val="001D3589"/>
    <w:rsid w:val="001D35E1"/>
    <w:rsid w:val="001D3614"/>
    <w:rsid w:val="001D3641"/>
    <w:rsid w:val="001D370E"/>
    <w:rsid w:val="001D377B"/>
    <w:rsid w:val="001D379E"/>
    <w:rsid w:val="001D3818"/>
    <w:rsid w:val="001D39F4"/>
    <w:rsid w:val="001D3ACD"/>
    <w:rsid w:val="001D3AE3"/>
    <w:rsid w:val="001D3C23"/>
    <w:rsid w:val="001D3C42"/>
    <w:rsid w:val="001D3C70"/>
    <w:rsid w:val="001D3CC0"/>
    <w:rsid w:val="001D3D49"/>
    <w:rsid w:val="001D3E8F"/>
    <w:rsid w:val="001D3F6C"/>
    <w:rsid w:val="001D40B1"/>
    <w:rsid w:val="001D40F2"/>
    <w:rsid w:val="001D419C"/>
    <w:rsid w:val="001D4283"/>
    <w:rsid w:val="001D4349"/>
    <w:rsid w:val="001D436E"/>
    <w:rsid w:val="001D43F5"/>
    <w:rsid w:val="001D4431"/>
    <w:rsid w:val="001D4439"/>
    <w:rsid w:val="001D4454"/>
    <w:rsid w:val="001D4461"/>
    <w:rsid w:val="001D45B6"/>
    <w:rsid w:val="001D45BB"/>
    <w:rsid w:val="001D464E"/>
    <w:rsid w:val="001D470A"/>
    <w:rsid w:val="001D475A"/>
    <w:rsid w:val="001D47EE"/>
    <w:rsid w:val="001D486A"/>
    <w:rsid w:val="001D486D"/>
    <w:rsid w:val="001D48C0"/>
    <w:rsid w:val="001D4931"/>
    <w:rsid w:val="001D4A11"/>
    <w:rsid w:val="001D4A27"/>
    <w:rsid w:val="001D4A64"/>
    <w:rsid w:val="001D4AF3"/>
    <w:rsid w:val="001D4D20"/>
    <w:rsid w:val="001D4D29"/>
    <w:rsid w:val="001D4DFB"/>
    <w:rsid w:val="001D4E65"/>
    <w:rsid w:val="001D4ECD"/>
    <w:rsid w:val="001D4F27"/>
    <w:rsid w:val="001D50A0"/>
    <w:rsid w:val="001D5130"/>
    <w:rsid w:val="001D523A"/>
    <w:rsid w:val="001D531E"/>
    <w:rsid w:val="001D5359"/>
    <w:rsid w:val="001D535E"/>
    <w:rsid w:val="001D53F2"/>
    <w:rsid w:val="001D5424"/>
    <w:rsid w:val="001D54C7"/>
    <w:rsid w:val="001D5510"/>
    <w:rsid w:val="001D5550"/>
    <w:rsid w:val="001D55A2"/>
    <w:rsid w:val="001D5718"/>
    <w:rsid w:val="001D57A0"/>
    <w:rsid w:val="001D5805"/>
    <w:rsid w:val="001D5857"/>
    <w:rsid w:val="001D5904"/>
    <w:rsid w:val="001D59C4"/>
    <w:rsid w:val="001D5ACB"/>
    <w:rsid w:val="001D5AD4"/>
    <w:rsid w:val="001D5ADB"/>
    <w:rsid w:val="001D5CBC"/>
    <w:rsid w:val="001D5D16"/>
    <w:rsid w:val="001D5EC0"/>
    <w:rsid w:val="001D5FAC"/>
    <w:rsid w:val="001D5FBB"/>
    <w:rsid w:val="001D615D"/>
    <w:rsid w:val="001D6184"/>
    <w:rsid w:val="001D6224"/>
    <w:rsid w:val="001D62FB"/>
    <w:rsid w:val="001D63A5"/>
    <w:rsid w:val="001D6456"/>
    <w:rsid w:val="001D64B0"/>
    <w:rsid w:val="001D65AA"/>
    <w:rsid w:val="001D65EA"/>
    <w:rsid w:val="001D6688"/>
    <w:rsid w:val="001D66AF"/>
    <w:rsid w:val="001D6767"/>
    <w:rsid w:val="001D6783"/>
    <w:rsid w:val="001D67EC"/>
    <w:rsid w:val="001D67ED"/>
    <w:rsid w:val="001D682F"/>
    <w:rsid w:val="001D6958"/>
    <w:rsid w:val="001D69E5"/>
    <w:rsid w:val="001D69E8"/>
    <w:rsid w:val="001D6A6A"/>
    <w:rsid w:val="001D6BD9"/>
    <w:rsid w:val="001D6C12"/>
    <w:rsid w:val="001D6C47"/>
    <w:rsid w:val="001D6C57"/>
    <w:rsid w:val="001D6CC2"/>
    <w:rsid w:val="001D6D28"/>
    <w:rsid w:val="001D6D93"/>
    <w:rsid w:val="001D7024"/>
    <w:rsid w:val="001D7055"/>
    <w:rsid w:val="001D710F"/>
    <w:rsid w:val="001D712C"/>
    <w:rsid w:val="001D713C"/>
    <w:rsid w:val="001D726A"/>
    <w:rsid w:val="001D72E9"/>
    <w:rsid w:val="001D7307"/>
    <w:rsid w:val="001D7330"/>
    <w:rsid w:val="001D738C"/>
    <w:rsid w:val="001D740B"/>
    <w:rsid w:val="001D746A"/>
    <w:rsid w:val="001D746F"/>
    <w:rsid w:val="001D75E1"/>
    <w:rsid w:val="001D7733"/>
    <w:rsid w:val="001D7846"/>
    <w:rsid w:val="001D7848"/>
    <w:rsid w:val="001D7B64"/>
    <w:rsid w:val="001D7C37"/>
    <w:rsid w:val="001D7C5B"/>
    <w:rsid w:val="001D7C92"/>
    <w:rsid w:val="001D7D14"/>
    <w:rsid w:val="001D7D5C"/>
    <w:rsid w:val="001D7E60"/>
    <w:rsid w:val="001D7F1D"/>
    <w:rsid w:val="001D7FD4"/>
    <w:rsid w:val="001E00A7"/>
    <w:rsid w:val="001E0150"/>
    <w:rsid w:val="001E0180"/>
    <w:rsid w:val="001E01A9"/>
    <w:rsid w:val="001E0393"/>
    <w:rsid w:val="001E03AF"/>
    <w:rsid w:val="001E03C2"/>
    <w:rsid w:val="001E0443"/>
    <w:rsid w:val="001E0458"/>
    <w:rsid w:val="001E0464"/>
    <w:rsid w:val="001E0506"/>
    <w:rsid w:val="001E062D"/>
    <w:rsid w:val="001E071E"/>
    <w:rsid w:val="001E0736"/>
    <w:rsid w:val="001E07AF"/>
    <w:rsid w:val="001E0828"/>
    <w:rsid w:val="001E0971"/>
    <w:rsid w:val="001E0977"/>
    <w:rsid w:val="001E0989"/>
    <w:rsid w:val="001E09C9"/>
    <w:rsid w:val="001E0A4B"/>
    <w:rsid w:val="001E0A92"/>
    <w:rsid w:val="001E0BB1"/>
    <w:rsid w:val="001E0BF2"/>
    <w:rsid w:val="001E0CB1"/>
    <w:rsid w:val="001E0D09"/>
    <w:rsid w:val="001E0D81"/>
    <w:rsid w:val="001E0E18"/>
    <w:rsid w:val="001E0E84"/>
    <w:rsid w:val="001E0E95"/>
    <w:rsid w:val="001E1169"/>
    <w:rsid w:val="001E13C2"/>
    <w:rsid w:val="001E143D"/>
    <w:rsid w:val="001E15A0"/>
    <w:rsid w:val="001E1619"/>
    <w:rsid w:val="001E1682"/>
    <w:rsid w:val="001E173B"/>
    <w:rsid w:val="001E1785"/>
    <w:rsid w:val="001E17A3"/>
    <w:rsid w:val="001E180C"/>
    <w:rsid w:val="001E1862"/>
    <w:rsid w:val="001E1979"/>
    <w:rsid w:val="001E1A5C"/>
    <w:rsid w:val="001E1BE9"/>
    <w:rsid w:val="001E1C77"/>
    <w:rsid w:val="001E1D2D"/>
    <w:rsid w:val="001E1D77"/>
    <w:rsid w:val="001E1F83"/>
    <w:rsid w:val="001E1F93"/>
    <w:rsid w:val="001E20B3"/>
    <w:rsid w:val="001E20D7"/>
    <w:rsid w:val="001E2110"/>
    <w:rsid w:val="001E2166"/>
    <w:rsid w:val="001E22D2"/>
    <w:rsid w:val="001E247B"/>
    <w:rsid w:val="001E25A3"/>
    <w:rsid w:val="001E2645"/>
    <w:rsid w:val="001E26BA"/>
    <w:rsid w:val="001E2734"/>
    <w:rsid w:val="001E2776"/>
    <w:rsid w:val="001E277C"/>
    <w:rsid w:val="001E27FE"/>
    <w:rsid w:val="001E2837"/>
    <w:rsid w:val="001E29C5"/>
    <w:rsid w:val="001E29D6"/>
    <w:rsid w:val="001E2A1B"/>
    <w:rsid w:val="001E2ABB"/>
    <w:rsid w:val="001E2B4B"/>
    <w:rsid w:val="001E2BC8"/>
    <w:rsid w:val="001E2C12"/>
    <w:rsid w:val="001E2CC6"/>
    <w:rsid w:val="001E2DAA"/>
    <w:rsid w:val="001E2E0E"/>
    <w:rsid w:val="001E2E3C"/>
    <w:rsid w:val="001E2E47"/>
    <w:rsid w:val="001E2E78"/>
    <w:rsid w:val="001E2EA2"/>
    <w:rsid w:val="001E2F1F"/>
    <w:rsid w:val="001E2F22"/>
    <w:rsid w:val="001E2F4E"/>
    <w:rsid w:val="001E2F9C"/>
    <w:rsid w:val="001E3006"/>
    <w:rsid w:val="001E3023"/>
    <w:rsid w:val="001E30F8"/>
    <w:rsid w:val="001E3185"/>
    <w:rsid w:val="001E324B"/>
    <w:rsid w:val="001E343E"/>
    <w:rsid w:val="001E3493"/>
    <w:rsid w:val="001E34EA"/>
    <w:rsid w:val="001E3579"/>
    <w:rsid w:val="001E35C4"/>
    <w:rsid w:val="001E3630"/>
    <w:rsid w:val="001E36F1"/>
    <w:rsid w:val="001E373B"/>
    <w:rsid w:val="001E3904"/>
    <w:rsid w:val="001E390C"/>
    <w:rsid w:val="001E39ED"/>
    <w:rsid w:val="001E39FE"/>
    <w:rsid w:val="001E3A3C"/>
    <w:rsid w:val="001E3A78"/>
    <w:rsid w:val="001E3ACA"/>
    <w:rsid w:val="001E3B07"/>
    <w:rsid w:val="001E3D0A"/>
    <w:rsid w:val="001E3D7B"/>
    <w:rsid w:val="001E3D89"/>
    <w:rsid w:val="001E3DE6"/>
    <w:rsid w:val="001E3ECC"/>
    <w:rsid w:val="001E3F67"/>
    <w:rsid w:val="001E3FB1"/>
    <w:rsid w:val="001E3FE6"/>
    <w:rsid w:val="001E40B1"/>
    <w:rsid w:val="001E4213"/>
    <w:rsid w:val="001E4244"/>
    <w:rsid w:val="001E42EA"/>
    <w:rsid w:val="001E442E"/>
    <w:rsid w:val="001E4495"/>
    <w:rsid w:val="001E4525"/>
    <w:rsid w:val="001E4695"/>
    <w:rsid w:val="001E469F"/>
    <w:rsid w:val="001E4791"/>
    <w:rsid w:val="001E4874"/>
    <w:rsid w:val="001E4971"/>
    <w:rsid w:val="001E4C4D"/>
    <w:rsid w:val="001E4C70"/>
    <w:rsid w:val="001E4D7C"/>
    <w:rsid w:val="001E4DEB"/>
    <w:rsid w:val="001E4DF3"/>
    <w:rsid w:val="001E4E1A"/>
    <w:rsid w:val="001E4E72"/>
    <w:rsid w:val="001E4EFD"/>
    <w:rsid w:val="001E50F8"/>
    <w:rsid w:val="001E53FA"/>
    <w:rsid w:val="001E54D2"/>
    <w:rsid w:val="001E55A9"/>
    <w:rsid w:val="001E564A"/>
    <w:rsid w:val="001E5781"/>
    <w:rsid w:val="001E585D"/>
    <w:rsid w:val="001E58ED"/>
    <w:rsid w:val="001E59A1"/>
    <w:rsid w:val="001E5A53"/>
    <w:rsid w:val="001E5ABE"/>
    <w:rsid w:val="001E5B6A"/>
    <w:rsid w:val="001E5C2D"/>
    <w:rsid w:val="001E5C5B"/>
    <w:rsid w:val="001E5C84"/>
    <w:rsid w:val="001E5CB6"/>
    <w:rsid w:val="001E5D56"/>
    <w:rsid w:val="001E5E00"/>
    <w:rsid w:val="001E5E58"/>
    <w:rsid w:val="001E5E80"/>
    <w:rsid w:val="001E5FAC"/>
    <w:rsid w:val="001E620F"/>
    <w:rsid w:val="001E6329"/>
    <w:rsid w:val="001E64C1"/>
    <w:rsid w:val="001E655A"/>
    <w:rsid w:val="001E6732"/>
    <w:rsid w:val="001E67C6"/>
    <w:rsid w:val="001E69FF"/>
    <w:rsid w:val="001E6A41"/>
    <w:rsid w:val="001E6A6A"/>
    <w:rsid w:val="001E6A92"/>
    <w:rsid w:val="001E6AA8"/>
    <w:rsid w:val="001E6BD8"/>
    <w:rsid w:val="001E6C1F"/>
    <w:rsid w:val="001E6CAE"/>
    <w:rsid w:val="001E6DD8"/>
    <w:rsid w:val="001E6E53"/>
    <w:rsid w:val="001E6FA5"/>
    <w:rsid w:val="001E71B8"/>
    <w:rsid w:val="001E71F7"/>
    <w:rsid w:val="001E721A"/>
    <w:rsid w:val="001E722E"/>
    <w:rsid w:val="001E72EB"/>
    <w:rsid w:val="001E73A1"/>
    <w:rsid w:val="001E740E"/>
    <w:rsid w:val="001E7469"/>
    <w:rsid w:val="001E7577"/>
    <w:rsid w:val="001E7783"/>
    <w:rsid w:val="001E77C1"/>
    <w:rsid w:val="001E7861"/>
    <w:rsid w:val="001E78B9"/>
    <w:rsid w:val="001E78FB"/>
    <w:rsid w:val="001E793C"/>
    <w:rsid w:val="001E7944"/>
    <w:rsid w:val="001E7A30"/>
    <w:rsid w:val="001E7A9C"/>
    <w:rsid w:val="001E7C0D"/>
    <w:rsid w:val="001E7CEC"/>
    <w:rsid w:val="001E7D36"/>
    <w:rsid w:val="001E7E88"/>
    <w:rsid w:val="001E7E93"/>
    <w:rsid w:val="001E7EAE"/>
    <w:rsid w:val="001E7EB4"/>
    <w:rsid w:val="001E7F54"/>
    <w:rsid w:val="001F002B"/>
    <w:rsid w:val="001F00A0"/>
    <w:rsid w:val="001F010C"/>
    <w:rsid w:val="001F01D7"/>
    <w:rsid w:val="001F0211"/>
    <w:rsid w:val="001F0234"/>
    <w:rsid w:val="001F031E"/>
    <w:rsid w:val="001F0357"/>
    <w:rsid w:val="001F0618"/>
    <w:rsid w:val="001F0660"/>
    <w:rsid w:val="001F067A"/>
    <w:rsid w:val="001F06A6"/>
    <w:rsid w:val="001F06E7"/>
    <w:rsid w:val="001F07D1"/>
    <w:rsid w:val="001F08B6"/>
    <w:rsid w:val="001F08C3"/>
    <w:rsid w:val="001F0AF0"/>
    <w:rsid w:val="001F0CB9"/>
    <w:rsid w:val="001F0E78"/>
    <w:rsid w:val="001F0ED2"/>
    <w:rsid w:val="001F0EF6"/>
    <w:rsid w:val="001F0F02"/>
    <w:rsid w:val="001F1045"/>
    <w:rsid w:val="001F1088"/>
    <w:rsid w:val="001F10E6"/>
    <w:rsid w:val="001F10F9"/>
    <w:rsid w:val="001F1123"/>
    <w:rsid w:val="001F1180"/>
    <w:rsid w:val="001F1193"/>
    <w:rsid w:val="001F11DB"/>
    <w:rsid w:val="001F1237"/>
    <w:rsid w:val="001F1247"/>
    <w:rsid w:val="001F124E"/>
    <w:rsid w:val="001F129F"/>
    <w:rsid w:val="001F1317"/>
    <w:rsid w:val="001F140F"/>
    <w:rsid w:val="001F142F"/>
    <w:rsid w:val="001F145A"/>
    <w:rsid w:val="001F1499"/>
    <w:rsid w:val="001F15DC"/>
    <w:rsid w:val="001F1638"/>
    <w:rsid w:val="001F1799"/>
    <w:rsid w:val="001F191E"/>
    <w:rsid w:val="001F1969"/>
    <w:rsid w:val="001F19F0"/>
    <w:rsid w:val="001F1A46"/>
    <w:rsid w:val="001F1BAE"/>
    <w:rsid w:val="001F1C88"/>
    <w:rsid w:val="001F1C93"/>
    <w:rsid w:val="001F1D23"/>
    <w:rsid w:val="001F1D4C"/>
    <w:rsid w:val="001F1D73"/>
    <w:rsid w:val="001F1E00"/>
    <w:rsid w:val="001F1E51"/>
    <w:rsid w:val="001F1E7C"/>
    <w:rsid w:val="001F1ECF"/>
    <w:rsid w:val="001F1ED1"/>
    <w:rsid w:val="001F20B9"/>
    <w:rsid w:val="001F210C"/>
    <w:rsid w:val="001F2151"/>
    <w:rsid w:val="001F222A"/>
    <w:rsid w:val="001F228B"/>
    <w:rsid w:val="001F248A"/>
    <w:rsid w:val="001F2665"/>
    <w:rsid w:val="001F26C6"/>
    <w:rsid w:val="001F2710"/>
    <w:rsid w:val="001F2718"/>
    <w:rsid w:val="001F27AD"/>
    <w:rsid w:val="001F27FD"/>
    <w:rsid w:val="001F292C"/>
    <w:rsid w:val="001F2A39"/>
    <w:rsid w:val="001F2DB1"/>
    <w:rsid w:val="001F2E52"/>
    <w:rsid w:val="001F2EE8"/>
    <w:rsid w:val="001F30A4"/>
    <w:rsid w:val="001F30A8"/>
    <w:rsid w:val="001F31AA"/>
    <w:rsid w:val="001F3208"/>
    <w:rsid w:val="001F3325"/>
    <w:rsid w:val="001F33FB"/>
    <w:rsid w:val="001F342C"/>
    <w:rsid w:val="001F3650"/>
    <w:rsid w:val="001F37D1"/>
    <w:rsid w:val="001F3810"/>
    <w:rsid w:val="001F3862"/>
    <w:rsid w:val="001F397E"/>
    <w:rsid w:val="001F3A3A"/>
    <w:rsid w:val="001F3D5C"/>
    <w:rsid w:val="001F3D6C"/>
    <w:rsid w:val="001F3D91"/>
    <w:rsid w:val="001F3DD4"/>
    <w:rsid w:val="001F3F06"/>
    <w:rsid w:val="001F3F09"/>
    <w:rsid w:val="001F3F2F"/>
    <w:rsid w:val="001F3F3B"/>
    <w:rsid w:val="001F4029"/>
    <w:rsid w:val="001F4054"/>
    <w:rsid w:val="001F40AE"/>
    <w:rsid w:val="001F40B9"/>
    <w:rsid w:val="001F40D2"/>
    <w:rsid w:val="001F4178"/>
    <w:rsid w:val="001F42A2"/>
    <w:rsid w:val="001F42CF"/>
    <w:rsid w:val="001F437D"/>
    <w:rsid w:val="001F439D"/>
    <w:rsid w:val="001F43F1"/>
    <w:rsid w:val="001F441F"/>
    <w:rsid w:val="001F4510"/>
    <w:rsid w:val="001F4553"/>
    <w:rsid w:val="001F45B2"/>
    <w:rsid w:val="001F45D3"/>
    <w:rsid w:val="001F468E"/>
    <w:rsid w:val="001F46D8"/>
    <w:rsid w:val="001F477B"/>
    <w:rsid w:val="001F488B"/>
    <w:rsid w:val="001F4897"/>
    <w:rsid w:val="001F48B7"/>
    <w:rsid w:val="001F48ED"/>
    <w:rsid w:val="001F4938"/>
    <w:rsid w:val="001F4D01"/>
    <w:rsid w:val="001F4D15"/>
    <w:rsid w:val="001F4D93"/>
    <w:rsid w:val="001F4E7F"/>
    <w:rsid w:val="001F4F17"/>
    <w:rsid w:val="001F4FE4"/>
    <w:rsid w:val="001F5089"/>
    <w:rsid w:val="001F5128"/>
    <w:rsid w:val="001F5135"/>
    <w:rsid w:val="001F5170"/>
    <w:rsid w:val="001F51E6"/>
    <w:rsid w:val="001F52A0"/>
    <w:rsid w:val="001F52B0"/>
    <w:rsid w:val="001F52BF"/>
    <w:rsid w:val="001F52C6"/>
    <w:rsid w:val="001F5361"/>
    <w:rsid w:val="001F5381"/>
    <w:rsid w:val="001F546E"/>
    <w:rsid w:val="001F551A"/>
    <w:rsid w:val="001F552E"/>
    <w:rsid w:val="001F56D6"/>
    <w:rsid w:val="001F596C"/>
    <w:rsid w:val="001F5A85"/>
    <w:rsid w:val="001F5AEA"/>
    <w:rsid w:val="001F5AF0"/>
    <w:rsid w:val="001F5B3B"/>
    <w:rsid w:val="001F5B8B"/>
    <w:rsid w:val="001F5B91"/>
    <w:rsid w:val="001F5D13"/>
    <w:rsid w:val="001F5D79"/>
    <w:rsid w:val="001F5DEE"/>
    <w:rsid w:val="001F5E13"/>
    <w:rsid w:val="001F5F5B"/>
    <w:rsid w:val="001F5FCC"/>
    <w:rsid w:val="001F6043"/>
    <w:rsid w:val="001F60C8"/>
    <w:rsid w:val="001F61E3"/>
    <w:rsid w:val="001F621C"/>
    <w:rsid w:val="001F6234"/>
    <w:rsid w:val="001F62CF"/>
    <w:rsid w:val="001F6373"/>
    <w:rsid w:val="001F63E6"/>
    <w:rsid w:val="001F65DB"/>
    <w:rsid w:val="001F66AF"/>
    <w:rsid w:val="001F66B2"/>
    <w:rsid w:val="001F66BD"/>
    <w:rsid w:val="001F6742"/>
    <w:rsid w:val="001F6748"/>
    <w:rsid w:val="001F67EF"/>
    <w:rsid w:val="001F6849"/>
    <w:rsid w:val="001F68F8"/>
    <w:rsid w:val="001F6936"/>
    <w:rsid w:val="001F698D"/>
    <w:rsid w:val="001F6AB9"/>
    <w:rsid w:val="001F6AEF"/>
    <w:rsid w:val="001F6B2E"/>
    <w:rsid w:val="001F6B93"/>
    <w:rsid w:val="001F6C57"/>
    <w:rsid w:val="001F6CAD"/>
    <w:rsid w:val="001F6DE7"/>
    <w:rsid w:val="001F6EC7"/>
    <w:rsid w:val="001F6ED8"/>
    <w:rsid w:val="001F6FA2"/>
    <w:rsid w:val="001F6FAB"/>
    <w:rsid w:val="001F700D"/>
    <w:rsid w:val="001F7040"/>
    <w:rsid w:val="001F7099"/>
    <w:rsid w:val="001F70EC"/>
    <w:rsid w:val="001F70F7"/>
    <w:rsid w:val="001F7336"/>
    <w:rsid w:val="001F76E2"/>
    <w:rsid w:val="001F7714"/>
    <w:rsid w:val="001F782E"/>
    <w:rsid w:val="001F78AB"/>
    <w:rsid w:val="001F796C"/>
    <w:rsid w:val="001F7A00"/>
    <w:rsid w:val="001F7ADB"/>
    <w:rsid w:val="001F7B64"/>
    <w:rsid w:val="001F7B6A"/>
    <w:rsid w:val="001F7BCB"/>
    <w:rsid w:val="001F7BF1"/>
    <w:rsid w:val="001F7C26"/>
    <w:rsid w:val="001F7D70"/>
    <w:rsid w:val="001F7DB2"/>
    <w:rsid w:val="001F7E0D"/>
    <w:rsid w:val="001F7FAA"/>
    <w:rsid w:val="00200033"/>
    <w:rsid w:val="0020003A"/>
    <w:rsid w:val="002000B3"/>
    <w:rsid w:val="002001C7"/>
    <w:rsid w:val="00200330"/>
    <w:rsid w:val="00200472"/>
    <w:rsid w:val="00200475"/>
    <w:rsid w:val="00200567"/>
    <w:rsid w:val="00200764"/>
    <w:rsid w:val="0020099B"/>
    <w:rsid w:val="002009C7"/>
    <w:rsid w:val="00200A93"/>
    <w:rsid w:val="00200B61"/>
    <w:rsid w:val="00200D71"/>
    <w:rsid w:val="00200E1E"/>
    <w:rsid w:val="00200E22"/>
    <w:rsid w:val="00200EA7"/>
    <w:rsid w:val="00200EBF"/>
    <w:rsid w:val="00200FCD"/>
    <w:rsid w:val="00201201"/>
    <w:rsid w:val="00201227"/>
    <w:rsid w:val="002012ED"/>
    <w:rsid w:val="002013DA"/>
    <w:rsid w:val="002013F6"/>
    <w:rsid w:val="00201426"/>
    <w:rsid w:val="0020143A"/>
    <w:rsid w:val="002015B9"/>
    <w:rsid w:val="00201618"/>
    <w:rsid w:val="002016FF"/>
    <w:rsid w:val="00201837"/>
    <w:rsid w:val="0020185B"/>
    <w:rsid w:val="002018FF"/>
    <w:rsid w:val="00201994"/>
    <w:rsid w:val="00201A85"/>
    <w:rsid w:val="00201C2C"/>
    <w:rsid w:val="00201D6D"/>
    <w:rsid w:val="00201EAD"/>
    <w:rsid w:val="00201EE2"/>
    <w:rsid w:val="00201F03"/>
    <w:rsid w:val="0020202A"/>
    <w:rsid w:val="0020228E"/>
    <w:rsid w:val="002022E6"/>
    <w:rsid w:val="0020233D"/>
    <w:rsid w:val="002023E6"/>
    <w:rsid w:val="00202458"/>
    <w:rsid w:val="00202492"/>
    <w:rsid w:val="0020249B"/>
    <w:rsid w:val="002024DD"/>
    <w:rsid w:val="0020254E"/>
    <w:rsid w:val="0020266D"/>
    <w:rsid w:val="00202678"/>
    <w:rsid w:val="0020269B"/>
    <w:rsid w:val="002027EB"/>
    <w:rsid w:val="00202879"/>
    <w:rsid w:val="00202923"/>
    <w:rsid w:val="00202B62"/>
    <w:rsid w:val="00202C5B"/>
    <w:rsid w:val="00202CC8"/>
    <w:rsid w:val="00202D15"/>
    <w:rsid w:val="00202DC3"/>
    <w:rsid w:val="00202DDE"/>
    <w:rsid w:val="00202E00"/>
    <w:rsid w:val="00202E03"/>
    <w:rsid w:val="00202EA4"/>
    <w:rsid w:val="00202EEE"/>
    <w:rsid w:val="002030F5"/>
    <w:rsid w:val="0020311E"/>
    <w:rsid w:val="002031D7"/>
    <w:rsid w:val="002031DF"/>
    <w:rsid w:val="00203552"/>
    <w:rsid w:val="0020363F"/>
    <w:rsid w:val="0020383F"/>
    <w:rsid w:val="002038D3"/>
    <w:rsid w:val="00203937"/>
    <w:rsid w:val="002039D5"/>
    <w:rsid w:val="00203A2F"/>
    <w:rsid w:val="00203A65"/>
    <w:rsid w:val="00203A6D"/>
    <w:rsid w:val="00203B15"/>
    <w:rsid w:val="00203BF4"/>
    <w:rsid w:val="00203EAD"/>
    <w:rsid w:val="0020410D"/>
    <w:rsid w:val="00204145"/>
    <w:rsid w:val="0020414A"/>
    <w:rsid w:val="0020419A"/>
    <w:rsid w:val="002042F5"/>
    <w:rsid w:val="00204511"/>
    <w:rsid w:val="0020451D"/>
    <w:rsid w:val="00204554"/>
    <w:rsid w:val="002045F0"/>
    <w:rsid w:val="0020470F"/>
    <w:rsid w:val="00204880"/>
    <w:rsid w:val="002048A6"/>
    <w:rsid w:val="002048C6"/>
    <w:rsid w:val="00204B83"/>
    <w:rsid w:val="00204C38"/>
    <w:rsid w:val="00204C59"/>
    <w:rsid w:val="00204E0D"/>
    <w:rsid w:val="00204E6C"/>
    <w:rsid w:val="00204ED7"/>
    <w:rsid w:val="00204F44"/>
    <w:rsid w:val="0020500E"/>
    <w:rsid w:val="002051E4"/>
    <w:rsid w:val="002051F0"/>
    <w:rsid w:val="002051F2"/>
    <w:rsid w:val="002052D8"/>
    <w:rsid w:val="0020538B"/>
    <w:rsid w:val="002056D9"/>
    <w:rsid w:val="00205823"/>
    <w:rsid w:val="00205982"/>
    <w:rsid w:val="002059E0"/>
    <w:rsid w:val="00205A56"/>
    <w:rsid w:val="00205A70"/>
    <w:rsid w:val="00205A9C"/>
    <w:rsid w:val="00205B1C"/>
    <w:rsid w:val="00205BF4"/>
    <w:rsid w:val="00205BFA"/>
    <w:rsid w:val="00205C05"/>
    <w:rsid w:val="00205C8F"/>
    <w:rsid w:val="00205CBB"/>
    <w:rsid w:val="00205D41"/>
    <w:rsid w:val="00205D75"/>
    <w:rsid w:val="00205DC0"/>
    <w:rsid w:val="00205E05"/>
    <w:rsid w:val="00205E7D"/>
    <w:rsid w:val="00206032"/>
    <w:rsid w:val="002060A9"/>
    <w:rsid w:val="00206119"/>
    <w:rsid w:val="00206142"/>
    <w:rsid w:val="0020615B"/>
    <w:rsid w:val="002061AF"/>
    <w:rsid w:val="002061B9"/>
    <w:rsid w:val="002061C7"/>
    <w:rsid w:val="0020630D"/>
    <w:rsid w:val="002063E2"/>
    <w:rsid w:val="002063E3"/>
    <w:rsid w:val="00206438"/>
    <w:rsid w:val="00206484"/>
    <w:rsid w:val="00206487"/>
    <w:rsid w:val="00206494"/>
    <w:rsid w:val="00206586"/>
    <w:rsid w:val="002065FD"/>
    <w:rsid w:val="002066C3"/>
    <w:rsid w:val="0020673B"/>
    <w:rsid w:val="00206783"/>
    <w:rsid w:val="0020682B"/>
    <w:rsid w:val="002068B5"/>
    <w:rsid w:val="002068F3"/>
    <w:rsid w:val="0020697C"/>
    <w:rsid w:val="00206985"/>
    <w:rsid w:val="00206AB6"/>
    <w:rsid w:val="00206C74"/>
    <w:rsid w:val="00206E30"/>
    <w:rsid w:val="00206E5A"/>
    <w:rsid w:val="00207116"/>
    <w:rsid w:val="00207161"/>
    <w:rsid w:val="00207209"/>
    <w:rsid w:val="00207303"/>
    <w:rsid w:val="00207314"/>
    <w:rsid w:val="00207389"/>
    <w:rsid w:val="002073B6"/>
    <w:rsid w:val="002073CF"/>
    <w:rsid w:val="0020747A"/>
    <w:rsid w:val="0020751F"/>
    <w:rsid w:val="00207546"/>
    <w:rsid w:val="00207565"/>
    <w:rsid w:val="00207660"/>
    <w:rsid w:val="00207665"/>
    <w:rsid w:val="002076E9"/>
    <w:rsid w:val="002078AB"/>
    <w:rsid w:val="002078CF"/>
    <w:rsid w:val="00207988"/>
    <w:rsid w:val="00207A3F"/>
    <w:rsid w:val="00207A4F"/>
    <w:rsid w:val="00207C94"/>
    <w:rsid w:val="00207CBC"/>
    <w:rsid w:val="00207D99"/>
    <w:rsid w:val="00207E90"/>
    <w:rsid w:val="00207F58"/>
    <w:rsid w:val="00207FB8"/>
    <w:rsid w:val="00210078"/>
    <w:rsid w:val="00210088"/>
    <w:rsid w:val="00210161"/>
    <w:rsid w:val="00210234"/>
    <w:rsid w:val="00210237"/>
    <w:rsid w:val="002102DB"/>
    <w:rsid w:val="00210326"/>
    <w:rsid w:val="00210329"/>
    <w:rsid w:val="0021037C"/>
    <w:rsid w:val="002103C6"/>
    <w:rsid w:val="002105AE"/>
    <w:rsid w:val="00210669"/>
    <w:rsid w:val="002107C7"/>
    <w:rsid w:val="00210944"/>
    <w:rsid w:val="00210A81"/>
    <w:rsid w:val="00210BE6"/>
    <w:rsid w:val="00210C8E"/>
    <w:rsid w:val="00210D42"/>
    <w:rsid w:val="00210D6C"/>
    <w:rsid w:val="00210E9D"/>
    <w:rsid w:val="00211003"/>
    <w:rsid w:val="002110B6"/>
    <w:rsid w:val="00211104"/>
    <w:rsid w:val="00211152"/>
    <w:rsid w:val="002111AC"/>
    <w:rsid w:val="00211453"/>
    <w:rsid w:val="00211537"/>
    <w:rsid w:val="0021153D"/>
    <w:rsid w:val="0021158E"/>
    <w:rsid w:val="002115E8"/>
    <w:rsid w:val="0021162E"/>
    <w:rsid w:val="00211687"/>
    <w:rsid w:val="002116E5"/>
    <w:rsid w:val="002119A1"/>
    <w:rsid w:val="002119FF"/>
    <w:rsid w:val="00211A0E"/>
    <w:rsid w:val="00211AA9"/>
    <w:rsid w:val="00211AFB"/>
    <w:rsid w:val="00211C90"/>
    <w:rsid w:val="00211DA6"/>
    <w:rsid w:val="00211DB8"/>
    <w:rsid w:val="0021209C"/>
    <w:rsid w:val="002121F4"/>
    <w:rsid w:val="0021246A"/>
    <w:rsid w:val="002124A2"/>
    <w:rsid w:val="002125FC"/>
    <w:rsid w:val="002127A9"/>
    <w:rsid w:val="002127DA"/>
    <w:rsid w:val="00212962"/>
    <w:rsid w:val="0021296E"/>
    <w:rsid w:val="00212A0C"/>
    <w:rsid w:val="00212A99"/>
    <w:rsid w:val="00212AAC"/>
    <w:rsid w:val="00212ADE"/>
    <w:rsid w:val="00212B0C"/>
    <w:rsid w:val="00212B1B"/>
    <w:rsid w:val="00212CAE"/>
    <w:rsid w:val="00212D9F"/>
    <w:rsid w:val="00212EDA"/>
    <w:rsid w:val="00212F48"/>
    <w:rsid w:val="002130F6"/>
    <w:rsid w:val="00213146"/>
    <w:rsid w:val="002131BE"/>
    <w:rsid w:val="00213287"/>
    <w:rsid w:val="00213296"/>
    <w:rsid w:val="0021331C"/>
    <w:rsid w:val="002134AE"/>
    <w:rsid w:val="00213560"/>
    <w:rsid w:val="00213619"/>
    <w:rsid w:val="00213694"/>
    <w:rsid w:val="0021392A"/>
    <w:rsid w:val="00213931"/>
    <w:rsid w:val="0021393C"/>
    <w:rsid w:val="0021396A"/>
    <w:rsid w:val="002139F3"/>
    <w:rsid w:val="00213B43"/>
    <w:rsid w:val="00213B57"/>
    <w:rsid w:val="00213B78"/>
    <w:rsid w:val="00213C10"/>
    <w:rsid w:val="00213C7F"/>
    <w:rsid w:val="00213E2C"/>
    <w:rsid w:val="00213EC3"/>
    <w:rsid w:val="00213EEC"/>
    <w:rsid w:val="00213F26"/>
    <w:rsid w:val="00213F9C"/>
    <w:rsid w:val="00213FD4"/>
    <w:rsid w:val="00213FDE"/>
    <w:rsid w:val="00214066"/>
    <w:rsid w:val="002140AE"/>
    <w:rsid w:val="002140C6"/>
    <w:rsid w:val="002140E7"/>
    <w:rsid w:val="002140F4"/>
    <w:rsid w:val="00214198"/>
    <w:rsid w:val="002141B9"/>
    <w:rsid w:val="00214201"/>
    <w:rsid w:val="00214234"/>
    <w:rsid w:val="0021424A"/>
    <w:rsid w:val="002143DC"/>
    <w:rsid w:val="002143E0"/>
    <w:rsid w:val="002143F3"/>
    <w:rsid w:val="00214634"/>
    <w:rsid w:val="0021465A"/>
    <w:rsid w:val="002146D2"/>
    <w:rsid w:val="00214804"/>
    <w:rsid w:val="0021486F"/>
    <w:rsid w:val="00214AD2"/>
    <w:rsid w:val="00214B24"/>
    <w:rsid w:val="00214B3B"/>
    <w:rsid w:val="00214BC2"/>
    <w:rsid w:val="00214BC6"/>
    <w:rsid w:val="00214C38"/>
    <w:rsid w:val="00214C87"/>
    <w:rsid w:val="00214CB6"/>
    <w:rsid w:val="00214E93"/>
    <w:rsid w:val="00214EEA"/>
    <w:rsid w:val="00214EF2"/>
    <w:rsid w:val="00214F62"/>
    <w:rsid w:val="00215070"/>
    <w:rsid w:val="002150DA"/>
    <w:rsid w:val="002151AB"/>
    <w:rsid w:val="00215285"/>
    <w:rsid w:val="00215369"/>
    <w:rsid w:val="002153D4"/>
    <w:rsid w:val="00215505"/>
    <w:rsid w:val="00215889"/>
    <w:rsid w:val="00215B3B"/>
    <w:rsid w:val="00215BC8"/>
    <w:rsid w:val="00215C55"/>
    <w:rsid w:val="00215C6D"/>
    <w:rsid w:val="00215D39"/>
    <w:rsid w:val="00215D9D"/>
    <w:rsid w:val="00215E34"/>
    <w:rsid w:val="00215E5E"/>
    <w:rsid w:val="00215EFA"/>
    <w:rsid w:val="00215F59"/>
    <w:rsid w:val="00216096"/>
    <w:rsid w:val="00216160"/>
    <w:rsid w:val="0021626B"/>
    <w:rsid w:val="002162C5"/>
    <w:rsid w:val="00216457"/>
    <w:rsid w:val="00216559"/>
    <w:rsid w:val="002165B5"/>
    <w:rsid w:val="002165E0"/>
    <w:rsid w:val="00216697"/>
    <w:rsid w:val="002166C7"/>
    <w:rsid w:val="002166F4"/>
    <w:rsid w:val="002167C8"/>
    <w:rsid w:val="0021687E"/>
    <w:rsid w:val="002168D5"/>
    <w:rsid w:val="002168FE"/>
    <w:rsid w:val="00216945"/>
    <w:rsid w:val="00216A97"/>
    <w:rsid w:val="00216B4D"/>
    <w:rsid w:val="00216BF2"/>
    <w:rsid w:val="00216C18"/>
    <w:rsid w:val="00216FDB"/>
    <w:rsid w:val="00216FF4"/>
    <w:rsid w:val="0021701C"/>
    <w:rsid w:val="00217079"/>
    <w:rsid w:val="00217233"/>
    <w:rsid w:val="002172AC"/>
    <w:rsid w:val="00217324"/>
    <w:rsid w:val="0021743C"/>
    <w:rsid w:val="00217473"/>
    <w:rsid w:val="00217524"/>
    <w:rsid w:val="002175D0"/>
    <w:rsid w:val="002175EB"/>
    <w:rsid w:val="002176C3"/>
    <w:rsid w:val="00217872"/>
    <w:rsid w:val="002178AF"/>
    <w:rsid w:val="00217916"/>
    <w:rsid w:val="0021791A"/>
    <w:rsid w:val="00217AFA"/>
    <w:rsid w:val="00217B0C"/>
    <w:rsid w:val="00217B2A"/>
    <w:rsid w:val="00217B87"/>
    <w:rsid w:val="00217BB7"/>
    <w:rsid w:val="00217BE2"/>
    <w:rsid w:val="00217C5F"/>
    <w:rsid w:val="00217C76"/>
    <w:rsid w:val="00217CC0"/>
    <w:rsid w:val="00217D7C"/>
    <w:rsid w:val="00217DF5"/>
    <w:rsid w:val="00217E24"/>
    <w:rsid w:val="00217EA2"/>
    <w:rsid w:val="00217EE7"/>
    <w:rsid w:val="0022015A"/>
    <w:rsid w:val="00220175"/>
    <w:rsid w:val="002203A6"/>
    <w:rsid w:val="00220445"/>
    <w:rsid w:val="002204AE"/>
    <w:rsid w:val="00220586"/>
    <w:rsid w:val="002205A0"/>
    <w:rsid w:val="00220709"/>
    <w:rsid w:val="0022070B"/>
    <w:rsid w:val="002207CE"/>
    <w:rsid w:val="00220802"/>
    <w:rsid w:val="00220860"/>
    <w:rsid w:val="00220994"/>
    <w:rsid w:val="00220A26"/>
    <w:rsid w:val="00220A72"/>
    <w:rsid w:val="00220A7F"/>
    <w:rsid w:val="00220A8A"/>
    <w:rsid w:val="00220AFB"/>
    <w:rsid w:val="00220BC2"/>
    <w:rsid w:val="00220BD6"/>
    <w:rsid w:val="00220BFB"/>
    <w:rsid w:val="00220C85"/>
    <w:rsid w:val="00220DD0"/>
    <w:rsid w:val="00220E4B"/>
    <w:rsid w:val="00220E58"/>
    <w:rsid w:val="00220FC5"/>
    <w:rsid w:val="00221073"/>
    <w:rsid w:val="00221155"/>
    <w:rsid w:val="002211F8"/>
    <w:rsid w:val="0022128C"/>
    <w:rsid w:val="00221322"/>
    <w:rsid w:val="002214FF"/>
    <w:rsid w:val="0022150E"/>
    <w:rsid w:val="0022152D"/>
    <w:rsid w:val="00221559"/>
    <w:rsid w:val="002215B9"/>
    <w:rsid w:val="00221619"/>
    <w:rsid w:val="002217A1"/>
    <w:rsid w:val="00221911"/>
    <w:rsid w:val="0022192A"/>
    <w:rsid w:val="002219C4"/>
    <w:rsid w:val="00221A3B"/>
    <w:rsid w:val="00221B12"/>
    <w:rsid w:val="00221B3B"/>
    <w:rsid w:val="00221B5A"/>
    <w:rsid w:val="00221B8F"/>
    <w:rsid w:val="00221D7A"/>
    <w:rsid w:val="00221DAF"/>
    <w:rsid w:val="00221E8A"/>
    <w:rsid w:val="00221EA8"/>
    <w:rsid w:val="00221ED4"/>
    <w:rsid w:val="00221EFF"/>
    <w:rsid w:val="00221F47"/>
    <w:rsid w:val="00221F4F"/>
    <w:rsid w:val="00221FC4"/>
    <w:rsid w:val="00221FEE"/>
    <w:rsid w:val="00222192"/>
    <w:rsid w:val="002221C8"/>
    <w:rsid w:val="00222293"/>
    <w:rsid w:val="002222DD"/>
    <w:rsid w:val="00222356"/>
    <w:rsid w:val="002223CA"/>
    <w:rsid w:val="0022242F"/>
    <w:rsid w:val="002226A5"/>
    <w:rsid w:val="002227A9"/>
    <w:rsid w:val="002227C6"/>
    <w:rsid w:val="002227F6"/>
    <w:rsid w:val="00222836"/>
    <w:rsid w:val="00222899"/>
    <w:rsid w:val="002228D4"/>
    <w:rsid w:val="002228EE"/>
    <w:rsid w:val="00222934"/>
    <w:rsid w:val="00222980"/>
    <w:rsid w:val="00222988"/>
    <w:rsid w:val="002229C4"/>
    <w:rsid w:val="00222A21"/>
    <w:rsid w:val="00222AC0"/>
    <w:rsid w:val="00222B26"/>
    <w:rsid w:val="00222BBB"/>
    <w:rsid w:val="00222D53"/>
    <w:rsid w:val="00222DEC"/>
    <w:rsid w:val="00222F34"/>
    <w:rsid w:val="00222F3E"/>
    <w:rsid w:val="00222FD1"/>
    <w:rsid w:val="00223002"/>
    <w:rsid w:val="00223127"/>
    <w:rsid w:val="00223142"/>
    <w:rsid w:val="00223180"/>
    <w:rsid w:val="00223293"/>
    <w:rsid w:val="002232F6"/>
    <w:rsid w:val="002232FC"/>
    <w:rsid w:val="002233CB"/>
    <w:rsid w:val="0022341C"/>
    <w:rsid w:val="002234D4"/>
    <w:rsid w:val="002237F9"/>
    <w:rsid w:val="00223828"/>
    <w:rsid w:val="0022382D"/>
    <w:rsid w:val="002238D5"/>
    <w:rsid w:val="002239C1"/>
    <w:rsid w:val="00223AF9"/>
    <w:rsid w:val="00223B65"/>
    <w:rsid w:val="00223CCD"/>
    <w:rsid w:val="00223CF0"/>
    <w:rsid w:val="00223CFF"/>
    <w:rsid w:val="00223D43"/>
    <w:rsid w:val="00223D47"/>
    <w:rsid w:val="00223D70"/>
    <w:rsid w:val="00223DF2"/>
    <w:rsid w:val="00223E60"/>
    <w:rsid w:val="00223E84"/>
    <w:rsid w:val="00223FB0"/>
    <w:rsid w:val="00224118"/>
    <w:rsid w:val="00224171"/>
    <w:rsid w:val="002241E8"/>
    <w:rsid w:val="0022422B"/>
    <w:rsid w:val="00224334"/>
    <w:rsid w:val="002244B0"/>
    <w:rsid w:val="002244E2"/>
    <w:rsid w:val="002245FF"/>
    <w:rsid w:val="002247CD"/>
    <w:rsid w:val="0022495F"/>
    <w:rsid w:val="00224B2D"/>
    <w:rsid w:val="00224B2E"/>
    <w:rsid w:val="00224B56"/>
    <w:rsid w:val="00224BDE"/>
    <w:rsid w:val="00224E3D"/>
    <w:rsid w:val="00224F0F"/>
    <w:rsid w:val="00224F92"/>
    <w:rsid w:val="00225099"/>
    <w:rsid w:val="00225107"/>
    <w:rsid w:val="00225160"/>
    <w:rsid w:val="00225193"/>
    <w:rsid w:val="0022521B"/>
    <w:rsid w:val="002252F4"/>
    <w:rsid w:val="0022532C"/>
    <w:rsid w:val="0022555E"/>
    <w:rsid w:val="002255DE"/>
    <w:rsid w:val="00225695"/>
    <w:rsid w:val="00225736"/>
    <w:rsid w:val="002257B2"/>
    <w:rsid w:val="002257C7"/>
    <w:rsid w:val="002257E8"/>
    <w:rsid w:val="002258B2"/>
    <w:rsid w:val="0022592F"/>
    <w:rsid w:val="002259F0"/>
    <w:rsid w:val="00225BD8"/>
    <w:rsid w:val="00225C3D"/>
    <w:rsid w:val="00225CEB"/>
    <w:rsid w:val="00225D32"/>
    <w:rsid w:val="00225E4C"/>
    <w:rsid w:val="00225E7E"/>
    <w:rsid w:val="00225EC1"/>
    <w:rsid w:val="00225ED9"/>
    <w:rsid w:val="00225F36"/>
    <w:rsid w:val="002260AC"/>
    <w:rsid w:val="002261BB"/>
    <w:rsid w:val="002261F3"/>
    <w:rsid w:val="0022627D"/>
    <w:rsid w:val="0022630E"/>
    <w:rsid w:val="00226514"/>
    <w:rsid w:val="00226601"/>
    <w:rsid w:val="002266DB"/>
    <w:rsid w:val="002267F1"/>
    <w:rsid w:val="002267FE"/>
    <w:rsid w:val="00226A01"/>
    <w:rsid w:val="00226A73"/>
    <w:rsid w:val="00226BC3"/>
    <w:rsid w:val="00226BD8"/>
    <w:rsid w:val="00226C88"/>
    <w:rsid w:val="00226D2E"/>
    <w:rsid w:val="00226DD6"/>
    <w:rsid w:val="00226ED6"/>
    <w:rsid w:val="0022702F"/>
    <w:rsid w:val="00227147"/>
    <w:rsid w:val="00227198"/>
    <w:rsid w:val="0022741D"/>
    <w:rsid w:val="00227480"/>
    <w:rsid w:val="00227508"/>
    <w:rsid w:val="002275BF"/>
    <w:rsid w:val="00227727"/>
    <w:rsid w:val="00227736"/>
    <w:rsid w:val="00227828"/>
    <w:rsid w:val="0022782A"/>
    <w:rsid w:val="002278CE"/>
    <w:rsid w:val="002279D4"/>
    <w:rsid w:val="00227A36"/>
    <w:rsid w:val="00227A62"/>
    <w:rsid w:val="00227B5A"/>
    <w:rsid w:val="00227CE8"/>
    <w:rsid w:val="00227DB8"/>
    <w:rsid w:val="00227E13"/>
    <w:rsid w:val="00227E75"/>
    <w:rsid w:val="00227EAC"/>
    <w:rsid w:val="00227ED4"/>
    <w:rsid w:val="00227F1D"/>
    <w:rsid w:val="00227F4E"/>
    <w:rsid w:val="00227F9E"/>
    <w:rsid w:val="00227FA0"/>
    <w:rsid w:val="00227FD1"/>
    <w:rsid w:val="0023003F"/>
    <w:rsid w:val="002300FD"/>
    <w:rsid w:val="00230160"/>
    <w:rsid w:val="00230174"/>
    <w:rsid w:val="00230260"/>
    <w:rsid w:val="00230306"/>
    <w:rsid w:val="00230396"/>
    <w:rsid w:val="002303B6"/>
    <w:rsid w:val="0023044B"/>
    <w:rsid w:val="00230453"/>
    <w:rsid w:val="00230566"/>
    <w:rsid w:val="00230651"/>
    <w:rsid w:val="0023073D"/>
    <w:rsid w:val="002307D4"/>
    <w:rsid w:val="00230892"/>
    <w:rsid w:val="002308C2"/>
    <w:rsid w:val="002308D0"/>
    <w:rsid w:val="002309C7"/>
    <w:rsid w:val="00230BC1"/>
    <w:rsid w:val="00230BCD"/>
    <w:rsid w:val="00230C78"/>
    <w:rsid w:val="00230CDC"/>
    <w:rsid w:val="00230D94"/>
    <w:rsid w:val="00230E81"/>
    <w:rsid w:val="00230ED1"/>
    <w:rsid w:val="0023107B"/>
    <w:rsid w:val="00231116"/>
    <w:rsid w:val="00231136"/>
    <w:rsid w:val="00231160"/>
    <w:rsid w:val="00231183"/>
    <w:rsid w:val="00231260"/>
    <w:rsid w:val="002313A9"/>
    <w:rsid w:val="002313D2"/>
    <w:rsid w:val="002313EC"/>
    <w:rsid w:val="0023143E"/>
    <w:rsid w:val="00231546"/>
    <w:rsid w:val="00231673"/>
    <w:rsid w:val="002316CB"/>
    <w:rsid w:val="00231991"/>
    <w:rsid w:val="002319FA"/>
    <w:rsid w:val="00231B90"/>
    <w:rsid w:val="00231BF6"/>
    <w:rsid w:val="00231C4C"/>
    <w:rsid w:val="00231D1A"/>
    <w:rsid w:val="00231E47"/>
    <w:rsid w:val="00231F08"/>
    <w:rsid w:val="00231F64"/>
    <w:rsid w:val="0023205B"/>
    <w:rsid w:val="0023218F"/>
    <w:rsid w:val="002321AB"/>
    <w:rsid w:val="0023227E"/>
    <w:rsid w:val="0023234B"/>
    <w:rsid w:val="002324A2"/>
    <w:rsid w:val="002324C6"/>
    <w:rsid w:val="002325F1"/>
    <w:rsid w:val="00232672"/>
    <w:rsid w:val="00232724"/>
    <w:rsid w:val="002328DC"/>
    <w:rsid w:val="002328FC"/>
    <w:rsid w:val="00232997"/>
    <w:rsid w:val="0023299E"/>
    <w:rsid w:val="00232B5E"/>
    <w:rsid w:val="00232B85"/>
    <w:rsid w:val="00232B8C"/>
    <w:rsid w:val="00232C25"/>
    <w:rsid w:val="00232C2B"/>
    <w:rsid w:val="00232E16"/>
    <w:rsid w:val="00232E3A"/>
    <w:rsid w:val="00232F4D"/>
    <w:rsid w:val="00232F5E"/>
    <w:rsid w:val="00232FA1"/>
    <w:rsid w:val="00233013"/>
    <w:rsid w:val="00233019"/>
    <w:rsid w:val="00233076"/>
    <w:rsid w:val="00233204"/>
    <w:rsid w:val="002333D3"/>
    <w:rsid w:val="0023354C"/>
    <w:rsid w:val="002336E3"/>
    <w:rsid w:val="002336E8"/>
    <w:rsid w:val="0023377E"/>
    <w:rsid w:val="00233823"/>
    <w:rsid w:val="00233951"/>
    <w:rsid w:val="00233A56"/>
    <w:rsid w:val="00233A8F"/>
    <w:rsid w:val="00233AC4"/>
    <w:rsid w:val="00233BE3"/>
    <w:rsid w:val="00233D23"/>
    <w:rsid w:val="00233DB7"/>
    <w:rsid w:val="00233E64"/>
    <w:rsid w:val="00233F04"/>
    <w:rsid w:val="00233F5C"/>
    <w:rsid w:val="00233F5E"/>
    <w:rsid w:val="00233FC2"/>
    <w:rsid w:val="00233FCE"/>
    <w:rsid w:val="00233FE5"/>
    <w:rsid w:val="0023408F"/>
    <w:rsid w:val="0023414B"/>
    <w:rsid w:val="00234228"/>
    <w:rsid w:val="002342FA"/>
    <w:rsid w:val="002343F4"/>
    <w:rsid w:val="00234432"/>
    <w:rsid w:val="0023443C"/>
    <w:rsid w:val="00234532"/>
    <w:rsid w:val="002346A3"/>
    <w:rsid w:val="002346B5"/>
    <w:rsid w:val="002346F9"/>
    <w:rsid w:val="002348AB"/>
    <w:rsid w:val="00234988"/>
    <w:rsid w:val="002349A3"/>
    <w:rsid w:val="002349CA"/>
    <w:rsid w:val="00234A81"/>
    <w:rsid w:val="00234BA9"/>
    <w:rsid w:val="00234C84"/>
    <w:rsid w:val="00234D2F"/>
    <w:rsid w:val="00234E40"/>
    <w:rsid w:val="00234EA3"/>
    <w:rsid w:val="00234F18"/>
    <w:rsid w:val="00234FB7"/>
    <w:rsid w:val="00235049"/>
    <w:rsid w:val="0023514C"/>
    <w:rsid w:val="00235232"/>
    <w:rsid w:val="002352EF"/>
    <w:rsid w:val="00235334"/>
    <w:rsid w:val="002354BC"/>
    <w:rsid w:val="00235514"/>
    <w:rsid w:val="00235670"/>
    <w:rsid w:val="002356A9"/>
    <w:rsid w:val="00235712"/>
    <w:rsid w:val="00235725"/>
    <w:rsid w:val="002357BB"/>
    <w:rsid w:val="002358CF"/>
    <w:rsid w:val="002358DB"/>
    <w:rsid w:val="00235913"/>
    <w:rsid w:val="00235917"/>
    <w:rsid w:val="00235965"/>
    <w:rsid w:val="002359AD"/>
    <w:rsid w:val="00235A08"/>
    <w:rsid w:val="00235AC0"/>
    <w:rsid w:val="00235B37"/>
    <w:rsid w:val="00235B9C"/>
    <w:rsid w:val="00235CDE"/>
    <w:rsid w:val="00235D1F"/>
    <w:rsid w:val="00235D55"/>
    <w:rsid w:val="00235D8D"/>
    <w:rsid w:val="00235EEB"/>
    <w:rsid w:val="00235F21"/>
    <w:rsid w:val="00235FFA"/>
    <w:rsid w:val="00236131"/>
    <w:rsid w:val="0023614D"/>
    <w:rsid w:val="00236178"/>
    <w:rsid w:val="002361AD"/>
    <w:rsid w:val="00236243"/>
    <w:rsid w:val="002362C2"/>
    <w:rsid w:val="0023633B"/>
    <w:rsid w:val="002363EB"/>
    <w:rsid w:val="002363F7"/>
    <w:rsid w:val="00236449"/>
    <w:rsid w:val="0023645D"/>
    <w:rsid w:val="0023645E"/>
    <w:rsid w:val="00236470"/>
    <w:rsid w:val="002364DE"/>
    <w:rsid w:val="00236509"/>
    <w:rsid w:val="00236521"/>
    <w:rsid w:val="00236698"/>
    <w:rsid w:val="002366C2"/>
    <w:rsid w:val="00236723"/>
    <w:rsid w:val="0023675B"/>
    <w:rsid w:val="00236861"/>
    <w:rsid w:val="002368E7"/>
    <w:rsid w:val="00236A19"/>
    <w:rsid w:val="00236A43"/>
    <w:rsid w:val="00236A89"/>
    <w:rsid w:val="00236B4A"/>
    <w:rsid w:val="00236B93"/>
    <w:rsid w:val="00236BD5"/>
    <w:rsid w:val="00236BFE"/>
    <w:rsid w:val="00236C98"/>
    <w:rsid w:val="00236CB5"/>
    <w:rsid w:val="00236D6B"/>
    <w:rsid w:val="00236D70"/>
    <w:rsid w:val="00236E4A"/>
    <w:rsid w:val="00236E8F"/>
    <w:rsid w:val="00236FC0"/>
    <w:rsid w:val="0023703E"/>
    <w:rsid w:val="00237063"/>
    <w:rsid w:val="002370B9"/>
    <w:rsid w:val="002372C7"/>
    <w:rsid w:val="00237373"/>
    <w:rsid w:val="00237597"/>
    <w:rsid w:val="002376AF"/>
    <w:rsid w:val="00237740"/>
    <w:rsid w:val="002377CB"/>
    <w:rsid w:val="002378FD"/>
    <w:rsid w:val="00237936"/>
    <w:rsid w:val="00237AA5"/>
    <w:rsid w:val="00237AA7"/>
    <w:rsid w:val="00237B84"/>
    <w:rsid w:val="00237BA8"/>
    <w:rsid w:val="00237BBA"/>
    <w:rsid w:val="00237C4D"/>
    <w:rsid w:val="00237C7C"/>
    <w:rsid w:val="00237D50"/>
    <w:rsid w:val="00237DA1"/>
    <w:rsid w:val="00237E19"/>
    <w:rsid w:val="00237E9C"/>
    <w:rsid w:val="00237EA4"/>
    <w:rsid w:val="00237EEB"/>
    <w:rsid w:val="00237F09"/>
    <w:rsid w:val="00237F23"/>
    <w:rsid w:val="00237F6B"/>
    <w:rsid w:val="00237F9C"/>
    <w:rsid w:val="00240017"/>
    <w:rsid w:val="00240032"/>
    <w:rsid w:val="00240109"/>
    <w:rsid w:val="00240139"/>
    <w:rsid w:val="00240202"/>
    <w:rsid w:val="0024032E"/>
    <w:rsid w:val="00240391"/>
    <w:rsid w:val="0024042B"/>
    <w:rsid w:val="002404FA"/>
    <w:rsid w:val="002405EC"/>
    <w:rsid w:val="00240615"/>
    <w:rsid w:val="002407FB"/>
    <w:rsid w:val="00240818"/>
    <w:rsid w:val="002408CD"/>
    <w:rsid w:val="002409DD"/>
    <w:rsid w:val="00240AE7"/>
    <w:rsid w:val="00240AF9"/>
    <w:rsid w:val="00240C00"/>
    <w:rsid w:val="00240D6A"/>
    <w:rsid w:val="00240D6E"/>
    <w:rsid w:val="00240DB4"/>
    <w:rsid w:val="00240DF2"/>
    <w:rsid w:val="00240E34"/>
    <w:rsid w:val="00240E56"/>
    <w:rsid w:val="00240FC6"/>
    <w:rsid w:val="002410AB"/>
    <w:rsid w:val="002410D5"/>
    <w:rsid w:val="00241113"/>
    <w:rsid w:val="00241183"/>
    <w:rsid w:val="0024126A"/>
    <w:rsid w:val="002412FF"/>
    <w:rsid w:val="00241305"/>
    <w:rsid w:val="00241378"/>
    <w:rsid w:val="002413D8"/>
    <w:rsid w:val="00241473"/>
    <w:rsid w:val="00241550"/>
    <w:rsid w:val="00241682"/>
    <w:rsid w:val="002416B3"/>
    <w:rsid w:val="002416E1"/>
    <w:rsid w:val="00241755"/>
    <w:rsid w:val="0024177E"/>
    <w:rsid w:val="0024181A"/>
    <w:rsid w:val="0024193A"/>
    <w:rsid w:val="00241A0B"/>
    <w:rsid w:val="00241AC5"/>
    <w:rsid w:val="00241B0B"/>
    <w:rsid w:val="00241CFF"/>
    <w:rsid w:val="00241D5D"/>
    <w:rsid w:val="00241ED3"/>
    <w:rsid w:val="00241F14"/>
    <w:rsid w:val="00241F98"/>
    <w:rsid w:val="00241FC2"/>
    <w:rsid w:val="00241FE1"/>
    <w:rsid w:val="00241FE3"/>
    <w:rsid w:val="00242169"/>
    <w:rsid w:val="002421F1"/>
    <w:rsid w:val="00242210"/>
    <w:rsid w:val="002422EA"/>
    <w:rsid w:val="002423B6"/>
    <w:rsid w:val="00242438"/>
    <w:rsid w:val="00242451"/>
    <w:rsid w:val="0024256F"/>
    <w:rsid w:val="002425A9"/>
    <w:rsid w:val="002426B0"/>
    <w:rsid w:val="002426B9"/>
    <w:rsid w:val="00242708"/>
    <w:rsid w:val="00242771"/>
    <w:rsid w:val="002427C8"/>
    <w:rsid w:val="002427F8"/>
    <w:rsid w:val="0024292D"/>
    <w:rsid w:val="00242960"/>
    <w:rsid w:val="00242C6D"/>
    <w:rsid w:val="00242D83"/>
    <w:rsid w:val="00242DEB"/>
    <w:rsid w:val="00242E79"/>
    <w:rsid w:val="00242FE4"/>
    <w:rsid w:val="002430A6"/>
    <w:rsid w:val="0024318C"/>
    <w:rsid w:val="002432F1"/>
    <w:rsid w:val="0024339D"/>
    <w:rsid w:val="002433A2"/>
    <w:rsid w:val="00243430"/>
    <w:rsid w:val="002434F0"/>
    <w:rsid w:val="00243555"/>
    <w:rsid w:val="002435DD"/>
    <w:rsid w:val="00243636"/>
    <w:rsid w:val="0024363B"/>
    <w:rsid w:val="0024368C"/>
    <w:rsid w:val="002436D6"/>
    <w:rsid w:val="00243720"/>
    <w:rsid w:val="0024382A"/>
    <w:rsid w:val="0024390A"/>
    <w:rsid w:val="00243937"/>
    <w:rsid w:val="002439CB"/>
    <w:rsid w:val="00243A26"/>
    <w:rsid w:val="00243A36"/>
    <w:rsid w:val="00243A38"/>
    <w:rsid w:val="00243AAF"/>
    <w:rsid w:val="00243B4D"/>
    <w:rsid w:val="00243CD8"/>
    <w:rsid w:val="00243CD9"/>
    <w:rsid w:val="00243D08"/>
    <w:rsid w:val="00243D23"/>
    <w:rsid w:val="00243D68"/>
    <w:rsid w:val="00243E9F"/>
    <w:rsid w:val="00243F3F"/>
    <w:rsid w:val="00244062"/>
    <w:rsid w:val="002440A7"/>
    <w:rsid w:val="002440E7"/>
    <w:rsid w:val="002440FF"/>
    <w:rsid w:val="00244100"/>
    <w:rsid w:val="0024417C"/>
    <w:rsid w:val="0024440B"/>
    <w:rsid w:val="002444B8"/>
    <w:rsid w:val="002444E3"/>
    <w:rsid w:val="00244518"/>
    <w:rsid w:val="0024457C"/>
    <w:rsid w:val="0024466A"/>
    <w:rsid w:val="002446BA"/>
    <w:rsid w:val="0024472E"/>
    <w:rsid w:val="0024473F"/>
    <w:rsid w:val="0024483F"/>
    <w:rsid w:val="002449A6"/>
    <w:rsid w:val="002449E4"/>
    <w:rsid w:val="00244A37"/>
    <w:rsid w:val="00244A54"/>
    <w:rsid w:val="00244A56"/>
    <w:rsid w:val="00244AD3"/>
    <w:rsid w:val="00244BA1"/>
    <w:rsid w:val="00244BA4"/>
    <w:rsid w:val="00244D18"/>
    <w:rsid w:val="00244D38"/>
    <w:rsid w:val="00244D5E"/>
    <w:rsid w:val="00244E75"/>
    <w:rsid w:val="00245041"/>
    <w:rsid w:val="0024518E"/>
    <w:rsid w:val="002451C2"/>
    <w:rsid w:val="00245214"/>
    <w:rsid w:val="00245262"/>
    <w:rsid w:val="002452DD"/>
    <w:rsid w:val="0024538C"/>
    <w:rsid w:val="002453B6"/>
    <w:rsid w:val="0024545F"/>
    <w:rsid w:val="00245486"/>
    <w:rsid w:val="00245497"/>
    <w:rsid w:val="00245499"/>
    <w:rsid w:val="00245549"/>
    <w:rsid w:val="00245584"/>
    <w:rsid w:val="002455CD"/>
    <w:rsid w:val="00245648"/>
    <w:rsid w:val="0024571F"/>
    <w:rsid w:val="002457B6"/>
    <w:rsid w:val="002457BA"/>
    <w:rsid w:val="002459DE"/>
    <w:rsid w:val="00245BEF"/>
    <w:rsid w:val="00245C34"/>
    <w:rsid w:val="00245CA7"/>
    <w:rsid w:val="00245CDF"/>
    <w:rsid w:val="00245ED2"/>
    <w:rsid w:val="00245ED8"/>
    <w:rsid w:val="00245F8E"/>
    <w:rsid w:val="00245FA8"/>
    <w:rsid w:val="00245FBD"/>
    <w:rsid w:val="00246079"/>
    <w:rsid w:val="002461D5"/>
    <w:rsid w:val="0024620A"/>
    <w:rsid w:val="00246277"/>
    <w:rsid w:val="002462BB"/>
    <w:rsid w:val="00246355"/>
    <w:rsid w:val="0024642F"/>
    <w:rsid w:val="002465A6"/>
    <w:rsid w:val="002465C3"/>
    <w:rsid w:val="002465C7"/>
    <w:rsid w:val="00246624"/>
    <w:rsid w:val="0024665D"/>
    <w:rsid w:val="00246682"/>
    <w:rsid w:val="002466C9"/>
    <w:rsid w:val="002466E1"/>
    <w:rsid w:val="002466F5"/>
    <w:rsid w:val="002468AD"/>
    <w:rsid w:val="00246900"/>
    <w:rsid w:val="0024693F"/>
    <w:rsid w:val="00246A7F"/>
    <w:rsid w:val="00246A95"/>
    <w:rsid w:val="00246B35"/>
    <w:rsid w:val="00246C55"/>
    <w:rsid w:val="00246C5C"/>
    <w:rsid w:val="00246CDE"/>
    <w:rsid w:val="00246D4F"/>
    <w:rsid w:val="00246D95"/>
    <w:rsid w:val="00246E5F"/>
    <w:rsid w:val="00246FC6"/>
    <w:rsid w:val="00246FEB"/>
    <w:rsid w:val="00246FF1"/>
    <w:rsid w:val="0024710F"/>
    <w:rsid w:val="00247118"/>
    <w:rsid w:val="002471EE"/>
    <w:rsid w:val="00247222"/>
    <w:rsid w:val="00247359"/>
    <w:rsid w:val="002476FF"/>
    <w:rsid w:val="00247725"/>
    <w:rsid w:val="002477C1"/>
    <w:rsid w:val="00247987"/>
    <w:rsid w:val="00247A33"/>
    <w:rsid w:val="00247A42"/>
    <w:rsid w:val="00247A5D"/>
    <w:rsid w:val="00247C19"/>
    <w:rsid w:val="00247C37"/>
    <w:rsid w:val="00247C49"/>
    <w:rsid w:val="00247CAD"/>
    <w:rsid w:val="00247EEA"/>
    <w:rsid w:val="00250080"/>
    <w:rsid w:val="0025008D"/>
    <w:rsid w:val="0025010F"/>
    <w:rsid w:val="002501E4"/>
    <w:rsid w:val="0025031D"/>
    <w:rsid w:val="00250370"/>
    <w:rsid w:val="002503A1"/>
    <w:rsid w:val="00250495"/>
    <w:rsid w:val="002504CF"/>
    <w:rsid w:val="0025050C"/>
    <w:rsid w:val="0025056D"/>
    <w:rsid w:val="002505B2"/>
    <w:rsid w:val="0025060B"/>
    <w:rsid w:val="00250764"/>
    <w:rsid w:val="002507A4"/>
    <w:rsid w:val="0025084E"/>
    <w:rsid w:val="002508B9"/>
    <w:rsid w:val="002508BF"/>
    <w:rsid w:val="002508C0"/>
    <w:rsid w:val="002508D3"/>
    <w:rsid w:val="002508E7"/>
    <w:rsid w:val="0025096B"/>
    <w:rsid w:val="0025097E"/>
    <w:rsid w:val="00250A32"/>
    <w:rsid w:val="00250A9F"/>
    <w:rsid w:val="00250BA3"/>
    <w:rsid w:val="00250CC0"/>
    <w:rsid w:val="00250D09"/>
    <w:rsid w:val="00250D31"/>
    <w:rsid w:val="00250D67"/>
    <w:rsid w:val="00250DA7"/>
    <w:rsid w:val="00250DD0"/>
    <w:rsid w:val="00250DDB"/>
    <w:rsid w:val="00250F86"/>
    <w:rsid w:val="00250FC3"/>
    <w:rsid w:val="00251021"/>
    <w:rsid w:val="00251168"/>
    <w:rsid w:val="0025144B"/>
    <w:rsid w:val="0025145E"/>
    <w:rsid w:val="00251564"/>
    <w:rsid w:val="0025158A"/>
    <w:rsid w:val="002515F2"/>
    <w:rsid w:val="002516A5"/>
    <w:rsid w:val="0025177F"/>
    <w:rsid w:val="002517A0"/>
    <w:rsid w:val="0025185F"/>
    <w:rsid w:val="002518B4"/>
    <w:rsid w:val="002519B3"/>
    <w:rsid w:val="002519DD"/>
    <w:rsid w:val="00251B45"/>
    <w:rsid w:val="00251CD8"/>
    <w:rsid w:val="00251D5D"/>
    <w:rsid w:val="00251DC3"/>
    <w:rsid w:val="00251F7C"/>
    <w:rsid w:val="00251F80"/>
    <w:rsid w:val="00251F9F"/>
    <w:rsid w:val="00251FD4"/>
    <w:rsid w:val="00252019"/>
    <w:rsid w:val="0025209D"/>
    <w:rsid w:val="002520A6"/>
    <w:rsid w:val="002520EA"/>
    <w:rsid w:val="00252225"/>
    <w:rsid w:val="00252244"/>
    <w:rsid w:val="0025225B"/>
    <w:rsid w:val="002522BE"/>
    <w:rsid w:val="002523A7"/>
    <w:rsid w:val="0025245B"/>
    <w:rsid w:val="0025258D"/>
    <w:rsid w:val="002526D5"/>
    <w:rsid w:val="002527D1"/>
    <w:rsid w:val="0025280B"/>
    <w:rsid w:val="002528D6"/>
    <w:rsid w:val="00252A25"/>
    <w:rsid w:val="00252A4B"/>
    <w:rsid w:val="00252ABA"/>
    <w:rsid w:val="00252ABC"/>
    <w:rsid w:val="00252D0E"/>
    <w:rsid w:val="00252E0C"/>
    <w:rsid w:val="00252EB4"/>
    <w:rsid w:val="00252F99"/>
    <w:rsid w:val="00253055"/>
    <w:rsid w:val="002531D3"/>
    <w:rsid w:val="00253354"/>
    <w:rsid w:val="00253404"/>
    <w:rsid w:val="00253474"/>
    <w:rsid w:val="002534CA"/>
    <w:rsid w:val="002535A9"/>
    <w:rsid w:val="00253629"/>
    <w:rsid w:val="00253644"/>
    <w:rsid w:val="002536D7"/>
    <w:rsid w:val="0025390D"/>
    <w:rsid w:val="00253915"/>
    <w:rsid w:val="002539A1"/>
    <w:rsid w:val="00253A5B"/>
    <w:rsid w:val="00253AAB"/>
    <w:rsid w:val="00253B0A"/>
    <w:rsid w:val="00253B76"/>
    <w:rsid w:val="00253C3A"/>
    <w:rsid w:val="00253C3B"/>
    <w:rsid w:val="00253C75"/>
    <w:rsid w:val="00253C84"/>
    <w:rsid w:val="00253CDE"/>
    <w:rsid w:val="00253D4B"/>
    <w:rsid w:val="00253D9A"/>
    <w:rsid w:val="00253E39"/>
    <w:rsid w:val="00253E43"/>
    <w:rsid w:val="00253EB9"/>
    <w:rsid w:val="00253FD3"/>
    <w:rsid w:val="00253FEB"/>
    <w:rsid w:val="00253FFB"/>
    <w:rsid w:val="0025400B"/>
    <w:rsid w:val="002540FA"/>
    <w:rsid w:val="00254204"/>
    <w:rsid w:val="0025426E"/>
    <w:rsid w:val="00254278"/>
    <w:rsid w:val="002544F6"/>
    <w:rsid w:val="00254612"/>
    <w:rsid w:val="00254704"/>
    <w:rsid w:val="0025474C"/>
    <w:rsid w:val="002547C9"/>
    <w:rsid w:val="00254814"/>
    <w:rsid w:val="00254886"/>
    <w:rsid w:val="00254907"/>
    <w:rsid w:val="00254981"/>
    <w:rsid w:val="00254A80"/>
    <w:rsid w:val="00254BF1"/>
    <w:rsid w:val="00254CC7"/>
    <w:rsid w:val="00254D2C"/>
    <w:rsid w:val="00254D6D"/>
    <w:rsid w:val="00254DE8"/>
    <w:rsid w:val="00254E3A"/>
    <w:rsid w:val="00254E53"/>
    <w:rsid w:val="00254E7E"/>
    <w:rsid w:val="00254F15"/>
    <w:rsid w:val="00255031"/>
    <w:rsid w:val="00255115"/>
    <w:rsid w:val="00255164"/>
    <w:rsid w:val="00255190"/>
    <w:rsid w:val="002552A4"/>
    <w:rsid w:val="00255338"/>
    <w:rsid w:val="00255354"/>
    <w:rsid w:val="002553D5"/>
    <w:rsid w:val="00255433"/>
    <w:rsid w:val="00255447"/>
    <w:rsid w:val="00255488"/>
    <w:rsid w:val="0025553A"/>
    <w:rsid w:val="00255700"/>
    <w:rsid w:val="002557B3"/>
    <w:rsid w:val="002557CA"/>
    <w:rsid w:val="002557D9"/>
    <w:rsid w:val="0025588C"/>
    <w:rsid w:val="00255892"/>
    <w:rsid w:val="0025591D"/>
    <w:rsid w:val="00255978"/>
    <w:rsid w:val="002559B6"/>
    <w:rsid w:val="00255A51"/>
    <w:rsid w:val="00255A78"/>
    <w:rsid w:val="00255BBC"/>
    <w:rsid w:val="00255CBA"/>
    <w:rsid w:val="00255D72"/>
    <w:rsid w:val="00255DC4"/>
    <w:rsid w:val="00255DC6"/>
    <w:rsid w:val="00255DFC"/>
    <w:rsid w:val="00255E87"/>
    <w:rsid w:val="00255F83"/>
    <w:rsid w:val="0025647C"/>
    <w:rsid w:val="002564B0"/>
    <w:rsid w:val="00256623"/>
    <w:rsid w:val="00256627"/>
    <w:rsid w:val="002566FE"/>
    <w:rsid w:val="0025677E"/>
    <w:rsid w:val="00256806"/>
    <w:rsid w:val="002568B7"/>
    <w:rsid w:val="002568DE"/>
    <w:rsid w:val="0025698D"/>
    <w:rsid w:val="00256995"/>
    <w:rsid w:val="00256A5E"/>
    <w:rsid w:val="00256A7A"/>
    <w:rsid w:val="00256B28"/>
    <w:rsid w:val="00256C9B"/>
    <w:rsid w:val="00256CC6"/>
    <w:rsid w:val="00256CF7"/>
    <w:rsid w:val="00256E67"/>
    <w:rsid w:val="00256E71"/>
    <w:rsid w:val="00256ECA"/>
    <w:rsid w:val="00256F7D"/>
    <w:rsid w:val="00257177"/>
    <w:rsid w:val="0025717E"/>
    <w:rsid w:val="00257286"/>
    <w:rsid w:val="002574AC"/>
    <w:rsid w:val="002574F2"/>
    <w:rsid w:val="00257552"/>
    <w:rsid w:val="002575B7"/>
    <w:rsid w:val="00257646"/>
    <w:rsid w:val="002577BC"/>
    <w:rsid w:val="00257839"/>
    <w:rsid w:val="00257871"/>
    <w:rsid w:val="002578D8"/>
    <w:rsid w:val="002579B8"/>
    <w:rsid w:val="002579F1"/>
    <w:rsid w:val="00257A14"/>
    <w:rsid w:val="00257A93"/>
    <w:rsid w:val="00257C32"/>
    <w:rsid w:val="00257C5E"/>
    <w:rsid w:val="00257CE4"/>
    <w:rsid w:val="00257D88"/>
    <w:rsid w:val="00257DB8"/>
    <w:rsid w:val="00257DEE"/>
    <w:rsid w:val="00257F5E"/>
    <w:rsid w:val="00257FAC"/>
    <w:rsid w:val="00257FE4"/>
    <w:rsid w:val="0026006A"/>
    <w:rsid w:val="0026006F"/>
    <w:rsid w:val="00260071"/>
    <w:rsid w:val="002600CF"/>
    <w:rsid w:val="0026012A"/>
    <w:rsid w:val="002604AA"/>
    <w:rsid w:val="00260705"/>
    <w:rsid w:val="00260725"/>
    <w:rsid w:val="002607D1"/>
    <w:rsid w:val="002607FA"/>
    <w:rsid w:val="00260891"/>
    <w:rsid w:val="002608D1"/>
    <w:rsid w:val="0026098D"/>
    <w:rsid w:val="00260A2D"/>
    <w:rsid w:val="00260AB7"/>
    <w:rsid w:val="00260C99"/>
    <w:rsid w:val="00260CB5"/>
    <w:rsid w:val="00260D17"/>
    <w:rsid w:val="00260D1D"/>
    <w:rsid w:val="00260D7A"/>
    <w:rsid w:val="00260D97"/>
    <w:rsid w:val="0026105D"/>
    <w:rsid w:val="002610EA"/>
    <w:rsid w:val="002611DC"/>
    <w:rsid w:val="002612A5"/>
    <w:rsid w:val="00261305"/>
    <w:rsid w:val="0026131E"/>
    <w:rsid w:val="00261367"/>
    <w:rsid w:val="002613BF"/>
    <w:rsid w:val="002613C3"/>
    <w:rsid w:val="00261532"/>
    <w:rsid w:val="0026159C"/>
    <w:rsid w:val="00261628"/>
    <w:rsid w:val="002616CD"/>
    <w:rsid w:val="0026199F"/>
    <w:rsid w:val="00261AA9"/>
    <w:rsid w:val="00261AE3"/>
    <w:rsid w:val="00261B37"/>
    <w:rsid w:val="00261C97"/>
    <w:rsid w:val="00261D48"/>
    <w:rsid w:val="00261D5B"/>
    <w:rsid w:val="00261DC1"/>
    <w:rsid w:val="00261EA1"/>
    <w:rsid w:val="00261F21"/>
    <w:rsid w:val="00261F36"/>
    <w:rsid w:val="0026200A"/>
    <w:rsid w:val="00262011"/>
    <w:rsid w:val="00262092"/>
    <w:rsid w:val="002621E0"/>
    <w:rsid w:val="0026226B"/>
    <w:rsid w:val="0026228F"/>
    <w:rsid w:val="00262355"/>
    <w:rsid w:val="00262445"/>
    <w:rsid w:val="00262484"/>
    <w:rsid w:val="002625E3"/>
    <w:rsid w:val="00262606"/>
    <w:rsid w:val="00262631"/>
    <w:rsid w:val="00262658"/>
    <w:rsid w:val="002626B5"/>
    <w:rsid w:val="002626E0"/>
    <w:rsid w:val="00262967"/>
    <w:rsid w:val="002629DB"/>
    <w:rsid w:val="002629E5"/>
    <w:rsid w:val="00262A5F"/>
    <w:rsid w:val="00262B21"/>
    <w:rsid w:val="00262BF8"/>
    <w:rsid w:val="00262C09"/>
    <w:rsid w:val="00262C54"/>
    <w:rsid w:val="00262CC1"/>
    <w:rsid w:val="00262CE2"/>
    <w:rsid w:val="00262D8F"/>
    <w:rsid w:val="00262E4A"/>
    <w:rsid w:val="00262E5D"/>
    <w:rsid w:val="00262E87"/>
    <w:rsid w:val="00262FDD"/>
    <w:rsid w:val="00263025"/>
    <w:rsid w:val="0026306C"/>
    <w:rsid w:val="0026307D"/>
    <w:rsid w:val="0026308D"/>
    <w:rsid w:val="00263258"/>
    <w:rsid w:val="002632DD"/>
    <w:rsid w:val="00263557"/>
    <w:rsid w:val="0026358D"/>
    <w:rsid w:val="00263671"/>
    <w:rsid w:val="002637B0"/>
    <w:rsid w:val="0026380B"/>
    <w:rsid w:val="00263878"/>
    <w:rsid w:val="002638A2"/>
    <w:rsid w:val="00263995"/>
    <w:rsid w:val="002639BD"/>
    <w:rsid w:val="00263A22"/>
    <w:rsid w:val="00263C46"/>
    <w:rsid w:val="00263C65"/>
    <w:rsid w:val="00263CB0"/>
    <w:rsid w:val="00263CC0"/>
    <w:rsid w:val="00263DFD"/>
    <w:rsid w:val="00263E55"/>
    <w:rsid w:val="00264004"/>
    <w:rsid w:val="002640B4"/>
    <w:rsid w:val="00264173"/>
    <w:rsid w:val="002641BF"/>
    <w:rsid w:val="002641D1"/>
    <w:rsid w:val="0026427B"/>
    <w:rsid w:val="0026428C"/>
    <w:rsid w:val="00264436"/>
    <w:rsid w:val="0026448C"/>
    <w:rsid w:val="002644F4"/>
    <w:rsid w:val="00264534"/>
    <w:rsid w:val="002646E0"/>
    <w:rsid w:val="002646EB"/>
    <w:rsid w:val="0026472A"/>
    <w:rsid w:val="002647DA"/>
    <w:rsid w:val="00264814"/>
    <w:rsid w:val="00264831"/>
    <w:rsid w:val="00264854"/>
    <w:rsid w:val="00264889"/>
    <w:rsid w:val="002649CA"/>
    <w:rsid w:val="00264A68"/>
    <w:rsid w:val="00264A77"/>
    <w:rsid w:val="00264AC3"/>
    <w:rsid w:val="00264CAE"/>
    <w:rsid w:val="00264CE2"/>
    <w:rsid w:val="00264E3B"/>
    <w:rsid w:val="00264E9D"/>
    <w:rsid w:val="00264F3E"/>
    <w:rsid w:val="00264F53"/>
    <w:rsid w:val="00265007"/>
    <w:rsid w:val="002650C7"/>
    <w:rsid w:val="002650CD"/>
    <w:rsid w:val="0026512C"/>
    <w:rsid w:val="002651A6"/>
    <w:rsid w:val="002651A7"/>
    <w:rsid w:val="002651FF"/>
    <w:rsid w:val="00265234"/>
    <w:rsid w:val="002652B1"/>
    <w:rsid w:val="0026541D"/>
    <w:rsid w:val="0026560E"/>
    <w:rsid w:val="00265649"/>
    <w:rsid w:val="002656B6"/>
    <w:rsid w:val="002656D9"/>
    <w:rsid w:val="002656E9"/>
    <w:rsid w:val="00265726"/>
    <w:rsid w:val="0026577C"/>
    <w:rsid w:val="00265806"/>
    <w:rsid w:val="00265815"/>
    <w:rsid w:val="00265821"/>
    <w:rsid w:val="002658A6"/>
    <w:rsid w:val="002658A8"/>
    <w:rsid w:val="00265A26"/>
    <w:rsid w:val="00265A78"/>
    <w:rsid w:val="00265B29"/>
    <w:rsid w:val="00265B6B"/>
    <w:rsid w:val="00265BFB"/>
    <w:rsid w:val="00265E58"/>
    <w:rsid w:val="00265E70"/>
    <w:rsid w:val="00265EC7"/>
    <w:rsid w:val="00265ED1"/>
    <w:rsid w:val="00266055"/>
    <w:rsid w:val="002661D5"/>
    <w:rsid w:val="0026626B"/>
    <w:rsid w:val="002662BE"/>
    <w:rsid w:val="00266436"/>
    <w:rsid w:val="00266487"/>
    <w:rsid w:val="002664FD"/>
    <w:rsid w:val="0026653E"/>
    <w:rsid w:val="00266661"/>
    <w:rsid w:val="00266741"/>
    <w:rsid w:val="00266794"/>
    <w:rsid w:val="0026685D"/>
    <w:rsid w:val="002668B2"/>
    <w:rsid w:val="00266A2A"/>
    <w:rsid w:val="00266A93"/>
    <w:rsid w:val="00266B06"/>
    <w:rsid w:val="00266B67"/>
    <w:rsid w:val="00266BF9"/>
    <w:rsid w:val="00266C69"/>
    <w:rsid w:val="00266CBA"/>
    <w:rsid w:val="00266CC6"/>
    <w:rsid w:val="00266DC9"/>
    <w:rsid w:val="00266DCD"/>
    <w:rsid w:val="00266DDB"/>
    <w:rsid w:val="00266E6C"/>
    <w:rsid w:val="00266E9B"/>
    <w:rsid w:val="00266EB5"/>
    <w:rsid w:val="00266F33"/>
    <w:rsid w:val="00266F34"/>
    <w:rsid w:val="00266FA3"/>
    <w:rsid w:val="00267097"/>
    <w:rsid w:val="00267214"/>
    <w:rsid w:val="002672A5"/>
    <w:rsid w:val="002672DA"/>
    <w:rsid w:val="002672F3"/>
    <w:rsid w:val="00267322"/>
    <w:rsid w:val="0026739C"/>
    <w:rsid w:val="00267498"/>
    <w:rsid w:val="002674B4"/>
    <w:rsid w:val="00267585"/>
    <w:rsid w:val="0026761E"/>
    <w:rsid w:val="0026769D"/>
    <w:rsid w:val="0026774D"/>
    <w:rsid w:val="00267804"/>
    <w:rsid w:val="00267838"/>
    <w:rsid w:val="00267910"/>
    <w:rsid w:val="0026799A"/>
    <w:rsid w:val="002679DA"/>
    <w:rsid w:val="00267B66"/>
    <w:rsid w:val="00267BE0"/>
    <w:rsid w:val="00267CBF"/>
    <w:rsid w:val="00267CE1"/>
    <w:rsid w:val="00267D08"/>
    <w:rsid w:val="00267F47"/>
    <w:rsid w:val="00267F83"/>
    <w:rsid w:val="00270063"/>
    <w:rsid w:val="0027016B"/>
    <w:rsid w:val="00270190"/>
    <w:rsid w:val="002701A5"/>
    <w:rsid w:val="00270300"/>
    <w:rsid w:val="0027037D"/>
    <w:rsid w:val="0027038E"/>
    <w:rsid w:val="0027047C"/>
    <w:rsid w:val="00270521"/>
    <w:rsid w:val="0027054C"/>
    <w:rsid w:val="00270553"/>
    <w:rsid w:val="00270620"/>
    <w:rsid w:val="00270702"/>
    <w:rsid w:val="0027083B"/>
    <w:rsid w:val="0027093A"/>
    <w:rsid w:val="002709FE"/>
    <w:rsid w:val="00270A4C"/>
    <w:rsid w:val="00270AD2"/>
    <w:rsid w:val="00270B2F"/>
    <w:rsid w:val="00270DF5"/>
    <w:rsid w:val="00270E53"/>
    <w:rsid w:val="00270F2D"/>
    <w:rsid w:val="00270F31"/>
    <w:rsid w:val="002713FF"/>
    <w:rsid w:val="0027143A"/>
    <w:rsid w:val="00271527"/>
    <w:rsid w:val="00271598"/>
    <w:rsid w:val="002715FE"/>
    <w:rsid w:val="00271690"/>
    <w:rsid w:val="00271702"/>
    <w:rsid w:val="00271750"/>
    <w:rsid w:val="0027188A"/>
    <w:rsid w:val="0027189E"/>
    <w:rsid w:val="002718FF"/>
    <w:rsid w:val="0027192E"/>
    <w:rsid w:val="0027194D"/>
    <w:rsid w:val="00271990"/>
    <w:rsid w:val="002719F4"/>
    <w:rsid w:val="00271A72"/>
    <w:rsid w:val="00271A8C"/>
    <w:rsid w:val="00271AFA"/>
    <w:rsid w:val="00271B02"/>
    <w:rsid w:val="00271B3A"/>
    <w:rsid w:val="00271C4F"/>
    <w:rsid w:val="00271E29"/>
    <w:rsid w:val="00271E67"/>
    <w:rsid w:val="00271EA7"/>
    <w:rsid w:val="00271EDE"/>
    <w:rsid w:val="00272071"/>
    <w:rsid w:val="00272219"/>
    <w:rsid w:val="0027225E"/>
    <w:rsid w:val="00272265"/>
    <w:rsid w:val="002722FB"/>
    <w:rsid w:val="00272311"/>
    <w:rsid w:val="00272382"/>
    <w:rsid w:val="0027239F"/>
    <w:rsid w:val="00272478"/>
    <w:rsid w:val="002725DD"/>
    <w:rsid w:val="002725E6"/>
    <w:rsid w:val="00272606"/>
    <w:rsid w:val="00272612"/>
    <w:rsid w:val="00272695"/>
    <w:rsid w:val="002726F9"/>
    <w:rsid w:val="00272754"/>
    <w:rsid w:val="002727D3"/>
    <w:rsid w:val="0027281F"/>
    <w:rsid w:val="00272B27"/>
    <w:rsid w:val="00272B83"/>
    <w:rsid w:val="00272CE4"/>
    <w:rsid w:val="00272DED"/>
    <w:rsid w:val="00272E8B"/>
    <w:rsid w:val="00272EA1"/>
    <w:rsid w:val="00273035"/>
    <w:rsid w:val="00273071"/>
    <w:rsid w:val="00273074"/>
    <w:rsid w:val="00273181"/>
    <w:rsid w:val="002731CA"/>
    <w:rsid w:val="0027326F"/>
    <w:rsid w:val="002733EC"/>
    <w:rsid w:val="00273432"/>
    <w:rsid w:val="00273448"/>
    <w:rsid w:val="0027361A"/>
    <w:rsid w:val="00273660"/>
    <w:rsid w:val="002736E6"/>
    <w:rsid w:val="002737A5"/>
    <w:rsid w:val="002737CB"/>
    <w:rsid w:val="002738A7"/>
    <w:rsid w:val="00273929"/>
    <w:rsid w:val="0027392A"/>
    <w:rsid w:val="002739BC"/>
    <w:rsid w:val="00273ACB"/>
    <w:rsid w:val="00273AFB"/>
    <w:rsid w:val="00273B1D"/>
    <w:rsid w:val="00273B90"/>
    <w:rsid w:val="00273C36"/>
    <w:rsid w:val="00273C6D"/>
    <w:rsid w:val="00273E1A"/>
    <w:rsid w:val="00273E9F"/>
    <w:rsid w:val="0027407A"/>
    <w:rsid w:val="002741BB"/>
    <w:rsid w:val="00274283"/>
    <w:rsid w:val="002742E3"/>
    <w:rsid w:val="00274316"/>
    <w:rsid w:val="00274382"/>
    <w:rsid w:val="00274407"/>
    <w:rsid w:val="00274505"/>
    <w:rsid w:val="00274551"/>
    <w:rsid w:val="00274575"/>
    <w:rsid w:val="002745B2"/>
    <w:rsid w:val="002746C6"/>
    <w:rsid w:val="002746FC"/>
    <w:rsid w:val="0027485C"/>
    <w:rsid w:val="002748C4"/>
    <w:rsid w:val="002748F1"/>
    <w:rsid w:val="00274941"/>
    <w:rsid w:val="002749E1"/>
    <w:rsid w:val="00274A06"/>
    <w:rsid w:val="00274A77"/>
    <w:rsid w:val="00274AC4"/>
    <w:rsid w:val="00274AF8"/>
    <w:rsid w:val="00274B20"/>
    <w:rsid w:val="00274D6B"/>
    <w:rsid w:val="00274DAA"/>
    <w:rsid w:val="00274E65"/>
    <w:rsid w:val="00274EE2"/>
    <w:rsid w:val="00274F7D"/>
    <w:rsid w:val="00274FFA"/>
    <w:rsid w:val="00275128"/>
    <w:rsid w:val="002752A1"/>
    <w:rsid w:val="002752C7"/>
    <w:rsid w:val="002753E9"/>
    <w:rsid w:val="0027546F"/>
    <w:rsid w:val="00275480"/>
    <w:rsid w:val="0027575F"/>
    <w:rsid w:val="002758C3"/>
    <w:rsid w:val="00275921"/>
    <w:rsid w:val="0027593F"/>
    <w:rsid w:val="00275940"/>
    <w:rsid w:val="00275952"/>
    <w:rsid w:val="0027595D"/>
    <w:rsid w:val="00275B00"/>
    <w:rsid w:val="00275BC4"/>
    <w:rsid w:val="00275BEC"/>
    <w:rsid w:val="00275CE1"/>
    <w:rsid w:val="00275CF7"/>
    <w:rsid w:val="00275D16"/>
    <w:rsid w:val="00275D23"/>
    <w:rsid w:val="00275DAE"/>
    <w:rsid w:val="00275E70"/>
    <w:rsid w:val="00275E81"/>
    <w:rsid w:val="00275E9D"/>
    <w:rsid w:val="00275EBA"/>
    <w:rsid w:val="00275F3A"/>
    <w:rsid w:val="0027603A"/>
    <w:rsid w:val="00276161"/>
    <w:rsid w:val="00276208"/>
    <w:rsid w:val="00276386"/>
    <w:rsid w:val="00276391"/>
    <w:rsid w:val="002763EB"/>
    <w:rsid w:val="002764B7"/>
    <w:rsid w:val="00276509"/>
    <w:rsid w:val="00276689"/>
    <w:rsid w:val="002766AF"/>
    <w:rsid w:val="002767DF"/>
    <w:rsid w:val="0027699E"/>
    <w:rsid w:val="00276A54"/>
    <w:rsid w:val="00276AA0"/>
    <w:rsid w:val="00276BEA"/>
    <w:rsid w:val="00276C10"/>
    <w:rsid w:val="00276C39"/>
    <w:rsid w:val="00276C7B"/>
    <w:rsid w:val="00276D77"/>
    <w:rsid w:val="00276D84"/>
    <w:rsid w:val="00276E4F"/>
    <w:rsid w:val="00276F1F"/>
    <w:rsid w:val="00276F2B"/>
    <w:rsid w:val="00276F53"/>
    <w:rsid w:val="00277085"/>
    <w:rsid w:val="002770B9"/>
    <w:rsid w:val="002770F7"/>
    <w:rsid w:val="00277138"/>
    <w:rsid w:val="00277139"/>
    <w:rsid w:val="002771DE"/>
    <w:rsid w:val="00277351"/>
    <w:rsid w:val="002775C6"/>
    <w:rsid w:val="002775DC"/>
    <w:rsid w:val="0027766C"/>
    <w:rsid w:val="002776EB"/>
    <w:rsid w:val="00277815"/>
    <w:rsid w:val="00277850"/>
    <w:rsid w:val="00277A4C"/>
    <w:rsid w:val="00277AB8"/>
    <w:rsid w:val="00277BA7"/>
    <w:rsid w:val="00277CA7"/>
    <w:rsid w:val="00277CD7"/>
    <w:rsid w:val="00277D1D"/>
    <w:rsid w:val="00277DB3"/>
    <w:rsid w:val="00277E82"/>
    <w:rsid w:val="00277F03"/>
    <w:rsid w:val="00277FE0"/>
    <w:rsid w:val="00280067"/>
    <w:rsid w:val="0028015D"/>
    <w:rsid w:val="002802EB"/>
    <w:rsid w:val="0028039A"/>
    <w:rsid w:val="00280588"/>
    <w:rsid w:val="002805E7"/>
    <w:rsid w:val="002806A5"/>
    <w:rsid w:val="002807D8"/>
    <w:rsid w:val="002807D9"/>
    <w:rsid w:val="00280875"/>
    <w:rsid w:val="00280881"/>
    <w:rsid w:val="00280973"/>
    <w:rsid w:val="00280A00"/>
    <w:rsid w:val="00280A7E"/>
    <w:rsid w:val="00280A98"/>
    <w:rsid w:val="00280BDF"/>
    <w:rsid w:val="00280F16"/>
    <w:rsid w:val="00280F60"/>
    <w:rsid w:val="002810AC"/>
    <w:rsid w:val="002810D8"/>
    <w:rsid w:val="0028110F"/>
    <w:rsid w:val="00281110"/>
    <w:rsid w:val="002811DC"/>
    <w:rsid w:val="002811EE"/>
    <w:rsid w:val="00281316"/>
    <w:rsid w:val="00281328"/>
    <w:rsid w:val="0028134A"/>
    <w:rsid w:val="002813A8"/>
    <w:rsid w:val="002813B2"/>
    <w:rsid w:val="00281597"/>
    <w:rsid w:val="0028168A"/>
    <w:rsid w:val="00281716"/>
    <w:rsid w:val="002818A9"/>
    <w:rsid w:val="002818D6"/>
    <w:rsid w:val="002819AC"/>
    <w:rsid w:val="002819DD"/>
    <w:rsid w:val="00281B85"/>
    <w:rsid w:val="00281C42"/>
    <w:rsid w:val="00281C4A"/>
    <w:rsid w:val="00281CDE"/>
    <w:rsid w:val="00281D56"/>
    <w:rsid w:val="00281E89"/>
    <w:rsid w:val="00281EFB"/>
    <w:rsid w:val="00281EFD"/>
    <w:rsid w:val="00281FA0"/>
    <w:rsid w:val="00282002"/>
    <w:rsid w:val="0028201F"/>
    <w:rsid w:val="0028218D"/>
    <w:rsid w:val="00282208"/>
    <w:rsid w:val="0028224D"/>
    <w:rsid w:val="002822C0"/>
    <w:rsid w:val="0028255A"/>
    <w:rsid w:val="0028256A"/>
    <w:rsid w:val="002825C4"/>
    <w:rsid w:val="00282748"/>
    <w:rsid w:val="002827DB"/>
    <w:rsid w:val="002827FB"/>
    <w:rsid w:val="00282885"/>
    <w:rsid w:val="00282922"/>
    <w:rsid w:val="002829AC"/>
    <w:rsid w:val="00282B01"/>
    <w:rsid w:val="00282C4F"/>
    <w:rsid w:val="00282C54"/>
    <w:rsid w:val="00282C95"/>
    <w:rsid w:val="00282D71"/>
    <w:rsid w:val="00282DBA"/>
    <w:rsid w:val="00282E2C"/>
    <w:rsid w:val="00282E31"/>
    <w:rsid w:val="00282F1B"/>
    <w:rsid w:val="0028307C"/>
    <w:rsid w:val="002830DB"/>
    <w:rsid w:val="002830EC"/>
    <w:rsid w:val="002831A9"/>
    <w:rsid w:val="00283337"/>
    <w:rsid w:val="002833A0"/>
    <w:rsid w:val="002833E9"/>
    <w:rsid w:val="00283463"/>
    <w:rsid w:val="00283484"/>
    <w:rsid w:val="002835D3"/>
    <w:rsid w:val="002835E4"/>
    <w:rsid w:val="00283650"/>
    <w:rsid w:val="002836AB"/>
    <w:rsid w:val="00283756"/>
    <w:rsid w:val="00283790"/>
    <w:rsid w:val="00283805"/>
    <w:rsid w:val="00283816"/>
    <w:rsid w:val="0028391C"/>
    <w:rsid w:val="00283942"/>
    <w:rsid w:val="00283990"/>
    <w:rsid w:val="00283A8B"/>
    <w:rsid w:val="00283A97"/>
    <w:rsid w:val="00283BD2"/>
    <w:rsid w:val="00283CC6"/>
    <w:rsid w:val="00283D73"/>
    <w:rsid w:val="00283D8E"/>
    <w:rsid w:val="00283F01"/>
    <w:rsid w:val="00283F7C"/>
    <w:rsid w:val="00284117"/>
    <w:rsid w:val="0028412E"/>
    <w:rsid w:val="002842B1"/>
    <w:rsid w:val="002842E8"/>
    <w:rsid w:val="002843E2"/>
    <w:rsid w:val="00284431"/>
    <w:rsid w:val="0028443E"/>
    <w:rsid w:val="002846A7"/>
    <w:rsid w:val="00284776"/>
    <w:rsid w:val="002847F5"/>
    <w:rsid w:val="002847F7"/>
    <w:rsid w:val="002848A5"/>
    <w:rsid w:val="00284B04"/>
    <w:rsid w:val="00284B4B"/>
    <w:rsid w:val="00284BFA"/>
    <w:rsid w:val="00284CC2"/>
    <w:rsid w:val="00284CC5"/>
    <w:rsid w:val="00284E25"/>
    <w:rsid w:val="00284F65"/>
    <w:rsid w:val="00284F98"/>
    <w:rsid w:val="00284FEC"/>
    <w:rsid w:val="00285013"/>
    <w:rsid w:val="00285017"/>
    <w:rsid w:val="00285035"/>
    <w:rsid w:val="00285045"/>
    <w:rsid w:val="00285209"/>
    <w:rsid w:val="002852A5"/>
    <w:rsid w:val="0028532A"/>
    <w:rsid w:val="00285363"/>
    <w:rsid w:val="0028553F"/>
    <w:rsid w:val="002855A2"/>
    <w:rsid w:val="00285654"/>
    <w:rsid w:val="0028583B"/>
    <w:rsid w:val="00285879"/>
    <w:rsid w:val="0028592A"/>
    <w:rsid w:val="0028592C"/>
    <w:rsid w:val="0028594B"/>
    <w:rsid w:val="0028599A"/>
    <w:rsid w:val="00285AE5"/>
    <w:rsid w:val="00285B60"/>
    <w:rsid w:val="00285CAA"/>
    <w:rsid w:val="00285E30"/>
    <w:rsid w:val="002862D1"/>
    <w:rsid w:val="002862F1"/>
    <w:rsid w:val="00286377"/>
    <w:rsid w:val="0028640C"/>
    <w:rsid w:val="002866CD"/>
    <w:rsid w:val="002866DF"/>
    <w:rsid w:val="00286797"/>
    <w:rsid w:val="00286805"/>
    <w:rsid w:val="0028686C"/>
    <w:rsid w:val="002868F0"/>
    <w:rsid w:val="0028697E"/>
    <w:rsid w:val="00286A1B"/>
    <w:rsid w:val="00286AFF"/>
    <w:rsid w:val="00286B36"/>
    <w:rsid w:val="00286CC0"/>
    <w:rsid w:val="00286E67"/>
    <w:rsid w:val="00286E6B"/>
    <w:rsid w:val="00286F2D"/>
    <w:rsid w:val="00286F35"/>
    <w:rsid w:val="00287345"/>
    <w:rsid w:val="002873BD"/>
    <w:rsid w:val="00287410"/>
    <w:rsid w:val="002874E6"/>
    <w:rsid w:val="002874ED"/>
    <w:rsid w:val="0028755A"/>
    <w:rsid w:val="002875CD"/>
    <w:rsid w:val="0028780B"/>
    <w:rsid w:val="00287833"/>
    <w:rsid w:val="00287864"/>
    <w:rsid w:val="002878AF"/>
    <w:rsid w:val="002878E5"/>
    <w:rsid w:val="00287935"/>
    <w:rsid w:val="00287949"/>
    <w:rsid w:val="00287975"/>
    <w:rsid w:val="002879AB"/>
    <w:rsid w:val="002879C2"/>
    <w:rsid w:val="00287A46"/>
    <w:rsid w:val="00287AD1"/>
    <w:rsid w:val="00287B6B"/>
    <w:rsid w:val="00287B86"/>
    <w:rsid w:val="00287D3B"/>
    <w:rsid w:val="00287D5F"/>
    <w:rsid w:val="00287D8D"/>
    <w:rsid w:val="00287E19"/>
    <w:rsid w:val="00287FCB"/>
    <w:rsid w:val="00287FE1"/>
    <w:rsid w:val="0029010E"/>
    <w:rsid w:val="002901D0"/>
    <w:rsid w:val="00290223"/>
    <w:rsid w:val="0029023F"/>
    <w:rsid w:val="002902C6"/>
    <w:rsid w:val="002903D5"/>
    <w:rsid w:val="002903ED"/>
    <w:rsid w:val="002903F0"/>
    <w:rsid w:val="0029041F"/>
    <w:rsid w:val="002904D8"/>
    <w:rsid w:val="00290675"/>
    <w:rsid w:val="002906FF"/>
    <w:rsid w:val="0029070A"/>
    <w:rsid w:val="0029072A"/>
    <w:rsid w:val="00290797"/>
    <w:rsid w:val="002908AB"/>
    <w:rsid w:val="002908C4"/>
    <w:rsid w:val="0029096C"/>
    <w:rsid w:val="0029096F"/>
    <w:rsid w:val="0029097D"/>
    <w:rsid w:val="00290A57"/>
    <w:rsid w:val="00290AE6"/>
    <w:rsid w:val="00290C3A"/>
    <w:rsid w:val="00290C8F"/>
    <w:rsid w:val="00290D81"/>
    <w:rsid w:val="00290DDA"/>
    <w:rsid w:val="00290E08"/>
    <w:rsid w:val="00290E88"/>
    <w:rsid w:val="00290E96"/>
    <w:rsid w:val="00290EED"/>
    <w:rsid w:val="00290F5B"/>
    <w:rsid w:val="00290F5E"/>
    <w:rsid w:val="00291005"/>
    <w:rsid w:val="00291037"/>
    <w:rsid w:val="002910B1"/>
    <w:rsid w:val="002910C0"/>
    <w:rsid w:val="002910E5"/>
    <w:rsid w:val="002911B3"/>
    <w:rsid w:val="00291216"/>
    <w:rsid w:val="0029125C"/>
    <w:rsid w:val="002912AC"/>
    <w:rsid w:val="0029130E"/>
    <w:rsid w:val="00291356"/>
    <w:rsid w:val="002913A5"/>
    <w:rsid w:val="00291430"/>
    <w:rsid w:val="0029145C"/>
    <w:rsid w:val="00291467"/>
    <w:rsid w:val="00291492"/>
    <w:rsid w:val="0029153D"/>
    <w:rsid w:val="0029154C"/>
    <w:rsid w:val="0029155B"/>
    <w:rsid w:val="00291674"/>
    <w:rsid w:val="002916AD"/>
    <w:rsid w:val="002916F6"/>
    <w:rsid w:val="002917A0"/>
    <w:rsid w:val="002917D7"/>
    <w:rsid w:val="0029180B"/>
    <w:rsid w:val="00291853"/>
    <w:rsid w:val="00291B80"/>
    <w:rsid w:val="00291B9A"/>
    <w:rsid w:val="00291BDF"/>
    <w:rsid w:val="00291C3F"/>
    <w:rsid w:val="00291FC9"/>
    <w:rsid w:val="00292034"/>
    <w:rsid w:val="0029212B"/>
    <w:rsid w:val="00292131"/>
    <w:rsid w:val="00292143"/>
    <w:rsid w:val="00292159"/>
    <w:rsid w:val="00292165"/>
    <w:rsid w:val="002921FF"/>
    <w:rsid w:val="0029230B"/>
    <w:rsid w:val="0029248D"/>
    <w:rsid w:val="0029249B"/>
    <w:rsid w:val="002924B7"/>
    <w:rsid w:val="00292598"/>
    <w:rsid w:val="002925BE"/>
    <w:rsid w:val="00292698"/>
    <w:rsid w:val="0029274B"/>
    <w:rsid w:val="00292943"/>
    <w:rsid w:val="00292976"/>
    <w:rsid w:val="002929DC"/>
    <w:rsid w:val="002929F1"/>
    <w:rsid w:val="00292A8B"/>
    <w:rsid w:val="00292C17"/>
    <w:rsid w:val="00292D3D"/>
    <w:rsid w:val="00292DD5"/>
    <w:rsid w:val="00292F3F"/>
    <w:rsid w:val="00292F95"/>
    <w:rsid w:val="0029300B"/>
    <w:rsid w:val="002930D6"/>
    <w:rsid w:val="002931BB"/>
    <w:rsid w:val="002931F3"/>
    <w:rsid w:val="0029325D"/>
    <w:rsid w:val="00293277"/>
    <w:rsid w:val="00293392"/>
    <w:rsid w:val="00293402"/>
    <w:rsid w:val="00293435"/>
    <w:rsid w:val="0029360F"/>
    <w:rsid w:val="0029367F"/>
    <w:rsid w:val="002936D3"/>
    <w:rsid w:val="00293727"/>
    <w:rsid w:val="00293760"/>
    <w:rsid w:val="00293949"/>
    <w:rsid w:val="00293C6E"/>
    <w:rsid w:val="00293C95"/>
    <w:rsid w:val="00293CD9"/>
    <w:rsid w:val="00293CF9"/>
    <w:rsid w:val="00293D0F"/>
    <w:rsid w:val="00293D39"/>
    <w:rsid w:val="00293D85"/>
    <w:rsid w:val="00293EF8"/>
    <w:rsid w:val="00293FBB"/>
    <w:rsid w:val="00294069"/>
    <w:rsid w:val="002941B2"/>
    <w:rsid w:val="002941C6"/>
    <w:rsid w:val="002942CD"/>
    <w:rsid w:val="002942D2"/>
    <w:rsid w:val="00294337"/>
    <w:rsid w:val="0029437D"/>
    <w:rsid w:val="002943E9"/>
    <w:rsid w:val="00294412"/>
    <w:rsid w:val="00294475"/>
    <w:rsid w:val="002944AA"/>
    <w:rsid w:val="002945BA"/>
    <w:rsid w:val="002945BB"/>
    <w:rsid w:val="002945DB"/>
    <w:rsid w:val="0029464B"/>
    <w:rsid w:val="0029466D"/>
    <w:rsid w:val="002946FB"/>
    <w:rsid w:val="00294820"/>
    <w:rsid w:val="00294894"/>
    <w:rsid w:val="00294A30"/>
    <w:rsid w:val="00294A42"/>
    <w:rsid w:val="00294A74"/>
    <w:rsid w:val="00294A9F"/>
    <w:rsid w:val="00294B11"/>
    <w:rsid w:val="00294B33"/>
    <w:rsid w:val="00294BA8"/>
    <w:rsid w:val="00294C4B"/>
    <w:rsid w:val="00294C99"/>
    <w:rsid w:val="00294CDF"/>
    <w:rsid w:val="00294D3A"/>
    <w:rsid w:val="00294D9B"/>
    <w:rsid w:val="00294E54"/>
    <w:rsid w:val="00294EC9"/>
    <w:rsid w:val="00294F96"/>
    <w:rsid w:val="00294FD1"/>
    <w:rsid w:val="00294FF1"/>
    <w:rsid w:val="002950C6"/>
    <w:rsid w:val="002950E5"/>
    <w:rsid w:val="002950F8"/>
    <w:rsid w:val="0029524D"/>
    <w:rsid w:val="002952B8"/>
    <w:rsid w:val="00295328"/>
    <w:rsid w:val="002954B2"/>
    <w:rsid w:val="002955A2"/>
    <w:rsid w:val="002956FD"/>
    <w:rsid w:val="002957A8"/>
    <w:rsid w:val="0029587B"/>
    <w:rsid w:val="0029587E"/>
    <w:rsid w:val="00295A1D"/>
    <w:rsid w:val="00295A84"/>
    <w:rsid w:val="00295BE3"/>
    <w:rsid w:val="00295BF5"/>
    <w:rsid w:val="00295ECC"/>
    <w:rsid w:val="00295ECF"/>
    <w:rsid w:val="00295FD9"/>
    <w:rsid w:val="0029601D"/>
    <w:rsid w:val="0029608C"/>
    <w:rsid w:val="002961EF"/>
    <w:rsid w:val="00296250"/>
    <w:rsid w:val="0029628B"/>
    <w:rsid w:val="00296342"/>
    <w:rsid w:val="00296430"/>
    <w:rsid w:val="00296431"/>
    <w:rsid w:val="00296484"/>
    <w:rsid w:val="00296549"/>
    <w:rsid w:val="002965BF"/>
    <w:rsid w:val="00296612"/>
    <w:rsid w:val="00296614"/>
    <w:rsid w:val="0029664C"/>
    <w:rsid w:val="002966CA"/>
    <w:rsid w:val="00296710"/>
    <w:rsid w:val="00296758"/>
    <w:rsid w:val="002967B1"/>
    <w:rsid w:val="002967B2"/>
    <w:rsid w:val="00296890"/>
    <w:rsid w:val="002968A6"/>
    <w:rsid w:val="002968FD"/>
    <w:rsid w:val="00296A21"/>
    <w:rsid w:val="00296B17"/>
    <w:rsid w:val="00296C30"/>
    <w:rsid w:val="00296C6D"/>
    <w:rsid w:val="00296C9B"/>
    <w:rsid w:val="00296CE7"/>
    <w:rsid w:val="00296D6C"/>
    <w:rsid w:val="00296EC8"/>
    <w:rsid w:val="00296EF2"/>
    <w:rsid w:val="00296F16"/>
    <w:rsid w:val="00296F50"/>
    <w:rsid w:val="0029703C"/>
    <w:rsid w:val="0029703E"/>
    <w:rsid w:val="00297089"/>
    <w:rsid w:val="0029708E"/>
    <w:rsid w:val="00297125"/>
    <w:rsid w:val="0029727C"/>
    <w:rsid w:val="00297382"/>
    <w:rsid w:val="00297466"/>
    <w:rsid w:val="0029752E"/>
    <w:rsid w:val="002975D7"/>
    <w:rsid w:val="00297652"/>
    <w:rsid w:val="002976CE"/>
    <w:rsid w:val="00297789"/>
    <w:rsid w:val="00297945"/>
    <w:rsid w:val="00297AB4"/>
    <w:rsid w:val="00297BB4"/>
    <w:rsid w:val="00297BF9"/>
    <w:rsid w:val="00297C34"/>
    <w:rsid w:val="00297D69"/>
    <w:rsid w:val="00297DBD"/>
    <w:rsid w:val="00297FED"/>
    <w:rsid w:val="002A0012"/>
    <w:rsid w:val="002A0018"/>
    <w:rsid w:val="002A0039"/>
    <w:rsid w:val="002A0070"/>
    <w:rsid w:val="002A0122"/>
    <w:rsid w:val="002A012A"/>
    <w:rsid w:val="002A013F"/>
    <w:rsid w:val="002A032F"/>
    <w:rsid w:val="002A0386"/>
    <w:rsid w:val="002A03B0"/>
    <w:rsid w:val="002A04B6"/>
    <w:rsid w:val="002A0795"/>
    <w:rsid w:val="002A07EC"/>
    <w:rsid w:val="002A091A"/>
    <w:rsid w:val="002A0941"/>
    <w:rsid w:val="002A0980"/>
    <w:rsid w:val="002A09D8"/>
    <w:rsid w:val="002A0A1D"/>
    <w:rsid w:val="002A0B81"/>
    <w:rsid w:val="002A0BF7"/>
    <w:rsid w:val="002A0C52"/>
    <w:rsid w:val="002A0D6B"/>
    <w:rsid w:val="002A0D9D"/>
    <w:rsid w:val="002A0DAA"/>
    <w:rsid w:val="002A0E2D"/>
    <w:rsid w:val="002A0F9C"/>
    <w:rsid w:val="002A0FFF"/>
    <w:rsid w:val="002A10AC"/>
    <w:rsid w:val="002A110C"/>
    <w:rsid w:val="002A124B"/>
    <w:rsid w:val="002A1276"/>
    <w:rsid w:val="002A132D"/>
    <w:rsid w:val="002A13A5"/>
    <w:rsid w:val="002A16D2"/>
    <w:rsid w:val="002A1778"/>
    <w:rsid w:val="002A17A7"/>
    <w:rsid w:val="002A1817"/>
    <w:rsid w:val="002A1872"/>
    <w:rsid w:val="002A189A"/>
    <w:rsid w:val="002A1942"/>
    <w:rsid w:val="002A19C0"/>
    <w:rsid w:val="002A1AC4"/>
    <w:rsid w:val="002A1B90"/>
    <w:rsid w:val="002A1CE4"/>
    <w:rsid w:val="002A1D34"/>
    <w:rsid w:val="002A1DC1"/>
    <w:rsid w:val="002A1E93"/>
    <w:rsid w:val="002A1F33"/>
    <w:rsid w:val="002A1F79"/>
    <w:rsid w:val="002A206E"/>
    <w:rsid w:val="002A2193"/>
    <w:rsid w:val="002A2221"/>
    <w:rsid w:val="002A233E"/>
    <w:rsid w:val="002A2420"/>
    <w:rsid w:val="002A2482"/>
    <w:rsid w:val="002A24C6"/>
    <w:rsid w:val="002A27D5"/>
    <w:rsid w:val="002A2956"/>
    <w:rsid w:val="002A2A71"/>
    <w:rsid w:val="002A2B11"/>
    <w:rsid w:val="002A2B3A"/>
    <w:rsid w:val="002A2B5B"/>
    <w:rsid w:val="002A2C32"/>
    <w:rsid w:val="002A2C9E"/>
    <w:rsid w:val="002A2F92"/>
    <w:rsid w:val="002A2FC5"/>
    <w:rsid w:val="002A304F"/>
    <w:rsid w:val="002A30F5"/>
    <w:rsid w:val="002A3281"/>
    <w:rsid w:val="002A32FA"/>
    <w:rsid w:val="002A330F"/>
    <w:rsid w:val="002A339F"/>
    <w:rsid w:val="002A33A3"/>
    <w:rsid w:val="002A33B4"/>
    <w:rsid w:val="002A34EA"/>
    <w:rsid w:val="002A3586"/>
    <w:rsid w:val="002A362A"/>
    <w:rsid w:val="002A36A1"/>
    <w:rsid w:val="002A36AD"/>
    <w:rsid w:val="002A3822"/>
    <w:rsid w:val="002A3833"/>
    <w:rsid w:val="002A39A7"/>
    <w:rsid w:val="002A39C4"/>
    <w:rsid w:val="002A3A67"/>
    <w:rsid w:val="002A3AAF"/>
    <w:rsid w:val="002A3CAA"/>
    <w:rsid w:val="002A3D2B"/>
    <w:rsid w:val="002A3DE7"/>
    <w:rsid w:val="002A3F07"/>
    <w:rsid w:val="002A3FB0"/>
    <w:rsid w:val="002A419A"/>
    <w:rsid w:val="002A4211"/>
    <w:rsid w:val="002A425A"/>
    <w:rsid w:val="002A4343"/>
    <w:rsid w:val="002A4695"/>
    <w:rsid w:val="002A46E9"/>
    <w:rsid w:val="002A4719"/>
    <w:rsid w:val="002A4755"/>
    <w:rsid w:val="002A4886"/>
    <w:rsid w:val="002A4AF5"/>
    <w:rsid w:val="002A4B09"/>
    <w:rsid w:val="002A4B6F"/>
    <w:rsid w:val="002A4B75"/>
    <w:rsid w:val="002A4B96"/>
    <w:rsid w:val="002A4B99"/>
    <w:rsid w:val="002A4D49"/>
    <w:rsid w:val="002A4D8B"/>
    <w:rsid w:val="002A4DE1"/>
    <w:rsid w:val="002A4F3E"/>
    <w:rsid w:val="002A5163"/>
    <w:rsid w:val="002A5195"/>
    <w:rsid w:val="002A526C"/>
    <w:rsid w:val="002A52CE"/>
    <w:rsid w:val="002A534D"/>
    <w:rsid w:val="002A53D9"/>
    <w:rsid w:val="002A540B"/>
    <w:rsid w:val="002A5486"/>
    <w:rsid w:val="002A54CA"/>
    <w:rsid w:val="002A563E"/>
    <w:rsid w:val="002A56E8"/>
    <w:rsid w:val="002A5768"/>
    <w:rsid w:val="002A57B2"/>
    <w:rsid w:val="002A5856"/>
    <w:rsid w:val="002A5884"/>
    <w:rsid w:val="002A58CE"/>
    <w:rsid w:val="002A5948"/>
    <w:rsid w:val="002A59D4"/>
    <w:rsid w:val="002A59E0"/>
    <w:rsid w:val="002A5A67"/>
    <w:rsid w:val="002A5AA8"/>
    <w:rsid w:val="002A5B97"/>
    <w:rsid w:val="002A5DA1"/>
    <w:rsid w:val="002A5E00"/>
    <w:rsid w:val="002A5ECE"/>
    <w:rsid w:val="002A5ED6"/>
    <w:rsid w:val="002A5F38"/>
    <w:rsid w:val="002A5F8B"/>
    <w:rsid w:val="002A5FC6"/>
    <w:rsid w:val="002A6120"/>
    <w:rsid w:val="002A6154"/>
    <w:rsid w:val="002A6159"/>
    <w:rsid w:val="002A615F"/>
    <w:rsid w:val="002A61A5"/>
    <w:rsid w:val="002A6227"/>
    <w:rsid w:val="002A628C"/>
    <w:rsid w:val="002A633B"/>
    <w:rsid w:val="002A634C"/>
    <w:rsid w:val="002A639C"/>
    <w:rsid w:val="002A645A"/>
    <w:rsid w:val="002A654E"/>
    <w:rsid w:val="002A66E1"/>
    <w:rsid w:val="002A6758"/>
    <w:rsid w:val="002A6776"/>
    <w:rsid w:val="002A67D3"/>
    <w:rsid w:val="002A686F"/>
    <w:rsid w:val="002A68E1"/>
    <w:rsid w:val="002A69EE"/>
    <w:rsid w:val="002A6C14"/>
    <w:rsid w:val="002A6C21"/>
    <w:rsid w:val="002A6DF2"/>
    <w:rsid w:val="002A6EB5"/>
    <w:rsid w:val="002A6EB6"/>
    <w:rsid w:val="002A7232"/>
    <w:rsid w:val="002A7282"/>
    <w:rsid w:val="002A7310"/>
    <w:rsid w:val="002A73C6"/>
    <w:rsid w:val="002A73F2"/>
    <w:rsid w:val="002A7406"/>
    <w:rsid w:val="002A7448"/>
    <w:rsid w:val="002A7466"/>
    <w:rsid w:val="002A746F"/>
    <w:rsid w:val="002A7470"/>
    <w:rsid w:val="002A7493"/>
    <w:rsid w:val="002A7534"/>
    <w:rsid w:val="002A7624"/>
    <w:rsid w:val="002A765D"/>
    <w:rsid w:val="002A7762"/>
    <w:rsid w:val="002A77AF"/>
    <w:rsid w:val="002A7844"/>
    <w:rsid w:val="002A78CF"/>
    <w:rsid w:val="002A7928"/>
    <w:rsid w:val="002A7B51"/>
    <w:rsid w:val="002A7B81"/>
    <w:rsid w:val="002A7BAC"/>
    <w:rsid w:val="002A7BDA"/>
    <w:rsid w:val="002A7C3F"/>
    <w:rsid w:val="002A7C71"/>
    <w:rsid w:val="002A7C86"/>
    <w:rsid w:val="002A7CDF"/>
    <w:rsid w:val="002A7CFD"/>
    <w:rsid w:val="002A7D20"/>
    <w:rsid w:val="002A7D61"/>
    <w:rsid w:val="002A7FA0"/>
    <w:rsid w:val="002A7FD6"/>
    <w:rsid w:val="002B012B"/>
    <w:rsid w:val="002B0176"/>
    <w:rsid w:val="002B01A4"/>
    <w:rsid w:val="002B0274"/>
    <w:rsid w:val="002B0289"/>
    <w:rsid w:val="002B0547"/>
    <w:rsid w:val="002B059A"/>
    <w:rsid w:val="002B05F9"/>
    <w:rsid w:val="002B062E"/>
    <w:rsid w:val="002B06F0"/>
    <w:rsid w:val="002B0833"/>
    <w:rsid w:val="002B086C"/>
    <w:rsid w:val="002B08B2"/>
    <w:rsid w:val="002B0902"/>
    <w:rsid w:val="002B092E"/>
    <w:rsid w:val="002B09CD"/>
    <w:rsid w:val="002B0B0A"/>
    <w:rsid w:val="002B0B37"/>
    <w:rsid w:val="002B0D1E"/>
    <w:rsid w:val="002B0D75"/>
    <w:rsid w:val="002B0E24"/>
    <w:rsid w:val="002B0E3C"/>
    <w:rsid w:val="002B0E40"/>
    <w:rsid w:val="002B0F38"/>
    <w:rsid w:val="002B1042"/>
    <w:rsid w:val="002B1085"/>
    <w:rsid w:val="002B10AF"/>
    <w:rsid w:val="002B11F9"/>
    <w:rsid w:val="002B1273"/>
    <w:rsid w:val="002B1282"/>
    <w:rsid w:val="002B13E2"/>
    <w:rsid w:val="002B153B"/>
    <w:rsid w:val="002B1547"/>
    <w:rsid w:val="002B1561"/>
    <w:rsid w:val="002B1745"/>
    <w:rsid w:val="002B179D"/>
    <w:rsid w:val="002B187D"/>
    <w:rsid w:val="002B18C1"/>
    <w:rsid w:val="002B1B57"/>
    <w:rsid w:val="002B1B65"/>
    <w:rsid w:val="002B1CCD"/>
    <w:rsid w:val="002B1F92"/>
    <w:rsid w:val="002B1FA1"/>
    <w:rsid w:val="002B1FB5"/>
    <w:rsid w:val="002B2102"/>
    <w:rsid w:val="002B214D"/>
    <w:rsid w:val="002B219B"/>
    <w:rsid w:val="002B21C5"/>
    <w:rsid w:val="002B2243"/>
    <w:rsid w:val="002B2260"/>
    <w:rsid w:val="002B22A4"/>
    <w:rsid w:val="002B238D"/>
    <w:rsid w:val="002B2408"/>
    <w:rsid w:val="002B2574"/>
    <w:rsid w:val="002B2615"/>
    <w:rsid w:val="002B2650"/>
    <w:rsid w:val="002B2759"/>
    <w:rsid w:val="002B2831"/>
    <w:rsid w:val="002B28FC"/>
    <w:rsid w:val="002B295E"/>
    <w:rsid w:val="002B2989"/>
    <w:rsid w:val="002B2A27"/>
    <w:rsid w:val="002B2B98"/>
    <w:rsid w:val="002B2C25"/>
    <w:rsid w:val="002B2C2A"/>
    <w:rsid w:val="002B2C46"/>
    <w:rsid w:val="002B2C51"/>
    <w:rsid w:val="002B2D2F"/>
    <w:rsid w:val="002B2DDC"/>
    <w:rsid w:val="002B2E48"/>
    <w:rsid w:val="002B2E98"/>
    <w:rsid w:val="002B2F3B"/>
    <w:rsid w:val="002B31FA"/>
    <w:rsid w:val="002B3301"/>
    <w:rsid w:val="002B331F"/>
    <w:rsid w:val="002B3357"/>
    <w:rsid w:val="002B3368"/>
    <w:rsid w:val="002B343F"/>
    <w:rsid w:val="002B3532"/>
    <w:rsid w:val="002B35CC"/>
    <w:rsid w:val="002B35F1"/>
    <w:rsid w:val="002B36A3"/>
    <w:rsid w:val="002B36AD"/>
    <w:rsid w:val="002B371A"/>
    <w:rsid w:val="002B3754"/>
    <w:rsid w:val="002B375A"/>
    <w:rsid w:val="002B3787"/>
    <w:rsid w:val="002B3797"/>
    <w:rsid w:val="002B37E3"/>
    <w:rsid w:val="002B384F"/>
    <w:rsid w:val="002B3886"/>
    <w:rsid w:val="002B3889"/>
    <w:rsid w:val="002B389F"/>
    <w:rsid w:val="002B3909"/>
    <w:rsid w:val="002B3979"/>
    <w:rsid w:val="002B39EF"/>
    <w:rsid w:val="002B3A32"/>
    <w:rsid w:val="002B3A5A"/>
    <w:rsid w:val="002B3CAA"/>
    <w:rsid w:val="002B3D75"/>
    <w:rsid w:val="002B3DA4"/>
    <w:rsid w:val="002B3DAF"/>
    <w:rsid w:val="002B3E0D"/>
    <w:rsid w:val="002B3FB3"/>
    <w:rsid w:val="002B4054"/>
    <w:rsid w:val="002B41AA"/>
    <w:rsid w:val="002B42CD"/>
    <w:rsid w:val="002B4458"/>
    <w:rsid w:val="002B44A4"/>
    <w:rsid w:val="002B45D2"/>
    <w:rsid w:val="002B4644"/>
    <w:rsid w:val="002B4694"/>
    <w:rsid w:val="002B471F"/>
    <w:rsid w:val="002B4803"/>
    <w:rsid w:val="002B488F"/>
    <w:rsid w:val="002B48AA"/>
    <w:rsid w:val="002B497B"/>
    <w:rsid w:val="002B49CC"/>
    <w:rsid w:val="002B4A77"/>
    <w:rsid w:val="002B4B35"/>
    <w:rsid w:val="002B4B89"/>
    <w:rsid w:val="002B4D3A"/>
    <w:rsid w:val="002B4DB0"/>
    <w:rsid w:val="002B4E5B"/>
    <w:rsid w:val="002B4EC4"/>
    <w:rsid w:val="002B4F38"/>
    <w:rsid w:val="002B5072"/>
    <w:rsid w:val="002B51BF"/>
    <w:rsid w:val="002B51C3"/>
    <w:rsid w:val="002B51F9"/>
    <w:rsid w:val="002B526E"/>
    <w:rsid w:val="002B5329"/>
    <w:rsid w:val="002B537B"/>
    <w:rsid w:val="002B54CD"/>
    <w:rsid w:val="002B5671"/>
    <w:rsid w:val="002B5692"/>
    <w:rsid w:val="002B571E"/>
    <w:rsid w:val="002B5768"/>
    <w:rsid w:val="002B5778"/>
    <w:rsid w:val="002B58A4"/>
    <w:rsid w:val="002B59E0"/>
    <w:rsid w:val="002B5A9D"/>
    <w:rsid w:val="002B5B84"/>
    <w:rsid w:val="002B5C02"/>
    <w:rsid w:val="002B5C5C"/>
    <w:rsid w:val="002B5C61"/>
    <w:rsid w:val="002B5CE6"/>
    <w:rsid w:val="002B5E3D"/>
    <w:rsid w:val="002B5F19"/>
    <w:rsid w:val="002B5F61"/>
    <w:rsid w:val="002B5F7E"/>
    <w:rsid w:val="002B607F"/>
    <w:rsid w:val="002B6213"/>
    <w:rsid w:val="002B622B"/>
    <w:rsid w:val="002B636D"/>
    <w:rsid w:val="002B63F0"/>
    <w:rsid w:val="002B6421"/>
    <w:rsid w:val="002B6429"/>
    <w:rsid w:val="002B6438"/>
    <w:rsid w:val="002B6559"/>
    <w:rsid w:val="002B6726"/>
    <w:rsid w:val="002B6746"/>
    <w:rsid w:val="002B6783"/>
    <w:rsid w:val="002B67B4"/>
    <w:rsid w:val="002B68AD"/>
    <w:rsid w:val="002B6901"/>
    <w:rsid w:val="002B698A"/>
    <w:rsid w:val="002B6B8D"/>
    <w:rsid w:val="002B6C28"/>
    <w:rsid w:val="002B6D1F"/>
    <w:rsid w:val="002B6DFA"/>
    <w:rsid w:val="002B6E01"/>
    <w:rsid w:val="002B6E23"/>
    <w:rsid w:val="002B6E40"/>
    <w:rsid w:val="002B6E4D"/>
    <w:rsid w:val="002B6E52"/>
    <w:rsid w:val="002B6E53"/>
    <w:rsid w:val="002B7012"/>
    <w:rsid w:val="002B7049"/>
    <w:rsid w:val="002B70B2"/>
    <w:rsid w:val="002B70D2"/>
    <w:rsid w:val="002B70EC"/>
    <w:rsid w:val="002B710C"/>
    <w:rsid w:val="002B7166"/>
    <w:rsid w:val="002B72FA"/>
    <w:rsid w:val="002B7314"/>
    <w:rsid w:val="002B753A"/>
    <w:rsid w:val="002B75B6"/>
    <w:rsid w:val="002B75E6"/>
    <w:rsid w:val="002B760B"/>
    <w:rsid w:val="002B7630"/>
    <w:rsid w:val="002B76D3"/>
    <w:rsid w:val="002B7777"/>
    <w:rsid w:val="002B792E"/>
    <w:rsid w:val="002B7AFF"/>
    <w:rsid w:val="002B7C8A"/>
    <w:rsid w:val="002B7D08"/>
    <w:rsid w:val="002B7FBA"/>
    <w:rsid w:val="002C0081"/>
    <w:rsid w:val="002C0108"/>
    <w:rsid w:val="002C0125"/>
    <w:rsid w:val="002C0195"/>
    <w:rsid w:val="002C01A1"/>
    <w:rsid w:val="002C0262"/>
    <w:rsid w:val="002C02FF"/>
    <w:rsid w:val="002C038A"/>
    <w:rsid w:val="002C0499"/>
    <w:rsid w:val="002C0519"/>
    <w:rsid w:val="002C05A3"/>
    <w:rsid w:val="002C072A"/>
    <w:rsid w:val="002C07AA"/>
    <w:rsid w:val="002C07E6"/>
    <w:rsid w:val="002C0A0B"/>
    <w:rsid w:val="002C0B22"/>
    <w:rsid w:val="002C0B4A"/>
    <w:rsid w:val="002C0B54"/>
    <w:rsid w:val="002C0ECD"/>
    <w:rsid w:val="002C0F9F"/>
    <w:rsid w:val="002C0FCC"/>
    <w:rsid w:val="002C1125"/>
    <w:rsid w:val="002C11C1"/>
    <w:rsid w:val="002C11D8"/>
    <w:rsid w:val="002C11F1"/>
    <w:rsid w:val="002C12FB"/>
    <w:rsid w:val="002C13AC"/>
    <w:rsid w:val="002C1425"/>
    <w:rsid w:val="002C152A"/>
    <w:rsid w:val="002C1533"/>
    <w:rsid w:val="002C1638"/>
    <w:rsid w:val="002C1704"/>
    <w:rsid w:val="002C174E"/>
    <w:rsid w:val="002C175E"/>
    <w:rsid w:val="002C18DC"/>
    <w:rsid w:val="002C194B"/>
    <w:rsid w:val="002C19A5"/>
    <w:rsid w:val="002C19C0"/>
    <w:rsid w:val="002C1AFF"/>
    <w:rsid w:val="002C1C3B"/>
    <w:rsid w:val="002C1C7B"/>
    <w:rsid w:val="002C1E7B"/>
    <w:rsid w:val="002C1EBC"/>
    <w:rsid w:val="002C1F5A"/>
    <w:rsid w:val="002C1F7B"/>
    <w:rsid w:val="002C2357"/>
    <w:rsid w:val="002C2424"/>
    <w:rsid w:val="002C2427"/>
    <w:rsid w:val="002C2568"/>
    <w:rsid w:val="002C2607"/>
    <w:rsid w:val="002C272D"/>
    <w:rsid w:val="002C2739"/>
    <w:rsid w:val="002C27E9"/>
    <w:rsid w:val="002C27F5"/>
    <w:rsid w:val="002C2A3E"/>
    <w:rsid w:val="002C2A67"/>
    <w:rsid w:val="002C2A98"/>
    <w:rsid w:val="002C2B49"/>
    <w:rsid w:val="002C2B7F"/>
    <w:rsid w:val="002C2BCA"/>
    <w:rsid w:val="002C2C19"/>
    <w:rsid w:val="002C2C1F"/>
    <w:rsid w:val="002C2DE1"/>
    <w:rsid w:val="002C2DF0"/>
    <w:rsid w:val="002C2F36"/>
    <w:rsid w:val="002C2F77"/>
    <w:rsid w:val="002C2F9A"/>
    <w:rsid w:val="002C2FEF"/>
    <w:rsid w:val="002C319D"/>
    <w:rsid w:val="002C3262"/>
    <w:rsid w:val="002C32E7"/>
    <w:rsid w:val="002C34C8"/>
    <w:rsid w:val="002C3540"/>
    <w:rsid w:val="002C354F"/>
    <w:rsid w:val="002C36D1"/>
    <w:rsid w:val="002C371E"/>
    <w:rsid w:val="002C3853"/>
    <w:rsid w:val="002C385B"/>
    <w:rsid w:val="002C394D"/>
    <w:rsid w:val="002C39FD"/>
    <w:rsid w:val="002C3BC8"/>
    <w:rsid w:val="002C3CBA"/>
    <w:rsid w:val="002C3CDD"/>
    <w:rsid w:val="002C3CF7"/>
    <w:rsid w:val="002C3E9A"/>
    <w:rsid w:val="002C3EF8"/>
    <w:rsid w:val="002C3F5A"/>
    <w:rsid w:val="002C3F7E"/>
    <w:rsid w:val="002C3FB4"/>
    <w:rsid w:val="002C407D"/>
    <w:rsid w:val="002C414F"/>
    <w:rsid w:val="002C415D"/>
    <w:rsid w:val="002C4311"/>
    <w:rsid w:val="002C4417"/>
    <w:rsid w:val="002C443A"/>
    <w:rsid w:val="002C445A"/>
    <w:rsid w:val="002C44B2"/>
    <w:rsid w:val="002C44CB"/>
    <w:rsid w:val="002C44E5"/>
    <w:rsid w:val="002C44EF"/>
    <w:rsid w:val="002C44FF"/>
    <w:rsid w:val="002C461F"/>
    <w:rsid w:val="002C4801"/>
    <w:rsid w:val="002C4910"/>
    <w:rsid w:val="002C49A4"/>
    <w:rsid w:val="002C4B4A"/>
    <w:rsid w:val="002C4BB0"/>
    <w:rsid w:val="002C4C9C"/>
    <w:rsid w:val="002C4CCD"/>
    <w:rsid w:val="002C4D8F"/>
    <w:rsid w:val="002C4E6B"/>
    <w:rsid w:val="002C4EBA"/>
    <w:rsid w:val="002C4ED4"/>
    <w:rsid w:val="002C4EE0"/>
    <w:rsid w:val="002C4F18"/>
    <w:rsid w:val="002C4F5E"/>
    <w:rsid w:val="002C4F9B"/>
    <w:rsid w:val="002C5008"/>
    <w:rsid w:val="002C500A"/>
    <w:rsid w:val="002C507C"/>
    <w:rsid w:val="002C5195"/>
    <w:rsid w:val="002C51B6"/>
    <w:rsid w:val="002C5225"/>
    <w:rsid w:val="002C5405"/>
    <w:rsid w:val="002C54DB"/>
    <w:rsid w:val="002C5515"/>
    <w:rsid w:val="002C563A"/>
    <w:rsid w:val="002C5869"/>
    <w:rsid w:val="002C5897"/>
    <w:rsid w:val="002C597E"/>
    <w:rsid w:val="002C5A04"/>
    <w:rsid w:val="002C5B31"/>
    <w:rsid w:val="002C5BBB"/>
    <w:rsid w:val="002C5D1D"/>
    <w:rsid w:val="002C5DE6"/>
    <w:rsid w:val="002C603B"/>
    <w:rsid w:val="002C6143"/>
    <w:rsid w:val="002C6153"/>
    <w:rsid w:val="002C616F"/>
    <w:rsid w:val="002C624A"/>
    <w:rsid w:val="002C62E6"/>
    <w:rsid w:val="002C62EC"/>
    <w:rsid w:val="002C6387"/>
    <w:rsid w:val="002C63BA"/>
    <w:rsid w:val="002C63DF"/>
    <w:rsid w:val="002C64FF"/>
    <w:rsid w:val="002C650B"/>
    <w:rsid w:val="002C653E"/>
    <w:rsid w:val="002C65DF"/>
    <w:rsid w:val="002C6621"/>
    <w:rsid w:val="002C6627"/>
    <w:rsid w:val="002C6677"/>
    <w:rsid w:val="002C66FA"/>
    <w:rsid w:val="002C6805"/>
    <w:rsid w:val="002C6858"/>
    <w:rsid w:val="002C691C"/>
    <w:rsid w:val="002C6999"/>
    <w:rsid w:val="002C69FC"/>
    <w:rsid w:val="002C6A09"/>
    <w:rsid w:val="002C6C4E"/>
    <w:rsid w:val="002C6CB0"/>
    <w:rsid w:val="002C6CD4"/>
    <w:rsid w:val="002C6CDE"/>
    <w:rsid w:val="002C6E2D"/>
    <w:rsid w:val="002C6F0F"/>
    <w:rsid w:val="002C6F3D"/>
    <w:rsid w:val="002C6F69"/>
    <w:rsid w:val="002C6FAA"/>
    <w:rsid w:val="002C7042"/>
    <w:rsid w:val="002C7320"/>
    <w:rsid w:val="002C7334"/>
    <w:rsid w:val="002C73A9"/>
    <w:rsid w:val="002C7474"/>
    <w:rsid w:val="002C75E0"/>
    <w:rsid w:val="002C7755"/>
    <w:rsid w:val="002C7780"/>
    <w:rsid w:val="002C77AF"/>
    <w:rsid w:val="002C77C8"/>
    <w:rsid w:val="002C7825"/>
    <w:rsid w:val="002C78CD"/>
    <w:rsid w:val="002C7994"/>
    <w:rsid w:val="002C7A59"/>
    <w:rsid w:val="002C7AE8"/>
    <w:rsid w:val="002C7B6B"/>
    <w:rsid w:val="002C7C93"/>
    <w:rsid w:val="002C7CB1"/>
    <w:rsid w:val="002C7D86"/>
    <w:rsid w:val="002C7D96"/>
    <w:rsid w:val="002C7DCD"/>
    <w:rsid w:val="002C7F14"/>
    <w:rsid w:val="002D007B"/>
    <w:rsid w:val="002D00B5"/>
    <w:rsid w:val="002D00F4"/>
    <w:rsid w:val="002D0119"/>
    <w:rsid w:val="002D01C1"/>
    <w:rsid w:val="002D01F9"/>
    <w:rsid w:val="002D02E0"/>
    <w:rsid w:val="002D0404"/>
    <w:rsid w:val="002D0443"/>
    <w:rsid w:val="002D048B"/>
    <w:rsid w:val="002D04AA"/>
    <w:rsid w:val="002D05EE"/>
    <w:rsid w:val="002D06E9"/>
    <w:rsid w:val="002D06ED"/>
    <w:rsid w:val="002D07A6"/>
    <w:rsid w:val="002D087F"/>
    <w:rsid w:val="002D098F"/>
    <w:rsid w:val="002D09F7"/>
    <w:rsid w:val="002D0A4B"/>
    <w:rsid w:val="002D0BF4"/>
    <w:rsid w:val="002D0CEB"/>
    <w:rsid w:val="002D0E16"/>
    <w:rsid w:val="002D1036"/>
    <w:rsid w:val="002D1049"/>
    <w:rsid w:val="002D12D7"/>
    <w:rsid w:val="002D12FC"/>
    <w:rsid w:val="002D1332"/>
    <w:rsid w:val="002D142A"/>
    <w:rsid w:val="002D14E7"/>
    <w:rsid w:val="002D1562"/>
    <w:rsid w:val="002D171D"/>
    <w:rsid w:val="002D173C"/>
    <w:rsid w:val="002D177C"/>
    <w:rsid w:val="002D1802"/>
    <w:rsid w:val="002D189D"/>
    <w:rsid w:val="002D1979"/>
    <w:rsid w:val="002D19A1"/>
    <w:rsid w:val="002D1A97"/>
    <w:rsid w:val="002D1A9B"/>
    <w:rsid w:val="002D1ABF"/>
    <w:rsid w:val="002D1AD9"/>
    <w:rsid w:val="002D1B41"/>
    <w:rsid w:val="002D1C8B"/>
    <w:rsid w:val="002D1F5D"/>
    <w:rsid w:val="002D1F62"/>
    <w:rsid w:val="002D1F6F"/>
    <w:rsid w:val="002D1F97"/>
    <w:rsid w:val="002D208D"/>
    <w:rsid w:val="002D21C0"/>
    <w:rsid w:val="002D23FF"/>
    <w:rsid w:val="002D2479"/>
    <w:rsid w:val="002D262A"/>
    <w:rsid w:val="002D2658"/>
    <w:rsid w:val="002D26BD"/>
    <w:rsid w:val="002D2727"/>
    <w:rsid w:val="002D2765"/>
    <w:rsid w:val="002D276B"/>
    <w:rsid w:val="002D2791"/>
    <w:rsid w:val="002D281F"/>
    <w:rsid w:val="002D2824"/>
    <w:rsid w:val="002D2965"/>
    <w:rsid w:val="002D2A86"/>
    <w:rsid w:val="002D2A8E"/>
    <w:rsid w:val="002D2A9B"/>
    <w:rsid w:val="002D2AD3"/>
    <w:rsid w:val="002D2BC9"/>
    <w:rsid w:val="002D2D84"/>
    <w:rsid w:val="002D2EB8"/>
    <w:rsid w:val="002D2EF9"/>
    <w:rsid w:val="002D3081"/>
    <w:rsid w:val="002D31B1"/>
    <w:rsid w:val="002D320F"/>
    <w:rsid w:val="002D33F3"/>
    <w:rsid w:val="002D34EB"/>
    <w:rsid w:val="002D364F"/>
    <w:rsid w:val="002D37AF"/>
    <w:rsid w:val="002D38FB"/>
    <w:rsid w:val="002D3935"/>
    <w:rsid w:val="002D3969"/>
    <w:rsid w:val="002D39DD"/>
    <w:rsid w:val="002D3B55"/>
    <w:rsid w:val="002D3E0C"/>
    <w:rsid w:val="002D3E60"/>
    <w:rsid w:val="002D3F42"/>
    <w:rsid w:val="002D3F5B"/>
    <w:rsid w:val="002D407A"/>
    <w:rsid w:val="002D41B5"/>
    <w:rsid w:val="002D4255"/>
    <w:rsid w:val="002D42B0"/>
    <w:rsid w:val="002D42B4"/>
    <w:rsid w:val="002D4418"/>
    <w:rsid w:val="002D445C"/>
    <w:rsid w:val="002D44A4"/>
    <w:rsid w:val="002D44FC"/>
    <w:rsid w:val="002D4673"/>
    <w:rsid w:val="002D46A1"/>
    <w:rsid w:val="002D4775"/>
    <w:rsid w:val="002D47AD"/>
    <w:rsid w:val="002D486D"/>
    <w:rsid w:val="002D488D"/>
    <w:rsid w:val="002D4983"/>
    <w:rsid w:val="002D49AD"/>
    <w:rsid w:val="002D4A88"/>
    <w:rsid w:val="002D4B27"/>
    <w:rsid w:val="002D4B58"/>
    <w:rsid w:val="002D4C31"/>
    <w:rsid w:val="002D4CDB"/>
    <w:rsid w:val="002D4CE1"/>
    <w:rsid w:val="002D4D67"/>
    <w:rsid w:val="002D4E38"/>
    <w:rsid w:val="002D4E95"/>
    <w:rsid w:val="002D4EAF"/>
    <w:rsid w:val="002D4F03"/>
    <w:rsid w:val="002D4F59"/>
    <w:rsid w:val="002D4F6D"/>
    <w:rsid w:val="002D505C"/>
    <w:rsid w:val="002D50C9"/>
    <w:rsid w:val="002D5171"/>
    <w:rsid w:val="002D5197"/>
    <w:rsid w:val="002D51E4"/>
    <w:rsid w:val="002D522E"/>
    <w:rsid w:val="002D5271"/>
    <w:rsid w:val="002D5294"/>
    <w:rsid w:val="002D52CD"/>
    <w:rsid w:val="002D52D9"/>
    <w:rsid w:val="002D5346"/>
    <w:rsid w:val="002D5374"/>
    <w:rsid w:val="002D5379"/>
    <w:rsid w:val="002D551C"/>
    <w:rsid w:val="002D552E"/>
    <w:rsid w:val="002D5533"/>
    <w:rsid w:val="002D55C4"/>
    <w:rsid w:val="002D5665"/>
    <w:rsid w:val="002D56A9"/>
    <w:rsid w:val="002D5702"/>
    <w:rsid w:val="002D5847"/>
    <w:rsid w:val="002D586F"/>
    <w:rsid w:val="002D58CA"/>
    <w:rsid w:val="002D5999"/>
    <w:rsid w:val="002D5A8D"/>
    <w:rsid w:val="002D5AC1"/>
    <w:rsid w:val="002D5B21"/>
    <w:rsid w:val="002D5BEE"/>
    <w:rsid w:val="002D5C1B"/>
    <w:rsid w:val="002D5C5F"/>
    <w:rsid w:val="002D5FC3"/>
    <w:rsid w:val="002D5FD8"/>
    <w:rsid w:val="002D5FF4"/>
    <w:rsid w:val="002D5FFF"/>
    <w:rsid w:val="002D604E"/>
    <w:rsid w:val="002D611F"/>
    <w:rsid w:val="002D6142"/>
    <w:rsid w:val="002D61E6"/>
    <w:rsid w:val="002D6305"/>
    <w:rsid w:val="002D639C"/>
    <w:rsid w:val="002D650B"/>
    <w:rsid w:val="002D65B7"/>
    <w:rsid w:val="002D666A"/>
    <w:rsid w:val="002D68A9"/>
    <w:rsid w:val="002D68C4"/>
    <w:rsid w:val="002D690C"/>
    <w:rsid w:val="002D6920"/>
    <w:rsid w:val="002D69E1"/>
    <w:rsid w:val="002D6A6A"/>
    <w:rsid w:val="002D6A97"/>
    <w:rsid w:val="002D6AD7"/>
    <w:rsid w:val="002D6B00"/>
    <w:rsid w:val="002D6B0A"/>
    <w:rsid w:val="002D6B13"/>
    <w:rsid w:val="002D6B8B"/>
    <w:rsid w:val="002D6B99"/>
    <w:rsid w:val="002D6BFB"/>
    <w:rsid w:val="002D6C09"/>
    <w:rsid w:val="002D6C95"/>
    <w:rsid w:val="002D6CBD"/>
    <w:rsid w:val="002D6D33"/>
    <w:rsid w:val="002D6D3D"/>
    <w:rsid w:val="002D6D61"/>
    <w:rsid w:val="002D6D90"/>
    <w:rsid w:val="002D6E42"/>
    <w:rsid w:val="002D6FCE"/>
    <w:rsid w:val="002D6FD2"/>
    <w:rsid w:val="002D6FDB"/>
    <w:rsid w:val="002D6FFB"/>
    <w:rsid w:val="002D6FFF"/>
    <w:rsid w:val="002D7009"/>
    <w:rsid w:val="002D7017"/>
    <w:rsid w:val="002D7037"/>
    <w:rsid w:val="002D703D"/>
    <w:rsid w:val="002D7095"/>
    <w:rsid w:val="002D70DC"/>
    <w:rsid w:val="002D70E8"/>
    <w:rsid w:val="002D714E"/>
    <w:rsid w:val="002D7202"/>
    <w:rsid w:val="002D7226"/>
    <w:rsid w:val="002D7483"/>
    <w:rsid w:val="002D74E2"/>
    <w:rsid w:val="002D75A7"/>
    <w:rsid w:val="002D7667"/>
    <w:rsid w:val="002D777B"/>
    <w:rsid w:val="002D786C"/>
    <w:rsid w:val="002D7905"/>
    <w:rsid w:val="002D79B0"/>
    <w:rsid w:val="002D79FA"/>
    <w:rsid w:val="002D7ABA"/>
    <w:rsid w:val="002D7BB0"/>
    <w:rsid w:val="002D7C11"/>
    <w:rsid w:val="002D7C57"/>
    <w:rsid w:val="002D7DF2"/>
    <w:rsid w:val="002D7FF2"/>
    <w:rsid w:val="002E0011"/>
    <w:rsid w:val="002E0090"/>
    <w:rsid w:val="002E0114"/>
    <w:rsid w:val="002E016E"/>
    <w:rsid w:val="002E0213"/>
    <w:rsid w:val="002E0268"/>
    <w:rsid w:val="002E02BE"/>
    <w:rsid w:val="002E0417"/>
    <w:rsid w:val="002E0449"/>
    <w:rsid w:val="002E045E"/>
    <w:rsid w:val="002E050C"/>
    <w:rsid w:val="002E0526"/>
    <w:rsid w:val="002E0548"/>
    <w:rsid w:val="002E0622"/>
    <w:rsid w:val="002E0694"/>
    <w:rsid w:val="002E06A5"/>
    <w:rsid w:val="002E06C2"/>
    <w:rsid w:val="002E06D0"/>
    <w:rsid w:val="002E0813"/>
    <w:rsid w:val="002E0887"/>
    <w:rsid w:val="002E08F2"/>
    <w:rsid w:val="002E0999"/>
    <w:rsid w:val="002E0AD7"/>
    <w:rsid w:val="002E0B15"/>
    <w:rsid w:val="002E0BEF"/>
    <w:rsid w:val="002E0F3C"/>
    <w:rsid w:val="002E0F7D"/>
    <w:rsid w:val="002E0FB7"/>
    <w:rsid w:val="002E1066"/>
    <w:rsid w:val="002E11D0"/>
    <w:rsid w:val="002E1202"/>
    <w:rsid w:val="002E123B"/>
    <w:rsid w:val="002E12E2"/>
    <w:rsid w:val="002E130A"/>
    <w:rsid w:val="002E136F"/>
    <w:rsid w:val="002E1655"/>
    <w:rsid w:val="002E1681"/>
    <w:rsid w:val="002E1758"/>
    <w:rsid w:val="002E1788"/>
    <w:rsid w:val="002E1820"/>
    <w:rsid w:val="002E182E"/>
    <w:rsid w:val="002E1840"/>
    <w:rsid w:val="002E19F7"/>
    <w:rsid w:val="002E1A06"/>
    <w:rsid w:val="002E1C4B"/>
    <w:rsid w:val="002E1D26"/>
    <w:rsid w:val="002E1E6F"/>
    <w:rsid w:val="002E1EA2"/>
    <w:rsid w:val="002E1ED3"/>
    <w:rsid w:val="002E1EF3"/>
    <w:rsid w:val="002E2005"/>
    <w:rsid w:val="002E2128"/>
    <w:rsid w:val="002E222F"/>
    <w:rsid w:val="002E23FE"/>
    <w:rsid w:val="002E2469"/>
    <w:rsid w:val="002E2489"/>
    <w:rsid w:val="002E24D5"/>
    <w:rsid w:val="002E2518"/>
    <w:rsid w:val="002E2690"/>
    <w:rsid w:val="002E26B9"/>
    <w:rsid w:val="002E2700"/>
    <w:rsid w:val="002E270D"/>
    <w:rsid w:val="002E2740"/>
    <w:rsid w:val="002E2778"/>
    <w:rsid w:val="002E2798"/>
    <w:rsid w:val="002E28B5"/>
    <w:rsid w:val="002E2923"/>
    <w:rsid w:val="002E29C9"/>
    <w:rsid w:val="002E2AD7"/>
    <w:rsid w:val="002E2B2D"/>
    <w:rsid w:val="002E2BEE"/>
    <w:rsid w:val="002E2C53"/>
    <w:rsid w:val="002E2DB9"/>
    <w:rsid w:val="002E2DDA"/>
    <w:rsid w:val="002E2E1D"/>
    <w:rsid w:val="002E2EF6"/>
    <w:rsid w:val="002E30A3"/>
    <w:rsid w:val="002E30F9"/>
    <w:rsid w:val="002E3155"/>
    <w:rsid w:val="002E317B"/>
    <w:rsid w:val="002E319F"/>
    <w:rsid w:val="002E3238"/>
    <w:rsid w:val="002E3516"/>
    <w:rsid w:val="002E35DE"/>
    <w:rsid w:val="002E3603"/>
    <w:rsid w:val="002E3671"/>
    <w:rsid w:val="002E3675"/>
    <w:rsid w:val="002E36A6"/>
    <w:rsid w:val="002E3757"/>
    <w:rsid w:val="002E38AC"/>
    <w:rsid w:val="002E38B6"/>
    <w:rsid w:val="002E39C6"/>
    <w:rsid w:val="002E3B16"/>
    <w:rsid w:val="002E3C1C"/>
    <w:rsid w:val="002E3CED"/>
    <w:rsid w:val="002E3DAF"/>
    <w:rsid w:val="002E3E52"/>
    <w:rsid w:val="002E40BB"/>
    <w:rsid w:val="002E40D5"/>
    <w:rsid w:val="002E4112"/>
    <w:rsid w:val="002E411A"/>
    <w:rsid w:val="002E41CB"/>
    <w:rsid w:val="002E4246"/>
    <w:rsid w:val="002E4306"/>
    <w:rsid w:val="002E43F0"/>
    <w:rsid w:val="002E44A0"/>
    <w:rsid w:val="002E4533"/>
    <w:rsid w:val="002E4549"/>
    <w:rsid w:val="002E4573"/>
    <w:rsid w:val="002E4691"/>
    <w:rsid w:val="002E4748"/>
    <w:rsid w:val="002E47BA"/>
    <w:rsid w:val="002E4846"/>
    <w:rsid w:val="002E4941"/>
    <w:rsid w:val="002E4944"/>
    <w:rsid w:val="002E4A84"/>
    <w:rsid w:val="002E4ABB"/>
    <w:rsid w:val="002E4AD2"/>
    <w:rsid w:val="002E4AEE"/>
    <w:rsid w:val="002E4B58"/>
    <w:rsid w:val="002E4B74"/>
    <w:rsid w:val="002E4BB3"/>
    <w:rsid w:val="002E4C03"/>
    <w:rsid w:val="002E4D10"/>
    <w:rsid w:val="002E4D4D"/>
    <w:rsid w:val="002E4E70"/>
    <w:rsid w:val="002E4E9A"/>
    <w:rsid w:val="002E4EA4"/>
    <w:rsid w:val="002E4F1E"/>
    <w:rsid w:val="002E4F40"/>
    <w:rsid w:val="002E4F70"/>
    <w:rsid w:val="002E4F9D"/>
    <w:rsid w:val="002E4FAF"/>
    <w:rsid w:val="002E50BC"/>
    <w:rsid w:val="002E50F3"/>
    <w:rsid w:val="002E5157"/>
    <w:rsid w:val="002E515D"/>
    <w:rsid w:val="002E5170"/>
    <w:rsid w:val="002E550C"/>
    <w:rsid w:val="002E5555"/>
    <w:rsid w:val="002E555D"/>
    <w:rsid w:val="002E55EA"/>
    <w:rsid w:val="002E55F4"/>
    <w:rsid w:val="002E5720"/>
    <w:rsid w:val="002E57F3"/>
    <w:rsid w:val="002E582A"/>
    <w:rsid w:val="002E585F"/>
    <w:rsid w:val="002E58DD"/>
    <w:rsid w:val="002E5955"/>
    <w:rsid w:val="002E59CA"/>
    <w:rsid w:val="002E59ED"/>
    <w:rsid w:val="002E5ACA"/>
    <w:rsid w:val="002E5AD3"/>
    <w:rsid w:val="002E5B22"/>
    <w:rsid w:val="002E5B3A"/>
    <w:rsid w:val="002E5B6F"/>
    <w:rsid w:val="002E5C4B"/>
    <w:rsid w:val="002E5D13"/>
    <w:rsid w:val="002E5EBB"/>
    <w:rsid w:val="002E5ECF"/>
    <w:rsid w:val="002E6172"/>
    <w:rsid w:val="002E61DA"/>
    <w:rsid w:val="002E62DC"/>
    <w:rsid w:val="002E636F"/>
    <w:rsid w:val="002E63E2"/>
    <w:rsid w:val="002E64AD"/>
    <w:rsid w:val="002E65D9"/>
    <w:rsid w:val="002E662C"/>
    <w:rsid w:val="002E6658"/>
    <w:rsid w:val="002E66B1"/>
    <w:rsid w:val="002E6746"/>
    <w:rsid w:val="002E6884"/>
    <w:rsid w:val="002E6915"/>
    <w:rsid w:val="002E69B3"/>
    <w:rsid w:val="002E6A55"/>
    <w:rsid w:val="002E6A6D"/>
    <w:rsid w:val="002E6AA5"/>
    <w:rsid w:val="002E6B7A"/>
    <w:rsid w:val="002E6C13"/>
    <w:rsid w:val="002E6C14"/>
    <w:rsid w:val="002E6CED"/>
    <w:rsid w:val="002E6F00"/>
    <w:rsid w:val="002E70BE"/>
    <w:rsid w:val="002E70D3"/>
    <w:rsid w:val="002E71C8"/>
    <w:rsid w:val="002E71F2"/>
    <w:rsid w:val="002E73B8"/>
    <w:rsid w:val="002E7495"/>
    <w:rsid w:val="002E74F3"/>
    <w:rsid w:val="002E753D"/>
    <w:rsid w:val="002E75EF"/>
    <w:rsid w:val="002E7609"/>
    <w:rsid w:val="002E772F"/>
    <w:rsid w:val="002E7749"/>
    <w:rsid w:val="002E788A"/>
    <w:rsid w:val="002E7A91"/>
    <w:rsid w:val="002E7B17"/>
    <w:rsid w:val="002E7C0D"/>
    <w:rsid w:val="002E7C90"/>
    <w:rsid w:val="002E7DD6"/>
    <w:rsid w:val="002E7E21"/>
    <w:rsid w:val="002E7E51"/>
    <w:rsid w:val="002E7E76"/>
    <w:rsid w:val="002E7EB1"/>
    <w:rsid w:val="002E7EE5"/>
    <w:rsid w:val="002F008C"/>
    <w:rsid w:val="002F00B2"/>
    <w:rsid w:val="002F00BF"/>
    <w:rsid w:val="002F012A"/>
    <w:rsid w:val="002F015A"/>
    <w:rsid w:val="002F0297"/>
    <w:rsid w:val="002F0323"/>
    <w:rsid w:val="002F056C"/>
    <w:rsid w:val="002F0595"/>
    <w:rsid w:val="002F0666"/>
    <w:rsid w:val="002F06FA"/>
    <w:rsid w:val="002F073E"/>
    <w:rsid w:val="002F075D"/>
    <w:rsid w:val="002F07F5"/>
    <w:rsid w:val="002F0BED"/>
    <w:rsid w:val="002F0C0D"/>
    <w:rsid w:val="002F0CDD"/>
    <w:rsid w:val="002F0D8E"/>
    <w:rsid w:val="002F0E51"/>
    <w:rsid w:val="002F0F75"/>
    <w:rsid w:val="002F1055"/>
    <w:rsid w:val="002F108F"/>
    <w:rsid w:val="002F10FD"/>
    <w:rsid w:val="002F127C"/>
    <w:rsid w:val="002F1302"/>
    <w:rsid w:val="002F138A"/>
    <w:rsid w:val="002F14DC"/>
    <w:rsid w:val="002F151B"/>
    <w:rsid w:val="002F177E"/>
    <w:rsid w:val="002F178C"/>
    <w:rsid w:val="002F178E"/>
    <w:rsid w:val="002F1847"/>
    <w:rsid w:val="002F199B"/>
    <w:rsid w:val="002F1A08"/>
    <w:rsid w:val="002F1B1E"/>
    <w:rsid w:val="002F1B60"/>
    <w:rsid w:val="002F1BBA"/>
    <w:rsid w:val="002F1C87"/>
    <w:rsid w:val="002F1D46"/>
    <w:rsid w:val="002F1D5A"/>
    <w:rsid w:val="002F1D6D"/>
    <w:rsid w:val="002F1D85"/>
    <w:rsid w:val="002F1E4A"/>
    <w:rsid w:val="002F1F26"/>
    <w:rsid w:val="002F1F41"/>
    <w:rsid w:val="002F1F44"/>
    <w:rsid w:val="002F2031"/>
    <w:rsid w:val="002F20D7"/>
    <w:rsid w:val="002F20F6"/>
    <w:rsid w:val="002F2171"/>
    <w:rsid w:val="002F2213"/>
    <w:rsid w:val="002F238C"/>
    <w:rsid w:val="002F23A2"/>
    <w:rsid w:val="002F23D2"/>
    <w:rsid w:val="002F2500"/>
    <w:rsid w:val="002F255C"/>
    <w:rsid w:val="002F25DB"/>
    <w:rsid w:val="002F26B0"/>
    <w:rsid w:val="002F2959"/>
    <w:rsid w:val="002F2966"/>
    <w:rsid w:val="002F29D6"/>
    <w:rsid w:val="002F2A3E"/>
    <w:rsid w:val="002F2AF5"/>
    <w:rsid w:val="002F2B8C"/>
    <w:rsid w:val="002F2BF6"/>
    <w:rsid w:val="002F2C47"/>
    <w:rsid w:val="002F2CA1"/>
    <w:rsid w:val="002F2D4A"/>
    <w:rsid w:val="002F2FDA"/>
    <w:rsid w:val="002F2FF5"/>
    <w:rsid w:val="002F30C9"/>
    <w:rsid w:val="002F3210"/>
    <w:rsid w:val="002F324E"/>
    <w:rsid w:val="002F326B"/>
    <w:rsid w:val="002F32DB"/>
    <w:rsid w:val="002F342A"/>
    <w:rsid w:val="002F3433"/>
    <w:rsid w:val="002F3453"/>
    <w:rsid w:val="002F3509"/>
    <w:rsid w:val="002F352F"/>
    <w:rsid w:val="002F3739"/>
    <w:rsid w:val="002F3790"/>
    <w:rsid w:val="002F37BF"/>
    <w:rsid w:val="002F387E"/>
    <w:rsid w:val="002F38A7"/>
    <w:rsid w:val="002F3A16"/>
    <w:rsid w:val="002F3A6F"/>
    <w:rsid w:val="002F3AD1"/>
    <w:rsid w:val="002F3ADD"/>
    <w:rsid w:val="002F3B10"/>
    <w:rsid w:val="002F3B79"/>
    <w:rsid w:val="002F3BDE"/>
    <w:rsid w:val="002F3CC6"/>
    <w:rsid w:val="002F3D66"/>
    <w:rsid w:val="002F3D71"/>
    <w:rsid w:val="002F3F0D"/>
    <w:rsid w:val="002F3FB4"/>
    <w:rsid w:val="002F3FEF"/>
    <w:rsid w:val="002F4025"/>
    <w:rsid w:val="002F403E"/>
    <w:rsid w:val="002F41DF"/>
    <w:rsid w:val="002F437A"/>
    <w:rsid w:val="002F450A"/>
    <w:rsid w:val="002F4663"/>
    <w:rsid w:val="002F46B4"/>
    <w:rsid w:val="002F478B"/>
    <w:rsid w:val="002F482D"/>
    <w:rsid w:val="002F48C0"/>
    <w:rsid w:val="002F48F0"/>
    <w:rsid w:val="002F4A2F"/>
    <w:rsid w:val="002F4B47"/>
    <w:rsid w:val="002F4B6E"/>
    <w:rsid w:val="002F4E42"/>
    <w:rsid w:val="002F4E9E"/>
    <w:rsid w:val="002F4EC5"/>
    <w:rsid w:val="002F4F25"/>
    <w:rsid w:val="002F5011"/>
    <w:rsid w:val="002F50D1"/>
    <w:rsid w:val="002F50ED"/>
    <w:rsid w:val="002F50F8"/>
    <w:rsid w:val="002F5224"/>
    <w:rsid w:val="002F522B"/>
    <w:rsid w:val="002F530F"/>
    <w:rsid w:val="002F531A"/>
    <w:rsid w:val="002F5346"/>
    <w:rsid w:val="002F5386"/>
    <w:rsid w:val="002F53EB"/>
    <w:rsid w:val="002F5455"/>
    <w:rsid w:val="002F5536"/>
    <w:rsid w:val="002F559C"/>
    <w:rsid w:val="002F55B6"/>
    <w:rsid w:val="002F5619"/>
    <w:rsid w:val="002F56E2"/>
    <w:rsid w:val="002F57B7"/>
    <w:rsid w:val="002F58C2"/>
    <w:rsid w:val="002F5911"/>
    <w:rsid w:val="002F596E"/>
    <w:rsid w:val="002F59C2"/>
    <w:rsid w:val="002F5B38"/>
    <w:rsid w:val="002F5B7F"/>
    <w:rsid w:val="002F5BBA"/>
    <w:rsid w:val="002F5BE6"/>
    <w:rsid w:val="002F5C9A"/>
    <w:rsid w:val="002F5DB9"/>
    <w:rsid w:val="002F5DDD"/>
    <w:rsid w:val="002F5E9F"/>
    <w:rsid w:val="002F5EEE"/>
    <w:rsid w:val="002F5EF5"/>
    <w:rsid w:val="002F5F4A"/>
    <w:rsid w:val="002F5F6C"/>
    <w:rsid w:val="002F606A"/>
    <w:rsid w:val="002F62A8"/>
    <w:rsid w:val="002F631E"/>
    <w:rsid w:val="002F633D"/>
    <w:rsid w:val="002F6347"/>
    <w:rsid w:val="002F63C9"/>
    <w:rsid w:val="002F659B"/>
    <w:rsid w:val="002F668E"/>
    <w:rsid w:val="002F66D4"/>
    <w:rsid w:val="002F6791"/>
    <w:rsid w:val="002F67AA"/>
    <w:rsid w:val="002F6825"/>
    <w:rsid w:val="002F6974"/>
    <w:rsid w:val="002F699D"/>
    <w:rsid w:val="002F69CD"/>
    <w:rsid w:val="002F6A72"/>
    <w:rsid w:val="002F6A9E"/>
    <w:rsid w:val="002F6B60"/>
    <w:rsid w:val="002F6CB9"/>
    <w:rsid w:val="002F6CD0"/>
    <w:rsid w:val="002F6D72"/>
    <w:rsid w:val="002F6DF2"/>
    <w:rsid w:val="002F6E12"/>
    <w:rsid w:val="002F6EDB"/>
    <w:rsid w:val="002F6F22"/>
    <w:rsid w:val="002F6F2A"/>
    <w:rsid w:val="002F6F82"/>
    <w:rsid w:val="002F6FE9"/>
    <w:rsid w:val="002F700F"/>
    <w:rsid w:val="002F7063"/>
    <w:rsid w:val="002F70A3"/>
    <w:rsid w:val="002F70EB"/>
    <w:rsid w:val="002F7268"/>
    <w:rsid w:val="002F7286"/>
    <w:rsid w:val="002F745C"/>
    <w:rsid w:val="002F74CB"/>
    <w:rsid w:val="002F75C8"/>
    <w:rsid w:val="002F75E8"/>
    <w:rsid w:val="002F760C"/>
    <w:rsid w:val="002F771C"/>
    <w:rsid w:val="002F77EB"/>
    <w:rsid w:val="002F7801"/>
    <w:rsid w:val="002F795C"/>
    <w:rsid w:val="002F797C"/>
    <w:rsid w:val="002F79BD"/>
    <w:rsid w:val="002F79ED"/>
    <w:rsid w:val="002F7A1B"/>
    <w:rsid w:val="002F7A42"/>
    <w:rsid w:val="002F7A7C"/>
    <w:rsid w:val="002F7B5F"/>
    <w:rsid w:val="002F7BD0"/>
    <w:rsid w:val="002F7C21"/>
    <w:rsid w:val="002F7C9C"/>
    <w:rsid w:val="002F7E65"/>
    <w:rsid w:val="002F7F3D"/>
    <w:rsid w:val="003000D8"/>
    <w:rsid w:val="003000E7"/>
    <w:rsid w:val="0030012E"/>
    <w:rsid w:val="003001DF"/>
    <w:rsid w:val="0030029F"/>
    <w:rsid w:val="003002AE"/>
    <w:rsid w:val="0030032A"/>
    <w:rsid w:val="00300346"/>
    <w:rsid w:val="0030036C"/>
    <w:rsid w:val="003003D1"/>
    <w:rsid w:val="00300410"/>
    <w:rsid w:val="00300440"/>
    <w:rsid w:val="00300442"/>
    <w:rsid w:val="0030044D"/>
    <w:rsid w:val="00300508"/>
    <w:rsid w:val="003005F1"/>
    <w:rsid w:val="0030061E"/>
    <w:rsid w:val="00300672"/>
    <w:rsid w:val="00300708"/>
    <w:rsid w:val="00300761"/>
    <w:rsid w:val="003007E4"/>
    <w:rsid w:val="00300829"/>
    <w:rsid w:val="00300839"/>
    <w:rsid w:val="00300865"/>
    <w:rsid w:val="0030097A"/>
    <w:rsid w:val="00300AAD"/>
    <w:rsid w:val="00300AC7"/>
    <w:rsid w:val="00300AE7"/>
    <w:rsid w:val="00300BDD"/>
    <w:rsid w:val="00300CF0"/>
    <w:rsid w:val="00300DE0"/>
    <w:rsid w:val="00300E27"/>
    <w:rsid w:val="00300EB5"/>
    <w:rsid w:val="00300F9C"/>
    <w:rsid w:val="00300FC0"/>
    <w:rsid w:val="00301089"/>
    <w:rsid w:val="003010F4"/>
    <w:rsid w:val="00301142"/>
    <w:rsid w:val="00301144"/>
    <w:rsid w:val="0030125F"/>
    <w:rsid w:val="003012DF"/>
    <w:rsid w:val="003012F7"/>
    <w:rsid w:val="00301335"/>
    <w:rsid w:val="00301386"/>
    <w:rsid w:val="003013F7"/>
    <w:rsid w:val="003014A2"/>
    <w:rsid w:val="0030151A"/>
    <w:rsid w:val="003015FA"/>
    <w:rsid w:val="003016DB"/>
    <w:rsid w:val="00301740"/>
    <w:rsid w:val="00301764"/>
    <w:rsid w:val="003017F0"/>
    <w:rsid w:val="003018B2"/>
    <w:rsid w:val="0030193F"/>
    <w:rsid w:val="00301984"/>
    <w:rsid w:val="00301A3B"/>
    <w:rsid w:val="00301A56"/>
    <w:rsid w:val="00301B4C"/>
    <w:rsid w:val="00301BDE"/>
    <w:rsid w:val="00301C13"/>
    <w:rsid w:val="00301D0A"/>
    <w:rsid w:val="00301D3D"/>
    <w:rsid w:val="00301D57"/>
    <w:rsid w:val="00301E24"/>
    <w:rsid w:val="00301EDA"/>
    <w:rsid w:val="0030203B"/>
    <w:rsid w:val="003020D5"/>
    <w:rsid w:val="0030211E"/>
    <w:rsid w:val="0030224C"/>
    <w:rsid w:val="0030226F"/>
    <w:rsid w:val="00302376"/>
    <w:rsid w:val="003023F8"/>
    <w:rsid w:val="00302656"/>
    <w:rsid w:val="00302687"/>
    <w:rsid w:val="003026A4"/>
    <w:rsid w:val="00302792"/>
    <w:rsid w:val="0030279D"/>
    <w:rsid w:val="00302810"/>
    <w:rsid w:val="00302835"/>
    <w:rsid w:val="0030284B"/>
    <w:rsid w:val="003028BC"/>
    <w:rsid w:val="003029A6"/>
    <w:rsid w:val="003029B5"/>
    <w:rsid w:val="003029F1"/>
    <w:rsid w:val="00302AD8"/>
    <w:rsid w:val="00302C49"/>
    <w:rsid w:val="00302C99"/>
    <w:rsid w:val="00302E01"/>
    <w:rsid w:val="00302E26"/>
    <w:rsid w:val="00302E4A"/>
    <w:rsid w:val="00302E88"/>
    <w:rsid w:val="00302EEA"/>
    <w:rsid w:val="0030301A"/>
    <w:rsid w:val="00303035"/>
    <w:rsid w:val="00303063"/>
    <w:rsid w:val="003030AE"/>
    <w:rsid w:val="00303119"/>
    <w:rsid w:val="00303126"/>
    <w:rsid w:val="0030317C"/>
    <w:rsid w:val="00303193"/>
    <w:rsid w:val="003031FC"/>
    <w:rsid w:val="003032DB"/>
    <w:rsid w:val="003034B7"/>
    <w:rsid w:val="003034FC"/>
    <w:rsid w:val="00303528"/>
    <w:rsid w:val="003035AC"/>
    <w:rsid w:val="0030362E"/>
    <w:rsid w:val="003036BF"/>
    <w:rsid w:val="003036D4"/>
    <w:rsid w:val="003036FE"/>
    <w:rsid w:val="00303701"/>
    <w:rsid w:val="00303750"/>
    <w:rsid w:val="003037A8"/>
    <w:rsid w:val="00303829"/>
    <w:rsid w:val="00303892"/>
    <w:rsid w:val="003038EF"/>
    <w:rsid w:val="00303953"/>
    <w:rsid w:val="00303B0F"/>
    <w:rsid w:val="00303B10"/>
    <w:rsid w:val="00303CF8"/>
    <w:rsid w:val="00303D8D"/>
    <w:rsid w:val="00303E85"/>
    <w:rsid w:val="00303ECF"/>
    <w:rsid w:val="00303EE4"/>
    <w:rsid w:val="00303F0C"/>
    <w:rsid w:val="00303F0E"/>
    <w:rsid w:val="00303FBE"/>
    <w:rsid w:val="00303FDD"/>
    <w:rsid w:val="00304088"/>
    <w:rsid w:val="003040A9"/>
    <w:rsid w:val="003040F9"/>
    <w:rsid w:val="0030417C"/>
    <w:rsid w:val="00304280"/>
    <w:rsid w:val="00304398"/>
    <w:rsid w:val="00304421"/>
    <w:rsid w:val="003044FF"/>
    <w:rsid w:val="00304535"/>
    <w:rsid w:val="00304583"/>
    <w:rsid w:val="003045DA"/>
    <w:rsid w:val="003046CB"/>
    <w:rsid w:val="0030483E"/>
    <w:rsid w:val="0030493E"/>
    <w:rsid w:val="00304BAA"/>
    <w:rsid w:val="00304C5A"/>
    <w:rsid w:val="00304C97"/>
    <w:rsid w:val="00304D50"/>
    <w:rsid w:val="00304D9A"/>
    <w:rsid w:val="00304F0F"/>
    <w:rsid w:val="00304FA6"/>
    <w:rsid w:val="00304FD2"/>
    <w:rsid w:val="003050DD"/>
    <w:rsid w:val="00305136"/>
    <w:rsid w:val="00305166"/>
    <w:rsid w:val="003051A4"/>
    <w:rsid w:val="00305221"/>
    <w:rsid w:val="003052B0"/>
    <w:rsid w:val="00305312"/>
    <w:rsid w:val="0030539A"/>
    <w:rsid w:val="0030562E"/>
    <w:rsid w:val="00305674"/>
    <w:rsid w:val="003056BC"/>
    <w:rsid w:val="00305748"/>
    <w:rsid w:val="00305790"/>
    <w:rsid w:val="0030583F"/>
    <w:rsid w:val="0030586B"/>
    <w:rsid w:val="003059D5"/>
    <w:rsid w:val="003059EF"/>
    <w:rsid w:val="00305A98"/>
    <w:rsid w:val="00305B11"/>
    <w:rsid w:val="00305B4A"/>
    <w:rsid w:val="00305B4E"/>
    <w:rsid w:val="00305BAC"/>
    <w:rsid w:val="00305BD5"/>
    <w:rsid w:val="00305BFF"/>
    <w:rsid w:val="00305C14"/>
    <w:rsid w:val="00305D9A"/>
    <w:rsid w:val="00305DB8"/>
    <w:rsid w:val="00305DDE"/>
    <w:rsid w:val="00305E17"/>
    <w:rsid w:val="00305E4A"/>
    <w:rsid w:val="00305EB5"/>
    <w:rsid w:val="00305F0C"/>
    <w:rsid w:val="00305FCB"/>
    <w:rsid w:val="003060F5"/>
    <w:rsid w:val="00306132"/>
    <w:rsid w:val="00306165"/>
    <w:rsid w:val="003063E5"/>
    <w:rsid w:val="003065A7"/>
    <w:rsid w:val="00306746"/>
    <w:rsid w:val="00306749"/>
    <w:rsid w:val="0030685A"/>
    <w:rsid w:val="003068C4"/>
    <w:rsid w:val="00306CE5"/>
    <w:rsid w:val="00306D83"/>
    <w:rsid w:val="00306EC9"/>
    <w:rsid w:val="00306FA3"/>
    <w:rsid w:val="00306FEC"/>
    <w:rsid w:val="00307046"/>
    <w:rsid w:val="0030704D"/>
    <w:rsid w:val="0030711F"/>
    <w:rsid w:val="0030722E"/>
    <w:rsid w:val="00307253"/>
    <w:rsid w:val="0030726C"/>
    <w:rsid w:val="0030731F"/>
    <w:rsid w:val="0030742B"/>
    <w:rsid w:val="00307434"/>
    <w:rsid w:val="003074AE"/>
    <w:rsid w:val="003074E0"/>
    <w:rsid w:val="00307503"/>
    <w:rsid w:val="0030751A"/>
    <w:rsid w:val="0030752F"/>
    <w:rsid w:val="00307553"/>
    <w:rsid w:val="00307594"/>
    <w:rsid w:val="00307617"/>
    <w:rsid w:val="0030761C"/>
    <w:rsid w:val="003076B2"/>
    <w:rsid w:val="0030772A"/>
    <w:rsid w:val="00307740"/>
    <w:rsid w:val="00307762"/>
    <w:rsid w:val="003077B5"/>
    <w:rsid w:val="00307858"/>
    <w:rsid w:val="003078A8"/>
    <w:rsid w:val="0030799D"/>
    <w:rsid w:val="003079AB"/>
    <w:rsid w:val="00307A1A"/>
    <w:rsid w:val="00307A2A"/>
    <w:rsid w:val="00307AD1"/>
    <w:rsid w:val="00307AE3"/>
    <w:rsid w:val="00307B4D"/>
    <w:rsid w:val="00307B8A"/>
    <w:rsid w:val="00307B9B"/>
    <w:rsid w:val="00307D4B"/>
    <w:rsid w:val="00307D54"/>
    <w:rsid w:val="00307D6F"/>
    <w:rsid w:val="00307DB1"/>
    <w:rsid w:val="00307E0F"/>
    <w:rsid w:val="00307E56"/>
    <w:rsid w:val="00310038"/>
    <w:rsid w:val="0031008C"/>
    <w:rsid w:val="0031009A"/>
    <w:rsid w:val="00310101"/>
    <w:rsid w:val="0031018D"/>
    <w:rsid w:val="003101B3"/>
    <w:rsid w:val="003101C6"/>
    <w:rsid w:val="00310299"/>
    <w:rsid w:val="00310435"/>
    <w:rsid w:val="00310513"/>
    <w:rsid w:val="003105CA"/>
    <w:rsid w:val="003106CE"/>
    <w:rsid w:val="003106DC"/>
    <w:rsid w:val="003107FF"/>
    <w:rsid w:val="00310823"/>
    <w:rsid w:val="0031087C"/>
    <w:rsid w:val="00310A0E"/>
    <w:rsid w:val="00310A67"/>
    <w:rsid w:val="00310AA4"/>
    <w:rsid w:val="00310AEE"/>
    <w:rsid w:val="00310B10"/>
    <w:rsid w:val="00310BC7"/>
    <w:rsid w:val="00310C0F"/>
    <w:rsid w:val="00310D30"/>
    <w:rsid w:val="00310E80"/>
    <w:rsid w:val="00310EA0"/>
    <w:rsid w:val="00310ED4"/>
    <w:rsid w:val="00310FB5"/>
    <w:rsid w:val="00310FC2"/>
    <w:rsid w:val="00310FE2"/>
    <w:rsid w:val="00311038"/>
    <w:rsid w:val="00311098"/>
    <w:rsid w:val="003110B2"/>
    <w:rsid w:val="003110BE"/>
    <w:rsid w:val="00311116"/>
    <w:rsid w:val="0031111A"/>
    <w:rsid w:val="00311167"/>
    <w:rsid w:val="003111FA"/>
    <w:rsid w:val="00311274"/>
    <w:rsid w:val="00311329"/>
    <w:rsid w:val="003114BF"/>
    <w:rsid w:val="003115C3"/>
    <w:rsid w:val="003115FB"/>
    <w:rsid w:val="0031165D"/>
    <w:rsid w:val="003116FF"/>
    <w:rsid w:val="0031175D"/>
    <w:rsid w:val="003118D6"/>
    <w:rsid w:val="00311912"/>
    <w:rsid w:val="00311921"/>
    <w:rsid w:val="003119AD"/>
    <w:rsid w:val="00311A77"/>
    <w:rsid w:val="00311A9F"/>
    <w:rsid w:val="00311BA9"/>
    <w:rsid w:val="00311C1E"/>
    <w:rsid w:val="00311C60"/>
    <w:rsid w:val="00311D23"/>
    <w:rsid w:val="00311D66"/>
    <w:rsid w:val="00311DEA"/>
    <w:rsid w:val="00311DEC"/>
    <w:rsid w:val="00311E35"/>
    <w:rsid w:val="00311E3F"/>
    <w:rsid w:val="00311F33"/>
    <w:rsid w:val="00311FB1"/>
    <w:rsid w:val="00311FE9"/>
    <w:rsid w:val="003121A7"/>
    <w:rsid w:val="0031225F"/>
    <w:rsid w:val="00312288"/>
    <w:rsid w:val="003122A8"/>
    <w:rsid w:val="0031234C"/>
    <w:rsid w:val="00312412"/>
    <w:rsid w:val="0031254C"/>
    <w:rsid w:val="00312608"/>
    <w:rsid w:val="0031262A"/>
    <w:rsid w:val="0031274C"/>
    <w:rsid w:val="003127C2"/>
    <w:rsid w:val="003127F5"/>
    <w:rsid w:val="003128CD"/>
    <w:rsid w:val="003129FB"/>
    <w:rsid w:val="00312B0E"/>
    <w:rsid w:val="00312B30"/>
    <w:rsid w:val="00312C16"/>
    <w:rsid w:val="00312DF1"/>
    <w:rsid w:val="00312EE7"/>
    <w:rsid w:val="00312F34"/>
    <w:rsid w:val="00312FA6"/>
    <w:rsid w:val="00313068"/>
    <w:rsid w:val="003130D6"/>
    <w:rsid w:val="003131A5"/>
    <w:rsid w:val="00313455"/>
    <w:rsid w:val="003135D4"/>
    <w:rsid w:val="0031367B"/>
    <w:rsid w:val="00313850"/>
    <w:rsid w:val="003138AE"/>
    <w:rsid w:val="003139F7"/>
    <w:rsid w:val="00313A77"/>
    <w:rsid w:val="00313B61"/>
    <w:rsid w:val="00313B79"/>
    <w:rsid w:val="00313C49"/>
    <w:rsid w:val="00313CE0"/>
    <w:rsid w:val="00313D43"/>
    <w:rsid w:val="00313D47"/>
    <w:rsid w:val="00313E18"/>
    <w:rsid w:val="00313E31"/>
    <w:rsid w:val="00313F83"/>
    <w:rsid w:val="00313F8A"/>
    <w:rsid w:val="00313FF6"/>
    <w:rsid w:val="003140B2"/>
    <w:rsid w:val="0031415E"/>
    <w:rsid w:val="00314243"/>
    <w:rsid w:val="00314294"/>
    <w:rsid w:val="003144D0"/>
    <w:rsid w:val="003145CE"/>
    <w:rsid w:val="003146A1"/>
    <w:rsid w:val="003146BC"/>
    <w:rsid w:val="0031474A"/>
    <w:rsid w:val="003147C3"/>
    <w:rsid w:val="0031498C"/>
    <w:rsid w:val="003149BE"/>
    <w:rsid w:val="00314A2B"/>
    <w:rsid w:val="00314AC5"/>
    <w:rsid w:val="00314ACC"/>
    <w:rsid w:val="00314BCB"/>
    <w:rsid w:val="00314C01"/>
    <w:rsid w:val="00314CD0"/>
    <w:rsid w:val="00314D23"/>
    <w:rsid w:val="00314D85"/>
    <w:rsid w:val="00314E14"/>
    <w:rsid w:val="00314E2D"/>
    <w:rsid w:val="00315062"/>
    <w:rsid w:val="0031528F"/>
    <w:rsid w:val="00315336"/>
    <w:rsid w:val="003154E7"/>
    <w:rsid w:val="00315508"/>
    <w:rsid w:val="0031552A"/>
    <w:rsid w:val="00315672"/>
    <w:rsid w:val="003156F4"/>
    <w:rsid w:val="003158EC"/>
    <w:rsid w:val="00315981"/>
    <w:rsid w:val="0031598F"/>
    <w:rsid w:val="003159FC"/>
    <w:rsid w:val="00315AF5"/>
    <w:rsid w:val="00315BF3"/>
    <w:rsid w:val="00315C3A"/>
    <w:rsid w:val="00315CA1"/>
    <w:rsid w:val="00315D86"/>
    <w:rsid w:val="00315EB7"/>
    <w:rsid w:val="003161AE"/>
    <w:rsid w:val="0031621A"/>
    <w:rsid w:val="0031624C"/>
    <w:rsid w:val="0031639E"/>
    <w:rsid w:val="003164E4"/>
    <w:rsid w:val="003164F4"/>
    <w:rsid w:val="003165A3"/>
    <w:rsid w:val="0031686D"/>
    <w:rsid w:val="003168BD"/>
    <w:rsid w:val="003168DB"/>
    <w:rsid w:val="00316A16"/>
    <w:rsid w:val="00316A68"/>
    <w:rsid w:val="00316B29"/>
    <w:rsid w:val="00316B37"/>
    <w:rsid w:val="00316D03"/>
    <w:rsid w:val="00316D05"/>
    <w:rsid w:val="00316E8F"/>
    <w:rsid w:val="00316F56"/>
    <w:rsid w:val="003170E7"/>
    <w:rsid w:val="0031712A"/>
    <w:rsid w:val="0031722E"/>
    <w:rsid w:val="0031727C"/>
    <w:rsid w:val="003172B5"/>
    <w:rsid w:val="00317428"/>
    <w:rsid w:val="0031753C"/>
    <w:rsid w:val="00317548"/>
    <w:rsid w:val="003175E4"/>
    <w:rsid w:val="0031762E"/>
    <w:rsid w:val="00317640"/>
    <w:rsid w:val="00317657"/>
    <w:rsid w:val="003176A8"/>
    <w:rsid w:val="003176F7"/>
    <w:rsid w:val="00317719"/>
    <w:rsid w:val="0031774D"/>
    <w:rsid w:val="003177B7"/>
    <w:rsid w:val="00317A31"/>
    <w:rsid w:val="00317A81"/>
    <w:rsid w:val="00317AA1"/>
    <w:rsid w:val="00317BBC"/>
    <w:rsid w:val="00317C0C"/>
    <w:rsid w:val="00317D5F"/>
    <w:rsid w:val="00317D84"/>
    <w:rsid w:val="00317D94"/>
    <w:rsid w:val="00317DBF"/>
    <w:rsid w:val="00317E09"/>
    <w:rsid w:val="00317F79"/>
    <w:rsid w:val="0032002B"/>
    <w:rsid w:val="0032002F"/>
    <w:rsid w:val="00320052"/>
    <w:rsid w:val="00320260"/>
    <w:rsid w:val="003202A8"/>
    <w:rsid w:val="003203EE"/>
    <w:rsid w:val="0032040F"/>
    <w:rsid w:val="0032064C"/>
    <w:rsid w:val="003207C4"/>
    <w:rsid w:val="00320807"/>
    <w:rsid w:val="00320854"/>
    <w:rsid w:val="003208A1"/>
    <w:rsid w:val="00320A00"/>
    <w:rsid w:val="00320A33"/>
    <w:rsid w:val="00320A74"/>
    <w:rsid w:val="00320B22"/>
    <w:rsid w:val="00320C13"/>
    <w:rsid w:val="00320CE4"/>
    <w:rsid w:val="00320DC5"/>
    <w:rsid w:val="00320EC0"/>
    <w:rsid w:val="00320ED2"/>
    <w:rsid w:val="00321019"/>
    <w:rsid w:val="0032103B"/>
    <w:rsid w:val="00321158"/>
    <w:rsid w:val="003212CB"/>
    <w:rsid w:val="00321318"/>
    <w:rsid w:val="0032139C"/>
    <w:rsid w:val="003213E7"/>
    <w:rsid w:val="0032144E"/>
    <w:rsid w:val="003214DC"/>
    <w:rsid w:val="003215ED"/>
    <w:rsid w:val="003216FD"/>
    <w:rsid w:val="003217E6"/>
    <w:rsid w:val="0032187A"/>
    <w:rsid w:val="0032187E"/>
    <w:rsid w:val="00321907"/>
    <w:rsid w:val="00321960"/>
    <w:rsid w:val="00321A75"/>
    <w:rsid w:val="00321B12"/>
    <w:rsid w:val="00321BB8"/>
    <w:rsid w:val="00321BCC"/>
    <w:rsid w:val="00321C9F"/>
    <w:rsid w:val="00321D95"/>
    <w:rsid w:val="00321E95"/>
    <w:rsid w:val="00321FAC"/>
    <w:rsid w:val="00321FF3"/>
    <w:rsid w:val="00322004"/>
    <w:rsid w:val="003220B6"/>
    <w:rsid w:val="003220BF"/>
    <w:rsid w:val="0032213A"/>
    <w:rsid w:val="003221A2"/>
    <w:rsid w:val="003221BE"/>
    <w:rsid w:val="003221C2"/>
    <w:rsid w:val="003221DC"/>
    <w:rsid w:val="003221EC"/>
    <w:rsid w:val="00322291"/>
    <w:rsid w:val="0032254E"/>
    <w:rsid w:val="003225D9"/>
    <w:rsid w:val="00322630"/>
    <w:rsid w:val="003226E8"/>
    <w:rsid w:val="0032272A"/>
    <w:rsid w:val="0032274F"/>
    <w:rsid w:val="00322769"/>
    <w:rsid w:val="00322887"/>
    <w:rsid w:val="00322994"/>
    <w:rsid w:val="003229BC"/>
    <w:rsid w:val="00322A5A"/>
    <w:rsid w:val="00322A8D"/>
    <w:rsid w:val="00322AE5"/>
    <w:rsid w:val="00322AF4"/>
    <w:rsid w:val="00322B4A"/>
    <w:rsid w:val="00322BDE"/>
    <w:rsid w:val="00322C31"/>
    <w:rsid w:val="00322D54"/>
    <w:rsid w:val="00322DD4"/>
    <w:rsid w:val="00322DDE"/>
    <w:rsid w:val="00322DF3"/>
    <w:rsid w:val="00322F0C"/>
    <w:rsid w:val="00322FB7"/>
    <w:rsid w:val="003231B0"/>
    <w:rsid w:val="00323287"/>
    <w:rsid w:val="00323312"/>
    <w:rsid w:val="003233E1"/>
    <w:rsid w:val="0032349C"/>
    <w:rsid w:val="00323558"/>
    <w:rsid w:val="00323627"/>
    <w:rsid w:val="00323640"/>
    <w:rsid w:val="003236D7"/>
    <w:rsid w:val="00323810"/>
    <w:rsid w:val="00323939"/>
    <w:rsid w:val="00323A46"/>
    <w:rsid w:val="00323A6F"/>
    <w:rsid w:val="00323BA4"/>
    <w:rsid w:val="00323BE3"/>
    <w:rsid w:val="00323BFC"/>
    <w:rsid w:val="00323C72"/>
    <w:rsid w:val="00323D32"/>
    <w:rsid w:val="00323D46"/>
    <w:rsid w:val="00323D54"/>
    <w:rsid w:val="00323E32"/>
    <w:rsid w:val="00323E84"/>
    <w:rsid w:val="00323F71"/>
    <w:rsid w:val="00323FE0"/>
    <w:rsid w:val="00324024"/>
    <w:rsid w:val="003240F3"/>
    <w:rsid w:val="00324214"/>
    <w:rsid w:val="003242DD"/>
    <w:rsid w:val="003242F4"/>
    <w:rsid w:val="003242FB"/>
    <w:rsid w:val="003243E7"/>
    <w:rsid w:val="003243EF"/>
    <w:rsid w:val="00324549"/>
    <w:rsid w:val="003245A8"/>
    <w:rsid w:val="0032462D"/>
    <w:rsid w:val="0032468A"/>
    <w:rsid w:val="0032468E"/>
    <w:rsid w:val="00324730"/>
    <w:rsid w:val="0032477C"/>
    <w:rsid w:val="003248B9"/>
    <w:rsid w:val="00324979"/>
    <w:rsid w:val="003249DD"/>
    <w:rsid w:val="00324A25"/>
    <w:rsid w:val="00324ACB"/>
    <w:rsid w:val="00324BBF"/>
    <w:rsid w:val="00324C64"/>
    <w:rsid w:val="00324C95"/>
    <w:rsid w:val="00324CAA"/>
    <w:rsid w:val="00324CCF"/>
    <w:rsid w:val="00324CE0"/>
    <w:rsid w:val="00324D0F"/>
    <w:rsid w:val="00324D28"/>
    <w:rsid w:val="00324EA2"/>
    <w:rsid w:val="00324F10"/>
    <w:rsid w:val="00324F58"/>
    <w:rsid w:val="003250ED"/>
    <w:rsid w:val="003251D2"/>
    <w:rsid w:val="003251D5"/>
    <w:rsid w:val="00325272"/>
    <w:rsid w:val="0032528C"/>
    <w:rsid w:val="00325336"/>
    <w:rsid w:val="00325514"/>
    <w:rsid w:val="003256E2"/>
    <w:rsid w:val="00325804"/>
    <w:rsid w:val="00325865"/>
    <w:rsid w:val="00325A78"/>
    <w:rsid w:val="00325AD8"/>
    <w:rsid w:val="00325AF7"/>
    <w:rsid w:val="00325B2B"/>
    <w:rsid w:val="00325BFC"/>
    <w:rsid w:val="00325C78"/>
    <w:rsid w:val="00325EBE"/>
    <w:rsid w:val="00325F57"/>
    <w:rsid w:val="00325F8A"/>
    <w:rsid w:val="00326191"/>
    <w:rsid w:val="00326290"/>
    <w:rsid w:val="00326401"/>
    <w:rsid w:val="0032646A"/>
    <w:rsid w:val="00326477"/>
    <w:rsid w:val="00326533"/>
    <w:rsid w:val="00326544"/>
    <w:rsid w:val="00326701"/>
    <w:rsid w:val="003267B0"/>
    <w:rsid w:val="0032681B"/>
    <w:rsid w:val="00326837"/>
    <w:rsid w:val="00326854"/>
    <w:rsid w:val="00326A26"/>
    <w:rsid w:val="00326A71"/>
    <w:rsid w:val="00326AD0"/>
    <w:rsid w:val="00326BE6"/>
    <w:rsid w:val="00326CA2"/>
    <w:rsid w:val="00326CB3"/>
    <w:rsid w:val="00326DB8"/>
    <w:rsid w:val="00326EC1"/>
    <w:rsid w:val="00326EFB"/>
    <w:rsid w:val="00327084"/>
    <w:rsid w:val="00327123"/>
    <w:rsid w:val="0032714B"/>
    <w:rsid w:val="00327187"/>
    <w:rsid w:val="003271F0"/>
    <w:rsid w:val="003272A4"/>
    <w:rsid w:val="00327357"/>
    <w:rsid w:val="00327397"/>
    <w:rsid w:val="003274B6"/>
    <w:rsid w:val="003275E5"/>
    <w:rsid w:val="00327655"/>
    <w:rsid w:val="003276A0"/>
    <w:rsid w:val="003276BB"/>
    <w:rsid w:val="00327843"/>
    <w:rsid w:val="00327855"/>
    <w:rsid w:val="003278EF"/>
    <w:rsid w:val="003279D1"/>
    <w:rsid w:val="003279FC"/>
    <w:rsid w:val="00327A37"/>
    <w:rsid w:val="00327B28"/>
    <w:rsid w:val="00327BAC"/>
    <w:rsid w:val="00327BC7"/>
    <w:rsid w:val="00327BF9"/>
    <w:rsid w:val="00327F6F"/>
    <w:rsid w:val="0033009F"/>
    <w:rsid w:val="003300E5"/>
    <w:rsid w:val="003301C1"/>
    <w:rsid w:val="0033022B"/>
    <w:rsid w:val="003302F3"/>
    <w:rsid w:val="00330303"/>
    <w:rsid w:val="00330426"/>
    <w:rsid w:val="0033045B"/>
    <w:rsid w:val="00330543"/>
    <w:rsid w:val="00330590"/>
    <w:rsid w:val="00330627"/>
    <w:rsid w:val="00330694"/>
    <w:rsid w:val="003306DF"/>
    <w:rsid w:val="0033096A"/>
    <w:rsid w:val="003309EE"/>
    <w:rsid w:val="00330A4F"/>
    <w:rsid w:val="00330C03"/>
    <w:rsid w:val="00330C56"/>
    <w:rsid w:val="00330CDB"/>
    <w:rsid w:val="00330D57"/>
    <w:rsid w:val="00330DB1"/>
    <w:rsid w:val="00330DD6"/>
    <w:rsid w:val="00330E05"/>
    <w:rsid w:val="00330E39"/>
    <w:rsid w:val="00330E71"/>
    <w:rsid w:val="00330E72"/>
    <w:rsid w:val="00331063"/>
    <w:rsid w:val="00331085"/>
    <w:rsid w:val="003310B2"/>
    <w:rsid w:val="003310B8"/>
    <w:rsid w:val="003310CF"/>
    <w:rsid w:val="003310D9"/>
    <w:rsid w:val="003310E8"/>
    <w:rsid w:val="0033111A"/>
    <w:rsid w:val="00331184"/>
    <w:rsid w:val="0033118D"/>
    <w:rsid w:val="003312B8"/>
    <w:rsid w:val="0033138F"/>
    <w:rsid w:val="003313DD"/>
    <w:rsid w:val="00331446"/>
    <w:rsid w:val="003315C6"/>
    <w:rsid w:val="003315E1"/>
    <w:rsid w:val="003316F2"/>
    <w:rsid w:val="0033178A"/>
    <w:rsid w:val="003317D8"/>
    <w:rsid w:val="003317DA"/>
    <w:rsid w:val="00331A78"/>
    <w:rsid w:val="00331A9E"/>
    <w:rsid w:val="00331AD1"/>
    <w:rsid w:val="00331B66"/>
    <w:rsid w:val="00331C6B"/>
    <w:rsid w:val="00331D19"/>
    <w:rsid w:val="00331D2B"/>
    <w:rsid w:val="00331D8E"/>
    <w:rsid w:val="00331D98"/>
    <w:rsid w:val="00331DBF"/>
    <w:rsid w:val="00331E17"/>
    <w:rsid w:val="00331E5F"/>
    <w:rsid w:val="00331E88"/>
    <w:rsid w:val="00331F49"/>
    <w:rsid w:val="00331FB8"/>
    <w:rsid w:val="003321B8"/>
    <w:rsid w:val="003322B7"/>
    <w:rsid w:val="00332313"/>
    <w:rsid w:val="0033231E"/>
    <w:rsid w:val="00332390"/>
    <w:rsid w:val="00332448"/>
    <w:rsid w:val="003324C9"/>
    <w:rsid w:val="00332500"/>
    <w:rsid w:val="0033263E"/>
    <w:rsid w:val="0033268B"/>
    <w:rsid w:val="003326CA"/>
    <w:rsid w:val="0033274A"/>
    <w:rsid w:val="00332763"/>
    <w:rsid w:val="0033287D"/>
    <w:rsid w:val="003328B1"/>
    <w:rsid w:val="00332948"/>
    <w:rsid w:val="0033297B"/>
    <w:rsid w:val="003329FA"/>
    <w:rsid w:val="00332B2D"/>
    <w:rsid w:val="00332BC2"/>
    <w:rsid w:val="00332DC0"/>
    <w:rsid w:val="00332DD6"/>
    <w:rsid w:val="00332DDA"/>
    <w:rsid w:val="00333048"/>
    <w:rsid w:val="00333257"/>
    <w:rsid w:val="0033326A"/>
    <w:rsid w:val="0033330F"/>
    <w:rsid w:val="0033331D"/>
    <w:rsid w:val="0033339C"/>
    <w:rsid w:val="003334B1"/>
    <w:rsid w:val="00333526"/>
    <w:rsid w:val="00333527"/>
    <w:rsid w:val="00333573"/>
    <w:rsid w:val="00333580"/>
    <w:rsid w:val="00333708"/>
    <w:rsid w:val="00333808"/>
    <w:rsid w:val="00333857"/>
    <w:rsid w:val="003338EE"/>
    <w:rsid w:val="00333B7C"/>
    <w:rsid w:val="00333BEE"/>
    <w:rsid w:val="00333CB2"/>
    <w:rsid w:val="00333CE8"/>
    <w:rsid w:val="00333D65"/>
    <w:rsid w:val="00333EF3"/>
    <w:rsid w:val="00333F15"/>
    <w:rsid w:val="00334018"/>
    <w:rsid w:val="003340A1"/>
    <w:rsid w:val="003340E1"/>
    <w:rsid w:val="00334147"/>
    <w:rsid w:val="00334157"/>
    <w:rsid w:val="00334177"/>
    <w:rsid w:val="003341B2"/>
    <w:rsid w:val="003341BC"/>
    <w:rsid w:val="00334257"/>
    <w:rsid w:val="003342D0"/>
    <w:rsid w:val="003342E0"/>
    <w:rsid w:val="00334348"/>
    <w:rsid w:val="0033438E"/>
    <w:rsid w:val="003344BF"/>
    <w:rsid w:val="0033452F"/>
    <w:rsid w:val="00334535"/>
    <w:rsid w:val="00334796"/>
    <w:rsid w:val="00334811"/>
    <w:rsid w:val="0033494E"/>
    <w:rsid w:val="0033495B"/>
    <w:rsid w:val="003349F1"/>
    <w:rsid w:val="00334AB3"/>
    <w:rsid w:val="00334AB7"/>
    <w:rsid w:val="00334B6F"/>
    <w:rsid w:val="00334BEF"/>
    <w:rsid w:val="00334CBA"/>
    <w:rsid w:val="00334E4A"/>
    <w:rsid w:val="00334E98"/>
    <w:rsid w:val="0033500A"/>
    <w:rsid w:val="00335044"/>
    <w:rsid w:val="00335079"/>
    <w:rsid w:val="00335144"/>
    <w:rsid w:val="003351D5"/>
    <w:rsid w:val="003353C2"/>
    <w:rsid w:val="0033540E"/>
    <w:rsid w:val="0033550B"/>
    <w:rsid w:val="0033551F"/>
    <w:rsid w:val="00335583"/>
    <w:rsid w:val="0033560B"/>
    <w:rsid w:val="0033561C"/>
    <w:rsid w:val="00335721"/>
    <w:rsid w:val="0033573C"/>
    <w:rsid w:val="003358D0"/>
    <w:rsid w:val="00335932"/>
    <w:rsid w:val="00335957"/>
    <w:rsid w:val="0033599F"/>
    <w:rsid w:val="00335A82"/>
    <w:rsid w:val="00335AE3"/>
    <w:rsid w:val="00335B4D"/>
    <w:rsid w:val="00335DD7"/>
    <w:rsid w:val="00335E0B"/>
    <w:rsid w:val="00335E31"/>
    <w:rsid w:val="00335E6F"/>
    <w:rsid w:val="00335E88"/>
    <w:rsid w:val="00335EB9"/>
    <w:rsid w:val="00335F40"/>
    <w:rsid w:val="00336012"/>
    <w:rsid w:val="003360B8"/>
    <w:rsid w:val="0033624F"/>
    <w:rsid w:val="003363E5"/>
    <w:rsid w:val="003363F6"/>
    <w:rsid w:val="00336573"/>
    <w:rsid w:val="003365DF"/>
    <w:rsid w:val="00336624"/>
    <w:rsid w:val="0033665D"/>
    <w:rsid w:val="003366E2"/>
    <w:rsid w:val="00336721"/>
    <w:rsid w:val="00336764"/>
    <w:rsid w:val="003367C3"/>
    <w:rsid w:val="0033699F"/>
    <w:rsid w:val="003369E9"/>
    <w:rsid w:val="003369F9"/>
    <w:rsid w:val="00336B32"/>
    <w:rsid w:val="00336BBF"/>
    <w:rsid w:val="00336C15"/>
    <w:rsid w:val="00336D17"/>
    <w:rsid w:val="00336D85"/>
    <w:rsid w:val="00336E15"/>
    <w:rsid w:val="00336E53"/>
    <w:rsid w:val="00336EB5"/>
    <w:rsid w:val="00336EC8"/>
    <w:rsid w:val="00336F60"/>
    <w:rsid w:val="00336F6F"/>
    <w:rsid w:val="0033701E"/>
    <w:rsid w:val="00337048"/>
    <w:rsid w:val="00337079"/>
    <w:rsid w:val="003370F9"/>
    <w:rsid w:val="003371CF"/>
    <w:rsid w:val="003372AC"/>
    <w:rsid w:val="003372B4"/>
    <w:rsid w:val="003373F3"/>
    <w:rsid w:val="0033751F"/>
    <w:rsid w:val="003375B0"/>
    <w:rsid w:val="003375E9"/>
    <w:rsid w:val="00337680"/>
    <w:rsid w:val="003376DB"/>
    <w:rsid w:val="003378F7"/>
    <w:rsid w:val="0033792F"/>
    <w:rsid w:val="0033794E"/>
    <w:rsid w:val="0033796E"/>
    <w:rsid w:val="00337977"/>
    <w:rsid w:val="00337A6E"/>
    <w:rsid w:val="00337AD6"/>
    <w:rsid w:val="00337BC5"/>
    <w:rsid w:val="00337C42"/>
    <w:rsid w:val="00337C6E"/>
    <w:rsid w:val="00337DFE"/>
    <w:rsid w:val="00337E33"/>
    <w:rsid w:val="00337E89"/>
    <w:rsid w:val="00337F6B"/>
    <w:rsid w:val="00340084"/>
    <w:rsid w:val="003400A6"/>
    <w:rsid w:val="003400C6"/>
    <w:rsid w:val="00340151"/>
    <w:rsid w:val="0034016C"/>
    <w:rsid w:val="0034027A"/>
    <w:rsid w:val="0034028C"/>
    <w:rsid w:val="0034037D"/>
    <w:rsid w:val="0034038D"/>
    <w:rsid w:val="003403A7"/>
    <w:rsid w:val="0034043D"/>
    <w:rsid w:val="00340556"/>
    <w:rsid w:val="00340579"/>
    <w:rsid w:val="003405B0"/>
    <w:rsid w:val="003405DA"/>
    <w:rsid w:val="00340606"/>
    <w:rsid w:val="003406B7"/>
    <w:rsid w:val="003406E4"/>
    <w:rsid w:val="0034089A"/>
    <w:rsid w:val="00340907"/>
    <w:rsid w:val="00340948"/>
    <w:rsid w:val="00340978"/>
    <w:rsid w:val="00340A3A"/>
    <w:rsid w:val="00340B0B"/>
    <w:rsid w:val="00340BE5"/>
    <w:rsid w:val="00340C36"/>
    <w:rsid w:val="00340CD5"/>
    <w:rsid w:val="00340CDA"/>
    <w:rsid w:val="00340D17"/>
    <w:rsid w:val="00340E17"/>
    <w:rsid w:val="00340F36"/>
    <w:rsid w:val="00340FC8"/>
    <w:rsid w:val="0034110B"/>
    <w:rsid w:val="0034124E"/>
    <w:rsid w:val="00341293"/>
    <w:rsid w:val="00341466"/>
    <w:rsid w:val="0034147B"/>
    <w:rsid w:val="003414D6"/>
    <w:rsid w:val="00341531"/>
    <w:rsid w:val="003415F9"/>
    <w:rsid w:val="0034197B"/>
    <w:rsid w:val="00341A9F"/>
    <w:rsid w:val="00341AE6"/>
    <w:rsid w:val="00341B10"/>
    <w:rsid w:val="00341CB4"/>
    <w:rsid w:val="00341D23"/>
    <w:rsid w:val="00341D35"/>
    <w:rsid w:val="00341DDA"/>
    <w:rsid w:val="00341E30"/>
    <w:rsid w:val="00341ED9"/>
    <w:rsid w:val="003420DF"/>
    <w:rsid w:val="003420E2"/>
    <w:rsid w:val="003422F6"/>
    <w:rsid w:val="00342321"/>
    <w:rsid w:val="00342378"/>
    <w:rsid w:val="003423D2"/>
    <w:rsid w:val="003423F1"/>
    <w:rsid w:val="0034241A"/>
    <w:rsid w:val="00342420"/>
    <w:rsid w:val="0034242F"/>
    <w:rsid w:val="00342451"/>
    <w:rsid w:val="003424B7"/>
    <w:rsid w:val="0034263A"/>
    <w:rsid w:val="00342725"/>
    <w:rsid w:val="00342748"/>
    <w:rsid w:val="0034279E"/>
    <w:rsid w:val="0034289D"/>
    <w:rsid w:val="003429C3"/>
    <w:rsid w:val="00342B0C"/>
    <w:rsid w:val="00342B6F"/>
    <w:rsid w:val="00342B9B"/>
    <w:rsid w:val="00342BCD"/>
    <w:rsid w:val="00342BF7"/>
    <w:rsid w:val="00342C56"/>
    <w:rsid w:val="003430CB"/>
    <w:rsid w:val="0034310D"/>
    <w:rsid w:val="003432E2"/>
    <w:rsid w:val="0034330B"/>
    <w:rsid w:val="003433B2"/>
    <w:rsid w:val="003433F6"/>
    <w:rsid w:val="003434F7"/>
    <w:rsid w:val="0034350C"/>
    <w:rsid w:val="0034360A"/>
    <w:rsid w:val="00343612"/>
    <w:rsid w:val="0034369C"/>
    <w:rsid w:val="003436BE"/>
    <w:rsid w:val="003436D6"/>
    <w:rsid w:val="00343738"/>
    <w:rsid w:val="003437E5"/>
    <w:rsid w:val="00343821"/>
    <w:rsid w:val="00343893"/>
    <w:rsid w:val="003438CE"/>
    <w:rsid w:val="00343966"/>
    <w:rsid w:val="003439E3"/>
    <w:rsid w:val="00343A03"/>
    <w:rsid w:val="00343A66"/>
    <w:rsid w:val="00343C1F"/>
    <w:rsid w:val="00343CF1"/>
    <w:rsid w:val="00343F08"/>
    <w:rsid w:val="003440F1"/>
    <w:rsid w:val="0034413B"/>
    <w:rsid w:val="0034428F"/>
    <w:rsid w:val="003442DB"/>
    <w:rsid w:val="003442FA"/>
    <w:rsid w:val="00344318"/>
    <w:rsid w:val="00344322"/>
    <w:rsid w:val="00344360"/>
    <w:rsid w:val="00344414"/>
    <w:rsid w:val="00344415"/>
    <w:rsid w:val="00344428"/>
    <w:rsid w:val="0034442C"/>
    <w:rsid w:val="0034447D"/>
    <w:rsid w:val="0034448E"/>
    <w:rsid w:val="003444A9"/>
    <w:rsid w:val="003444B3"/>
    <w:rsid w:val="003444CC"/>
    <w:rsid w:val="0034459B"/>
    <w:rsid w:val="0034468B"/>
    <w:rsid w:val="0034475B"/>
    <w:rsid w:val="003447D4"/>
    <w:rsid w:val="00344833"/>
    <w:rsid w:val="003448D2"/>
    <w:rsid w:val="00344A71"/>
    <w:rsid w:val="00344B21"/>
    <w:rsid w:val="00344B39"/>
    <w:rsid w:val="00344C06"/>
    <w:rsid w:val="00344C94"/>
    <w:rsid w:val="00344D17"/>
    <w:rsid w:val="00344DBF"/>
    <w:rsid w:val="00344DDA"/>
    <w:rsid w:val="00344F79"/>
    <w:rsid w:val="00344FD7"/>
    <w:rsid w:val="00345182"/>
    <w:rsid w:val="003451CC"/>
    <w:rsid w:val="00345243"/>
    <w:rsid w:val="0034528C"/>
    <w:rsid w:val="003452D2"/>
    <w:rsid w:val="00345330"/>
    <w:rsid w:val="003453A8"/>
    <w:rsid w:val="003453C3"/>
    <w:rsid w:val="003453C4"/>
    <w:rsid w:val="003455E0"/>
    <w:rsid w:val="00345664"/>
    <w:rsid w:val="00345670"/>
    <w:rsid w:val="003456A5"/>
    <w:rsid w:val="00345A01"/>
    <w:rsid w:val="00345BB4"/>
    <w:rsid w:val="00345D11"/>
    <w:rsid w:val="00345DB2"/>
    <w:rsid w:val="00345EAB"/>
    <w:rsid w:val="00345F8F"/>
    <w:rsid w:val="00346010"/>
    <w:rsid w:val="00346023"/>
    <w:rsid w:val="0034620A"/>
    <w:rsid w:val="00346250"/>
    <w:rsid w:val="00346275"/>
    <w:rsid w:val="00346289"/>
    <w:rsid w:val="003462FC"/>
    <w:rsid w:val="0034631E"/>
    <w:rsid w:val="00346385"/>
    <w:rsid w:val="003463BB"/>
    <w:rsid w:val="003464BB"/>
    <w:rsid w:val="00346558"/>
    <w:rsid w:val="0034659B"/>
    <w:rsid w:val="0034659F"/>
    <w:rsid w:val="00346694"/>
    <w:rsid w:val="00346844"/>
    <w:rsid w:val="00346846"/>
    <w:rsid w:val="003468A7"/>
    <w:rsid w:val="003468E4"/>
    <w:rsid w:val="00346928"/>
    <w:rsid w:val="0034699C"/>
    <w:rsid w:val="00346A46"/>
    <w:rsid w:val="00346B59"/>
    <w:rsid w:val="00346BB3"/>
    <w:rsid w:val="00346C4B"/>
    <w:rsid w:val="00346C5A"/>
    <w:rsid w:val="00346D21"/>
    <w:rsid w:val="00346E1A"/>
    <w:rsid w:val="00346E6B"/>
    <w:rsid w:val="00346F21"/>
    <w:rsid w:val="00346F55"/>
    <w:rsid w:val="00346F7B"/>
    <w:rsid w:val="00346F7C"/>
    <w:rsid w:val="00346FAE"/>
    <w:rsid w:val="00347011"/>
    <w:rsid w:val="0034701A"/>
    <w:rsid w:val="0034702D"/>
    <w:rsid w:val="00347046"/>
    <w:rsid w:val="003471F2"/>
    <w:rsid w:val="00347209"/>
    <w:rsid w:val="00347246"/>
    <w:rsid w:val="003472A5"/>
    <w:rsid w:val="00347319"/>
    <w:rsid w:val="00347371"/>
    <w:rsid w:val="003473B6"/>
    <w:rsid w:val="00347485"/>
    <w:rsid w:val="003474E4"/>
    <w:rsid w:val="00347540"/>
    <w:rsid w:val="00347548"/>
    <w:rsid w:val="00347629"/>
    <w:rsid w:val="003477AA"/>
    <w:rsid w:val="00347975"/>
    <w:rsid w:val="00347A5A"/>
    <w:rsid w:val="00347A75"/>
    <w:rsid w:val="00347BBD"/>
    <w:rsid w:val="00347BC2"/>
    <w:rsid w:val="00347C4D"/>
    <w:rsid w:val="00347E3B"/>
    <w:rsid w:val="00347E4E"/>
    <w:rsid w:val="00347F41"/>
    <w:rsid w:val="00350143"/>
    <w:rsid w:val="00350154"/>
    <w:rsid w:val="0035020A"/>
    <w:rsid w:val="00350215"/>
    <w:rsid w:val="003502AB"/>
    <w:rsid w:val="003502CB"/>
    <w:rsid w:val="003502D0"/>
    <w:rsid w:val="003502E4"/>
    <w:rsid w:val="003503BE"/>
    <w:rsid w:val="00350481"/>
    <w:rsid w:val="0035055B"/>
    <w:rsid w:val="003505E2"/>
    <w:rsid w:val="00350633"/>
    <w:rsid w:val="00350662"/>
    <w:rsid w:val="0035072A"/>
    <w:rsid w:val="003507B7"/>
    <w:rsid w:val="003507B9"/>
    <w:rsid w:val="00350846"/>
    <w:rsid w:val="0035094B"/>
    <w:rsid w:val="00350AC1"/>
    <w:rsid w:val="00350BA7"/>
    <w:rsid w:val="00350BCD"/>
    <w:rsid w:val="00350BFC"/>
    <w:rsid w:val="00350C3F"/>
    <w:rsid w:val="00350C8C"/>
    <w:rsid w:val="00350C9F"/>
    <w:rsid w:val="00350CB5"/>
    <w:rsid w:val="00350CDE"/>
    <w:rsid w:val="00350D63"/>
    <w:rsid w:val="00350DA6"/>
    <w:rsid w:val="00350E3A"/>
    <w:rsid w:val="00350EA5"/>
    <w:rsid w:val="00350F1C"/>
    <w:rsid w:val="00351056"/>
    <w:rsid w:val="003510B3"/>
    <w:rsid w:val="00351157"/>
    <w:rsid w:val="00351184"/>
    <w:rsid w:val="003511C5"/>
    <w:rsid w:val="003511DF"/>
    <w:rsid w:val="0035126E"/>
    <w:rsid w:val="003512A5"/>
    <w:rsid w:val="0035130D"/>
    <w:rsid w:val="0035133B"/>
    <w:rsid w:val="003513E9"/>
    <w:rsid w:val="0035149D"/>
    <w:rsid w:val="003514FF"/>
    <w:rsid w:val="00351534"/>
    <w:rsid w:val="0035154A"/>
    <w:rsid w:val="00351571"/>
    <w:rsid w:val="00351611"/>
    <w:rsid w:val="00351678"/>
    <w:rsid w:val="003516AB"/>
    <w:rsid w:val="00351700"/>
    <w:rsid w:val="00351773"/>
    <w:rsid w:val="003518A6"/>
    <w:rsid w:val="003518D5"/>
    <w:rsid w:val="00351964"/>
    <w:rsid w:val="003519CF"/>
    <w:rsid w:val="00351AFF"/>
    <w:rsid w:val="00351B08"/>
    <w:rsid w:val="00351B44"/>
    <w:rsid w:val="00351B5B"/>
    <w:rsid w:val="00351BD5"/>
    <w:rsid w:val="00351C88"/>
    <w:rsid w:val="00351D10"/>
    <w:rsid w:val="00351D14"/>
    <w:rsid w:val="00351DA8"/>
    <w:rsid w:val="00351DBD"/>
    <w:rsid w:val="00351E10"/>
    <w:rsid w:val="00351F0E"/>
    <w:rsid w:val="0035206A"/>
    <w:rsid w:val="003521F9"/>
    <w:rsid w:val="00352239"/>
    <w:rsid w:val="00352327"/>
    <w:rsid w:val="0035247A"/>
    <w:rsid w:val="003525C2"/>
    <w:rsid w:val="0035263F"/>
    <w:rsid w:val="003527BC"/>
    <w:rsid w:val="00352865"/>
    <w:rsid w:val="00352898"/>
    <w:rsid w:val="00352964"/>
    <w:rsid w:val="003529E6"/>
    <w:rsid w:val="00352A3F"/>
    <w:rsid w:val="00352A44"/>
    <w:rsid w:val="00352A8C"/>
    <w:rsid w:val="00352BAF"/>
    <w:rsid w:val="00352C23"/>
    <w:rsid w:val="00352CF6"/>
    <w:rsid w:val="00352D01"/>
    <w:rsid w:val="00352D9E"/>
    <w:rsid w:val="00352DA6"/>
    <w:rsid w:val="00352DE2"/>
    <w:rsid w:val="00352E0F"/>
    <w:rsid w:val="00352EB3"/>
    <w:rsid w:val="00352F7E"/>
    <w:rsid w:val="0035326B"/>
    <w:rsid w:val="003532F8"/>
    <w:rsid w:val="003533A4"/>
    <w:rsid w:val="003533DE"/>
    <w:rsid w:val="00353405"/>
    <w:rsid w:val="003535BD"/>
    <w:rsid w:val="003535F4"/>
    <w:rsid w:val="00353646"/>
    <w:rsid w:val="0035375C"/>
    <w:rsid w:val="0035376E"/>
    <w:rsid w:val="00353801"/>
    <w:rsid w:val="0035380F"/>
    <w:rsid w:val="00353814"/>
    <w:rsid w:val="0035382D"/>
    <w:rsid w:val="0035394A"/>
    <w:rsid w:val="00353A8E"/>
    <w:rsid w:val="00353B66"/>
    <w:rsid w:val="00353B7D"/>
    <w:rsid w:val="00353B8F"/>
    <w:rsid w:val="00353C88"/>
    <w:rsid w:val="00353D06"/>
    <w:rsid w:val="00353EAC"/>
    <w:rsid w:val="00353F11"/>
    <w:rsid w:val="003540A6"/>
    <w:rsid w:val="0035417C"/>
    <w:rsid w:val="003541EF"/>
    <w:rsid w:val="0035424C"/>
    <w:rsid w:val="00354282"/>
    <w:rsid w:val="003542A3"/>
    <w:rsid w:val="00354461"/>
    <w:rsid w:val="00354589"/>
    <w:rsid w:val="003545C0"/>
    <w:rsid w:val="0035463E"/>
    <w:rsid w:val="0035472D"/>
    <w:rsid w:val="00354745"/>
    <w:rsid w:val="00354793"/>
    <w:rsid w:val="003547D0"/>
    <w:rsid w:val="003547F4"/>
    <w:rsid w:val="00354858"/>
    <w:rsid w:val="0035494A"/>
    <w:rsid w:val="00354987"/>
    <w:rsid w:val="00354A07"/>
    <w:rsid w:val="00354B8C"/>
    <w:rsid w:val="00354BB0"/>
    <w:rsid w:val="00354D38"/>
    <w:rsid w:val="00354D4E"/>
    <w:rsid w:val="00354DA8"/>
    <w:rsid w:val="00354DE9"/>
    <w:rsid w:val="00354E30"/>
    <w:rsid w:val="00354EBB"/>
    <w:rsid w:val="00354F91"/>
    <w:rsid w:val="00354FAB"/>
    <w:rsid w:val="0035507E"/>
    <w:rsid w:val="0035508F"/>
    <w:rsid w:val="003550CA"/>
    <w:rsid w:val="003550DE"/>
    <w:rsid w:val="003550EA"/>
    <w:rsid w:val="0035513A"/>
    <w:rsid w:val="00355223"/>
    <w:rsid w:val="0035522A"/>
    <w:rsid w:val="00355263"/>
    <w:rsid w:val="003552BC"/>
    <w:rsid w:val="003552C4"/>
    <w:rsid w:val="003552F6"/>
    <w:rsid w:val="003552FB"/>
    <w:rsid w:val="003554EE"/>
    <w:rsid w:val="0035559F"/>
    <w:rsid w:val="003556B5"/>
    <w:rsid w:val="003556EC"/>
    <w:rsid w:val="003558B9"/>
    <w:rsid w:val="003559D0"/>
    <w:rsid w:val="003559D2"/>
    <w:rsid w:val="00355A09"/>
    <w:rsid w:val="00355A98"/>
    <w:rsid w:val="00355B9C"/>
    <w:rsid w:val="00355BD0"/>
    <w:rsid w:val="00355BDE"/>
    <w:rsid w:val="00355BF4"/>
    <w:rsid w:val="00355C32"/>
    <w:rsid w:val="00355CF5"/>
    <w:rsid w:val="00355D68"/>
    <w:rsid w:val="00355E75"/>
    <w:rsid w:val="003560B7"/>
    <w:rsid w:val="0035610E"/>
    <w:rsid w:val="00356229"/>
    <w:rsid w:val="00356255"/>
    <w:rsid w:val="003562DC"/>
    <w:rsid w:val="003563D8"/>
    <w:rsid w:val="0035649A"/>
    <w:rsid w:val="003564D7"/>
    <w:rsid w:val="00356593"/>
    <w:rsid w:val="00356761"/>
    <w:rsid w:val="0035689D"/>
    <w:rsid w:val="00356945"/>
    <w:rsid w:val="0035696E"/>
    <w:rsid w:val="003569FF"/>
    <w:rsid w:val="00356A21"/>
    <w:rsid w:val="00356A85"/>
    <w:rsid w:val="00356AEF"/>
    <w:rsid w:val="00356B83"/>
    <w:rsid w:val="00356C19"/>
    <w:rsid w:val="00356CA9"/>
    <w:rsid w:val="00356CAD"/>
    <w:rsid w:val="00356CD5"/>
    <w:rsid w:val="00356D91"/>
    <w:rsid w:val="00356DB0"/>
    <w:rsid w:val="00356E04"/>
    <w:rsid w:val="00356F0A"/>
    <w:rsid w:val="00356FEB"/>
    <w:rsid w:val="00356FFF"/>
    <w:rsid w:val="00357040"/>
    <w:rsid w:val="003570A3"/>
    <w:rsid w:val="003570CF"/>
    <w:rsid w:val="0035711E"/>
    <w:rsid w:val="0035713B"/>
    <w:rsid w:val="00357220"/>
    <w:rsid w:val="0035725D"/>
    <w:rsid w:val="003572D2"/>
    <w:rsid w:val="003573B3"/>
    <w:rsid w:val="003575FD"/>
    <w:rsid w:val="00357658"/>
    <w:rsid w:val="003576FC"/>
    <w:rsid w:val="00357776"/>
    <w:rsid w:val="0035780C"/>
    <w:rsid w:val="00357840"/>
    <w:rsid w:val="00357909"/>
    <w:rsid w:val="003579F0"/>
    <w:rsid w:val="00357AAC"/>
    <w:rsid w:val="00357ADC"/>
    <w:rsid w:val="00357AFD"/>
    <w:rsid w:val="00357B5F"/>
    <w:rsid w:val="00357B83"/>
    <w:rsid w:val="00357C58"/>
    <w:rsid w:val="00357C72"/>
    <w:rsid w:val="00357CEC"/>
    <w:rsid w:val="00357D3F"/>
    <w:rsid w:val="00357F44"/>
    <w:rsid w:val="00357F7F"/>
    <w:rsid w:val="00357FE6"/>
    <w:rsid w:val="0036003D"/>
    <w:rsid w:val="00360128"/>
    <w:rsid w:val="003602D5"/>
    <w:rsid w:val="00360409"/>
    <w:rsid w:val="0036061E"/>
    <w:rsid w:val="003608B8"/>
    <w:rsid w:val="003608D0"/>
    <w:rsid w:val="00360ACC"/>
    <w:rsid w:val="00360B02"/>
    <w:rsid w:val="00360C6E"/>
    <w:rsid w:val="00360CD8"/>
    <w:rsid w:val="00360D2F"/>
    <w:rsid w:val="00361039"/>
    <w:rsid w:val="00361045"/>
    <w:rsid w:val="0036109D"/>
    <w:rsid w:val="003610E2"/>
    <w:rsid w:val="003611EF"/>
    <w:rsid w:val="00361200"/>
    <w:rsid w:val="00361252"/>
    <w:rsid w:val="0036128A"/>
    <w:rsid w:val="003613AC"/>
    <w:rsid w:val="003613F0"/>
    <w:rsid w:val="003613F1"/>
    <w:rsid w:val="0036150A"/>
    <w:rsid w:val="0036158F"/>
    <w:rsid w:val="00361666"/>
    <w:rsid w:val="0036168B"/>
    <w:rsid w:val="00361874"/>
    <w:rsid w:val="00361A37"/>
    <w:rsid w:val="00361A7E"/>
    <w:rsid w:val="00361B8E"/>
    <w:rsid w:val="00361D53"/>
    <w:rsid w:val="00361E15"/>
    <w:rsid w:val="00361E64"/>
    <w:rsid w:val="00361EB1"/>
    <w:rsid w:val="00361FEB"/>
    <w:rsid w:val="0036220F"/>
    <w:rsid w:val="0036221F"/>
    <w:rsid w:val="00362353"/>
    <w:rsid w:val="003623EE"/>
    <w:rsid w:val="003623EF"/>
    <w:rsid w:val="00362462"/>
    <w:rsid w:val="003624A3"/>
    <w:rsid w:val="00362540"/>
    <w:rsid w:val="0036256F"/>
    <w:rsid w:val="003625A6"/>
    <w:rsid w:val="00362606"/>
    <w:rsid w:val="00362680"/>
    <w:rsid w:val="003626A9"/>
    <w:rsid w:val="0036277E"/>
    <w:rsid w:val="00362846"/>
    <w:rsid w:val="0036287C"/>
    <w:rsid w:val="003628A9"/>
    <w:rsid w:val="0036294B"/>
    <w:rsid w:val="003629AA"/>
    <w:rsid w:val="00362A0E"/>
    <w:rsid w:val="00362A15"/>
    <w:rsid w:val="00362B31"/>
    <w:rsid w:val="00362BC1"/>
    <w:rsid w:val="00362BCE"/>
    <w:rsid w:val="00362C22"/>
    <w:rsid w:val="00362CE9"/>
    <w:rsid w:val="00362CF0"/>
    <w:rsid w:val="00362D05"/>
    <w:rsid w:val="00362DA6"/>
    <w:rsid w:val="00362DB2"/>
    <w:rsid w:val="0036318B"/>
    <w:rsid w:val="00363270"/>
    <w:rsid w:val="003632DF"/>
    <w:rsid w:val="003632EE"/>
    <w:rsid w:val="0036336E"/>
    <w:rsid w:val="00363468"/>
    <w:rsid w:val="003634DE"/>
    <w:rsid w:val="0036362C"/>
    <w:rsid w:val="00363653"/>
    <w:rsid w:val="0036372F"/>
    <w:rsid w:val="00363749"/>
    <w:rsid w:val="0036374C"/>
    <w:rsid w:val="00363817"/>
    <w:rsid w:val="00363880"/>
    <w:rsid w:val="003638E0"/>
    <w:rsid w:val="003638F4"/>
    <w:rsid w:val="00363940"/>
    <w:rsid w:val="00363A30"/>
    <w:rsid w:val="00363A35"/>
    <w:rsid w:val="00363BE0"/>
    <w:rsid w:val="00363BF9"/>
    <w:rsid w:val="00363C1A"/>
    <w:rsid w:val="00363C5C"/>
    <w:rsid w:val="00363CB5"/>
    <w:rsid w:val="00363D1B"/>
    <w:rsid w:val="00363D3C"/>
    <w:rsid w:val="00363DD4"/>
    <w:rsid w:val="00363DE9"/>
    <w:rsid w:val="00363E5E"/>
    <w:rsid w:val="00363EE3"/>
    <w:rsid w:val="00363F39"/>
    <w:rsid w:val="00363F86"/>
    <w:rsid w:val="00363FE0"/>
    <w:rsid w:val="00364034"/>
    <w:rsid w:val="0036414D"/>
    <w:rsid w:val="00364193"/>
    <w:rsid w:val="00364230"/>
    <w:rsid w:val="00364232"/>
    <w:rsid w:val="00364252"/>
    <w:rsid w:val="00364278"/>
    <w:rsid w:val="003642B6"/>
    <w:rsid w:val="00364305"/>
    <w:rsid w:val="00364315"/>
    <w:rsid w:val="00364335"/>
    <w:rsid w:val="0036441A"/>
    <w:rsid w:val="00364480"/>
    <w:rsid w:val="003644A8"/>
    <w:rsid w:val="0036454D"/>
    <w:rsid w:val="00364591"/>
    <w:rsid w:val="003645BA"/>
    <w:rsid w:val="003645BD"/>
    <w:rsid w:val="003645FE"/>
    <w:rsid w:val="00364660"/>
    <w:rsid w:val="0036468E"/>
    <w:rsid w:val="003646CD"/>
    <w:rsid w:val="003646DA"/>
    <w:rsid w:val="003646EC"/>
    <w:rsid w:val="003646F1"/>
    <w:rsid w:val="00364727"/>
    <w:rsid w:val="00364785"/>
    <w:rsid w:val="003647E2"/>
    <w:rsid w:val="00364861"/>
    <w:rsid w:val="00364926"/>
    <w:rsid w:val="003649DF"/>
    <w:rsid w:val="00364AEB"/>
    <w:rsid w:val="00364B2E"/>
    <w:rsid w:val="00364BDF"/>
    <w:rsid w:val="00364BEB"/>
    <w:rsid w:val="00364C15"/>
    <w:rsid w:val="00364C27"/>
    <w:rsid w:val="00364CC4"/>
    <w:rsid w:val="00364CEF"/>
    <w:rsid w:val="00364DA0"/>
    <w:rsid w:val="00364E17"/>
    <w:rsid w:val="00364E86"/>
    <w:rsid w:val="00364EDE"/>
    <w:rsid w:val="00364F28"/>
    <w:rsid w:val="00364F85"/>
    <w:rsid w:val="00365145"/>
    <w:rsid w:val="00365165"/>
    <w:rsid w:val="00365202"/>
    <w:rsid w:val="00365218"/>
    <w:rsid w:val="00365276"/>
    <w:rsid w:val="003652AE"/>
    <w:rsid w:val="003652F0"/>
    <w:rsid w:val="0036530C"/>
    <w:rsid w:val="00365396"/>
    <w:rsid w:val="003653C9"/>
    <w:rsid w:val="00365489"/>
    <w:rsid w:val="0036548A"/>
    <w:rsid w:val="0036555C"/>
    <w:rsid w:val="00365622"/>
    <w:rsid w:val="00365720"/>
    <w:rsid w:val="00365930"/>
    <w:rsid w:val="00365941"/>
    <w:rsid w:val="00365A0E"/>
    <w:rsid w:val="00365B11"/>
    <w:rsid w:val="00365B56"/>
    <w:rsid w:val="00365B5D"/>
    <w:rsid w:val="00365BA0"/>
    <w:rsid w:val="00365C08"/>
    <w:rsid w:val="00365CA2"/>
    <w:rsid w:val="00365E8C"/>
    <w:rsid w:val="00366016"/>
    <w:rsid w:val="003660C5"/>
    <w:rsid w:val="003663C1"/>
    <w:rsid w:val="003664C8"/>
    <w:rsid w:val="003666D5"/>
    <w:rsid w:val="00366719"/>
    <w:rsid w:val="0036692E"/>
    <w:rsid w:val="00366A10"/>
    <w:rsid w:val="00366A54"/>
    <w:rsid w:val="00366B54"/>
    <w:rsid w:val="00366BE1"/>
    <w:rsid w:val="00366C05"/>
    <w:rsid w:val="00366C1E"/>
    <w:rsid w:val="00366CD7"/>
    <w:rsid w:val="00366CE4"/>
    <w:rsid w:val="00366D27"/>
    <w:rsid w:val="00366DEA"/>
    <w:rsid w:val="00366E6E"/>
    <w:rsid w:val="00366ECD"/>
    <w:rsid w:val="00366ED2"/>
    <w:rsid w:val="00366F2E"/>
    <w:rsid w:val="00366F3F"/>
    <w:rsid w:val="00366F88"/>
    <w:rsid w:val="00366FC7"/>
    <w:rsid w:val="00367077"/>
    <w:rsid w:val="003670AF"/>
    <w:rsid w:val="003672FF"/>
    <w:rsid w:val="0036738C"/>
    <w:rsid w:val="003673C5"/>
    <w:rsid w:val="00367434"/>
    <w:rsid w:val="0036745F"/>
    <w:rsid w:val="0036748C"/>
    <w:rsid w:val="0036762F"/>
    <w:rsid w:val="00367707"/>
    <w:rsid w:val="0036789E"/>
    <w:rsid w:val="003678E3"/>
    <w:rsid w:val="00367913"/>
    <w:rsid w:val="00367947"/>
    <w:rsid w:val="0036794C"/>
    <w:rsid w:val="00367A72"/>
    <w:rsid w:val="00367B3C"/>
    <w:rsid w:val="00367B84"/>
    <w:rsid w:val="00367BD2"/>
    <w:rsid w:val="00367C23"/>
    <w:rsid w:val="00367CAD"/>
    <w:rsid w:val="00367D79"/>
    <w:rsid w:val="00367D92"/>
    <w:rsid w:val="00367DE0"/>
    <w:rsid w:val="00367E20"/>
    <w:rsid w:val="00367E6B"/>
    <w:rsid w:val="00370031"/>
    <w:rsid w:val="0037006D"/>
    <w:rsid w:val="0037009F"/>
    <w:rsid w:val="003700FE"/>
    <w:rsid w:val="003701A1"/>
    <w:rsid w:val="003701B8"/>
    <w:rsid w:val="00370211"/>
    <w:rsid w:val="003702FA"/>
    <w:rsid w:val="0037032D"/>
    <w:rsid w:val="003703D2"/>
    <w:rsid w:val="003703FC"/>
    <w:rsid w:val="00370420"/>
    <w:rsid w:val="0037046C"/>
    <w:rsid w:val="003705B5"/>
    <w:rsid w:val="0037067F"/>
    <w:rsid w:val="0037072A"/>
    <w:rsid w:val="0037073D"/>
    <w:rsid w:val="003707CA"/>
    <w:rsid w:val="00370816"/>
    <w:rsid w:val="00370824"/>
    <w:rsid w:val="00370921"/>
    <w:rsid w:val="00370A58"/>
    <w:rsid w:val="00370A5D"/>
    <w:rsid w:val="00370C4D"/>
    <w:rsid w:val="00370CFC"/>
    <w:rsid w:val="00370DB5"/>
    <w:rsid w:val="00370EEB"/>
    <w:rsid w:val="00370FFB"/>
    <w:rsid w:val="0037110B"/>
    <w:rsid w:val="00371169"/>
    <w:rsid w:val="0037117D"/>
    <w:rsid w:val="003711C1"/>
    <w:rsid w:val="00371242"/>
    <w:rsid w:val="003712A8"/>
    <w:rsid w:val="0037131B"/>
    <w:rsid w:val="0037135A"/>
    <w:rsid w:val="003713FB"/>
    <w:rsid w:val="003714BE"/>
    <w:rsid w:val="00371509"/>
    <w:rsid w:val="00371628"/>
    <w:rsid w:val="0037175A"/>
    <w:rsid w:val="00371782"/>
    <w:rsid w:val="003717F7"/>
    <w:rsid w:val="00371834"/>
    <w:rsid w:val="00371926"/>
    <w:rsid w:val="00371AF0"/>
    <w:rsid w:val="00371B47"/>
    <w:rsid w:val="00371CAD"/>
    <w:rsid w:val="00371CFE"/>
    <w:rsid w:val="00371DBB"/>
    <w:rsid w:val="00371DD5"/>
    <w:rsid w:val="00371DE1"/>
    <w:rsid w:val="00371E0E"/>
    <w:rsid w:val="00371F0E"/>
    <w:rsid w:val="00371F24"/>
    <w:rsid w:val="00371F86"/>
    <w:rsid w:val="00371F98"/>
    <w:rsid w:val="00371FAA"/>
    <w:rsid w:val="00372002"/>
    <w:rsid w:val="0037215B"/>
    <w:rsid w:val="00372278"/>
    <w:rsid w:val="003722CD"/>
    <w:rsid w:val="0037233A"/>
    <w:rsid w:val="0037239D"/>
    <w:rsid w:val="003723ED"/>
    <w:rsid w:val="0037240C"/>
    <w:rsid w:val="0037250E"/>
    <w:rsid w:val="00372518"/>
    <w:rsid w:val="0037264B"/>
    <w:rsid w:val="0037287C"/>
    <w:rsid w:val="003728A3"/>
    <w:rsid w:val="003728D4"/>
    <w:rsid w:val="0037297D"/>
    <w:rsid w:val="0037299D"/>
    <w:rsid w:val="003729D9"/>
    <w:rsid w:val="00372A6D"/>
    <w:rsid w:val="00372AA9"/>
    <w:rsid w:val="00372B7A"/>
    <w:rsid w:val="00372B90"/>
    <w:rsid w:val="00372C02"/>
    <w:rsid w:val="00372C38"/>
    <w:rsid w:val="00372CDB"/>
    <w:rsid w:val="00372E37"/>
    <w:rsid w:val="00372F0F"/>
    <w:rsid w:val="00373105"/>
    <w:rsid w:val="0037310B"/>
    <w:rsid w:val="0037314F"/>
    <w:rsid w:val="00373264"/>
    <w:rsid w:val="00373285"/>
    <w:rsid w:val="0037328C"/>
    <w:rsid w:val="003732AD"/>
    <w:rsid w:val="00373468"/>
    <w:rsid w:val="0037349E"/>
    <w:rsid w:val="003734BA"/>
    <w:rsid w:val="003735F6"/>
    <w:rsid w:val="00373685"/>
    <w:rsid w:val="003737F3"/>
    <w:rsid w:val="00373811"/>
    <w:rsid w:val="0037384B"/>
    <w:rsid w:val="00373897"/>
    <w:rsid w:val="00373974"/>
    <w:rsid w:val="0037399A"/>
    <w:rsid w:val="00373A02"/>
    <w:rsid w:val="00373A6A"/>
    <w:rsid w:val="00373A7C"/>
    <w:rsid w:val="00373B62"/>
    <w:rsid w:val="00373B8D"/>
    <w:rsid w:val="00373DA7"/>
    <w:rsid w:val="00373E54"/>
    <w:rsid w:val="00373E5A"/>
    <w:rsid w:val="00373E6F"/>
    <w:rsid w:val="00373F44"/>
    <w:rsid w:val="00373F89"/>
    <w:rsid w:val="0037423B"/>
    <w:rsid w:val="0037426E"/>
    <w:rsid w:val="003742C2"/>
    <w:rsid w:val="0037432D"/>
    <w:rsid w:val="003744B9"/>
    <w:rsid w:val="00374598"/>
    <w:rsid w:val="003745B1"/>
    <w:rsid w:val="003745D5"/>
    <w:rsid w:val="003745E1"/>
    <w:rsid w:val="00374618"/>
    <w:rsid w:val="0037465C"/>
    <w:rsid w:val="0037468B"/>
    <w:rsid w:val="0037486F"/>
    <w:rsid w:val="0037487F"/>
    <w:rsid w:val="00374AFC"/>
    <w:rsid w:val="00374B3C"/>
    <w:rsid w:val="00374B80"/>
    <w:rsid w:val="00374BA7"/>
    <w:rsid w:val="00374C0B"/>
    <w:rsid w:val="00374CD2"/>
    <w:rsid w:val="00374DAD"/>
    <w:rsid w:val="00374DF6"/>
    <w:rsid w:val="00374E87"/>
    <w:rsid w:val="00374E92"/>
    <w:rsid w:val="00374F83"/>
    <w:rsid w:val="0037507A"/>
    <w:rsid w:val="00375322"/>
    <w:rsid w:val="00375379"/>
    <w:rsid w:val="00375415"/>
    <w:rsid w:val="0037542D"/>
    <w:rsid w:val="0037547B"/>
    <w:rsid w:val="003754ED"/>
    <w:rsid w:val="0037555C"/>
    <w:rsid w:val="00375611"/>
    <w:rsid w:val="0037567F"/>
    <w:rsid w:val="003756DC"/>
    <w:rsid w:val="003757F2"/>
    <w:rsid w:val="00375851"/>
    <w:rsid w:val="0037591D"/>
    <w:rsid w:val="0037591F"/>
    <w:rsid w:val="0037599A"/>
    <w:rsid w:val="00375A0D"/>
    <w:rsid w:val="00375AB5"/>
    <w:rsid w:val="00375AC8"/>
    <w:rsid w:val="00375B0A"/>
    <w:rsid w:val="00375B9E"/>
    <w:rsid w:val="00375BC4"/>
    <w:rsid w:val="00375D27"/>
    <w:rsid w:val="00375DCD"/>
    <w:rsid w:val="00375EAC"/>
    <w:rsid w:val="00375EDD"/>
    <w:rsid w:val="00375F0B"/>
    <w:rsid w:val="00376156"/>
    <w:rsid w:val="003761F5"/>
    <w:rsid w:val="00376274"/>
    <w:rsid w:val="003763B7"/>
    <w:rsid w:val="003763F4"/>
    <w:rsid w:val="003764C2"/>
    <w:rsid w:val="003765DC"/>
    <w:rsid w:val="00376601"/>
    <w:rsid w:val="003766C3"/>
    <w:rsid w:val="00376714"/>
    <w:rsid w:val="00376863"/>
    <w:rsid w:val="0037686E"/>
    <w:rsid w:val="003768E8"/>
    <w:rsid w:val="003768FA"/>
    <w:rsid w:val="003769F2"/>
    <w:rsid w:val="00376A53"/>
    <w:rsid w:val="00376A79"/>
    <w:rsid w:val="00376AD6"/>
    <w:rsid w:val="00376B1B"/>
    <w:rsid w:val="00376B43"/>
    <w:rsid w:val="00376D08"/>
    <w:rsid w:val="00376EE9"/>
    <w:rsid w:val="00376F17"/>
    <w:rsid w:val="00376F3C"/>
    <w:rsid w:val="00376F3D"/>
    <w:rsid w:val="00376F6B"/>
    <w:rsid w:val="00376FB7"/>
    <w:rsid w:val="00376FDB"/>
    <w:rsid w:val="0037713D"/>
    <w:rsid w:val="00377193"/>
    <w:rsid w:val="00377194"/>
    <w:rsid w:val="003771DE"/>
    <w:rsid w:val="003773EF"/>
    <w:rsid w:val="00377438"/>
    <w:rsid w:val="00377539"/>
    <w:rsid w:val="0037756E"/>
    <w:rsid w:val="00377575"/>
    <w:rsid w:val="003775B2"/>
    <w:rsid w:val="003775B4"/>
    <w:rsid w:val="003775EE"/>
    <w:rsid w:val="0037768A"/>
    <w:rsid w:val="003776B5"/>
    <w:rsid w:val="003777DB"/>
    <w:rsid w:val="003778F3"/>
    <w:rsid w:val="00377980"/>
    <w:rsid w:val="003779A5"/>
    <w:rsid w:val="00377A90"/>
    <w:rsid w:val="00377AA2"/>
    <w:rsid w:val="00377AAB"/>
    <w:rsid w:val="00377AFB"/>
    <w:rsid w:val="00377B08"/>
    <w:rsid w:val="00377D4E"/>
    <w:rsid w:val="00377DB3"/>
    <w:rsid w:val="00377DBC"/>
    <w:rsid w:val="00377E22"/>
    <w:rsid w:val="00377E2D"/>
    <w:rsid w:val="00377F48"/>
    <w:rsid w:val="00377F78"/>
    <w:rsid w:val="00380087"/>
    <w:rsid w:val="00380127"/>
    <w:rsid w:val="00380168"/>
    <w:rsid w:val="00380253"/>
    <w:rsid w:val="003802E5"/>
    <w:rsid w:val="003802EB"/>
    <w:rsid w:val="00380319"/>
    <w:rsid w:val="0038031D"/>
    <w:rsid w:val="0038051D"/>
    <w:rsid w:val="00380535"/>
    <w:rsid w:val="003805A2"/>
    <w:rsid w:val="003805D8"/>
    <w:rsid w:val="00380606"/>
    <w:rsid w:val="0038066F"/>
    <w:rsid w:val="0038068C"/>
    <w:rsid w:val="00380703"/>
    <w:rsid w:val="0038079E"/>
    <w:rsid w:val="003807BB"/>
    <w:rsid w:val="003808F9"/>
    <w:rsid w:val="003809F6"/>
    <w:rsid w:val="00380BBE"/>
    <w:rsid w:val="00380C3D"/>
    <w:rsid w:val="00380C63"/>
    <w:rsid w:val="00380C90"/>
    <w:rsid w:val="00380E6E"/>
    <w:rsid w:val="00380EBA"/>
    <w:rsid w:val="00380EE3"/>
    <w:rsid w:val="00380F06"/>
    <w:rsid w:val="00380F40"/>
    <w:rsid w:val="00380FD0"/>
    <w:rsid w:val="00381132"/>
    <w:rsid w:val="00381303"/>
    <w:rsid w:val="00381451"/>
    <w:rsid w:val="003814C8"/>
    <w:rsid w:val="003815AC"/>
    <w:rsid w:val="003815C3"/>
    <w:rsid w:val="003815D3"/>
    <w:rsid w:val="003816E8"/>
    <w:rsid w:val="0038187A"/>
    <w:rsid w:val="00381883"/>
    <w:rsid w:val="00381893"/>
    <w:rsid w:val="0038198E"/>
    <w:rsid w:val="003819A1"/>
    <w:rsid w:val="00381ACE"/>
    <w:rsid w:val="00381AEE"/>
    <w:rsid w:val="00381B3B"/>
    <w:rsid w:val="00381BCF"/>
    <w:rsid w:val="00381C73"/>
    <w:rsid w:val="00381E62"/>
    <w:rsid w:val="00381EAD"/>
    <w:rsid w:val="00381EBA"/>
    <w:rsid w:val="003820DF"/>
    <w:rsid w:val="0038215D"/>
    <w:rsid w:val="0038216E"/>
    <w:rsid w:val="00382268"/>
    <w:rsid w:val="0038228A"/>
    <w:rsid w:val="003822CC"/>
    <w:rsid w:val="0038230B"/>
    <w:rsid w:val="00382311"/>
    <w:rsid w:val="00382326"/>
    <w:rsid w:val="0038238B"/>
    <w:rsid w:val="00382441"/>
    <w:rsid w:val="0038245F"/>
    <w:rsid w:val="003824A2"/>
    <w:rsid w:val="003824DD"/>
    <w:rsid w:val="003824E0"/>
    <w:rsid w:val="00382594"/>
    <w:rsid w:val="003825CA"/>
    <w:rsid w:val="0038267A"/>
    <w:rsid w:val="003827B5"/>
    <w:rsid w:val="00382810"/>
    <w:rsid w:val="00382844"/>
    <w:rsid w:val="0038286D"/>
    <w:rsid w:val="00382871"/>
    <w:rsid w:val="003828FB"/>
    <w:rsid w:val="00382918"/>
    <w:rsid w:val="003829EB"/>
    <w:rsid w:val="00382A1B"/>
    <w:rsid w:val="00382A51"/>
    <w:rsid w:val="00382AFD"/>
    <w:rsid w:val="00382B19"/>
    <w:rsid w:val="00382BC4"/>
    <w:rsid w:val="00382CF5"/>
    <w:rsid w:val="00382CFD"/>
    <w:rsid w:val="00382D17"/>
    <w:rsid w:val="00382FEA"/>
    <w:rsid w:val="00382FEC"/>
    <w:rsid w:val="00383069"/>
    <w:rsid w:val="003830DB"/>
    <w:rsid w:val="00383205"/>
    <w:rsid w:val="00383218"/>
    <w:rsid w:val="00383352"/>
    <w:rsid w:val="00383392"/>
    <w:rsid w:val="003834FC"/>
    <w:rsid w:val="003835BB"/>
    <w:rsid w:val="003836A9"/>
    <w:rsid w:val="00383720"/>
    <w:rsid w:val="0038374D"/>
    <w:rsid w:val="003837C6"/>
    <w:rsid w:val="003839C6"/>
    <w:rsid w:val="00383A80"/>
    <w:rsid w:val="00383B7F"/>
    <w:rsid w:val="00383B93"/>
    <w:rsid w:val="00383B9E"/>
    <w:rsid w:val="00383BDA"/>
    <w:rsid w:val="00383C91"/>
    <w:rsid w:val="00383E0E"/>
    <w:rsid w:val="00383E1F"/>
    <w:rsid w:val="00383E62"/>
    <w:rsid w:val="00383EAE"/>
    <w:rsid w:val="00383EE5"/>
    <w:rsid w:val="00383F01"/>
    <w:rsid w:val="00383F29"/>
    <w:rsid w:val="00383FF7"/>
    <w:rsid w:val="003840F2"/>
    <w:rsid w:val="003841CE"/>
    <w:rsid w:val="003841F4"/>
    <w:rsid w:val="003841F6"/>
    <w:rsid w:val="0038423C"/>
    <w:rsid w:val="003842D3"/>
    <w:rsid w:val="003843DD"/>
    <w:rsid w:val="0038440F"/>
    <w:rsid w:val="00384438"/>
    <w:rsid w:val="0038446E"/>
    <w:rsid w:val="003845FA"/>
    <w:rsid w:val="0038468C"/>
    <w:rsid w:val="003846A6"/>
    <w:rsid w:val="003846F6"/>
    <w:rsid w:val="0038470B"/>
    <w:rsid w:val="00384728"/>
    <w:rsid w:val="003847E7"/>
    <w:rsid w:val="0038487C"/>
    <w:rsid w:val="00384A19"/>
    <w:rsid w:val="00384B34"/>
    <w:rsid w:val="00384B80"/>
    <w:rsid w:val="00384C3D"/>
    <w:rsid w:val="00384CD8"/>
    <w:rsid w:val="00384D75"/>
    <w:rsid w:val="00384DE7"/>
    <w:rsid w:val="00384EF3"/>
    <w:rsid w:val="00384F13"/>
    <w:rsid w:val="00384FCB"/>
    <w:rsid w:val="00384FF3"/>
    <w:rsid w:val="00385039"/>
    <w:rsid w:val="00385227"/>
    <w:rsid w:val="00385254"/>
    <w:rsid w:val="0038526C"/>
    <w:rsid w:val="00385315"/>
    <w:rsid w:val="0038540B"/>
    <w:rsid w:val="00385447"/>
    <w:rsid w:val="00385468"/>
    <w:rsid w:val="0038551B"/>
    <w:rsid w:val="00385598"/>
    <w:rsid w:val="003855AF"/>
    <w:rsid w:val="0038565B"/>
    <w:rsid w:val="003856A2"/>
    <w:rsid w:val="003856D9"/>
    <w:rsid w:val="0038571D"/>
    <w:rsid w:val="003857D4"/>
    <w:rsid w:val="00385826"/>
    <w:rsid w:val="00385849"/>
    <w:rsid w:val="0038585E"/>
    <w:rsid w:val="00385869"/>
    <w:rsid w:val="00385917"/>
    <w:rsid w:val="00385937"/>
    <w:rsid w:val="00385941"/>
    <w:rsid w:val="00385A94"/>
    <w:rsid w:val="00385B65"/>
    <w:rsid w:val="00385C18"/>
    <w:rsid w:val="00385C1E"/>
    <w:rsid w:val="00385CE6"/>
    <w:rsid w:val="00385D26"/>
    <w:rsid w:val="00385D50"/>
    <w:rsid w:val="00385DEA"/>
    <w:rsid w:val="00385ECD"/>
    <w:rsid w:val="00385F82"/>
    <w:rsid w:val="00386022"/>
    <w:rsid w:val="00386231"/>
    <w:rsid w:val="003862C3"/>
    <w:rsid w:val="003862E5"/>
    <w:rsid w:val="00386319"/>
    <w:rsid w:val="0038635E"/>
    <w:rsid w:val="003863E5"/>
    <w:rsid w:val="00386437"/>
    <w:rsid w:val="00386474"/>
    <w:rsid w:val="00386508"/>
    <w:rsid w:val="00386589"/>
    <w:rsid w:val="003865C8"/>
    <w:rsid w:val="00386620"/>
    <w:rsid w:val="00386669"/>
    <w:rsid w:val="00386689"/>
    <w:rsid w:val="003866F8"/>
    <w:rsid w:val="003867BB"/>
    <w:rsid w:val="003868E1"/>
    <w:rsid w:val="00386939"/>
    <w:rsid w:val="003869BC"/>
    <w:rsid w:val="00386A6C"/>
    <w:rsid w:val="00386BA7"/>
    <w:rsid w:val="00386C3D"/>
    <w:rsid w:val="00386CBC"/>
    <w:rsid w:val="00386E21"/>
    <w:rsid w:val="00386EB6"/>
    <w:rsid w:val="00386F2D"/>
    <w:rsid w:val="00386F62"/>
    <w:rsid w:val="00386F74"/>
    <w:rsid w:val="00386FFB"/>
    <w:rsid w:val="0038709F"/>
    <w:rsid w:val="003870DC"/>
    <w:rsid w:val="0038710F"/>
    <w:rsid w:val="003872BA"/>
    <w:rsid w:val="0038734D"/>
    <w:rsid w:val="003874A6"/>
    <w:rsid w:val="003874AE"/>
    <w:rsid w:val="0038751D"/>
    <w:rsid w:val="003875C0"/>
    <w:rsid w:val="0038763C"/>
    <w:rsid w:val="0038772E"/>
    <w:rsid w:val="00387812"/>
    <w:rsid w:val="003878EF"/>
    <w:rsid w:val="003879B5"/>
    <w:rsid w:val="003879B6"/>
    <w:rsid w:val="003879C5"/>
    <w:rsid w:val="003879DE"/>
    <w:rsid w:val="00387DD4"/>
    <w:rsid w:val="00387E06"/>
    <w:rsid w:val="00387E72"/>
    <w:rsid w:val="00387F1F"/>
    <w:rsid w:val="00390199"/>
    <w:rsid w:val="003901FC"/>
    <w:rsid w:val="00390215"/>
    <w:rsid w:val="00390242"/>
    <w:rsid w:val="003902C8"/>
    <w:rsid w:val="003902C9"/>
    <w:rsid w:val="003902CB"/>
    <w:rsid w:val="0039038F"/>
    <w:rsid w:val="00390471"/>
    <w:rsid w:val="0039048A"/>
    <w:rsid w:val="003904E0"/>
    <w:rsid w:val="0039052C"/>
    <w:rsid w:val="0039053F"/>
    <w:rsid w:val="003905B7"/>
    <w:rsid w:val="003907EC"/>
    <w:rsid w:val="00390802"/>
    <w:rsid w:val="003909B1"/>
    <w:rsid w:val="003909FE"/>
    <w:rsid w:val="00390A52"/>
    <w:rsid w:val="00390A54"/>
    <w:rsid w:val="00390BA6"/>
    <w:rsid w:val="00390BB3"/>
    <w:rsid w:val="00390D0B"/>
    <w:rsid w:val="00390D81"/>
    <w:rsid w:val="00390ED2"/>
    <w:rsid w:val="00390F1A"/>
    <w:rsid w:val="00390F27"/>
    <w:rsid w:val="003910F5"/>
    <w:rsid w:val="00391104"/>
    <w:rsid w:val="00391128"/>
    <w:rsid w:val="0039118A"/>
    <w:rsid w:val="00391276"/>
    <w:rsid w:val="00391358"/>
    <w:rsid w:val="0039135F"/>
    <w:rsid w:val="00391386"/>
    <w:rsid w:val="003913E9"/>
    <w:rsid w:val="0039146B"/>
    <w:rsid w:val="0039151F"/>
    <w:rsid w:val="00391644"/>
    <w:rsid w:val="003917A6"/>
    <w:rsid w:val="003917CF"/>
    <w:rsid w:val="00391815"/>
    <w:rsid w:val="00391835"/>
    <w:rsid w:val="003918CD"/>
    <w:rsid w:val="00391BD9"/>
    <w:rsid w:val="00391BF3"/>
    <w:rsid w:val="00391C31"/>
    <w:rsid w:val="00391E83"/>
    <w:rsid w:val="003920E4"/>
    <w:rsid w:val="003922A4"/>
    <w:rsid w:val="003923BE"/>
    <w:rsid w:val="00392401"/>
    <w:rsid w:val="00392407"/>
    <w:rsid w:val="0039254C"/>
    <w:rsid w:val="003926DF"/>
    <w:rsid w:val="00392765"/>
    <w:rsid w:val="003927B7"/>
    <w:rsid w:val="00392A0C"/>
    <w:rsid w:val="00392BC8"/>
    <w:rsid w:val="00392C0A"/>
    <w:rsid w:val="00392CCF"/>
    <w:rsid w:val="00392CED"/>
    <w:rsid w:val="00392D52"/>
    <w:rsid w:val="00392D82"/>
    <w:rsid w:val="00392DB7"/>
    <w:rsid w:val="00392E10"/>
    <w:rsid w:val="00392EBA"/>
    <w:rsid w:val="00392F29"/>
    <w:rsid w:val="00392F33"/>
    <w:rsid w:val="00393084"/>
    <w:rsid w:val="00393123"/>
    <w:rsid w:val="0039321A"/>
    <w:rsid w:val="00393338"/>
    <w:rsid w:val="003933B7"/>
    <w:rsid w:val="0039345B"/>
    <w:rsid w:val="003934C2"/>
    <w:rsid w:val="003934D9"/>
    <w:rsid w:val="003935B2"/>
    <w:rsid w:val="003935D9"/>
    <w:rsid w:val="00393615"/>
    <w:rsid w:val="00393698"/>
    <w:rsid w:val="003936D0"/>
    <w:rsid w:val="00393732"/>
    <w:rsid w:val="003937C2"/>
    <w:rsid w:val="003938D0"/>
    <w:rsid w:val="00393914"/>
    <w:rsid w:val="00393966"/>
    <w:rsid w:val="003939AC"/>
    <w:rsid w:val="003939D1"/>
    <w:rsid w:val="00393AD3"/>
    <w:rsid w:val="00393ADC"/>
    <w:rsid w:val="00393ADD"/>
    <w:rsid w:val="00393AEA"/>
    <w:rsid w:val="00393AF0"/>
    <w:rsid w:val="00393B39"/>
    <w:rsid w:val="00393CA0"/>
    <w:rsid w:val="00393CBC"/>
    <w:rsid w:val="00393DA6"/>
    <w:rsid w:val="00393E45"/>
    <w:rsid w:val="00393F4B"/>
    <w:rsid w:val="00394143"/>
    <w:rsid w:val="00394175"/>
    <w:rsid w:val="003941A7"/>
    <w:rsid w:val="00394295"/>
    <w:rsid w:val="00394316"/>
    <w:rsid w:val="00394345"/>
    <w:rsid w:val="003943D9"/>
    <w:rsid w:val="003943DA"/>
    <w:rsid w:val="003943F3"/>
    <w:rsid w:val="0039441A"/>
    <w:rsid w:val="00394607"/>
    <w:rsid w:val="003946C8"/>
    <w:rsid w:val="003946CA"/>
    <w:rsid w:val="003947B5"/>
    <w:rsid w:val="0039498E"/>
    <w:rsid w:val="00394A4B"/>
    <w:rsid w:val="00394A94"/>
    <w:rsid w:val="00394B57"/>
    <w:rsid w:val="00394CF0"/>
    <w:rsid w:val="00394CFD"/>
    <w:rsid w:val="00394D08"/>
    <w:rsid w:val="00394DE4"/>
    <w:rsid w:val="00394F40"/>
    <w:rsid w:val="00394F76"/>
    <w:rsid w:val="0039506B"/>
    <w:rsid w:val="003950AB"/>
    <w:rsid w:val="003950F9"/>
    <w:rsid w:val="003953A2"/>
    <w:rsid w:val="003953D0"/>
    <w:rsid w:val="003953D4"/>
    <w:rsid w:val="00395490"/>
    <w:rsid w:val="00395677"/>
    <w:rsid w:val="00395798"/>
    <w:rsid w:val="003957B9"/>
    <w:rsid w:val="00395866"/>
    <w:rsid w:val="00395874"/>
    <w:rsid w:val="003958C0"/>
    <w:rsid w:val="0039597E"/>
    <w:rsid w:val="003959D8"/>
    <w:rsid w:val="00395A2C"/>
    <w:rsid w:val="00395AA5"/>
    <w:rsid w:val="00395B2D"/>
    <w:rsid w:val="00395BC4"/>
    <w:rsid w:val="00395CBB"/>
    <w:rsid w:val="00395CCC"/>
    <w:rsid w:val="00395CE9"/>
    <w:rsid w:val="00395D05"/>
    <w:rsid w:val="00395ECC"/>
    <w:rsid w:val="00395EDF"/>
    <w:rsid w:val="00395F92"/>
    <w:rsid w:val="003960F5"/>
    <w:rsid w:val="00396143"/>
    <w:rsid w:val="0039631B"/>
    <w:rsid w:val="003963D9"/>
    <w:rsid w:val="0039640F"/>
    <w:rsid w:val="003964A0"/>
    <w:rsid w:val="003968E1"/>
    <w:rsid w:val="0039690F"/>
    <w:rsid w:val="00396A89"/>
    <w:rsid w:val="00396AC1"/>
    <w:rsid w:val="00396B7B"/>
    <w:rsid w:val="00396BA7"/>
    <w:rsid w:val="00396C4F"/>
    <w:rsid w:val="00396C69"/>
    <w:rsid w:val="00396D61"/>
    <w:rsid w:val="00396EAC"/>
    <w:rsid w:val="00396EF8"/>
    <w:rsid w:val="00396F2A"/>
    <w:rsid w:val="00396F9B"/>
    <w:rsid w:val="00396FBF"/>
    <w:rsid w:val="00396FC4"/>
    <w:rsid w:val="00397092"/>
    <w:rsid w:val="003970B3"/>
    <w:rsid w:val="00397259"/>
    <w:rsid w:val="003972EB"/>
    <w:rsid w:val="00397394"/>
    <w:rsid w:val="00397490"/>
    <w:rsid w:val="00397542"/>
    <w:rsid w:val="003975E1"/>
    <w:rsid w:val="003976BE"/>
    <w:rsid w:val="003976EA"/>
    <w:rsid w:val="00397703"/>
    <w:rsid w:val="003977A3"/>
    <w:rsid w:val="003977B1"/>
    <w:rsid w:val="003977EA"/>
    <w:rsid w:val="003978FA"/>
    <w:rsid w:val="00397945"/>
    <w:rsid w:val="003979CA"/>
    <w:rsid w:val="00397B37"/>
    <w:rsid w:val="00397B72"/>
    <w:rsid w:val="00397C2E"/>
    <w:rsid w:val="00397CBF"/>
    <w:rsid w:val="00397CDC"/>
    <w:rsid w:val="00397CE8"/>
    <w:rsid w:val="00397D36"/>
    <w:rsid w:val="00397E7A"/>
    <w:rsid w:val="00397E84"/>
    <w:rsid w:val="00397F34"/>
    <w:rsid w:val="003A005E"/>
    <w:rsid w:val="003A00D1"/>
    <w:rsid w:val="003A0124"/>
    <w:rsid w:val="003A014F"/>
    <w:rsid w:val="003A015C"/>
    <w:rsid w:val="003A01D4"/>
    <w:rsid w:val="003A0206"/>
    <w:rsid w:val="003A038F"/>
    <w:rsid w:val="003A04CA"/>
    <w:rsid w:val="003A04FF"/>
    <w:rsid w:val="003A05BF"/>
    <w:rsid w:val="003A0618"/>
    <w:rsid w:val="003A0673"/>
    <w:rsid w:val="003A0693"/>
    <w:rsid w:val="003A0737"/>
    <w:rsid w:val="003A07ED"/>
    <w:rsid w:val="003A09BF"/>
    <w:rsid w:val="003A0A87"/>
    <w:rsid w:val="003A0C99"/>
    <w:rsid w:val="003A0D28"/>
    <w:rsid w:val="003A0D5F"/>
    <w:rsid w:val="003A0D79"/>
    <w:rsid w:val="003A0E6A"/>
    <w:rsid w:val="003A0E7E"/>
    <w:rsid w:val="003A0ECC"/>
    <w:rsid w:val="003A0F22"/>
    <w:rsid w:val="003A1000"/>
    <w:rsid w:val="003A111F"/>
    <w:rsid w:val="003A1121"/>
    <w:rsid w:val="003A11A3"/>
    <w:rsid w:val="003A11BE"/>
    <w:rsid w:val="003A126E"/>
    <w:rsid w:val="003A129B"/>
    <w:rsid w:val="003A12C6"/>
    <w:rsid w:val="003A1347"/>
    <w:rsid w:val="003A1360"/>
    <w:rsid w:val="003A140D"/>
    <w:rsid w:val="003A1642"/>
    <w:rsid w:val="003A185C"/>
    <w:rsid w:val="003A18E2"/>
    <w:rsid w:val="003A18E3"/>
    <w:rsid w:val="003A198F"/>
    <w:rsid w:val="003A19DF"/>
    <w:rsid w:val="003A1AC1"/>
    <w:rsid w:val="003A1AF8"/>
    <w:rsid w:val="003A1BA9"/>
    <w:rsid w:val="003A1BDA"/>
    <w:rsid w:val="003A1C5A"/>
    <w:rsid w:val="003A1D10"/>
    <w:rsid w:val="003A1E1A"/>
    <w:rsid w:val="003A1EB4"/>
    <w:rsid w:val="003A1EE0"/>
    <w:rsid w:val="003A1FC7"/>
    <w:rsid w:val="003A2000"/>
    <w:rsid w:val="003A20A8"/>
    <w:rsid w:val="003A2119"/>
    <w:rsid w:val="003A221A"/>
    <w:rsid w:val="003A22A0"/>
    <w:rsid w:val="003A248E"/>
    <w:rsid w:val="003A24BF"/>
    <w:rsid w:val="003A2670"/>
    <w:rsid w:val="003A27B9"/>
    <w:rsid w:val="003A27D8"/>
    <w:rsid w:val="003A27DA"/>
    <w:rsid w:val="003A2850"/>
    <w:rsid w:val="003A28AC"/>
    <w:rsid w:val="003A28ED"/>
    <w:rsid w:val="003A29FD"/>
    <w:rsid w:val="003A2A76"/>
    <w:rsid w:val="003A2AA7"/>
    <w:rsid w:val="003A2ABA"/>
    <w:rsid w:val="003A2B2B"/>
    <w:rsid w:val="003A2B5F"/>
    <w:rsid w:val="003A2B75"/>
    <w:rsid w:val="003A2BD7"/>
    <w:rsid w:val="003A2C71"/>
    <w:rsid w:val="003A2CFE"/>
    <w:rsid w:val="003A2DDE"/>
    <w:rsid w:val="003A2E2D"/>
    <w:rsid w:val="003A2EA4"/>
    <w:rsid w:val="003A2EEE"/>
    <w:rsid w:val="003A2F62"/>
    <w:rsid w:val="003A2F90"/>
    <w:rsid w:val="003A2FB1"/>
    <w:rsid w:val="003A2FEB"/>
    <w:rsid w:val="003A3051"/>
    <w:rsid w:val="003A31ED"/>
    <w:rsid w:val="003A32D7"/>
    <w:rsid w:val="003A32D9"/>
    <w:rsid w:val="003A3389"/>
    <w:rsid w:val="003A33A5"/>
    <w:rsid w:val="003A33B5"/>
    <w:rsid w:val="003A36AA"/>
    <w:rsid w:val="003A36EB"/>
    <w:rsid w:val="003A3727"/>
    <w:rsid w:val="003A3752"/>
    <w:rsid w:val="003A38BB"/>
    <w:rsid w:val="003A3953"/>
    <w:rsid w:val="003A39C5"/>
    <w:rsid w:val="003A39E4"/>
    <w:rsid w:val="003A3A4E"/>
    <w:rsid w:val="003A3B37"/>
    <w:rsid w:val="003A3B73"/>
    <w:rsid w:val="003A3BD5"/>
    <w:rsid w:val="003A3D59"/>
    <w:rsid w:val="003A3E22"/>
    <w:rsid w:val="003A3E5B"/>
    <w:rsid w:val="003A3E94"/>
    <w:rsid w:val="003A3EA4"/>
    <w:rsid w:val="003A3EE8"/>
    <w:rsid w:val="003A3F59"/>
    <w:rsid w:val="003A400B"/>
    <w:rsid w:val="003A4011"/>
    <w:rsid w:val="003A4017"/>
    <w:rsid w:val="003A402F"/>
    <w:rsid w:val="003A4148"/>
    <w:rsid w:val="003A43D1"/>
    <w:rsid w:val="003A445D"/>
    <w:rsid w:val="003A4475"/>
    <w:rsid w:val="003A44DB"/>
    <w:rsid w:val="003A44F2"/>
    <w:rsid w:val="003A451C"/>
    <w:rsid w:val="003A4561"/>
    <w:rsid w:val="003A456F"/>
    <w:rsid w:val="003A459E"/>
    <w:rsid w:val="003A45A4"/>
    <w:rsid w:val="003A463E"/>
    <w:rsid w:val="003A465D"/>
    <w:rsid w:val="003A470C"/>
    <w:rsid w:val="003A47A2"/>
    <w:rsid w:val="003A488C"/>
    <w:rsid w:val="003A4970"/>
    <w:rsid w:val="003A49C2"/>
    <w:rsid w:val="003A49E9"/>
    <w:rsid w:val="003A4A6B"/>
    <w:rsid w:val="003A4A78"/>
    <w:rsid w:val="003A4A79"/>
    <w:rsid w:val="003A4B70"/>
    <w:rsid w:val="003A4C17"/>
    <w:rsid w:val="003A4DCB"/>
    <w:rsid w:val="003A4E5C"/>
    <w:rsid w:val="003A4EE4"/>
    <w:rsid w:val="003A4F15"/>
    <w:rsid w:val="003A4F51"/>
    <w:rsid w:val="003A4FCE"/>
    <w:rsid w:val="003A5018"/>
    <w:rsid w:val="003A502C"/>
    <w:rsid w:val="003A5062"/>
    <w:rsid w:val="003A5156"/>
    <w:rsid w:val="003A515D"/>
    <w:rsid w:val="003A516E"/>
    <w:rsid w:val="003A5257"/>
    <w:rsid w:val="003A531E"/>
    <w:rsid w:val="003A53A3"/>
    <w:rsid w:val="003A53BC"/>
    <w:rsid w:val="003A53D5"/>
    <w:rsid w:val="003A5440"/>
    <w:rsid w:val="003A54C0"/>
    <w:rsid w:val="003A55D8"/>
    <w:rsid w:val="003A55D9"/>
    <w:rsid w:val="003A55EA"/>
    <w:rsid w:val="003A5618"/>
    <w:rsid w:val="003A5712"/>
    <w:rsid w:val="003A580C"/>
    <w:rsid w:val="003A581A"/>
    <w:rsid w:val="003A58B3"/>
    <w:rsid w:val="003A58C0"/>
    <w:rsid w:val="003A5909"/>
    <w:rsid w:val="003A59C9"/>
    <w:rsid w:val="003A59F5"/>
    <w:rsid w:val="003A5A92"/>
    <w:rsid w:val="003A5B4E"/>
    <w:rsid w:val="003A5CB1"/>
    <w:rsid w:val="003A5D00"/>
    <w:rsid w:val="003A5D87"/>
    <w:rsid w:val="003A5F71"/>
    <w:rsid w:val="003A5FCF"/>
    <w:rsid w:val="003A6045"/>
    <w:rsid w:val="003A618B"/>
    <w:rsid w:val="003A6309"/>
    <w:rsid w:val="003A64E5"/>
    <w:rsid w:val="003A66A5"/>
    <w:rsid w:val="003A66B1"/>
    <w:rsid w:val="003A6709"/>
    <w:rsid w:val="003A6808"/>
    <w:rsid w:val="003A680E"/>
    <w:rsid w:val="003A68A1"/>
    <w:rsid w:val="003A6C44"/>
    <w:rsid w:val="003A6CE3"/>
    <w:rsid w:val="003A6D1D"/>
    <w:rsid w:val="003A6D5C"/>
    <w:rsid w:val="003A6F8C"/>
    <w:rsid w:val="003A707B"/>
    <w:rsid w:val="003A707C"/>
    <w:rsid w:val="003A7083"/>
    <w:rsid w:val="003A71A6"/>
    <w:rsid w:val="003A71E9"/>
    <w:rsid w:val="003A724C"/>
    <w:rsid w:val="003A729E"/>
    <w:rsid w:val="003A72A5"/>
    <w:rsid w:val="003A74E7"/>
    <w:rsid w:val="003A755A"/>
    <w:rsid w:val="003A7565"/>
    <w:rsid w:val="003A75DD"/>
    <w:rsid w:val="003A7728"/>
    <w:rsid w:val="003A77C7"/>
    <w:rsid w:val="003A787E"/>
    <w:rsid w:val="003A7952"/>
    <w:rsid w:val="003A79DE"/>
    <w:rsid w:val="003A7AA8"/>
    <w:rsid w:val="003A7E0B"/>
    <w:rsid w:val="003A7EB1"/>
    <w:rsid w:val="003A7F5D"/>
    <w:rsid w:val="003A7FF5"/>
    <w:rsid w:val="003B0006"/>
    <w:rsid w:val="003B0058"/>
    <w:rsid w:val="003B00C8"/>
    <w:rsid w:val="003B0123"/>
    <w:rsid w:val="003B013D"/>
    <w:rsid w:val="003B01F6"/>
    <w:rsid w:val="003B03C5"/>
    <w:rsid w:val="003B03CA"/>
    <w:rsid w:val="003B0455"/>
    <w:rsid w:val="003B04A2"/>
    <w:rsid w:val="003B053F"/>
    <w:rsid w:val="003B0556"/>
    <w:rsid w:val="003B073E"/>
    <w:rsid w:val="003B079C"/>
    <w:rsid w:val="003B0972"/>
    <w:rsid w:val="003B0A1B"/>
    <w:rsid w:val="003B0A9C"/>
    <w:rsid w:val="003B0B79"/>
    <w:rsid w:val="003B0BEA"/>
    <w:rsid w:val="003B0E2F"/>
    <w:rsid w:val="003B0E6E"/>
    <w:rsid w:val="003B0EDA"/>
    <w:rsid w:val="003B101C"/>
    <w:rsid w:val="003B116A"/>
    <w:rsid w:val="003B1288"/>
    <w:rsid w:val="003B129C"/>
    <w:rsid w:val="003B142F"/>
    <w:rsid w:val="003B14B6"/>
    <w:rsid w:val="003B14BD"/>
    <w:rsid w:val="003B159F"/>
    <w:rsid w:val="003B15AC"/>
    <w:rsid w:val="003B1819"/>
    <w:rsid w:val="003B183B"/>
    <w:rsid w:val="003B1966"/>
    <w:rsid w:val="003B19EC"/>
    <w:rsid w:val="003B1A36"/>
    <w:rsid w:val="003B1B26"/>
    <w:rsid w:val="003B1B60"/>
    <w:rsid w:val="003B1CF0"/>
    <w:rsid w:val="003B1E0C"/>
    <w:rsid w:val="003B1E35"/>
    <w:rsid w:val="003B1E56"/>
    <w:rsid w:val="003B1F99"/>
    <w:rsid w:val="003B1F9B"/>
    <w:rsid w:val="003B226D"/>
    <w:rsid w:val="003B246A"/>
    <w:rsid w:val="003B251B"/>
    <w:rsid w:val="003B2527"/>
    <w:rsid w:val="003B2541"/>
    <w:rsid w:val="003B256A"/>
    <w:rsid w:val="003B25CB"/>
    <w:rsid w:val="003B2713"/>
    <w:rsid w:val="003B288C"/>
    <w:rsid w:val="003B28ED"/>
    <w:rsid w:val="003B2929"/>
    <w:rsid w:val="003B2B96"/>
    <w:rsid w:val="003B2C44"/>
    <w:rsid w:val="003B2DF3"/>
    <w:rsid w:val="003B2E20"/>
    <w:rsid w:val="003B2F65"/>
    <w:rsid w:val="003B2FE3"/>
    <w:rsid w:val="003B2FEA"/>
    <w:rsid w:val="003B31E2"/>
    <w:rsid w:val="003B3290"/>
    <w:rsid w:val="003B3322"/>
    <w:rsid w:val="003B3325"/>
    <w:rsid w:val="003B33FC"/>
    <w:rsid w:val="003B344F"/>
    <w:rsid w:val="003B345C"/>
    <w:rsid w:val="003B346C"/>
    <w:rsid w:val="003B35D6"/>
    <w:rsid w:val="003B35E0"/>
    <w:rsid w:val="003B3655"/>
    <w:rsid w:val="003B3847"/>
    <w:rsid w:val="003B3A92"/>
    <w:rsid w:val="003B3ACC"/>
    <w:rsid w:val="003B3B75"/>
    <w:rsid w:val="003B3BC2"/>
    <w:rsid w:val="003B3D20"/>
    <w:rsid w:val="003B3E28"/>
    <w:rsid w:val="003B3EA5"/>
    <w:rsid w:val="003B3EDF"/>
    <w:rsid w:val="003B3F71"/>
    <w:rsid w:val="003B4107"/>
    <w:rsid w:val="003B4215"/>
    <w:rsid w:val="003B42B9"/>
    <w:rsid w:val="003B431A"/>
    <w:rsid w:val="003B4320"/>
    <w:rsid w:val="003B434E"/>
    <w:rsid w:val="003B43AE"/>
    <w:rsid w:val="003B4460"/>
    <w:rsid w:val="003B464D"/>
    <w:rsid w:val="003B46B2"/>
    <w:rsid w:val="003B46EE"/>
    <w:rsid w:val="003B46F0"/>
    <w:rsid w:val="003B477D"/>
    <w:rsid w:val="003B4825"/>
    <w:rsid w:val="003B4841"/>
    <w:rsid w:val="003B4855"/>
    <w:rsid w:val="003B490D"/>
    <w:rsid w:val="003B4A0E"/>
    <w:rsid w:val="003B4AE5"/>
    <w:rsid w:val="003B4B0B"/>
    <w:rsid w:val="003B4B53"/>
    <w:rsid w:val="003B4BBC"/>
    <w:rsid w:val="003B4CF5"/>
    <w:rsid w:val="003B4DE6"/>
    <w:rsid w:val="003B4DF1"/>
    <w:rsid w:val="003B4E90"/>
    <w:rsid w:val="003B5008"/>
    <w:rsid w:val="003B500E"/>
    <w:rsid w:val="003B501C"/>
    <w:rsid w:val="003B5085"/>
    <w:rsid w:val="003B50D5"/>
    <w:rsid w:val="003B5190"/>
    <w:rsid w:val="003B5285"/>
    <w:rsid w:val="003B5290"/>
    <w:rsid w:val="003B52A8"/>
    <w:rsid w:val="003B533B"/>
    <w:rsid w:val="003B5354"/>
    <w:rsid w:val="003B54C6"/>
    <w:rsid w:val="003B5503"/>
    <w:rsid w:val="003B5753"/>
    <w:rsid w:val="003B5974"/>
    <w:rsid w:val="003B598F"/>
    <w:rsid w:val="003B59B8"/>
    <w:rsid w:val="003B59FE"/>
    <w:rsid w:val="003B5A18"/>
    <w:rsid w:val="003B5AEA"/>
    <w:rsid w:val="003B5BD6"/>
    <w:rsid w:val="003B5C9C"/>
    <w:rsid w:val="003B5F11"/>
    <w:rsid w:val="003B5F66"/>
    <w:rsid w:val="003B6115"/>
    <w:rsid w:val="003B6116"/>
    <w:rsid w:val="003B620F"/>
    <w:rsid w:val="003B63D4"/>
    <w:rsid w:val="003B644D"/>
    <w:rsid w:val="003B666D"/>
    <w:rsid w:val="003B67B2"/>
    <w:rsid w:val="003B69D0"/>
    <w:rsid w:val="003B6AF7"/>
    <w:rsid w:val="003B6B50"/>
    <w:rsid w:val="003B6CE3"/>
    <w:rsid w:val="003B6D9F"/>
    <w:rsid w:val="003B6DA8"/>
    <w:rsid w:val="003B6DCC"/>
    <w:rsid w:val="003B6E44"/>
    <w:rsid w:val="003B6EB0"/>
    <w:rsid w:val="003B6EE8"/>
    <w:rsid w:val="003B7095"/>
    <w:rsid w:val="003B714E"/>
    <w:rsid w:val="003B7248"/>
    <w:rsid w:val="003B7372"/>
    <w:rsid w:val="003B739D"/>
    <w:rsid w:val="003B7428"/>
    <w:rsid w:val="003B7446"/>
    <w:rsid w:val="003B7598"/>
    <w:rsid w:val="003B75A8"/>
    <w:rsid w:val="003B772E"/>
    <w:rsid w:val="003B779C"/>
    <w:rsid w:val="003B77CE"/>
    <w:rsid w:val="003B77EF"/>
    <w:rsid w:val="003B7853"/>
    <w:rsid w:val="003B7988"/>
    <w:rsid w:val="003B7A80"/>
    <w:rsid w:val="003B7AB6"/>
    <w:rsid w:val="003B7AEB"/>
    <w:rsid w:val="003B7C9B"/>
    <w:rsid w:val="003B7CCD"/>
    <w:rsid w:val="003B7D38"/>
    <w:rsid w:val="003B7E0F"/>
    <w:rsid w:val="003B7E7F"/>
    <w:rsid w:val="003B7F15"/>
    <w:rsid w:val="003B7F5B"/>
    <w:rsid w:val="003C00F7"/>
    <w:rsid w:val="003C03D6"/>
    <w:rsid w:val="003C0595"/>
    <w:rsid w:val="003C0825"/>
    <w:rsid w:val="003C0883"/>
    <w:rsid w:val="003C090F"/>
    <w:rsid w:val="003C0A0B"/>
    <w:rsid w:val="003C0A0F"/>
    <w:rsid w:val="003C0A24"/>
    <w:rsid w:val="003C0A8E"/>
    <w:rsid w:val="003C0AF8"/>
    <w:rsid w:val="003C0B60"/>
    <w:rsid w:val="003C0C5B"/>
    <w:rsid w:val="003C0CB4"/>
    <w:rsid w:val="003C0CB6"/>
    <w:rsid w:val="003C0D85"/>
    <w:rsid w:val="003C0F08"/>
    <w:rsid w:val="003C0F78"/>
    <w:rsid w:val="003C1013"/>
    <w:rsid w:val="003C10A5"/>
    <w:rsid w:val="003C110A"/>
    <w:rsid w:val="003C111E"/>
    <w:rsid w:val="003C11E8"/>
    <w:rsid w:val="003C127D"/>
    <w:rsid w:val="003C14DB"/>
    <w:rsid w:val="003C159C"/>
    <w:rsid w:val="003C1641"/>
    <w:rsid w:val="003C1647"/>
    <w:rsid w:val="003C169E"/>
    <w:rsid w:val="003C17E8"/>
    <w:rsid w:val="003C17EB"/>
    <w:rsid w:val="003C1848"/>
    <w:rsid w:val="003C18C7"/>
    <w:rsid w:val="003C1933"/>
    <w:rsid w:val="003C194B"/>
    <w:rsid w:val="003C19F9"/>
    <w:rsid w:val="003C1B55"/>
    <w:rsid w:val="003C1B5E"/>
    <w:rsid w:val="003C1B67"/>
    <w:rsid w:val="003C1BCE"/>
    <w:rsid w:val="003C1BDF"/>
    <w:rsid w:val="003C1CF6"/>
    <w:rsid w:val="003C1DB6"/>
    <w:rsid w:val="003C1E57"/>
    <w:rsid w:val="003C1E8B"/>
    <w:rsid w:val="003C1FE5"/>
    <w:rsid w:val="003C2077"/>
    <w:rsid w:val="003C20F6"/>
    <w:rsid w:val="003C216D"/>
    <w:rsid w:val="003C2243"/>
    <w:rsid w:val="003C24AB"/>
    <w:rsid w:val="003C24F8"/>
    <w:rsid w:val="003C2509"/>
    <w:rsid w:val="003C2558"/>
    <w:rsid w:val="003C2635"/>
    <w:rsid w:val="003C264D"/>
    <w:rsid w:val="003C2715"/>
    <w:rsid w:val="003C2724"/>
    <w:rsid w:val="003C274E"/>
    <w:rsid w:val="003C276E"/>
    <w:rsid w:val="003C27F2"/>
    <w:rsid w:val="003C2830"/>
    <w:rsid w:val="003C288C"/>
    <w:rsid w:val="003C2A0F"/>
    <w:rsid w:val="003C2B26"/>
    <w:rsid w:val="003C2BA8"/>
    <w:rsid w:val="003C2D47"/>
    <w:rsid w:val="003C2D99"/>
    <w:rsid w:val="003C311E"/>
    <w:rsid w:val="003C3187"/>
    <w:rsid w:val="003C3254"/>
    <w:rsid w:val="003C32CD"/>
    <w:rsid w:val="003C3337"/>
    <w:rsid w:val="003C34B8"/>
    <w:rsid w:val="003C34F2"/>
    <w:rsid w:val="003C3717"/>
    <w:rsid w:val="003C37EC"/>
    <w:rsid w:val="003C380C"/>
    <w:rsid w:val="003C3818"/>
    <w:rsid w:val="003C381E"/>
    <w:rsid w:val="003C3907"/>
    <w:rsid w:val="003C3965"/>
    <w:rsid w:val="003C3AFE"/>
    <w:rsid w:val="003C3C93"/>
    <w:rsid w:val="003C3C96"/>
    <w:rsid w:val="003C3CAF"/>
    <w:rsid w:val="003C3CEF"/>
    <w:rsid w:val="003C3DFA"/>
    <w:rsid w:val="003C3E1F"/>
    <w:rsid w:val="003C3EEE"/>
    <w:rsid w:val="003C3FDD"/>
    <w:rsid w:val="003C3FE2"/>
    <w:rsid w:val="003C40E0"/>
    <w:rsid w:val="003C40F0"/>
    <w:rsid w:val="003C41E4"/>
    <w:rsid w:val="003C41EC"/>
    <w:rsid w:val="003C41F4"/>
    <w:rsid w:val="003C424D"/>
    <w:rsid w:val="003C42CA"/>
    <w:rsid w:val="003C42D0"/>
    <w:rsid w:val="003C4350"/>
    <w:rsid w:val="003C43FC"/>
    <w:rsid w:val="003C4489"/>
    <w:rsid w:val="003C44C7"/>
    <w:rsid w:val="003C451E"/>
    <w:rsid w:val="003C4542"/>
    <w:rsid w:val="003C4548"/>
    <w:rsid w:val="003C4554"/>
    <w:rsid w:val="003C46CD"/>
    <w:rsid w:val="003C475A"/>
    <w:rsid w:val="003C47AD"/>
    <w:rsid w:val="003C47C2"/>
    <w:rsid w:val="003C483A"/>
    <w:rsid w:val="003C4882"/>
    <w:rsid w:val="003C48A8"/>
    <w:rsid w:val="003C4974"/>
    <w:rsid w:val="003C49B5"/>
    <w:rsid w:val="003C4AC1"/>
    <w:rsid w:val="003C4AD1"/>
    <w:rsid w:val="003C4B4D"/>
    <w:rsid w:val="003C4BC3"/>
    <w:rsid w:val="003C4D5A"/>
    <w:rsid w:val="003C4E3F"/>
    <w:rsid w:val="003C4F00"/>
    <w:rsid w:val="003C5294"/>
    <w:rsid w:val="003C54DE"/>
    <w:rsid w:val="003C5589"/>
    <w:rsid w:val="003C558D"/>
    <w:rsid w:val="003C5655"/>
    <w:rsid w:val="003C566C"/>
    <w:rsid w:val="003C5679"/>
    <w:rsid w:val="003C57C2"/>
    <w:rsid w:val="003C57E9"/>
    <w:rsid w:val="003C57FB"/>
    <w:rsid w:val="003C5A67"/>
    <w:rsid w:val="003C5ACB"/>
    <w:rsid w:val="003C5B04"/>
    <w:rsid w:val="003C5C0F"/>
    <w:rsid w:val="003C5C17"/>
    <w:rsid w:val="003C5CBF"/>
    <w:rsid w:val="003C5D19"/>
    <w:rsid w:val="003C5EDB"/>
    <w:rsid w:val="003C5EE2"/>
    <w:rsid w:val="003C5F45"/>
    <w:rsid w:val="003C5F73"/>
    <w:rsid w:val="003C5FAF"/>
    <w:rsid w:val="003C6268"/>
    <w:rsid w:val="003C6308"/>
    <w:rsid w:val="003C635A"/>
    <w:rsid w:val="003C646F"/>
    <w:rsid w:val="003C647B"/>
    <w:rsid w:val="003C6563"/>
    <w:rsid w:val="003C65EE"/>
    <w:rsid w:val="003C6609"/>
    <w:rsid w:val="003C669F"/>
    <w:rsid w:val="003C6772"/>
    <w:rsid w:val="003C67D5"/>
    <w:rsid w:val="003C6874"/>
    <w:rsid w:val="003C69D7"/>
    <w:rsid w:val="003C69E2"/>
    <w:rsid w:val="003C6A14"/>
    <w:rsid w:val="003C6AF2"/>
    <w:rsid w:val="003C6B46"/>
    <w:rsid w:val="003C6BA3"/>
    <w:rsid w:val="003C6D3D"/>
    <w:rsid w:val="003C6D7E"/>
    <w:rsid w:val="003C6D85"/>
    <w:rsid w:val="003C6EBC"/>
    <w:rsid w:val="003C714E"/>
    <w:rsid w:val="003C7167"/>
    <w:rsid w:val="003C7195"/>
    <w:rsid w:val="003C7281"/>
    <w:rsid w:val="003C72D8"/>
    <w:rsid w:val="003C72E2"/>
    <w:rsid w:val="003C72FD"/>
    <w:rsid w:val="003C73A4"/>
    <w:rsid w:val="003C74E1"/>
    <w:rsid w:val="003C75DC"/>
    <w:rsid w:val="003C770D"/>
    <w:rsid w:val="003C7822"/>
    <w:rsid w:val="003C7839"/>
    <w:rsid w:val="003C78F0"/>
    <w:rsid w:val="003C798E"/>
    <w:rsid w:val="003C799B"/>
    <w:rsid w:val="003C799E"/>
    <w:rsid w:val="003C79A1"/>
    <w:rsid w:val="003C79D4"/>
    <w:rsid w:val="003C7A5A"/>
    <w:rsid w:val="003C7A8E"/>
    <w:rsid w:val="003C7C06"/>
    <w:rsid w:val="003C7C28"/>
    <w:rsid w:val="003C7D6C"/>
    <w:rsid w:val="003C7D7B"/>
    <w:rsid w:val="003C7D94"/>
    <w:rsid w:val="003C7DCE"/>
    <w:rsid w:val="003C7EE0"/>
    <w:rsid w:val="003C7F4A"/>
    <w:rsid w:val="003D00DB"/>
    <w:rsid w:val="003D0103"/>
    <w:rsid w:val="003D0153"/>
    <w:rsid w:val="003D0232"/>
    <w:rsid w:val="003D02B8"/>
    <w:rsid w:val="003D04E2"/>
    <w:rsid w:val="003D060B"/>
    <w:rsid w:val="003D0644"/>
    <w:rsid w:val="003D0690"/>
    <w:rsid w:val="003D0719"/>
    <w:rsid w:val="003D08A8"/>
    <w:rsid w:val="003D08E5"/>
    <w:rsid w:val="003D09DC"/>
    <w:rsid w:val="003D09ED"/>
    <w:rsid w:val="003D0A98"/>
    <w:rsid w:val="003D0CDF"/>
    <w:rsid w:val="003D0D33"/>
    <w:rsid w:val="003D0E5E"/>
    <w:rsid w:val="003D0E6F"/>
    <w:rsid w:val="003D0F13"/>
    <w:rsid w:val="003D0FC3"/>
    <w:rsid w:val="003D0FCB"/>
    <w:rsid w:val="003D0FD7"/>
    <w:rsid w:val="003D1050"/>
    <w:rsid w:val="003D10E6"/>
    <w:rsid w:val="003D1146"/>
    <w:rsid w:val="003D1149"/>
    <w:rsid w:val="003D1170"/>
    <w:rsid w:val="003D11D8"/>
    <w:rsid w:val="003D11FB"/>
    <w:rsid w:val="003D1361"/>
    <w:rsid w:val="003D13DB"/>
    <w:rsid w:val="003D13F3"/>
    <w:rsid w:val="003D13FE"/>
    <w:rsid w:val="003D15F0"/>
    <w:rsid w:val="003D163B"/>
    <w:rsid w:val="003D17C6"/>
    <w:rsid w:val="003D187D"/>
    <w:rsid w:val="003D18E4"/>
    <w:rsid w:val="003D18EA"/>
    <w:rsid w:val="003D1967"/>
    <w:rsid w:val="003D1AAC"/>
    <w:rsid w:val="003D1AFC"/>
    <w:rsid w:val="003D1B70"/>
    <w:rsid w:val="003D1B73"/>
    <w:rsid w:val="003D1B92"/>
    <w:rsid w:val="003D1C1A"/>
    <w:rsid w:val="003D1C57"/>
    <w:rsid w:val="003D1EA7"/>
    <w:rsid w:val="003D1FE4"/>
    <w:rsid w:val="003D210E"/>
    <w:rsid w:val="003D211C"/>
    <w:rsid w:val="003D21B1"/>
    <w:rsid w:val="003D222C"/>
    <w:rsid w:val="003D2272"/>
    <w:rsid w:val="003D2296"/>
    <w:rsid w:val="003D22E8"/>
    <w:rsid w:val="003D230B"/>
    <w:rsid w:val="003D2502"/>
    <w:rsid w:val="003D254D"/>
    <w:rsid w:val="003D257E"/>
    <w:rsid w:val="003D25F0"/>
    <w:rsid w:val="003D27A6"/>
    <w:rsid w:val="003D27E0"/>
    <w:rsid w:val="003D27F6"/>
    <w:rsid w:val="003D2995"/>
    <w:rsid w:val="003D29E6"/>
    <w:rsid w:val="003D2A32"/>
    <w:rsid w:val="003D2A3A"/>
    <w:rsid w:val="003D2B5E"/>
    <w:rsid w:val="003D2CA4"/>
    <w:rsid w:val="003D2D01"/>
    <w:rsid w:val="003D2E0C"/>
    <w:rsid w:val="003D2EAF"/>
    <w:rsid w:val="003D2F39"/>
    <w:rsid w:val="003D301C"/>
    <w:rsid w:val="003D30C7"/>
    <w:rsid w:val="003D30CC"/>
    <w:rsid w:val="003D31B0"/>
    <w:rsid w:val="003D3204"/>
    <w:rsid w:val="003D3232"/>
    <w:rsid w:val="003D3381"/>
    <w:rsid w:val="003D3393"/>
    <w:rsid w:val="003D33CB"/>
    <w:rsid w:val="003D34D5"/>
    <w:rsid w:val="003D3596"/>
    <w:rsid w:val="003D36EB"/>
    <w:rsid w:val="003D3778"/>
    <w:rsid w:val="003D396D"/>
    <w:rsid w:val="003D39EA"/>
    <w:rsid w:val="003D3A4F"/>
    <w:rsid w:val="003D3A96"/>
    <w:rsid w:val="003D3B9E"/>
    <w:rsid w:val="003D3CA1"/>
    <w:rsid w:val="003D3D12"/>
    <w:rsid w:val="003D3D8D"/>
    <w:rsid w:val="003D3DF3"/>
    <w:rsid w:val="003D3E36"/>
    <w:rsid w:val="003D3EA2"/>
    <w:rsid w:val="003D3EC2"/>
    <w:rsid w:val="003D3FB2"/>
    <w:rsid w:val="003D4147"/>
    <w:rsid w:val="003D4169"/>
    <w:rsid w:val="003D418F"/>
    <w:rsid w:val="003D4234"/>
    <w:rsid w:val="003D4285"/>
    <w:rsid w:val="003D42AA"/>
    <w:rsid w:val="003D42E7"/>
    <w:rsid w:val="003D4345"/>
    <w:rsid w:val="003D43B8"/>
    <w:rsid w:val="003D464B"/>
    <w:rsid w:val="003D46EA"/>
    <w:rsid w:val="003D47B6"/>
    <w:rsid w:val="003D47DB"/>
    <w:rsid w:val="003D4800"/>
    <w:rsid w:val="003D48AB"/>
    <w:rsid w:val="003D48B9"/>
    <w:rsid w:val="003D4B34"/>
    <w:rsid w:val="003D4C43"/>
    <w:rsid w:val="003D4E94"/>
    <w:rsid w:val="003D5231"/>
    <w:rsid w:val="003D5338"/>
    <w:rsid w:val="003D542A"/>
    <w:rsid w:val="003D5452"/>
    <w:rsid w:val="003D5514"/>
    <w:rsid w:val="003D5595"/>
    <w:rsid w:val="003D56E6"/>
    <w:rsid w:val="003D575E"/>
    <w:rsid w:val="003D57B3"/>
    <w:rsid w:val="003D5817"/>
    <w:rsid w:val="003D585A"/>
    <w:rsid w:val="003D5A4C"/>
    <w:rsid w:val="003D5BE3"/>
    <w:rsid w:val="003D5C93"/>
    <w:rsid w:val="003D5DBF"/>
    <w:rsid w:val="003D5ED7"/>
    <w:rsid w:val="003D5FC4"/>
    <w:rsid w:val="003D6165"/>
    <w:rsid w:val="003D6235"/>
    <w:rsid w:val="003D62CD"/>
    <w:rsid w:val="003D63BF"/>
    <w:rsid w:val="003D63D8"/>
    <w:rsid w:val="003D63F1"/>
    <w:rsid w:val="003D642F"/>
    <w:rsid w:val="003D655A"/>
    <w:rsid w:val="003D657D"/>
    <w:rsid w:val="003D6591"/>
    <w:rsid w:val="003D6597"/>
    <w:rsid w:val="003D65DA"/>
    <w:rsid w:val="003D6631"/>
    <w:rsid w:val="003D669E"/>
    <w:rsid w:val="003D66DD"/>
    <w:rsid w:val="003D674C"/>
    <w:rsid w:val="003D6761"/>
    <w:rsid w:val="003D67CF"/>
    <w:rsid w:val="003D67E8"/>
    <w:rsid w:val="003D685B"/>
    <w:rsid w:val="003D68C1"/>
    <w:rsid w:val="003D68DB"/>
    <w:rsid w:val="003D6A47"/>
    <w:rsid w:val="003D6B48"/>
    <w:rsid w:val="003D6D70"/>
    <w:rsid w:val="003D6DB0"/>
    <w:rsid w:val="003D6DD7"/>
    <w:rsid w:val="003D6EA9"/>
    <w:rsid w:val="003D6ED9"/>
    <w:rsid w:val="003D7046"/>
    <w:rsid w:val="003D722C"/>
    <w:rsid w:val="003D727C"/>
    <w:rsid w:val="003D7340"/>
    <w:rsid w:val="003D7341"/>
    <w:rsid w:val="003D751C"/>
    <w:rsid w:val="003D752F"/>
    <w:rsid w:val="003D76A9"/>
    <w:rsid w:val="003D76AA"/>
    <w:rsid w:val="003D76B0"/>
    <w:rsid w:val="003D776E"/>
    <w:rsid w:val="003D7B84"/>
    <w:rsid w:val="003D7C0F"/>
    <w:rsid w:val="003D7C8C"/>
    <w:rsid w:val="003D7D51"/>
    <w:rsid w:val="003D7E83"/>
    <w:rsid w:val="003D7EA6"/>
    <w:rsid w:val="003D7F36"/>
    <w:rsid w:val="003E008C"/>
    <w:rsid w:val="003E0111"/>
    <w:rsid w:val="003E01ED"/>
    <w:rsid w:val="003E028F"/>
    <w:rsid w:val="003E03A3"/>
    <w:rsid w:val="003E04C0"/>
    <w:rsid w:val="003E04DC"/>
    <w:rsid w:val="003E05DF"/>
    <w:rsid w:val="003E060A"/>
    <w:rsid w:val="003E0720"/>
    <w:rsid w:val="003E078A"/>
    <w:rsid w:val="003E07FB"/>
    <w:rsid w:val="003E0806"/>
    <w:rsid w:val="003E0813"/>
    <w:rsid w:val="003E0858"/>
    <w:rsid w:val="003E0873"/>
    <w:rsid w:val="003E0895"/>
    <w:rsid w:val="003E08EE"/>
    <w:rsid w:val="003E09BA"/>
    <w:rsid w:val="003E0AF2"/>
    <w:rsid w:val="003E0B26"/>
    <w:rsid w:val="003E0B62"/>
    <w:rsid w:val="003E0B6D"/>
    <w:rsid w:val="003E0BB3"/>
    <w:rsid w:val="003E0BE8"/>
    <w:rsid w:val="003E0D64"/>
    <w:rsid w:val="003E0E54"/>
    <w:rsid w:val="003E0E97"/>
    <w:rsid w:val="003E0F98"/>
    <w:rsid w:val="003E1023"/>
    <w:rsid w:val="003E10FA"/>
    <w:rsid w:val="003E1238"/>
    <w:rsid w:val="003E123A"/>
    <w:rsid w:val="003E125F"/>
    <w:rsid w:val="003E126A"/>
    <w:rsid w:val="003E12A7"/>
    <w:rsid w:val="003E131E"/>
    <w:rsid w:val="003E1434"/>
    <w:rsid w:val="003E14FC"/>
    <w:rsid w:val="003E166B"/>
    <w:rsid w:val="003E1683"/>
    <w:rsid w:val="003E168D"/>
    <w:rsid w:val="003E18E8"/>
    <w:rsid w:val="003E18F8"/>
    <w:rsid w:val="003E1A4D"/>
    <w:rsid w:val="003E1A59"/>
    <w:rsid w:val="003E1AE1"/>
    <w:rsid w:val="003E1B0A"/>
    <w:rsid w:val="003E1C03"/>
    <w:rsid w:val="003E1C15"/>
    <w:rsid w:val="003E1D26"/>
    <w:rsid w:val="003E1E35"/>
    <w:rsid w:val="003E1E98"/>
    <w:rsid w:val="003E204E"/>
    <w:rsid w:val="003E2194"/>
    <w:rsid w:val="003E21BE"/>
    <w:rsid w:val="003E2221"/>
    <w:rsid w:val="003E225F"/>
    <w:rsid w:val="003E2308"/>
    <w:rsid w:val="003E23A2"/>
    <w:rsid w:val="003E2405"/>
    <w:rsid w:val="003E255A"/>
    <w:rsid w:val="003E2655"/>
    <w:rsid w:val="003E26D9"/>
    <w:rsid w:val="003E2715"/>
    <w:rsid w:val="003E2873"/>
    <w:rsid w:val="003E28D3"/>
    <w:rsid w:val="003E2907"/>
    <w:rsid w:val="003E2A46"/>
    <w:rsid w:val="003E2B3E"/>
    <w:rsid w:val="003E2BB5"/>
    <w:rsid w:val="003E2BC1"/>
    <w:rsid w:val="003E2BCF"/>
    <w:rsid w:val="003E2BDC"/>
    <w:rsid w:val="003E2BF3"/>
    <w:rsid w:val="003E2C27"/>
    <w:rsid w:val="003E2C38"/>
    <w:rsid w:val="003E2C5D"/>
    <w:rsid w:val="003E2D73"/>
    <w:rsid w:val="003E2EF5"/>
    <w:rsid w:val="003E2F2B"/>
    <w:rsid w:val="003E3117"/>
    <w:rsid w:val="003E31D6"/>
    <w:rsid w:val="003E31F0"/>
    <w:rsid w:val="003E3391"/>
    <w:rsid w:val="003E33E4"/>
    <w:rsid w:val="003E3438"/>
    <w:rsid w:val="003E352D"/>
    <w:rsid w:val="003E3577"/>
    <w:rsid w:val="003E35FD"/>
    <w:rsid w:val="003E36E4"/>
    <w:rsid w:val="003E36F3"/>
    <w:rsid w:val="003E36FE"/>
    <w:rsid w:val="003E3745"/>
    <w:rsid w:val="003E37C1"/>
    <w:rsid w:val="003E37F0"/>
    <w:rsid w:val="003E397B"/>
    <w:rsid w:val="003E3A0D"/>
    <w:rsid w:val="003E3A6A"/>
    <w:rsid w:val="003E3A71"/>
    <w:rsid w:val="003E3AC7"/>
    <w:rsid w:val="003E3B6C"/>
    <w:rsid w:val="003E3BB3"/>
    <w:rsid w:val="003E3C69"/>
    <w:rsid w:val="003E3E1C"/>
    <w:rsid w:val="003E3E7A"/>
    <w:rsid w:val="003E409E"/>
    <w:rsid w:val="003E40FA"/>
    <w:rsid w:val="003E410A"/>
    <w:rsid w:val="003E419A"/>
    <w:rsid w:val="003E41A0"/>
    <w:rsid w:val="003E4207"/>
    <w:rsid w:val="003E42BA"/>
    <w:rsid w:val="003E438F"/>
    <w:rsid w:val="003E4426"/>
    <w:rsid w:val="003E4469"/>
    <w:rsid w:val="003E4561"/>
    <w:rsid w:val="003E4681"/>
    <w:rsid w:val="003E4924"/>
    <w:rsid w:val="003E4A99"/>
    <w:rsid w:val="003E4AFC"/>
    <w:rsid w:val="003E4B05"/>
    <w:rsid w:val="003E4CCD"/>
    <w:rsid w:val="003E4E01"/>
    <w:rsid w:val="003E4E12"/>
    <w:rsid w:val="003E4E27"/>
    <w:rsid w:val="003E4E39"/>
    <w:rsid w:val="003E4EDA"/>
    <w:rsid w:val="003E4FCA"/>
    <w:rsid w:val="003E5079"/>
    <w:rsid w:val="003E5150"/>
    <w:rsid w:val="003E524C"/>
    <w:rsid w:val="003E52D7"/>
    <w:rsid w:val="003E5381"/>
    <w:rsid w:val="003E53D6"/>
    <w:rsid w:val="003E5491"/>
    <w:rsid w:val="003E54A6"/>
    <w:rsid w:val="003E54B3"/>
    <w:rsid w:val="003E54D6"/>
    <w:rsid w:val="003E557E"/>
    <w:rsid w:val="003E558A"/>
    <w:rsid w:val="003E55C5"/>
    <w:rsid w:val="003E568D"/>
    <w:rsid w:val="003E56FA"/>
    <w:rsid w:val="003E5721"/>
    <w:rsid w:val="003E575D"/>
    <w:rsid w:val="003E5938"/>
    <w:rsid w:val="003E5940"/>
    <w:rsid w:val="003E59A1"/>
    <w:rsid w:val="003E59DD"/>
    <w:rsid w:val="003E5BE7"/>
    <w:rsid w:val="003E5C7D"/>
    <w:rsid w:val="003E5D2C"/>
    <w:rsid w:val="003E5ED8"/>
    <w:rsid w:val="003E5F49"/>
    <w:rsid w:val="003E5FBC"/>
    <w:rsid w:val="003E5FDF"/>
    <w:rsid w:val="003E6047"/>
    <w:rsid w:val="003E60AF"/>
    <w:rsid w:val="003E61E7"/>
    <w:rsid w:val="003E6297"/>
    <w:rsid w:val="003E6426"/>
    <w:rsid w:val="003E6486"/>
    <w:rsid w:val="003E64D8"/>
    <w:rsid w:val="003E6713"/>
    <w:rsid w:val="003E682D"/>
    <w:rsid w:val="003E6910"/>
    <w:rsid w:val="003E6ABD"/>
    <w:rsid w:val="003E6B06"/>
    <w:rsid w:val="003E6BCA"/>
    <w:rsid w:val="003E6C9D"/>
    <w:rsid w:val="003E6DCA"/>
    <w:rsid w:val="003E6E04"/>
    <w:rsid w:val="003E6EF6"/>
    <w:rsid w:val="003E6F92"/>
    <w:rsid w:val="003E6FA3"/>
    <w:rsid w:val="003E7013"/>
    <w:rsid w:val="003E70A6"/>
    <w:rsid w:val="003E70F6"/>
    <w:rsid w:val="003E71E5"/>
    <w:rsid w:val="003E72C4"/>
    <w:rsid w:val="003E7341"/>
    <w:rsid w:val="003E73B4"/>
    <w:rsid w:val="003E7408"/>
    <w:rsid w:val="003E7530"/>
    <w:rsid w:val="003E753F"/>
    <w:rsid w:val="003E7567"/>
    <w:rsid w:val="003E75F6"/>
    <w:rsid w:val="003E76D5"/>
    <w:rsid w:val="003E76FA"/>
    <w:rsid w:val="003E778F"/>
    <w:rsid w:val="003E7A9C"/>
    <w:rsid w:val="003E7C3C"/>
    <w:rsid w:val="003E7DC7"/>
    <w:rsid w:val="003E7E08"/>
    <w:rsid w:val="003E7F5D"/>
    <w:rsid w:val="003E7FB8"/>
    <w:rsid w:val="003E7FC1"/>
    <w:rsid w:val="003F0160"/>
    <w:rsid w:val="003F01A7"/>
    <w:rsid w:val="003F025F"/>
    <w:rsid w:val="003F037B"/>
    <w:rsid w:val="003F037E"/>
    <w:rsid w:val="003F038E"/>
    <w:rsid w:val="003F039E"/>
    <w:rsid w:val="003F0450"/>
    <w:rsid w:val="003F0472"/>
    <w:rsid w:val="003F047D"/>
    <w:rsid w:val="003F057F"/>
    <w:rsid w:val="003F061A"/>
    <w:rsid w:val="003F076B"/>
    <w:rsid w:val="003F07AD"/>
    <w:rsid w:val="003F0855"/>
    <w:rsid w:val="003F0862"/>
    <w:rsid w:val="003F09B6"/>
    <w:rsid w:val="003F0A8D"/>
    <w:rsid w:val="003F0B02"/>
    <w:rsid w:val="003F0C12"/>
    <w:rsid w:val="003F0D52"/>
    <w:rsid w:val="003F0D6C"/>
    <w:rsid w:val="003F0DB4"/>
    <w:rsid w:val="003F0F34"/>
    <w:rsid w:val="003F101B"/>
    <w:rsid w:val="003F1024"/>
    <w:rsid w:val="003F1189"/>
    <w:rsid w:val="003F11BC"/>
    <w:rsid w:val="003F12F3"/>
    <w:rsid w:val="003F13B0"/>
    <w:rsid w:val="003F15C0"/>
    <w:rsid w:val="003F1675"/>
    <w:rsid w:val="003F1697"/>
    <w:rsid w:val="003F16D3"/>
    <w:rsid w:val="003F17D0"/>
    <w:rsid w:val="003F17E8"/>
    <w:rsid w:val="003F181B"/>
    <w:rsid w:val="003F181F"/>
    <w:rsid w:val="003F183B"/>
    <w:rsid w:val="003F1892"/>
    <w:rsid w:val="003F18AD"/>
    <w:rsid w:val="003F19EF"/>
    <w:rsid w:val="003F1A27"/>
    <w:rsid w:val="003F1CF6"/>
    <w:rsid w:val="003F1D48"/>
    <w:rsid w:val="003F1E04"/>
    <w:rsid w:val="003F1E8A"/>
    <w:rsid w:val="003F1ED7"/>
    <w:rsid w:val="003F1F7E"/>
    <w:rsid w:val="003F1FBE"/>
    <w:rsid w:val="003F219C"/>
    <w:rsid w:val="003F22A6"/>
    <w:rsid w:val="003F2304"/>
    <w:rsid w:val="003F236A"/>
    <w:rsid w:val="003F237E"/>
    <w:rsid w:val="003F2539"/>
    <w:rsid w:val="003F2561"/>
    <w:rsid w:val="003F25F8"/>
    <w:rsid w:val="003F260E"/>
    <w:rsid w:val="003F268C"/>
    <w:rsid w:val="003F26A7"/>
    <w:rsid w:val="003F2730"/>
    <w:rsid w:val="003F27A2"/>
    <w:rsid w:val="003F27BA"/>
    <w:rsid w:val="003F27D3"/>
    <w:rsid w:val="003F2911"/>
    <w:rsid w:val="003F293E"/>
    <w:rsid w:val="003F2987"/>
    <w:rsid w:val="003F29C9"/>
    <w:rsid w:val="003F29F9"/>
    <w:rsid w:val="003F2A31"/>
    <w:rsid w:val="003F2A51"/>
    <w:rsid w:val="003F2AA5"/>
    <w:rsid w:val="003F2ACB"/>
    <w:rsid w:val="003F2AD3"/>
    <w:rsid w:val="003F2BA3"/>
    <w:rsid w:val="003F2C0A"/>
    <w:rsid w:val="003F2C96"/>
    <w:rsid w:val="003F2CA2"/>
    <w:rsid w:val="003F2D76"/>
    <w:rsid w:val="003F2E95"/>
    <w:rsid w:val="003F2F6D"/>
    <w:rsid w:val="003F2FB6"/>
    <w:rsid w:val="003F3000"/>
    <w:rsid w:val="003F30CF"/>
    <w:rsid w:val="003F3272"/>
    <w:rsid w:val="003F32CB"/>
    <w:rsid w:val="003F337B"/>
    <w:rsid w:val="003F33CD"/>
    <w:rsid w:val="003F3447"/>
    <w:rsid w:val="003F34A0"/>
    <w:rsid w:val="003F350C"/>
    <w:rsid w:val="003F354B"/>
    <w:rsid w:val="003F35B7"/>
    <w:rsid w:val="003F3652"/>
    <w:rsid w:val="003F365B"/>
    <w:rsid w:val="003F36FB"/>
    <w:rsid w:val="003F379A"/>
    <w:rsid w:val="003F37BA"/>
    <w:rsid w:val="003F37E7"/>
    <w:rsid w:val="003F3889"/>
    <w:rsid w:val="003F38B8"/>
    <w:rsid w:val="003F38C8"/>
    <w:rsid w:val="003F3960"/>
    <w:rsid w:val="003F3993"/>
    <w:rsid w:val="003F3AA7"/>
    <w:rsid w:val="003F3B96"/>
    <w:rsid w:val="003F3BD2"/>
    <w:rsid w:val="003F3BEA"/>
    <w:rsid w:val="003F3CB6"/>
    <w:rsid w:val="003F3E19"/>
    <w:rsid w:val="003F3E6F"/>
    <w:rsid w:val="003F3F16"/>
    <w:rsid w:val="003F3F34"/>
    <w:rsid w:val="003F402F"/>
    <w:rsid w:val="003F4232"/>
    <w:rsid w:val="003F42D5"/>
    <w:rsid w:val="003F4344"/>
    <w:rsid w:val="003F4351"/>
    <w:rsid w:val="003F43B4"/>
    <w:rsid w:val="003F4409"/>
    <w:rsid w:val="003F4478"/>
    <w:rsid w:val="003F449C"/>
    <w:rsid w:val="003F482F"/>
    <w:rsid w:val="003F48E0"/>
    <w:rsid w:val="003F49AB"/>
    <w:rsid w:val="003F4A89"/>
    <w:rsid w:val="003F4B06"/>
    <w:rsid w:val="003F4BEA"/>
    <w:rsid w:val="003F4CA8"/>
    <w:rsid w:val="003F4CBD"/>
    <w:rsid w:val="003F4CCE"/>
    <w:rsid w:val="003F4D89"/>
    <w:rsid w:val="003F4D90"/>
    <w:rsid w:val="003F4F20"/>
    <w:rsid w:val="003F4F9C"/>
    <w:rsid w:val="003F4FDE"/>
    <w:rsid w:val="003F5081"/>
    <w:rsid w:val="003F50DE"/>
    <w:rsid w:val="003F5129"/>
    <w:rsid w:val="003F51D7"/>
    <w:rsid w:val="003F51EE"/>
    <w:rsid w:val="003F5331"/>
    <w:rsid w:val="003F5345"/>
    <w:rsid w:val="003F53F7"/>
    <w:rsid w:val="003F549E"/>
    <w:rsid w:val="003F54FB"/>
    <w:rsid w:val="003F5553"/>
    <w:rsid w:val="003F558C"/>
    <w:rsid w:val="003F55EA"/>
    <w:rsid w:val="003F5763"/>
    <w:rsid w:val="003F58EE"/>
    <w:rsid w:val="003F5963"/>
    <w:rsid w:val="003F59DE"/>
    <w:rsid w:val="003F5A8B"/>
    <w:rsid w:val="003F5B9B"/>
    <w:rsid w:val="003F5C58"/>
    <w:rsid w:val="003F5CAD"/>
    <w:rsid w:val="003F5CF6"/>
    <w:rsid w:val="003F5DD3"/>
    <w:rsid w:val="003F5EC6"/>
    <w:rsid w:val="003F5F50"/>
    <w:rsid w:val="003F60DC"/>
    <w:rsid w:val="003F60E0"/>
    <w:rsid w:val="003F61D4"/>
    <w:rsid w:val="003F62AE"/>
    <w:rsid w:val="003F62F9"/>
    <w:rsid w:val="003F632A"/>
    <w:rsid w:val="003F65A1"/>
    <w:rsid w:val="003F6652"/>
    <w:rsid w:val="003F66BA"/>
    <w:rsid w:val="003F67B0"/>
    <w:rsid w:val="003F689B"/>
    <w:rsid w:val="003F68FC"/>
    <w:rsid w:val="003F6951"/>
    <w:rsid w:val="003F6AFC"/>
    <w:rsid w:val="003F6B5D"/>
    <w:rsid w:val="003F6FA5"/>
    <w:rsid w:val="003F7009"/>
    <w:rsid w:val="003F7078"/>
    <w:rsid w:val="003F70B7"/>
    <w:rsid w:val="003F70B8"/>
    <w:rsid w:val="003F715F"/>
    <w:rsid w:val="003F717F"/>
    <w:rsid w:val="003F7202"/>
    <w:rsid w:val="003F7565"/>
    <w:rsid w:val="003F75B1"/>
    <w:rsid w:val="003F7618"/>
    <w:rsid w:val="003F768A"/>
    <w:rsid w:val="003F7785"/>
    <w:rsid w:val="003F780C"/>
    <w:rsid w:val="003F794C"/>
    <w:rsid w:val="003F79E7"/>
    <w:rsid w:val="003F7A07"/>
    <w:rsid w:val="003F7A3D"/>
    <w:rsid w:val="003F7A70"/>
    <w:rsid w:val="003F7B48"/>
    <w:rsid w:val="003F7B5B"/>
    <w:rsid w:val="003F7BD8"/>
    <w:rsid w:val="003F7D71"/>
    <w:rsid w:val="003F7DC4"/>
    <w:rsid w:val="003F7E22"/>
    <w:rsid w:val="003F7EB3"/>
    <w:rsid w:val="003F7F9B"/>
    <w:rsid w:val="00400106"/>
    <w:rsid w:val="004002C3"/>
    <w:rsid w:val="00400328"/>
    <w:rsid w:val="00400476"/>
    <w:rsid w:val="004004C1"/>
    <w:rsid w:val="0040052D"/>
    <w:rsid w:val="00400592"/>
    <w:rsid w:val="004005C1"/>
    <w:rsid w:val="0040066B"/>
    <w:rsid w:val="00400784"/>
    <w:rsid w:val="004009E1"/>
    <w:rsid w:val="00400ADD"/>
    <w:rsid w:val="00400BD5"/>
    <w:rsid w:val="00400D99"/>
    <w:rsid w:val="00400E62"/>
    <w:rsid w:val="00400EB4"/>
    <w:rsid w:val="00400EF5"/>
    <w:rsid w:val="00400F27"/>
    <w:rsid w:val="00400F6B"/>
    <w:rsid w:val="00400FBD"/>
    <w:rsid w:val="00401183"/>
    <w:rsid w:val="004011C3"/>
    <w:rsid w:val="00401262"/>
    <w:rsid w:val="00401287"/>
    <w:rsid w:val="004012E7"/>
    <w:rsid w:val="0040133B"/>
    <w:rsid w:val="00401584"/>
    <w:rsid w:val="00401593"/>
    <w:rsid w:val="00401596"/>
    <w:rsid w:val="00401796"/>
    <w:rsid w:val="00401819"/>
    <w:rsid w:val="00401835"/>
    <w:rsid w:val="00401893"/>
    <w:rsid w:val="004018D5"/>
    <w:rsid w:val="00401927"/>
    <w:rsid w:val="00401AAB"/>
    <w:rsid w:val="00401C70"/>
    <w:rsid w:val="00401D45"/>
    <w:rsid w:val="00401D66"/>
    <w:rsid w:val="00401EEB"/>
    <w:rsid w:val="00401FD4"/>
    <w:rsid w:val="00402035"/>
    <w:rsid w:val="00402060"/>
    <w:rsid w:val="00402066"/>
    <w:rsid w:val="00402074"/>
    <w:rsid w:val="0040226E"/>
    <w:rsid w:val="00402423"/>
    <w:rsid w:val="00402472"/>
    <w:rsid w:val="00402678"/>
    <w:rsid w:val="004026B6"/>
    <w:rsid w:val="0040277A"/>
    <w:rsid w:val="004027DE"/>
    <w:rsid w:val="0040293B"/>
    <w:rsid w:val="0040299E"/>
    <w:rsid w:val="004029AE"/>
    <w:rsid w:val="004029FC"/>
    <w:rsid w:val="00402B68"/>
    <w:rsid w:val="00402C96"/>
    <w:rsid w:val="00402CB7"/>
    <w:rsid w:val="00402CBF"/>
    <w:rsid w:val="00402D85"/>
    <w:rsid w:val="00402EAE"/>
    <w:rsid w:val="00402ECC"/>
    <w:rsid w:val="00402ECD"/>
    <w:rsid w:val="00402F0D"/>
    <w:rsid w:val="00402F22"/>
    <w:rsid w:val="00402F66"/>
    <w:rsid w:val="00402FCA"/>
    <w:rsid w:val="0040312E"/>
    <w:rsid w:val="00403218"/>
    <w:rsid w:val="00403274"/>
    <w:rsid w:val="0040333F"/>
    <w:rsid w:val="004033D0"/>
    <w:rsid w:val="0040341A"/>
    <w:rsid w:val="00403491"/>
    <w:rsid w:val="0040351A"/>
    <w:rsid w:val="00403529"/>
    <w:rsid w:val="00403556"/>
    <w:rsid w:val="004035C5"/>
    <w:rsid w:val="0040371C"/>
    <w:rsid w:val="00403727"/>
    <w:rsid w:val="00403818"/>
    <w:rsid w:val="00403872"/>
    <w:rsid w:val="0040387F"/>
    <w:rsid w:val="004038B5"/>
    <w:rsid w:val="00403987"/>
    <w:rsid w:val="00403A4F"/>
    <w:rsid w:val="00403A85"/>
    <w:rsid w:val="00403A89"/>
    <w:rsid w:val="00403BD5"/>
    <w:rsid w:val="00403BDF"/>
    <w:rsid w:val="00403C91"/>
    <w:rsid w:val="00403C98"/>
    <w:rsid w:val="00403CB4"/>
    <w:rsid w:val="00403D7B"/>
    <w:rsid w:val="00403F3B"/>
    <w:rsid w:val="00403F6C"/>
    <w:rsid w:val="00404053"/>
    <w:rsid w:val="00404072"/>
    <w:rsid w:val="0040425D"/>
    <w:rsid w:val="004042C3"/>
    <w:rsid w:val="0040442B"/>
    <w:rsid w:val="004044CA"/>
    <w:rsid w:val="0040453D"/>
    <w:rsid w:val="0040454F"/>
    <w:rsid w:val="004045C5"/>
    <w:rsid w:val="00404609"/>
    <w:rsid w:val="00404909"/>
    <w:rsid w:val="00404A2A"/>
    <w:rsid w:val="00404A4C"/>
    <w:rsid w:val="00404A65"/>
    <w:rsid w:val="00404A6E"/>
    <w:rsid w:val="00404BAE"/>
    <w:rsid w:val="00404C99"/>
    <w:rsid w:val="00404CD9"/>
    <w:rsid w:val="00404CE8"/>
    <w:rsid w:val="00404E0E"/>
    <w:rsid w:val="00404E32"/>
    <w:rsid w:val="00404ED5"/>
    <w:rsid w:val="00404F23"/>
    <w:rsid w:val="00404F3F"/>
    <w:rsid w:val="004050CD"/>
    <w:rsid w:val="00405144"/>
    <w:rsid w:val="00405350"/>
    <w:rsid w:val="004053DA"/>
    <w:rsid w:val="00405430"/>
    <w:rsid w:val="0040549D"/>
    <w:rsid w:val="004055F8"/>
    <w:rsid w:val="0040563B"/>
    <w:rsid w:val="00405705"/>
    <w:rsid w:val="00405733"/>
    <w:rsid w:val="00405A0A"/>
    <w:rsid w:val="00405A42"/>
    <w:rsid w:val="00405A6B"/>
    <w:rsid w:val="00405BF8"/>
    <w:rsid w:val="00405C12"/>
    <w:rsid w:val="00405C62"/>
    <w:rsid w:val="004060D5"/>
    <w:rsid w:val="00406123"/>
    <w:rsid w:val="0040615B"/>
    <w:rsid w:val="0040616B"/>
    <w:rsid w:val="00406186"/>
    <w:rsid w:val="0040619A"/>
    <w:rsid w:val="00406409"/>
    <w:rsid w:val="00406417"/>
    <w:rsid w:val="00406436"/>
    <w:rsid w:val="004064BD"/>
    <w:rsid w:val="0040658F"/>
    <w:rsid w:val="0040662C"/>
    <w:rsid w:val="0040690B"/>
    <w:rsid w:val="00406A33"/>
    <w:rsid w:val="00406A45"/>
    <w:rsid w:val="00406C31"/>
    <w:rsid w:val="00406E0C"/>
    <w:rsid w:val="00406E46"/>
    <w:rsid w:val="00406EBD"/>
    <w:rsid w:val="00406ED6"/>
    <w:rsid w:val="00406F67"/>
    <w:rsid w:val="00406FB3"/>
    <w:rsid w:val="0040712B"/>
    <w:rsid w:val="0040716E"/>
    <w:rsid w:val="004071CE"/>
    <w:rsid w:val="0040725D"/>
    <w:rsid w:val="0040738E"/>
    <w:rsid w:val="00407505"/>
    <w:rsid w:val="0040752B"/>
    <w:rsid w:val="004075A6"/>
    <w:rsid w:val="004075C4"/>
    <w:rsid w:val="0040766D"/>
    <w:rsid w:val="00407674"/>
    <w:rsid w:val="00407765"/>
    <w:rsid w:val="004077E7"/>
    <w:rsid w:val="0040793A"/>
    <w:rsid w:val="0040793C"/>
    <w:rsid w:val="004079EF"/>
    <w:rsid w:val="00407A92"/>
    <w:rsid w:val="00407B30"/>
    <w:rsid w:val="00407B92"/>
    <w:rsid w:val="00407CE2"/>
    <w:rsid w:val="00407D5E"/>
    <w:rsid w:val="00407DDA"/>
    <w:rsid w:val="00407DF5"/>
    <w:rsid w:val="00407E18"/>
    <w:rsid w:val="00407E5F"/>
    <w:rsid w:val="00407E9A"/>
    <w:rsid w:val="00407EA6"/>
    <w:rsid w:val="00407EF0"/>
    <w:rsid w:val="00407F5E"/>
    <w:rsid w:val="00407F9B"/>
    <w:rsid w:val="00407FAF"/>
    <w:rsid w:val="0041001D"/>
    <w:rsid w:val="0041003F"/>
    <w:rsid w:val="00410114"/>
    <w:rsid w:val="0041018E"/>
    <w:rsid w:val="004101D1"/>
    <w:rsid w:val="004101F7"/>
    <w:rsid w:val="0041026C"/>
    <w:rsid w:val="00410275"/>
    <w:rsid w:val="004102AE"/>
    <w:rsid w:val="0041030A"/>
    <w:rsid w:val="004104E5"/>
    <w:rsid w:val="004104F4"/>
    <w:rsid w:val="00410667"/>
    <w:rsid w:val="0041069E"/>
    <w:rsid w:val="004106DA"/>
    <w:rsid w:val="004106DD"/>
    <w:rsid w:val="00410788"/>
    <w:rsid w:val="0041079A"/>
    <w:rsid w:val="004107B0"/>
    <w:rsid w:val="004107EF"/>
    <w:rsid w:val="00410807"/>
    <w:rsid w:val="00410841"/>
    <w:rsid w:val="004108DF"/>
    <w:rsid w:val="0041093E"/>
    <w:rsid w:val="00410958"/>
    <w:rsid w:val="004109FF"/>
    <w:rsid w:val="00410A53"/>
    <w:rsid w:val="00410AFD"/>
    <w:rsid w:val="00410B40"/>
    <w:rsid w:val="00410C2C"/>
    <w:rsid w:val="00410C73"/>
    <w:rsid w:val="00410C7F"/>
    <w:rsid w:val="00410D15"/>
    <w:rsid w:val="00410D52"/>
    <w:rsid w:val="00410D57"/>
    <w:rsid w:val="00410E26"/>
    <w:rsid w:val="00410F04"/>
    <w:rsid w:val="00410FEA"/>
    <w:rsid w:val="00411015"/>
    <w:rsid w:val="0041101F"/>
    <w:rsid w:val="004110F6"/>
    <w:rsid w:val="00411152"/>
    <w:rsid w:val="00411188"/>
    <w:rsid w:val="004111D6"/>
    <w:rsid w:val="00411349"/>
    <w:rsid w:val="00411410"/>
    <w:rsid w:val="004114EF"/>
    <w:rsid w:val="004114F2"/>
    <w:rsid w:val="00411587"/>
    <w:rsid w:val="004115DD"/>
    <w:rsid w:val="00411632"/>
    <w:rsid w:val="00411678"/>
    <w:rsid w:val="00411728"/>
    <w:rsid w:val="004117A5"/>
    <w:rsid w:val="0041182F"/>
    <w:rsid w:val="0041186F"/>
    <w:rsid w:val="004118B3"/>
    <w:rsid w:val="004119ED"/>
    <w:rsid w:val="00411A44"/>
    <w:rsid w:val="00411B96"/>
    <w:rsid w:val="00411C0B"/>
    <w:rsid w:val="00411C62"/>
    <w:rsid w:val="00411C86"/>
    <w:rsid w:val="00411CF0"/>
    <w:rsid w:val="00411EA7"/>
    <w:rsid w:val="00411F7A"/>
    <w:rsid w:val="00411FC0"/>
    <w:rsid w:val="00411FEE"/>
    <w:rsid w:val="004120AA"/>
    <w:rsid w:val="0041210F"/>
    <w:rsid w:val="00412150"/>
    <w:rsid w:val="0041217C"/>
    <w:rsid w:val="004121CF"/>
    <w:rsid w:val="00412278"/>
    <w:rsid w:val="004122FA"/>
    <w:rsid w:val="00412338"/>
    <w:rsid w:val="004124E3"/>
    <w:rsid w:val="004125D0"/>
    <w:rsid w:val="0041260A"/>
    <w:rsid w:val="00412664"/>
    <w:rsid w:val="0041269C"/>
    <w:rsid w:val="0041271B"/>
    <w:rsid w:val="00412849"/>
    <w:rsid w:val="0041284F"/>
    <w:rsid w:val="0041287B"/>
    <w:rsid w:val="00412959"/>
    <w:rsid w:val="00412973"/>
    <w:rsid w:val="004129D3"/>
    <w:rsid w:val="004129F5"/>
    <w:rsid w:val="00412B3C"/>
    <w:rsid w:val="00412BA4"/>
    <w:rsid w:val="00412C99"/>
    <w:rsid w:val="00412D12"/>
    <w:rsid w:val="00412D30"/>
    <w:rsid w:val="00412D92"/>
    <w:rsid w:val="00412DBE"/>
    <w:rsid w:val="00412E98"/>
    <w:rsid w:val="00413043"/>
    <w:rsid w:val="004130A1"/>
    <w:rsid w:val="004130F3"/>
    <w:rsid w:val="004132DD"/>
    <w:rsid w:val="0041339B"/>
    <w:rsid w:val="004133C9"/>
    <w:rsid w:val="004134E2"/>
    <w:rsid w:val="004134EE"/>
    <w:rsid w:val="0041369D"/>
    <w:rsid w:val="004136B5"/>
    <w:rsid w:val="004138EE"/>
    <w:rsid w:val="00413925"/>
    <w:rsid w:val="00413A63"/>
    <w:rsid w:val="00413B83"/>
    <w:rsid w:val="00413BB2"/>
    <w:rsid w:val="00413D11"/>
    <w:rsid w:val="00413FF4"/>
    <w:rsid w:val="00414002"/>
    <w:rsid w:val="00414271"/>
    <w:rsid w:val="00414369"/>
    <w:rsid w:val="004144D1"/>
    <w:rsid w:val="0041455F"/>
    <w:rsid w:val="00414587"/>
    <w:rsid w:val="00414607"/>
    <w:rsid w:val="00414613"/>
    <w:rsid w:val="004146C2"/>
    <w:rsid w:val="00414765"/>
    <w:rsid w:val="0041481B"/>
    <w:rsid w:val="004149B5"/>
    <w:rsid w:val="00414A13"/>
    <w:rsid w:val="00414ABD"/>
    <w:rsid w:val="00414C7A"/>
    <w:rsid w:val="00414CAB"/>
    <w:rsid w:val="00414DE7"/>
    <w:rsid w:val="00414E62"/>
    <w:rsid w:val="00414E84"/>
    <w:rsid w:val="00414E88"/>
    <w:rsid w:val="00414F90"/>
    <w:rsid w:val="004150BE"/>
    <w:rsid w:val="00415132"/>
    <w:rsid w:val="004151EC"/>
    <w:rsid w:val="0041525A"/>
    <w:rsid w:val="00415266"/>
    <w:rsid w:val="00415287"/>
    <w:rsid w:val="0041539E"/>
    <w:rsid w:val="00415461"/>
    <w:rsid w:val="004154DF"/>
    <w:rsid w:val="00415528"/>
    <w:rsid w:val="00415614"/>
    <w:rsid w:val="00415637"/>
    <w:rsid w:val="0041566F"/>
    <w:rsid w:val="004156DF"/>
    <w:rsid w:val="00415702"/>
    <w:rsid w:val="0041587A"/>
    <w:rsid w:val="00415A1C"/>
    <w:rsid w:val="00415B72"/>
    <w:rsid w:val="00415B8B"/>
    <w:rsid w:val="00415BCA"/>
    <w:rsid w:val="00415C99"/>
    <w:rsid w:val="00415CAE"/>
    <w:rsid w:val="00415D21"/>
    <w:rsid w:val="00415D2B"/>
    <w:rsid w:val="00415D2F"/>
    <w:rsid w:val="00415DF8"/>
    <w:rsid w:val="00415E08"/>
    <w:rsid w:val="00415EC5"/>
    <w:rsid w:val="00415EF0"/>
    <w:rsid w:val="00415F33"/>
    <w:rsid w:val="004160B2"/>
    <w:rsid w:val="004160C4"/>
    <w:rsid w:val="0041612A"/>
    <w:rsid w:val="00416163"/>
    <w:rsid w:val="004161BB"/>
    <w:rsid w:val="0041644B"/>
    <w:rsid w:val="0041646F"/>
    <w:rsid w:val="004164A6"/>
    <w:rsid w:val="00416543"/>
    <w:rsid w:val="004166EC"/>
    <w:rsid w:val="00416731"/>
    <w:rsid w:val="00416790"/>
    <w:rsid w:val="004167D0"/>
    <w:rsid w:val="0041684F"/>
    <w:rsid w:val="00416854"/>
    <w:rsid w:val="00416888"/>
    <w:rsid w:val="004168FC"/>
    <w:rsid w:val="004169A0"/>
    <w:rsid w:val="00416D3B"/>
    <w:rsid w:val="00416D49"/>
    <w:rsid w:val="00416FA7"/>
    <w:rsid w:val="00416FB1"/>
    <w:rsid w:val="00417241"/>
    <w:rsid w:val="00417260"/>
    <w:rsid w:val="00417563"/>
    <w:rsid w:val="00417566"/>
    <w:rsid w:val="0041756F"/>
    <w:rsid w:val="00417589"/>
    <w:rsid w:val="004175FF"/>
    <w:rsid w:val="0041764A"/>
    <w:rsid w:val="00417764"/>
    <w:rsid w:val="00417830"/>
    <w:rsid w:val="00417856"/>
    <w:rsid w:val="004178B5"/>
    <w:rsid w:val="004178C6"/>
    <w:rsid w:val="00417A36"/>
    <w:rsid w:val="00417AD3"/>
    <w:rsid w:val="00417BC8"/>
    <w:rsid w:val="00417C2B"/>
    <w:rsid w:val="00417CE7"/>
    <w:rsid w:val="00417D68"/>
    <w:rsid w:val="00417D6D"/>
    <w:rsid w:val="00417D92"/>
    <w:rsid w:val="00417E02"/>
    <w:rsid w:val="00417E21"/>
    <w:rsid w:val="00417EA7"/>
    <w:rsid w:val="00417FCB"/>
    <w:rsid w:val="00420058"/>
    <w:rsid w:val="00420141"/>
    <w:rsid w:val="00420236"/>
    <w:rsid w:val="0042039A"/>
    <w:rsid w:val="004204BC"/>
    <w:rsid w:val="004204ED"/>
    <w:rsid w:val="00420570"/>
    <w:rsid w:val="00420646"/>
    <w:rsid w:val="00420652"/>
    <w:rsid w:val="004206B1"/>
    <w:rsid w:val="004206B2"/>
    <w:rsid w:val="00420745"/>
    <w:rsid w:val="004207DA"/>
    <w:rsid w:val="0042081F"/>
    <w:rsid w:val="004208B4"/>
    <w:rsid w:val="004208CD"/>
    <w:rsid w:val="0042093C"/>
    <w:rsid w:val="00420AA4"/>
    <w:rsid w:val="00420ADA"/>
    <w:rsid w:val="00420B1A"/>
    <w:rsid w:val="00420B7A"/>
    <w:rsid w:val="00420B95"/>
    <w:rsid w:val="00420C6D"/>
    <w:rsid w:val="00420E4F"/>
    <w:rsid w:val="00420F69"/>
    <w:rsid w:val="00421057"/>
    <w:rsid w:val="004210EB"/>
    <w:rsid w:val="0042111E"/>
    <w:rsid w:val="00421202"/>
    <w:rsid w:val="004212F8"/>
    <w:rsid w:val="00421401"/>
    <w:rsid w:val="0042164C"/>
    <w:rsid w:val="00421750"/>
    <w:rsid w:val="004217CE"/>
    <w:rsid w:val="00421969"/>
    <w:rsid w:val="00421996"/>
    <w:rsid w:val="00421A1F"/>
    <w:rsid w:val="00421AF0"/>
    <w:rsid w:val="00421B2D"/>
    <w:rsid w:val="00421BA1"/>
    <w:rsid w:val="00421C3C"/>
    <w:rsid w:val="00421C8B"/>
    <w:rsid w:val="00421C99"/>
    <w:rsid w:val="00421D86"/>
    <w:rsid w:val="00421DA9"/>
    <w:rsid w:val="00421EC0"/>
    <w:rsid w:val="00421FAB"/>
    <w:rsid w:val="004221FF"/>
    <w:rsid w:val="0042240E"/>
    <w:rsid w:val="00422462"/>
    <w:rsid w:val="0042249A"/>
    <w:rsid w:val="00422539"/>
    <w:rsid w:val="00422556"/>
    <w:rsid w:val="0042255F"/>
    <w:rsid w:val="00422600"/>
    <w:rsid w:val="004226AE"/>
    <w:rsid w:val="004226EF"/>
    <w:rsid w:val="00422736"/>
    <w:rsid w:val="00422765"/>
    <w:rsid w:val="00422972"/>
    <w:rsid w:val="00422ACB"/>
    <w:rsid w:val="00422B6E"/>
    <w:rsid w:val="00422BE3"/>
    <w:rsid w:val="00422C44"/>
    <w:rsid w:val="00422CC4"/>
    <w:rsid w:val="00422DC7"/>
    <w:rsid w:val="00422E98"/>
    <w:rsid w:val="00423023"/>
    <w:rsid w:val="0042304F"/>
    <w:rsid w:val="004232FC"/>
    <w:rsid w:val="00423322"/>
    <w:rsid w:val="004233ED"/>
    <w:rsid w:val="004233FA"/>
    <w:rsid w:val="00423506"/>
    <w:rsid w:val="0042363C"/>
    <w:rsid w:val="00423711"/>
    <w:rsid w:val="0042377D"/>
    <w:rsid w:val="004239B1"/>
    <w:rsid w:val="00423A06"/>
    <w:rsid w:val="00423A8A"/>
    <w:rsid w:val="00423AC8"/>
    <w:rsid w:val="00423B1A"/>
    <w:rsid w:val="00423B2F"/>
    <w:rsid w:val="00423B63"/>
    <w:rsid w:val="00423B8B"/>
    <w:rsid w:val="00423BE8"/>
    <w:rsid w:val="00423CBE"/>
    <w:rsid w:val="00423D1D"/>
    <w:rsid w:val="004240A1"/>
    <w:rsid w:val="00424383"/>
    <w:rsid w:val="00424415"/>
    <w:rsid w:val="0042442B"/>
    <w:rsid w:val="0042443F"/>
    <w:rsid w:val="004244E0"/>
    <w:rsid w:val="00424552"/>
    <w:rsid w:val="004245E7"/>
    <w:rsid w:val="004246CA"/>
    <w:rsid w:val="004246CF"/>
    <w:rsid w:val="00424799"/>
    <w:rsid w:val="004247E9"/>
    <w:rsid w:val="004248BF"/>
    <w:rsid w:val="004248D9"/>
    <w:rsid w:val="004248E1"/>
    <w:rsid w:val="004248E9"/>
    <w:rsid w:val="004249C7"/>
    <w:rsid w:val="00424B84"/>
    <w:rsid w:val="00424B97"/>
    <w:rsid w:val="00424C3E"/>
    <w:rsid w:val="00424D3E"/>
    <w:rsid w:val="00424E4D"/>
    <w:rsid w:val="00424F9A"/>
    <w:rsid w:val="00424FC3"/>
    <w:rsid w:val="00425025"/>
    <w:rsid w:val="0042504A"/>
    <w:rsid w:val="0042509E"/>
    <w:rsid w:val="004250E7"/>
    <w:rsid w:val="004251E4"/>
    <w:rsid w:val="004251E8"/>
    <w:rsid w:val="00425215"/>
    <w:rsid w:val="004252CB"/>
    <w:rsid w:val="0042530A"/>
    <w:rsid w:val="0042542C"/>
    <w:rsid w:val="00425482"/>
    <w:rsid w:val="0042560E"/>
    <w:rsid w:val="0042568E"/>
    <w:rsid w:val="004256A8"/>
    <w:rsid w:val="004256F8"/>
    <w:rsid w:val="00425733"/>
    <w:rsid w:val="00425787"/>
    <w:rsid w:val="004257B4"/>
    <w:rsid w:val="00425885"/>
    <w:rsid w:val="00425891"/>
    <w:rsid w:val="004258D0"/>
    <w:rsid w:val="00425A6C"/>
    <w:rsid w:val="00425A9B"/>
    <w:rsid w:val="00425C6C"/>
    <w:rsid w:val="00425CEB"/>
    <w:rsid w:val="00425D13"/>
    <w:rsid w:val="00425EEA"/>
    <w:rsid w:val="00425F09"/>
    <w:rsid w:val="004260FE"/>
    <w:rsid w:val="0042613A"/>
    <w:rsid w:val="0042613D"/>
    <w:rsid w:val="00426272"/>
    <w:rsid w:val="004262A3"/>
    <w:rsid w:val="00426320"/>
    <w:rsid w:val="00426357"/>
    <w:rsid w:val="004263CD"/>
    <w:rsid w:val="00426525"/>
    <w:rsid w:val="0042665F"/>
    <w:rsid w:val="00426666"/>
    <w:rsid w:val="004266D9"/>
    <w:rsid w:val="00426830"/>
    <w:rsid w:val="0042692F"/>
    <w:rsid w:val="00426983"/>
    <w:rsid w:val="004269B5"/>
    <w:rsid w:val="004269E3"/>
    <w:rsid w:val="00426C7F"/>
    <w:rsid w:val="00426CA1"/>
    <w:rsid w:val="00426CE7"/>
    <w:rsid w:val="00426F0F"/>
    <w:rsid w:val="00426FBC"/>
    <w:rsid w:val="0042700F"/>
    <w:rsid w:val="00427017"/>
    <w:rsid w:val="00427090"/>
    <w:rsid w:val="004271A8"/>
    <w:rsid w:val="00427208"/>
    <w:rsid w:val="0042729C"/>
    <w:rsid w:val="004274F5"/>
    <w:rsid w:val="004275B6"/>
    <w:rsid w:val="004276AC"/>
    <w:rsid w:val="004276F7"/>
    <w:rsid w:val="0042772F"/>
    <w:rsid w:val="00427742"/>
    <w:rsid w:val="00427796"/>
    <w:rsid w:val="004278A8"/>
    <w:rsid w:val="0042795A"/>
    <w:rsid w:val="004279C7"/>
    <w:rsid w:val="00427A49"/>
    <w:rsid w:val="00427B32"/>
    <w:rsid w:val="00427BB1"/>
    <w:rsid w:val="00427C0F"/>
    <w:rsid w:val="00427D9D"/>
    <w:rsid w:val="00427DE2"/>
    <w:rsid w:val="00427EEB"/>
    <w:rsid w:val="00427F01"/>
    <w:rsid w:val="0043000C"/>
    <w:rsid w:val="0043007D"/>
    <w:rsid w:val="004300BC"/>
    <w:rsid w:val="00430243"/>
    <w:rsid w:val="004303E2"/>
    <w:rsid w:val="004304BF"/>
    <w:rsid w:val="004305CC"/>
    <w:rsid w:val="00430724"/>
    <w:rsid w:val="0043073F"/>
    <w:rsid w:val="004307B9"/>
    <w:rsid w:val="00430900"/>
    <w:rsid w:val="00430ACD"/>
    <w:rsid w:val="00430BC1"/>
    <w:rsid w:val="00430BD4"/>
    <w:rsid w:val="00430C52"/>
    <w:rsid w:val="00430CB7"/>
    <w:rsid w:val="00430CD9"/>
    <w:rsid w:val="00430EBD"/>
    <w:rsid w:val="00430ECE"/>
    <w:rsid w:val="00430EFF"/>
    <w:rsid w:val="00430FD4"/>
    <w:rsid w:val="0043106A"/>
    <w:rsid w:val="004310F2"/>
    <w:rsid w:val="0043110D"/>
    <w:rsid w:val="00431180"/>
    <w:rsid w:val="00431298"/>
    <w:rsid w:val="00431406"/>
    <w:rsid w:val="0043148C"/>
    <w:rsid w:val="00431531"/>
    <w:rsid w:val="0043155F"/>
    <w:rsid w:val="004315AB"/>
    <w:rsid w:val="0043160D"/>
    <w:rsid w:val="00431684"/>
    <w:rsid w:val="004316A5"/>
    <w:rsid w:val="004316CF"/>
    <w:rsid w:val="00431809"/>
    <w:rsid w:val="004318DF"/>
    <w:rsid w:val="004319D3"/>
    <w:rsid w:val="00431AA5"/>
    <w:rsid w:val="00431C91"/>
    <w:rsid w:val="00431D6D"/>
    <w:rsid w:val="00431DA4"/>
    <w:rsid w:val="00431DE6"/>
    <w:rsid w:val="00431E4F"/>
    <w:rsid w:val="00431F71"/>
    <w:rsid w:val="00431F72"/>
    <w:rsid w:val="00431FC5"/>
    <w:rsid w:val="004320C3"/>
    <w:rsid w:val="00432158"/>
    <w:rsid w:val="004322D8"/>
    <w:rsid w:val="004324BB"/>
    <w:rsid w:val="004324D6"/>
    <w:rsid w:val="004324E5"/>
    <w:rsid w:val="00432558"/>
    <w:rsid w:val="004325CD"/>
    <w:rsid w:val="0043261A"/>
    <w:rsid w:val="00432622"/>
    <w:rsid w:val="00432688"/>
    <w:rsid w:val="004328E3"/>
    <w:rsid w:val="00432949"/>
    <w:rsid w:val="00432A33"/>
    <w:rsid w:val="00432A7C"/>
    <w:rsid w:val="00432A99"/>
    <w:rsid w:val="00432AED"/>
    <w:rsid w:val="00432B23"/>
    <w:rsid w:val="00432C00"/>
    <w:rsid w:val="00432CB9"/>
    <w:rsid w:val="00432CBF"/>
    <w:rsid w:val="00432CEF"/>
    <w:rsid w:val="00432D81"/>
    <w:rsid w:val="00432DF9"/>
    <w:rsid w:val="00432DFB"/>
    <w:rsid w:val="00432F70"/>
    <w:rsid w:val="00432F8A"/>
    <w:rsid w:val="00432FD3"/>
    <w:rsid w:val="0043312D"/>
    <w:rsid w:val="0043318D"/>
    <w:rsid w:val="0043325D"/>
    <w:rsid w:val="004332D2"/>
    <w:rsid w:val="00433307"/>
    <w:rsid w:val="00433487"/>
    <w:rsid w:val="004334A7"/>
    <w:rsid w:val="004335F1"/>
    <w:rsid w:val="00433635"/>
    <w:rsid w:val="0043375E"/>
    <w:rsid w:val="00433780"/>
    <w:rsid w:val="00433782"/>
    <w:rsid w:val="004337E7"/>
    <w:rsid w:val="00433866"/>
    <w:rsid w:val="004339B2"/>
    <w:rsid w:val="004339F1"/>
    <w:rsid w:val="00433A4A"/>
    <w:rsid w:val="00433A52"/>
    <w:rsid w:val="00433CC2"/>
    <w:rsid w:val="00433CEA"/>
    <w:rsid w:val="00433D04"/>
    <w:rsid w:val="00433D82"/>
    <w:rsid w:val="00433D9F"/>
    <w:rsid w:val="00433DA2"/>
    <w:rsid w:val="00433E56"/>
    <w:rsid w:val="00433EF1"/>
    <w:rsid w:val="00433EFF"/>
    <w:rsid w:val="00433FB6"/>
    <w:rsid w:val="00433FBD"/>
    <w:rsid w:val="00433FD9"/>
    <w:rsid w:val="00433FDC"/>
    <w:rsid w:val="00434013"/>
    <w:rsid w:val="0043411C"/>
    <w:rsid w:val="004341A8"/>
    <w:rsid w:val="004341B9"/>
    <w:rsid w:val="004343D9"/>
    <w:rsid w:val="004343E6"/>
    <w:rsid w:val="004344DD"/>
    <w:rsid w:val="004345FB"/>
    <w:rsid w:val="00434704"/>
    <w:rsid w:val="0043472C"/>
    <w:rsid w:val="00434752"/>
    <w:rsid w:val="00434880"/>
    <w:rsid w:val="004349F9"/>
    <w:rsid w:val="00434A08"/>
    <w:rsid w:val="00434A4F"/>
    <w:rsid w:val="00434A79"/>
    <w:rsid w:val="00434B3A"/>
    <w:rsid w:val="00434D09"/>
    <w:rsid w:val="00434D1D"/>
    <w:rsid w:val="00434DED"/>
    <w:rsid w:val="00434E8E"/>
    <w:rsid w:val="00434ECD"/>
    <w:rsid w:val="00434EEE"/>
    <w:rsid w:val="00434FBF"/>
    <w:rsid w:val="00434FF3"/>
    <w:rsid w:val="0043502F"/>
    <w:rsid w:val="00435034"/>
    <w:rsid w:val="00435169"/>
    <w:rsid w:val="0043518B"/>
    <w:rsid w:val="004351C3"/>
    <w:rsid w:val="00435256"/>
    <w:rsid w:val="00435359"/>
    <w:rsid w:val="004353D7"/>
    <w:rsid w:val="004353FD"/>
    <w:rsid w:val="00435465"/>
    <w:rsid w:val="004354C7"/>
    <w:rsid w:val="004355C1"/>
    <w:rsid w:val="00435616"/>
    <w:rsid w:val="004356F3"/>
    <w:rsid w:val="0043571D"/>
    <w:rsid w:val="0043579E"/>
    <w:rsid w:val="004357D4"/>
    <w:rsid w:val="00435851"/>
    <w:rsid w:val="0043591E"/>
    <w:rsid w:val="00435AC8"/>
    <w:rsid w:val="00435AF9"/>
    <w:rsid w:val="00435B61"/>
    <w:rsid w:val="00435B7D"/>
    <w:rsid w:val="00435BBF"/>
    <w:rsid w:val="00435C12"/>
    <w:rsid w:val="00435DC4"/>
    <w:rsid w:val="00435E05"/>
    <w:rsid w:val="00435EA0"/>
    <w:rsid w:val="00435EDD"/>
    <w:rsid w:val="00435F79"/>
    <w:rsid w:val="00435FD0"/>
    <w:rsid w:val="004360A6"/>
    <w:rsid w:val="004360F0"/>
    <w:rsid w:val="0043624A"/>
    <w:rsid w:val="0043635F"/>
    <w:rsid w:val="00436456"/>
    <w:rsid w:val="0043646B"/>
    <w:rsid w:val="0043650C"/>
    <w:rsid w:val="00436574"/>
    <w:rsid w:val="004365D7"/>
    <w:rsid w:val="00436678"/>
    <w:rsid w:val="004366BA"/>
    <w:rsid w:val="004366D7"/>
    <w:rsid w:val="00436823"/>
    <w:rsid w:val="00436887"/>
    <w:rsid w:val="004368EC"/>
    <w:rsid w:val="00436956"/>
    <w:rsid w:val="004369B3"/>
    <w:rsid w:val="004369EA"/>
    <w:rsid w:val="00436A88"/>
    <w:rsid w:val="00436AD1"/>
    <w:rsid w:val="00436B05"/>
    <w:rsid w:val="00436BD8"/>
    <w:rsid w:val="00436C05"/>
    <w:rsid w:val="00436C6B"/>
    <w:rsid w:val="00436C74"/>
    <w:rsid w:val="00436CC5"/>
    <w:rsid w:val="00436CD9"/>
    <w:rsid w:val="00436D2E"/>
    <w:rsid w:val="00436D78"/>
    <w:rsid w:val="00436F2A"/>
    <w:rsid w:val="00436FC5"/>
    <w:rsid w:val="0043712E"/>
    <w:rsid w:val="00437191"/>
    <w:rsid w:val="00437321"/>
    <w:rsid w:val="00437347"/>
    <w:rsid w:val="00437368"/>
    <w:rsid w:val="00437471"/>
    <w:rsid w:val="004374EE"/>
    <w:rsid w:val="00437649"/>
    <w:rsid w:val="00437772"/>
    <w:rsid w:val="00437776"/>
    <w:rsid w:val="004377FB"/>
    <w:rsid w:val="0043788E"/>
    <w:rsid w:val="004378F9"/>
    <w:rsid w:val="004379B4"/>
    <w:rsid w:val="00437AC4"/>
    <w:rsid w:val="00437B9A"/>
    <w:rsid w:val="00437BD3"/>
    <w:rsid w:val="00437C64"/>
    <w:rsid w:val="00437D09"/>
    <w:rsid w:val="00437D2F"/>
    <w:rsid w:val="00437E77"/>
    <w:rsid w:val="00437ED8"/>
    <w:rsid w:val="004400F1"/>
    <w:rsid w:val="004401CB"/>
    <w:rsid w:val="00440258"/>
    <w:rsid w:val="004403D2"/>
    <w:rsid w:val="004403F9"/>
    <w:rsid w:val="00440479"/>
    <w:rsid w:val="0044057F"/>
    <w:rsid w:val="00440597"/>
    <w:rsid w:val="004405F7"/>
    <w:rsid w:val="00440687"/>
    <w:rsid w:val="004406A7"/>
    <w:rsid w:val="004406D0"/>
    <w:rsid w:val="00440716"/>
    <w:rsid w:val="004407F0"/>
    <w:rsid w:val="00440831"/>
    <w:rsid w:val="004408A8"/>
    <w:rsid w:val="0044098D"/>
    <w:rsid w:val="00440AAA"/>
    <w:rsid w:val="00440C91"/>
    <w:rsid w:val="00440CC5"/>
    <w:rsid w:val="00440D55"/>
    <w:rsid w:val="00440DA9"/>
    <w:rsid w:val="00440E4E"/>
    <w:rsid w:val="00440E53"/>
    <w:rsid w:val="00440E6F"/>
    <w:rsid w:val="00440EA3"/>
    <w:rsid w:val="00440FDE"/>
    <w:rsid w:val="0044101D"/>
    <w:rsid w:val="00441091"/>
    <w:rsid w:val="00441098"/>
    <w:rsid w:val="00441148"/>
    <w:rsid w:val="004411A9"/>
    <w:rsid w:val="004411FE"/>
    <w:rsid w:val="004412A7"/>
    <w:rsid w:val="00441355"/>
    <w:rsid w:val="00441401"/>
    <w:rsid w:val="004414BD"/>
    <w:rsid w:val="00441530"/>
    <w:rsid w:val="00441573"/>
    <w:rsid w:val="00441646"/>
    <w:rsid w:val="0044166C"/>
    <w:rsid w:val="00441675"/>
    <w:rsid w:val="00441703"/>
    <w:rsid w:val="004417C6"/>
    <w:rsid w:val="0044188E"/>
    <w:rsid w:val="004418FB"/>
    <w:rsid w:val="0044193A"/>
    <w:rsid w:val="00441979"/>
    <w:rsid w:val="00441A45"/>
    <w:rsid w:val="00441A60"/>
    <w:rsid w:val="00441AF0"/>
    <w:rsid w:val="00441B41"/>
    <w:rsid w:val="00441C76"/>
    <w:rsid w:val="00441C7F"/>
    <w:rsid w:val="00441DFF"/>
    <w:rsid w:val="00441E33"/>
    <w:rsid w:val="00441EC6"/>
    <w:rsid w:val="00441F7D"/>
    <w:rsid w:val="00441FDF"/>
    <w:rsid w:val="0044226C"/>
    <w:rsid w:val="004422BF"/>
    <w:rsid w:val="00442556"/>
    <w:rsid w:val="0044259F"/>
    <w:rsid w:val="004425E2"/>
    <w:rsid w:val="0044263E"/>
    <w:rsid w:val="004426E5"/>
    <w:rsid w:val="004426FC"/>
    <w:rsid w:val="00442718"/>
    <w:rsid w:val="004427EA"/>
    <w:rsid w:val="0044285D"/>
    <w:rsid w:val="00442AC2"/>
    <w:rsid w:val="00442B2E"/>
    <w:rsid w:val="00442B68"/>
    <w:rsid w:val="00442B79"/>
    <w:rsid w:val="00442C28"/>
    <w:rsid w:val="00442C4E"/>
    <w:rsid w:val="00442CCC"/>
    <w:rsid w:val="00442D26"/>
    <w:rsid w:val="00442E3B"/>
    <w:rsid w:val="00442F66"/>
    <w:rsid w:val="00442F74"/>
    <w:rsid w:val="00442FA3"/>
    <w:rsid w:val="00443109"/>
    <w:rsid w:val="00443383"/>
    <w:rsid w:val="0044338B"/>
    <w:rsid w:val="00443423"/>
    <w:rsid w:val="004435A8"/>
    <w:rsid w:val="004436C3"/>
    <w:rsid w:val="0044381E"/>
    <w:rsid w:val="004438BF"/>
    <w:rsid w:val="00443CC7"/>
    <w:rsid w:val="00443D03"/>
    <w:rsid w:val="00443D6F"/>
    <w:rsid w:val="00443F1C"/>
    <w:rsid w:val="00443FD3"/>
    <w:rsid w:val="00443FDF"/>
    <w:rsid w:val="0044407C"/>
    <w:rsid w:val="0044408D"/>
    <w:rsid w:val="004440E4"/>
    <w:rsid w:val="004440FB"/>
    <w:rsid w:val="00444115"/>
    <w:rsid w:val="004441A1"/>
    <w:rsid w:val="0044425A"/>
    <w:rsid w:val="004442A8"/>
    <w:rsid w:val="00444370"/>
    <w:rsid w:val="00444376"/>
    <w:rsid w:val="004443D6"/>
    <w:rsid w:val="0044441E"/>
    <w:rsid w:val="004445A2"/>
    <w:rsid w:val="004445AF"/>
    <w:rsid w:val="00444618"/>
    <w:rsid w:val="00444673"/>
    <w:rsid w:val="004446B6"/>
    <w:rsid w:val="0044482E"/>
    <w:rsid w:val="0044487E"/>
    <w:rsid w:val="004448C2"/>
    <w:rsid w:val="00444951"/>
    <w:rsid w:val="00444CE3"/>
    <w:rsid w:val="00444D5A"/>
    <w:rsid w:val="00444DA5"/>
    <w:rsid w:val="00444DCA"/>
    <w:rsid w:val="00444E0C"/>
    <w:rsid w:val="00444E99"/>
    <w:rsid w:val="00444F8A"/>
    <w:rsid w:val="00444FFC"/>
    <w:rsid w:val="0044501B"/>
    <w:rsid w:val="00445047"/>
    <w:rsid w:val="0044504F"/>
    <w:rsid w:val="00445102"/>
    <w:rsid w:val="00445113"/>
    <w:rsid w:val="004453C2"/>
    <w:rsid w:val="00445405"/>
    <w:rsid w:val="0044544E"/>
    <w:rsid w:val="00445465"/>
    <w:rsid w:val="0044564B"/>
    <w:rsid w:val="00445677"/>
    <w:rsid w:val="004456B7"/>
    <w:rsid w:val="004456FA"/>
    <w:rsid w:val="00445A04"/>
    <w:rsid w:val="00445A95"/>
    <w:rsid w:val="00445B12"/>
    <w:rsid w:val="00445B20"/>
    <w:rsid w:val="00445B5A"/>
    <w:rsid w:val="00445C17"/>
    <w:rsid w:val="00445C4D"/>
    <w:rsid w:val="00445C62"/>
    <w:rsid w:val="00445C82"/>
    <w:rsid w:val="00445C8D"/>
    <w:rsid w:val="00445D00"/>
    <w:rsid w:val="00445D16"/>
    <w:rsid w:val="00445DAD"/>
    <w:rsid w:val="00445DEC"/>
    <w:rsid w:val="00445E82"/>
    <w:rsid w:val="00446184"/>
    <w:rsid w:val="004462A7"/>
    <w:rsid w:val="004462FB"/>
    <w:rsid w:val="00446323"/>
    <w:rsid w:val="00446331"/>
    <w:rsid w:val="00446367"/>
    <w:rsid w:val="00446472"/>
    <w:rsid w:val="004464FE"/>
    <w:rsid w:val="004465DA"/>
    <w:rsid w:val="004465FF"/>
    <w:rsid w:val="004466CF"/>
    <w:rsid w:val="0044670A"/>
    <w:rsid w:val="0044671F"/>
    <w:rsid w:val="0044673C"/>
    <w:rsid w:val="00446794"/>
    <w:rsid w:val="00446807"/>
    <w:rsid w:val="00446848"/>
    <w:rsid w:val="0044690B"/>
    <w:rsid w:val="00446C5B"/>
    <w:rsid w:val="00446C9D"/>
    <w:rsid w:val="00446CA0"/>
    <w:rsid w:val="00446DAF"/>
    <w:rsid w:val="00446E5B"/>
    <w:rsid w:val="00446EAA"/>
    <w:rsid w:val="00446F7E"/>
    <w:rsid w:val="00446F8B"/>
    <w:rsid w:val="00446FB6"/>
    <w:rsid w:val="00446FC9"/>
    <w:rsid w:val="00446FD9"/>
    <w:rsid w:val="004470B0"/>
    <w:rsid w:val="004470C9"/>
    <w:rsid w:val="004470F2"/>
    <w:rsid w:val="00447105"/>
    <w:rsid w:val="004471B9"/>
    <w:rsid w:val="0044721D"/>
    <w:rsid w:val="00447279"/>
    <w:rsid w:val="00447462"/>
    <w:rsid w:val="004474D1"/>
    <w:rsid w:val="00447532"/>
    <w:rsid w:val="00447683"/>
    <w:rsid w:val="004477B5"/>
    <w:rsid w:val="004477D9"/>
    <w:rsid w:val="004477F4"/>
    <w:rsid w:val="00447AD8"/>
    <w:rsid w:val="00447B07"/>
    <w:rsid w:val="00447BB3"/>
    <w:rsid w:val="00447C2B"/>
    <w:rsid w:val="00447CB9"/>
    <w:rsid w:val="00447E0D"/>
    <w:rsid w:val="00447E90"/>
    <w:rsid w:val="00447EB9"/>
    <w:rsid w:val="00447EC5"/>
    <w:rsid w:val="00447EE3"/>
    <w:rsid w:val="00447FA9"/>
    <w:rsid w:val="0045000D"/>
    <w:rsid w:val="004500BF"/>
    <w:rsid w:val="0045016C"/>
    <w:rsid w:val="00450203"/>
    <w:rsid w:val="00450236"/>
    <w:rsid w:val="0045025D"/>
    <w:rsid w:val="004502CB"/>
    <w:rsid w:val="004504D2"/>
    <w:rsid w:val="0045053C"/>
    <w:rsid w:val="004505CB"/>
    <w:rsid w:val="00450621"/>
    <w:rsid w:val="00450690"/>
    <w:rsid w:val="004507BC"/>
    <w:rsid w:val="004507C9"/>
    <w:rsid w:val="004509B1"/>
    <w:rsid w:val="00450A28"/>
    <w:rsid w:val="00450E0F"/>
    <w:rsid w:val="00450E2A"/>
    <w:rsid w:val="00450E40"/>
    <w:rsid w:val="00450E52"/>
    <w:rsid w:val="00450E56"/>
    <w:rsid w:val="00450E60"/>
    <w:rsid w:val="00450E9A"/>
    <w:rsid w:val="00450EB2"/>
    <w:rsid w:val="00450FD3"/>
    <w:rsid w:val="00450FF3"/>
    <w:rsid w:val="00451183"/>
    <w:rsid w:val="004511C7"/>
    <w:rsid w:val="004511C9"/>
    <w:rsid w:val="004512EC"/>
    <w:rsid w:val="00451378"/>
    <w:rsid w:val="004513CC"/>
    <w:rsid w:val="00451449"/>
    <w:rsid w:val="00451480"/>
    <w:rsid w:val="00451524"/>
    <w:rsid w:val="004516AD"/>
    <w:rsid w:val="004516FC"/>
    <w:rsid w:val="00451702"/>
    <w:rsid w:val="004517DC"/>
    <w:rsid w:val="00451811"/>
    <w:rsid w:val="0045181A"/>
    <w:rsid w:val="00451822"/>
    <w:rsid w:val="004519B5"/>
    <w:rsid w:val="004519FA"/>
    <w:rsid w:val="00451A26"/>
    <w:rsid w:val="00451B72"/>
    <w:rsid w:val="00451BFE"/>
    <w:rsid w:val="00451C7A"/>
    <w:rsid w:val="00451C8A"/>
    <w:rsid w:val="00451DD9"/>
    <w:rsid w:val="00451E1C"/>
    <w:rsid w:val="00451F04"/>
    <w:rsid w:val="004522B5"/>
    <w:rsid w:val="00452387"/>
    <w:rsid w:val="004523E6"/>
    <w:rsid w:val="0045248F"/>
    <w:rsid w:val="00452680"/>
    <w:rsid w:val="004526A2"/>
    <w:rsid w:val="00452752"/>
    <w:rsid w:val="0045278C"/>
    <w:rsid w:val="004527D4"/>
    <w:rsid w:val="00452845"/>
    <w:rsid w:val="00452899"/>
    <w:rsid w:val="00452BB1"/>
    <w:rsid w:val="00452D83"/>
    <w:rsid w:val="00452D86"/>
    <w:rsid w:val="00452DC2"/>
    <w:rsid w:val="00452FD0"/>
    <w:rsid w:val="00453002"/>
    <w:rsid w:val="0045306E"/>
    <w:rsid w:val="00453137"/>
    <w:rsid w:val="0045336B"/>
    <w:rsid w:val="00453548"/>
    <w:rsid w:val="004535CF"/>
    <w:rsid w:val="004535D6"/>
    <w:rsid w:val="00453782"/>
    <w:rsid w:val="004537DE"/>
    <w:rsid w:val="004538A9"/>
    <w:rsid w:val="004538C3"/>
    <w:rsid w:val="004538CF"/>
    <w:rsid w:val="004538F8"/>
    <w:rsid w:val="00453C05"/>
    <w:rsid w:val="00453CAA"/>
    <w:rsid w:val="00453DAF"/>
    <w:rsid w:val="00453E26"/>
    <w:rsid w:val="00453E8B"/>
    <w:rsid w:val="00453EB6"/>
    <w:rsid w:val="00453EBE"/>
    <w:rsid w:val="00453F3C"/>
    <w:rsid w:val="00453F4E"/>
    <w:rsid w:val="0045402E"/>
    <w:rsid w:val="004540B8"/>
    <w:rsid w:val="004541E6"/>
    <w:rsid w:val="004541F5"/>
    <w:rsid w:val="00454282"/>
    <w:rsid w:val="00454483"/>
    <w:rsid w:val="0045469C"/>
    <w:rsid w:val="004546CB"/>
    <w:rsid w:val="00454714"/>
    <w:rsid w:val="00454728"/>
    <w:rsid w:val="0045475B"/>
    <w:rsid w:val="004549CE"/>
    <w:rsid w:val="00454A63"/>
    <w:rsid w:val="00454A6B"/>
    <w:rsid w:val="00454B96"/>
    <w:rsid w:val="00454C73"/>
    <w:rsid w:val="00454CC1"/>
    <w:rsid w:val="00454D5C"/>
    <w:rsid w:val="00454D78"/>
    <w:rsid w:val="00454E8D"/>
    <w:rsid w:val="0045506E"/>
    <w:rsid w:val="00455130"/>
    <w:rsid w:val="004551AC"/>
    <w:rsid w:val="004551E6"/>
    <w:rsid w:val="004552D4"/>
    <w:rsid w:val="00455336"/>
    <w:rsid w:val="0045540D"/>
    <w:rsid w:val="0045541E"/>
    <w:rsid w:val="00455471"/>
    <w:rsid w:val="0045549E"/>
    <w:rsid w:val="004554C9"/>
    <w:rsid w:val="004555F6"/>
    <w:rsid w:val="004556E4"/>
    <w:rsid w:val="004558A7"/>
    <w:rsid w:val="004558B2"/>
    <w:rsid w:val="004559AE"/>
    <w:rsid w:val="00455AC2"/>
    <w:rsid w:val="00455B9C"/>
    <w:rsid w:val="00455CDF"/>
    <w:rsid w:val="00455CFD"/>
    <w:rsid w:val="00455FBD"/>
    <w:rsid w:val="00456062"/>
    <w:rsid w:val="004560A0"/>
    <w:rsid w:val="00456112"/>
    <w:rsid w:val="0045611D"/>
    <w:rsid w:val="0045618B"/>
    <w:rsid w:val="00456313"/>
    <w:rsid w:val="00456349"/>
    <w:rsid w:val="004563BB"/>
    <w:rsid w:val="004563EC"/>
    <w:rsid w:val="004564B6"/>
    <w:rsid w:val="004564F7"/>
    <w:rsid w:val="004566F2"/>
    <w:rsid w:val="0045678A"/>
    <w:rsid w:val="004567A9"/>
    <w:rsid w:val="004567F8"/>
    <w:rsid w:val="00456892"/>
    <w:rsid w:val="00456975"/>
    <w:rsid w:val="00456988"/>
    <w:rsid w:val="004569FD"/>
    <w:rsid w:val="00456A7D"/>
    <w:rsid w:val="00456B38"/>
    <w:rsid w:val="00456BC4"/>
    <w:rsid w:val="00456D56"/>
    <w:rsid w:val="00456E4F"/>
    <w:rsid w:val="00456E6F"/>
    <w:rsid w:val="00456EF3"/>
    <w:rsid w:val="00456F55"/>
    <w:rsid w:val="00456F6F"/>
    <w:rsid w:val="00457117"/>
    <w:rsid w:val="00457195"/>
    <w:rsid w:val="0045734C"/>
    <w:rsid w:val="0045759E"/>
    <w:rsid w:val="004576C1"/>
    <w:rsid w:val="004577E9"/>
    <w:rsid w:val="00457838"/>
    <w:rsid w:val="00457887"/>
    <w:rsid w:val="00457932"/>
    <w:rsid w:val="00457973"/>
    <w:rsid w:val="00457A25"/>
    <w:rsid w:val="00457AAE"/>
    <w:rsid w:val="00457AE2"/>
    <w:rsid w:val="00457C04"/>
    <w:rsid w:val="00457CC6"/>
    <w:rsid w:val="00457DB3"/>
    <w:rsid w:val="00457DBC"/>
    <w:rsid w:val="00457DCF"/>
    <w:rsid w:val="00457EA6"/>
    <w:rsid w:val="00457EA9"/>
    <w:rsid w:val="00457EB4"/>
    <w:rsid w:val="00457EBB"/>
    <w:rsid w:val="00457F21"/>
    <w:rsid w:val="00460177"/>
    <w:rsid w:val="004602D0"/>
    <w:rsid w:val="00460349"/>
    <w:rsid w:val="00460388"/>
    <w:rsid w:val="00460483"/>
    <w:rsid w:val="0046055F"/>
    <w:rsid w:val="00460614"/>
    <w:rsid w:val="00460691"/>
    <w:rsid w:val="00460698"/>
    <w:rsid w:val="00460719"/>
    <w:rsid w:val="0046073B"/>
    <w:rsid w:val="004607A7"/>
    <w:rsid w:val="004607BD"/>
    <w:rsid w:val="00460811"/>
    <w:rsid w:val="004608F1"/>
    <w:rsid w:val="00460911"/>
    <w:rsid w:val="00460A96"/>
    <w:rsid w:val="00460B7E"/>
    <w:rsid w:val="00460BB2"/>
    <w:rsid w:val="00460CA9"/>
    <w:rsid w:val="00460CC1"/>
    <w:rsid w:val="00460D5B"/>
    <w:rsid w:val="00460E61"/>
    <w:rsid w:val="00460FD0"/>
    <w:rsid w:val="00460FD9"/>
    <w:rsid w:val="00461040"/>
    <w:rsid w:val="004610A9"/>
    <w:rsid w:val="00461101"/>
    <w:rsid w:val="00461310"/>
    <w:rsid w:val="00461412"/>
    <w:rsid w:val="00461426"/>
    <w:rsid w:val="0046142E"/>
    <w:rsid w:val="004614DA"/>
    <w:rsid w:val="004614E4"/>
    <w:rsid w:val="004614F2"/>
    <w:rsid w:val="004615EB"/>
    <w:rsid w:val="00461779"/>
    <w:rsid w:val="004617D5"/>
    <w:rsid w:val="00461833"/>
    <w:rsid w:val="004618F1"/>
    <w:rsid w:val="00461905"/>
    <w:rsid w:val="00461930"/>
    <w:rsid w:val="0046198E"/>
    <w:rsid w:val="00461993"/>
    <w:rsid w:val="004619FB"/>
    <w:rsid w:val="00461A5C"/>
    <w:rsid w:val="00461A7D"/>
    <w:rsid w:val="00461AE1"/>
    <w:rsid w:val="00461BBF"/>
    <w:rsid w:val="00461BD5"/>
    <w:rsid w:val="00461C2C"/>
    <w:rsid w:val="00461D89"/>
    <w:rsid w:val="00461DC5"/>
    <w:rsid w:val="00461E3A"/>
    <w:rsid w:val="00461EC6"/>
    <w:rsid w:val="00461FB9"/>
    <w:rsid w:val="004620AB"/>
    <w:rsid w:val="004621D0"/>
    <w:rsid w:val="00462294"/>
    <w:rsid w:val="004622AA"/>
    <w:rsid w:val="0046230B"/>
    <w:rsid w:val="0046238A"/>
    <w:rsid w:val="00462492"/>
    <w:rsid w:val="0046250B"/>
    <w:rsid w:val="00462526"/>
    <w:rsid w:val="004625FC"/>
    <w:rsid w:val="00462731"/>
    <w:rsid w:val="00462775"/>
    <w:rsid w:val="0046279F"/>
    <w:rsid w:val="004627A8"/>
    <w:rsid w:val="004627F4"/>
    <w:rsid w:val="00462874"/>
    <w:rsid w:val="00462967"/>
    <w:rsid w:val="00462A0C"/>
    <w:rsid w:val="00462C15"/>
    <w:rsid w:val="00462D34"/>
    <w:rsid w:val="00462D62"/>
    <w:rsid w:val="00462DC6"/>
    <w:rsid w:val="00462F4C"/>
    <w:rsid w:val="00463071"/>
    <w:rsid w:val="00463124"/>
    <w:rsid w:val="00463192"/>
    <w:rsid w:val="0046321C"/>
    <w:rsid w:val="0046328B"/>
    <w:rsid w:val="00463350"/>
    <w:rsid w:val="0046346C"/>
    <w:rsid w:val="004635C1"/>
    <w:rsid w:val="00463612"/>
    <w:rsid w:val="00463630"/>
    <w:rsid w:val="0046368E"/>
    <w:rsid w:val="004636F6"/>
    <w:rsid w:val="004637CD"/>
    <w:rsid w:val="0046385B"/>
    <w:rsid w:val="00463A9A"/>
    <w:rsid w:val="00463BA4"/>
    <w:rsid w:val="00463F17"/>
    <w:rsid w:val="00463F38"/>
    <w:rsid w:val="00463F3E"/>
    <w:rsid w:val="00463F9D"/>
    <w:rsid w:val="0046404A"/>
    <w:rsid w:val="00464063"/>
    <w:rsid w:val="0046409C"/>
    <w:rsid w:val="004640D6"/>
    <w:rsid w:val="0046414D"/>
    <w:rsid w:val="0046429B"/>
    <w:rsid w:val="00464389"/>
    <w:rsid w:val="004643A2"/>
    <w:rsid w:val="00464404"/>
    <w:rsid w:val="00464478"/>
    <w:rsid w:val="00464589"/>
    <w:rsid w:val="0046462E"/>
    <w:rsid w:val="00464672"/>
    <w:rsid w:val="00464799"/>
    <w:rsid w:val="004647DB"/>
    <w:rsid w:val="00464938"/>
    <w:rsid w:val="004649C0"/>
    <w:rsid w:val="00464A64"/>
    <w:rsid w:val="00464C5F"/>
    <w:rsid w:val="00464CE2"/>
    <w:rsid w:val="00464DBA"/>
    <w:rsid w:val="00464E9C"/>
    <w:rsid w:val="00464F4D"/>
    <w:rsid w:val="0046502D"/>
    <w:rsid w:val="004650F1"/>
    <w:rsid w:val="0046514E"/>
    <w:rsid w:val="00465157"/>
    <w:rsid w:val="00465173"/>
    <w:rsid w:val="004651C8"/>
    <w:rsid w:val="004651C9"/>
    <w:rsid w:val="004652B3"/>
    <w:rsid w:val="004653D2"/>
    <w:rsid w:val="004654EC"/>
    <w:rsid w:val="004654FD"/>
    <w:rsid w:val="00465507"/>
    <w:rsid w:val="0046563B"/>
    <w:rsid w:val="00465700"/>
    <w:rsid w:val="00465A26"/>
    <w:rsid w:val="00465A73"/>
    <w:rsid w:val="00465AD6"/>
    <w:rsid w:val="00465C0C"/>
    <w:rsid w:val="00465DB4"/>
    <w:rsid w:val="00465E0D"/>
    <w:rsid w:val="00465E1A"/>
    <w:rsid w:val="00465F0B"/>
    <w:rsid w:val="00465FC4"/>
    <w:rsid w:val="00465FDF"/>
    <w:rsid w:val="004660E4"/>
    <w:rsid w:val="004660F0"/>
    <w:rsid w:val="00466101"/>
    <w:rsid w:val="00466429"/>
    <w:rsid w:val="0046645B"/>
    <w:rsid w:val="004664BF"/>
    <w:rsid w:val="004665FC"/>
    <w:rsid w:val="004666DB"/>
    <w:rsid w:val="004666DD"/>
    <w:rsid w:val="00466723"/>
    <w:rsid w:val="0046676E"/>
    <w:rsid w:val="00466926"/>
    <w:rsid w:val="0046699F"/>
    <w:rsid w:val="00466A0A"/>
    <w:rsid w:val="00466B7D"/>
    <w:rsid w:val="00466C10"/>
    <w:rsid w:val="00466CE3"/>
    <w:rsid w:val="00466F87"/>
    <w:rsid w:val="00466F89"/>
    <w:rsid w:val="0046703D"/>
    <w:rsid w:val="0046708C"/>
    <w:rsid w:val="004670DD"/>
    <w:rsid w:val="004670E7"/>
    <w:rsid w:val="00467133"/>
    <w:rsid w:val="00467147"/>
    <w:rsid w:val="0046717E"/>
    <w:rsid w:val="00467236"/>
    <w:rsid w:val="00467468"/>
    <w:rsid w:val="004674D7"/>
    <w:rsid w:val="004674F6"/>
    <w:rsid w:val="00467520"/>
    <w:rsid w:val="00467607"/>
    <w:rsid w:val="00467793"/>
    <w:rsid w:val="00467859"/>
    <w:rsid w:val="00467902"/>
    <w:rsid w:val="0046794E"/>
    <w:rsid w:val="004679F2"/>
    <w:rsid w:val="00467A14"/>
    <w:rsid w:val="00467A4D"/>
    <w:rsid w:val="00467B8A"/>
    <w:rsid w:val="00467CF3"/>
    <w:rsid w:val="00467D20"/>
    <w:rsid w:val="00467DC7"/>
    <w:rsid w:val="00467E47"/>
    <w:rsid w:val="00467E4B"/>
    <w:rsid w:val="00467E9C"/>
    <w:rsid w:val="00467ED3"/>
    <w:rsid w:val="00467F15"/>
    <w:rsid w:val="00467F38"/>
    <w:rsid w:val="00467FEF"/>
    <w:rsid w:val="004700A1"/>
    <w:rsid w:val="004700D8"/>
    <w:rsid w:val="00470144"/>
    <w:rsid w:val="004701FA"/>
    <w:rsid w:val="0047021B"/>
    <w:rsid w:val="00470289"/>
    <w:rsid w:val="004702C1"/>
    <w:rsid w:val="0047046D"/>
    <w:rsid w:val="00470502"/>
    <w:rsid w:val="00470540"/>
    <w:rsid w:val="00470580"/>
    <w:rsid w:val="00470723"/>
    <w:rsid w:val="004707C2"/>
    <w:rsid w:val="0047086A"/>
    <w:rsid w:val="00470894"/>
    <w:rsid w:val="004708B1"/>
    <w:rsid w:val="00470A17"/>
    <w:rsid w:val="00470A60"/>
    <w:rsid w:val="00470A7C"/>
    <w:rsid w:val="00470B32"/>
    <w:rsid w:val="00470D6C"/>
    <w:rsid w:val="00470D90"/>
    <w:rsid w:val="00470DEA"/>
    <w:rsid w:val="00470E18"/>
    <w:rsid w:val="00470F7F"/>
    <w:rsid w:val="00471052"/>
    <w:rsid w:val="004710ED"/>
    <w:rsid w:val="004710FB"/>
    <w:rsid w:val="00471217"/>
    <w:rsid w:val="0047121C"/>
    <w:rsid w:val="00471328"/>
    <w:rsid w:val="00471425"/>
    <w:rsid w:val="00471456"/>
    <w:rsid w:val="004714D7"/>
    <w:rsid w:val="004714E7"/>
    <w:rsid w:val="0047158B"/>
    <w:rsid w:val="00471621"/>
    <w:rsid w:val="00471765"/>
    <w:rsid w:val="004717B7"/>
    <w:rsid w:val="004717BC"/>
    <w:rsid w:val="00471860"/>
    <w:rsid w:val="0047187F"/>
    <w:rsid w:val="00471923"/>
    <w:rsid w:val="004719B3"/>
    <w:rsid w:val="00471C90"/>
    <w:rsid w:val="00471CA0"/>
    <w:rsid w:val="00471CFA"/>
    <w:rsid w:val="00471D33"/>
    <w:rsid w:val="00471D62"/>
    <w:rsid w:val="00471F28"/>
    <w:rsid w:val="00471F7E"/>
    <w:rsid w:val="00471FDE"/>
    <w:rsid w:val="004720C7"/>
    <w:rsid w:val="004721CA"/>
    <w:rsid w:val="0047224F"/>
    <w:rsid w:val="00472253"/>
    <w:rsid w:val="004722BB"/>
    <w:rsid w:val="004722C5"/>
    <w:rsid w:val="00472375"/>
    <w:rsid w:val="0047237C"/>
    <w:rsid w:val="00472465"/>
    <w:rsid w:val="0047251A"/>
    <w:rsid w:val="0047251C"/>
    <w:rsid w:val="00472558"/>
    <w:rsid w:val="0047267A"/>
    <w:rsid w:val="004726A5"/>
    <w:rsid w:val="00472777"/>
    <w:rsid w:val="004727C2"/>
    <w:rsid w:val="004727EB"/>
    <w:rsid w:val="0047288E"/>
    <w:rsid w:val="004728A8"/>
    <w:rsid w:val="0047295B"/>
    <w:rsid w:val="00472963"/>
    <w:rsid w:val="0047298B"/>
    <w:rsid w:val="004729F7"/>
    <w:rsid w:val="00472A01"/>
    <w:rsid w:val="00472A76"/>
    <w:rsid w:val="00472A8B"/>
    <w:rsid w:val="00472E26"/>
    <w:rsid w:val="00472E76"/>
    <w:rsid w:val="00473076"/>
    <w:rsid w:val="004730B9"/>
    <w:rsid w:val="004731D5"/>
    <w:rsid w:val="00473215"/>
    <w:rsid w:val="0047333E"/>
    <w:rsid w:val="004735C0"/>
    <w:rsid w:val="00473644"/>
    <w:rsid w:val="00473687"/>
    <w:rsid w:val="004736AC"/>
    <w:rsid w:val="004736C0"/>
    <w:rsid w:val="0047373D"/>
    <w:rsid w:val="0047377D"/>
    <w:rsid w:val="0047379D"/>
    <w:rsid w:val="004738A0"/>
    <w:rsid w:val="004738B8"/>
    <w:rsid w:val="004738C8"/>
    <w:rsid w:val="00473909"/>
    <w:rsid w:val="0047390F"/>
    <w:rsid w:val="004739EB"/>
    <w:rsid w:val="00473A19"/>
    <w:rsid w:val="00473A22"/>
    <w:rsid w:val="00473AF4"/>
    <w:rsid w:val="00473BCA"/>
    <w:rsid w:val="00473E2A"/>
    <w:rsid w:val="00473E83"/>
    <w:rsid w:val="00473F18"/>
    <w:rsid w:val="00473F4E"/>
    <w:rsid w:val="00473F79"/>
    <w:rsid w:val="004740A0"/>
    <w:rsid w:val="0047423B"/>
    <w:rsid w:val="00474280"/>
    <w:rsid w:val="004742F8"/>
    <w:rsid w:val="00474369"/>
    <w:rsid w:val="004743C6"/>
    <w:rsid w:val="004743CE"/>
    <w:rsid w:val="004744C8"/>
    <w:rsid w:val="004745B4"/>
    <w:rsid w:val="004746B0"/>
    <w:rsid w:val="00474A0B"/>
    <w:rsid w:val="00474A9A"/>
    <w:rsid w:val="00474AFD"/>
    <w:rsid w:val="00474B93"/>
    <w:rsid w:val="00474C79"/>
    <w:rsid w:val="00474C85"/>
    <w:rsid w:val="00474CFB"/>
    <w:rsid w:val="00474D22"/>
    <w:rsid w:val="00474DF4"/>
    <w:rsid w:val="00474EA2"/>
    <w:rsid w:val="00474F79"/>
    <w:rsid w:val="0047505E"/>
    <w:rsid w:val="00475079"/>
    <w:rsid w:val="0047512D"/>
    <w:rsid w:val="00475182"/>
    <w:rsid w:val="004751DA"/>
    <w:rsid w:val="0047525C"/>
    <w:rsid w:val="00475354"/>
    <w:rsid w:val="00475404"/>
    <w:rsid w:val="00475428"/>
    <w:rsid w:val="004754CF"/>
    <w:rsid w:val="004754EC"/>
    <w:rsid w:val="00475524"/>
    <w:rsid w:val="00475556"/>
    <w:rsid w:val="00475583"/>
    <w:rsid w:val="004755C8"/>
    <w:rsid w:val="0047566A"/>
    <w:rsid w:val="004757F1"/>
    <w:rsid w:val="004758B8"/>
    <w:rsid w:val="004758E0"/>
    <w:rsid w:val="00475913"/>
    <w:rsid w:val="004759AC"/>
    <w:rsid w:val="004759C0"/>
    <w:rsid w:val="00475A57"/>
    <w:rsid w:val="00475BA0"/>
    <w:rsid w:val="00475C8B"/>
    <w:rsid w:val="00475CA8"/>
    <w:rsid w:val="00475E18"/>
    <w:rsid w:val="00475F8D"/>
    <w:rsid w:val="00475F97"/>
    <w:rsid w:val="00476013"/>
    <w:rsid w:val="00476058"/>
    <w:rsid w:val="0047607A"/>
    <w:rsid w:val="004760AD"/>
    <w:rsid w:val="00476206"/>
    <w:rsid w:val="00476291"/>
    <w:rsid w:val="004762DD"/>
    <w:rsid w:val="00476359"/>
    <w:rsid w:val="0047643A"/>
    <w:rsid w:val="004764D2"/>
    <w:rsid w:val="00476506"/>
    <w:rsid w:val="0047665D"/>
    <w:rsid w:val="00476898"/>
    <w:rsid w:val="004769FD"/>
    <w:rsid w:val="00476A66"/>
    <w:rsid w:val="00476B96"/>
    <w:rsid w:val="00476BED"/>
    <w:rsid w:val="00476C11"/>
    <w:rsid w:val="00476C21"/>
    <w:rsid w:val="00476DB1"/>
    <w:rsid w:val="00476E56"/>
    <w:rsid w:val="00476E82"/>
    <w:rsid w:val="00476EB2"/>
    <w:rsid w:val="00476F79"/>
    <w:rsid w:val="00476FD8"/>
    <w:rsid w:val="0047706B"/>
    <w:rsid w:val="004770F4"/>
    <w:rsid w:val="00477101"/>
    <w:rsid w:val="00477114"/>
    <w:rsid w:val="00477118"/>
    <w:rsid w:val="00477254"/>
    <w:rsid w:val="004772A5"/>
    <w:rsid w:val="004772B7"/>
    <w:rsid w:val="00477413"/>
    <w:rsid w:val="00477463"/>
    <w:rsid w:val="004775A4"/>
    <w:rsid w:val="00477642"/>
    <w:rsid w:val="00477655"/>
    <w:rsid w:val="0047768E"/>
    <w:rsid w:val="004776D3"/>
    <w:rsid w:val="00477717"/>
    <w:rsid w:val="004777A8"/>
    <w:rsid w:val="004777E8"/>
    <w:rsid w:val="004777EB"/>
    <w:rsid w:val="00477826"/>
    <w:rsid w:val="00477855"/>
    <w:rsid w:val="004778E9"/>
    <w:rsid w:val="00477970"/>
    <w:rsid w:val="00477974"/>
    <w:rsid w:val="00477A07"/>
    <w:rsid w:val="00477A0F"/>
    <w:rsid w:val="00477A1F"/>
    <w:rsid w:val="00477A3B"/>
    <w:rsid w:val="00477AC8"/>
    <w:rsid w:val="00477ADA"/>
    <w:rsid w:val="00477AF0"/>
    <w:rsid w:val="00477B00"/>
    <w:rsid w:val="00477B12"/>
    <w:rsid w:val="00477B50"/>
    <w:rsid w:val="00477B7A"/>
    <w:rsid w:val="00477C5B"/>
    <w:rsid w:val="00477DE2"/>
    <w:rsid w:val="00477F4D"/>
    <w:rsid w:val="00477FB6"/>
    <w:rsid w:val="00480062"/>
    <w:rsid w:val="00480068"/>
    <w:rsid w:val="004800D5"/>
    <w:rsid w:val="00480212"/>
    <w:rsid w:val="00480280"/>
    <w:rsid w:val="00480362"/>
    <w:rsid w:val="0048037F"/>
    <w:rsid w:val="0048047C"/>
    <w:rsid w:val="0048048C"/>
    <w:rsid w:val="00480490"/>
    <w:rsid w:val="0048049A"/>
    <w:rsid w:val="004804A7"/>
    <w:rsid w:val="004804D9"/>
    <w:rsid w:val="004804E0"/>
    <w:rsid w:val="00480583"/>
    <w:rsid w:val="0048064C"/>
    <w:rsid w:val="0048070F"/>
    <w:rsid w:val="00480742"/>
    <w:rsid w:val="00480748"/>
    <w:rsid w:val="004807DF"/>
    <w:rsid w:val="004807F0"/>
    <w:rsid w:val="0048085D"/>
    <w:rsid w:val="00480894"/>
    <w:rsid w:val="004808A5"/>
    <w:rsid w:val="0048090E"/>
    <w:rsid w:val="0048096C"/>
    <w:rsid w:val="00480A43"/>
    <w:rsid w:val="00480B2A"/>
    <w:rsid w:val="00480BA2"/>
    <w:rsid w:val="00480CD2"/>
    <w:rsid w:val="00480D33"/>
    <w:rsid w:val="00480DFF"/>
    <w:rsid w:val="00480E5A"/>
    <w:rsid w:val="00480F15"/>
    <w:rsid w:val="00480F86"/>
    <w:rsid w:val="00480FEE"/>
    <w:rsid w:val="00481105"/>
    <w:rsid w:val="004811DF"/>
    <w:rsid w:val="004811E5"/>
    <w:rsid w:val="004811F5"/>
    <w:rsid w:val="00481253"/>
    <w:rsid w:val="0048126E"/>
    <w:rsid w:val="00481376"/>
    <w:rsid w:val="004813CE"/>
    <w:rsid w:val="0048143A"/>
    <w:rsid w:val="0048146A"/>
    <w:rsid w:val="004814C1"/>
    <w:rsid w:val="00481551"/>
    <w:rsid w:val="0048162A"/>
    <w:rsid w:val="00481642"/>
    <w:rsid w:val="00481724"/>
    <w:rsid w:val="00481767"/>
    <w:rsid w:val="00481851"/>
    <w:rsid w:val="004818B7"/>
    <w:rsid w:val="004818DD"/>
    <w:rsid w:val="00481BA7"/>
    <w:rsid w:val="00481BB1"/>
    <w:rsid w:val="00481BCA"/>
    <w:rsid w:val="00481BCD"/>
    <w:rsid w:val="00481C2B"/>
    <w:rsid w:val="00481CA1"/>
    <w:rsid w:val="00481E3F"/>
    <w:rsid w:val="00481F89"/>
    <w:rsid w:val="00481FE4"/>
    <w:rsid w:val="004820DC"/>
    <w:rsid w:val="004820F5"/>
    <w:rsid w:val="0048214B"/>
    <w:rsid w:val="00482302"/>
    <w:rsid w:val="00482323"/>
    <w:rsid w:val="0048234E"/>
    <w:rsid w:val="004823BB"/>
    <w:rsid w:val="0048245C"/>
    <w:rsid w:val="00482517"/>
    <w:rsid w:val="0048256F"/>
    <w:rsid w:val="00482629"/>
    <w:rsid w:val="00482763"/>
    <w:rsid w:val="0048281A"/>
    <w:rsid w:val="00482941"/>
    <w:rsid w:val="004829B0"/>
    <w:rsid w:val="00482AAC"/>
    <w:rsid w:val="00482B66"/>
    <w:rsid w:val="00482F85"/>
    <w:rsid w:val="00482FB3"/>
    <w:rsid w:val="00482FBB"/>
    <w:rsid w:val="0048309C"/>
    <w:rsid w:val="004830DE"/>
    <w:rsid w:val="00483138"/>
    <w:rsid w:val="0048317E"/>
    <w:rsid w:val="004831A7"/>
    <w:rsid w:val="004831B2"/>
    <w:rsid w:val="004831CD"/>
    <w:rsid w:val="0048328D"/>
    <w:rsid w:val="00483300"/>
    <w:rsid w:val="00483396"/>
    <w:rsid w:val="004833A7"/>
    <w:rsid w:val="004833AB"/>
    <w:rsid w:val="00483412"/>
    <w:rsid w:val="00483532"/>
    <w:rsid w:val="00483590"/>
    <w:rsid w:val="00483675"/>
    <w:rsid w:val="004836C4"/>
    <w:rsid w:val="00483839"/>
    <w:rsid w:val="004838AE"/>
    <w:rsid w:val="004838BC"/>
    <w:rsid w:val="004838D5"/>
    <w:rsid w:val="004839C3"/>
    <w:rsid w:val="00483AB1"/>
    <w:rsid w:val="00483AC2"/>
    <w:rsid w:val="00484058"/>
    <w:rsid w:val="0048409D"/>
    <w:rsid w:val="004840FF"/>
    <w:rsid w:val="0048414C"/>
    <w:rsid w:val="00484163"/>
    <w:rsid w:val="00484397"/>
    <w:rsid w:val="004843AA"/>
    <w:rsid w:val="004843CD"/>
    <w:rsid w:val="004843D9"/>
    <w:rsid w:val="004844BF"/>
    <w:rsid w:val="004844FC"/>
    <w:rsid w:val="004845D8"/>
    <w:rsid w:val="0048465F"/>
    <w:rsid w:val="004846BB"/>
    <w:rsid w:val="00484709"/>
    <w:rsid w:val="00484710"/>
    <w:rsid w:val="0048481D"/>
    <w:rsid w:val="00484834"/>
    <w:rsid w:val="00484869"/>
    <w:rsid w:val="004849C1"/>
    <w:rsid w:val="004849C9"/>
    <w:rsid w:val="004849DF"/>
    <w:rsid w:val="00484A24"/>
    <w:rsid w:val="00484AF7"/>
    <w:rsid w:val="00484CDA"/>
    <w:rsid w:val="00484D7B"/>
    <w:rsid w:val="00484D7C"/>
    <w:rsid w:val="00484E9D"/>
    <w:rsid w:val="00484EC7"/>
    <w:rsid w:val="00484F16"/>
    <w:rsid w:val="00485119"/>
    <w:rsid w:val="004851FC"/>
    <w:rsid w:val="00485319"/>
    <w:rsid w:val="00485360"/>
    <w:rsid w:val="004853F2"/>
    <w:rsid w:val="004853FB"/>
    <w:rsid w:val="00485429"/>
    <w:rsid w:val="0048543F"/>
    <w:rsid w:val="0048562B"/>
    <w:rsid w:val="00485650"/>
    <w:rsid w:val="004856B9"/>
    <w:rsid w:val="0048574D"/>
    <w:rsid w:val="004857C6"/>
    <w:rsid w:val="0048582B"/>
    <w:rsid w:val="00485A49"/>
    <w:rsid w:val="00485AF0"/>
    <w:rsid w:val="00485BFE"/>
    <w:rsid w:val="00485D1B"/>
    <w:rsid w:val="00485D25"/>
    <w:rsid w:val="00485D2D"/>
    <w:rsid w:val="00485DF7"/>
    <w:rsid w:val="00485E22"/>
    <w:rsid w:val="00485E72"/>
    <w:rsid w:val="00485E9B"/>
    <w:rsid w:val="00485EA1"/>
    <w:rsid w:val="00485ED3"/>
    <w:rsid w:val="00485F5C"/>
    <w:rsid w:val="00485FB4"/>
    <w:rsid w:val="00485FDC"/>
    <w:rsid w:val="004860BD"/>
    <w:rsid w:val="00486119"/>
    <w:rsid w:val="004861B5"/>
    <w:rsid w:val="004861CB"/>
    <w:rsid w:val="00486276"/>
    <w:rsid w:val="004862BD"/>
    <w:rsid w:val="00486335"/>
    <w:rsid w:val="00486356"/>
    <w:rsid w:val="00486384"/>
    <w:rsid w:val="004864D7"/>
    <w:rsid w:val="004864F5"/>
    <w:rsid w:val="00486516"/>
    <w:rsid w:val="0048652F"/>
    <w:rsid w:val="004865D8"/>
    <w:rsid w:val="004866B3"/>
    <w:rsid w:val="004866B8"/>
    <w:rsid w:val="004866EB"/>
    <w:rsid w:val="00486786"/>
    <w:rsid w:val="0048680D"/>
    <w:rsid w:val="0048682D"/>
    <w:rsid w:val="0048687A"/>
    <w:rsid w:val="00486881"/>
    <w:rsid w:val="00486A08"/>
    <w:rsid w:val="00486A0E"/>
    <w:rsid w:val="00486A2B"/>
    <w:rsid w:val="00486B30"/>
    <w:rsid w:val="00486B3D"/>
    <w:rsid w:val="00486B5D"/>
    <w:rsid w:val="00486B6E"/>
    <w:rsid w:val="00486BFA"/>
    <w:rsid w:val="00486D7B"/>
    <w:rsid w:val="00486DA8"/>
    <w:rsid w:val="00486DE3"/>
    <w:rsid w:val="00486E38"/>
    <w:rsid w:val="00486E4F"/>
    <w:rsid w:val="00486E90"/>
    <w:rsid w:val="00486EA4"/>
    <w:rsid w:val="00486EE8"/>
    <w:rsid w:val="00486FC5"/>
    <w:rsid w:val="0048702F"/>
    <w:rsid w:val="00487174"/>
    <w:rsid w:val="004871F9"/>
    <w:rsid w:val="004872A1"/>
    <w:rsid w:val="004872B1"/>
    <w:rsid w:val="0048734A"/>
    <w:rsid w:val="0048738D"/>
    <w:rsid w:val="0048739F"/>
    <w:rsid w:val="0048749B"/>
    <w:rsid w:val="004875E4"/>
    <w:rsid w:val="004875E8"/>
    <w:rsid w:val="004876AC"/>
    <w:rsid w:val="004876CA"/>
    <w:rsid w:val="00487753"/>
    <w:rsid w:val="0048776D"/>
    <w:rsid w:val="00487933"/>
    <w:rsid w:val="0048799F"/>
    <w:rsid w:val="00487A19"/>
    <w:rsid w:val="00487B2C"/>
    <w:rsid w:val="00487BBE"/>
    <w:rsid w:val="00487BF6"/>
    <w:rsid w:val="00487C84"/>
    <w:rsid w:val="00487F03"/>
    <w:rsid w:val="00487FAC"/>
    <w:rsid w:val="00487FD3"/>
    <w:rsid w:val="00487FD7"/>
    <w:rsid w:val="00490189"/>
    <w:rsid w:val="004901AD"/>
    <w:rsid w:val="004902AA"/>
    <w:rsid w:val="00490325"/>
    <w:rsid w:val="00490394"/>
    <w:rsid w:val="0049048D"/>
    <w:rsid w:val="0049048F"/>
    <w:rsid w:val="004904BF"/>
    <w:rsid w:val="00490517"/>
    <w:rsid w:val="004905B8"/>
    <w:rsid w:val="0049060A"/>
    <w:rsid w:val="004906BC"/>
    <w:rsid w:val="0049074B"/>
    <w:rsid w:val="00490816"/>
    <w:rsid w:val="0049091D"/>
    <w:rsid w:val="00490995"/>
    <w:rsid w:val="004909AF"/>
    <w:rsid w:val="00490B58"/>
    <w:rsid w:val="00490B71"/>
    <w:rsid w:val="00490CAA"/>
    <w:rsid w:val="00490CDE"/>
    <w:rsid w:val="00490E9F"/>
    <w:rsid w:val="00490EDF"/>
    <w:rsid w:val="00490F78"/>
    <w:rsid w:val="00491075"/>
    <w:rsid w:val="004910B0"/>
    <w:rsid w:val="004910CB"/>
    <w:rsid w:val="00491172"/>
    <w:rsid w:val="004911E2"/>
    <w:rsid w:val="0049120C"/>
    <w:rsid w:val="00491275"/>
    <w:rsid w:val="004913B5"/>
    <w:rsid w:val="004913BE"/>
    <w:rsid w:val="0049140D"/>
    <w:rsid w:val="00491495"/>
    <w:rsid w:val="004916B0"/>
    <w:rsid w:val="004916BD"/>
    <w:rsid w:val="004916D5"/>
    <w:rsid w:val="00491B00"/>
    <w:rsid w:val="00491B02"/>
    <w:rsid w:val="00491B5D"/>
    <w:rsid w:val="00491B79"/>
    <w:rsid w:val="00491C08"/>
    <w:rsid w:val="00491C8C"/>
    <w:rsid w:val="00491CB8"/>
    <w:rsid w:val="00491CFF"/>
    <w:rsid w:val="00491D0D"/>
    <w:rsid w:val="00491EC8"/>
    <w:rsid w:val="00491F6A"/>
    <w:rsid w:val="00491F78"/>
    <w:rsid w:val="00491FB0"/>
    <w:rsid w:val="00491FC9"/>
    <w:rsid w:val="00492003"/>
    <w:rsid w:val="00492214"/>
    <w:rsid w:val="00492272"/>
    <w:rsid w:val="004922CE"/>
    <w:rsid w:val="004922D3"/>
    <w:rsid w:val="00492306"/>
    <w:rsid w:val="0049235A"/>
    <w:rsid w:val="00492418"/>
    <w:rsid w:val="00492636"/>
    <w:rsid w:val="0049288F"/>
    <w:rsid w:val="004928EF"/>
    <w:rsid w:val="00492A15"/>
    <w:rsid w:val="00492AB9"/>
    <w:rsid w:val="00492C0C"/>
    <w:rsid w:val="00492C7C"/>
    <w:rsid w:val="00492D66"/>
    <w:rsid w:val="00492D9F"/>
    <w:rsid w:val="00492E8C"/>
    <w:rsid w:val="00492EF0"/>
    <w:rsid w:val="00492F56"/>
    <w:rsid w:val="00492FAB"/>
    <w:rsid w:val="00492FFE"/>
    <w:rsid w:val="00493055"/>
    <w:rsid w:val="00493057"/>
    <w:rsid w:val="00493064"/>
    <w:rsid w:val="0049306C"/>
    <w:rsid w:val="004931E1"/>
    <w:rsid w:val="00493289"/>
    <w:rsid w:val="004932C4"/>
    <w:rsid w:val="004932EF"/>
    <w:rsid w:val="0049339D"/>
    <w:rsid w:val="004933C3"/>
    <w:rsid w:val="00493402"/>
    <w:rsid w:val="0049342E"/>
    <w:rsid w:val="0049345B"/>
    <w:rsid w:val="00493476"/>
    <w:rsid w:val="0049347B"/>
    <w:rsid w:val="0049354A"/>
    <w:rsid w:val="004935CB"/>
    <w:rsid w:val="004935D9"/>
    <w:rsid w:val="00493695"/>
    <w:rsid w:val="0049374E"/>
    <w:rsid w:val="00493776"/>
    <w:rsid w:val="004938DA"/>
    <w:rsid w:val="00493949"/>
    <w:rsid w:val="00493A09"/>
    <w:rsid w:val="00493B6C"/>
    <w:rsid w:val="00493BE1"/>
    <w:rsid w:val="00493C13"/>
    <w:rsid w:val="00493C27"/>
    <w:rsid w:val="00493CA8"/>
    <w:rsid w:val="00493D35"/>
    <w:rsid w:val="00493D6A"/>
    <w:rsid w:val="00493DA9"/>
    <w:rsid w:val="00493E25"/>
    <w:rsid w:val="00493E38"/>
    <w:rsid w:val="00493E64"/>
    <w:rsid w:val="00493EB7"/>
    <w:rsid w:val="0049409A"/>
    <w:rsid w:val="004940D8"/>
    <w:rsid w:val="004941AD"/>
    <w:rsid w:val="00494203"/>
    <w:rsid w:val="0049428C"/>
    <w:rsid w:val="00494386"/>
    <w:rsid w:val="004943E5"/>
    <w:rsid w:val="004944B9"/>
    <w:rsid w:val="004945B3"/>
    <w:rsid w:val="004945EE"/>
    <w:rsid w:val="004946BB"/>
    <w:rsid w:val="00494807"/>
    <w:rsid w:val="004948D1"/>
    <w:rsid w:val="00494996"/>
    <w:rsid w:val="004949DF"/>
    <w:rsid w:val="004949E6"/>
    <w:rsid w:val="00494A79"/>
    <w:rsid w:val="00494A89"/>
    <w:rsid w:val="00494A9A"/>
    <w:rsid w:val="00494AA1"/>
    <w:rsid w:val="00494B75"/>
    <w:rsid w:val="00494C1C"/>
    <w:rsid w:val="00494CB6"/>
    <w:rsid w:val="00494CFF"/>
    <w:rsid w:val="00494DCE"/>
    <w:rsid w:val="00494DD0"/>
    <w:rsid w:val="00494DDA"/>
    <w:rsid w:val="00494DE3"/>
    <w:rsid w:val="00494F21"/>
    <w:rsid w:val="00494FD0"/>
    <w:rsid w:val="0049503D"/>
    <w:rsid w:val="0049505A"/>
    <w:rsid w:val="004950D1"/>
    <w:rsid w:val="004950FE"/>
    <w:rsid w:val="00495128"/>
    <w:rsid w:val="0049516D"/>
    <w:rsid w:val="004951A4"/>
    <w:rsid w:val="004951D6"/>
    <w:rsid w:val="00495282"/>
    <w:rsid w:val="00495337"/>
    <w:rsid w:val="004954AD"/>
    <w:rsid w:val="004955A3"/>
    <w:rsid w:val="004955B5"/>
    <w:rsid w:val="0049564B"/>
    <w:rsid w:val="00495785"/>
    <w:rsid w:val="0049583F"/>
    <w:rsid w:val="004959E4"/>
    <w:rsid w:val="00495BC2"/>
    <w:rsid w:val="00495C84"/>
    <w:rsid w:val="00495CE1"/>
    <w:rsid w:val="00495DE1"/>
    <w:rsid w:val="00495E01"/>
    <w:rsid w:val="0049607A"/>
    <w:rsid w:val="00496181"/>
    <w:rsid w:val="0049622C"/>
    <w:rsid w:val="00496234"/>
    <w:rsid w:val="00496260"/>
    <w:rsid w:val="0049639A"/>
    <w:rsid w:val="0049648A"/>
    <w:rsid w:val="004964CE"/>
    <w:rsid w:val="00496551"/>
    <w:rsid w:val="00496581"/>
    <w:rsid w:val="00496604"/>
    <w:rsid w:val="0049660D"/>
    <w:rsid w:val="0049667E"/>
    <w:rsid w:val="00496814"/>
    <w:rsid w:val="00496875"/>
    <w:rsid w:val="004968BE"/>
    <w:rsid w:val="004969B2"/>
    <w:rsid w:val="004969BC"/>
    <w:rsid w:val="00496A7E"/>
    <w:rsid w:val="00496AD3"/>
    <w:rsid w:val="00496C0A"/>
    <w:rsid w:val="00496C12"/>
    <w:rsid w:val="00496C98"/>
    <w:rsid w:val="00496F28"/>
    <w:rsid w:val="00497005"/>
    <w:rsid w:val="00497283"/>
    <w:rsid w:val="004973A8"/>
    <w:rsid w:val="004973B9"/>
    <w:rsid w:val="004973C9"/>
    <w:rsid w:val="004973DD"/>
    <w:rsid w:val="00497532"/>
    <w:rsid w:val="004975AC"/>
    <w:rsid w:val="0049760B"/>
    <w:rsid w:val="004977F6"/>
    <w:rsid w:val="00497805"/>
    <w:rsid w:val="00497831"/>
    <w:rsid w:val="004979D6"/>
    <w:rsid w:val="00497A40"/>
    <w:rsid w:val="00497AD7"/>
    <w:rsid w:val="00497C3C"/>
    <w:rsid w:val="00497C61"/>
    <w:rsid w:val="00497C9A"/>
    <w:rsid w:val="00497DB1"/>
    <w:rsid w:val="00497DCC"/>
    <w:rsid w:val="00497DDB"/>
    <w:rsid w:val="00497E29"/>
    <w:rsid w:val="00497EA7"/>
    <w:rsid w:val="00497F37"/>
    <w:rsid w:val="00497F63"/>
    <w:rsid w:val="004A0224"/>
    <w:rsid w:val="004A0442"/>
    <w:rsid w:val="004A04C8"/>
    <w:rsid w:val="004A051B"/>
    <w:rsid w:val="004A05AD"/>
    <w:rsid w:val="004A0679"/>
    <w:rsid w:val="004A06C0"/>
    <w:rsid w:val="004A08FC"/>
    <w:rsid w:val="004A090D"/>
    <w:rsid w:val="004A099E"/>
    <w:rsid w:val="004A09BA"/>
    <w:rsid w:val="004A09F9"/>
    <w:rsid w:val="004A0BA7"/>
    <w:rsid w:val="004A0D05"/>
    <w:rsid w:val="004A0DCF"/>
    <w:rsid w:val="004A0E06"/>
    <w:rsid w:val="004A0E62"/>
    <w:rsid w:val="004A0EFA"/>
    <w:rsid w:val="004A1113"/>
    <w:rsid w:val="004A113C"/>
    <w:rsid w:val="004A121B"/>
    <w:rsid w:val="004A12E5"/>
    <w:rsid w:val="004A131F"/>
    <w:rsid w:val="004A133D"/>
    <w:rsid w:val="004A1382"/>
    <w:rsid w:val="004A15D5"/>
    <w:rsid w:val="004A171D"/>
    <w:rsid w:val="004A1765"/>
    <w:rsid w:val="004A17A9"/>
    <w:rsid w:val="004A17F1"/>
    <w:rsid w:val="004A1815"/>
    <w:rsid w:val="004A1852"/>
    <w:rsid w:val="004A1873"/>
    <w:rsid w:val="004A1910"/>
    <w:rsid w:val="004A1916"/>
    <w:rsid w:val="004A19AE"/>
    <w:rsid w:val="004A1A19"/>
    <w:rsid w:val="004A1ADD"/>
    <w:rsid w:val="004A1D56"/>
    <w:rsid w:val="004A1DEA"/>
    <w:rsid w:val="004A1EB9"/>
    <w:rsid w:val="004A1EF1"/>
    <w:rsid w:val="004A1FAF"/>
    <w:rsid w:val="004A1FE9"/>
    <w:rsid w:val="004A20B2"/>
    <w:rsid w:val="004A21B3"/>
    <w:rsid w:val="004A21B5"/>
    <w:rsid w:val="004A21D9"/>
    <w:rsid w:val="004A2343"/>
    <w:rsid w:val="004A23C5"/>
    <w:rsid w:val="004A24E0"/>
    <w:rsid w:val="004A25C4"/>
    <w:rsid w:val="004A25DE"/>
    <w:rsid w:val="004A264D"/>
    <w:rsid w:val="004A2656"/>
    <w:rsid w:val="004A272C"/>
    <w:rsid w:val="004A2736"/>
    <w:rsid w:val="004A274B"/>
    <w:rsid w:val="004A275F"/>
    <w:rsid w:val="004A2778"/>
    <w:rsid w:val="004A27CD"/>
    <w:rsid w:val="004A27DF"/>
    <w:rsid w:val="004A280A"/>
    <w:rsid w:val="004A2866"/>
    <w:rsid w:val="004A2948"/>
    <w:rsid w:val="004A294C"/>
    <w:rsid w:val="004A2A8B"/>
    <w:rsid w:val="004A2C8F"/>
    <w:rsid w:val="004A2DDE"/>
    <w:rsid w:val="004A2E36"/>
    <w:rsid w:val="004A2E54"/>
    <w:rsid w:val="004A2E55"/>
    <w:rsid w:val="004A2E83"/>
    <w:rsid w:val="004A2E86"/>
    <w:rsid w:val="004A2F6F"/>
    <w:rsid w:val="004A2F7B"/>
    <w:rsid w:val="004A3041"/>
    <w:rsid w:val="004A313D"/>
    <w:rsid w:val="004A326B"/>
    <w:rsid w:val="004A3496"/>
    <w:rsid w:val="004A34AD"/>
    <w:rsid w:val="004A3575"/>
    <w:rsid w:val="004A3670"/>
    <w:rsid w:val="004A3709"/>
    <w:rsid w:val="004A38CD"/>
    <w:rsid w:val="004A39BA"/>
    <w:rsid w:val="004A39E0"/>
    <w:rsid w:val="004A3A70"/>
    <w:rsid w:val="004A3ABA"/>
    <w:rsid w:val="004A3BFE"/>
    <w:rsid w:val="004A3C17"/>
    <w:rsid w:val="004A3E52"/>
    <w:rsid w:val="004A3F55"/>
    <w:rsid w:val="004A3FC5"/>
    <w:rsid w:val="004A3FFF"/>
    <w:rsid w:val="004A404D"/>
    <w:rsid w:val="004A4059"/>
    <w:rsid w:val="004A413A"/>
    <w:rsid w:val="004A41DB"/>
    <w:rsid w:val="004A421C"/>
    <w:rsid w:val="004A42A9"/>
    <w:rsid w:val="004A4310"/>
    <w:rsid w:val="004A4334"/>
    <w:rsid w:val="004A43ED"/>
    <w:rsid w:val="004A4443"/>
    <w:rsid w:val="004A4572"/>
    <w:rsid w:val="004A459C"/>
    <w:rsid w:val="004A459F"/>
    <w:rsid w:val="004A45A1"/>
    <w:rsid w:val="004A465F"/>
    <w:rsid w:val="004A46B3"/>
    <w:rsid w:val="004A46EB"/>
    <w:rsid w:val="004A4789"/>
    <w:rsid w:val="004A47B0"/>
    <w:rsid w:val="004A47B5"/>
    <w:rsid w:val="004A4984"/>
    <w:rsid w:val="004A4AA1"/>
    <w:rsid w:val="004A4B05"/>
    <w:rsid w:val="004A4B51"/>
    <w:rsid w:val="004A4B75"/>
    <w:rsid w:val="004A4C8B"/>
    <w:rsid w:val="004A4D14"/>
    <w:rsid w:val="004A4DD4"/>
    <w:rsid w:val="004A4DD7"/>
    <w:rsid w:val="004A4F64"/>
    <w:rsid w:val="004A4FE6"/>
    <w:rsid w:val="004A5124"/>
    <w:rsid w:val="004A5184"/>
    <w:rsid w:val="004A51A9"/>
    <w:rsid w:val="004A5205"/>
    <w:rsid w:val="004A5229"/>
    <w:rsid w:val="004A5234"/>
    <w:rsid w:val="004A52B8"/>
    <w:rsid w:val="004A52FB"/>
    <w:rsid w:val="004A531B"/>
    <w:rsid w:val="004A5346"/>
    <w:rsid w:val="004A5395"/>
    <w:rsid w:val="004A53C9"/>
    <w:rsid w:val="004A5491"/>
    <w:rsid w:val="004A54DB"/>
    <w:rsid w:val="004A5535"/>
    <w:rsid w:val="004A5607"/>
    <w:rsid w:val="004A5790"/>
    <w:rsid w:val="004A57CE"/>
    <w:rsid w:val="004A58E8"/>
    <w:rsid w:val="004A598B"/>
    <w:rsid w:val="004A59DF"/>
    <w:rsid w:val="004A5A23"/>
    <w:rsid w:val="004A5A54"/>
    <w:rsid w:val="004A5AFE"/>
    <w:rsid w:val="004A5B0B"/>
    <w:rsid w:val="004A5B5A"/>
    <w:rsid w:val="004A5B86"/>
    <w:rsid w:val="004A5C0B"/>
    <w:rsid w:val="004A5C86"/>
    <w:rsid w:val="004A5CD0"/>
    <w:rsid w:val="004A5D3F"/>
    <w:rsid w:val="004A5DB6"/>
    <w:rsid w:val="004A5EE5"/>
    <w:rsid w:val="004A5F3E"/>
    <w:rsid w:val="004A5F4F"/>
    <w:rsid w:val="004A5FB5"/>
    <w:rsid w:val="004A5FF8"/>
    <w:rsid w:val="004A6003"/>
    <w:rsid w:val="004A601F"/>
    <w:rsid w:val="004A613D"/>
    <w:rsid w:val="004A61AA"/>
    <w:rsid w:val="004A61FF"/>
    <w:rsid w:val="004A6293"/>
    <w:rsid w:val="004A62A6"/>
    <w:rsid w:val="004A62E8"/>
    <w:rsid w:val="004A6366"/>
    <w:rsid w:val="004A6390"/>
    <w:rsid w:val="004A645F"/>
    <w:rsid w:val="004A6463"/>
    <w:rsid w:val="004A65BE"/>
    <w:rsid w:val="004A65E5"/>
    <w:rsid w:val="004A6689"/>
    <w:rsid w:val="004A66BD"/>
    <w:rsid w:val="004A68B4"/>
    <w:rsid w:val="004A6A6B"/>
    <w:rsid w:val="004A6AB1"/>
    <w:rsid w:val="004A6C4B"/>
    <w:rsid w:val="004A6CA0"/>
    <w:rsid w:val="004A6D0C"/>
    <w:rsid w:val="004A6D2F"/>
    <w:rsid w:val="004A6D38"/>
    <w:rsid w:val="004A6DB4"/>
    <w:rsid w:val="004A6EE9"/>
    <w:rsid w:val="004A6F7B"/>
    <w:rsid w:val="004A6FDC"/>
    <w:rsid w:val="004A7059"/>
    <w:rsid w:val="004A70A4"/>
    <w:rsid w:val="004A70DD"/>
    <w:rsid w:val="004A70F2"/>
    <w:rsid w:val="004A711C"/>
    <w:rsid w:val="004A7122"/>
    <w:rsid w:val="004A7181"/>
    <w:rsid w:val="004A71C3"/>
    <w:rsid w:val="004A71D3"/>
    <w:rsid w:val="004A7280"/>
    <w:rsid w:val="004A731A"/>
    <w:rsid w:val="004A7372"/>
    <w:rsid w:val="004A73F6"/>
    <w:rsid w:val="004A754B"/>
    <w:rsid w:val="004A760D"/>
    <w:rsid w:val="004A76F0"/>
    <w:rsid w:val="004A7777"/>
    <w:rsid w:val="004A77E2"/>
    <w:rsid w:val="004A784A"/>
    <w:rsid w:val="004A7884"/>
    <w:rsid w:val="004A7BE1"/>
    <w:rsid w:val="004A7BEF"/>
    <w:rsid w:val="004A7BFD"/>
    <w:rsid w:val="004A7CC0"/>
    <w:rsid w:val="004A7D1B"/>
    <w:rsid w:val="004A7D41"/>
    <w:rsid w:val="004A7D9F"/>
    <w:rsid w:val="004A7DCD"/>
    <w:rsid w:val="004A7E3E"/>
    <w:rsid w:val="004A7EA7"/>
    <w:rsid w:val="004A7EF5"/>
    <w:rsid w:val="004B000C"/>
    <w:rsid w:val="004B0091"/>
    <w:rsid w:val="004B0096"/>
    <w:rsid w:val="004B012C"/>
    <w:rsid w:val="004B013A"/>
    <w:rsid w:val="004B0228"/>
    <w:rsid w:val="004B0234"/>
    <w:rsid w:val="004B031A"/>
    <w:rsid w:val="004B0337"/>
    <w:rsid w:val="004B053B"/>
    <w:rsid w:val="004B0557"/>
    <w:rsid w:val="004B0569"/>
    <w:rsid w:val="004B0590"/>
    <w:rsid w:val="004B0652"/>
    <w:rsid w:val="004B069E"/>
    <w:rsid w:val="004B06B1"/>
    <w:rsid w:val="004B06D8"/>
    <w:rsid w:val="004B06E1"/>
    <w:rsid w:val="004B0909"/>
    <w:rsid w:val="004B0B00"/>
    <w:rsid w:val="004B0CC2"/>
    <w:rsid w:val="004B0DDD"/>
    <w:rsid w:val="004B0F04"/>
    <w:rsid w:val="004B0F23"/>
    <w:rsid w:val="004B0FF1"/>
    <w:rsid w:val="004B109C"/>
    <w:rsid w:val="004B138C"/>
    <w:rsid w:val="004B1405"/>
    <w:rsid w:val="004B14C7"/>
    <w:rsid w:val="004B1544"/>
    <w:rsid w:val="004B15D0"/>
    <w:rsid w:val="004B164B"/>
    <w:rsid w:val="004B1776"/>
    <w:rsid w:val="004B1A6C"/>
    <w:rsid w:val="004B1ADE"/>
    <w:rsid w:val="004B1B7C"/>
    <w:rsid w:val="004B1BAD"/>
    <w:rsid w:val="004B1C93"/>
    <w:rsid w:val="004B1D33"/>
    <w:rsid w:val="004B1D5E"/>
    <w:rsid w:val="004B1F52"/>
    <w:rsid w:val="004B1F74"/>
    <w:rsid w:val="004B2050"/>
    <w:rsid w:val="004B22B7"/>
    <w:rsid w:val="004B231B"/>
    <w:rsid w:val="004B2360"/>
    <w:rsid w:val="004B236A"/>
    <w:rsid w:val="004B242F"/>
    <w:rsid w:val="004B243D"/>
    <w:rsid w:val="004B248C"/>
    <w:rsid w:val="004B248E"/>
    <w:rsid w:val="004B2669"/>
    <w:rsid w:val="004B268F"/>
    <w:rsid w:val="004B26C1"/>
    <w:rsid w:val="004B2787"/>
    <w:rsid w:val="004B27E4"/>
    <w:rsid w:val="004B2810"/>
    <w:rsid w:val="004B2898"/>
    <w:rsid w:val="004B28B5"/>
    <w:rsid w:val="004B28C2"/>
    <w:rsid w:val="004B2917"/>
    <w:rsid w:val="004B2BE9"/>
    <w:rsid w:val="004B2BF1"/>
    <w:rsid w:val="004B2C49"/>
    <w:rsid w:val="004B2CEB"/>
    <w:rsid w:val="004B2D6D"/>
    <w:rsid w:val="004B2DF5"/>
    <w:rsid w:val="004B2EC4"/>
    <w:rsid w:val="004B2F0A"/>
    <w:rsid w:val="004B2F67"/>
    <w:rsid w:val="004B3037"/>
    <w:rsid w:val="004B3043"/>
    <w:rsid w:val="004B307B"/>
    <w:rsid w:val="004B3352"/>
    <w:rsid w:val="004B33EE"/>
    <w:rsid w:val="004B344B"/>
    <w:rsid w:val="004B3491"/>
    <w:rsid w:val="004B3492"/>
    <w:rsid w:val="004B34AD"/>
    <w:rsid w:val="004B34D1"/>
    <w:rsid w:val="004B34E0"/>
    <w:rsid w:val="004B3522"/>
    <w:rsid w:val="004B35F6"/>
    <w:rsid w:val="004B362E"/>
    <w:rsid w:val="004B3635"/>
    <w:rsid w:val="004B36C4"/>
    <w:rsid w:val="004B3710"/>
    <w:rsid w:val="004B3747"/>
    <w:rsid w:val="004B3803"/>
    <w:rsid w:val="004B3965"/>
    <w:rsid w:val="004B39A9"/>
    <w:rsid w:val="004B39EC"/>
    <w:rsid w:val="004B3B02"/>
    <w:rsid w:val="004B3C3B"/>
    <w:rsid w:val="004B3C70"/>
    <w:rsid w:val="004B3E0C"/>
    <w:rsid w:val="004B3EE7"/>
    <w:rsid w:val="004B3F46"/>
    <w:rsid w:val="004B3F6F"/>
    <w:rsid w:val="004B3F8B"/>
    <w:rsid w:val="004B40E4"/>
    <w:rsid w:val="004B4149"/>
    <w:rsid w:val="004B41C7"/>
    <w:rsid w:val="004B42A5"/>
    <w:rsid w:val="004B42DA"/>
    <w:rsid w:val="004B433A"/>
    <w:rsid w:val="004B4344"/>
    <w:rsid w:val="004B4388"/>
    <w:rsid w:val="004B445C"/>
    <w:rsid w:val="004B4580"/>
    <w:rsid w:val="004B46FF"/>
    <w:rsid w:val="004B4738"/>
    <w:rsid w:val="004B48BF"/>
    <w:rsid w:val="004B48F3"/>
    <w:rsid w:val="004B49FB"/>
    <w:rsid w:val="004B4A78"/>
    <w:rsid w:val="004B4A8C"/>
    <w:rsid w:val="004B4AF7"/>
    <w:rsid w:val="004B4C91"/>
    <w:rsid w:val="004B4CBE"/>
    <w:rsid w:val="004B4D86"/>
    <w:rsid w:val="004B4D94"/>
    <w:rsid w:val="004B4DD1"/>
    <w:rsid w:val="004B4DD3"/>
    <w:rsid w:val="004B4DE3"/>
    <w:rsid w:val="004B4E83"/>
    <w:rsid w:val="004B4EC6"/>
    <w:rsid w:val="004B4F15"/>
    <w:rsid w:val="004B4F4F"/>
    <w:rsid w:val="004B4FCA"/>
    <w:rsid w:val="004B520E"/>
    <w:rsid w:val="004B5223"/>
    <w:rsid w:val="004B5346"/>
    <w:rsid w:val="004B5424"/>
    <w:rsid w:val="004B5493"/>
    <w:rsid w:val="004B5541"/>
    <w:rsid w:val="004B578E"/>
    <w:rsid w:val="004B57FD"/>
    <w:rsid w:val="004B585C"/>
    <w:rsid w:val="004B58D0"/>
    <w:rsid w:val="004B592C"/>
    <w:rsid w:val="004B5986"/>
    <w:rsid w:val="004B59B4"/>
    <w:rsid w:val="004B59BA"/>
    <w:rsid w:val="004B5ACB"/>
    <w:rsid w:val="004B5BCE"/>
    <w:rsid w:val="004B5C22"/>
    <w:rsid w:val="004B5CBB"/>
    <w:rsid w:val="004B5DAA"/>
    <w:rsid w:val="004B5ED5"/>
    <w:rsid w:val="004B5F98"/>
    <w:rsid w:val="004B5FD1"/>
    <w:rsid w:val="004B602E"/>
    <w:rsid w:val="004B60FD"/>
    <w:rsid w:val="004B629A"/>
    <w:rsid w:val="004B6305"/>
    <w:rsid w:val="004B630C"/>
    <w:rsid w:val="004B633C"/>
    <w:rsid w:val="004B6349"/>
    <w:rsid w:val="004B63BB"/>
    <w:rsid w:val="004B6418"/>
    <w:rsid w:val="004B647A"/>
    <w:rsid w:val="004B64DF"/>
    <w:rsid w:val="004B6557"/>
    <w:rsid w:val="004B656F"/>
    <w:rsid w:val="004B6585"/>
    <w:rsid w:val="004B660F"/>
    <w:rsid w:val="004B66D0"/>
    <w:rsid w:val="004B670D"/>
    <w:rsid w:val="004B67D0"/>
    <w:rsid w:val="004B6822"/>
    <w:rsid w:val="004B6965"/>
    <w:rsid w:val="004B6A14"/>
    <w:rsid w:val="004B6A42"/>
    <w:rsid w:val="004B6BB2"/>
    <w:rsid w:val="004B6C24"/>
    <w:rsid w:val="004B6C8C"/>
    <w:rsid w:val="004B6D95"/>
    <w:rsid w:val="004B6D9C"/>
    <w:rsid w:val="004B6F23"/>
    <w:rsid w:val="004B6F33"/>
    <w:rsid w:val="004B6FA3"/>
    <w:rsid w:val="004B702C"/>
    <w:rsid w:val="004B702D"/>
    <w:rsid w:val="004B706A"/>
    <w:rsid w:val="004B713F"/>
    <w:rsid w:val="004B71E9"/>
    <w:rsid w:val="004B7300"/>
    <w:rsid w:val="004B73D5"/>
    <w:rsid w:val="004B7477"/>
    <w:rsid w:val="004B7540"/>
    <w:rsid w:val="004B7598"/>
    <w:rsid w:val="004B767F"/>
    <w:rsid w:val="004B785C"/>
    <w:rsid w:val="004B7893"/>
    <w:rsid w:val="004B78F0"/>
    <w:rsid w:val="004B7948"/>
    <w:rsid w:val="004B7CB1"/>
    <w:rsid w:val="004B7CC5"/>
    <w:rsid w:val="004B7CF5"/>
    <w:rsid w:val="004B7D4F"/>
    <w:rsid w:val="004B7DF3"/>
    <w:rsid w:val="004B7E0C"/>
    <w:rsid w:val="004B7ECD"/>
    <w:rsid w:val="004B7FF7"/>
    <w:rsid w:val="004C0029"/>
    <w:rsid w:val="004C0077"/>
    <w:rsid w:val="004C0117"/>
    <w:rsid w:val="004C0145"/>
    <w:rsid w:val="004C0280"/>
    <w:rsid w:val="004C036E"/>
    <w:rsid w:val="004C0445"/>
    <w:rsid w:val="004C04AF"/>
    <w:rsid w:val="004C04BA"/>
    <w:rsid w:val="004C050C"/>
    <w:rsid w:val="004C051A"/>
    <w:rsid w:val="004C0696"/>
    <w:rsid w:val="004C06CC"/>
    <w:rsid w:val="004C073A"/>
    <w:rsid w:val="004C0743"/>
    <w:rsid w:val="004C0772"/>
    <w:rsid w:val="004C07DE"/>
    <w:rsid w:val="004C08E2"/>
    <w:rsid w:val="004C0977"/>
    <w:rsid w:val="004C0C0E"/>
    <w:rsid w:val="004C0C10"/>
    <w:rsid w:val="004C0C23"/>
    <w:rsid w:val="004C0C59"/>
    <w:rsid w:val="004C0CC4"/>
    <w:rsid w:val="004C0DA5"/>
    <w:rsid w:val="004C0DB0"/>
    <w:rsid w:val="004C0DD7"/>
    <w:rsid w:val="004C0DE2"/>
    <w:rsid w:val="004C0E6D"/>
    <w:rsid w:val="004C0E98"/>
    <w:rsid w:val="004C0F43"/>
    <w:rsid w:val="004C0F49"/>
    <w:rsid w:val="004C0FC8"/>
    <w:rsid w:val="004C1054"/>
    <w:rsid w:val="004C1225"/>
    <w:rsid w:val="004C1227"/>
    <w:rsid w:val="004C1265"/>
    <w:rsid w:val="004C128E"/>
    <w:rsid w:val="004C131F"/>
    <w:rsid w:val="004C1335"/>
    <w:rsid w:val="004C13BE"/>
    <w:rsid w:val="004C145F"/>
    <w:rsid w:val="004C1488"/>
    <w:rsid w:val="004C1595"/>
    <w:rsid w:val="004C1652"/>
    <w:rsid w:val="004C1837"/>
    <w:rsid w:val="004C193B"/>
    <w:rsid w:val="004C199B"/>
    <w:rsid w:val="004C19F5"/>
    <w:rsid w:val="004C1B55"/>
    <w:rsid w:val="004C1BE2"/>
    <w:rsid w:val="004C1C45"/>
    <w:rsid w:val="004C1C9B"/>
    <w:rsid w:val="004C1CA2"/>
    <w:rsid w:val="004C1CDB"/>
    <w:rsid w:val="004C1DC8"/>
    <w:rsid w:val="004C1E1F"/>
    <w:rsid w:val="004C1EC9"/>
    <w:rsid w:val="004C1EE7"/>
    <w:rsid w:val="004C1EE8"/>
    <w:rsid w:val="004C1EEE"/>
    <w:rsid w:val="004C1F47"/>
    <w:rsid w:val="004C2111"/>
    <w:rsid w:val="004C219B"/>
    <w:rsid w:val="004C2230"/>
    <w:rsid w:val="004C23AB"/>
    <w:rsid w:val="004C23C3"/>
    <w:rsid w:val="004C23DC"/>
    <w:rsid w:val="004C23E7"/>
    <w:rsid w:val="004C2591"/>
    <w:rsid w:val="004C2614"/>
    <w:rsid w:val="004C2645"/>
    <w:rsid w:val="004C26FD"/>
    <w:rsid w:val="004C2702"/>
    <w:rsid w:val="004C2713"/>
    <w:rsid w:val="004C27CF"/>
    <w:rsid w:val="004C286E"/>
    <w:rsid w:val="004C29AA"/>
    <w:rsid w:val="004C29D2"/>
    <w:rsid w:val="004C2AD1"/>
    <w:rsid w:val="004C2ADB"/>
    <w:rsid w:val="004C2B63"/>
    <w:rsid w:val="004C2C82"/>
    <w:rsid w:val="004C2CB7"/>
    <w:rsid w:val="004C2CCB"/>
    <w:rsid w:val="004C2D40"/>
    <w:rsid w:val="004C2E24"/>
    <w:rsid w:val="004C2E55"/>
    <w:rsid w:val="004C2F02"/>
    <w:rsid w:val="004C3154"/>
    <w:rsid w:val="004C31DF"/>
    <w:rsid w:val="004C31FB"/>
    <w:rsid w:val="004C327F"/>
    <w:rsid w:val="004C32F5"/>
    <w:rsid w:val="004C3330"/>
    <w:rsid w:val="004C339C"/>
    <w:rsid w:val="004C33B2"/>
    <w:rsid w:val="004C33D3"/>
    <w:rsid w:val="004C3476"/>
    <w:rsid w:val="004C34A0"/>
    <w:rsid w:val="004C35A2"/>
    <w:rsid w:val="004C36F5"/>
    <w:rsid w:val="004C37C6"/>
    <w:rsid w:val="004C3956"/>
    <w:rsid w:val="004C3963"/>
    <w:rsid w:val="004C3C6F"/>
    <w:rsid w:val="004C3C82"/>
    <w:rsid w:val="004C3CA0"/>
    <w:rsid w:val="004C3CAF"/>
    <w:rsid w:val="004C3D60"/>
    <w:rsid w:val="004C3EDB"/>
    <w:rsid w:val="004C3F0E"/>
    <w:rsid w:val="004C3F13"/>
    <w:rsid w:val="004C3F70"/>
    <w:rsid w:val="004C3FB3"/>
    <w:rsid w:val="004C401D"/>
    <w:rsid w:val="004C4056"/>
    <w:rsid w:val="004C40F8"/>
    <w:rsid w:val="004C4256"/>
    <w:rsid w:val="004C4257"/>
    <w:rsid w:val="004C4343"/>
    <w:rsid w:val="004C437F"/>
    <w:rsid w:val="004C438E"/>
    <w:rsid w:val="004C4467"/>
    <w:rsid w:val="004C44B5"/>
    <w:rsid w:val="004C454F"/>
    <w:rsid w:val="004C46D8"/>
    <w:rsid w:val="004C4760"/>
    <w:rsid w:val="004C4777"/>
    <w:rsid w:val="004C47AA"/>
    <w:rsid w:val="004C4921"/>
    <w:rsid w:val="004C4950"/>
    <w:rsid w:val="004C49D1"/>
    <w:rsid w:val="004C49D3"/>
    <w:rsid w:val="004C49F2"/>
    <w:rsid w:val="004C4A93"/>
    <w:rsid w:val="004C4AEA"/>
    <w:rsid w:val="004C4B85"/>
    <w:rsid w:val="004C4BAA"/>
    <w:rsid w:val="004C4BBA"/>
    <w:rsid w:val="004C4BFF"/>
    <w:rsid w:val="004C4C56"/>
    <w:rsid w:val="004C4C81"/>
    <w:rsid w:val="004C4C8F"/>
    <w:rsid w:val="004C4D18"/>
    <w:rsid w:val="004C4D9D"/>
    <w:rsid w:val="004C4DD4"/>
    <w:rsid w:val="004C4DD8"/>
    <w:rsid w:val="004C4E83"/>
    <w:rsid w:val="004C4EB4"/>
    <w:rsid w:val="004C4F89"/>
    <w:rsid w:val="004C5117"/>
    <w:rsid w:val="004C5184"/>
    <w:rsid w:val="004C51A8"/>
    <w:rsid w:val="004C52C3"/>
    <w:rsid w:val="004C52D9"/>
    <w:rsid w:val="004C52FC"/>
    <w:rsid w:val="004C532F"/>
    <w:rsid w:val="004C53DF"/>
    <w:rsid w:val="004C5408"/>
    <w:rsid w:val="004C5528"/>
    <w:rsid w:val="004C5543"/>
    <w:rsid w:val="004C559C"/>
    <w:rsid w:val="004C55EC"/>
    <w:rsid w:val="004C55F3"/>
    <w:rsid w:val="004C55F8"/>
    <w:rsid w:val="004C5793"/>
    <w:rsid w:val="004C57AE"/>
    <w:rsid w:val="004C57BF"/>
    <w:rsid w:val="004C57D3"/>
    <w:rsid w:val="004C5866"/>
    <w:rsid w:val="004C58BF"/>
    <w:rsid w:val="004C58EA"/>
    <w:rsid w:val="004C5946"/>
    <w:rsid w:val="004C5A7B"/>
    <w:rsid w:val="004C5C75"/>
    <w:rsid w:val="004C5D23"/>
    <w:rsid w:val="004C5E0F"/>
    <w:rsid w:val="004C5EE3"/>
    <w:rsid w:val="004C5EE9"/>
    <w:rsid w:val="004C5F8A"/>
    <w:rsid w:val="004C6054"/>
    <w:rsid w:val="004C6199"/>
    <w:rsid w:val="004C62B8"/>
    <w:rsid w:val="004C62F0"/>
    <w:rsid w:val="004C6338"/>
    <w:rsid w:val="004C634D"/>
    <w:rsid w:val="004C63A3"/>
    <w:rsid w:val="004C645F"/>
    <w:rsid w:val="004C6494"/>
    <w:rsid w:val="004C67B3"/>
    <w:rsid w:val="004C6823"/>
    <w:rsid w:val="004C69AC"/>
    <w:rsid w:val="004C6A39"/>
    <w:rsid w:val="004C6A92"/>
    <w:rsid w:val="004C6B35"/>
    <w:rsid w:val="004C6B77"/>
    <w:rsid w:val="004C6C18"/>
    <w:rsid w:val="004C6C58"/>
    <w:rsid w:val="004C6CB8"/>
    <w:rsid w:val="004C6CCB"/>
    <w:rsid w:val="004C6CFC"/>
    <w:rsid w:val="004C6D5D"/>
    <w:rsid w:val="004C6D72"/>
    <w:rsid w:val="004C704E"/>
    <w:rsid w:val="004C70F5"/>
    <w:rsid w:val="004C718D"/>
    <w:rsid w:val="004C71B3"/>
    <w:rsid w:val="004C72AB"/>
    <w:rsid w:val="004C7425"/>
    <w:rsid w:val="004C74CD"/>
    <w:rsid w:val="004C751E"/>
    <w:rsid w:val="004C754A"/>
    <w:rsid w:val="004C754F"/>
    <w:rsid w:val="004C764F"/>
    <w:rsid w:val="004C7679"/>
    <w:rsid w:val="004C768B"/>
    <w:rsid w:val="004C76D0"/>
    <w:rsid w:val="004C7726"/>
    <w:rsid w:val="004C77A5"/>
    <w:rsid w:val="004C78E2"/>
    <w:rsid w:val="004C799F"/>
    <w:rsid w:val="004C7A48"/>
    <w:rsid w:val="004C7A4B"/>
    <w:rsid w:val="004C7A76"/>
    <w:rsid w:val="004C7A8D"/>
    <w:rsid w:val="004C7AAC"/>
    <w:rsid w:val="004C7B1C"/>
    <w:rsid w:val="004C7B6E"/>
    <w:rsid w:val="004C7E63"/>
    <w:rsid w:val="004C7FD6"/>
    <w:rsid w:val="004D0043"/>
    <w:rsid w:val="004D00A5"/>
    <w:rsid w:val="004D00BF"/>
    <w:rsid w:val="004D03BB"/>
    <w:rsid w:val="004D054E"/>
    <w:rsid w:val="004D0588"/>
    <w:rsid w:val="004D05DC"/>
    <w:rsid w:val="004D05EE"/>
    <w:rsid w:val="004D07E3"/>
    <w:rsid w:val="004D085F"/>
    <w:rsid w:val="004D097C"/>
    <w:rsid w:val="004D0A7F"/>
    <w:rsid w:val="004D0A97"/>
    <w:rsid w:val="004D0BF2"/>
    <w:rsid w:val="004D0C1F"/>
    <w:rsid w:val="004D0C22"/>
    <w:rsid w:val="004D0D12"/>
    <w:rsid w:val="004D0DE8"/>
    <w:rsid w:val="004D0F0B"/>
    <w:rsid w:val="004D0F30"/>
    <w:rsid w:val="004D0F32"/>
    <w:rsid w:val="004D0F38"/>
    <w:rsid w:val="004D0FE3"/>
    <w:rsid w:val="004D1003"/>
    <w:rsid w:val="004D1016"/>
    <w:rsid w:val="004D10E0"/>
    <w:rsid w:val="004D1102"/>
    <w:rsid w:val="004D110F"/>
    <w:rsid w:val="004D1142"/>
    <w:rsid w:val="004D11D1"/>
    <w:rsid w:val="004D1316"/>
    <w:rsid w:val="004D1390"/>
    <w:rsid w:val="004D13B3"/>
    <w:rsid w:val="004D13D4"/>
    <w:rsid w:val="004D1443"/>
    <w:rsid w:val="004D14CB"/>
    <w:rsid w:val="004D1503"/>
    <w:rsid w:val="004D1577"/>
    <w:rsid w:val="004D1610"/>
    <w:rsid w:val="004D16FA"/>
    <w:rsid w:val="004D179A"/>
    <w:rsid w:val="004D18FC"/>
    <w:rsid w:val="004D19F7"/>
    <w:rsid w:val="004D1A4C"/>
    <w:rsid w:val="004D1A65"/>
    <w:rsid w:val="004D1B42"/>
    <w:rsid w:val="004D1BBA"/>
    <w:rsid w:val="004D1BE1"/>
    <w:rsid w:val="004D1BE3"/>
    <w:rsid w:val="004D1CAF"/>
    <w:rsid w:val="004D1DE7"/>
    <w:rsid w:val="004D1E52"/>
    <w:rsid w:val="004D1E9A"/>
    <w:rsid w:val="004D1FE5"/>
    <w:rsid w:val="004D2015"/>
    <w:rsid w:val="004D202D"/>
    <w:rsid w:val="004D2222"/>
    <w:rsid w:val="004D2394"/>
    <w:rsid w:val="004D2480"/>
    <w:rsid w:val="004D25C5"/>
    <w:rsid w:val="004D2691"/>
    <w:rsid w:val="004D26EE"/>
    <w:rsid w:val="004D27A6"/>
    <w:rsid w:val="004D2924"/>
    <w:rsid w:val="004D2AFA"/>
    <w:rsid w:val="004D2B0F"/>
    <w:rsid w:val="004D2CD3"/>
    <w:rsid w:val="004D2E33"/>
    <w:rsid w:val="004D2E62"/>
    <w:rsid w:val="004D3039"/>
    <w:rsid w:val="004D3072"/>
    <w:rsid w:val="004D3097"/>
    <w:rsid w:val="004D30C2"/>
    <w:rsid w:val="004D30EE"/>
    <w:rsid w:val="004D313C"/>
    <w:rsid w:val="004D317E"/>
    <w:rsid w:val="004D31B5"/>
    <w:rsid w:val="004D3255"/>
    <w:rsid w:val="004D3430"/>
    <w:rsid w:val="004D3692"/>
    <w:rsid w:val="004D36B9"/>
    <w:rsid w:val="004D384F"/>
    <w:rsid w:val="004D3A41"/>
    <w:rsid w:val="004D3AC0"/>
    <w:rsid w:val="004D3AE0"/>
    <w:rsid w:val="004D3BFA"/>
    <w:rsid w:val="004D3C10"/>
    <w:rsid w:val="004D3C7E"/>
    <w:rsid w:val="004D3DFB"/>
    <w:rsid w:val="004D3E1B"/>
    <w:rsid w:val="004D3E5B"/>
    <w:rsid w:val="004D3E76"/>
    <w:rsid w:val="004D3F0E"/>
    <w:rsid w:val="004D3F9E"/>
    <w:rsid w:val="004D4076"/>
    <w:rsid w:val="004D4089"/>
    <w:rsid w:val="004D4172"/>
    <w:rsid w:val="004D41C2"/>
    <w:rsid w:val="004D428D"/>
    <w:rsid w:val="004D4290"/>
    <w:rsid w:val="004D42DF"/>
    <w:rsid w:val="004D42F7"/>
    <w:rsid w:val="004D438C"/>
    <w:rsid w:val="004D44BA"/>
    <w:rsid w:val="004D44FD"/>
    <w:rsid w:val="004D4547"/>
    <w:rsid w:val="004D48E3"/>
    <w:rsid w:val="004D490D"/>
    <w:rsid w:val="004D4A3F"/>
    <w:rsid w:val="004D4AA4"/>
    <w:rsid w:val="004D4AA9"/>
    <w:rsid w:val="004D4BBE"/>
    <w:rsid w:val="004D4C1B"/>
    <w:rsid w:val="004D4C4D"/>
    <w:rsid w:val="004D4C8C"/>
    <w:rsid w:val="004D4CB1"/>
    <w:rsid w:val="004D4CD2"/>
    <w:rsid w:val="004D4D30"/>
    <w:rsid w:val="004D4D41"/>
    <w:rsid w:val="004D4D94"/>
    <w:rsid w:val="004D4E17"/>
    <w:rsid w:val="004D4E4F"/>
    <w:rsid w:val="004D4E67"/>
    <w:rsid w:val="004D5011"/>
    <w:rsid w:val="004D5035"/>
    <w:rsid w:val="004D503F"/>
    <w:rsid w:val="004D50E8"/>
    <w:rsid w:val="004D50EC"/>
    <w:rsid w:val="004D511A"/>
    <w:rsid w:val="004D515E"/>
    <w:rsid w:val="004D516A"/>
    <w:rsid w:val="004D5191"/>
    <w:rsid w:val="004D51F1"/>
    <w:rsid w:val="004D5231"/>
    <w:rsid w:val="004D5463"/>
    <w:rsid w:val="004D5514"/>
    <w:rsid w:val="004D5548"/>
    <w:rsid w:val="004D5614"/>
    <w:rsid w:val="004D56D6"/>
    <w:rsid w:val="004D5741"/>
    <w:rsid w:val="004D58B5"/>
    <w:rsid w:val="004D58C0"/>
    <w:rsid w:val="004D598C"/>
    <w:rsid w:val="004D59D7"/>
    <w:rsid w:val="004D59EE"/>
    <w:rsid w:val="004D5AE0"/>
    <w:rsid w:val="004D5AF4"/>
    <w:rsid w:val="004D5BE4"/>
    <w:rsid w:val="004D5C1E"/>
    <w:rsid w:val="004D5D33"/>
    <w:rsid w:val="004D5D52"/>
    <w:rsid w:val="004D5E19"/>
    <w:rsid w:val="004D5E52"/>
    <w:rsid w:val="004D5E91"/>
    <w:rsid w:val="004D6009"/>
    <w:rsid w:val="004D6067"/>
    <w:rsid w:val="004D60AF"/>
    <w:rsid w:val="004D6147"/>
    <w:rsid w:val="004D6330"/>
    <w:rsid w:val="004D6346"/>
    <w:rsid w:val="004D634A"/>
    <w:rsid w:val="004D63B9"/>
    <w:rsid w:val="004D63EE"/>
    <w:rsid w:val="004D6416"/>
    <w:rsid w:val="004D6432"/>
    <w:rsid w:val="004D6469"/>
    <w:rsid w:val="004D646E"/>
    <w:rsid w:val="004D647B"/>
    <w:rsid w:val="004D6507"/>
    <w:rsid w:val="004D6599"/>
    <w:rsid w:val="004D66B6"/>
    <w:rsid w:val="004D683C"/>
    <w:rsid w:val="004D68D6"/>
    <w:rsid w:val="004D6960"/>
    <w:rsid w:val="004D6968"/>
    <w:rsid w:val="004D69AA"/>
    <w:rsid w:val="004D6A0F"/>
    <w:rsid w:val="004D6B9B"/>
    <w:rsid w:val="004D6BF2"/>
    <w:rsid w:val="004D6E7E"/>
    <w:rsid w:val="004D700C"/>
    <w:rsid w:val="004D7047"/>
    <w:rsid w:val="004D71AE"/>
    <w:rsid w:val="004D71DD"/>
    <w:rsid w:val="004D721F"/>
    <w:rsid w:val="004D7250"/>
    <w:rsid w:val="004D7388"/>
    <w:rsid w:val="004D73A9"/>
    <w:rsid w:val="004D74EE"/>
    <w:rsid w:val="004D762B"/>
    <w:rsid w:val="004D764C"/>
    <w:rsid w:val="004D787E"/>
    <w:rsid w:val="004D7AB6"/>
    <w:rsid w:val="004D7B1A"/>
    <w:rsid w:val="004D7BF4"/>
    <w:rsid w:val="004D7CCB"/>
    <w:rsid w:val="004D7CD3"/>
    <w:rsid w:val="004D7E00"/>
    <w:rsid w:val="004D7E2A"/>
    <w:rsid w:val="004D7E89"/>
    <w:rsid w:val="004D7F28"/>
    <w:rsid w:val="004D7F3F"/>
    <w:rsid w:val="004D7F42"/>
    <w:rsid w:val="004E0056"/>
    <w:rsid w:val="004E01D6"/>
    <w:rsid w:val="004E0229"/>
    <w:rsid w:val="004E0278"/>
    <w:rsid w:val="004E0344"/>
    <w:rsid w:val="004E0352"/>
    <w:rsid w:val="004E03C9"/>
    <w:rsid w:val="004E05FC"/>
    <w:rsid w:val="004E05FF"/>
    <w:rsid w:val="004E06AF"/>
    <w:rsid w:val="004E08CF"/>
    <w:rsid w:val="004E092F"/>
    <w:rsid w:val="004E0B2B"/>
    <w:rsid w:val="004E0B98"/>
    <w:rsid w:val="004E0C9B"/>
    <w:rsid w:val="004E0ED5"/>
    <w:rsid w:val="004E0F4F"/>
    <w:rsid w:val="004E0FC5"/>
    <w:rsid w:val="004E0FEB"/>
    <w:rsid w:val="004E1002"/>
    <w:rsid w:val="004E102C"/>
    <w:rsid w:val="004E1044"/>
    <w:rsid w:val="004E1062"/>
    <w:rsid w:val="004E1155"/>
    <w:rsid w:val="004E11D2"/>
    <w:rsid w:val="004E1294"/>
    <w:rsid w:val="004E12CB"/>
    <w:rsid w:val="004E12E1"/>
    <w:rsid w:val="004E1329"/>
    <w:rsid w:val="004E132F"/>
    <w:rsid w:val="004E1333"/>
    <w:rsid w:val="004E1453"/>
    <w:rsid w:val="004E1594"/>
    <w:rsid w:val="004E15B1"/>
    <w:rsid w:val="004E1644"/>
    <w:rsid w:val="004E1657"/>
    <w:rsid w:val="004E1826"/>
    <w:rsid w:val="004E182E"/>
    <w:rsid w:val="004E186A"/>
    <w:rsid w:val="004E1914"/>
    <w:rsid w:val="004E193F"/>
    <w:rsid w:val="004E1A03"/>
    <w:rsid w:val="004E1AC0"/>
    <w:rsid w:val="004E1C53"/>
    <w:rsid w:val="004E1C90"/>
    <w:rsid w:val="004E1C99"/>
    <w:rsid w:val="004E2053"/>
    <w:rsid w:val="004E2056"/>
    <w:rsid w:val="004E205E"/>
    <w:rsid w:val="004E2117"/>
    <w:rsid w:val="004E2253"/>
    <w:rsid w:val="004E231E"/>
    <w:rsid w:val="004E2422"/>
    <w:rsid w:val="004E251F"/>
    <w:rsid w:val="004E2536"/>
    <w:rsid w:val="004E253E"/>
    <w:rsid w:val="004E25DE"/>
    <w:rsid w:val="004E2680"/>
    <w:rsid w:val="004E2732"/>
    <w:rsid w:val="004E2765"/>
    <w:rsid w:val="004E284F"/>
    <w:rsid w:val="004E2866"/>
    <w:rsid w:val="004E28A5"/>
    <w:rsid w:val="004E28DD"/>
    <w:rsid w:val="004E291E"/>
    <w:rsid w:val="004E29F9"/>
    <w:rsid w:val="004E2C37"/>
    <w:rsid w:val="004E2C8B"/>
    <w:rsid w:val="004E2CB3"/>
    <w:rsid w:val="004E2CB5"/>
    <w:rsid w:val="004E2DDD"/>
    <w:rsid w:val="004E2E69"/>
    <w:rsid w:val="004E31DF"/>
    <w:rsid w:val="004E32CB"/>
    <w:rsid w:val="004E3381"/>
    <w:rsid w:val="004E34E3"/>
    <w:rsid w:val="004E34F8"/>
    <w:rsid w:val="004E3732"/>
    <w:rsid w:val="004E376F"/>
    <w:rsid w:val="004E378D"/>
    <w:rsid w:val="004E389C"/>
    <w:rsid w:val="004E38D3"/>
    <w:rsid w:val="004E3907"/>
    <w:rsid w:val="004E394E"/>
    <w:rsid w:val="004E3A3E"/>
    <w:rsid w:val="004E3A99"/>
    <w:rsid w:val="004E3B44"/>
    <w:rsid w:val="004E3BAE"/>
    <w:rsid w:val="004E3C4B"/>
    <w:rsid w:val="004E3CBF"/>
    <w:rsid w:val="004E3D47"/>
    <w:rsid w:val="004E3F12"/>
    <w:rsid w:val="004E3F1F"/>
    <w:rsid w:val="004E3FAD"/>
    <w:rsid w:val="004E408C"/>
    <w:rsid w:val="004E410D"/>
    <w:rsid w:val="004E413E"/>
    <w:rsid w:val="004E4221"/>
    <w:rsid w:val="004E4236"/>
    <w:rsid w:val="004E429D"/>
    <w:rsid w:val="004E43FD"/>
    <w:rsid w:val="004E44DD"/>
    <w:rsid w:val="004E4533"/>
    <w:rsid w:val="004E4615"/>
    <w:rsid w:val="004E465A"/>
    <w:rsid w:val="004E46CC"/>
    <w:rsid w:val="004E46CD"/>
    <w:rsid w:val="004E46CF"/>
    <w:rsid w:val="004E4725"/>
    <w:rsid w:val="004E47F4"/>
    <w:rsid w:val="004E47FE"/>
    <w:rsid w:val="004E4803"/>
    <w:rsid w:val="004E481A"/>
    <w:rsid w:val="004E4856"/>
    <w:rsid w:val="004E48BF"/>
    <w:rsid w:val="004E48E0"/>
    <w:rsid w:val="004E4913"/>
    <w:rsid w:val="004E497B"/>
    <w:rsid w:val="004E4AE5"/>
    <w:rsid w:val="004E4B33"/>
    <w:rsid w:val="004E4CBA"/>
    <w:rsid w:val="004E4CC9"/>
    <w:rsid w:val="004E4CD7"/>
    <w:rsid w:val="004E4D1B"/>
    <w:rsid w:val="004E4D8C"/>
    <w:rsid w:val="004E4E5D"/>
    <w:rsid w:val="004E4F3D"/>
    <w:rsid w:val="004E4FBD"/>
    <w:rsid w:val="004E50DE"/>
    <w:rsid w:val="004E51B1"/>
    <w:rsid w:val="004E5361"/>
    <w:rsid w:val="004E53B8"/>
    <w:rsid w:val="004E5454"/>
    <w:rsid w:val="004E546C"/>
    <w:rsid w:val="004E550F"/>
    <w:rsid w:val="004E5557"/>
    <w:rsid w:val="004E555E"/>
    <w:rsid w:val="004E558E"/>
    <w:rsid w:val="004E55C7"/>
    <w:rsid w:val="004E56D6"/>
    <w:rsid w:val="004E56E7"/>
    <w:rsid w:val="004E5707"/>
    <w:rsid w:val="004E57BA"/>
    <w:rsid w:val="004E57ED"/>
    <w:rsid w:val="004E57F5"/>
    <w:rsid w:val="004E591A"/>
    <w:rsid w:val="004E5961"/>
    <w:rsid w:val="004E5B35"/>
    <w:rsid w:val="004E5B76"/>
    <w:rsid w:val="004E5B8E"/>
    <w:rsid w:val="004E5D7D"/>
    <w:rsid w:val="004E5E0E"/>
    <w:rsid w:val="004E611C"/>
    <w:rsid w:val="004E613C"/>
    <w:rsid w:val="004E615E"/>
    <w:rsid w:val="004E62F4"/>
    <w:rsid w:val="004E6324"/>
    <w:rsid w:val="004E6493"/>
    <w:rsid w:val="004E6551"/>
    <w:rsid w:val="004E65B0"/>
    <w:rsid w:val="004E65FE"/>
    <w:rsid w:val="004E6680"/>
    <w:rsid w:val="004E67FE"/>
    <w:rsid w:val="004E691C"/>
    <w:rsid w:val="004E6920"/>
    <w:rsid w:val="004E695C"/>
    <w:rsid w:val="004E6977"/>
    <w:rsid w:val="004E6A98"/>
    <w:rsid w:val="004E6AA5"/>
    <w:rsid w:val="004E6BA9"/>
    <w:rsid w:val="004E6D2A"/>
    <w:rsid w:val="004E6E06"/>
    <w:rsid w:val="004E6E1A"/>
    <w:rsid w:val="004E6E57"/>
    <w:rsid w:val="004E6EB1"/>
    <w:rsid w:val="004E6FCA"/>
    <w:rsid w:val="004E7078"/>
    <w:rsid w:val="004E7185"/>
    <w:rsid w:val="004E723F"/>
    <w:rsid w:val="004E727E"/>
    <w:rsid w:val="004E74AE"/>
    <w:rsid w:val="004E74E7"/>
    <w:rsid w:val="004E7515"/>
    <w:rsid w:val="004E7527"/>
    <w:rsid w:val="004E75A4"/>
    <w:rsid w:val="004E76ED"/>
    <w:rsid w:val="004E7765"/>
    <w:rsid w:val="004E78BF"/>
    <w:rsid w:val="004E78DB"/>
    <w:rsid w:val="004E7938"/>
    <w:rsid w:val="004E794D"/>
    <w:rsid w:val="004E79BF"/>
    <w:rsid w:val="004E7A2D"/>
    <w:rsid w:val="004E7A7E"/>
    <w:rsid w:val="004E7B41"/>
    <w:rsid w:val="004E7BAB"/>
    <w:rsid w:val="004E7C83"/>
    <w:rsid w:val="004E7C85"/>
    <w:rsid w:val="004E7C8F"/>
    <w:rsid w:val="004E7C92"/>
    <w:rsid w:val="004E7CD6"/>
    <w:rsid w:val="004E7CE4"/>
    <w:rsid w:val="004E7D87"/>
    <w:rsid w:val="004E7DC8"/>
    <w:rsid w:val="004E7EE8"/>
    <w:rsid w:val="004F0081"/>
    <w:rsid w:val="004F00F7"/>
    <w:rsid w:val="004F0101"/>
    <w:rsid w:val="004F013D"/>
    <w:rsid w:val="004F0197"/>
    <w:rsid w:val="004F01B8"/>
    <w:rsid w:val="004F02BC"/>
    <w:rsid w:val="004F03A0"/>
    <w:rsid w:val="004F051A"/>
    <w:rsid w:val="004F05E2"/>
    <w:rsid w:val="004F0684"/>
    <w:rsid w:val="004F06F7"/>
    <w:rsid w:val="004F077A"/>
    <w:rsid w:val="004F0812"/>
    <w:rsid w:val="004F0A12"/>
    <w:rsid w:val="004F0A18"/>
    <w:rsid w:val="004F0A7A"/>
    <w:rsid w:val="004F0A7C"/>
    <w:rsid w:val="004F0AF1"/>
    <w:rsid w:val="004F0B58"/>
    <w:rsid w:val="004F0BCE"/>
    <w:rsid w:val="004F0C02"/>
    <w:rsid w:val="004F0C79"/>
    <w:rsid w:val="004F0C99"/>
    <w:rsid w:val="004F0CC8"/>
    <w:rsid w:val="004F0D2C"/>
    <w:rsid w:val="004F0D67"/>
    <w:rsid w:val="004F0D75"/>
    <w:rsid w:val="004F0DC2"/>
    <w:rsid w:val="004F0DE9"/>
    <w:rsid w:val="004F0E7E"/>
    <w:rsid w:val="004F0EFF"/>
    <w:rsid w:val="004F0F2C"/>
    <w:rsid w:val="004F0F37"/>
    <w:rsid w:val="004F0F8C"/>
    <w:rsid w:val="004F0FCD"/>
    <w:rsid w:val="004F1029"/>
    <w:rsid w:val="004F1173"/>
    <w:rsid w:val="004F134D"/>
    <w:rsid w:val="004F143C"/>
    <w:rsid w:val="004F1473"/>
    <w:rsid w:val="004F1505"/>
    <w:rsid w:val="004F1536"/>
    <w:rsid w:val="004F1575"/>
    <w:rsid w:val="004F15D6"/>
    <w:rsid w:val="004F1605"/>
    <w:rsid w:val="004F16AC"/>
    <w:rsid w:val="004F1751"/>
    <w:rsid w:val="004F180A"/>
    <w:rsid w:val="004F1824"/>
    <w:rsid w:val="004F188C"/>
    <w:rsid w:val="004F18C7"/>
    <w:rsid w:val="004F1917"/>
    <w:rsid w:val="004F1A8B"/>
    <w:rsid w:val="004F1AA0"/>
    <w:rsid w:val="004F1B5E"/>
    <w:rsid w:val="004F1C04"/>
    <w:rsid w:val="004F1C29"/>
    <w:rsid w:val="004F1C9B"/>
    <w:rsid w:val="004F1CAD"/>
    <w:rsid w:val="004F1CCE"/>
    <w:rsid w:val="004F1D99"/>
    <w:rsid w:val="004F1E65"/>
    <w:rsid w:val="004F1E73"/>
    <w:rsid w:val="004F1EF0"/>
    <w:rsid w:val="004F1F15"/>
    <w:rsid w:val="004F1F89"/>
    <w:rsid w:val="004F1F9C"/>
    <w:rsid w:val="004F2059"/>
    <w:rsid w:val="004F2065"/>
    <w:rsid w:val="004F216E"/>
    <w:rsid w:val="004F2197"/>
    <w:rsid w:val="004F219D"/>
    <w:rsid w:val="004F2215"/>
    <w:rsid w:val="004F23C9"/>
    <w:rsid w:val="004F24B5"/>
    <w:rsid w:val="004F251F"/>
    <w:rsid w:val="004F2566"/>
    <w:rsid w:val="004F258F"/>
    <w:rsid w:val="004F2674"/>
    <w:rsid w:val="004F26FE"/>
    <w:rsid w:val="004F2722"/>
    <w:rsid w:val="004F2749"/>
    <w:rsid w:val="004F2798"/>
    <w:rsid w:val="004F27F5"/>
    <w:rsid w:val="004F27FF"/>
    <w:rsid w:val="004F2817"/>
    <w:rsid w:val="004F28CF"/>
    <w:rsid w:val="004F2B3C"/>
    <w:rsid w:val="004F2DAF"/>
    <w:rsid w:val="004F2DF9"/>
    <w:rsid w:val="004F2E1C"/>
    <w:rsid w:val="004F2E6F"/>
    <w:rsid w:val="004F2EEF"/>
    <w:rsid w:val="004F2EF3"/>
    <w:rsid w:val="004F3013"/>
    <w:rsid w:val="004F302B"/>
    <w:rsid w:val="004F3126"/>
    <w:rsid w:val="004F3218"/>
    <w:rsid w:val="004F32CD"/>
    <w:rsid w:val="004F334E"/>
    <w:rsid w:val="004F33CB"/>
    <w:rsid w:val="004F33CF"/>
    <w:rsid w:val="004F364D"/>
    <w:rsid w:val="004F3713"/>
    <w:rsid w:val="004F3735"/>
    <w:rsid w:val="004F383F"/>
    <w:rsid w:val="004F3865"/>
    <w:rsid w:val="004F3868"/>
    <w:rsid w:val="004F3A4E"/>
    <w:rsid w:val="004F3B14"/>
    <w:rsid w:val="004F3C35"/>
    <w:rsid w:val="004F3C9B"/>
    <w:rsid w:val="004F3D2B"/>
    <w:rsid w:val="004F3E9C"/>
    <w:rsid w:val="004F3F80"/>
    <w:rsid w:val="004F40E8"/>
    <w:rsid w:val="004F4143"/>
    <w:rsid w:val="004F4163"/>
    <w:rsid w:val="004F4197"/>
    <w:rsid w:val="004F4253"/>
    <w:rsid w:val="004F42A2"/>
    <w:rsid w:val="004F430A"/>
    <w:rsid w:val="004F4402"/>
    <w:rsid w:val="004F44A0"/>
    <w:rsid w:val="004F45BA"/>
    <w:rsid w:val="004F45EB"/>
    <w:rsid w:val="004F4711"/>
    <w:rsid w:val="004F47BE"/>
    <w:rsid w:val="004F47DB"/>
    <w:rsid w:val="004F4880"/>
    <w:rsid w:val="004F48A8"/>
    <w:rsid w:val="004F49FA"/>
    <w:rsid w:val="004F4A5E"/>
    <w:rsid w:val="004F4ABA"/>
    <w:rsid w:val="004F4ADD"/>
    <w:rsid w:val="004F4CB8"/>
    <w:rsid w:val="004F4D9D"/>
    <w:rsid w:val="004F4DD4"/>
    <w:rsid w:val="004F4DE1"/>
    <w:rsid w:val="004F4E56"/>
    <w:rsid w:val="004F4EA6"/>
    <w:rsid w:val="004F4FA7"/>
    <w:rsid w:val="004F501A"/>
    <w:rsid w:val="004F50AC"/>
    <w:rsid w:val="004F50DA"/>
    <w:rsid w:val="004F50F3"/>
    <w:rsid w:val="004F516B"/>
    <w:rsid w:val="004F517D"/>
    <w:rsid w:val="004F5253"/>
    <w:rsid w:val="004F52B7"/>
    <w:rsid w:val="004F530F"/>
    <w:rsid w:val="004F53FA"/>
    <w:rsid w:val="004F53FC"/>
    <w:rsid w:val="004F5458"/>
    <w:rsid w:val="004F562B"/>
    <w:rsid w:val="004F56CC"/>
    <w:rsid w:val="004F5734"/>
    <w:rsid w:val="004F5781"/>
    <w:rsid w:val="004F5807"/>
    <w:rsid w:val="004F581A"/>
    <w:rsid w:val="004F590A"/>
    <w:rsid w:val="004F5982"/>
    <w:rsid w:val="004F59F9"/>
    <w:rsid w:val="004F5B4D"/>
    <w:rsid w:val="004F5D3B"/>
    <w:rsid w:val="004F5E4A"/>
    <w:rsid w:val="004F5E4F"/>
    <w:rsid w:val="004F5E9A"/>
    <w:rsid w:val="004F5EB6"/>
    <w:rsid w:val="004F5ED4"/>
    <w:rsid w:val="004F6047"/>
    <w:rsid w:val="004F60FF"/>
    <w:rsid w:val="004F6193"/>
    <w:rsid w:val="004F6224"/>
    <w:rsid w:val="004F628C"/>
    <w:rsid w:val="004F63BF"/>
    <w:rsid w:val="004F6463"/>
    <w:rsid w:val="004F64C7"/>
    <w:rsid w:val="004F6952"/>
    <w:rsid w:val="004F69B4"/>
    <w:rsid w:val="004F69EF"/>
    <w:rsid w:val="004F6A0F"/>
    <w:rsid w:val="004F6A76"/>
    <w:rsid w:val="004F6AA0"/>
    <w:rsid w:val="004F6D45"/>
    <w:rsid w:val="004F6D54"/>
    <w:rsid w:val="004F6E98"/>
    <w:rsid w:val="004F6EAA"/>
    <w:rsid w:val="004F6FD3"/>
    <w:rsid w:val="004F6FE0"/>
    <w:rsid w:val="004F7032"/>
    <w:rsid w:val="004F7163"/>
    <w:rsid w:val="004F7231"/>
    <w:rsid w:val="004F7405"/>
    <w:rsid w:val="004F7446"/>
    <w:rsid w:val="004F749E"/>
    <w:rsid w:val="004F755C"/>
    <w:rsid w:val="004F75AC"/>
    <w:rsid w:val="004F75D3"/>
    <w:rsid w:val="004F763A"/>
    <w:rsid w:val="004F7746"/>
    <w:rsid w:val="004F77E7"/>
    <w:rsid w:val="004F7874"/>
    <w:rsid w:val="004F7919"/>
    <w:rsid w:val="004F7A0E"/>
    <w:rsid w:val="004F7A6A"/>
    <w:rsid w:val="004F7AB0"/>
    <w:rsid w:val="004F7CE2"/>
    <w:rsid w:val="004F7D62"/>
    <w:rsid w:val="004F7DEC"/>
    <w:rsid w:val="004F7E59"/>
    <w:rsid w:val="004F7EC9"/>
    <w:rsid w:val="004F7ED2"/>
    <w:rsid w:val="004F7F5B"/>
    <w:rsid w:val="004F7FCF"/>
    <w:rsid w:val="004F7FE8"/>
    <w:rsid w:val="0050000D"/>
    <w:rsid w:val="0050004A"/>
    <w:rsid w:val="005000F6"/>
    <w:rsid w:val="0050016D"/>
    <w:rsid w:val="00500180"/>
    <w:rsid w:val="00500231"/>
    <w:rsid w:val="00500236"/>
    <w:rsid w:val="005004EC"/>
    <w:rsid w:val="005005DD"/>
    <w:rsid w:val="005005F5"/>
    <w:rsid w:val="00500623"/>
    <w:rsid w:val="00500630"/>
    <w:rsid w:val="00500698"/>
    <w:rsid w:val="00500773"/>
    <w:rsid w:val="00500776"/>
    <w:rsid w:val="005007D1"/>
    <w:rsid w:val="00500846"/>
    <w:rsid w:val="0050095E"/>
    <w:rsid w:val="00500A3C"/>
    <w:rsid w:val="00500AEA"/>
    <w:rsid w:val="00500B34"/>
    <w:rsid w:val="00500BA6"/>
    <w:rsid w:val="00500BE6"/>
    <w:rsid w:val="00500BE9"/>
    <w:rsid w:val="00500CFE"/>
    <w:rsid w:val="00500D2F"/>
    <w:rsid w:val="00500DBA"/>
    <w:rsid w:val="00500F5F"/>
    <w:rsid w:val="00500FCB"/>
    <w:rsid w:val="00501035"/>
    <w:rsid w:val="00501036"/>
    <w:rsid w:val="005010AE"/>
    <w:rsid w:val="005011B5"/>
    <w:rsid w:val="0050120D"/>
    <w:rsid w:val="00501281"/>
    <w:rsid w:val="005012A3"/>
    <w:rsid w:val="00501302"/>
    <w:rsid w:val="0050139D"/>
    <w:rsid w:val="005013A6"/>
    <w:rsid w:val="005013BC"/>
    <w:rsid w:val="00501502"/>
    <w:rsid w:val="0050150C"/>
    <w:rsid w:val="005015D4"/>
    <w:rsid w:val="0050166F"/>
    <w:rsid w:val="005016BC"/>
    <w:rsid w:val="005016E0"/>
    <w:rsid w:val="00501732"/>
    <w:rsid w:val="00501741"/>
    <w:rsid w:val="0050178F"/>
    <w:rsid w:val="0050179D"/>
    <w:rsid w:val="0050189B"/>
    <w:rsid w:val="005018AF"/>
    <w:rsid w:val="0050196D"/>
    <w:rsid w:val="00501CA3"/>
    <w:rsid w:val="00501D8A"/>
    <w:rsid w:val="00501DD2"/>
    <w:rsid w:val="00501E0E"/>
    <w:rsid w:val="00501E31"/>
    <w:rsid w:val="00501E45"/>
    <w:rsid w:val="00501E79"/>
    <w:rsid w:val="00501E7C"/>
    <w:rsid w:val="005020C2"/>
    <w:rsid w:val="005020F6"/>
    <w:rsid w:val="0050221C"/>
    <w:rsid w:val="00502250"/>
    <w:rsid w:val="005022F8"/>
    <w:rsid w:val="0050231A"/>
    <w:rsid w:val="0050243F"/>
    <w:rsid w:val="005025F1"/>
    <w:rsid w:val="005026A4"/>
    <w:rsid w:val="005026FB"/>
    <w:rsid w:val="00502778"/>
    <w:rsid w:val="00502806"/>
    <w:rsid w:val="00502963"/>
    <w:rsid w:val="00502A05"/>
    <w:rsid w:val="00502A0F"/>
    <w:rsid w:val="00502ACC"/>
    <w:rsid w:val="00502B84"/>
    <w:rsid w:val="00502BDF"/>
    <w:rsid w:val="00502C68"/>
    <w:rsid w:val="00502DF5"/>
    <w:rsid w:val="00502DFE"/>
    <w:rsid w:val="00502E94"/>
    <w:rsid w:val="00502FC3"/>
    <w:rsid w:val="00502FF6"/>
    <w:rsid w:val="0050304F"/>
    <w:rsid w:val="00503120"/>
    <w:rsid w:val="0050315A"/>
    <w:rsid w:val="005031A9"/>
    <w:rsid w:val="005031CE"/>
    <w:rsid w:val="0050323F"/>
    <w:rsid w:val="00503306"/>
    <w:rsid w:val="0050330F"/>
    <w:rsid w:val="005033B4"/>
    <w:rsid w:val="00503475"/>
    <w:rsid w:val="005034AA"/>
    <w:rsid w:val="00503549"/>
    <w:rsid w:val="0050369E"/>
    <w:rsid w:val="00503786"/>
    <w:rsid w:val="00503822"/>
    <w:rsid w:val="00503891"/>
    <w:rsid w:val="005038DC"/>
    <w:rsid w:val="00503A39"/>
    <w:rsid w:val="00503B07"/>
    <w:rsid w:val="00503B1B"/>
    <w:rsid w:val="00503B32"/>
    <w:rsid w:val="00503B42"/>
    <w:rsid w:val="00503D95"/>
    <w:rsid w:val="00503EEC"/>
    <w:rsid w:val="00503F1D"/>
    <w:rsid w:val="00503F77"/>
    <w:rsid w:val="00504005"/>
    <w:rsid w:val="00504054"/>
    <w:rsid w:val="00504128"/>
    <w:rsid w:val="00504178"/>
    <w:rsid w:val="005041A8"/>
    <w:rsid w:val="00504226"/>
    <w:rsid w:val="0050429F"/>
    <w:rsid w:val="005042A0"/>
    <w:rsid w:val="00504301"/>
    <w:rsid w:val="005043EA"/>
    <w:rsid w:val="005043FA"/>
    <w:rsid w:val="00504417"/>
    <w:rsid w:val="0050449B"/>
    <w:rsid w:val="005044D3"/>
    <w:rsid w:val="00504572"/>
    <w:rsid w:val="005047FC"/>
    <w:rsid w:val="0050480C"/>
    <w:rsid w:val="005048D4"/>
    <w:rsid w:val="0050496B"/>
    <w:rsid w:val="005049D6"/>
    <w:rsid w:val="00504A36"/>
    <w:rsid w:val="00504A4A"/>
    <w:rsid w:val="00504D14"/>
    <w:rsid w:val="00504DAB"/>
    <w:rsid w:val="00504DD6"/>
    <w:rsid w:val="00504DE6"/>
    <w:rsid w:val="00504E47"/>
    <w:rsid w:val="00504E5F"/>
    <w:rsid w:val="00504F64"/>
    <w:rsid w:val="00504F70"/>
    <w:rsid w:val="00504F72"/>
    <w:rsid w:val="0050512C"/>
    <w:rsid w:val="00505228"/>
    <w:rsid w:val="005053B1"/>
    <w:rsid w:val="005053EE"/>
    <w:rsid w:val="005055C5"/>
    <w:rsid w:val="005055F8"/>
    <w:rsid w:val="0050565A"/>
    <w:rsid w:val="00505668"/>
    <w:rsid w:val="005056EA"/>
    <w:rsid w:val="0050576E"/>
    <w:rsid w:val="00505814"/>
    <w:rsid w:val="0050585B"/>
    <w:rsid w:val="0050586A"/>
    <w:rsid w:val="0050599E"/>
    <w:rsid w:val="005059D0"/>
    <w:rsid w:val="00505ABC"/>
    <w:rsid w:val="00505B01"/>
    <w:rsid w:val="00505B49"/>
    <w:rsid w:val="00505C2A"/>
    <w:rsid w:val="00505D3B"/>
    <w:rsid w:val="00505DBF"/>
    <w:rsid w:val="00505E1B"/>
    <w:rsid w:val="00505FB4"/>
    <w:rsid w:val="00505FCC"/>
    <w:rsid w:val="005060B9"/>
    <w:rsid w:val="00506119"/>
    <w:rsid w:val="00506142"/>
    <w:rsid w:val="00506201"/>
    <w:rsid w:val="00506316"/>
    <w:rsid w:val="005063D2"/>
    <w:rsid w:val="00506456"/>
    <w:rsid w:val="0050653A"/>
    <w:rsid w:val="00506561"/>
    <w:rsid w:val="005066E5"/>
    <w:rsid w:val="005067A9"/>
    <w:rsid w:val="005067BA"/>
    <w:rsid w:val="0050680C"/>
    <w:rsid w:val="00506849"/>
    <w:rsid w:val="00506856"/>
    <w:rsid w:val="005069E9"/>
    <w:rsid w:val="00506A0E"/>
    <w:rsid w:val="00506AB4"/>
    <w:rsid w:val="00506AF7"/>
    <w:rsid w:val="00506BEB"/>
    <w:rsid w:val="00506C61"/>
    <w:rsid w:val="00506D14"/>
    <w:rsid w:val="00506E4F"/>
    <w:rsid w:val="00506E98"/>
    <w:rsid w:val="00506E9B"/>
    <w:rsid w:val="00506F33"/>
    <w:rsid w:val="00506F51"/>
    <w:rsid w:val="00506F60"/>
    <w:rsid w:val="00506F96"/>
    <w:rsid w:val="0050707E"/>
    <w:rsid w:val="00507089"/>
    <w:rsid w:val="0050748F"/>
    <w:rsid w:val="005074B4"/>
    <w:rsid w:val="00507554"/>
    <w:rsid w:val="005076A1"/>
    <w:rsid w:val="005076EC"/>
    <w:rsid w:val="00507715"/>
    <w:rsid w:val="00507790"/>
    <w:rsid w:val="0050788D"/>
    <w:rsid w:val="005078AD"/>
    <w:rsid w:val="00507A2D"/>
    <w:rsid w:val="00507B22"/>
    <w:rsid w:val="00507B5A"/>
    <w:rsid w:val="00507C26"/>
    <w:rsid w:val="00507CB9"/>
    <w:rsid w:val="00507D8E"/>
    <w:rsid w:val="00507D9C"/>
    <w:rsid w:val="00507DAB"/>
    <w:rsid w:val="00507DBA"/>
    <w:rsid w:val="00507E34"/>
    <w:rsid w:val="00507F27"/>
    <w:rsid w:val="00507F2D"/>
    <w:rsid w:val="005100DB"/>
    <w:rsid w:val="0051011A"/>
    <w:rsid w:val="005101DA"/>
    <w:rsid w:val="005101E2"/>
    <w:rsid w:val="0051021D"/>
    <w:rsid w:val="00510293"/>
    <w:rsid w:val="0051030A"/>
    <w:rsid w:val="00510353"/>
    <w:rsid w:val="0051036B"/>
    <w:rsid w:val="0051036F"/>
    <w:rsid w:val="005103C6"/>
    <w:rsid w:val="005103D1"/>
    <w:rsid w:val="00510431"/>
    <w:rsid w:val="00510474"/>
    <w:rsid w:val="0051056C"/>
    <w:rsid w:val="005105ED"/>
    <w:rsid w:val="00510639"/>
    <w:rsid w:val="0051065F"/>
    <w:rsid w:val="00510668"/>
    <w:rsid w:val="00510687"/>
    <w:rsid w:val="005106FF"/>
    <w:rsid w:val="00510755"/>
    <w:rsid w:val="00510874"/>
    <w:rsid w:val="005108E7"/>
    <w:rsid w:val="00510941"/>
    <w:rsid w:val="00510968"/>
    <w:rsid w:val="00510A33"/>
    <w:rsid w:val="00510A42"/>
    <w:rsid w:val="00510AF1"/>
    <w:rsid w:val="00510BDB"/>
    <w:rsid w:val="00510C9F"/>
    <w:rsid w:val="005111E2"/>
    <w:rsid w:val="0051126B"/>
    <w:rsid w:val="00511357"/>
    <w:rsid w:val="005113AF"/>
    <w:rsid w:val="005114E0"/>
    <w:rsid w:val="0051160E"/>
    <w:rsid w:val="00511630"/>
    <w:rsid w:val="00511765"/>
    <w:rsid w:val="0051178A"/>
    <w:rsid w:val="005117DA"/>
    <w:rsid w:val="005117E4"/>
    <w:rsid w:val="005118BE"/>
    <w:rsid w:val="005118CF"/>
    <w:rsid w:val="005118F2"/>
    <w:rsid w:val="00511949"/>
    <w:rsid w:val="005119D8"/>
    <w:rsid w:val="00511A9A"/>
    <w:rsid w:val="00511B81"/>
    <w:rsid w:val="00511B8E"/>
    <w:rsid w:val="00511BC6"/>
    <w:rsid w:val="00511C43"/>
    <w:rsid w:val="00511C6D"/>
    <w:rsid w:val="00511D5A"/>
    <w:rsid w:val="00511D8E"/>
    <w:rsid w:val="00511E2A"/>
    <w:rsid w:val="00511E8F"/>
    <w:rsid w:val="00511EA8"/>
    <w:rsid w:val="00511EBD"/>
    <w:rsid w:val="00511F09"/>
    <w:rsid w:val="005120AF"/>
    <w:rsid w:val="005121BE"/>
    <w:rsid w:val="005121FA"/>
    <w:rsid w:val="0051220C"/>
    <w:rsid w:val="005122BC"/>
    <w:rsid w:val="0051239A"/>
    <w:rsid w:val="005124AF"/>
    <w:rsid w:val="0051252F"/>
    <w:rsid w:val="005125E6"/>
    <w:rsid w:val="00512654"/>
    <w:rsid w:val="00512714"/>
    <w:rsid w:val="00512760"/>
    <w:rsid w:val="005127F2"/>
    <w:rsid w:val="00512823"/>
    <w:rsid w:val="0051286F"/>
    <w:rsid w:val="005128AF"/>
    <w:rsid w:val="00512920"/>
    <w:rsid w:val="00512A0C"/>
    <w:rsid w:val="00512A26"/>
    <w:rsid w:val="00512A7C"/>
    <w:rsid w:val="00512C51"/>
    <w:rsid w:val="00512D7F"/>
    <w:rsid w:val="00512F3E"/>
    <w:rsid w:val="00513085"/>
    <w:rsid w:val="005131A9"/>
    <w:rsid w:val="005131FD"/>
    <w:rsid w:val="00513391"/>
    <w:rsid w:val="00513395"/>
    <w:rsid w:val="005133BF"/>
    <w:rsid w:val="005133DB"/>
    <w:rsid w:val="00513462"/>
    <w:rsid w:val="00513594"/>
    <w:rsid w:val="005135C6"/>
    <w:rsid w:val="005135CD"/>
    <w:rsid w:val="005136AE"/>
    <w:rsid w:val="00513802"/>
    <w:rsid w:val="00513B78"/>
    <w:rsid w:val="00513B81"/>
    <w:rsid w:val="00513B96"/>
    <w:rsid w:val="00513BE8"/>
    <w:rsid w:val="00513BEB"/>
    <w:rsid w:val="00513C7F"/>
    <w:rsid w:val="00513D67"/>
    <w:rsid w:val="00513D9C"/>
    <w:rsid w:val="00513E2F"/>
    <w:rsid w:val="00513E3E"/>
    <w:rsid w:val="00513F3A"/>
    <w:rsid w:val="00513F63"/>
    <w:rsid w:val="005140D3"/>
    <w:rsid w:val="005140DB"/>
    <w:rsid w:val="00514191"/>
    <w:rsid w:val="005141D3"/>
    <w:rsid w:val="0051421C"/>
    <w:rsid w:val="005142E3"/>
    <w:rsid w:val="00514333"/>
    <w:rsid w:val="00514375"/>
    <w:rsid w:val="00514429"/>
    <w:rsid w:val="00514462"/>
    <w:rsid w:val="0051447B"/>
    <w:rsid w:val="00514573"/>
    <w:rsid w:val="0051473D"/>
    <w:rsid w:val="005148F8"/>
    <w:rsid w:val="0051490E"/>
    <w:rsid w:val="0051496A"/>
    <w:rsid w:val="00514988"/>
    <w:rsid w:val="0051498D"/>
    <w:rsid w:val="005149D9"/>
    <w:rsid w:val="00514B48"/>
    <w:rsid w:val="00514B99"/>
    <w:rsid w:val="00514BC3"/>
    <w:rsid w:val="00514C16"/>
    <w:rsid w:val="00514CE4"/>
    <w:rsid w:val="00514DE0"/>
    <w:rsid w:val="00514E4C"/>
    <w:rsid w:val="00514E53"/>
    <w:rsid w:val="00514EA3"/>
    <w:rsid w:val="00514EF7"/>
    <w:rsid w:val="00515051"/>
    <w:rsid w:val="00515089"/>
    <w:rsid w:val="00515112"/>
    <w:rsid w:val="00515158"/>
    <w:rsid w:val="00515251"/>
    <w:rsid w:val="0051526A"/>
    <w:rsid w:val="00515284"/>
    <w:rsid w:val="00515304"/>
    <w:rsid w:val="00515342"/>
    <w:rsid w:val="00515448"/>
    <w:rsid w:val="00515481"/>
    <w:rsid w:val="005154F5"/>
    <w:rsid w:val="005155CF"/>
    <w:rsid w:val="005156D9"/>
    <w:rsid w:val="005156DA"/>
    <w:rsid w:val="005157CF"/>
    <w:rsid w:val="00515954"/>
    <w:rsid w:val="005159CD"/>
    <w:rsid w:val="00515CAA"/>
    <w:rsid w:val="00515DD4"/>
    <w:rsid w:val="00515EA4"/>
    <w:rsid w:val="0051601F"/>
    <w:rsid w:val="00516067"/>
    <w:rsid w:val="00516133"/>
    <w:rsid w:val="00516215"/>
    <w:rsid w:val="0051637B"/>
    <w:rsid w:val="0051640F"/>
    <w:rsid w:val="00516469"/>
    <w:rsid w:val="005165EC"/>
    <w:rsid w:val="00516613"/>
    <w:rsid w:val="00516725"/>
    <w:rsid w:val="00516836"/>
    <w:rsid w:val="005168B4"/>
    <w:rsid w:val="005168C7"/>
    <w:rsid w:val="005169A2"/>
    <w:rsid w:val="00516AE0"/>
    <w:rsid w:val="00516BD1"/>
    <w:rsid w:val="00516C82"/>
    <w:rsid w:val="00516D15"/>
    <w:rsid w:val="00516E7A"/>
    <w:rsid w:val="005170F7"/>
    <w:rsid w:val="00517122"/>
    <w:rsid w:val="0051726D"/>
    <w:rsid w:val="005172C4"/>
    <w:rsid w:val="005172F6"/>
    <w:rsid w:val="0051741C"/>
    <w:rsid w:val="00517565"/>
    <w:rsid w:val="005175B8"/>
    <w:rsid w:val="0051763A"/>
    <w:rsid w:val="005176BC"/>
    <w:rsid w:val="00517725"/>
    <w:rsid w:val="005178D3"/>
    <w:rsid w:val="0051790F"/>
    <w:rsid w:val="005179E9"/>
    <w:rsid w:val="00517A3B"/>
    <w:rsid w:val="00517A77"/>
    <w:rsid w:val="00517A9A"/>
    <w:rsid w:val="00517B7B"/>
    <w:rsid w:val="00517CA8"/>
    <w:rsid w:val="00517D64"/>
    <w:rsid w:val="00517DDD"/>
    <w:rsid w:val="00517E23"/>
    <w:rsid w:val="00517FBD"/>
    <w:rsid w:val="00517FDD"/>
    <w:rsid w:val="0052002A"/>
    <w:rsid w:val="0052008D"/>
    <w:rsid w:val="0052012C"/>
    <w:rsid w:val="005201C2"/>
    <w:rsid w:val="00520215"/>
    <w:rsid w:val="00520401"/>
    <w:rsid w:val="005204A0"/>
    <w:rsid w:val="00520547"/>
    <w:rsid w:val="00520629"/>
    <w:rsid w:val="005206E0"/>
    <w:rsid w:val="005206F9"/>
    <w:rsid w:val="00520838"/>
    <w:rsid w:val="00520902"/>
    <w:rsid w:val="00520991"/>
    <w:rsid w:val="00520997"/>
    <w:rsid w:val="00520A26"/>
    <w:rsid w:val="00520A5C"/>
    <w:rsid w:val="00520C5B"/>
    <w:rsid w:val="00520CFC"/>
    <w:rsid w:val="00520E64"/>
    <w:rsid w:val="00520F39"/>
    <w:rsid w:val="00521038"/>
    <w:rsid w:val="005210B4"/>
    <w:rsid w:val="00521109"/>
    <w:rsid w:val="0052116F"/>
    <w:rsid w:val="005211D4"/>
    <w:rsid w:val="005212A0"/>
    <w:rsid w:val="005213C4"/>
    <w:rsid w:val="00521490"/>
    <w:rsid w:val="00521587"/>
    <w:rsid w:val="00521730"/>
    <w:rsid w:val="0052173A"/>
    <w:rsid w:val="005217FB"/>
    <w:rsid w:val="00521893"/>
    <w:rsid w:val="0052189C"/>
    <w:rsid w:val="005219FC"/>
    <w:rsid w:val="00521AB6"/>
    <w:rsid w:val="00521AC7"/>
    <w:rsid w:val="00521C56"/>
    <w:rsid w:val="00521C5A"/>
    <w:rsid w:val="00521C77"/>
    <w:rsid w:val="00521CC7"/>
    <w:rsid w:val="00521D51"/>
    <w:rsid w:val="00521D9A"/>
    <w:rsid w:val="00521DB0"/>
    <w:rsid w:val="00521F21"/>
    <w:rsid w:val="00521F5F"/>
    <w:rsid w:val="00521FEA"/>
    <w:rsid w:val="00522143"/>
    <w:rsid w:val="005221A3"/>
    <w:rsid w:val="005221BE"/>
    <w:rsid w:val="00522242"/>
    <w:rsid w:val="005222F3"/>
    <w:rsid w:val="00522313"/>
    <w:rsid w:val="00522323"/>
    <w:rsid w:val="00522460"/>
    <w:rsid w:val="005224AF"/>
    <w:rsid w:val="005224C1"/>
    <w:rsid w:val="0052255E"/>
    <w:rsid w:val="005225E0"/>
    <w:rsid w:val="005226CF"/>
    <w:rsid w:val="005226E2"/>
    <w:rsid w:val="0052277C"/>
    <w:rsid w:val="00522832"/>
    <w:rsid w:val="00522839"/>
    <w:rsid w:val="005228EE"/>
    <w:rsid w:val="005229F1"/>
    <w:rsid w:val="00522A03"/>
    <w:rsid w:val="00522A55"/>
    <w:rsid w:val="00522A8B"/>
    <w:rsid w:val="00522B3C"/>
    <w:rsid w:val="00522BFB"/>
    <w:rsid w:val="00522CC2"/>
    <w:rsid w:val="00522CE9"/>
    <w:rsid w:val="00522CFD"/>
    <w:rsid w:val="00522DA2"/>
    <w:rsid w:val="00522E56"/>
    <w:rsid w:val="00523046"/>
    <w:rsid w:val="00523073"/>
    <w:rsid w:val="005230BC"/>
    <w:rsid w:val="005230EF"/>
    <w:rsid w:val="00523167"/>
    <w:rsid w:val="0052317D"/>
    <w:rsid w:val="005231F4"/>
    <w:rsid w:val="00523218"/>
    <w:rsid w:val="0052323B"/>
    <w:rsid w:val="005232D9"/>
    <w:rsid w:val="00523471"/>
    <w:rsid w:val="00523516"/>
    <w:rsid w:val="0052367C"/>
    <w:rsid w:val="0052380D"/>
    <w:rsid w:val="005238E3"/>
    <w:rsid w:val="00523AA6"/>
    <w:rsid w:val="00523AD0"/>
    <w:rsid w:val="00523B0D"/>
    <w:rsid w:val="00523B0E"/>
    <w:rsid w:val="00523C19"/>
    <w:rsid w:val="00523C62"/>
    <w:rsid w:val="00523CBC"/>
    <w:rsid w:val="00523DB1"/>
    <w:rsid w:val="00523E40"/>
    <w:rsid w:val="00523E72"/>
    <w:rsid w:val="00523E86"/>
    <w:rsid w:val="00523F06"/>
    <w:rsid w:val="0052401B"/>
    <w:rsid w:val="005240EF"/>
    <w:rsid w:val="005242FB"/>
    <w:rsid w:val="0052431E"/>
    <w:rsid w:val="005243A9"/>
    <w:rsid w:val="005244CE"/>
    <w:rsid w:val="005245CA"/>
    <w:rsid w:val="005245DD"/>
    <w:rsid w:val="00524794"/>
    <w:rsid w:val="0052482C"/>
    <w:rsid w:val="005249BA"/>
    <w:rsid w:val="00524D54"/>
    <w:rsid w:val="00524E92"/>
    <w:rsid w:val="0052500F"/>
    <w:rsid w:val="00525083"/>
    <w:rsid w:val="005250A8"/>
    <w:rsid w:val="00525167"/>
    <w:rsid w:val="00525256"/>
    <w:rsid w:val="00525298"/>
    <w:rsid w:val="0052542D"/>
    <w:rsid w:val="005254B2"/>
    <w:rsid w:val="0052551F"/>
    <w:rsid w:val="005258EF"/>
    <w:rsid w:val="00525911"/>
    <w:rsid w:val="005259B3"/>
    <w:rsid w:val="00525AA4"/>
    <w:rsid w:val="00525ACA"/>
    <w:rsid w:val="00525C08"/>
    <w:rsid w:val="00525C1A"/>
    <w:rsid w:val="00525CB1"/>
    <w:rsid w:val="00525DE1"/>
    <w:rsid w:val="00525FE4"/>
    <w:rsid w:val="00526078"/>
    <w:rsid w:val="0052607F"/>
    <w:rsid w:val="00526132"/>
    <w:rsid w:val="005261FF"/>
    <w:rsid w:val="005264FF"/>
    <w:rsid w:val="00526518"/>
    <w:rsid w:val="00526530"/>
    <w:rsid w:val="0052659B"/>
    <w:rsid w:val="0052687D"/>
    <w:rsid w:val="005268B7"/>
    <w:rsid w:val="0052695C"/>
    <w:rsid w:val="00526973"/>
    <w:rsid w:val="005269E3"/>
    <w:rsid w:val="005269F5"/>
    <w:rsid w:val="00526A25"/>
    <w:rsid w:val="00526A46"/>
    <w:rsid w:val="00526A7B"/>
    <w:rsid w:val="00526B16"/>
    <w:rsid w:val="00526B9F"/>
    <w:rsid w:val="00526BD7"/>
    <w:rsid w:val="00526C82"/>
    <w:rsid w:val="00526D1E"/>
    <w:rsid w:val="00526EC0"/>
    <w:rsid w:val="00526F9D"/>
    <w:rsid w:val="00527025"/>
    <w:rsid w:val="005271C4"/>
    <w:rsid w:val="005271CB"/>
    <w:rsid w:val="0052727F"/>
    <w:rsid w:val="00527314"/>
    <w:rsid w:val="0052738A"/>
    <w:rsid w:val="00527482"/>
    <w:rsid w:val="00527549"/>
    <w:rsid w:val="00527620"/>
    <w:rsid w:val="0052762A"/>
    <w:rsid w:val="005276F3"/>
    <w:rsid w:val="005276F7"/>
    <w:rsid w:val="0052792B"/>
    <w:rsid w:val="005279E2"/>
    <w:rsid w:val="00527A1C"/>
    <w:rsid w:val="00527A1F"/>
    <w:rsid w:val="00527B3C"/>
    <w:rsid w:val="00527CA0"/>
    <w:rsid w:val="00527E13"/>
    <w:rsid w:val="00527E17"/>
    <w:rsid w:val="00527E4C"/>
    <w:rsid w:val="00527ED7"/>
    <w:rsid w:val="00527F5E"/>
    <w:rsid w:val="00527F85"/>
    <w:rsid w:val="00530037"/>
    <w:rsid w:val="00530130"/>
    <w:rsid w:val="00530199"/>
    <w:rsid w:val="005301D4"/>
    <w:rsid w:val="0053021B"/>
    <w:rsid w:val="0053021D"/>
    <w:rsid w:val="0053029A"/>
    <w:rsid w:val="005302B0"/>
    <w:rsid w:val="005302BE"/>
    <w:rsid w:val="005302D4"/>
    <w:rsid w:val="0053044E"/>
    <w:rsid w:val="00530475"/>
    <w:rsid w:val="00530485"/>
    <w:rsid w:val="005304BA"/>
    <w:rsid w:val="005304D4"/>
    <w:rsid w:val="005304FA"/>
    <w:rsid w:val="00530500"/>
    <w:rsid w:val="00530569"/>
    <w:rsid w:val="005305A8"/>
    <w:rsid w:val="00530681"/>
    <w:rsid w:val="005306E9"/>
    <w:rsid w:val="005308A9"/>
    <w:rsid w:val="005308E2"/>
    <w:rsid w:val="005309AE"/>
    <w:rsid w:val="00530AD4"/>
    <w:rsid w:val="00530B43"/>
    <w:rsid w:val="00530CAF"/>
    <w:rsid w:val="00530D72"/>
    <w:rsid w:val="00530DAE"/>
    <w:rsid w:val="00530E1B"/>
    <w:rsid w:val="00530E2B"/>
    <w:rsid w:val="00530E75"/>
    <w:rsid w:val="0053103F"/>
    <w:rsid w:val="0053113B"/>
    <w:rsid w:val="00531156"/>
    <w:rsid w:val="00531241"/>
    <w:rsid w:val="005312DB"/>
    <w:rsid w:val="00531333"/>
    <w:rsid w:val="00531337"/>
    <w:rsid w:val="00531374"/>
    <w:rsid w:val="005313DD"/>
    <w:rsid w:val="005313E5"/>
    <w:rsid w:val="005314C3"/>
    <w:rsid w:val="00531504"/>
    <w:rsid w:val="005315C7"/>
    <w:rsid w:val="0053160C"/>
    <w:rsid w:val="00531621"/>
    <w:rsid w:val="0053168F"/>
    <w:rsid w:val="0053169E"/>
    <w:rsid w:val="005316A2"/>
    <w:rsid w:val="005317E2"/>
    <w:rsid w:val="00531A11"/>
    <w:rsid w:val="00531A29"/>
    <w:rsid w:val="00531A93"/>
    <w:rsid w:val="00531A95"/>
    <w:rsid w:val="00531AE3"/>
    <w:rsid w:val="00531C2E"/>
    <w:rsid w:val="00531CF8"/>
    <w:rsid w:val="00531D0D"/>
    <w:rsid w:val="00531D44"/>
    <w:rsid w:val="00531D80"/>
    <w:rsid w:val="00531DDD"/>
    <w:rsid w:val="00531E27"/>
    <w:rsid w:val="00531E4C"/>
    <w:rsid w:val="00531E6D"/>
    <w:rsid w:val="00531E7C"/>
    <w:rsid w:val="00531E84"/>
    <w:rsid w:val="00531F38"/>
    <w:rsid w:val="00531FC6"/>
    <w:rsid w:val="005320B7"/>
    <w:rsid w:val="005320D2"/>
    <w:rsid w:val="00532136"/>
    <w:rsid w:val="005321B1"/>
    <w:rsid w:val="005322C7"/>
    <w:rsid w:val="0053241C"/>
    <w:rsid w:val="00532432"/>
    <w:rsid w:val="005324CB"/>
    <w:rsid w:val="0053252B"/>
    <w:rsid w:val="005325D6"/>
    <w:rsid w:val="0053265F"/>
    <w:rsid w:val="00532690"/>
    <w:rsid w:val="00532730"/>
    <w:rsid w:val="0053275C"/>
    <w:rsid w:val="0053276A"/>
    <w:rsid w:val="005327D5"/>
    <w:rsid w:val="0053289C"/>
    <w:rsid w:val="005329C4"/>
    <w:rsid w:val="00532A30"/>
    <w:rsid w:val="00532A5B"/>
    <w:rsid w:val="00532B39"/>
    <w:rsid w:val="00532F00"/>
    <w:rsid w:val="00532F20"/>
    <w:rsid w:val="00532F6F"/>
    <w:rsid w:val="00532F8F"/>
    <w:rsid w:val="00532F9C"/>
    <w:rsid w:val="005330FC"/>
    <w:rsid w:val="00533171"/>
    <w:rsid w:val="00533179"/>
    <w:rsid w:val="0053319B"/>
    <w:rsid w:val="005331E2"/>
    <w:rsid w:val="0053322D"/>
    <w:rsid w:val="005332BE"/>
    <w:rsid w:val="005336B1"/>
    <w:rsid w:val="00533894"/>
    <w:rsid w:val="0053390B"/>
    <w:rsid w:val="005339E2"/>
    <w:rsid w:val="00533A4E"/>
    <w:rsid w:val="00533B80"/>
    <w:rsid w:val="00533C04"/>
    <w:rsid w:val="00533C45"/>
    <w:rsid w:val="00533E97"/>
    <w:rsid w:val="00533ECB"/>
    <w:rsid w:val="00534066"/>
    <w:rsid w:val="005340C5"/>
    <w:rsid w:val="00534132"/>
    <w:rsid w:val="00534198"/>
    <w:rsid w:val="005341B0"/>
    <w:rsid w:val="005341E1"/>
    <w:rsid w:val="005342A7"/>
    <w:rsid w:val="005342C9"/>
    <w:rsid w:val="00534318"/>
    <w:rsid w:val="005343BF"/>
    <w:rsid w:val="005343FD"/>
    <w:rsid w:val="00534404"/>
    <w:rsid w:val="005344D8"/>
    <w:rsid w:val="00534542"/>
    <w:rsid w:val="00534573"/>
    <w:rsid w:val="005345D2"/>
    <w:rsid w:val="00534796"/>
    <w:rsid w:val="005347C7"/>
    <w:rsid w:val="00534859"/>
    <w:rsid w:val="00534863"/>
    <w:rsid w:val="00534950"/>
    <w:rsid w:val="00534985"/>
    <w:rsid w:val="00534A06"/>
    <w:rsid w:val="00534A3B"/>
    <w:rsid w:val="00534ABA"/>
    <w:rsid w:val="00534AD0"/>
    <w:rsid w:val="00534BE0"/>
    <w:rsid w:val="00534C1F"/>
    <w:rsid w:val="00534CD3"/>
    <w:rsid w:val="00534CF4"/>
    <w:rsid w:val="00534D83"/>
    <w:rsid w:val="00534E23"/>
    <w:rsid w:val="0053518C"/>
    <w:rsid w:val="00535314"/>
    <w:rsid w:val="0053538B"/>
    <w:rsid w:val="005353C1"/>
    <w:rsid w:val="00535522"/>
    <w:rsid w:val="00535599"/>
    <w:rsid w:val="00535604"/>
    <w:rsid w:val="00535630"/>
    <w:rsid w:val="0053568C"/>
    <w:rsid w:val="005356BC"/>
    <w:rsid w:val="0053575F"/>
    <w:rsid w:val="00535774"/>
    <w:rsid w:val="005357C1"/>
    <w:rsid w:val="00535879"/>
    <w:rsid w:val="005358D7"/>
    <w:rsid w:val="00535986"/>
    <w:rsid w:val="005359F3"/>
    <w:rsid w:val="00535A0D"/>
    <w:rsid w:val="00535AEE"/>
    <w:rsid w:val="00535C4C"/>
    <w:rsid w:val="00535CC1"/>
    <w:rsid w:val="00535CDB"/>
    <w:rsid w:val="005360E0"/>
    <w:rsid w:val="005361BC"/>
    <w:rsid w:val="00536201"/>
    <w:rsid w:val="0053620C"/>
    <w:rsid w:val="00536272"/>
    <w:rsid w:val="00536360"/>
    <w:rsid w:val="00536373"/>
    <w:rsid w:val="005363C6"/>
    <w:rsid w:val="0053644A"/>
    <w:rsid w:val="00536466"/>
    <w:rsid w:val="005365B7"/>
    <w:rsid w:val="00536706"/>
    <w:rsid w:val="005368F8"/>
    <w:rsid w:val="00536A05"/>
    <w:rsid w:val="00536A38"/>
    <w:rsid w:val="00536A5E"/>
    <w:rsid w:val="00536C68"/>
    <w:rsid w:val="00536CC0"/>
    <w:rsid w:val="00536DB4"/>
    <w:rsid w:val="00536ED6"/>
    <w:rsid w:val="0053704B"/>
    <w:rsid w:val="0053717E"/>
    <w:rsid w:val="005371C2"/>
    <w:rsid w:val="005371EA"/>
    <w:rsid w:val="00537246"/>
    <w:rsid w:val="00537303"/>
    <w:rsid w:val="00537395"/>
    <w:rsid w:val="0053742E"/>
    <w:rsid w:val="0053745E"/>
    <w:rsid w:val="005375A0"/>
    <w:rsid w:val="005375E6"/>
    <w:rsid w:val="005376C6"/>
    <w:rsid w:val="00537754"/>
    <w:rsid w:val="00537869"/>
    <w:rsid w:val="00537917"/>
    <w:rsid w:val="00537ACA"/>
    <w:rsid w:val="00537B54"/>
    <w:rsid w:val="00537C5A"/>
    <w:rsid w:val="00537D15"/>
    <w:rsid w:val="00537F61"/>
    <w:rsid w:val="00537F74"/>
    <w:rsid w:val="00537FAF"/>
    <w:rsid w:val="00537FB0"/>
    <w:rsid w:val="00537FB3"/>
    <w:rsid w:val="00540081"/>
    <w:rsid w:val="00540094"/>
    <w:rsid w:val="0054023F"/>
    <w:rsid w:val="005403EB"/>
    <w:rsid w:val="005404B4"/>
    <w:rsid w:val="005404C1"/>
    <w:rsid w:val="0054062D"/>
    <w:rsid w:val="00540773"/>
    <w:rsid w:val="0054095F"/>
    <w:rsid w:val="00540979"/>
    <w:rsid w:val="005409F6"/>
    <w:rsid w:val="00540AF4"/>
    <w:rsid w:val="00540B15"/>
    <w:rsid w:val="00540BD3"/>
    <w:rsid w:val="00540CD7"/>
    <w:rsid w:val="00540CEF"/>
    <w:rsid w:val="00540EEF"/>
    <w:rsid w:val="00540F15"/>
    <w:rsid w:val="00541055"/>
    <w:rsid w:val="0054107B"/>
    <w:rsid w:val="0054114D"/>
    <w:rsid w:val="00541194"/>
    <w:rsid w:val="00541245"/>
    <w:rsid w:val="005412A0"/>
    <w:rsid w:val="00541458"/>
    <w:rsid w:val="00541483"/>
    <w:rsid w:val="00541521"/>
    <w:rsid w:val="00541595"/>
    <w:rsid w:val="005415A5"/>
    <w:rsid w:val="005415A6"/>
    <w:rsid w:val="005416CA"/>
    <w:rsid w:val="00541A83"/>
    <w:rsid w:val="00541B5F"/>
    <w:rsid w:val="00541C99"/>
    <w:rsid w:val="00541CEC"/>
    <w:rsid w:val="00541DD7"/>
    <w:rsid w:val="00541EFC"/>
    <w:rsid w:val="00541FD4"/>
    <w:rsid w:val="00542083"/>
    <w:rsid w:val="005420E3"/>
    <w:rsid w:val="00542130"/>
    <w:rsid w:val="00542222"/>
    <w:rsid w:val="00542252"/>
    <w:rsid w:val="005422AF"/>
    <w:rsid w:val="00542308"/>
    <w:rsid w:val="005423ED"/>
    <w:rsid w:val="00542413"/>
    <w:rsid w:val="00542475"/>
    <w:rsid w:val="005424FF"/>
    <w:rsid w:val="00542688"/>
    <w:rsid w:val="005426E3"/>
    <w:rsid w:val="005426FB"/>
    <w:rsid w:val="00542712"/>
    <w:rsid w:val="00542729"/>
    <w:rsid w:val="0054277B"/>
    <w:rsid w:val="00542908"/>
    <w:rsid w:val="00542923"/>
    <w:rsid w:val="005429B9"/>
    <w:rsid w:val="005429FE"/>
    <w:rsid w:val="00542A4D"/>
    <w:rsid w:val="00542A8E"/>
    <w:rsid w:val="00542B0C"/>
    <w:rsid w:val="00542B92"/>
    <w:rsid w:val="00542BEB"/>
    <w:rsid w:val="00542C8D"/>
    <w:rsid w:val="00542E07"/>
    <w:rsid w:val="00542E21"/>
    <w:rsid w:val="00542E5B"/>
    <w:rsid w:val="00542FDC"/>
    <w:rsid w:val="00542FF6"/>
    <w:rsid w:val="005430A9"/>
    <w:rsid w:val="005430D0"/>
    <w:rsid w:val="0054313E"/>
    <w:rsid w:val="00543169"/>
    <w:rsid w:val="005432B5"/>
    <w:rsid w:val="00543315"/>
    <w:rsid w:val="00543328"/>
    <w:rsid w:val="005433DE"/>
    <w:rsid w:val="005435EC"/>
    <w:rsid w:val="005436E3"/>
    <w:rsid w:val="00543724"/>
    <w:rsid w:val="0054378D"/>
    <w:rsid w:val="005438A7"/>
    <w:rsid w:val="005438AE"/>
    <w:rsid w:val="00543953"/>
    <w:rsid w:val="005439A2"/>
    <w:rsid w:val="00543B4B"/>
    <w:rsid w:val="00543B8A"/>
    <w:rsid w:val="00543B8D"/>
    <w:rsid w:val="00543B8F"/>
    <w:rsid w:val="00543B91"/>
    <w:rsid w:val="00543B9C"/>
    <w:rsid w:val="00543C2F"/>
    <w:rsid w:val="00543C37"/>
    <w:rsid w:val="00543D5A"/>
    <w:rsid w:val="00543E16"/>
    <w:rsid w:val="00543F52"/>
    <w:rsid w:val="00543FA9"/>
    <w:rsid w:val="00544342"/>
    <w:rsid w:val="00544366"/>
    <w:rsid w:val="00544403"/>
    <w:rsid w:val="00544412"/>
    <w:rsid w:val="00544463"/>
    <w:rsid w:val="005444C8"/>
    <w:rsid w:val="005445E7"/>
    <w:rsid w:val="005446A8"/>
    <w:rsid w:val="0054474D"/>
    <w:rsid w:val="0054480B"/>
    <w:rsid w:val="005448A1"/>
    <w:rsid w:val="005448D8"/>
    <w:rsid w:val="005448EB"/>
    <w:rsid w:val="00544A1C"/>
    <w:rsid w:val="00544A8D"/>
    <w:rsid w:val="00544A93"/>
    <w:rsid w:val="00544AF2"/>
    <w:rsid w:val="00544B46"/>
    <w:rsid w:val="00544B6D"/>
    <w:rsid w:val="00544BE1"/>
    <w:rsid w:val="00544C19"/>
    <w:rsid w:val="00544C42"/>
    <w:rsid w:val="00544CD2"/>
    <w:rsid w:val="00544D65"/>
    <w:rsid w:val="00544E17"/>
    <w:rsid w:val="00544EA2"/>
    <w:rsid w:val="00544F3C"/>
    <w:rsid w:val="00545056"/>
    <w:rsid w:val="00545095"/>
    <w:rsid w:val="0054518C"/>
    <w:rsid w:val="005451E1"/>
    <w:rsid w:val="00545326"/>
    <w:rsid w:val="0054537C"/>
    <w:rsid w:val="005453E7"/>
    <w:rsid w:val="005454D2"/>
    <w:rsid w:val="0054552E"/>
    <w:rsid w:val="00545562"/>
    <w:rsid w:val="00545600"/>
    <w:rsid w:val="00545626"/>
    <w:rsid w:val="0054562E"/>
    <w:rsid w:val="00545708"/>
    <w:rsid w:val="0054570C"/>
    <w:rsid w:val="00545815"/>
    <w:rsid w:val="00545832"/>
    <w:rsid w:val="00545862"/>
    <w:rsid w:val="005458A3"/>
    <w:rsid w:val="005458D9"/>
    <w:rsid w:val="00545AEB"/>
    <w:rsid w:val="00545B08"/>
    <w:rsid w:val="00545C32"/>
    <w:rsid w:val="00545D6C"/>
    <w:rsid w:val="00545D9B"/>
    <w:rsid w:val="00545E6E"/>
    <w:rsid w:val="00545E7D"/>
    <w:rsid w:val="00545E7F"/>
    <w:rsid w:val="00545F1E"/>
    <w:rsid w:val="00545F51"/>
    <w:rsid w:val="00545F9B"/>
    <w:rsid w:val="005460B6"/>
    <w:rsid w:val="0054629C"/>
    <w:rsid w:val="005462A8"/>
    <w:rsid w:val="0054639E"/>
    <w:rsid w:val="00546425"/>
    <w:rsid w:val="005464C5"/>
    <w:rsid w:val="00546505"/>
    <w:rsid w:val="00546516"/>
    <w:rsid w:val="005465A5"/>
    <w:rsid w:val="0054664B"/>
    <w:rsid w:val="0054664D"/>
    <w:rsid w:val="00546669"/>
    <w:rsid w:val="00546709"/>
    <w:rsid w:val="005467BC"/>
    <w:rsid w:val="0054688D"/>
    <w:rsid w:val="005468E3"/>
    <w:rsid w:val="0054692C"/>
    <w:rsid w:val="00546985"/>
    <w:rsid w:val="00546BB1"/>
    <w:rsid w:val="00546DC7"/>
    <w:rsid w:val="00546DDF"/>
    <w:rsid w:val="00546F86"/>
    <w:rsid w:val="00546F9E"/>
    <w:rsid w:val="00546FFF"/>
    <w:rsid w:val="0054700B"/>
    <w:rsid w:val="0054702E"/>
    <w:rsid w:val="005470A5"/>
    <w:rsid w:val="0054713F"/>
    <w:rsid w:val="0054722C"/>
    <w:rsid w:val="005472F5"/>
    <w:rsid w:val="005473F3"/>
    <w:rsid w:val="0054746F"/>
    <w:rsid w:val="005475BC"/>
    <w:rsid w:val="0054768C"/>
    <w:rsid w:val="005478AE"/>
    <w:rsid w:val="005478F6"/>
    <w:rsid w:val="00547951"/>
    <w:rsid w:val="0054798A"/>
    <w:rsid w:val="005479F3"/>
    <w:rsid w:val="00547D71"/>
    <w:rsid w:val="00547DD4"/>
    <w:rsid w:val="00547DDD"/>
    <w:rsid w:val="00547E0A"/>
    <w:rsid w:val="00547E46"/>
    <w:rsid w:val="00547EE8"/>
    <w:rsid w:val="00550058"/>
    <w:rsid w:val="005500D7"/>
    <w:rsid w:val="00550299"/>
    <w:rsid w:val="0055040B"/>
    <w:rsid w:val="00550477"/>
    <w:rsid w:val="0055052C"/>
    <w:rsid w:val="005505E4"/>
    <w:rsid w:val="005506CD"/>
    <w:rsid w:val="00550850"/>
    <w:rsid w:val="005508D5"/>
    <w:rsid w:val="005508D6"/>
    <w:rsid w:val="00550950"/>
    <w:rsid w:val="005509D1"/>
    <w:rsid w:val="005509EA"/>
    <w:rsid w:val="00550AE4"/>
    <w:rsid w:val="00550BFD"/>
    <w:rsid w:val="00550E3F"/>
    <w:rsid w:val="00550E43"/>
    <w:rsid w:val="00550FF8"/>
    <w:rsid w:val="0055120A"/>
    <w:rsid w:val="00551258"/>
    <w:rsid w:val="005512F2"/>
    <w:rsid w:val="00551310"/>
    <w:rsid w:val="00551370"/>
    <w:rsid w:val="0055141A"/>
    <w:rsid w:val="0055144A"/>
    <w:rsid w:val="005516B3"/>
    <w:rsid w:val="0055171D"/>
    <w:rsid w:val="00551730"/>
    <w:rsid w:val="00551747"/>
    <w:rsid w:val="005518E0"/>
    <w:rsid w:val="00551A00"/>
    <w:rsid w:val="00551C6B"/>
    <w:rsid w:val="00551CAC"/>
    <w:rsid w:val="00551DE2"/>
    <w:rsid w:val="00551DFE"/>
    <w:rsid w:val="00551E32"/>
    <w:rsid w:val="00551E5E"/>
    <w:rsid w:val="00552000"/>
    <w:rsid w:val="00552135"/>
    <w:rsid w:val="0055226F"/>
    <w:rsid w:val="005522FB"/>
    <w:rsid w:val="0055230E"/>
    <w:rsid w:val="0055233F"/>
    <w:rsid w:val="005524A3"/>
    <w:rsid w:val="0055250C"/>
    <w:rsid w:val="00552515"/>
    <w:rsid w:val="00552601"/>
    <w:rsid w:val="00552652"/>
    <w:rsid w:val="0055285A"/>
    <w:rsid w:val="0055288E"/>
    <w:rsid w:val="005528D8"/>
    <w:rsid w:val="005528DA"/>
    <w:rsid w:val="0055295A"/>
    <w:rsid w:val="00552A61"/>
    <w:rsid w:val="00552C60"/>
    <w:rsid w:val="00552CA9"/>
    <w:rsid w:val="00552D63"/>
    <w:rsid w:val="00552E1C"/>
    <w:rsid w:val="00552F24"/>
    <w:rsid w:val="00552F2A"/>
    <w:rsid w:val="00552F58"/>
    <w:rsid w:val="00552FBC"/>
    <w:rsid w:val="00552FBF"/>
    <w:rsid w:val="00553107"/>
    <w:rsid w:val="0055314C"/>
    <w:rsid w:val="00553282"/>
    <w:rsid w:val="00553288"/>
    <w:rsid w:val="005534C1"/>
    <w:rsid w:val="005534D0"/>
    <w:rsid w:val="005535DE"/>
    <w:rsid w:val="00553718"/>
    <w:rsid w:val="00553770"/>
    <w:rsid w:val="005537F8"/>
    <w:rsid w:val="00553902"/>
    <w:rsid w:val="0055394D"/>
    <w:rsid w:val="00553967"/>
    <w:rsid w:val="00553BA1"/>
    <w:rsid w:val="00553BD5"/>
    <w:rsid w:val="00553C85"/>
    <w:rsid w:val="00553CA3"/>
    <w:rsid w:val="00553CB2"/>
    <w:rsid w:val="00553EE6"/>
    <w:rsid w:val="00553F55"/>
    <w:rsid w:val="00553FF0"/>
    <w:rsid w:val="00553FF3"/>
    <w:rsid w:val="00554064"/>
    <w:rsid w:val="00554187"/>
    <w:rsid w:val="005541BC"/>
    <w:rsid w:val="005541BE"/>
    <w:rsid w:val="005541EE"/>
    <w:rsid w:val="005544BF"/>
    <w:rsid w:val="005544F8"/>
    <w:rsid w:val="00554546"/>
    <w:rsid w:val="0055455B"/>
    <w:rsid w:val="0055459C"/>
    <w:rsid w:val="005545C1"/>
    <w:rsid w:val="00554739"/>
    <w:rsid w:val="005547A5"/>
    <w:rsid w:val="005548F7"/>
    <w:rsid w:val="00554A2B"/>
    <w:rsid w:val="00554D35"/>
    <w:rsid w:val="00554D7D"/>
    <w:rsid w:val="00554DDF"/>
    <w:rsid w:val="00554E66"/>
    <w:rsid w:val="00554E6C"/>
    <w:rsid w:val="00554E9C"/>
    <w:rsid w:val="00554F5D"/>
    <w:rsid w:val="00554FE8"/>
    <w:rsid w:val="00555010"/>
    <w:rsid w:val="005550FB"/>
    <w:rsid w:val="00555144"/>
    <w:rsid w:val="00555248"/>
    <w:rsid w:val="00555418"/>
    <w:rsid w:val="00555428"/>
    <w:rsid w:val="0055549E"/>
    <w:rsid w:val="0055551E"/>
    <w:rsid w:val="0055567A"/>
    <w:rsid w:val="00555818"/>
    <w:rsid w:val="0055588B"/>
    <w:rsid w:val="00555918"/>
    <w:rsid w:val="00555A74"/>
    <w:rsid w:val="00555AD9"/>
    <w:rsid w:val="00555B42"/>
    <w:rsid w:val="00555BA2"/>
    <w:rsid w:val="00555C04"/>
    <w:rsid w:val="00555C0B"/>
    <w:rsid w:val="00555CDC"/>
    <w:rsid w:val="00555F1E"/>
    <w:rsid w:val="00555FF6"/>
    <w:rsid w:val="00556072"/>
    <w:rsid w:val="00556076"/>
    <w:rsid w:val="005561EA"/>
    <w:rsid w:val="00556215"/>
    <w:rsid w:val="00556236"/>
    <w:rsid w:val="0055640F"/>
    <w:rsid w:val="00556434"/>
    <w:rsid w:val="00556466"/>
    <w:rsid w:val="005564AD"/>
    <w:rsid w:val="005564C5"/>
    <w:rsid w:val="00556681"/>
    <w:rsid w:val="0055672E"/>
    <w:rsid w:val="005567B1"/>
    <w:rsid w:val="005567FF"/>
    <w:rsid w:val="0055680C"/>
    <w:rsid w:val="0055688A"/>
    <w:rsid w:val="0055689F"/>
    <w:rsid w:val="00556927"/>
    <w:rsid w:val="00556991"/>
    <w:rsid w:val="00556A0F"/>
    <w:rsid w:val="00556A2C"/>
    <w:rsid w:val="00556B5F"/>
    <w:rsid w:val="00556B6D"/>
    <w:rsid w:val="00556F55"/>
    <w:rsid w:val="00556FAD"/>
    <w:rsid w:val="00556FAF"/>
    <w:rsid w:val="00557054"/>
    <w:rsid w:val="0055705F"/>
    <w:rsid w:val="00557066"/>
    <w:rsid w:val="005570B0"/>
    <w:rsid w:val="00557115"/>
    <w:rsid w:val="005571AC"/>
    <w:rsid w:val="0055723B"/>
    <w:rsid w:val="005572FD"/>
    <w:rsid w:val="0055733C"/>
    <w:rsid w:val="0055742D"/>
    <w:rsid w:val="0055748E"/>
    <w:rsid w:val="0055749D"/>
    <w:rsid w:val="005574DF"/>
    <w:rsid w:val="005574F4"/>
    <w:rsid w:val="00557592"/>
    <w:rsid w:val="0055773D"/>
    <w:rsid w:val="005577A1"/>
    <w:rsid w:val="00557849"/>
    <w:rsid w:val="005578A2"/>
    <w:rsid w:val="005578F9"/>
    <w:rsid w:val="00557944"/>
    <w:rsid w:val="005579A0"/>
    <w:rsid w:val="005579DD"/>
    <w:rsid w:val="00557ADA"/>
    <w:rsid w:val="00557C94"/>
    <w:rsid w:val="00557E44"/>
    <w:rsid w:val="00557EC9"/>
    <w:rsid w:val="00557FDD"/>
    <w:rsid w:val="0056008C"/>
    <w:rsid w:val="00560112"/>
    <w:rsid w:val="005601BD"/>
    <w:rsid w:val="005601EB"/>
    <w:rsid w:val="00560237"/>
    <w:rsid w:val="00560417"/>
    <w:rsid w:val="00560467"/>
    <w:rsid w:val="005604ED"/>
    <w:rsid w:val="00560530"/>
    <w:rsid w:val="0056053C"/>
    <w:rsid w:val="00560626"/>
    <w:rsid w:val="005607DD"/>
    <w:rsid w:val="005607F6"/>
    <w:rsid w:val="0056091D"/>
    <w:rsid w:val="0056092E"/>
    <w:rsid w:val="00560980"/>
    <w:rsid w:val="005609C7"/>
    <w:rsid w:val="00560AA7"/>
    <w:rsid w:val="00560BCA"/>
    <w:rsid w:val="00560BD5"/>
    <w:rsid w:val="00560CB8"/>
    <w:rsid w:val="00560D14"/>
    <w:rsid w:val="00560DD4"/>
    <w:rsid w:val="00560E16"/>
    <w:rsid w:val="00560EDA"/>
    <w:rsid w:val="00560F58"/>
    <w:rsid w:val="005610D5"/>
    <w:rsid w:val="00561127"/>
    <w:rsid w:val="005611A9"/>
    <w:rsid w:val="0056125C"/>
    <w:rsid w:val="0056127E"/>
    <w:rsid w:val="005612E2"/>
    <w:rsid w:val="0056137E"/>
    <w:rsid w:val="00561483"/>
    <w:rsid w:val="00561516"/>
    <w:rsid w:val="0056155B"/>
    <w:rsid w:val="005615D3"/>
    <w:rsid w:val="0056173E"/>
    <w:rsid w:val="005617A0"/>
    <w:rsid w:val="005617F8"/>
    <w:rsid w:val="00561807"/>
    <w:rsid w:val="0056181E"/>
    <w:rsid w:val="00561825"/>
    <w:rsid w:val="005618FC"/>
    <w:rsid w:val="005619D7"/>
    <w:rsid w:val="005619D8"/>
    <w:rsid w:val="00561B65"/>
    <w:rsid w:val="00561E27"/>
    <w:rsid w:val="00561F2D"/>
    <w:rsid w:val="00561FBC"/>
    <w:rsid w:val="00562019"/>
    <w:rsid w:val="0056209D"/>
    <w:rsid w:val="0056216B"/>
    <w:rsid w:val="005621CA"/>
    <w:rsid w:val="0056224A"/>
    <w:rsid w:val="0056230C"/>
    <w:rsid w:val="00562788"/>
    <w:rsid w:val="00562877"/>
    <w:rsid w:val="00562940"/>
    <w:rsid w:val="00562A43"/>
    <w:rsid w:val="00562B94"/>
    <w:rsid w:val="00562C34"/>
    <w:rsid w:val="00562DA8"/>
    <w:rsid w:val="00562DB3"/>
    <w:rsid w:val="00562E09"/>
    <w:rsid w:val="00562F4C"/>
    <w:rsid w:val="00562FAB"/>
    <w:rsid w:val="00563036"/>
    <w:rsid w:val="0056304D"/>
    <w:rsid w:val="005630B2"/>
    <w:rsid w:val="00563152"/>
    <w:rsid w:val="0056323A"/>
    <w:rsid w:val="0056332D"/>
    <w:rsid w:val="0056335D"/>
    <w:rsid w:val="00563434"/>
    <w:rsid w:val="00563479"/>
    <w:rsid w:val="005634A5"/>
    <w:rsid w:val="005634AE"/>
    <w:rsid w:val="005634ED"/>
    <w:rsid w:val="0056357E"/>
    <w:rsid w:val="005635B6"/>
    <w:rsid w:val="005635DF"/>
    <w:rsid w:val="005637B9"/>
    <w:rsid w:val="00563801"/>
    <w:rsid w:val="00563850"/>
    <w:rsid w:val="0056392D"/>
    <w:rsid w:val="00563A24"/>
    <w:rsid w:val="00563A89"/>
    <w:rsid w:val="00563B89"/>
    <w:rsid w:val="005641BD"/>
    <w:rsid w:val="00564265"/>
    <w:rsid w:val="00564381"/>
    <w:rsid w:val="00564448"/>
    <w:rsid w:val="00564494"/>
    <w:rsid w:val="005644CA"/>
    <w:rsid w:val="005645D3"/>
    <w:rsid w:val="005645EF"/>
    <w:rsid w:val="00564631"/>
    <w:rsid w:val="00564729"/>
    <w:rsid w:val="0056486E"/>
    <w:rsid w:val="00564941"/>
    <w:rsid w:val="00564A4C"/>
    <w:rsid w:val="00564AE1"/>
    <w:rsid w:val="00564B4F"/>
    <w:rsid w:val="00564CA6"/>
    <w:rsid w:val="00564CEC"/>
    <w:rsid w:val="00564D08"/>
    <w:rsid w:val="00564DB0"/>
    <w:rsid w:val="00564EF6"/>
    <w:rsid w:val="00564F1A"/>
    <w:rsid w:val="00565055"/>
    <w:rsid w:val="005651D1"/>
    <w:rsid w:val="005652FE"/>
    <w:rsid w:val="00565310"/>
    <w:rsid w:val="0056531B"/>
    <w:rsid w:val="005653F9"/>
    <w:rsid w:val="00565431"/>
    <w:rsid w:val="00565525"/>
    <w:rsid w:val="00565592"/>
    <w:rsid w:val="005655C8"/>
    <w:rsid w:val="005656EE"/>
    <w:rsid w:val="00565796"/>
    <w:rsid w:val="005657EC"/>
    <w:rsid w:val="005659CE"/>
    <w:rsid w:val="00565A58"/>
    <w:rsid w:val="00565B35"/>
    <w:rsid w:val="00565B46"/>
    <w:rsid w:val="00565BDF"/>
    <w:rsid w:val="00565DCA"/>
    <w:rsid w:val="00565FA1"/>
    <w:rsid w:val="00565FBF"/>
    <w:rsid w:val="00565FD3"/>
    <w:rsid w:val="0056602A"/>
    <w:rsid w:val="0056602C"/>
    <w:rsid w:val="00566043"/>
    <w:rsid w:val="005660BE"/>
    <w:rsid w:val="005660E6"/>
    <w:rsid w:val="00566111"/>
    <w:rsid w:val="0056617C"/>
    <w:rsid w:val="005661D5"/>
    <w:rsid w:val="0056635E"/>
    <w:rsid w:val="005664EA"/>
    <w:rsid w:val="0056656A"/>
    <w:rsid w:val="00566578"/>
    <w:rsid w:val="0056657A"/>
    <w:rsid w:val="005666A0"/>
    <w:rsid w:val="005668A6"/>
    <w:rsid w:val="00566970"/>
    <w:rsid w:val="00566980"/>
    <w:rsid w:val="005669F9"/>
    <w:rsid w:val="00566B48"/>
    <w:rsid w:val="00566BBB"/>
    <w:rsid w:val="00566BD8"/>
    <w:rsid w:val="00566BF6"/>
    <w:rsid w:val="00566CBF"/>
    <w:rsid w:val="00566EE4"/>
    <w:rsid w:val="005670AF"/>
    <w:rsid w:val="00567144"/>
    <w:rsid w:val="0056714C"/>
    <w:rsid w:val="00567163"/>
    <w:rsid w:val="0056729F"/>
    <w:rsid w:val="005672FC"/>
    <w:rsid w:val="0056751D"/>
    <w:rsid w:val="00567557"/>
    <w:rsid w:val="00567582"/>
    <w:rsid w:val="005675E2"/>
    <w:rsid w:val="00567759"/>
    <w:rsid w:val="005677AF"/>
    <w:rsid w:val="00567826"/>
    <w:rsid w:val="0056782A"/>
    <w:rsid w:val="0056786F"/>
    <w:rsid w:val="00567B6D"/>
    <w:rsid w:val="00567BCB"/>
    <w:rsid w:val="00567BDC"/>
    <w:rsid w:val="00567C10"/>
    <w:rsid w:val="00567D66"/>
    <w:rsid w:val="00567E60"/>
    <w:rsid w:val="00567FB4"/>
    <w:rsid w:val="00570021"/>
    <w:rsid w:val="00570023"/>
    <w:rsid w:val="0057012B"/>
    <w:rsid w:val="00570228"/>
    <w:rsid w:val="00570385"/>
    <w:rsid w:val="005703A4"/>
    <w:rsid w:val="005703AF"/>
    <w:rsid w:val="005703BF"/>
    <w:rsid w:val="00570448"/>
    <w:rsid w:val="0057049A"/>
    <w:rsid w:val="005704C1"/>
    <w:rsid w:val="00570595"/>
    <w:rsid w:val="005705EC"/>
    <w:rsid w:val="00570758"/>
    <w:rsid w:val="00570887"/>
    <w:rsid w:val="005708B6"/>
    <w:rsid w:val="005708C8"/>
    <w:rsid w:val="005708F5"/>
    <w:rsid w:val="00570935"/>
    <w:rsid w:val="00570AB9"/>
    <w:rsid w:val="00570ADA"/>
    <w:rsid w:val="00570C4B"/>
    <w:rsid w:val="00570CBC"/>
    <w:rsid w:val="00570D27"/>
    <w:rsid w:val="00570D64"/>
    <w:rsid w:val="00570E3E"/>
    <w:rsid w:val="00570F49"/>
    <w:rsid w:val="00571144"/>
    <w:rsid w:val="005711F1"/>
    <w:rsid w:val="0057123F"/>
    <w:rsid w:val="00571351"/>
    <w:rsid w:val="0057138C"/>
    <w:rsid w:val="0057138E"/>
    <w:rsid w:val="00571415"/>
    <w:rsid w:val="005714D0"/>
    <w:rsid w:val="00571596"/>
    <w:rsid w:val="00571609"/>
    <w:rsid w:val="0057165B"/>
    <w:rsid w:val="00571695"/>
    <w:rsid w:val="00571A87"/>
    <w:rsid w:val="00571AD6"/>
    <w:rsid w:val="00571B1A"/>
    <w:rsid w:val="00571B3F"/>
    <w:rsid w:val="00571BB3"/>
    <w:rsid w:val="00571CC1"/>
    <w:rsid w:val="00571D69"/>
    <w:rsid w:val="00571D73"/>
    <w:rsid w:val="00571E20"/>
    <w:rsid w:val="00571E6D"/>
    <w:rsid w:val="00571F7A"/>
    <w:rsid w:val="00571FFD"/>
    <w:rsid w:val="005720F5"/>
    <w:rsid w:val="0057213C"/>
    <w:rsid w:val="0057219B"/>
    <w:rsid w:val="00572250"/>
    <w:rsid w:val="005722EB"/>
    <w:rsid w:val="00572303"/>
    <w:rsid w:val="005723C9"/>
    <w:rsid w:val="005723EC"/>
    <w:rsid w:val="00572435"/>
    <w:rsid w:val="0057255C"/>
    <w:rsid w:val="0057263B"/>
    <w:rsid w:val="00572656"/>
    <w:rsid w:val="00572741"/>
    <w:rsid w:val="00572788"/>
    <w:rsid w:val="00572A0C"/>
    <w:rsid w:val="00572A15"/>
    <w:rsid w:val="00572A98"/>
    <w:rsid w:val="00572AAF"/>
    <w:rsid w:val="00572B23"/>
    <w:rsid w:val="00572B3E"/>
    <w:rsid w:val="00572BA3"/>
    <w:rsid w:val="00572C66"/>
    <w:rsid w:val="00572C6B"/>
    <w:rsid w:val="00572D5E"/>
    <w:rsid w:val="00572D8D"/>
    <w:rsid w:val="00572DD4"/>
    <w:rsid w:val="00572F1D"/>
    <w:rsid w:val="00572FDF"/>
    <w:rsid w:val="0057305F"/>
    <w:rsid w:val="00573092"/>
    <w:rsid w:val="005730B4"/>
    <w:rsid w:val="00573154"/>
    <w:rsid w:val="00573172"/>
    <w:rsid w:val="005731A5"/>
    <w:rsid w:val="00573237"/>
    <w:rsid w:val="00573346"/>
    <w:rsid w:val="00573416"/>
    <w:rsid w:val="00573440"/>
    <w:rsid w:val="0057353B"/>
    <w:rsid w:val="005735D1"/>
    <w:rsid w:val="0057366D"/>
    <w:rsid w:val="00573675"/>
    <w:rsid w:val="0057379E"/>
    <w:rsid w:val="005737E8"/>
    <w:rsid w:val="0057388E"/>
    <w:rsid w:val="005738B8"/>
    <w:rsid w:val="005739A1"/>
    <w:rsid w:val="00573A1F"/>
    <w:rsid w:val="00573A6D"/>
    <w:rsid w:val="00573BCD"/>
    <w:rsid w:val="00573C51"/>
    <w:rsid w:val="00573CD0"/>
    <w:rsid w:val="00573CF4"/>
    <w:rsid w:val="00573D4B"/>
    <w:rsid w:val="00573DDE"/>
    <w:rsid w:val="00573E32"/>
    <w:rsid w:val="00573EB8"/>
    <w:rsid w:val="00573F68"/>
    <w:rsid w:val="00574070"/>
    <w:rsid w:val="0057409B"/>
    <w:rsid w:val="005740F9"/>
    <w:rsid w:val="00574239"/>
    <w:rsid w:val="005742D3"/>
    <w:rsid w:val="005742F1"/>
    <w:rsid w:val="00574366"/>
    <w:rsid w:val="0057438D"/>
    <w:rsid w:val="00574393"/>
    <w:rsid w:val="005743DD"/>
    <w:rsid w:val="00574406"/>
    <w:rsid w:val="00574527"/>
    <w:rsid w:val="0057454A"/>
    <w:rsid w:val="00574715"/>
    <w:rsid w:val="0057471C"/>
    <w:rsid w:val="005747E1"/>
    <w:rsid w:val="00574950"/>
    <w:rsid w:val="005749D0"/>
    <w:rsid w:val="00574B03"/>
    <w:rsid w:val="00574BE4"/>
    <w:rsid w:val="00574D24"/>
    <w:rsid w:val="00574D33"/>
    <w:rsid w:val="00574D65"/>
    <w:rsid w:val="00574D6E"/>
    <w:rsid w:val="00574F03"/>
    <w:rsid w:val="00574F60"/>
    <w:rsid w:val="0057509E"/>
    <w:rsid w:val="005750BA"/>
    <w:rsid w:val="005751CA"/>
    <w:rsid w:val="0057531A"/>
    <w:rsid w:val="005755B0"/>
    <w:rsid w:val="005755E0"/>
    <w:rsid w:val="0057564D"/>
    <w:rsid w:val="005756B1"/>
    <w:rsid w:val="00575765"/>
    <w:rsid w:val="0057578B"/>
    <w:rsid w:val="005757A3"/>
    <w:rsid w:val="00575825"/>
    <w:rsid w:val="00575845"/>
    <w:rsid w:val="00575955"/>
    <w:rsid w:val="00575964"/>
    <w:rsid w:val="005759CD"/>
    <w:rsid w:val="00575A0D"/>
    <w:rsid w:val="00575A18"/>
    <w:rsid w:val="00575A82"/>
    <w:rsid w:val="00575AE0"/>
    <w:rsid w:val="00575B9E"/>
    <w:rsid w:val="00575BAD"/>
    <w:rsid w:val="00575CDB"/>
    <w:rsid w:val="00575D71"/>
    <w:rsid w:val="00575E4F"/>
    <w:rsid w:val="00575E89"/>
    <w:rsid w:val="00575F29"/>
    <w:rsid w:val="00575F44"/>
    <w:rsid w:val="00575F6B"/>
    <w:rsid w:val="005761E9"/>
    <w:rsid w:val="0057625B"/>
    <w:rsid w:val="005762FD"/>
    <w:rsid w:val="005763F8"/>
    <w:rsid w:val="005763FF"/>
    <w:rsid w:val="00576444"/>
    <w:rsid w:val="00576489"/>
    <w:rsid w:val="00576506"/>
    <w:rsid w:val="00576580"/>
    <w:rsid w:val="005765D7"/>
    <w:rsid w:val="00576634"/>
    <w:rsid w:val="00576652"/>
    <w:rsid w:val="005766C9"/>
    <w:rsid w:val="00576922"/>
    <w:rsid w:val="0057693D"/>
    <w:rsid w:val="00576A22"/>
    <w:rsid w:val="00576AE5"/>
    <w:rsid w:val="00576B2E"/>
    <w:rsid w:val="00576B4F"/>
    <w:rsid w:val="00576BDF"/>
    <w:rsid w:val="00576CB1"/>
    <w:rsid w:val="00576CC7"/>
    <w:rsid w:val="00576D1E"/>
    <w:rsid w:val="00576DA5"/>
    <w:rsid w:val="00576DC5"/>
    <w:rsid w:val="00576EC2"/>
    <w:rsid w:val="00576F43"/>
    <w:rsid w:val="00577049"/>
    <w:rsid w:val="0057707F"/>
    <w:rsid w:val="0057715D"/>
    <w:rsid w:val="005771D5"/>
    <w:rsid w:val="005772F9"/>
    <w:rsid w:val="00577356"/>
    <w:rsid w:val="005773CB"/>
    <w:rsid w:val="005773E8"/>
    <w:rsid w:val="005774B0"/>
    <w:rsid w:val="0057758C"/>
    <w:rsid w:val="005775C4"/>
    <w:rsid w:val="00577678"/>
    <w:rsid w:val="0057773A"/>
    <w:rsid w:val="005777B3"/>
    <w:rsid w:val="00577807"/>
    <w:rsid w:val="00577A03"/>
    <w:rsid w:val="00577AED"/>
    <w:rsid w:val="00577AF1"/>
    <w:rsid w:val="00577C38"/>
    <w:rsid w:val="00577D67"/>
    <w:rsid w:val="00577DE0"/>
    <w:rsid w:val="00577E2F"/>
    <w:rsid w:val="00577F22"/>
    <w:rsid w:val="0058004E"/>
    <w:rsid w:val="0058009B"/>
    <w:rsid w:val="0058013F"/>
    <w:rsid w:val="00580165"/>
    <w:rsid w:val="005801A2"/>
    <w:rsid w:val="005802D3"/>
    <w:rsid w:val="00580378"/>
    <w:rsid w:val="005803AD"/>
    <w:rsid w:val="00580452"/>
    <w:rsid w:val="005804A4"/>
    <w:rsid w:val="005804D8"/>
    <w:rsid w:val="00580783"/>
    <w:rsid w:val="00580789"/>
    <w:rsid w:val="005808AC"/>
    <w:rsid w:val="005809A2"/>
    <w:rsid w:val="005809AC"/>
    <w:rsid w:val="00580BFA"/>
    <w:rsid w:val="00580D35"/>
    <w:rsid w:val="00580D49"/>
    <w:rsid w:val="00580DCC"/>
    <w:rsid w:val="00580DD5"/>
    <w:rsid w:val="00580F01"/>
    <w:rsid w:val="00580F07"/>
    <w:rsid w:val="00580F10"/>
    <w:rsid w:val="00580F9D"/>
    <w:rsid w:val="00581047"/>
    <w:rsid w:val="005810B4"/>
    <w:rsid w:val="0058117C"/>
    <w:rsid w:val="005811ED"/>
    <w:rsid w:val="005811FA"/>
    <w:rsid w:val="00581254"/>
    <w:rsid w:val="00581255"/>
    <w:rsid w:val="00581307"/>
    <w:rsid w:val="0058133B"/>
    <w:rsid w:val="00581388"/>
    <w:rsid w:val="005814D3"/>
    <w:rsid w:val="00581513"/>
    <w:rsid w:val="0058156F"/>
    <w:rsid w:val="005816BC"/>
    <w:rsid w:val="00581810"/>
    <w:rsid w:val="0058189A"/>
    <w:rsid w:val="00581934"/>
    <w:rsid w:val="00581A42"/>
    <w:rsid w:val="00581BA1"/>
    <w:rsid w:val="00581BA9"/>
    <w:rsid w:val="00581BAF"/>
    <w:rsid w:val="00581BC4"/>
    <w:rsid w:val="00581C2F"/>
    <w:rsid w:val="00581C7D"/>
    <w:rsid w:val="00581DB4"/>
    <w:rsid w:val="00581E67"/>
    <w:rsid w:val="00581F9F"/>
    <w:rsid w:val="005820A1"/>
    <w:rsid w:val="005820DE"/>
    <w:rsid w:val="0058211F"/>
    <w:rsid w:val="005822FA"/>
    <w:rsid w:val="005823C1"/>
    <w:rsid w:val="005823D4"/>
    <w:rsid w:val="0058246D"/>
    <w:rsid w:val="005824BA"/>
    <w:rsid w:val="005824EB"/>
    <w:rsid w:val="005825D8"/>
    <w:rsid w:val="00582650"/>
    <w:rsid w:val="00582652"/>
    <w:rsid w:val="005827DD"/>
    <w:rsid w:val="00582807"/>
    <w:rsid w:val="00582828"/>
    <w:rsid w:val="005828AB"/>
    <w:rsid w:val="0058291F"/>
    <w:rsid w:val="00582999"/>
    <w:rsid w:val="005829B9"/>
    <w:rsid w:val="005829C3"/>
    <w:rsid w:val="005829F4"/>
    <w:rsid w:val="00582A18"/>
    <w:rsid w:val="00582B22"/>
    <w:rsid w:val="00582BE0"/>
    <w:rsid w:val="00582C15"/>
    <w:rsid w:val="00582CE7"/>
    <w:rsid w:val="00582D0B"/>
    <w:rsid w:val="00582D24"/>
    <w:rsid w:val="00582F66"/>
    <w:rsid w:val="0058304E"/>
    <w:rsid w:val="005830B6"/>
    <w:rsid w:val="00583197"/>
    <w:rsid w:val="005831B4"/>
    <w:rsid w:val="005831B5"/>
    <w:rsid w:val="0058331C"/>
    <w:rsid w:val="005833CD"/>
    <w:rsid w:val="005833FC"/>
    <w:rsid w:val="00583575"/>
    <w:rsid w:val="005835A9"/>
    <w:rsid w:val="00583654"/>
    <w:rsid w:val="0058378D"/>
    <w:rsid w:val="00583823"/>
    <w:rsid w:val="005838C1"/>
    <w:rsid w:val="005839AB"/>
    <w:rsid w:val="00583B4B"/>
    <w:rsid w:val="00583C14"/>
    <w:rsid w:val="00583C2F"/>
    <w:rsid w:val="00583D66"/>
    <w:rsid w:val="00583E11"/>
    <w:rsid w:val="00583E7E"/>
    <w:rsid w:val="00583E80"/>
    <w:rsid w:val="00583EFD"/>
    <w:rsid w:val="00583F2B"/>
    <w:rsid w:val="0058405F"/>
    <w:rsid w:val="0058414B"/>
    <w:rsid w:val="005841B2"/>
    <w:rsid w:val="005843DB"/>
    <w:rsid w:val="005843E1"/>
    <w:rsid w:val="00584493"/>
    <w:rsid w:val="005844BF"/>
    <w:rsid w:val="00584582"/>
    <w:rsid w:val="0058458A"/>
    <w:rsid w:val="0058461F"/>
    <w:rsid w:val="00584698"/>
    <w:rsid w:val="005846CD"/>
    <w:rsid w:val="00584743"/>
    <w:rsid w:val="0058474E"/>
    <w:rsid w:val="00584996"/>
    <w:rsid w:val="005849A5"/>
    <w:rsid w:val="00584B01"/>
    <w:rsid w:val="00584B19"/>
    <w:rsid w:val="00584BB8"/>
    <w:rsid w:val="00584D02"/>
    <w:rsid w:val="00584D44"/>
    <w:rsid w:val="00584E61"/>
    <w:rsid w:val="00584E7D"/>
    <w:rsid w:val="00584ECA"/>
    <w:rsid w:val="0058519A"/>
    <w:rsid w:val="00585295"/>
    <w:rsid w:val="0058537D"/>
    <w:rsid w:val="00585524"/>
    <w:rsid w:val="005855AC"/>
    <w:rsid w:val="00585674"/>
    <w:rsid w:val="00585681"/>
    <w:rsid w:val="00585701"/>
    <w:rsid w:val="00585758"/>
    <w:rsid w:val="00585773"/>
    <w:rsid w:val="00585780"/>
    <w:rsid w:val="005857D0"/>
    <w:rsid w:val="0058587B"/>
    <w:rsid w:val="005858C5"/>
    <w:rsid w:val="005858D8"/>
    <w:rsid w:val="005859AF"/>
    <w:rsid w:val="00585A1E"/>
    <w:rsid w:val="00585A99"/>
    <w:rsid w:val="00585A9C"/>
    <w:rsid w:val="00585B55"/>
    <w:rsid w:val="00585D09"/>
    <w:rsid w:val="00585E70"/>
    <w:rsid w:val="00585F36"/>
    <w:rsid w:val="00585F61"/>
    <w:rsid w:val="00585F62"/>
    <w:rsid w:val="00586065"/>
    <w:rsid w:val="0058616D"/>
    <w:rsid w:val="0058632B"/>
    <w:rsid w:val="0058636C"/>
    <w:rsid w:val="005864DC"/>
    <w:rsid w:val="0058653E"/>
    <w:rsid w:val="0058666A"/>
    <w:rsid w:val="00586707"/>
    <w:rsid w:val="00586797"/>
    <w:rsid w:val="005867B0"/>
    <w:rsid w:val="005867C7"/>
    <w:rsid w:val="005867D8"/>
    <w:rsid w:val="005867DE"/>
    <w:rsid w:val="00586804"/>
    <w:rsid w:val="005868A9"/>
    <w:rsid w:val="005868BE"/>
    <w:rsid w:val="00586987"/>
    <w:rsid w:val="0058698F"/>
    <w:rsid w:val="005869DA"/>
    <w:rsid w:val="005869F0"/>
    <w:rsid w:val="00586A96"/>
    <w:rsid w:val="00586AEB"/>
    <w:rsid w:val="00586B7A"/>
    <w:rsid w:val="00586C93"/>
    <w:rsid w:val="00586CE1"/>
    <w:rsid w:val="00586D26"/>
    <w:rsid w:val="00586F34"/>
    <w:rsid w:val="00587074"/>
    <w:rsid w:val="00587111"/>
    <w:rsid w:val="00587125"/>
    <w:rsid w:val="00587178"/>
    <w:rsid w:val="005871CD"/>
    <w:rsid w:val="0058722B"/>
    <w:rsid w:val="00587361"/>
    <w:rsid w:val="00587478"/>
    <w:rsid w:val="00587485"/>
    <w:rsid w:val="00587555"/>
    <w:rsid w:val="0058761B"/>
    <w:rsid w:val="00587631"/>
    <w:rsid w:val="0058770C"/>
    <w:rsid w:val="00587762"/>
    <w:rsid w:val="00587794"/>
    <w:rsid w:val="00587810"/>
    <w:rsid w:val="00587815"/>
    <w:rsid w:val="005878EF"/>
    <w:rsid w:val="0058792C"/>
    <w:rsid w:val="00587A23"/>
    <w:rsid w:val="00587A86"/>
    <w:rsid w:val="00587ABE"/>
    <w:rsid w:val="00587BB3"/>
    <w:rsid w:val="00587CCD"/>
    <w:rsid w:val="00587D8B"/>
    <w:rsid w:val="00587E28"/>
    <w:rsid w:val="00587F71"/>
    <w:rsid w:val="00587FB4"/>
    <w:rsid w:val="00587FEF"/>
    <w:rsid w:val="00590174"/>
    <w:rsid w:val="0059026D"/>
    <w:rsid w:val="005902DC"/>
    <w:rsid w:val="005904B0"/>
    <w:rsid w:val="00590877"/>
    <w:rsid w:val="00590916"/>
    <w:rsid w:val="005909E3"/>
    <w:rsid w:val="00590A04"/>
    <w:rsid w:val="00590A20"/>
    <w:rsid w:val="00590AF5"/>
    <w:rsid w:val="00590BE4"/>
    <w:rsid w:val="00590DD3"/>
    <w:rsid w:val="00590DFF"/>
    <w:rsid w:val="00590ED8"/>
    <w:rsid w:val="00590EDF"/>
    <w:rsid w:val="00590F17"/>
    <w:rsid w:val="00590F1E"/>
    <w:rsid w:val="00590F70"/>
    <w:rsid w:val="00590FF6"/>
    <w:rsid w:val="0059103B"/>
    <w:rsid w:val="0059106E"/>
    <w:rsid w:val="0059107C"/>
    <w:rsid w:val="0059109C"/>
    <w:rsid w:val="005910E0"/>
    <w:rsid w:val="005910EC"/>
    <w:rsid w:val="005911CF"/>
    <w:rsid w:val="005911EF"/>
    <w:rsid w:val="00591277"/>
    <w:rsid w:val="0059139C"/>
    <w:rsid w:val="0059142F"/>
    <w:rsid w:val="005915B9"/>
    <w:rsid w:val="005915BA"/>
    <w:rsid w:val="00591603"/>
    <w:rsid w:val="00591664"/>
    <w:rsid w:val="00591687"/>
    <w:rsid w:val="005916DE"/>
    <w:rsid w:val="00591749"/>
    <w:rsid w:val="00591786"/>
    <w:rsid w:val="00591798"/>
    <w:rsid w:val="005917B2"/>
    <w:rsid w:val="005917BE"/>
    <w:rsid w:val="005918F0"/>
    <w:rsid w:val="00591957"/>
    <w:rsid w:val="00591AEC"/>
    <w:rsid w:val="00591B89"/>
    <w:rsid w:val="00591BBC"/>
    <w:rsid w:val="00591CDD"/>
    <w:rsid w:val="00591D2C"/>
    <w:rsid w:val="00591DB3"/>
    <w:rsid w:val="00591E0E"/>
    <w:rsid w:val="00591EDE"/>
    <w:rsid w:val="00591F5C"/>
    <w:rsid w:val="00592297"/>
    <w:rsid w:val="0059234A"/>
    <w:rsid w:val="0059237C"/>
    <w:rsid w:val="005923CE"/>
    <w:rsid w:val="005923D8"/>
    <w:rsid w:val="00592484"/>
    <w:rsid w:val="005924B6"/>
    <w:rsid w:val="005925DE"/>
    <w:rsid w:val="0059264B"/>
    <w:rsid w:val="0059284B"/>
    <w:rsid w:val="0059287B"/>
    <w:rsid w:val="0059290D"/>
    <w:rsid w:val="00592939"/>
    <w:rsid w:val="005929D1"/>
    <w:rsid w:val="005929D3"/>
    <w:rsid w:val="00592A33"/>
    <w:rsid w:val="00592B62"/>
    <w:rsid w:val="00592C18"/>
    <w:rsid w:val="00592D21"/>
    <w:rsid w:val="00592E14"/>
    <w:rsid w:val="00592E43"/>
    <w:rsid w:val="00592E9A"/>
    <w:rsid w:val="00592EF1"/>
    <w:rsid w:val="00592F5A"/>
    <w:rsid w:val="00592F76"/>
    <w:rsid w:val="00592F7A"/>
    <w:rsid w:val="00592FDE"/>
    <w:rsid w:val="00593059"/>
    <w:rsid w:val="005930A8"/>
    <w:rsid w:val="00593165"/>
    <w:rsid w:val="0059316D"/>
    <w:rsid w:val="00593299"/>
    <w:rsid w:val="005935D6"/>
    <w:rsid w:val="005935F6"/>
    <w:rsid w:val="00593696"/>
    <w:rsid w:val="005936F2"/>
    <w:rsid w:val="0059373F"/>
    <w:rsid w:val="005937DD"/>
    <w:rsid w:val="0059388E"/>
    <w:rsid w:val="005938EB"/>
    <w:rsid w:val="00593A43"/>
    <w:rsid w:val="00593AB4"/>
    <w:rsid w:val="00593C39"/>
    <w:rsid w:val="00593CEF"/>
    <w:rsid w:val="00593D63"/>
    <w:rsid w:val="00593D97"/>
    <w:rsid w:val="00593DD4"/>
    <w:rsid w:val="00593DEE"/>
    <w:rsid w:val="00593F53"/>
    <w:rsid w:val="00593FF4"/>
    <w:rsid w:val="00594013"/>
    <w:rsid w:val="0059406C"/>
    <w:rsid w:val="005940F2"/>
    <w:rsid w:val="00594192"/>
    <w:rsid w:val="005941D8"/>
    <w:rsid w:val="005941FC"/>
    <w:rsid w:val="0059429C"/>
    <w:rsid w:val="005942C8"/>
    <w:rsid w:val="0059436C"/>
    <w:rsid w:val="005944E9"/>
    <w:rsid w:val="0059456E"/>
    <w:rsid w:val="005945B4"/>
    <w:rsid w:val="0059467D"/>
    <w:rsid w:val="00594736"/>
    <w:rsid w:val="00594742"/>
    <w:rsid w:val="005947E5"/>
    <w:rsid w:val="005948BD"/>
    <w:rsid w:val="00594955"/>
    <w:rsid w:val="005949A5"/>
    <w:rsid w:val="00594AB3"/>
    <w:rsid w:val="00594B36"/>
    <w:rsid w:val="00594BB4"/>
    <w:rsid w:val="00594BC1"/>
    <w:rsid w:val="00594CA0"/>
    <w:rsid w:val="00594E8A"/>
    <w:rsid w:val="00594FBB"/>
    <w:rsid w:val="0059510D"/>
    <w:rsid w:val="005951DE"/>
    <w:rsid w:val="0059533A"/>
    <w:rsid w:val="00595345"/>
    <w:rsid w:val="005953C7"/>
    <w:rsid w:val="0059542D"/>
    <w:rsid w:val="005954C3"/>
    <w:rsid w:val="0059566F"/>
    <w:rsid w:val="005956EE"/>
    <w:rsid w:val="00595749"/>
    <w:rsid w:val="005958AE"/>
    <w:rsid w:val="005958EA"/>
    <w:rsid w:val="00595901"/>
    <w:rsid w:val="00595934"/>
    <w:rsid w:val="005959B4"/>
    <w:rsid w:val="00595A3D"/>
    <w:rsid w:val="00595A43"/>
    <w:rsid w:val="00595A60"/>
    <w:rsid w:val="00595AE5"/>
    <w:rsid w:val="00595B32"/>
    <w:rsid w:val="00595CCA"/>
    <w:rsid w:val="00595CF8"/>
    <w:rsid w:val="00595DFF"/>
    <w:rsid w:val="00595E2D"/>
    <w:rsid w:val="00595E8E"/>
    <w:rsid w:val="00596123"/>
    <w:rsid w:val="00596138"/>
    <w:rsid w:val="0059625C"/>
    <w:rsid w:val="00596356"/>
    <w:rsid w:val="00596384"/>
    <w:rsid w:val="005963DF"/>
    <w:rsid w:val="0059643A"/>
    <w:rsid w:val="005964CF"/>
    <w:rsid w:val="0059651F"/>
    <w:rsid w:val="005965DB"/>
    <w:rsid w:val="00596623"/>
    <w:rsid w:val="00596688"/>
    <w:rsid w:val="005966CA"/>
    <w:rsid w:val="005967B8"/>
    <w:rsid w:val="005969EA"/>
    <w:rsid w:val="00596AA7"/>
    <w:rsid w:val="00596B7C"/>
    <w:rsid w:val="00596B96"/>
    <w:rsid w:val="00596BF8"/>
    <w:rsid w:val="00596C7B"/>
    <w:rsid w:val="00596D6F"/>
    <w:rsid w:val="00596E75"/>
    <w:rsid w:val="00596EF3"/>
    <w:rsid w:val="00596F2B"/>
    <w:rsid w:val="00596F5B"/>
    <w:rsid w:val="00596F6F"/>
    <w:rsid w:val="00596FD7"/>
    <w:rsid w:val="005970D5"/>
    <w:rsid w:val="005970E5"/>
    <w:rsid w:val="0059711B"/>
    <w:rsid w:val="0059712E"/>
    <w:rsid w:val="00597131"/>
    <w:rsid w:val="0059713D"/>
    <w:rsid w:val="005971A4"/>
    <w:rsid w:val="0059720A"/>
    <w:rsid w:val="005972A3"/>
    <w:rsid w:val="005972CA"/>
    <w:rsid w:val="00597398"/>
    <w:rsid w:val="005973F6"/>
    <w:rsid w:val="0059742B"/>
    <w:rsid w:val="005974EB"/>
    <w:rsid w:val="0059754E"/>
    <w:rsid w:val="00597623"/>
    <w:rsid w:val="0059763C"/>
    <w:rsid w:val="00597683"/>
    <w:rsid w:val="00597767"/>
    <w:rsid w:val="005977B4"/>
    <w:rsid w:val="005978B5"/>
    <w:rsid w:val="005978C1"/>
    <w:rsid w:val="005978E2"/>
    <w:rsid w:val="0059795F"/>
    <w:rsid w:val="00597A83"/>
    <w:rsid w:val="00597C80"/>
    <w:rsid w:val="00597C97"/>
    <w:rsid w:val="00597CD4"/>
    <w:rsid w:val="00597E0A"/>
    <w:rsid w:val="00597E78"/>
    <w:rsid w:val="00597F49"/>
    <w:rsid w:val="00597F5A"/>
    <w:rsid w:val="005A0106"/>
    <w:rsid w:val="005A0178"/>
    <w:rsid w:val="005A01B7"/>
    <w:rsid w:val="005A01E1"/>
    <w:rsid w:val="005A01F4"/>
    <w:rsid w:val="005A02A6"/>
    <w:rsid w:val="005A02C8"/>
    <w:rsid w:val="005A0317"/>
    <w:rsid w:val="005A032A"/>
    <w:rsid w:val="005A0403"/>
    <w:rsid w:val="005A04C6"/>
    <w:rsid w:val="005A055F"/>
    <w:rsid w:val="005A0568"/>
    <w:rsid w:val="005A0737"/>
    <w:rsid w:val="005A07A7"/>
    <w:rsid w:val="005A07AA"/>
    <w:rsid w:val="005A07FB"/>
    <w:rsid w:val="005A0896"/>
    <w:rsid w:val="005A08D3"/>
    <w:rsid w:val="005A0925"/>
    <w:rsid w:val="005A0943"/>
    <w:rsid w:val="005A09E6"/>
    <w:rsid w:val="005A09F5"/>
    <w:rsid w:val="005A0A74"/>
    <w:rsid w:val="005A0AC9"/>
    <w:rsid w:val="005A0AFF"/>
    <w:rsid w:val="005A0B12"/>
    <w:rsid w:val="005A0E39"/>
    <w:rsid w:val="005A0E61"/>
    <w:rsid w:val="005A0E9C"/>
    <w:rsid w:val="005A0F2C"/>
    <w:rsid w:val="005A0F5B"/>
    <w:rsid w:val="005A0F60"/>
    <w:rsid w:val="005A0F97"/>
    <w:rsid w:val="005A0FE5"/>
    <w:rsid w:val="005A10DC"/>
    <w:rsid w:val="005A1105"/>
    <w:rsid w:val="005A113F"/>
    <w:rsid w:val="005A1156"/>
    <w:rsid w:val="005A1301"/>
    <w:rsid w:val="005A130E"/>
    <w:rsid w:val="005A142D"/>
    <w:rsid w:val="005A1466"/>
    <w:rsid w:val="005A1476"/>
    <w:rsid w:val="005A14BD"/>
    <w:rsid w:val="005A151E"/>
    <w:rsid w:val="005A1585"/>
    <w:rsid w:val="005A16C1"/>
    <w:rsid w:val="005A1728"/>
    <w:rsid w:val="005A1837"/>
    <w:rsid w:val="005A18DF"/>
    <w:rsid w:val="005A1900"/>
    <w:rsid w:val="005A1A06"/>
    <w:rsid w:val="005A1A9D"/>
    <w:rsid w:val="005A1AC8"/>
    <w:rsid w:val="005A1B51"/>
    <w:rsid w:val="005A1BB8"/>
    <w:rsid w:val="005A1BCA"/>
    <w:rsid w:val="005A1BEC"/>
    <w:rsid w:val="005A1BF0"/>
    <w:rsid w:val="005A1D98"/>
    <w:rsid w:val="005A1E5C"/>
    <w:rsid w:val="005A1E66"/>
    <w:rsid w:val="005A1F53"/>
    <w:rsid w:val="005A1F60"/>
    <w:rsid w:val="005A1F68"/>
    <w:rsid w:val="005A2076"/>
    <w:rsid w:val="005A20DD"/>
    <w:rsid w:val="005A21F3"/>
    <w:rsid w:val="005A21FA"/>
    <w:rsid w:val="005A2334"/>
    <w:rsid w:val="005A23DC"/>
    <w:rsid w:val="005A2428"/>
    <w:rsid w:val="005A244E"/>
    <w:rsid w:val="005A2569"/>
    <w:rsid w:val="005A263A"/>
    <w:rsid w:val="005A26CE"/>
    <w:rsid w:val="005A2742"/>
    <w:rsid w:val="005A27A6"/>
    <w:rsid w:val="005A27B8"/>
    <w:rsid w:val="005A2864"/>
    <w:rsid w:val="005A28C1"/>
    <w:rsid w:val="005A2970"/>
    <w:rsid w:val="005A29D2"/>
    <w:rsid w:val="005A2CEC"/>
    <w:rsid w:val="005A2D04"/>
    <w:rsid w:val="005A2D83"/>
    <w:rsid w:val="005A2EDA"/>
    <w:rsid w:val="005A2F20"/>
    <w:rsid w:val="005A2FE2"/>
    <w:rsid w:val="005A3022"/>
    <w:rsid w:val="005A3090"/>
    <w:rsid w:val="005A3094"/>
    <w:rsid w:val="005A315B"/>
    <w:rsid w:val="005A3170"/>
    <w:rsid w:val="005A31C1"/>
    <w:rsid w:val="005A31EF"/>
    <w:rsid w:val="005A3225"/>
    <w:rsid w:val="005A3292"/>
    <w:rsid w:val="005A33AF"/>
    <w:rsid w:val="005A352B"/>
    <w:rsid w:val="005A3549"/>
    <w:rsid w:val="005A372E"/>
    <w:rsid w:val="005A38D7"/>
    <w:rsid w:val="005A392E"/>
    <w:rsid w:val="005A39F3"/>
    <w:rsid w:val="005A3A28"/>
    <w:rsid w:val="005A3AF5"/>
    <w:rsid w:val="005A3B50"/>
    <w:rsid w:val="005A3BF7"/>
    <w:rsid w:val="005A3BFB"/>
    <w:rsid w:val="005A3C3C"/>
    <w:rsid w:val="005A3D83"/>
    <w:rsid w:val="005A3E7B"/>
    <w:rsid w:val="005A3EA7"/>
    <w:rsid w:val="005A3F6E"/>
    <w:rsid w:val="005A3FC1"/>
    <w:rsid w:val="005A3FE8"/>
    <w:rsid w:val="005A3FFF"/>
    <w:rsid w:val="005A40B3"/>
    <w:rsid w:val="005A4115"/>
    <w:rsid w:val="005A4170"/>
    <w:rsid w:val="005A43AA"/>
    <w:rsid w:val="005A4442"/>
    <w:rsid w:val="005A446F"/>
    <w:rsid w:val="005A4473"/>
    <w:rsid w:val="005A4537"/>
    <w:rsid w:val="005A455A"/>
    <w:rsid w:val="005A4668"/>
    <w:rsid w:val="005A46EA"/>
    <w:rsid w:val="005A47A3"/>
    <w:rsid w:val="005A489F"/>
    <w:rsid w:val="005A48AC"/>
    <w:rsid w:val="005A4A96"/>
    <w:rsid w:val="005A4B0C"/>
    <w:rsid w:val="005A4B6D"/>
    <w:rsid w:val="005A4C1C"/>
    <w:rsid w:val="005A4C30"/>
    <w:rsid w:val="005A4C5E"/>
    <w:rsid w:val="005A4DB9"/>
    <w:rsid w:val="005A4EDC"/>
    <w:rsid w:val="005A4F3C"/>
    <w:rsid w:val="005A4F67"/>
    <w:rsid w:val="005A500F"/>
    <w:rsid w:val="005A5048"/>
    <w:rsid w:val="005A5263"/>
    <w:rsid w:val="005A5357"/>
    <w:rsid w:val="005A535D"/>
    <w:rsid w:val="005A536D"/>
    <w:rsid w:val="005A5385"/>
    <w:rsid w:val="005A538D"/>
    <w:rsid w:val="005A54A5"/>
    <w:rsid w:val="005A54CF"/>
    <w:rsid w:val="005A54F5"/>
    <w:rsid w:val="005A5514"/>
    <w:rsid w:val="005A5565"/>
    <w:rsid w:val="005A5629"/>
    <w:rsid w:val="005A5799"/>
    <w:rsid w:val="005A583B"/>
    <w:rsid w:val="005A5843"/>
    <w:rsid w:val="005A5930"/>
    <w:rsid w:val="005A5966"/>
    <w:rsid w:val="005A5AA0"/>
    <w:rsid w:val="005A5AE0"/>
    <w:rsid w:val="005A5C6F"/>
    <w:rsid w:val="005A5E04"/>
    <w:rsid w:val="005A5F2A"/>
    <w:rsid w:val="005A5F2D"/>
    <w:rsid w:val="005A602E"/>
    <w:rsid w:val="005A605D"/>
    <w:rsid w:val="005A60A7"/>
    <w:rsid w:val="005A611F"/>
    <w:rsid w:val="005A6159"/>
    <w:rsid w:val="005A6206"/>
    <w:rsid w:val="005A629C"/>
    <w:rsid w:val="005A63C2"/>
    <w:rsid w:val="005A65C8"/>
    <w:rsid w:val="005A65E7"/>
    <w:rsid w:val="005A66B4"/>
    <w:rsid w:val="005A676D"/>
    <w:rsid w:val="005A679B"/>
    <w:rsid w:val="005A67FA"/>
    <w:rsid w:val="005A6A0F"/>
    <w:rsid w:val="005A6ADF"/>
    <w:rsid w:val="005A6B71"/>
    <w:rsid w:val="005A6BB0"/>
    <w:rsid w:val="005A6CA2"/>
    <w:rsid w:val="005A6CE3"/>
    <w:rsid w:val="005A6CF4"/>
    <w:rsid w:val="005A6D7B"/>
    <w:rsid w:val="005A6DB0"/>
    <w:rsid w:val="005A6DDB"/>
    <w:rsid w:val="005A6E53"/>
    <w:rsid w:val="005A6E7F"/>
    <w:rsid w:val="005A6F3D"/>
    <w:rsid w:val="005A7195"/>
    <w:rsid w:val="005A71E2"/>
    <w:rsid w:val="005A72A1"/>
    <w:rsid w:val="005A7330"/>
    <w:rsid w:val="005A737E"/>
    <w:rsid w:val="005A7426"/>
    <w:rsid w:val="005A74E6"/>
    <w:rsid w:val="005A756A"/>
    <w:rsid w:val="005A7762"/>
    <w:rsid w:val="005A777B"/>
    <w:rsid w:val="005A7823"/>
    <w:rsid w:val="005A7832"/>
    <w:rsid w:val="005A7865"/>
    <w:rsid w:val="005A7882"/>
    <w:rsid w:val="005A78E3"/>
    <w:rsid w:val="005A7901"/>
    <w:rsid w:val="005A796E"/>
    <w:rsid w:val="005A7B67"/>
    <w:rsid w:val="005A7BA9"/>
    <w:rsid w:val="005A7DF3"/>
    <w:rsid w:val="005A7F86"/>
    <w:rsid w:val="005A7FEB"/>
    <w:rsid w:val="005B002D"/>
    <w:rsid w:val="005B003A"/>
    <w:rsid w:val="005B0283"/>
    <w:rsid w:val="005B046D"/>
    <w:rsid w:val="005B050B"/>
    <w:rsid w:val="005B053B"/>
    <w:rsid w:val="005B056B"/>
    <w:rsid w:val="005B07DA"/>
    <w:rsid w:val="005B0810"/>
    <w:rsid w:val="005B0868"/>
    <w:rsid w:val="005B092F"/>
    <w:rsid w:val="005B0960"/>
    <w:rsid w:val="005B09B7"/>
    <w:rsid w:val="005B0A64"/>
    <w:rsid w:val="005B0A6F"/>
    <w:rsid w:val="005B0B26"/>
    <w:rsid w:val="005B0B5C"/>
    <w:rsid w:val="005B0B85"/>
    <w:rsid w:val="005B0D67"/>
    <w:rsid w:val="005B0D7C"/>
    <w:rsid w:val="005B0DAC"/>
    <w:rsid w:val="005B0DE3"/>
    <w:rsid w:val="005B0E6A"/>
    <w:rsid w:val="005B0F1B"/>
    <w:rsid w:val="005B0FD4"/>
    <w:rsid w:val="005B102F"/>
    <w:rsid w:val="005B1085"/>
    <w:rsid w:val="005B123E"/>
    <w:rsid w:val="005B1252"/>
    <w:rsid w:val="005B13AB"/>
    <w:rsid w:val="005B13D0"/>
    <w:rsid w:val="005B13F6"/>
    <w:rsid w:val="005B1413"/>
    <w:rsid w:val="005B1468"/>
    <w:rsid w:val="005B14A3"/>
    <w:rsid w:val="005B15B9"/>
    <w:rsid w:val="005B1668"/>
    <w:rsid w:val="005B1773"/>
    <w:rsid w:val="005B177F"/>
    <w:rsid w:val="005B1876"/>
    <w:rsid w:val="005B1905"/>
    <w:rsid w:val="005B1927"/>
    <w:rsid w:val="005B1A0F"/>
    <w:rsid w:val="005B1B02"/>
    <w:rsid w:val="005B1C1B"/>
    <w:rsid w:val="005B1C5D"/>
    <w:rsid w:val="005B1CFC"/>
    <w:rsid w:val="005B1D6D"/>
    <w:rsid w:val="005B1EA2"/>
    <w:rsid w:val="005B1F1B"/>
    <w:rsid w:val="005B1F28"/>
    <w:rsid w:val="005B1F31"/>
    <w:rsid w:val="005B1FB7"/>
    <w:rsid w:val="005B1FF2"/>
    <w:rsid w:val="005B20B1"/>
    <w:rsid w:val="005B223C"/>
    <w:rsid w:val="005B22C1"/>
    <w:rsid w:val="005B22D5"/>
    <w:rsid w:val="005B22FD"/>
    <w:rsid w:val="005B2399"/>
    <w:rsid w:val="005B2422"/>
    <w:rsid w:val="005B24A1"/>
    <w:rsid w:val="005B24FF"/>
    <w:rsid w:val="005B250D"/>
    <w:rsid w:val="005B25F0"/>
    <w:rsid w:val="005B26E1"/>
    <w:rsid w:val="005B275B"/>
    <w:rsid w:val="005B279D"/>
    <w:rsid w:val="005B29A8"/>
    <w:rsid w:val="005B29C7"/>
    <w:rsid w:val="005B2A25"/>
    <w:rsid w:val="005B2A6E"/>
    <w:rsid w:val="005B2A74"/>
    <w:rsid w:val="005B2A87"/>
    <w:rsid w:val="005B2B0D"/>
    <w:rsid w:val="005B2C45"/>
    <w:rsid w:val="005B2C4D"/>
    <w:rsid w:val="005B2C53"/>
    <w:rsid w:val="005B2C9E"/>
    <w:rsid w:val="005B2DEE"/>
    <w:rsid w:val="005B2F32"/>
    <w:rsid w:val="005B2F3E"/>
    <w:rsid w:val="005B2FEC"/>
    <w:rsid w:val="005B3009"/>
    <w:rsid w:val="005B306E"/>
    <w:rsid w:val="005B30B3"/>
    <w:rsid w:val="005B3301"/>
    <w:rsid w:val="005B341F"/>
    <w:rsid w:val="005B3438"/>
    <w:rsid w:val="005B3461"/>
    <w:rsid w:val="005B3532"/>
    <w:rsid w:val="005B3637"/>
    <w:rsid w:val="005B3667"/>
    <w:rsid w:val="005B3788"/>
    <w:rsid w:val="005B38D4"/>
    <w:rsid w:val="005B38DD"/>
    <w:rsid w:val="005B3955"/>
    <w:rsid w:val="005B39FF"/>
    <w:rsid w:val="005B3A07"/>
    <w:rsid w:val="005B3A1D"/>
    <w:rsid w:val="005B3C14"/>
    <w:rsid w:val="005B3C19"/>
    <w:rsid w:val="005B3C45"/>
    <w:rsid w:val="005B3CB3"/>
    <w:rsid w:val="005B3CBA"/>
    <w:rsid w:val="005B3D1F"/>
    <w:rsid w:val="005B3D71"/>
    <w:rsid w:val="005B3D8C"/>
    <w:rsid w:val="005B3E26"/>
    <w:rsid w:val="005B3FB0"/>
    <w:rsid w:val="005B40A0"/>
    <w:rsid w:val="005B41D5"/>
    <w:rsid w:val="005B41D9"/>
    <w:rsid w:val="005B43B3"/>
    <w:rsid w:val="005B43C5"/>
    <w:rsid w:val="005B4428"/>
    <w:rsid w:val="005B447F"/>
    <w:rsid w:val="005B4510"/>
    <w:rsid w:val="005B4533"/>
    <w:rsid w:val="005B45D0"/>
    <w:rsid w:val="005B4615"/>
    <w:rsid w:val="005B465F"/>
    <w:rsid w:val="005B475F"/>
    <w:rsid w:val="005B4761"/>
    <w:rsid w:val="005B4796"/>
    <w:rsid w:val="005B49C4"/>
    <w:rsid w:val="005B49F9"/>
    <w:rsid w:val="005B4AC2"/>
    <w:rsid w:val="005B4AD2"/>
    <w:rsid w:val="005B4C2F"/>
    <w:rsid w:val="005B4D3B"/>
    <w:rsid w:val="005B4DF4"/>
    <w:rsid w:val="005B4E43"/>
    <w:rsid w:val="005B4E80"/>
    <w:rsid w:val="005B4F89"/>
    <w:rsid w:val="005B4F92"/>
    <w:rsid w:val="005B50BC"/>
    <w:rsid w:val="005B5187"/>
    <w:rsid w:val="005B5189"/>
    <w:rsid w:val="005B51C1"/>
    <w:rsid w:val="005B53B7"/>
    <w:rsid w:val="005B5437"/>
    <w:rsid w:val="005B549D"/>
    <w:rsid w:val="005B5540"/>
    <w:rsid w:val="005B560F"/>
    <w:rsid w:val="005B5703"/>
    <w:rsid w:val="005B5793"/>
    <w:rsid w:val="005B5966"/>
    <w:rsid w:val="005B5A0C"/>
    <w:rsid w:val="005B5ACA"/>
    <w:rsid w:val="005B5AFB"/>
    <w:rsid w:val="005B5B03"/>
    <w:rsid w:val="005B5B65"/>
    <w:rsid w:val="005B5BAC"/>
    <w:rsid w:val="005B5BB3"/>
    <w:rsid w:val="005B5BD8"/>
    <w:rsid w:val="005B5CBC"/>
    <w:rsid w:val="005B5D20"/>
    <w:rsid w:val="005B5D44"/>
    <w:rsid w:val="005B5D61"/>
    <w:rsid w:val="005B5D88"/>
    <w:rsid w:val="005B5E20"/>
    <w:rsid w:val="005B5E4B"/>
    <w:rsid w:val="005B5EB6"/>
    <w:rsid w:val="005B5EC8"/>
    <w:rsid w:val="005B5F24"/>
    <w:rsid w:val="005B6008"/>
    <w:rsid w:val="005B602C"/>
    <w:rsid w:val="005B60D4"/>
    <w:rsid w:val="005B62B9"/>
    <w:rsid w:val="005B6370"/>
    <w:rsid w:val="005B6390"/>
    <w:rsid w:val="005B63CB"/>
    <w:rsid w:val="005B6446"/>
    <w:rsid w:val="005B6481"/>
    <w:rsid w:val="005B654C"/>
    <w:rsid w:val="005B675B"/>
    <w:rsid w:val="005B67BF"/>
    <w:rsid w:val="005B67E9"/>
    <w:rsid w:val="005B68B4"/>
    <w:rsid w:val="005B6913"/>
    <w:rsid w:val="005B6983"/>
    <w:rsid w:val="005B6A4B"/>
    <w:rsid w:val="005B6AC7"/>
    <w:rsid w:val="005B6AD9"/>
    <w:rsid w:val="005B6BDD"/>
    <w:rsid w:val="005B6C5B"/>
    <w:rsid w:val="005B6EEA"/>
    <w:rsid w:val="005B6F2C"/>
    <w:rsid w:val="005B6F88"/>
    <w:rsid w:val="005B70BE"/>
    <w:rsid w:val="005B7152"/>
    <w:rsid w:val="005B7234"/>
    <w:rsid w:val="005B72F8"/>
    <w:rsid w:val="005B7371"/>
    <w:rsid w:val="005B73EA"/>
    <w:rsid w:val="005B753C"/>
    <w:rsid w:val="005B753F"/>
    <w:rsid w:val="005B76B3"/>
    <w:rsid w:val="005B783A"/>
    <w:rsid w:val="005B79AB"/>
    <w:rsid w:val="005B79BF"/>
    <w:rsid w:val="005B7B84"/>
    <w:rsid w:val="005B7D3E"/>
    <w:rsid w:val="005B7E03"/>
    <w:rsid w:val="005B7E8D"/>
    <w:rsid w:val="005B7EAD"/>
    <w:rsid w:val="005B7EC0"/>
    <w:rsid w:val="005C0269"/>
    <w:rsid w:val="005C02B1"/>
    <w:rsid w:val="005C03A2"/>
    <w:rsid w:val="005C0401"/>
    <w:rsid w:val="005C04D4"/>
    <w:rsid w:val="005C063C"/>
    <w:rsid w:val="005C0676"/>
    <w:rsid w:val="005C072C"/>
    <w:rsid w:val="005C089C"/>
    <w:rsid w:val="005C09E5"/>
    <w:rsid w:val="005C0A50"/>
    <w:rsid w:val="005C0B14"/>
    <w:rsid w:val="005C0BEC"/>
    <w:rsid w:val="005C0BF9"/>
    <w:rsid w:val="005C0C76"/>
    <w:rsid w:val="005C0CA6"/>
    <w:rsid w:val="005C0CDA"/>
    <w:rsid w:val="005C0E51"/>
    <w:rsid w:val="005C0F19"/>
    <w:rsid w:val="005C0F27"/>
    <w:rsid w:val="005C0FFB"/>
    <w:rsid w:val="005C108C"/>
    <w:rsid w:val="005C10DB"/>
    <w:rsid w:val="005C11D1"/>
    <w:rsid w:val="005C11E9"/>
    <w:rsid w:val="005C1216"/>
    <w:rsid w:val="005C1254"/>
    <w:rsid w:val="005C1285"/>
    <w:rsid w:val="005C12B7"/>
    <w:rsid w:val="005C1328"/>
    <w:rsid w:val="005C14B1"/>
    <w:rsid w:val="005C150D"/>
    <w:rsid w:val="005C1625"/>
    <w:rsid w:val="005C17B9"/>
    <w:rsid w:val="005C17C3"/>
    <w:rsid w:val="005C17DC"/>
    <w:rsid w:val="005C17F5"/>
    <w:rsid w:val="005C1848"/>
    <w:rsid w:val="005C190C"/>
    <w:rsid w:val="005C1A01"/>
    <w:rsid w:val="005C1A40"/>
    <w:rsid w:val="005C1CCE"/>
    <w:rsid w:val="005C1CE4"/>
    <w:rsid w:val="005C1DB0"/>
    <w:rsid w:val="005C1FAF"/>
    <w:rsid w:val="005C20B8"/>
    <w:rsid w:val="005C21D1"/>
    <w:rsid w:val="005C2237"/>
    <w:rsid w:val="005C228B"/>
    <w:rsid w:val="005C22FE"/>
    <w:rsid w:val="005C2308"/>
    <w:rsid w:val="005C232D"/>
    <w:rsid w:val="005C2391"/>
    <w:rsid w:val="005C23DF"/>
    <w:rsid w:val="005C241A"/>
    <w:rsid w:val="005C246B"/>
    <w:rsid w:val="005C246D"/>
    <w:rsid w:val="005C24C4"/>
    <w:rsid w:val="005C24D6"/>
    <w:rsid w:val="005C264D"/>
    <w:rsid w:val="005C2757"/>
    <w:rsid w:val="005C2789"/>
    <w:rsid w:val="005C2938"/>
    <w:rsid w:val="005C293D"/>
    <w:rsid w:val="005C2981"/>
    <w:rsid w:val="005C29B4"/>
    <w:rsid w:val="005C29C6"/>
    <w:rsid w:val="005C29E9"/>
    <w:rsid w:val="005C2C39"/>
    <w:rsid w:val="005C2CE9"/>
    <w:rsid w:val="005C2D4A"/>
    <w:rsid w:val="005C2E08"/>
    <w:rsid w:val="005C2EBC"/>
    <w:rsid w:val="005C2ED1"/>
    <w:rsid w:val="005C2EEA"/>
    <w:rsid w:val="005C2FCB"/>
    <w:rsid w:val="005C3004"/>
    <w:rsid w:val="005C3009"/>
    <w:rsid w:val="005C32B3"/>
    <w:rsid w:val="005C3322"/>
    <w:rsid w:val="005C33C6"/>
    <w:rsid w:val="005C3446"/>
    <w:rsid w:val="005C34FA"/>
    <w:rsid w:val="005C3518"/>
    <w:rsid w:val="005C35B2"/>
    <w:rsid w:val="005C36A2"/>
    <w:rsid w:val="005C374C"/>
    <w:rsid w:val="005C3989"/>
    <w:rsid w:val="005C3999"/>
    <w:rsid w:val="005C39DB"/>
    <w:rsid w:val="005C3B0D"/>
    <w:rsid w:val="005C3B5D"/>
    <w:rsid w:val="005C3CE8"/>
    <w:rsid w:val="005C3DB7"/>
    <w:rsid w:val="005C3DBA"/>
    <w:rsid w:val="005C3E98"/>
    <w:rsid w:val="005C40BF"/>
    <w:rsid w:val="005C41C0"/>
    <w:rsid w:val="005C4261"/>
    <w:rsid w:val="005C42A0"/>
    <w:rsid w:val="005C430F"/>
    <w:rsid w:val="005C438E"/>
    <w:rsid w:val="005C43C7"/>
    <w:rsid w:val="005C4488"/>
    <w:rsid w:val="005C4528"/>
    <w:rsid w:val="005C4549"/>
    <w:rsid w:val="005C463D"/>
    <w:rsid w:val="005C4693"/>
    <w:rsid w:val="005C46A6"/>
    <w:rsid w:val="005C46DB"/>
    <w:rsid w:val="005C4835"/>
    <w:rsid w:val="005C484C"/>
    <w:rsid w:val="005C4876"/>
    <w:rsid w:val="005C48AE"/>
    <w:rsid w:val="005C494E"/>
    <w:rsid w:val="005C49F9"/>
    <w:rsid w:val="005C4A69"/>
    <w:rsid w:val="005C4AFC"/>
    <w:rsid w:val="005C4B66"/>
    <w:rsid w:val="005C4B7D"/>
    <w:rsid w:val="005C4BBC"/>
    <w:rsid w:val="005C4C25"/>
    <w:rsid w:val="005C4C4D"/>
    <w:rsid w:val="005C4CCA"/>
    <w:rsid w:val="005C4D45"/>
    <w:rsid w:val="005C4DA9"/>
    <w:rsid w:val="005C4E21"/>
    <w:rsid w:val="005C4EE4"/>
    <w:rsid w:val="005C4EED"/>
    <w:rsid w:val="005C4F4A"/>
    <w:rsid w:val="005C4F7B"/>
    <w:rsid w:val="005C507B"/>
    <w:rsid w:val="005C510E"/>
    <w:rsid w:val="005C5138"/>
    <w:rsid w:val="005C52DC"/>
    <w:rsid w:val="005C52E6"/>
    <w:rsid w:val="005C52EE"/>
    <w:rsid w:val="005C54A8"/>
    <w:rsid w:val="005C56B9"/>
    <w:rsid w:val="005C56E6"/>
    <w:rsid w:val="005C56FA"/>
    <w:rsid w:val="005C57E9"/>
    <w:rsid w:val="005C594C"/>
    <w:rsid w:val="005C5A2A"/>
    <w:rsid w:val="005C5ABB"/>
    <w:rsid w:val="005C5ADB"/>
    <w:rsid w:val="005C5C40"/>
    <w:rsid w:val="005C5CC3"/>
    <w:rsid w:val="005C5CE6"/>
    <w:rsid w:val="005C5D2E"/>
    <w:rsid w:val="005C5D64"/>
    <w:rsid w:val="005C5DDE"/>
    <w:rsid w:val="005C5ED0"/>
    <w:rsid w:val="005C5FF0"/>
    <w:rsid w:val="005C6032"/>
    <w:rsid w:val="005C6053"/>
    <w:rsid w:val="005C608C"/>
    <w:rsid w:val="005C60C4"/>
    <w:rsid w:val="005C625E"/>
    <w:rsid w:val="005C6475"/>
    <w:rsid w:val="005C64EC"/>
    <w:rsid w:val="005C65B8"/>
    <w:rsid w:val="005C665B"/>
    <w:rsid w:val="005C6761"/>
    <w:rsid w:val="005C679C"/>
    <w:rsid w:val="005C67A5"/>
    <w:rsid w:val="005C67D5"/>
    <w:rsid w:val="005C6893"/>
    <w:rsid w:val="005C6A4B"/>
    <w:rsid w:val="005C6A64"/>
    <w:rsid w:val="005C6AEF"/>
    <w:rsid w:val="005C6C35"/>
    <w:rsid w:val="005C6C46"/>
    <w:rsid w:val="005C6C5E"/>
    <w:rsid w:val="005C6C89"/>
    <w:rsid w:val="005C6CA7"/>
    <w:rsid w:val="005C6CE2"/>
    <w:rsid w:val="005C6D88"/>
    <w:rsid w:val="005C6E7B"/>
    <w:rsid w:val="005C6EB0"/>
    <w:rsid w:val="005C6F53"/>
    <w:rsid w:val="005C6F61"/>
    <w:rsid w:val="005C7048"/>
    <w:rsid w:val="005C7200"/>
    <w:rsid w:val="005C746B"/>
    <w:rsid w:val="005C74A1"/>
    <w:rsid w:val="005C7509"/>
    <w:rsid w:val="005C75C4"/>
    <w:rsid w:val="005C767E"/>
    <w:rsid w:val="005C76BA"/>
    <w:rsid w:val="005C7733"/>
    <w:rsid w:val="005C7891"/>
    <w:rsid w:val="005C7899"/>
    <w:rsid w:val="005C78CE"/>
    <w:rsid w:val="005C7A07"/>
    <w:rsid w:val="005C7A5F"/>
    <w:rsid w:val="005C7B65"/>
    <w:rsid w:val="005C7CC5"/>
    <w:rsid w:val="005C7DEF"/>
    <w:rsid w:val="005C7E99"/>
    <w:rsid w:val="005C7F29"/>
    <w:rsid w:val="005C7FEE"/>
    <w:rsid w:val="005D005F"/>
    <w:rsid w:val="005D026F"/>
    <w:rsid w:val="005D02C2"/>
    <w:rsid w:val="005D036E"/>
    <w:rsid w:val="005D048B"/>
    <w:rsid w:val="005D04B2"/>
    <w:rsid w:val="005D053D"/>
    <w:rsid w:val="005D0627"/>
    <w:rsid w:val="005D0673"/>
    <w:rsid w:val="005D06B6"/>
    <w:rsid w:val="005D0713"/>
    <w:rsid w:val="005D0767"/>
    <w:rsid w:val="005D07F0"/>
    <w:rsid w:val="005D0801"/>
    <w:rsid w:val="005D0A64"/>
    <w:rsid w:val="005D0A6A"/>
    <w:rsid w:val="005D0B08"/>
    <w:rsid w:val="005D0B0B"/>
    <w:rsid w:val="005D0C84"/>
    <w:rsid w:val="005D0E71"/>
    <w:rsid w:val="005D0E79"/>
    <w:rsid w:val="005D0F14"/>
    <w:rsid w:val="005D0F51"/>
    <w:rsid w:val="005D0FD6"/>
    <w:rsid w:val="005D10B4"/>
    <w:rsid w:val="005D11C4"/>
    <w:rsid w:val="005D131A"/>
    <w:rsid w:val="005D13AE"/>
    <w:rsid w:val="005D1475"/>
    <w:rsid w:val="005D1587"/>
    <w:rsid w:val="005D1666"/>
    <w:rsid w:val="005D170C"/>
    <w:rsid w:val="005D17CC"/>
    <w:rsid w:val="005D181D"/>
    <w:rsid w:val="005D1852"/>
    <w:rsid w:val="005D1939"/>
    <w:rsid w:val="005D1A57"/>
    <w:rsid w:val="005D1A78"/>
    <w:rsid w:val="005D1AC6"/>
    <w:rsid w:val="005D1B89"/>
    <w:rsid w:val="005D1C3F"/>
    <w:rsid w:val="005D1C5A"/>
    <w:rsid w:val="005D1DF7"/>
    <w:rsid w:val="005D1FDD"/>
    <w:rsid w:val="005D20E7"/>
    <w:rsid w:val="005D217A"/>
    <w:rsid w:val="005D21A7"/>
    <w:rsid w:val="005D220E"/>
    <w:rsid w:val="005D2230"/>
    <w:rsid w:val="005D223A"/>
    <w:rsid w:val="005D2240"/>
    <w:rsid w:val="005D22B8"/>
    <w:rsid w:val="005D23F5"/>
    <w:rsid w:val="005D2497"/>
    <w:rsid w:val="005D24C0"/>
    <w:rsid w:val="005D24EF"/>
    <w:rsid w:val="005D26F7"/>
    <w:rsid w:val="005D2A4F"/>
    <w:rsid w:val="005D2ACA"/>
    <w:rsid w:val="005D2B5E"/>
    <w:rsid w:val="005D2BB3"/>
    <w:rsid w:val="005D2C94"/>
    <w:rsid w:val="005D2CAA"/>
    <w:rsid w:val="005D2CFA"/>
    <w:rsid w:val="005D2D75"/>
    <w:rsid w:val="005D2DC3"/>
    <w:rsid w:val="005D2F2C"/>
    <w:rsid w:val="005D2F33"/>
    <w:rsid w:val="005D2F71"/>
    <w:rsid w:val="005D2F85"/>
    <w:rsid w:val="005D2FCF"/>
    <w:rsid w:val="005D30A6"/>
    <w:rsid w:val="005D3154"/>
    <w:rsid w:val="005D3188"/>
    <w:rsid w:val="005D31C4"/>
    <w:rsid w:val="005D320D"/>
    <w:rsid w:val="005D3213"/>
    <w:rsid w:val="005D322D"/>
    <w:rsid w:val="005D328E"/>
    <w:rsid w:val="005D332B"/>
    <w:rsid w:val="005D3420"/>
    <w:rsid w:val="005D3583"/>
    <w:rsid w:val="005D3677"/>
    <w:rsid w:val="005D3802"/>
    <w:rsid w:val="005D3840"/>
    <w:rsid w:val="005D39C0"/>
    <w:rsid w:val="005D39D2"/>
    <w:rsid w:val="005D3ACB"/>
    <w:rsid w:val="005D3B3B"/>
    <w:rsid w:val="005D3BF7"/>
    <w:rsid w:val="005D3CA7"/>
    <w:rsid w:val="005D3D6D"/>
    <w:rsid w:val="005D3E4C"/>
    <w:rsid w:val="005D3E87"/>
    <w:rsid w:val="005D3ECE"/>
    <w:rsid w:val="005D3F52"/>
    <w:rsid w:val="005D3F76"/>
    <w:rsid w:val="005D3F94"/>
    <w:rsid w:val="005D4081"/>
    <w:rsid w:val="005D40BB"/>
    <w:rsid w:val="005D419C"/>
    <w:rsid w:val="005D41DB"/>
    <w:rsid w:val="005D4258"/>
    <w:rsid w:val="005D4311"/>
    <w:rsid w:val="005D4407"/>
    <w:rsid w:val="005D445C"/>
    <w:rsid w:val="005D4489"/>
    <w:rsid w:val="005D4551"/>
    <w:rsid w:val="005D4832"/>
    <w:rsid w:val="005D486B"/>
    <w:rsid w:val="005D48F7"/>
    <w:rsid w:val="005D49A3"/>
    <w:rsid w:val="005D4A49"/>
    <w:rsid w:val="005D4A4B"/>
    <w:rsid w:val="005D4BB1"/>
    <w:rsid w:val="005D4C6E"/>
    <w:rsid w:val="005D4D2D"/>
    <w:rsid w:val="005D4E1D"/>
    <w:rsid w:val="005D4E86"/>
    <w:rsid w:val="005D4F66"/>
    <w:rsid w:val="005D4F85"/>
    <w:rsid w:val="005D50DD"/>
    <w:rsid w:val="005D5188"/>
    <w:rsid w:val="005D52FB"/>
    <w:rsid w:val="005D5305"/>
    <w:rsid w:val="005D53F5"/>
    <w:rsid w:val="005D544C"/>
    <w:rsid w:val="005D5586"/>
    <w:rsid w:val="005D560B"/>
    <w:rsid w:val="005D560D"/>
    <w:rsid w:val="005D563A"/>
    <w:rsid w:val="005D566B"/>
    <w:rsid w:val="005D5713"/>
    <w:rsid w:val="005D578B"/>
    <w:rsid w:val="005D57CE"/>
    <w:rsid w:val="005D589B"/>
    <w:rsid w:val="005D58D6"/>
    <w:rsid w:val="005D5A8C"/>
    <w:rsid w:val="005D5BDC"/>
    <w:rsid w:val="005D5CF9"/>
    <w:rsid w:val="005D5E84"/>
    <w:rsid w:val="005D5F0C"/>
    <w:rsid w:val="005D6038"/>
    <w:rsid w:val="005D606F"/>
    <w:rsid w:val="005D6087"/>
    <w:rsid w:val="005D62D1"/>
    <w:rsid w:val="005D652E"/>
    <w:rsid w:val="005D65D3"/>
    <w:rsid w:val="005D6616"/>
    <w:rsid w:val="005D6646"/>
    <w:rsid w:val="005D66C1"/>
    <w:rsid w:val="005D66C2"/>
    <w:rsid w:val="005D6780"/>
    <w:rsid w:val="005D67A6"/>
    <w:rsid w:val="005D67F6"/>
    <w:rsid w:val="005D6825"/>
    <w:rsid w:val="005D6882"/>
    <w:rsid w:val="005D6A45"/>
    <w:rsid w:val="005D6A9D"/>
    <w:rsid w:val="005D6B1C"/>
    <w:rsid w:val="005D6C65"/>
    <w:rsid w:val="005D6C9F"/>
    <w:rsid w:val="005D6DB8"/>
    <w:rsid w:val="005D6E0E"/>
    <w:rsid w:val="005D6EA6"/>
    <w:rsid w:val="005D6FA7"/>
    <w:rsid w:val="005D7015"/>
    <w:rsid w:val="005D7049"/>
    <w:rsid w:val="005D719A"/>
    <w:rsid w:val="005D721D"/>
    <w:rsid w:val="005D729D"/>
    <w:rsid w:val="005D7713"/>
    <w:rsid w:val="005D77EF"/>
    <w:rsid w:val="005D7846"/>
    <w:rsid w:val="005D7972"/>
    <w:rsid w:val="005D7A95"/>
    <w:rsid w:val="005D7B1E"/>
    <w:rsid w:val="005D7B69"/>
    <w:rsid w:val="005D7BB7"/>
    <w:rsid w:val="005D7BE8"/>
    <w:rsid w:val="005D7C0E"/>
    <w:rsid w:val="005D7C8D"/>
    <w:rsid w:val="005D7CA9"/>
    <w:rsid w:val="005D7D20"/>
    <w:rsid w:val="005D7D28"/>
    <w:rsid w:val="005D7E3B"/>
    <w:rsid w:val="005D7F9C"/>
    <w:rsid w:val="005E000B"/>
    <w:rsid w:val="005E0242"/>
    <w:rsid w:val="005E0273"/>
    <w:rsid w:val="005E028C"/>
    <w:rsid w:val="005E02E8"/>
    <w:rsid w:val="005E0473"/>
    <w:rsid w:val="005E0491"/>
    <w:rsid w:val="005E05DF"/>
    <w:rsid w:val="005E0610"/>
    <w:rsid w:val="005E0713"/>
    <w:rsid w:val="005E08B4"/>
    <w:rsid w:val="005E08BB"/>
    <w:rsid w:val="005E090C"/>
    <w:rsid w:val="005E0957"/>
    <w:rsid w:val="005E095E"/>
    <w:rsid w:val="005E0968"/>
    <w:rsid w:val="005E0992"/>
    <w:rsid w:val="005E09B7"/>
    <w:rsid w:val="005E0A75"/>
    <w:rsid w:val="005E0AAA"/>
    <w:rsid w:val="005E0AEC"/>
    <w:rsid w:val="005E0AED"/>
    <w:rsid w:val="005E0C3F"/>
    <w:rsid w:val="005E0D8B"/>
    <w:rsid w:val="005E0ED4"/>
    <w:rsid w:val="005E0EF2"/>
    <w:rsid w:val="005E0F47"/>
    <w:rsid w:val="005E1040"/>
    <w:rsid w:val="005E10DF"/>
    <w:rsid w:val="005E111D"/>
    <w:rsid w:val="005E1202"/>
    <w:rsid w:val="005E1295"/>
    <w:rsid w:val="005E12A8"/>
    <w:rsid w:val="005E12AD"/>
    <w:rsid w:val="005E1364"/>
    <w:rsid w:val="005E13C3"/>
    <w:rsid w:val="005E1428"/>
    <w:rsid w:val="005E1434"/>
    <w:rsid w:val="005E14CF"/>
    <w:rsid w:val="005E15F2"/>
    <w:rsid w:val="005E16A1"/>
    <w:rsid w:val="005E16BD"/>
    <w:rsid w:val="005E16C6"/>
    <w:rsid w:val="005E1729"/>
    <w:rsid w:val="005E178F"/>
    <w:rsid w:val="005E17AB"/>
    <w:rsid w:val="005E1825"/>
    <w:rsid w:val="005E1A70"/>
    <w:rsid w:val="005E1A7E"/>
    <w:rsid w:val="005E1B7B"/>
    <w:rsid w:val="005E1B92"/>
    <w:rsid w:val="005E1BB2"/>
    <w:rsid w:val="005E1BFB"/>
    <w:rsid w:val="005E1BFE"/>
    <w:rsid w:val="005E1C82"/>
    <w:rsid w:val="005E1CE0"/>
    <w:rsid w:val="005E1CE3"/>
    <w:rsid w:val="005E1D19"/>
    <w:rsid w:val="005E1D51"/>
    <w:rsid w:val="005E1E04"/>
    <w:rsid w:val="005E1E6E"/>
    <w:rsid w:val="005E1EC8"/>
    <w:rsid w:val="005E1F56"/>
    <w:rsid w:val="005E1F61"/>
    <w:rsid w:val="005E1FAC"/>
    <w:rsid w:val="005E2027"/>
    <w:rsid w:val="005E202A"/>
    <w:rsid w:val="005E20EC"/>
    <w:rsid w:val="005E212E"/>
    <w:rsid w:val="005E237A"/>
    <w:rsid w:val="005E241E"/>
    <w:rsid w:val="005E25A6"/>
    <w:rsid w:val="005E25B6"/>
    <w:rsid w:val="005E2649"/>
    <w:rsid w:val="005E2734"/>
    <w:rsid w:val="005E2747"/>
    <w:rsid w:val="005E28DA"/>
    <w:rsid w:val="005E28E3"/>
    <w:rsid w:val="005E293D"/>
    <w:rsid w:val="005E2A49"/>
    <w:rsid w:val="005E2A91"/>
    <w:rsid w:val="005E2AA4"/>
    <w:rsid w:val="005E2B21"/>
    <w:rsid w:val="005E2B43"/>
    <w:rsid w:val="005E2C1F"/>
    <w:rsid w:val="005E2CA5"/>
    <w:rsid w:val="005E2CB2"/>
    <w:rsid w:val="005E2CC4"/>
    <w:rsid w:val="005E2D87"/>
    <w:rsid w:val="005E306C"/>
    <w:rsid w:val="005E30D2"/>
    <w:rsid w:val="005E30F9"/>
    <w:rsid w:val="005E3148"/>
    <w:rsid w:val="005E31BD"/>
    <w:rsid w:val="005E322E"/>
    <w:rsid w:val="005E330C"/>
    <w:rsid w:val="005E3315"/>
    <w:rsid w:val="005E3316"/>
    <w:rsid w:val="005E33AC"/>
    <w:rsid w:val="005E33E9"/>
    <w:rsid w:val="005E356C"/>
    <w:rsid w:val="005E377B"/>
    <w:rsid w:val="005E3951"/>
    <w:rsid w:val="005E39D9"/>
    <w:rsid w:val="005E3A81"/>
    <w:rsid w:val="005E3BA5"/>
    <w:rsid w:val="005E3C87"/>
    <w:rsid w:val="005E3C8E"/>
    <w:rsid w:val="005E3CB6"/>
    <w:rsid w:val="005E3D27"/>
    <w:rsid w:val="005E3D4B"/>
    <w:rsid w:val="005E3DAB"/>
    <w:rsid w:val="005E3DC7"/>
    <w:rsid w:val="005E3F34"/>
    <w:rsid w:val="005E3F45"/>
    <w:rsid w:val="005E3FAB"/>
    <w:rsid w:val="005E408E"/>
    <w:rsid w:val="005E4092"/>
    <w:rsid w:val="005E41D0"/>
    <w:rsid w:val="005E41D8"/>
    <w:rsid w:val="005E4281"/>
    <w:rsid w:val="005E42F5"/>
    <w:rsid w:val="005E432F"/>
    <w:rsid w:val="005E43BC"/>
    <w:rsid w:val="005E4405"/>
    <w:rsid w:val="005E441C"/>
    <w:rsid w:val="005E4457"/>
    <w:rsid w:val="005E4487"/>
    <w:rsid w:val="005E4545"/>
    <w:rsid w:val="005E45BE"/>
    <w:rsid w:val="005E45F3"/>
    <w:rsid w:val="005E471E"/>
    <w:rsid w:val="005E473D"/>
    <w:rsid w:val="005E47AA"/>
    <w:rsid w:val="005E47B2"/>
    <w:rsid w:val="005E47D0"/>
    <w:rsid w:val="005E482B"/>
    <w:rsid w:val="005E4840"/>
    <w:rsid w:val="005E484C"/>
    <w:rsid w:val="005E4942"/>
    <w:rsid w:val="005E49CB"/>
    <w:rsid w:val="005E4A00"/>
    <w:rsid w:val="005E4A54"/>
    <w:rsid w:val="005E4A65"/>
    <w:rsid w:val="005E4CA8"/>
    <w:rsid w:val="005E4EF8"/>
    <w:rsid w:val="005E4F54"/>
    <w:rsid w:val="005E4F9A"/>
    <w:rsid w:val="005E4FD3"/>
    <w:rsid w:val="005E500A"/>
    <w:rsid w:val="005E5043"/>
    <w:rsid w:val="005E50F1"/>
    <w:rsid w:val="005E510E"/>
    <w:rsid w:val="005E51D3"/>
    <w:rsid w:val="005E52D7"/>
    <w:rsid w:val="005E5430"/>
    <w:rsid w:val="005E543A"/>
    <w:rsid w:val="005E543B"/>
    <w:rsid w:val="005E54C3"/>
    <w:rsid w:val="005E54D1"/>
    <w:rsid w:val="005E56C4"/>
    <w:rsid w:val="005E57B0"/>
    <w:rsid w:val="005E57C5"/>
    <w:rsid w:val="005E57D0"/>
    <w:rsid w:val="005E57D5"/>
    <w:rsid w:val="005E586B"/>
    <w:rsid w:val="005E596E"/>
    <w:rsid w:val="005E59E5"/>
    <w:rsid w:val="005E59FF"/>
    <w:rsid w:val="005E5A54"/>
    <w:rsid w:val="005E5A81"/>
    <w:rsid w:val="005E5B61"/>
    <w:rsid w:val="005E5B94"/>
    <w:rsid w:val="005E5BA3"/>
    <w:rsid w:val="005E5D8C"/>
    <w:rsid w:val="005E5E13"/>
    <w:rsid w:val="005E5EF2"/>
    <w:rsid w:val="005E5FD5"/>
    <w:rsid w:val="005E607A"/>
    <w:rsid w:val="005E6086"/>
    <w:rsid w:val="005E60F7"/>
    <w:rsid w:val="005E61E2"/>
    <w:rsid w:val="005E6340"/>
    <w:rsid w:val="005E63C9"/>
    <w:rsid w:val="005E64AB"/>
    <w:rsid w:val="005E64CD"/>
    <w:rsid w:val="005E6556"/>
    <w:rsid w:val="005E65A6"/>
    <w:rsid w:val="005E65AC"/>
    <w:rsid w:val="005E6676"/>
    <w:rsid w:val="005E6715"/>
    <w:rsid w:val="005E677B"/>
    <w:rsid w:val="005E679D"/>
    <w:rsid w:val="005E67BF"/>
    <w:rsid w:val="005E6845"/>
    <w:rsid w:val="005E6910"/>
    <w:rsid w:val="005E6967"/>
    <w:rsid w:val="005E698D"/>
    <w:rsid w:val="005E69AA"/>
    <w:rsid w:val="005E6B43"/>
    <w:rsid w:val="005E6CC2"/>
    <w:rsid w:val="005E6D20"/>
    <w:rsid w:val="005E6D9F"/>
    <w:rsid w:val="005E6DEF"/>
    <w:rsid w:val="005E6E88"/>
    <w:rsid w:val="005E6ECB"/>
    <w:rsid w:val="005E6EEC"/>
    <w:rsid w:val="005E6F9D"/>
    <w:rsid w:val="005E7027"/>
    <w:rsid w:val="005E7030"/>
    <w:rsid w:val="005E7035"/>
    <w:rsid w:val="005E7065"/>
    <w:rsid w:val="005E7079"/>
    <w:rsid w:val="005E728C"/>
    <w:rsid w:val="005E7361"/>
    <w:rsid w:val="005E7377"/>
    <w:rsid w:val="005E742F"/>
    <w:rsid w:val="005E74AE"/>
    <w:rsid w:val="005E750D"/>
    <w:rsid w:val="005E75B3"/>
    <w:rsid w:val="005E7708"/>
    <w:rsid w:val="005E770B"/>
    <w:rsid w:val="005E7783"/>
    <w:rsid w:val="005E779D"/>
    <w:rsid w:val="005E78B1"/>
    <w:rsid w:val="005E79DD"/>
    <w:rsid w:val="005E79FF"/>
    <w:rsid w:val="005E7CA8"/>
    <w:rsid w:val="005E7CD2"/>
    <w:rsid w:val="005E7DA1"/>
    <w:rsid w:val="005E7F59"/>
    <w:rsid w:val="005F01A0"/>
    <w:rsid w:val="005F029E"/>
    <w:rsid w:val="005F0325"/>
    <w:rsid w:val="005F0435"/>
    <w:rsid w:val="005F07C1"/>
    <w:rsid w:val="005F0835"/>
    <w:rsid w:val="005F085C"/>
    <w:rsid w:val="005F095F"/>
    <w:rsid w:val="005F0A06"/>
    <w:rsid w:val="005F0A82"/>
    <w:rsid w:val="005F0B10"/>
    <w:rsid w:val="005F0C20"/>
    <w:rsid w:val="005F0C2A"/>
    <w:rsid w:val="005F0C48"/>
    <w:rsid w:val="005F0C5C"/>
    <w:rsid w:val="005F0CDB"/>
    <w:rsid w:val="005F0E9E"/>
    <w:rsid w:val="005F0F52"/>
    <w:rsid w:val="005F0F82"/>
    <w:rsid w:val="005F0F87"/>
    <w:rsid w:val="005F10B2"/>
    <w:rsid w:val="005F1138"/>
    <w:rsid w:val="005F1140"/>
    <w:rsid w:val="005F11CE"/>
    <w:rsid w:val="005F1236"/>
    <w:rsid w:val="005F1251"/>
    <w:rsid w:val="005F1268"/>
    <w:rsid w:val="005F12C0"/>
    <w:rsid w:val="005F12F7"/>
    <w:rsid w:val="005F13B6"/>
    <w:rsid w:val="005F156C"/>
    <w:rsid w:val="005F15F3"/>
    <w:rsid w:val="005F15F7"/>
    <w:rsid w:val="005F1668"/>
    <w:rsid w:val="005F167A"/>
    <w:rsid w:val="005F17DB"/>
    <w:rsid w:val="005F1810"/>
    <w:rsid w:val="005F186B"/>
    <w:rsid w:val="005F18A5"/>
    <w:rsid w:val="005F190A"/>
    <w:rsid w:val="005F1A43"/>
    <w:rsid w:val="005F1C87"/>
    <w:rsid w:val="005F1CB9"/>
    <w:rsid w:val="005F1CC9"/>
    <w:rsid w:val="005F1E20"/>
    <w:rsid w:val="005F1EB8"/>
    <w:rsid w:val="005F1ED1"/>
    <w:rsid w:val="005F1F9A"/>
    <w:rsid w:val="005F1FD8"/>
    <w:rsid w:val="005F200C"/>
    <w:rsid w:val="005F20C2"/>
    <w:rsid w:val="005F20C4"/>
    <w:rsid w:val="005F20EE"/>
    <w:rsid w:val="005F2243"/>
    <w:rsid w:val="005F22D7"/>
    <w:rsid w:val="005F230E"/>
    <w:rsid w:val="005F2388"/>
    <w:rsid w:val="005F2398"/>
    <w:rsid w:val="005F252E"/>
    <w:rsid w:val="005F257A"/>
    <w:rsid w:val="005F2591"/>
    <w:rsid w:val="005F2727"/>
    <w:rsid w:val="005F2772"/>
    <w:rsid w:val="005F2791"/>
    <w:rsid w:val="005F2802"/>
    <w:rsid w:val="005F2990"/>
    <w:rsid w:val="005F2AC0"/>
    <w:rsid w:val="005F2ADB"/>
    <w:rsid w:val="005F2B4D"/>
    <w:rsid w:val="005F2B60"/>
    <w:rsid w:val="005F2B80"/>
    <w:rsid w:val="005F2BA4"/>
    <w:rsid w:val="005F2BBA"/>
    <w:rsid w:val="005F2BCA"/>
    <w:rsid w:val="005F2C25"/>
    <w:rsid w:val="005F2C62"/>
    <w:rsid w:val="005F2CE8"/>
    <w:rsid w:val="005F2D51"/>
    <w:rsid w:val="005F2D69"/>
    <w:rsid w:val="005F2E0B"/>
    <w:rsid w:val="005F2EDB"/>
    <w:rsid w:val="005F2EF9"/>
    <w:rsid w:val="005F2F0E"/>
    <w:rsid w:val="005F2F37"/>
    <w:rsid w:val="005F30E2"/>
    <w:rsid w:val="005F311C"/>
    <w:rsid w:val="005F3190"/>
    <w:rsid w:val="005F3335"/>
    <w:rsid w:val="005F37E1"/>
    <w:rsid w:val="005F38CE"/>
    <w:rsid w:val="005F394E"/>
    <w:rsid w:val="005F3952"/>
    <w:rsid w:val="005F3959"/>
    <w:rsid w:val="005F39BB"/>
    <w:rsid w:val="005F3A3D"/>
    <w:rsid w:val="005F3A4D"/>
    <w:rsid w:val="005F3A50"/>
    <w:rsid w:val="005F3AD6"/>
    <w:rsid w:val="005F3B8C"/>
    <w:rsid w:val="005F3C7B"/>
    <w:rsid w:val="005F3DA2"/>
    <w:rsid w:val="005F3E36"/>
    <w:rsid w:val="005F3EB4"/>
    <w:rsid w:val="005F3F30"/>
    <w:rsid w:val="005F3F78"/>
    <w:rsid w:val="005F3F7B"/>
    <w:rsid w:val="005F3F93"/>
    <w:rsid w:val="005F3FAD"/>
    <w:rsid w:val="005F3FC8"/>
    <w:rsid w:val="005F4088"/>
    <w:rsid w:val="005F41CA"/>
    <w:rsid w:val="005F42FC"/>
    <w:rsid w:val="005F4396"/>
    <w:rsid w:val="005F439A"/>
    <w:rsid w:val="005F4401"/>
    <w:rsid w:val="005F469D"/>
    <w:rsid w:val="005F4917"/>
    <w:rsid w:val="005F4A7D"/>
    <w:rsid w:val="005F4B70"/>
    <w:rsid w:val="005F4B7C"/>
    <w:rsid w:val="005F4C4C"/>
    <w:rsid w:val="005F4C4F"/>
    <w:rsid w:val="005F4DFD"/>
    <w:rsid w:val="005F4EC3"/>
    <w:rsid w:val="005F4F30"/>
    <w:rsid w:val="005F4FE6"/>
    <w:rsid w:val="005F502A"/>
    <w:rsid w:val="005F5095"/>
    <w:rsid w:val="005F5153"/>
    <w:rsid w:val="005F5271"/>
    <w:rsid w:val="005F5279"/>
    <w:rsid w:val="005F5280"/>
    <w:rsid w:val="005F52D8"/>
    <w:rsid w:val="005F5358"/>
    <w:rsid w:val="005F53C1"/>
    <w:rsid w:val="005F54B4"/>
    <w:rsid w:val="005F55A2"/>
    <w:rsid w:val="005F573D"/>
    <w:rsid w:val="005F57D8"/>
    <w:rsid w:val="005F5822"/>
    <w:rsid w:val="005F5859"/>
    <w:rsid w:val="005F58AA"/>
    <w:rsid w:val="005F58FC"/>
    <w:rsid w:val="005F5916"/>
    <w:rsid w:val="005F5939"/>
    <w:rsid w:val="005F59A5"/>
    <w:rsid w:val="005F59FA"/>
    <w:rsid w:val="005F5A57"/>
    <w:rsid w:val="005F5A85"/>
    <w:rsid w:val="005F5AD3"/>
    <w:rsid w:val="005F5AF9"/>
    <w:rsid w:val="005F5AFF"/>
    <w:rsid w:val="005F5CA4"/>
    <w:rsid w:val="005F5CFB"/>
    <w:rsid w:val="005F5DFC"/>
    <w:rsid w:val="005F5E5F"/>
    <w:rsid w:val="005F5EF3"/>
    <w:rsid w:val="005F5F24"/>
    <w:rsid w:val="005F5F8A"/>
    <w:rsid w:val="005F5FA1"/>
    <w:rsid w:val="005F617D"/>
    <w:rsid w:val="005F61E9"/>
    <w:rsid w:val="005F6235"/>
    <w:rsid w:val="005F6280"/>
    <w:rsid w:val="005F6616"/>
    <w:rsid w:val="005F66AA"/>
    <w:rsid w:val="005F66D5"/>
    <w:rsid w:val="005F674A"/>
    <w:rsid w:val="005F68E7"/>
    <w:rsid w:val="005F68F8"/>
    <w:rsid w:val="005F6A76"/>
    <w:rsid w:val="005F6B7D"/>
    <w:rsid w:val="005F6C19"/>
    <w:rsid w:val="005F6CB2"/>
    <w:rsid w:val="005F6D33"/>
    <w:rsid w:val="005F6D34"/>
    <w:rsid w:val="005F6D47"/>
    <w:rsid w:val="005F6D85"/>
    <w:rsid w:val="005F6D8E"/>
    <w:rsid w:val="005F6E42"/>
    <w:rsid w:val="005F6EE4"/>
    <w:rsid w:val="005F7035"/>
    <w:rsid w:val="005F7072"/>
    <w:rsid w:val="005F70E4"/>
    <w:rsid w:val="005F7102"/>
    <w:rsid w:val="005F7196"/>
    <w:rsid w:val="005F71C0"/>
    <w:rsid w:val="005F7212"/>
    <w:rsid w:val="005F72AA"/>
    <w:rsid w:val="005F72EA"/>
    <w:rsid w:val="005F7453"/>
    <w:rsid w:val="005F75FB"/>
    <w:rsid w:val="005F776B"/>
    <w:rsid w:val="005F7812"/>
    <w:rsid w:val="005F7871"/>
    <w:rsid w:val="005F79D0"/>
    <w:rsid w:val="005F7A43"/>
    <w:rsid w:val="005F7A56"/>
    <w:rsid w:val="005F7FED"/>
    <w:rsid w:val="005F7FF3"/>
    <w:rsid w:val="0060026A"/>
    <w:rsid w:val="00600285"/>
    <w:rsid w:val="006002FE"/>
    <w:rsid w:val="006003A9"/>
    <w:rsid w:val="00600414"/>
    <w:rsid w:val="0060046D"/>
    <w:rsid w:val="006004E8"/>
    <w:rsid w:val="0060056F"/>
    <w:rsid w:val="0060064C"/>
    <w:rsid w:val="00600702"/>
    <w:rsid w:val="00600762"/>
    <w:rsid w:val="006007A2"/>
    <w:rsid w:val="006007D8"/>
    <w:rsid w:val="006007E9"/>
    <w:rsid w:val="0060088D"/>
    <w:rsid w:val="006008B2"/>
    <w:rsid w:val="0060090A"/>
    <w:rsid w:val="00600936"/>
    <w:rsid w:val="00600BC8"/>
    <w:rsid w:val="00600C47"/>
    <w:rsid w:val="00600CA9"/>
    <w:rsid w:val="00600D6A"/>
    <w:rsid w:val="00600D84"/>
    <w:rsid w:val="00600DC7"/>
    <w:rsid w:val="00600DF1"/>
    <w:rsid w:val="00600E1B"/>
    <w:rsid w:val="00600EA6"/>
    <w:rsid w:val="00600FB9"/>
    <w:rsid w:val="00601016"/>
    <w:rsid w:val="0060107A"/>
    <w:rsid w:val="006010EF"/>
    <w:rsid w:val="00601111"/>
    <w:rsid w:val="00601136"/>
    <w:rsid w:val="0060124D"/>
    <w:rsid w:val="0060126B"/>
    <w:rsid w:val="00601280"/>
    <w:rsid w:val="006013DF"/>
    <w:rsid w:val="006013FD"/>
    <w:rsid w:val="0060158D"/>
    <w:rsid w:val="006015BC"/>
    <w:rsid w:val="00601711"/>
    <w:rsid w:val="00601751"/>
    <w:rsid w:val="00601892"/>
    <w:rsid w:val="0060195E"/>
    <w:rsid w:val="00601A78"/>
    <w:rsid w:val="00601A9F"/>
    <w:rsid w:val="00601B51"/>
    <w:rsid w:val="00601D3C"/>
    <w:rsid w:val="00601F8C"/>
    <w:rsid w:val="00601FF3"/>
    <w:rsid w:val="006020D8"/>
    <w:rsid w:val="006021EB"/>
    <w:rsid w:val="006022A4"/>
    <w:rsid w:val="0060252B"/>
    <w:rsid w:val="00602700"/>
    <w:rsid w:val="0060277A"/>
    <w:rsid w:val="006028D4"/>
    <w:rsid w:val="0060295C"/>
    <w:rsid w:val="00602B55"/>
    <w:rsid w:val="00602B6E"/>
    <w:rsid w:val="00602B9A"/>
    <w:rsid w:val="00602C57"/>
    <w:rsid w:val="00602C75"/>
    <w:rsid w:val="00602C8C"/>
    <w:rsid w:val="00602CC1"/>
    <w:rsid w:val="00602E25"/>
    <w:rsid w:val="00602ED2"/>
    <w:rsid w:val="00602FB9"/>
    <w:rsid w:val="00602FDD"/>
    <w:rsid w:val="00603050"/>
    <w:rsid w:val="0060309A"/>
    <w:rsid w:val="006030F2"/>
    <w:rsid w:val="006034FC"/>
    <w:rsid w:val="00603611"/>
    <w:rsid w:val="00603679"/>
    <w:rsid w:val="00603713"/>
    <w:rsid w:val="00603738"/>
    <w:rsid w:val="00603768"/>
    <w:rsid w:val="006038A6"/>
    <w:rsid w:val="0060392E"/>
    <w:rsid w:val="0060398C"/>
    <w:rsid w:val="0060399A"/>
    <w:rsid w:val="00603D2B"/>
    <w:rsid w:val="00603D34"/>
    <w:rsid w:val="00603D50"/>
    <w:rsid w:val="00603DDC"/>
    <w:rsid w:val="00603DFE"/>
    <w:rsid w:val="00603ECE"/>
    <w:rsid w:val="00603EDE"/>
    <w:rsid w:val="00603F0D"/>
    <w:rsid w:val="00604058"/>
    <w:rsid w:val="00604110"/>
    <w:rsid w:val="006041AB"/>
    <w:rsid w:val="006041C9"/>
    <w:rsid w:val="00604270"/>
    <w:rsid w:val="006043D5"/>
    <w:rsid w:val="006043FC"/>
    <w:rsid w:val="00604427"/>
    <w:rsid w:val="00604588"/>
    <w:rsid w:val="00604779"/>
    <w:rsid w:val="00604794"/>
    <w:rsid w:val="006047AE"/>
    <w:rsid w:val="006048E4"/>
    <w:rsid w:val="00604977"/>
    <w:rsid w:val="00604981"/>
    <w:rsid w:val="00604AA5"/>
    <w:rsid w:val="00604C47"/>
    <w:rsid w:val="00604D5C"/>
    <w:rsid w:val="00604D96"/>
    <w:rsid w:val="00604DBA"/>
    <w:rsid w:val="00604DD4"/>
    <w:rsid w:val="00604E3F"/>
    <w:rsid w:val="00604EE7"/>
    <w:rsid w:val="00604EE9"/>
    <w:rsid w:val="00604F0C"/>
    <w:rsid w:val="00604F46"/>
    <w:rsid w:val="0060507C"/>
    <w:rsid w:val="00605103"/>
    <w:rsid w:val="006051EF"/>
    <w:rsid w:val="00605288"/>
    <w:rsid w:val="006052D6"/>
    <w:rsid w:val="006053DC"/>
    <w:rsid w:val="00605458"/>
    <w:rsid w:val="0060548D"/>
    <w:rsid w:val="00605524"/>
    <w:rsid w:val="006055B5"/>
    <w:rsid w:val="006055C3"/>
    <w:rsid w:val="006055CF"/>
    <w:rsid w:val="006055EE"/>
    <w:rsid w:val="00605746"/>
    <w:rsid w:val="00605766"/>
    <w:rsid w:val="00605773"/>
    <w:rsid w:val="006057C2"/>
    <w:rsid w:val="0060582A"/>
    <w:rsid w:val="00605859"/>
    <w:rsid w:val="00605899"/>
    <w:rsid w:val="00605969"/>
    <w:rsid w:val="00605A30"/>
    <w:rsid w:val="00605C77"/>
    <w:rsid w:val="00605CC3"/>
    <w:rsid w:val="00605EE5"/>
    <w:rsid w:val="00605F30"/>
    <w:rsid w:val="00605FA4"/>
    <w:rsid w:val="00606003"/>
    <w:rsid w:val="00606032"/>
    <w:rsid w:val="00606275"/>
    <w:rsid w:val="006062B3"/>
    <w:rsid w:val="006062F5"/>
    <w:rsid w:val="006065D6"/>
    <w:rsid w:val="00606627"/>
    <w:rsid w:val="00606696"/>
    <w:rsid w:val="006067BB"/>
    <w:rsid w:val="006067E2"/>
    <w:rsid w:val="006067E8"/>
    <w:rsid w:val="006067F7"/>
    <w:rsid w:val="00606800"/>
    <w:rsid w:val="0060692E"/>
    <w:rsid w:val="00606989"/>
    <w:rsid w:val="006069DE"/>
    <w:rsid w:val="00606A01"/>
    <w:rsid w:val="00606B1C"/>
    <w:rsid w:val="00606CF7"/>
    <w:rsid w:val="00606E9D"/>
    <w:rsid w:val="00606F47"/>
    <w:rsid w:val="00606F71"/>
    <w:rsid w:val="00606FD4"/>
    <w:rsid w:val="00607034"/>
    <w:rsid w:val="006070E0"/>
    <w:rsid w:val="006071EE"/>
    <w:rsid w:val="006073AC"/>
    <w:rsid w:val="006074F8"/>
    <w:rsid w:val="006075A3"/>
    <w:rsid w:val="006075CA"/>
    <w:rsid w:val="0060767A"/>
    <w:rsid w:val="006076B0"/>
    <w:rsid w:val="00607765"/>
    <w:rsid w:val="006079AE"/>
    <w:rsid w:val="00607A1A"/>
    <w:rsid w:val="00607A27"/>
    <w:rsid w:val="00607A89"/>
    <w:rsid w:val="00607B3A"/>
    <w:rsid w:val="00607B49"/>
    <w:rsid w:val="00607B4B"/>
    <w:rsid w:val="00607BA2"/>
    <w:rsid w:val="00607BE0"/>
    <w:rsid w:val="00607C1A"/>
    <w:rsid w:val="00607C3A"/>
    <w:rsid w:val="00607D03"/>
    <w:rsid w:val="00607D91"/>
    <w:rsid w:val="00607DA1"/>
    <w:rsid w:val="00607DC5"/>
    <w:rsid w:val="00607F36"/>
    <w:rsid w:val="00607F89"/>
    <w:rsid w:val="00607F9F"/>
    <w:rsid w:val="00610019"/>
    <w:rsid w:val="00610173"/>
    <w:rsid w:val="00610190"/>
    <w:rsid w:val="0061040E"/>
    <w:rsid w:val="0061044E"/>
    <w:rsid w:val="0061045C"/>
    <w:rsid w:val="00610461"/>
    <w:rsid w:val="00610499"/>
    <w:rsid w:val="006104CE"/>
    <w:rsid w:val="006104D8"/>
    <w:rsid w:val="00610573"/>
    <w:rsid w:val="006105BD"/>
    <w:rsid w:val="006105C8"/>
    <w:rsid w:val="006105EB"/>
    <w:rsid w:val="00610687"/>
    <w:rsid w:val="006106F0"/>
    <w:rsid w:val="00610885"/>
    <w:rsid w:val="0061094B"/>
    <w:rsid w:val="00610A31"/>
    <w:rsid w:val="00610C82"/>
    <w:rsid w:val="00610D2F"/>
    <w:rsid w:val="00610D9F"/>
    <w:rsid w:val="00610E36"/>
    <w:rsid w:val="00610E78"/>
    <w:rsid w:val="00610E9F"/>
    <w:rsid w:val="00610EF8"/>
    <w:rsid w:val="00611097"/>
    <w:rsid w:val="006111D1"/>
    <w:rsid w:val="0061143B"/>
    <w:rsid w:val="006115C5"/>
    <w:rsid w:val="00611604"/>
    <w:rsid w:val="006116B3"/>
    <w:rsid w:val="006117CB"/>
    <w:rsid w:val="006118D8"/>
    <w:rsid w:val="00611918"/>
    <w:rsid w:val="0061198A"/>
    <w:rsid w:val="00611991"/>
    <w:rsid w:val="00611A19"/>
    <w:rsid w:val="00611AC7"/>
    <w:rsid w:val="00611B40"/>
    <w:rsid w:val="00611C2D"/>
    <w:rsid w:val="00611D8D"/>
    <w:rsid w:val="00611D94"/>
    <w:rsid w:val="00611DEF"/>
    <w:rsid w:val="00611E52"/>
    <w:rsid w:val="00611F2E"/>
    <w:rsid w:val="00611F38"/>
    <w:rsid w:val="00611FD3"/>
    <w:rsid w:val="0061200D"/>
    <w:rsid w:val="0061202C"/>
    <w:rsid w:val="0061203A"/>
    <w:rsid w:val="006120BE"/>
    <w:rsid w:val="006120D7"/>
    <w:rsid w:val="006121DE"/>
    <w:rsid w:val="006124A4"/>
    <w:rsid w:val="00612501"/>
    <w:rsid w:val="0061259D"/>
    <w:rsid w:val="006126A3"/>
    <w:rsid w:val="006126DF"/>
    <w:rsid w:val="006127AB"/>
    <w:rsid w:val="006127D2"/>
    <w:rsid w:val="00612868"/>
    <w:rsid w:val="00612875"/>
    <w:rsid w:val="00612884"/>
    <w:rsid w:val="006128CE"/>
    <w:rsid w:val="00612984"/>
    <w:rsid w:val="00612985"/>
    <w:rsid w:val="006129C2"/>
    <w:rsid w:val="00612A28"/>
    <w:rsid w:val="00612A80"/>
    <w:rsid w:val="00612BFE"/>
    <w:rsid w:val="00612CFD"/>
    <w:rsid w:val="00612DED"/>
    <w:rsid w:val="00612E66"/>
    <w:rsid w:val="00612F2C"/>
    <w:rsid w:val="00612FDF"/>
    <w:rsid w:val="0061307A"/>
    <w:rsid w:val="006130CD"/>
    <w:rsid w:val="006132DA"/>
    <w:rsid w:val="0061333D"/>
    <w:rsid w:val="0061347F"/>
    <w:rsid w:val="006135F0"/>
    <w:rsid w:val="006136E0"/>
    <w:rsid w:val="006137D5"/>
    <w:rsid w:val="00613975"/>
    <w:rsid w:val="006139C5"/>
    <w:rsid w:val="006139D5"/>
    <w:rsid w:val="00613B15"/>
    <w:rsid w:val="00613B3C"/>
    <w:rsid w:val="00613B9D"/>
    <w:rsid w:val="00613D2E"/>
    <w:rsid w:val="00613E8A"/>
    <w:rsid w:val="0061413D"/>
    <w:rsid w:val="006141BA"/>
    <w:rsid w:val="00614357"/>
    <w:rsid w:val="00614364"/>
    <w:rsid w:val="006144B0"/>
    <w:rsid w:val="006144BE"/>
    <w:rsid w:val="006145AD"/>
    <w:rsid w:val="0061463F"/>
    <w:rsid w:val="006146EF"/>
    <w:rsid w:val="006147BC"/>
    <w:rsid w:val="006148E9"/>
    <w:rsid w:val="006149EF"/>
    <w:rsid w:val="006149F9"/>
    <w:rsid w:val="00614B20"/>
    <w:rsid w:val="00614BD9"/>
    <w:rsid w:val="00614C6C"/>
    <w:rsid w:val="00614DBF"/>
    <w:rsid w:val="00614E2D"/>
    <w:rsid w:val="00614EA3"/>
    <w:rsid w:val="00614EBB"/>
    <w:rsid w:val="00614ED3"/>
    <w:rsid w:val="00614FBF"/>
    <w:rsid w:val="0061522B"/>
    <w:rsid w:val="00615260"/>
    <w:rsid w:val="0061528F"/>
    <w:rsid w:val="006152A7"/>
    <w:rsid w:val="006152E8"/>
    <w:rsid w:val="006153DE"/>
    <w:rsid w:val="00615442"/>
    <w:rsid w:val="006154CD"/>
    <w:rsid w:val="00615529"/>
    <w:rsid w:val="0061553D"/>
    <w:rsid w:val="0061568B"/>
    <w:rsid w:val="006156A5"/>
    <w:rsid w:val="00615748"/>
    <w:rsid w:val="006157AE"/>
    <w:rsid w:val="006157B7"/>
    <w:rsid w:val="006158AC"/>
    <w:rsid w:val="006158F5"/>
    <w:rsid w:val="006158FA"/>
    <w:rsid w:val="00615A7B"/>
    <w:rsid w:val="00615A7D"/>
    <w:rsid w:val="00615B39"/>
    <w:rsid w:val="00615B81"/>
    <w:rsid w:val="00615BC7"/>
    <w:rsid w:val="00615D09"/>
    <w:rsid w:val="00615D69"/>
    <w:rsid w:val="00615E0E"/>
    <w:rsid w:val="00615E17"/>
    <w:rsid w:val="00615E9A"/>
    <w:rsid w:val="00615E9C"/>
    <w:rsid w:val="00615EDF"/>
    <w:rsid w:val="00615F5A"/>
    <w:rsid w:val="0061608B"/>
    <w:rsid w:val="006160B0"/>
    <w:rsid w:val="006160E0"/>
    <w:rsid w:val="0061614E"/>
    <w:rsid w:val="00616156"/>
    <w:rsid w:val="00616209"/>
    <w:rsid w:val="0061623E"/>
    <w:rsid w:val="00616248"/>
    <w:rsid w:val="006163AD"/>
    <w:rsid w:val="006163EA"/>
    <w:rsid w:val="00616423"/>
    <w:rsid w:val="006164E4"/>
    <w:rsid w:val="00616559"/>
    <w:rsid w:val="00616616"/>
    <w:rsid w:val="0061670C"/>
    <w:rsid w:val="0061672D"/>
    <w:rsid w:val="00616763"/>
    <w:rsid w:val="00616879"/>
    <w:rsid w:val="006168F1"/>
    <w:rsid w:val="00616914"/>
    <w:rsid w:val="006169F9"/>
    <w:rsid w:val="00616C34"/>
    <w:rsid w:val="00616C71"/>
    <w:rsid w:val="00616C9E"/>
    <w:rsid w:val="00616CEF"/>
    <w:rsid w:val="00616EE9"/>
    <w:rsid w:val="00616F79"/>
    <w:rsid w:val="006170BA"/>
    <w:rsid w:val="006170DD"/>
    <w:rsid w:val="00617148"/>
    <w:rsid w:val="006171D1"/>
    <w:rsid w:val="006171EE"/>
    <w:rsid w:val="006172DB"/>
    <w:rsid w:val="006172FE"/>
    <w:rsid w:val="006175A5"/>
    <w:rsid w:val="006175E9"/>
    <w:rsid w:val="00617762"/>
    <w:rsid w:val="0061778F"/>
    <w:rsid w:val="0061779C"/>
    <w:rsid w:val="00617800"/>
    <w:rsid w:val="00617816"/>
    <w:rsid w:val="00617951"/>
    <w:rsid w:val="00617A07"/>
    <w:rsid w:val="00617A35"/>
    <w:rsid w:val="00617AC6"/>
    <w:rsid w:val="00617B14"/>
    <w:rsid w:val="00617B82"/>
    <w:rsid w:val="00617BE1"/>
    <w:rsid w:val="00617C3D"/>
    <w:rsid w:val="00617CB4"/>
    <w:rsid w:val="00617CC8"/>
    <w:rsid w:val="00617E5D"/>
    <w:rsid w:val="00617E84"/>
    <w:rsid w:val="00617EA1"/>
    <w:rsid w:val="00617EBB"/>
    <w:rsid w:val="00617F8E"/>
    <w:rsid w:val="00620175"/>
    <w:rsid w:val="00620178"/>
    <w:rsid w:val="0062017B"/>
    <w:rsid w:val="006201A8"/>
    <w:rsid w:val="00620392"/>
    <w:rsid w:val="0062041C"/>
    <w:rsid w:val="00620489"/>
    <w:rsid w:val="006204FD"/>
    <w:rsid w:val="00620516"/>
    <w:rsid w:val="00620575"/>
    <w:rsid w:val="00620580"/>
    <w:rsid w:val="006205CB"/>
    <w:rsid w:val="00620688"/>
    <w:rsid w:val="006207E6"/>
    <w:rsid w:val="006207F1"/>
    <w:rsid w:val="00620838"/>
    <w:rsid w:val="00620888"/>
    <w:rsid w:val="00620963"/>
    <w:rsid w:val="00620970"/>
    <w:rsid w:val="006209D2"/>
    <w:rsid w:val="00620B04"/>
    <w:rsid w:val="00620BA2"/>
    <w:rsid w:val="00620D16"/>
    <w:rsid w:val="00620E23"/>
    <w:rsid w:val="00620E5B"/>
    <w:rsid w:val="00620EB8"/>
    <w:rsid w:val="00620F72"/>
    <w:rsid w:val="00620F96"/>
    <w:rsid w:val="00620FB8"/>
    <w:rsid w:val="00620FD2"/>
    <w:rsid w:val="0062104D"/>
    <w:rsid w:val="006210F0"/>
    <w:rsid w:val="006211A2"/>
    <w:rsid w:val="00621252"/>
    <w:rsid w:val="00621264"/>
    <w:rsid w:val="00621382"/>
    <w:rsid w:val="006213BD"/>
    <w:rsid w:val="006213EA"/>
    <w:rsid w:val="0062157C"/>
    <w:rsid w:val="006215A9"/>
    <w:rsid w:val="0062162A"/>
    <w:rsid w:val="00621654"/>
    <w:rsid w:val="006217FC"/>
    <w:rsid w:val="00621864"/>
    <w:rsid w:val="0062186E"/>
    <w:rsid w:val="006218F6"/>
    <w:rsid w:val="00621915"/>
    <w:rsid w:val="006219DE"/>
    <w:rsid w:val="00621AE9"/>
    <w:rsid w:val="00621F1C"/>
    <w:rsid w:val="00622056"/>
    <w:rsid w:val="006220A6"/>
    <w:rsid w:val="00622144"/>
    <w:rsid w:val="006221B7"/>
    <w:rsid w:val="0062224B"/>
    <w:rsid w:val="006222E8"/>
    <w:rsid w:val="00622373"/>
    <w:rsid w:val="006223CE"/>
    <w:rsid w:val="006223ED"/>
    <w:rsid w:val="00622462"/>
    <w:rsid w:val="006224D7"/>
    <w:rsid w:val="0062250D"/>
    <w:rsid w:val="00622672"/>
    <w:rsid w:val="0062267F"/>
    <w:rsid w:val="006227F5"/>
    <w:rsid w:val="006228B9"/>
    <w:rsid w:val="006228C4"/>
    <w:rsid w:val="006228CD"/>
    <w:rsid w:val="006228E6"/>
    <w:rsid w:val="00622A9D"/>
    <w:rsid w:val="00622BBE"/>
    <w:rsid w:val="00622C7D"/>
    <w:rsid w:val="00622D5E"/>
    <w:rsid w:val="00622E5E"/>
    <w:rsid w:val="00622ECA"/>
    <w:rsid w:val="00622F35"/>
    <w:rsid w:val="00623180"/>
    <w:rsid w:val="00623212"/>
    <w:rsid w:val="0062321E"/>
    <w:rsid w:val="0062324C"/>
    <w:rsid w:val="006233B4"/>
    <w:rsid w:val="00623452"/>
    <w:rsid w:val="006234A2"/>
    <w:rsid w:val="0062351C"/>
    <w:rsid w:val="006235F0"/>
    <w:rsid w:val="006236F9"/>
    <w:rsid w:val="0062372A"/>
    <w:rsid w:val="0062373E"/>
    <w:rsid w:val="0062377A"/>
    <w:rsid w:val="00623823"/>
    <w:rsid w:val="00623858"/>
    <w:rsid w:val="0062387B"/>
    <w:rsid w:val="00623898"/>
    <w:rsid w:val="00623984"/>
    <w:rsid w:val="00623996"/>
    <w:rsid w:val="006239A2"/>
    <w:rsid w:val="00623A02"/>
    <w:rsid w:val="00623A46"/>
    <w:rsid w:val="00623AFD"/>
    <w:rsid w:val="00623B41"/>
    <w:rsid w:val="00623C10"/>
    <w:rsid w:val="00623CC0"/>
    <w:rsid w:val="00623DBC"/>
    <w:rsid w:val="00623DDD"/>
    <w:rsid w:val="00623E1F"/>
    <w:rsid w:val="00623EE2"/>
    <w:rsid w:val="00623F12"/>
    <w:rsid w:val="0062414D"/>
    <w:rsid w:val="0062418F"/>
    <w:rsid w:val="0062458B"/>
    <w:rsid w:val="00624600"/>
    <w:rsid w:val="006247A9"/>
    <w:rsid w:val="00624882"/>
    <w:rsid w:val="006249CA"/>
    <w:rsid w:val="006249E8"/>
    <w:rsid w:val="00624A31"/>
    <w:rsid w:val="00624A8F"/>
    <w:rsid w:val="00624B80"/>
    <w:rsid w:val="00624B81"/>
    <w:rsid w:val="00624B9F"/>
    <w:rsid w:val="00624BFC"/>
    <w:rsid w:val="00624C27"/>
    <w:rsid w:val="00624C5D"/>
    <w:rsid w:val="00624C6E"/>
    <w:rsid w:val="00624E32"/>
    <w:rsid w:val="00624E60"/>
    <w:rsid w:val="00624EA9"/>
    <w:rsid w:val="00624EB1"/>
    <w:rsid w:val="00624EB9"/>
    <w:rsid w:val="00624F6E"/>
    <w:rsid w:val="00624FB5"/>
    <w:rsid w:val="00624FF8"/>
    <w:rsid w:val="0062504B"/>
    <w:rsid w:val="0062506D"/>
    <w:rsid w:val="00625356"/>
    <w:rsid w:val="006253F2"/>
    <w:rsid w:val="0062543A"/>
    <w:rsid w:val="006254AE"/>
    <w:rsid w:val="00625501"/>
    <w:rsid w:val="00625570"/>
    <w:rsid w:val="0062562C"/>
    <w:rsid w:val="00625676"/>
    <w:rsid w:val="006256B9"/>
    <w:rsid w:val="0062570D"/>
    <w:rsid w:val="00625713"/>
    <w:rsid w:val="00625755"/>
    <w:rsid w:val="00625796"/>
    <w:rsid w:val="006257F0"/>
    <w:rsid w:val="00625873"/>
    <w:rsid w:val="006258EC"/>
    <w:rsid w:val="0062590A"/>
    <w:rsid w:val="006259FE"/>
    <w:rsid w:val="00625B80"/>
    <w:rsid w:val="00625C34"/>
    <w:rsid w:val="00625C75"/>
    <w:rsid w:val="00625C99"/>
    <w:rsid w:val="00625CB1"/>
    <w:rsid w:val="00625DE6"/>
    <w:rsid w:val="00625F24"/>
    <w:rsid w:val="00625F41"/>
    <w:rsid w:val="00625FC3"/>
    <w:rsid w:val="006261E1"/>
    <w:rsid w:val="00626228"/>
    <w:rsid w:val="00626298"/>
    <w:rsid w:val="006262EC"/>
    <w:rsid w:val="006263C4"/>
    <w:rsid w:val="00626476"/>
    <w:rsid w:val="00626482"/>
    <w:rsid w:val="0062649E"/>
    <w:rsid w:val="006264A1"/>
    <w:rsid w:val="006265BB"/>
    <w:rsid w:val="0062680D"/>
    <w:rsid w:val="0062681A"/>
    <w:rsid w:val="006269A3"/>
    <w:rsid w:val="00626A6E"/>
    <w:rsid w:val="00626B00"/>
    <w:rsid w:val="00626C5D"/>
    <w:rsid w:val="00626C92"/>
    <w:rsid w:val="00626F6E"/>
    <w:rsid w:val="00627017"/>
    <w:rsid w:val="00627026"/>
    <w:rsid w:val="0062703B"/>
    <w:rsid w:val="00627096"/>
    <w:rsid w:val="00627151"/>
    <w:rsid w:val="00627208"/>
    <w:rsid w:val="006272AF"/>
    <w:rsid w:val="006272BB"/>
    <w:rsid w:val="006272EC"/>
    <w:rsid w:val="0062746E"/>
    <w:rsid w:val="0062773C"/>
    <w:rsid w:val="00627775"/>
    <w:rsid w:val="0062787E"/>
    <w:rsid w:val="006278BC"/>
    <w:rsid w:val="00627964"/>
    <w:rsid w:val="006279FA"/>
    <w:rsid w:val="006279FC"/>
    <w:rsid w:val="00627A00"/>
    <w:rsid w:val="00627A42"/>
    <w:rsid w:val="00627CAA"/>
    <w:rsid w:val="00627D8B"/>
    <w:rsid w:val="00627E3F"/>
    <w:rsid w:val="00627E6F"/>
    <w:rsid w:val="00627E94"/>
    <w:rsid w:val="00627EEA"/>
    <w:rsid w:val="00627F4D"/>
    <w:rsid w:val="006300D5"/>
    <w:rsid w:val="0063010B"/>
    <w:rsid w:val="00630110"/>
    <w:rsid w:val="00630137"/>
    <w:rsid w:val="0063039B"/>
    <w:rsid w:val="00630446"/>
    <w:rsid w:val="006304C9"/>
    <w:rsid w:val="00630596"/>
    <w:rsid w:val="006305AC"/>
    <w:rsid w:val="00630717"/>
    <w:rsid w:val="00630752"/>
    <w:rsid w:val="00630900"/>
    <w:rsid w:val="0063090A"/>
    <w:rsid w:val="00630982"/>
    <w:rsid w:val="00630A0E"/>
    <w:rsid w:val="00630A63"/>
    <w:rsid w:val="00630AAE"/>
    <w:rsid w:val="00630AFF"/>
    <w:rsid w:val="00630B86"/>
    <w:rsid w:val="00630B94"/>
    <w:rsid w:val="00630C24"/>
    <w:rsid w:val="00630CBF"/>
    <w:rsid w:val="00630D08"/>
    <w:rsid w:val="00630E6A"/>
    <w:rsid w:val="00630E6B"/>
    <w:rsid w:val="00630EE4"/>
    <w:rsid w:val="00630FBE"/>
    <w:rsid w:val="00630FED"/>
    <w:rsid w:val="0063114E"/>
    <w:rsid w:val="00631262"/>
    <w:rsid w:val="006312FF"/>
    <w:rsid w:val="00631347"/>
    <w:rsid w:val="0063140D"/>
    <w:rsid w:val="00631637"/>
    <w:rsid w:val="00631643"/>
    <w:rsid w:val="00631687"/>
    <w:rsid w:val="0063180F"/>
    <w:rsid w:val="0063182F"/>
    <w:rsid w:val="00631892"/>
    <w:rsid w:val="006318A4"/>
    <w:rsid w:val="00631928"/>
    <w:rsid w:val="00631993"/>
    <w:rsid w:val="00631B52"/>
    <w:rsid w:val="00631BC5"/>
    <w:rsid w:val="00631BE0"/>
    <w:rsid w:val="00631C29"/>
    <w:rsid w:val="00631CFE"/>
    <w:rsid w:val="00631D05"/>
    <w:rsid w:val="00631D3F"/>
    <w:rsid w:val="00631DD6"/>
    <w:rsid w:val="00631E10"/>
    <w:rsid w:val="00631EF3"/>
    <w:rsid w:val="00631F04"/>
    <w:rsid w:val="00631FEE"/>
    <w:rsid w:val="0063201D"/>
    <w:rsid w:val="00632084"/>
    <w:rsid w:val="00632110"/>
    <w:rsid w:val="0063213C"/>
    <w:rsid w:val="006321B4"/>
    <w:rsid w:val="00632209"/>
    <w:rsid w:val="00632261"/>
    <w:rsid w:val="0063230F"/>
    <w:rsid w:val="0063233B"/>
    <w:rsid w:val="006323DE"/>
    <w:rsid w:val="00632412"/>
    <w:rsid w:val="00632537"/>
    <w:rsid w:val="00632550"/>
    <w:rsid w:val="00632583"/>
    <w:rsid w:val="00632697"/>
    <w:rsid w:val="00632775"/>
    <w:rsid w:val="006327C2"/>
    <w:rsid w:val="006327F6"/>
    <w:rsid w:val="00632812"/>
    <w:rsid w:val="006328CF"/>
    <w:rsid w:val="0063292E"/>
    <w:rsid w:val="00632994"/>
    <w:rsid w:val="006329C7"/>
    <w:rsid w:val="006329CB"/>
    <w:rsid w:val="00632A79"/>
    <w:rsid w:val="00632B72"/>
    <w:rsid w:val="00632BCC"/>
    <w:rsid w:val="00632C14"/>
    <w:rsid w:val="00632C33"/>
    <w:rsid w:val="00632C53"/>
    <w:rsid w:val="00632C5E"/>
    <w:rsid w:val="00632CCD"/>
    <w:rsid w:val="00632CF8"/>
    <w:rsid w:val="00632D80"/>
    <w:rsid w:val="00632F36"/>
    <w:rsid w:val="00632FC6"/>
    <w:rsid w:val="006330BC"/>
    <w:rsid w:val="006331ED"/>
    <w:rsid w:val="00633213"/>
    <w:rsid w:val="006333D2"/>
    <w:rsid w:val="00633571"/>
    <w:rsid w:val="006335A4"/>
    <w:rsid w:val="00633698"/>
    <w:rsid w:val="006336EC"/>
    <w:rsid w:val="0063386E"/>
    <w:rsid w:val="006338DB"/>
    <w:rsid w:val="006338FF"/>
    <w:rsid w:val="0063396C"/>
    <w:rsid w:val="00633988"/>
    <w:rsid w:val="00633B19"/>
    <w:rsid w:val="00633B56"/>
    <w:rsid w:val="00633BF5"/>
    <w:rsid w:val="00633C56"/>
    <w:rsid w:val="00633C95"/>
    <w:rsid w:val="00633D14"/>
    <w:rsid w:val="00633D27"/>
    <w:rsid w:val="00633D74"/>
    <w:rsid w:val="00633DA0"/>
    <w:rsid w:val="00633E7C"/>
    <w:rsid w:val="00633F07"/>
    <w:rsid w:val="00633FAC"/>
    <w:rsid w:val="0063403E"/>
    <w:rsid w:val="006340D8"/>
    <w:rsid w:val="006340FC"/>
    <w:rsid w:val="006342D7"/>
    <w:rsid w:val="00634329"/>
    <w:rsid w:val="006343B4"/>
    <w:rsid w:val="0063451E"/>
    <w:rsid w:val="00634559"/>
    <w:rsid w:val="00634630"/>
    <w:rsid w:val="006346ED"/>
    <w:rsid w:val="00634723"/>
    <w:rsid w:val="00634729"/>
    <w:rsid w:val="00634765"/>
    <w:rsid w:val="006347D7"/>
    <w:rsid w:val="0063483D"/>
    <w:rsid w:val="00634892"/>
    <w:rsid w:val="006348C9"/>
    <w:rsid w:val="0063496D"/>
    <w:rsid w:val="00634991"/>
    <w:rsid w:val="00634A2F"/>
    <w:rsid w:val="00634A30"/>
    <w:rsid w:val="00634A66"/>
    <w:rsid w:val="00634AD5"/>
    <w:rsid w:val="00634AE2"/>
    <w:rsid w:val="00634E48"/>
    <w:rsid w:val="00634EA2"/>
    <w:rsid w:val="00634FA2"/>
    <w:rsid w:val="00634FDF"/>
    <w:rsid w:val="0063501D"/>
    <w:rsid w:val="0063511F"/>
    <w:rsid w:val="00635129"/>
    <w:rsid w:val="0063516C"/>
    <w:rsid w:val="006351FA"/>
    <w:rsid w:val="00635243"/>
    <w:rsid w:val="0063525F"/>
    <w:rsid w:val="00635389"/>
    <w:rsid w:val="00635392"/>
    <w:rsid w:val="006353A2"/>
    <w:rsid w:val="006353DD"/>
    <w:rsid w:val="00635480"/>
    <w:rsid w:val="00635492"/>
    <w:rsid w:val="006355D6"/>
    <w:rsid w:val="006355EA"/>
    <w:rsid w:val="00635614"/>
    <w:rsid w:val="00635636"/>
    <w:rsid w:val="006356F0"/>
    <w:rsid w:val="006358E5"/>
    <w:rsid w:val="00635981"/>
    <w:rsid w:val="00635A30"/>
    <w:rsid w:val="00635A51"/>
    <w:rsid w:val="00635B81"/>
    <w:rsid w:val="00635CDF"/>
    <w:rsid w:val="00635F5A"/>
    <w:rsid w:val="00635F92"/>
    <w:rsid w:val="006360D6"/>
    <w:rsid w:val="0063613B"/>
    <w:rsid w:val="0063616D"/>
    <w:rsid w:val="00636202"/>
    <w:rsid w:val="00636209"/>
    <w:rsid w:val="006363B5"/>
    <w:rsid w:val="00636563"/>
    <w:rsid w:val="006366D4"/>
    <w:rsid w:val="006366E5"/>
    <w:rsid w:val="006366E6"/>
    <w:rsid w:val="00636714"/>
    <w:rsid w:val="006368AC"/>
    <w:rsid w:val="006369A4"/>
    <w:rsid w:val="00636ACF"/>
    <w:rsid w:val="00636B94"/>
    <w:rsid w:val="00636BC9"/>
    <w:rsid w:val="00636BF4"/>
    <w:rsid w:val="00636CCA"/>
    <w:rsid w:val="00636CDC"/>
    <w:rsid w:val="00636CF9"/>
    <w:rsid w:val="00636D03"/>
    <w:rsid w:val="0063712D"/>
    <w:rsid w:val="00637383"/>
    <w:rsid w:val="006373D6"/>
    <w:rsid w:val="006374C5"/>
    <w:rsid w:val="006374FB"/>
    <w:rsid w:val="00637603"/>
    <w:rsid w:val="006377CF"/>
    <w:rsid w:val="006377FD"/>
    <w:rsid w:val="00637892"/>
    <w:rsid w:val="006378A9"/>
    <w:rsid w:val="00637912"/>
    <w:rsid w:val="00637964"/>
    <w:rsid w:val="006379C7"/>
    <w:rsid w:val="00637A48"/>
    <w:rsid w:val="00637A59"/>
    <w:rsid w:val="00637B1F"/>
    <w:rsid w:val="00637C27"/>
    <w:rsid w:val="00637D87"/>
    <w:rsid w:val="00637EDC"/>
    <w:rsid w:val="00640140"/>
    <w:rsid w:val="006402AE"/>
    <w:rsid w:val="006402B6"/>
    <w:rsid w:val="006402F2"/>
    <w:rsid w:val="00640391"/>
    <w:rsid w:val="00640474"/>
    <w:rsid w:val="006404C1"/>
    <w:rsid w:val="00640575"/>
    <w:rsid w:val="00640669"/>
    <w:rsid w:val="006406EB"/>
    <w:rsid w:val="006408A6"/>
    <w:rsid w:val="0064091C"/>
    <w:rsid w:val="0064094F"/>
    <w:rsid w:val="0064099A"/>
    <w:rsid w:val="006409BA"/>
    <w:rsid w:val="00640C54"/>
    <w:rsid w:val="00640C7B"/>
    <w:rsid w:val="00640C9A"/>
    <w:rsid w:val="00640D24"/>
    <w:rsid w:val="00640D42"/>
    <w:rsid w:val="00640DAB"/>
    <w:rsid w:val="00640E81"/>
    <w:rsid w:val="00640F10"/>
    <w:rsid w:val="00640F82"/>
    <w:rsid w:val="00640FE7"/>
    <w:rsid w:val="006410B3"/>
    <w:rsid w:val="006410F4"/>
    <w:rsid w:val="0064122B"/>
    <w:rsid w:val="00641300"/>
    <w:rsid w:val="00641391"/>
    <w:rsid w:val="0064141E"/>
    <w:rsid w:val="006414B1"/>
    <w:rsid w:val="006415DB"/>
    <w:rsid w:val="00641607"/>
    <w:rsid w:val="006416D6"/>
    <w:rsid w:val="006416F4"/>
    <w:rsid w:val="00641716"/>
    <w:rsid w:val="00641845"/>
    <w:rsid w:val="006418B5"/>
    <w:rsid w:val="00641926"/>
    <w:rsid w:val="00641999"/>
    <w:rsid w:val="006419A5"/>
    <w:rsid w:val="006419DD"/>
    <w:rsid w:val="00641B0F"/>
    <w:rsid w:val="00641C0B"/>
    <w:rsid w:val="00641C1F"/>
    <w:rsid w:val="00641CF1"/>
    <w:rsid w:val="00641D36"/>
    <w:rsid w:val="00641D44"/>
    <w:rsid w:val="00641D81"/>
    <w:rsid w:val="00641E3D"/>
    <w:rsid w:val="00642062"/>
    <w:rsid w:val="00642094"/>
    <w:rsid w:val="0064220F"/>
    <w:rsid w:val="00642420"/>
    <w:rsid w:val="0064254A"/>
    <w:rsid w:val="00642554"/>
    <w:rsid w:val="00642614"/>
    <w:rsid w:val="0064270F"/>
    <w:rsid w:val="00642800"/>
    <w:rsid w:val="0064281E"/>
    <w:rsid w:val="00642912"/>
    <w:rsid w:val="00642972"/>
    <w:rsid w:val="00642C3F"/>
    <w:rsid w:val="00642C76"/>
    <w:rsid w:val="00642D5F"/>
    <w:rsid w:val="00642DC4"/>
    <w:rsid w:val="00642DE3"/>
    <w:rsid w:val="00642E75"/>
    <w:rsid w:val="00642F41"/>
    <w:rsid w:val="00642F84"/>
    <w:rsid w:val="00642F8E"/>
    <w:rsid w:val="00643050"/>
    <w:rsid w:val="00643066"/>
    <w:rsid w:val="006430EF"/>
    <w:rsid w:val="006430F6"/>
    <w:rsid w:val="00643135"/>
    <w:rsid w:val="00643337"/>
    <w:rsid w:val="006433D0"/>
    <w:rsid w:val="006434D9"/>
    <w:rsid w:val="0064355B"/>
    <w:rsid w:val="0064359B"/>
    <w:rsid w:val="006435DC"/>
    <w:rsid w:val="00643631"/>
    <w:rsid w:val="00643643"/>
    <w:rsid w:val="00643692"/>
    <w:rsid w:val="0064369B"/>
    <w:rsid w:val="006436E2"/>
    <w:rsid w:val="0064370D"/>
    <w:rsid w:val="00643786"/>
    <w:rsid w:val="006437BB"/>
    <w:rsid w:val="00643841"/>
    <w:rsid w:val="00643887"/>
    <w:rsid w:val="006438B9"/>
    <w:rsid w:val="0064390B"/>
    <w:rsid w:val="00643B6F"/>
    <w:rsid w:val="00643BC2"/>
    <w:rsid w:val="00643D03"/>
    <w:rsid w:val="00643D47"/>
    <w:rsid w:val="00643DE3"/>
    <w:rsid w:val="00643ECA"/>
    <w:rsid w:val="00643F88"/>
    <w:rsid w:val="00643FC7"/>
    <w:rsid w:val="00644084"/>
    <w:rsid w:val="006440F2"/>
    <w:rsid w:val="006440FB"/>
    <w:rsid w:val="0064413E"/>
    <w:rsid w:val="0064417E"/>
    <w:rsid w:val="006441CE"/>
    <w:rsid w:val="006441D7"/>
    <w:rsid w:val="0064425A"/>
    <w:rsid w:val="0064434A"/>
    <w:rsid w:val="0064434B"/>
    <w:rsid w:val="006443DE"/>
    <w:rsid w:val="0064441C"/>
    <w:rsid w:val="00644513"/>
    <w:rsid w:val="0064455B"/>
    <w:rsid w:val="00644624"/>
    <w:rsid w:val="00644625"/>
    <w:rsid w:val="0064481F"/>
    <w:rsid w:val="00644967"/>
    <w:rsid w:val="006449E6"/>
    <w:rsid w:val="00644A17"/>
    <w:rsid w:val="00644ABA"/>
    <w:rsid w:val="00644B13"/>
    <w:rsid w:val="00644B56"/>
    <w:rsid w:val="00644B5A"/>
    <w:rsid w:val="00644BB5"/>
    <w:rsid w:val="00644C2C"/>
    <w:rsid w:val="00644C34"/>
    <w:rsid w:val="00644C8A"/>
    <w:rsid w:val="00644CF3"/>
    <w:rsid w:val="00644D08"/>
    <w:rsid w:val="00644DC9"/>
    <w:rsid w:val="00644DDA"/>
    <w:rsid w:val="00644E04"/>
    <w:rsid w:val="00644E49"/>
    <w:rsid w:val="00644E50"/>
    <w:rsid w:val="00644EDC"/>
    <w:rsid w:val="00644EE1"/>
    <w:rsid w:val="00644EF6"/>
    <w:rsid w:val="00644F21"/>
    <w:rsid w:val="00644F7B"/>
    <w:rsid w:val="00644F87"/>
    <w:rsid w:val="00644FAE"/>
    <w:rsid w:val="00644FC5"/>
    <w:rsid w:val="00644FF1"/>
    <w:rsid w:val="0064508D"/>
    <w:rsid w:val="00645099"/>
    <w:rsid w:val="00645176"/>
    <w:rsid w:val="0064522D"/>
    <w:rsid w:val="0064542A"/>
    <w:rsid w:val="006455BE"/>
    <w:rsid w:val="006455E9"/>
    <w:rsid w:val="006455FE"/>
    <w:rsid w:val="0064565C"/>
    <w:rsid w:val="0064576D"/>
    <w:rsid w:val="006457C9"/>
    <w:rsid w:val="006457D4"/>
    <w:rsid w:val="00645846"/>
    <w:rsid w:val="0064596E"/>
    <w:rsid w:val="00645A33"/>
    <w:rsid w:val="00645A4A"/>
    <w:rsid w:val="00645BD3"/>
    <w:rsid w:val="00645BF9"/>
    <w:rsid w:val="00645CBE"/>
    <w:rsid w:val="00645CF5"/>
    <w:rsid w:val="00645D3F"/>
    <w:rsid w:val="00645E93"/>
    <w:rsid w:val="00645EBD"/>
    <w:rsid w:val="00645ECA"/>
    <w:rsid w:val="00645F54"/>
    <w:rsid w:val="00646029"/>
    <w:rsid w:val="006460FC"/>
    <w:rsid w:val="00646134"/>
    <w:rsid w:val="00646169"/>
    <w:rsid w:val="006461EA"/>
    <w:rsid w:val="00646384"/>
    <w:rsid w:val="00646389"/>
    <w:rsid w:val="006463B3"/>
    <w:rsid w:val="006463C6"/>
    <w:rsid w:val="0064644E"/>
    <w:rsid w:val="00646469"/>
    <w:rsid w:val="00646518"/>
    <w:rsid w:val="006465BD"/>
    <w:rsid w:val="006465CB"/>
    <w:rsid w:val="00646600"/>
    <w:rsid w:val="0064667D"/>
    <w:rsid w:val="006466CE"/>
    <w:rsid w:val="0064671E"/>
    <w:rsid w:val="00646732"/>
    <w:rsid w:val="00646951"/>
    <w:rsid w:val="00646A4F"/>
    <w:rsid w:val="00646A70"/>
    <w:rsid w:val="00646B26"/>
    <w:rsid w:val="00646CA6"/>
    <w:rsid w:val="00646CCC"/>
    <w:rsid w:val="00646D89"/>
    <w:rsid w:val="00646E40"/>
    <w:rsid w:val="00646F6F"/>
    <w:rsid w:val="00647024"/>
    <w:rsid w:val="00647161"/>
    <w:rsid w:val="00647228"/>
    <w:rsid w:val="0064733E"/>
    <w:rsid w:val="0064737A"/>
    <w:rsid w:val="00647423"/>
    <w:rsid w:val="0064746A"/>
    <w:rsid w:val="0064750C"/>
    <w:rsid w:val="00647537"/>
    <w:rsid w:val="006475C6"/>
    <w:rsid w:val="0064764E"/>
    <w:rsid w:val="0064781C"/>
    <w:rsid w:val="00647884"/>
    <w:rsid w:val="006478B9"/>
    <w:rsid w:val="0064798A"/>
    <w:rsid w:val="006479B2"/>
    <w:rsid w:val="00647ADE"/>
    <w:rsid w:val="00647C7D"/>
    <w:rsid w:val="00647C93"/>
    <w:rsid w:val="00647CB4"/>
    <w:rsid w:val="00647D36"/>
    <w:rsid w:val="00647E24"/>
    <w:rsid w:val="00647E52"/>
    <w:rsid w:val="00647ED0"/>
    <w:rsid w:val="00647FE5"/>
    <w:rsid w:val="00650021"/>
    <w:rsid w:val="00650231"/>
    <w:rsid w:val="006502C3"/>
    <w:rsid w:val="0065065F"/>
    <w:rsid w:val="006506DA"/>
    <w:rsid w:val="0065083C"/>
    <w:rsid w:val="00650B24"/>
    <w:rsid w:val="00650B2D"/>
    <w:rsid w:val="00650B77"/>
    <w:rsid w:val="00650BB6"/>
    <w:rsid w:val="00650BEA"/>
    <w:rsid w:val="00650C1A"/>
    <w:rsid w:val="00650C39"/>
    <w:rsid w:val="00650D76"/>
    <w:rsid w:val="00650E4C"/>
    <w:rsid w:val="00650ED6"/>
    <w:rsid w:val="00650EFE"/>
    <w:rsid w:val="00650F69"/>
    <w:rsid w:val="00650FEC"/>
    <w:rsid w:val="00651067"/>
    <w:rsid w:val="0065124D"/>
    <w:rsid w:val="00651277"/>
    <w:rsid w:val="006512BF"/>
    <w:rsid w:val="006513F3"/>
    <w:rsid w:val="00651442"/>
    <w:rsid w:val="00651472"/>
    <w:rsid w:val="00651576"/>
    <w:rsid w:val="006515DD"/>
    <w:rsid w:val="0065164A"/>
    <w:rsid w:val="006516EB"/>
    <w:rsid w:val="0065177B"/>
    <w:rsid w:val="006517D8"/>
    <w:rsid w:val="0065180A"/>
    <w:rsid w:val="006518E5"/>
    <w:rsid w:val="00651941"/>
    <w:rsid w:val="00651987"/>
    <w:rsid w:val="0065198D"/>
    <w:rsid w:val="00651A3D"/>
    <w:rsid w:val="00651BCF"/>
    <w:rsid w:val="00651BD9"/>
    <w:rsid w:val="00651BDB"/>
    <w:rsid w:val="00651BF1"/>
    <w:rsid w:val="00651C59"/>
    <w:rsid w:val="00651D3C"/>
    <w:rsid w:val="00651E15"/>
    <w:rsid w:val="00651EA7"/>
    <w:rsid w:val="00651EC4"/>
    <w:rsid w:val="00651ED3"/>
    <w:rsid w:val="00652100"/>
    <w:rsid w:val="006521A0"/>
    <w:rsid w:val="006521EE"/>
    <w:rsid w:val="00652212"/>
    <w:rsid w:val="006522A7"/>
    <w:rsid w:val="006522DB"/>
    <w:rsid w:val="0065242D"/>
    <w:rsid w:val="00652484"/>
    <w:rsid w:val="0065250C"/>
    <w:rsid w:val="0065264A"/>
    <w:rsid w:val="006526D4"/>
    <w:rsid w:val="00652708"/>
    <w:rsid w:val="0065276E"/>
    <w:rsid w:val="00652809"/>
    <w:rsid w:val="00652819"/>
    <w:rsid w:val="0065282F"/>
    <w:rsid w:val="0065289F"/>
    <w:rsid w:val="0065297A"/>
    <w:rsid w:val="00652A99"/>
    <w:rsid w:val="00652A9E"/>
    <w:rsid w:val="00652B22"/>
    <w:rsid w:val="00652B82"/>
    <w:rsid w:val="00652CA1"/>
    <w:rsid w:val="00652CB7"/>
    <w:rsid w:val="00652D2C"/>
    <w:rsid w:val="00652D7A"/>
    <w:rsid w:val="00652DDC"/>
    <w:rsid w:val="00652DF4"/>
    <w:rsid w:val="00652EA3"/>
    <w:rsid w:val="00652F28"/>
    <w:rsid w:val="00652F42"/>
    <w:rsid w:val="00652F58"/>
    <w:rsid w:val="00652FBD"/>
    <w:rsid w:val="00652FD2"/>
    <w:rsid w:val="00652FED"/>
    <w:rsid w:val="0065304B"/>
    <w:rsid w:val="006530BE"/>
    <w:rsid w:val="00653153"/>
    <w:rsid w:val="00653184"/>
    <w:rsid w:val="00653187"/>
    <w:rsid w:val="006531CE"/>
    <w:rsid w:val="006533AE"/>
    <w:rsid w:val="0065349D"/>
    <w:rsid w:val="0065352A"/>
    <w:rsid w:val="00653579"/>
    <w:rsid w:val="006535C1"/>
    <w:rsid w:val="00653675"/>
    <w:rsid w:val="006536B4"/>
    <w:rsid w:val="006536F3"/>
    <w:rsid w:val="00653797"/>
    <w:rsid w:val="006537A8"/>
    <w:rsid w:val="006537D8"/>
    <w:rsid w:val="00653A35"/>
    <w:rsid w:val="00653AB7"/>
    <w:rsid w:val="00653B2C"/>
    <w:rsid w:val="00653B8C"/>
    <w:rsid w:val="00653BF1"/>
    <w:rsid w:val="00653C20"/>
    <w:rsid w:val="00653C3D"/>
    <w:rsid w:val="00653E2C"/>
    <w:rsid w:val="00653F16"/>
    <w:rsid w:val="00653F2D"/>
    <w:rsid w:val="00653F91"/>
    <w:rsid w:val="00653FDF"/>
    <w:rsid w:val="0065412B"/>
    <w:rsid w:val="00654141"/>
    <w:rsid w:val="006541D8"/>
    <w:rsid w:val="006542B9"/>
    <w:rsid w:val="0065433B"/>
    <w:rsid w:val="0065452F"/>
    <w:rsid w:val="00654591"/>
    <w:rsid w:val="006545E1"/>
    <w:rsid w:val="006546C0"/>
    <w:rsid w:val="006546D3"/>
    <w:rsid w:val="006547D0"/>
    <w:rsid w:val="006547D2"/>
    <w:rsid w:val="0065483F"/>
    <w:rsid w:val="0065485D"/>
    <w:rsid w:val="00654A7D"/>
    <w:rsid w:val="00654AA3"/>
    <w:rsid w:val="00654B3D"/>
    <w:rsid w:val="00654B51"/>
    <w:rsid w:val="00654B66"/>
    <w:rsid w:val="00654C5F"/>
    <w:rsid w:val="00654D05"/>
    <w:rsid w:val="00654D0D"/>
    <w:rsid w:val="00654D0F"/>
    <w:rsid w:val="00654DB8"/>
    <w:rsid w:val="00654DED"/>
    <w:rsid w:val="00654DF5"/>
    <w:rsid w:val="00654E7B"/>
    <w:rsid w:val="00654E89"/>
    <w:rsid w:val="00654E9D"/>
    <w:rsid w:val="00654ED0"/>
    <w:rsid w:val="00655158"/>
    <w:rsid w:val="006551D3"/>
    <w:rsid w:val="0065523A"/>
    <w:rsid w:val="006552D8"/>
    <w:rsid w:val="00655315"/>
    <w:rsid w:val="00655369"/>
    <w:rsid w:val="00655382"/>
    <w:rsid w:val="00655384"/>
    <w:rsid w:val="00655555"/>
    <w:rsid w:val="0065557F"/>
    <w:rsid w:val="00655600"/>
    <w:rsid w:val="00655683"/>
    <w:rsid w:val="00655711"/>
    <w:rsid w:val="006557CF"/>
    <w:rsid w:val="00655852"/>
    <w:rsid w:val="006558D4"/>
    <w:rsid w:val="0065592D"/>
    <w:rsid w:val="006559BE"/>
    <w:rsid w:val="00655A7C"/>
    <w:rsid w:val="00655A8C"/>
    <w:rsid w:val="00655B67"/>
    <w:rsid w:val="00655C82"/>
    <w:rsid w:val="00655D40"/>
    <w:rsid w:val="00655D8B"/>
    <w:rsid w:val="00655E6A"/>
    <w:rsid w:val="00655F68"/>
    <w:rsid w:val="00655F84"/>
    <w:rsid w:val="00655FB4"/>
    <w:rsid w:val="00655FE3"/>
    <w:rsid w:val="00656002"/>
    <w:rsid w:val="006560AD"/>
    <w:rsid w:val="006561FA"/>
    <w:rsid w:val="00656210"/>
    <w:rsid w:val="00656306"/>
    <w:rsid w:val="0065635A"/>
    <w:rsid w:val="00656368"/>
    <w:rsid w:val="00656383"/>
    <w:rsid w:val="006563A8"/>
    <w:rsid w:val="006563FF"/>
    <w:rsid w:val="0065644C"/>
    <w:rsid w:val="006564B1"/>
    <w:rsid w:val="006564F9"/>
    <w:rsid w:val="00656518"/>
    <w:rsid w:val="00656539"/>
    <w:rsid w:val="0065656D"/>
    <w:rsid w:val="00656688"/>
    <w:rsid w:val="00656888"/>
    <w:rsid w:val="006568CD"/>
    <w:rsid w:val="0065693A"/>
    <w:rsid w:val="0065696D"/>
    <w:rsid w:val="00656971"/>
    <w:rsid w:val="006569F5"/>
    <w:rsid w:val="00656B4C"/>
    <w:rsid w:val="00656B5D"/>
    <w:rsid w:val="00656C7E"/>
    <w:rsid w:val="00656D04"/>
    <w:rsid w:val="00656D38"/>
    <w:rsid w:val="00656DC3"/>
    <w:rsid w:val="00656EEE"/>
    <w:rsid w:val="00656F8D"/>
    <w:rsid w:val="00657017"/>
    <w:rsid w:val="00657180"/>
    <w:rsid w:val="006571E3"/>
    <w:rsid w:val="0065722D"/>
    <w:rsid w:val="00657261"/>
    <w:rsid w:val="0065735B"/>
    <w:rsid w:val="00657418"/>
    <w:rsid w:val="0065742D"/>
    <w:rsid w:val="0065748F"/>
    <w:rsid w:val="006574CD"/>
    <w:rsid w:val="006574DC"/>
    <w:rsid w:val="00657681"/>
    <w:rsid w:val="006576F7"/>
    <w:rsid w:val="0065773F"/>
    <w:rsid w:val="006578C4"/>
    <w:rsid w:val="006578D2"/>
    <w:rsid w:val="006579DE"/>
    <w:rsid w:val="00657A13"/>
    <w:rsid w:val="00657A96"/>
    <w:rsid w:val="00657B08"/>
    <w:rsid w:val="00657B20"/>
    <w:rsid w:val="00657B92"/>
    <w:rsid w:val="00657BAB"/>
    <w:rsid w:val="00657BF2"/>
    <w:rsid w:val="00657C3D"/>
    <w:rsid w:val="00657C7C"/>
    <w:rsid w:val="00657C82"/>
    <w:rsid w:val="00657DAE"/>
    <w:rsid w:val="00657DC7"/>
    <w:rsid w:val="00657F66"/>
    <w:rsid w:val="00660022"/>
    <w:rsid w:val="00660034"/>
    <w:rsid w:val="00660142"/>
    <w:rsid w:val="00660214"/>
    <w:rsid w:val="00660262"/>
    <w:rsid w:val="006602BF"/>
    <w:rsid w:val="00660334"/>
    <w:rsid w:val="00660580"/>
    <w:rsid w:val="006605A7"/>
    <w:rsid w:val="00660605"/>
    <w:rsid w:val="00660645"/>
    <w:rsid w:val="00660771"/>
    <w:rsid w:val="006607EC"/>
    <w:rsid w:val="0066096B"/>
    <w:rsid w:val="00660C36"/>
    <w:rsid w:val="00660C3D"/>
    <w:rsid w:val="00660C7F"/>
    <w:rsid w:val="00660CB8"/>
    <w:rsid w:val="00660DD2"/>
    <w:rsid w:val="00660E24"/>
    <w:rsid w:val="00660EF7"/>
    <w:rsid w:val="00660F23"/>
    <w:rsid w:val="00660FCF"/>
    <w:rsid w:val="00661015"/>
    <w:rsid w:val="0066106F"/>
    <w:rsid w:val="00661074"/>
    <w:rsid w:val="00661100"/>
    <w:rsid w:val="006611B0"/>
    <w:rsid w:val="006611E0"/>
    <w:rsid w:val="0066126D"/>
    <w:rsid w:val="0066136D"/>
    <w:rsid w:val="006613EB"/>
    <w:rsid w:val="00661407"/>
    <w:rsid w:val="00661414"/>
    <w:rsid w:val="006614AB"/>
    <w:rsid w:val="00661533"/>
    <w:rsid w:val="00661534"/>
    <w:rsid w:val="00661568"/>
    <w:rsid w:val="00661674"/>
    <w:rsid w:val="006616AE"/>
    <w:rsid w:val="006616B6"/>
    <w:rsid w:val="006616C8"/>
    <w:rsid w:val="00661969"/>
    <w:rsid w:val="006619BF"/>
    <w:rsid w:val="006619CF"/>
    <w:rsid w:val="006619EA"/>
    <w:rsid w:val="006619F7"/>
    <w:rsid w:val="00661A1E"/>
    <w:rsid w:val="00661A87"/>
    <w:rsid w:val="00661AEA"/>
    <w:rsid w:val="00661B66"/>
    <w:rsid w:val="00661C57"/>
    <w:rsid w:val="00661C7F"/>
    <w:rsid w:val="00661D05"/>
    <w:rsid w:val="00661D3A"/>
    <w:rsid w:val="00661D41"/>
    <w:rsid w:val="00661DB5"/>
    <w:rsid w:val="00661E84"/>
    <w:rsid w:val="00661EC5"/>
    <w:rsid w:val="00661EC6"/>
    <w:rsid w:val="00661EFE"/>
    <w:rsid w:val="00661F06"/>
    <w:rsid w:val="00661F81"/>
    <w:rsid w:val="0066200E"/>
    <w:rsid w:val="00662021"/>
    <w:rsid w:val="006620B5"/>
    <w:rsid w:val="00662190"/>
    <w:rsid w:val="0066225F"/>
    <w:rsid w:val="00662299"/>
    <w:rsid w:val="006622E0"/>
    <w:rsid w:val="0066249F"/>
    <w:rsid w:val="0066256C"/>
    <w:rsid w:val="006625C8"/>
    <w:rsid w:val="0066272A"/>
    <w:rsid w:val="00662784"/>
    <w:rsid w:val="006627A0"/>
    <w:rsid w:val="006627B0"/>
    <w:rsid w:val="00662980"/>
    <w:rsid w:val="00662A23"/>
    <w:rsid w:val="00662BF5"/>
    <w:rsid w:val="00662BFB"/>
    <w:rsid w:val="00662C4F"/>
    <w:rsid w:val="00662D6A"/>
    <w:rsid w:val="00662D83"/>
    <w:rsid w:val="00662EBD"/>
    <w:rsid w:val="00662F6C"/>
    <w:rsid w:val="00662FC3"/>
    <w:rsid w:val="00662FE0"/>
    <w:rsid w:val="006631A2"/>
    <w:rsid w:val="006631A8"/>
    <w:rsid w:val="006631D3"/>
    <w:rsid w:val="00663248"/>
    <w:rsid w:val="00663281"/>
    <w:rsid w:val="0066335E"/>
    <w:rsid w:val="006633A9"/>
    <w:rsid w:val="006633E5"/>
    <w:rsid w:val="006633E9"/>
    <w:rsid w:val="00663669"/>
    <w:rsid w:val="006636B1"/>
    <w:rsid w:val="006636BC"/>
    <w:rsid w:val="0066370D"/>
    <w:rsid w:val="006637F6"/>
    <w:rsid w:val="0066395D"/>
    <w:rsid w:val="00663969"/>
    <w:rsid w:val="0066397D"/>
    <w:rsid w:val="0066398B"/>
    <w:rsid w:val="00663ACF"/>
    <w:rsid w:val="00663BBE"/>
    <w:rsid w:val="00663CD6"/>
    <w:rsid w:val="00663CDE"/>
    <w:rsid w:val="00663D84"/>
    <w:rsid w:val="00663DFF"/>
    <w:rsid w:val="00663FAD"/>
    <w:rsid w:val="00664105"/>
    <w:rsid w:val="0066413A"/>
    <w:rsid w:val="0066413F"/>
    <w:rsid w:val="00664187"/>
    <w:rsid w:val="0066421C"/>
    <w:rsid w:val="006642FE"/>
    <w:rsid w:val="0066436D"/>
    <w:rsid w:val="006643E5"/>
    <w:rsid w:val="006644E7"/>
    <w:rsid w:val="00664619"/>
    <w:rsid w:val="00664629"/>
    <w:rsid w:val="00664662"/>
    <w:rsid w:val="00664775"/>
    <w:rsid w:val="006648CC"/>
    <w:rsid w:val="0066491B"/>
    <w:rsid w:val="0066494B"/>
    <w:rsid w:val="0066495E"/>
    <w:rsid w:val="006649D6"/>
    <w:rsid w:val="00664A07"/>
    <w:rsid w:val="00664BA2"/>
    <w:rsid w:val="00664C34"/>
    <w:rsid w:val="00664C49"/>
    <w:rsid w:val="00664C4C"/>
    <w:rsid w:val="00664CF0"/>
    <w:rsid w:val="00664E12"/>
    <w:rsid w:val="00664EE7"/>
    <w:rsid w:val="00664F44"/>
    <w:rsid w:val="0066508C"/>
    <w:rsid w:val="00665094"/>
    <w:rsid w:val="006650E2"/>
    <w:rsid w:val="0066526E"/>
    <w:rsid w:val="00665372"/>
    <w:rsid w:val="0066544C"/>
    <w:rsid w:val="006654B1"/>
    <w:rsid w:val="006654DF"/>
    <w:rsid w:val="006658BC"/>
    <w:rsid w:val="006658D5"/>
    <w:rsid w:val="006658E6"/>
    <w:rsid w:val="006659AE"/>
    <w:rsid w:val="006659F2"/>
    <w:rsid w:val="00665A7E"/>
    <w:rsid w:val="00665AC2"/>
    <w:rsid w:val="00665B0B"/>
    <w:rsid w:val="00665B21"/>
    <w:rsid w:val="00665BD9"/>
    <w:rsid w:val="00665C61"/>
    <w:rsid w:val="00665CB8"/>
    <w:rsid w:val="00665DC2"/>
    <w:rsid w:val="00665E3C"/>
    <w:rsid w:val="00665E95"/>
    <w:rsid w:val="00665F06"/>
    <w:rsid w:val="00665FF0"/>
    <w:rsid w:val="0066604A"/>
    <w:rsid w:val="00666383"/>
    <w:rsid w:val="00666558"/>
    <w:rsid w:val="006665D0"/>
    <w:rsid w:val="006665E9"/>
    <w:rsid w:val="006665FF"/>
    <w:rsid w:val="0066664E"/>
    <w:rsid w:val="00666796"/>
    <w:rsid w:val="00666804"/>
    <w:rsid w:val="00666850"/>
    <w:rsid w:val="006668B2"/>
    <w:rsid w:val="006669A7"/>
    <w:rsid w:val="00666A32"/>
    <w:rsid w:val="00666C5B"/>
    <w:rsid w:val="00666CC6"/>
    <w:rsid w:val="00666E2B"/>
    <w:rsid w:val="00666F6F"/>
    <w:rsid w:val="00666FA5"/>
    <w:rsid w:val="00666FE6"/>
    <w:rsid w:val="00667019"/>
    <w:rsid w:val="0066703D"/>
    <w:rsid w:val="0066710D"/>
    <w:rsid w:val="0066714E"/>
    <w:rsid w:val="006672B6"/>
    <w:rsid w:val="00667359"/>
    <w:rsid w:val="006674A7"/>
    <w:rsid w:val="006674AE"/>
    <w:rsid w:val="006675BA"/>
    <w:rsid w:val="006675E2"/>
    <w:rsid w:val="006675F2"/>
    <w:rsid w:val="00667690"/>
    <w:rsid w:val="00667791"/>
    <w:rsid w:val="006677AD"/>
    <w:rsid w:val="00667895"/>
    <w:rsid w:val="0066789A"/>
    <w:rsid w:val="006679D6"/>
    <w:rsid w:val="00667AB8"/>
    <w:rsid w:val="00667B88"/>
    <w:rsid w:val="00667BB3"/>
    <w:rsid w:val="00667C88"/>
    <w:rsid w:val="00667D0F"/>
    <w:rsid w:val="00667D76"/>
    <w:rsid w:val="00667DC7"/>
    <w:rsid w:val="00667E52"/>
    <w:rsid w:val="00667F72"/>
    <w:rsid w:val="00670133"/>
    <w:rsid w:val="00670150"/>
    <w:rsid w:val="006702CC"/>
    <w:rsid w:val="00670323"/>
    <w:rsid w:val="006704BB"/>
    <w:rsid w:val="00670506"/>
    <w:rsid w:val="0067051C"/>
    <w:rsid w:val="00670577"/>
    <w:rsid w:val="006705E6"/>
    <w:rsid w:val="0067071F"/>
    <w:rsid w:val="0067072D"/>
    <w:rsid w:val="0067075B"/>
    <w:rsid w:val="006707E5"/>
    <w:rsid w:val="006707F2"/>
    <w:rsid w:val="0067090D"/>
    <w:rsid w:val="006709E7"/>
    <w:rsid w:val="00670A2F"/>
    <w:rsid w:val="00670A70"/>
    <w:rsid w:val="00670ABE"/>
    <w:rsid w:val="00670BD3"/>
    <w:rsid w:val="00670C8B"/>
    <w:rsid w:val="00670D14"/>
    <w:rsid w:val="00670D39"/>
    <w:rsid w:val="00670E23"/>
    <w:rsid w:val="00670E5A"/>
    <w:rsid w:val="00670EAC"/>
    <w:rsid w:val="00670EB7"/>
    <w:rsid w:val="00670EF7"/>
    <w:rsid w:val="00670EF9"/>
    <w:rsid w:val="00670F38"/>
    <w:rsid w:val="00670F76"/>
    <w:rsid w:val="00670F90"/>
    <w:rsid w:val="006711DD"/>
    <w:rsid w:val="00671243"/>
    <w:rsid w:val="006712A6"/>
    <w:rsid w:val="006713A4"/>
    <w:rsid w:val="006713B7"/>
    <w:rsid w:val="00671602"/>
    <w:rsid w:val="00671640"/>
    <w:rsid w:val="0067166B"/>
    <w:rsid w:val="006716A6"/>
    <w:rsid w:val="0067176F"/>
    <w:rsid w:val="0067177E"/>
    <w:rsid w:val="0067185A"/>
    <w:rsid w:val="0067192E"/>
    <w:rsid w:val="00671A1C"/>
    <w:rsid w:val="00671B6A"/>
    <w:rsid w:val="00671C12"/>
    <w:rsid w:val="00671C65"/>
    <w:rsid w:val="00671D87"/>
    <w:rsid w:val="00671E1E"/>
    <w:rsid w:val="00671E2A"/>
    <w:rsid w:val="00671E40"/>
    <w:rsid w:val="00671F26"/>
    <w:rsid w:val="0067208B"/>
    <w:rsid w:val="0067213A"/>
    <w:rsid w:val="00672251"/>
    <w:rsid w:val="00672281"/>
    <w:rsid w:val="00672283"/>
    <w:rsid w:val="00672361"/>
    <w:rsid w:val="006723AD"/>
    <w:rsid w:val="0067254A"/>
    <w:rsid w:val="006727D6"/>
    <w:rsid w:val="00672809"/>
    <w:rsid w:val="006728D0"/>
    <w:rsid w:val="00672994"/>
    <w:rsid w:val="00672A2C"/>
    <w:rsid w:val="00672B17"/>
    <w:rsid w:val="00672B60"/>
    <w:rsid w:val="00672B67"/>
    <w:rsid w:val="00672BD3"/>
    <w:rsid w:val="00672CFE"/>
    <w:rsid w:val="00672DD2"/>
    <w:rsid w:val="00672DFD"/>
    <w:rsid w:val="00672E6D"/>
    <w:rsid w:val="00672EBC"/>
    <w:rsid w:val="00672F52"/>
    <w:rsid w:val="00672F7A"/>
    <w:rsid w:val="00672FEC"/>
    <w:rsid w:val="00673065"/>
    <w:rsid w:val="00673074"/>
    <w:rsid w:val="00673153"/>
    <w:rsid w:val="006731B9"/>
    <w:rsid w:val="00673293"/>
    <w:rsid w:val="0067336E"/>
    <w:rsid w:val="00673383"/>
    <w:rsid w:val="0067338B"/>
    <w:rsid w:val="006733AD"/>
    <w:rsid w:val="006734AE"/>
    <w:rsid w:val="006734C3"/>
    <w:rsid w:val="0067353C"/>
    <w:rsid w:val="00673545"/>
    <w:rsid w:val="006735B1"/>
    <w:rsid w:val="00673625"/>
    <w:rsid w:val="006736B3"/>
    <w:rsid w:val="0067381D"/>
    <w:rsid w:val="006738C0"/>
    <w:rsid w:val="006738F4"/>
    <w:rsid w:val="0067391E"/>
    <w:rsid w:val="00673965"/>
    <w:rsid w:val="00673A11"/>
    <w:rsid w:val="00673AAA"/>
    <w:rsid w:val="00673B23"/>
    <w:rsid w:val="00673C78"/>
    <w:rsid w:val="00673CE5"/>
    <w:rsid w:val="00673D3F"/>
    <w:rsid w:val="00673E06"/>
    <w:rsid w:val="00673E7D"/>
    <w:rsid w:val="00673F87"/>
    <w:rsid w:val="00673FA5"/>
    <w:rsid w:val="00673FD0"/>
    <w:rsid w:val="00674073"/>
    <w:rsid w:val="006740B6"/>
    <w:rsid w:val="00674145"/>
    <w:rsid w:val="00674201"/>
    <w:rsid w:val="006742DA"/>
    <w:rsid w:val="0067444B"/>
    <w:rsid w:val="0067449B"/>
    <w:rsid w:val="006744CE"/>
    <w:rsid w:val="006744FA"/>
    <w:rsid w:val="00674503"/>
    <w:rsid w:val="00674584"/>
    <w:rsid w:val="0067459B"/>
    <w:rsid w:val="00674753"/>
    <w:rsid w:val="0067494A"/>
    <w:rsid w:val="0067497C"/>
    <w:rsid w:val="006749A0"/>
    <w:rsid w:val="00674A07"/>
    <w:rsid w:val="00674BC7"/>
    <w:rsid w:val="00674C2A"/>
    <w:rsid w:val="00674C53"/>
    <w:rsid w:val="00674C8D"/>
    <w:rsid w:val="00674F2D"/>
    <w:rsid w:val="00674FF8"/>
    <w:rsid w:val="0067501F"/>
    <w:rsid w:val="006750A3"/>
    <w:rsid w:val="006751B7"/>
    <w:rsid w:val="00675288"/>
    <w:rsid w:val="006752A8"/>
    <w:rsid w:val="00675329"/>
    <w:rsid w:val="006753BF"/>
    <w:rsid w:val="0067549B"/>
    <w:rsid w:val="0067553C"/>
    <w:rsid w:val="006757A7"/>
    <w:rsid w:val="006757FE"/>
    <w:rsid w:val="00675813"/>
    <w:rsid w:val="00675881"/>
    <w:rsid w:val="006759B7"/>
    <w:rsid w:val="00675A3F"/>
    <w:rsid w:val="00675A9E"/>
    <w:rsid w:val="00675B03"/>
    <w:rsid w:val="00675B16"/>
    <w:rsid w:val="00675B63"/>
    <w:rsid w:val="00675C0B"/>
    <w:rsid w:val="00675CBC"/>
    <w:rsid w:val="00675D7E"/>
    <w:rsid w:val="00675DD5"/>
    <w:rsid w:val="00675E3A"/>
    <w:rsid w:val="00675F54"/>
    <w:rsid w:val="00675FA0"/>
    <w:rsid w:val="00675FDA"/>
    <w:rsid w:val="00676044"/>
    <w:rsid w:val="00676049"/>
    <w:rsid w:val="006761A3"/>
    <w:rsid w:val="00676222"/>
    <w:rsid w:val="0067622D"/>
    <w:rsid w:val="0067627A"/>
    <w:rsid w:val="00676309"/>
    <w:rsid w:val="00676359"/>
    <w:rsid w:val="0067642A"/>
    <w:rsid w:val="00676438"/>
    <w:rsid w:val="006765C9"/>
    <w:rsid w:val="006765D4"/>
    <w:rsid w:val="006765F1"/>
    <w:rsid w:val="006765FA"/>
    <w:rsid w:val="006766D2"/>
    <w:rsid w:val="00676714"/>
    <w:rsid w:val="0067674A"/>
    <w:rsid w:val="006767B9"/>
    <w:rsid w:val="006767CB"/>
    <w:rsid w:val="0067689B"/>
    <w:rsid w:val="006768BE"/>
    <w:rsid w:val="00676926"/>
    <w:rsid w:val="006769CD"/>
    <w:rsid w:val="00676A25"/>
    <w:rsid w:val="00676AA0"/>
    <w:rsid w:val="00676B1B"/>
    <w:rsid w:val="00676B61"/>
    <w:rsid w:val="00676C22"/>
    <w:rsid w:val="00676CB7"/>
    <w:rsid w:val="00676CF4"/>
    <w:rsid w:val="00676E02"/>
    <w:rsid w:val="00676E12"/>
    <w:rsid w:val="00676F79"/>
    <w:rsid w:val="00677066"/>
    <w:rsid w:val="006771AA"/>
    <w:rsid w:val="006771B5"/>
    <w:rsid w:val="0067724A"/>
    <w:rsid w:val="006772E9"/>
    <w:rsid w:val="00677368"/>
    <w:rsid w:val="00677437"/>
    <w:rsid w:val="00677705"/>
    <w:rsid w:val="0067777D"/>
    <w:rsid w:val="00677792"/>
    <w:rsid w:val="006777F5"/>
    <w:rsid w:val="00677830"/>
    <w:rsid w:val="0067783B"/>
    <w:rsid w:val="00677982"/>
    <w:rsid w:val="00677A49"/>
    <w:rsid w:val="00677B2A"/>
    <w:rsid w:val="00677BDF"/>
    <w:rsid w:val="00677C75"/>
    <w:rsid w:val="00677C83"/>
    <w:rsid w:val="00677C9F"/>
    <w:rsid w:val="00677CA8"/>
    <w:rsid w:val="00677DCE"/>
    <w:rsid w:val="00677ED1"/>
    <w:rsid w:val="00680022"/>
    <w:rsid w:val="00680087"/>
    <w:rsid w:val="006800AD"/>
    <w:rsid w:val="00680174"/>
    <w:rsid w:val="00680246"/>
    <w:rsid w:val="0068027F"/>
    <w:rsid w:val="006802C9"/>
    <w:rsid w:val="0068033E"/>
    <w:rsid w:val="00680381"/>
    <w:rsid w:val="006803F9"/>
    <w:rsid w:val="00680529"/>
    <w:rsid w:val="006805A3"/>
    <w:rsid w:val="0068064F"/>
    <w:rsid w:val="0068070C"/>
    <w:rsid w:val="00680743"/>
    <w:rsid w:val="00680751"/>
    <w:rsid w:val="006808D1"/>
    <w:rsid w:val="006808F6"/>
    <w:rsid w:val="0068099A"/>
    <w:rsid w:val="006809AC"/>
    <w:rsid w:val="006809F1"/>
    <w:rsid w:val="006809F2"/>
    <w:rsid w:val="00680A03"/>
    <w:rsid w:val="00680D83"/>
    <w:rsid w:val="00680DA0"/>
    <w:rsid w:val="00680E14"/>
    <w:rsid w:val="00680E22"/>
    <w:rsid w:val="00680E7A"/>
    <w:rsid w:val="00680E85"/>
    <w:rsid w:val="00680EFD"/>
    <w:rsid w:val="00680F9A"/>
    <w:rsid w:val="0068103A"/>
    <w:rsid w:val="006811A9"/>
    <w:rsid w:val="00681415"/>
    <w:rsid w:val="0068151A"/>
    <w:rsid w:val="00681564"/>
    <w:rsid w:val="006815F7"/>
    <w:rsid w:val="006815FC"/>
    <w:rsid w:val="006815FE"/>
    <w:rsid w:val="006816D9"/>
    <w:rsid w:val="00681714"/>
    <w:rsid w:val="006817E0"/>
    <w:rsid w:val="006817FD"/>
    <w:rsid w:val="0068181D"/>
    <w:rsid w:val="00681865"/>
    <w:rsid w:val="0068189C"/>
    <w:rsid w:val="00681904"/>
    <w:rsid w:val="0068192A"/>
    <w:rsid w:val="006819FA"/>
    <w:rsid w:val="00681A07"/>
    <w:rsid w:val="00681A43"/>
    <w:rsid w:val="00681B91"/>
    <w:rsid w:val="00681BFC"/>
    <w:rsid w:val="00681C4C"/>
    <w:rsid w:val="00681DC0"/>
    <w:rsid w:val="00681E1F"/>
    <w:rsid w:val="00681F2C"/>
    <w:rsid w:val="00681F35"/>
    <w:rsid w:val="0068202A"/>
    <w:rsid w:val="00682140"/>
    <w:rsid w:val="00682160"/>
    <w:rsid w:val="006821C4"/>
    <w:rsid w:val="00682217"/>
    <w:rsid w:val="006823F7"/>
    <w:rsid w:val="006825F8"/>
    <w:rsid w:val="0068264D"/>
    <w:rsid w:val="006826B9"/>
    <w:rsid w:val="0068275A"/>
    <w:rsid w:val="006827B1"/>
    <w:rsid w:val="006827FE"/>
    <w:rsid w:val="006828BD"/>
    <w:rsid w:val="006829BB"/>
    <w:rsid w:val="006829C0"/>
    <w:rsid w:val="00682B5D"/>
    <w:rsid w:val="00682B9B"/>
    <w:rsid w:val="00682D98"/>
    <w:rsid w:val="00682D9F"/>
    <w:rsid w:val="00682DDE"/>
    <w:rsid w:val="00682DFB"/>
    <w:rsid w:val="00682E12"/>
    <w:rsid w:val="00682E35"/>
    <w:rsid w:val="00682EB1"/>
    <w:rsid w:val="00682FFF"/>
    <w:rsid w:val="00683029"/>
    <w:rsid w:val="0068304C"/>
    <w:rsid w:val="00683053"/>
    <w:rsid w:val="00683074"/>
    <w:rsid w:val="006831EE"/>
    <w:rsid w:val="006833F0"/>
    <w:rsid w:val="00683409"/>
    <w:rsid w:val="00683425"/>
    <w:rsid w:val="0068344F"/>
    <w:rsid w:val="0068349E"/>
    <w:rsid w:val="0068353B"/>
    <w:rsid w:val="006835D2"/>
    <w:rsid w:val="00683665"/>
    <w:rsid w:val="006836C7"/>
    <w:rsid w:val="00683719"/>
    <w:rsid w:val="006837F2"/>
    <w:rsid w:val="0068380A"/>
    <w:rsid w:val="006838AD"/>
    <w:rsid w:val="00683922"/>
    <w:rsid w:val="00683998"/>
    <w:rsid w:val="00683A65"/>
    <w:rsid w:val="00683AA4"/>
    <w:rsid w:val="00683BB1"/>
    <w:rsid w:val="00683BF8"/>
    <w:rsid w:val="00683C89"/>
    <w:rsid w:val="00683D90"/>
    <w:rsid w:val="00683E56"/>
    <w:rsid w:val="00683F24"/>
    <w:rsid w:val="00683FB4"/>
    <w:rsid w:val="00684075"/>
    <w:rsid w:val="006842B4"/>
    <w:rsid w:val="006842E4"/>
    <w:rsid w:val="006843B0"/>
    <w:rsid w:val="0068446D"/>
    <w:rsid w:val="0068455F"/>
    <w:rsid w:val="00684825"/>
    <w:rsid w:val="0068488B"/>
    <w:rsid w:val="006848F8"/>
    <w:rsid w:val="006849B6"/>
    <w:rsid w:val="00684A93"/>
    <w:rsid w:val="00684AD3"/>
    <w:rsid w:val="00684CB4"/>
    <w:rsid w:val="00684CE7"/>
    <w:rsid w:val="00684D12"/>
    <w:rsid w:val="00684EEE"/>
    <w:rsid w:val="00684F03"/>
    <w:rsid w:val="00684F84"/>
    <w:rsid w:val="006851D5"/>
    <w:rsid w:val="006851FA"/>
    <w:rsid w:val="00685226"/>
    <w:rsid w:val="006852AF"/>
    <w:rsid w:val="00685312"/>
    <w:rsid w:val="0068533F"/>
    <w:rsid w:val="00685372"/>
    <w:rsid w:val="006853F3"/>
    <w:rsid w:val="0068543F"/>
    <w:rsid w:val="00685445"/>
    <w:rsid w:val="006854D4"/>
    <w:rsid w:val="00685708"/>
    <w:rsid w:val="0068572C"/>
    <w:rsid w:val="00685756"/>
    <w:rsid w:val="0068590F"/>
    <w:rsid w:val="00685946"/>
    <w:rsid w:val="00685980"/>
    <w:rsid w:val="006859A5"/>
    <w:rsid w:val="00685A54"/>
    <w:rsid w:val="00685AD2"/>
    <w:rsid w:val="00685CE8"/>
    <w:rsid w:val="00685E09"/>
    <w:rsid w:val="00685EF1"/>
    <w:rsid w:val="006862A9"/>
    <w:rsid w:val="006863C0"/>
    <w:rsid w:val="006864C4"/>
    <w:rsid w:val="006864DA"/>
    <w:rsid w:val="006864E8"/>
    <w:rsid w:val="00686503"/>
    <w:rsid w:val="00686544"/>
    <w:rsid w:val="006866C5"/>
    <w:rsid w:val="0068672D"/>
    <w:rsid w:val="00686997"/>
    <w:rsid w:val="00686B52"/>
    <w:rsid w:val="00686B70"/>
    <w:rsid w:val="00686B94"/>
    <w:rsid w:val="00686C57"/>
    <w:rsid w:val="00686CE9"/>
    <w:rsid w:val="00686DB9"/>
    <w:rsid w:val="00686E1B"/>
    <w:rsid w:val="00686E83"/>
    <w:rsid w:val="00686E95"/>
    <w:rsid w:val="00686FF8"/>
    <w:rsid w:val="0068703E"/>
    <w:rsid w:val="00687045"/>
    <w:rsid w:val="006870B9"/>
    <w:rsid w:val="00687202"/>
    <w:rsid w:val="00687232"/>
    <w:rsid w:val="0068723C"/>
    <w:rsid w:val="00687285"/>
    <w:rsid w:val="00687309"/>
    <w:rsid w:val="006873EC"/>
    <w:rsid w:val="006873ED"/>
    <w:rsid w:val="006874E1"/>
    <w:rsid w:val="00687522"/>
    <w:rsid w:val="006875AA"/>
    <w:rsid w:val="006875BE"/>
    <w:rsid w:val="0068763D"/>
    <w:rsid w:val="00687677"/>
    <w:rsid w:val="00687690"/>
    <w:rsid w:val="006876D7"/>
    <w:rsid w:val="00687758"/>
    <w:rsid w:val="00687778"/>
    <w:rsid w:val="00687783"/>
    <w:rsid w:val="006877D4"/>
    <w:rsid w:val="0068791E"/>
    <w:rsid w:val="0068799F"/>
    <w:rsid w:val="006879CB"/>
    <w:rsid w:val="00687A1E"/>
    <w:rsid w:val="00687AF6"/>
    <w:rsid w:val="00687B91"/>
    <w:rsid w:val="00687B9F"/>
    <w:rsid w:val="00687CD8"/>
    <w:rsid w:val="00687D83"/>
    <w:rsid w:val="00687EAA"/>
    <w:rsid w:val="00687F1F"/>
    <w:rsid w:val="00687F98"/>
    <w:rsid w:val="00687F9D"/>
    <w:rsid w:val="0069016B"/>
    <w:rsid w:val="00690279"/>
    <w:rsid w:val="0069028B"/>
    <w:rsid w:val="006902C2"/>
    <w:rsid w:val="006903BA"/>
    <w:rsid w:val="00690586"/>
    <w:rsid w:val="0069058C"/>
    <w:rsid w:val="00690686"/>
    <w:rsid w:val="0069069E"/>
    <w:rsid w:val="0069071C"/>
    <w:rsid w:val="006907CC"/>
    <w:rsid w:val="006907E9"/>
    <w:rsid w:val="00690804"/>
    <w:rsid w:val="0069086D"/>
    <w:rsid w:val="00690902"/>
    <w:rsid w:val="0069091E"/>
    <w:rsid w:val="0069091F"/>
    <w:rsid w:val="006909AE"/>
    <w:rsid w:val="00690A87"/>
    <w:rsid w:val="00690C48"/>
    <w:rsid w:val="00690C57"/>
    <w:rsid w:val="00690CAF"/>
    <w:rsid w:val="00690CCE"/>
    <w:rsid w:val="00690D6A"/>
    <w:rsid w:val="00690D80"/>
    <w:rsid w:val="00690E5A"/>
    <w:rsid w:val="00690FA8"/>
    <w:rsid w:val="00691131"/>
    <w:rsid w:val="00691234"/>
    <w:rsid w:val="00691268"/>
    <w:rsid w:val="0069127F"/>
    <w:rsid w:val="006912C2"/>
    <w:rsid w:val="006913F4"/>
    <w:rsid w:val="00691451"/>
    <w:rsid w:val="00691603"/>
    <w:rsid w:val="00691623"/>
    <w:rsid w:val="0069168B"/>
    <w:rsid w:val="006916EA"/>
    <w:rsid w:val="00691737"/>
    <w:rsid w:val="0069177F"/>
    <w:rsid w:val="006917AA"/>
    <w:rsid w:val="00691803"/>
    <w:rsid w:val="00691823"/>
    <w:rsid w:val="00691965"/>
    <w:rsid w:val="0069196B"/>
    <w:rsid w:val="006919EB"/>
    <w:rsid w:val="00691AB9"/>
    <w:rsid w:val="00691B20"/>
    <w:rsid w:val="00691B94"/>
    <w:rsid w:val="00691C01"/>
    <w:rsid w:val="00691C57"/>
    <w:rsid w:val="00691C64"/>
    <w:rsid w:val="00691C6F"/>
    <w:rsid w:val="00691DBE"/>
    <w:rsid w:val="00691DCA"/>
    <w:rsid w:val="00691ECC"/>
    <w:rsid w:val="00691FD8"/>
    <w:rsid w:val="00692064"/>
    <w:rsid w:val="006920F7"/>
    <w:rsid w:val="006921BA"/>
    <w:rsid w:val="00692278"/>
    <w:rsid w:val="00692299"/>
    <w:rsid w:val="00692310"/>
    <w:rsid w:val="006923A1"/>
    <w:rsid w:val="00692513"/>
    <w:rsid w:val="0069257D"/>
    <w:rsid w:val="00692592"/>
    <w:rsid w:val="006925E1"/>
    <w:rsid w:val="00692699"/>
    <w:rsid w:val="00692709"/>
    <w:rsid w:val="00692774"/>
    <w:rsid w:val="00692844"/>
    <w:rsid w:val="006928CB"/>
    <w:rsid w:val="00692956"/>
    <w:rsid w:val="006929C4"/>
    <w:rsid w:val="006929F1"/>
    <w:rsid w:val="00692A58"/>
    <w:rsid w:val="00692ACA"/>
    <w:rsid w:val="00692AD8"/>
    <w:rsid w:val="00692B37"/>
    <w:rsid w:val="00692B65"/>
    <w:rsid w:val="00692B6D"/>
    <w:rsid w:val="00692B81"/>
    <w:rsid w:val="00692C57"/>
    <w:rsid w:val="00692CE1"/>
    <w:rsid w:val="00692FC7"/>
    <w:rsid w:val="00692FDF"/>
    <w:rsid w:val="0069306F"/>
    <w:rsid w:val="0069318C"/>
    <w:rsid w:val="006931AD"/>
    <w:rsid w:val="006931D5"/>
    <w:rsid w:val="00693345"/>
    <w:rsid w:val="006933ED"/>
    <w:rsid w:val="0069342E"/>
    <w:rsid w:val="00693432"/>
    <w:rsid w:val="00693658"/>
    <w:rsid w:val="0069375C"/>
    <w:rsid w:val="00693795"/>
    <w:rsid w:val="006937B6"/>
    <w:rsid w:val="0069381B"/>
    <w:rsid w:val="00693894"/>
    <w:rsid w:val="00693899"/>
    <w:rsid w:val="0069394A"/>
    <w:rsid w:val="006939A4"/>
    <w:rsid w:val="006939D7"/>
    <w:rsid w:val="00693A1D"/>
    <w:rsid w:val="00693B23"/>
    <w:rsid w:val="00693CAC"/>
    <w:rsid w:val="00693D2A"/>
    <w:rsid w:val="00693DA2"/>
    <w:rsid w:val="00693DB4"/>
    <w:rsid w:val="00693E32"/>
    <w:rsid w:val="00693E39"/>
    <w:rsid w:val="00693E94"/>
    <w:rsid w:val="0069415B"/>
    <w:rsid w:val="0069419A"/>
    <w:rsid w:val="00694291"/>
    <w:rsid w:val="00694310"/>
    <w:rsid w:val="006943ED"/>
    <w:rsid w:val="00694410"/>
    <w:rsid w:val="00694438"/>
    <w:rsid w:val="00694464"/>
    <w:rsid w:val="0069448B"/>
    <w:rsid w:val="00694497"/>
    <w:rsid w:val="00694575"/>
    <w:rsid w:val="0069469B"/>
    <w:rsid w:val="006946C9"/>
    <w:rsid w:val="006947A2"/>
    <w:rsid w:val="00694865"/>
    <w:rsid w:val="00694901"/>
    <w:rsid w:val="00694962"/>
    <w:rsid w:val="00694993"/>
    <w:rsid w:val="00694A3C"/>
    <w:rsid w:val="00694A90"/>
    <w:rsid w:val="00694B09"/>
    <w:rsid w:val="00694B54"/>
    <w:rsid w:val="00694C44"/>
    <w:rsid w:val="00694D02"/>
    <w:rsid w:val="00694D9F"/>
    <w:rsid w:val="00694DD2"/>
    <w:rsid w:val="00694DF5"/>
    <w:rsid w:val="00694E3A"/>
    <w:rsid w:val="00694EA3"/>
    <w:rsid w:val="00694F21"/>
    <w:rsid w:val="00695104"/>
    <w:rsid w:val="0069510D"/>
    <w:rsid w:val="00695132"/>
    <w:rsid w:val="0069513D"/>
    <w:rsid w:val="00695171"/>
    <w:rsid w:val="006951DD"/>
    <w:rsid w:val="006952CC"/>
    <w:rsid w:val="00695391"/>
    <w:rsid w:val="006953C7"/>
    <w:rsid w:val="00695459"/>
    <w:rsid w:val="00695501"/>
    <w:rsid w:val="00695520"/>
    <w:rsid w:val="0069556A"/>
    <w:rsid w:val="00695675"/>
    <w:rsid w:val="006957CE"/>
    <w:rsid w:val="006958E9"/>
    <w:rsid w:val="00695B4B"/>
    <w:rsid w:val="00695C24"/>
    <w:rsid w:val="00695F7E"/>
    <w:rsid w:val="00695FA9"/>
    <w:rsid w:val="00695FF6"/>
    <w:rsid w:val="00696229"/>
    <w:rsid w:val="00696231"/>
    <w:rsid w:val="006964B0"/>
    <w:rsid w:val="006964B6"/>
    <w:rsid w:val="006964B7"/>
    <w:rsid w:val="006964FB"/>
    <w:rsid w:val="0069658D"/>
    <w:rsid w:val="006965D1"/>
    <w:rsid w:val="006965DD"/>
    <w:rsid w:val="006966DC"/>
    <w:rsid w:val="0069681F"/>
    <w:rsid w:val="006968F1"/>
    <w:rsid w:val="006969EE"/>
    <w:rsid w:val="00696A17"/>
    <w:rsid w:val="00696A42"/>
    <w:rsid w:val="00696A9F"/>
    <w:rsid w:val="00696BAA"/>
    <w:rsid w:val="00696BB8"/>
    <w:rsid w:val="00696BC0"/>
    <w:rsid w:val="00696C17"/>
    <w:rsid w:val="00696C9D"/>
    <w:rsid w:val="00696CAF"/>
    <w:rsid w:val="00696DDE"/>
    <w:rsid w:val="00696E09"/>
    <w:rsid w:val="00696F98"/>
    <w:rsid w:val="00696FBE"/>
    <w:rsid w:val="006971EB"/>
    <w:rsid w:val="00697206"/>
    <w:rsid w:val="00697288"/>
    <w:rsid w:val="006972C3"/>
    <w:rsid w:val="006972F2"/>
    <w:rsid w:val="006973AD"/>
    <w:rsid w:val="00697489"/>
    <w:rsid w:val="0069755B"/>
    <w:rsid w:val="006975AF"/>
    <w:rsid w:val="006975EB"/>
    <w:rsid w:val="00697772"/>
    <w:rsid w:val="006977DD"/>
    <w:rsid w:val="006978AC"/>
    <w:rsid w:val="006978F5"/>
    <w:rsid w:val="00697ABE"/>
    <w:rsid w:val="00697AD7"/>
    <w:rsid w:val="00697CB0"/>
    <w:rsid w:val="00697D29"/>
    <w:rsid w:val="00697FEF"/>
    <w:rsid w:val="006A012D"/>
    <w:rsid w:val="006A0291"/>
    <w:rsid w:val="006A03B3"/>
    <w:rsid w:val="006A03F7"/>
    <w:rsid w:val="006A0458"/>
    <w:rsid w:val="006A051F"/>
    <w:rsid w:val="006A059F"/>
    <w:rsid w:val="006A06B9"/>
    <w:rsid w:val="006A076A"/>
    <w:rsid w:val="006A0937"/>
    <w:rsid w:val="006A097B"/>
    <w:rsid w:val="006A0A2C"/>
    <w:rsid w:val="006A0AD8"/>
    <w:rsid w:val="006A0B98"/>
    <w:rsid w:val="006A0C26"/>
    <w:rsid w:val="006A0C4A"/>
    <w:rsid w:val="006A0E4A"/>
    <w:rsid w:val="006A0E92"/>
    <w:rsid w:val="006A0EA1"/>
    <w:rsid w:val="006A0EF8"/>
    <w:rsid w:val="006A10F0"/>
    <w:rsid w:val="006A11B0"/>
    <w:rsid w:val="006A11DB"/>
    <w:rsid w:val="006A130D"/>
    <w:rsid w:val="006A14C3"/>
    <w:rsid w:val="006A1554"/>
    <w:rsid w:val="006A1674"/>
    <w:rsid w:val="006A17F9"/>
    <w:rsid w:val="006A1846"/>
    <w:rsid w:val="006A1918"/>
    <w:rsid w:val="006A19C5"/>
    <w:rsid w:val="006A1B40"/>
    <w:rsid w:val="006A1BCD"/>
    <w:rsid w:val="006A1C67"/>
    <w:rsid w:val="006A1CF5"/>
    <w:rsid w:val="006A1D79"/>
    <w:rsid w:val="006A1ECD"/>
    <w:rsid w:val="006A1F6B"/>
    <w:rsid w:val="006A1F70"/>
    <w:rsid w:val="006A1FA1"/>
    <w:rsid w:val="006A201C"/>
    <w:rsid w:val="006A203C"/>
    <w:rsid w:val="006A2072"/>
    <w:rsid w:val="006A20F3"/>
    <w:rsid w:val="006A2124"/>
    <w:rsid w:val="006A21AE"/>
    <w:rsid w:val="006A234A"/>
    <w:rsid w:val="006A23C6"/>
    <w:rsid w:val="006A23C9"/>
    <w:rsid w:val="006A23F3"/>
    <w:rsid w:val="006A2419"/>
    <w:rsid w:val="006A2423"/>
    <w:rsid w:val="006A24F2"/>
    <w:rsid w:val="006A2575"/>
    <w:rsid w:val="006A25DF"/>
    <w:rsid w:val="006A25ED"/>
    <w:rsid w:val="006A266D"/>
    <w:rsid w:val="006A2671"/>
    <w:rsid w:val="006A2863"/>
    <w:rsid w:val="006A29C8"/>
    <w:rsid w:val="006A2A55"/>
    <w:rsid w:val="006A2A95"/>
    <w:rsid w:val="006A2AC9"/>
    <w:rsid w:val="006A2C20"/>
    <w:rsid w:val="006A2CAB"/>
    <w:rsid w:val="006A2D32"/>
    <w:rsid w:val="006A2E71"/>
    <w:rsid w:val="006A2F2A"/>
    <w:rsid w:val="006A2F31"/>
    <w:rsid w:val="006A2FA7"/>
    <w:rsid w:val="006A2FC0"/>
    <w:rsid w:val="006A2FF1"/>
    <w:rsid w:val="006A3268"/>
    <w:rsid w:val="006A328B"/>
    <w:rsid w:val="006A32AC"/>
    <w:rsid w:val="006A330E"/>
    <w:rsid w:val="006A3427"/>
    <w:rsid w:val="006A34FE"/>
    <w:rsid w:val="006A3538"/>
    <w:rsid w:val="006A364B"/>
    <w:rsid w:val="006A3885"/>
    <w:rsid w:val="006A3949"/>
    <w:rsid w:val="006A39A3"/>
    <w:rsid w:val="006A39A9"/>
    <w:rsid w:val="006A39C0"/>
    <w:rsid w:val="006A39C3"/>
    <w:rsid w:val="006A3A35"/>
    <w:rsid w:val="006A3A75"/>
    <w:rsid w:val="006A3A87"/>
    <w:rsid w:val="006A3A93"/>
    <w:rsid w:val="006A3C00"/>
    <w:rsid w:val="006A3C1E"/>
    <w:rsid w:val="006A3E91"/>
    <w:rsid w:val="006A3EAD"/>
    <w:rsid w:val="006A3EBD"/>
    <w:rsid w:val="006A3FB0"/>
    <w:rsid w:val="006A401B"/>
    <w:rsid w:val="006A404A"/>
    <w:rsid w:val="006A413F"/>
    <w:rsid w:val="006A41CE"/>
    <w:rsid w:val="006A435E"/>
    <w:rsid w:val="006A45D1"/>
    <w:rsid w:val="006A46CC"/>
    <w:rsid w:val="006A4725"/>
    <w:rsid w:val="006A473D"/>
    <w:rsid w:val="006A4845"/>
    <w:rsid w:val="006A494C"/>
    <w:rsid w:val="006A496D"/>
    <w:rsid w:val="006A4A31"/>
    <w:rsid w:val="006A4AC6"/>
    <w:rsid w:val="006A4B30"/>
    <w:rsid w:val="006A4C6C"/>
    <w:rsid w:val="006A4ED4"/>
    <w:rsid w:val="006A4F0D"/>
    <w:rsid w:val="006A4F2F"/>
    <w:rsid w:val="006A4FC7"/>
    <w:rsid w:val="006A4FEE"/>
    <w:rsid w:val="006A5002"/>
    <w:rsid w:val="006A503B"/>
    <w:rsid w:val="006A5162"/>
    <w:rsid w:val="006A516A"/>
    <w:rsid w:val="006A51A6"/>
    <w:rsid w:val="006A5266"/>
    <w:rsid w:val="006A526A"/>
    <w:rsid w:val="006A52FC"/>
    <w:rsid w:val="006A5537"/>
    <w:rsid w:val="006A5781"/>
    <w:rsid w:val="006A588B"/>
    <w:rsid w:val="006A5AFC"/>
    <w:rsid w:val="006A5B80"/>
    <w:rsid w:val="006A5BE3"/>
    <w:rsid w:val="006A5C13"/>
    <w:rsid w:val="006A5C94"/>
    <w:rsid w:val="006A5D8B"/>
    <w:rsid w:val="006A5E16"/>
    <w:rsid w:val="006A5E32"/>
    <w:rsid w:val="006A5ED5"/>
    <w:rsid w:val="006A5F59"/>
    <w:rsid w:val="006A61E5"/>
    <w:rsid w:val="006A6228"/>
    <w:rsid w:val="006A62BD"/>
    <w:rsid w:val="006A62D9"/>
    <w:rsid w:val="006A6363"/>
    <w:rsid w:val="006A6484"/>
    <w:rsid w:val="006A668D"/>
    <w:rsid w:val="006A66A0"/>
    <w:rsid w:val="006A676E"/>
    <w:rsid w:val="006A67FF"/>
    <w:rsid w:val="006A685E"/>
    <w:rsid w:val="006A68DD"/>
    <w:rsid w:val="006A6A73"/>
    <w:rsid w:val="006A6AFD"/>
    <w:rsid w:val="006A6B65"/>
    <w:rsid w:val="006A6C6C"/>
    <w:rsid w:val="006A6C90"/>
    <w:rsid w:val="006A6CB4"/>
    <w:rsid w:val="006A6DBE"/>
    <w:rsid w:val="006A6E1F"/>
    <w:rsid w:val="006A6EB8"/>
    <w:rsid w:val="006A6F4D"/>
    <w:rsid w:val="006A6FF6"/>
    <w:rsid w:val="006A705A"/>
    <w:rsid w:val="006A7118"/>
    <w:rsid w:val="006A714A"/>
    <w:rsid w:val="006A71B0"/>
    <w:rsid w:val="006A73F1"/>
    <w:rsid w:val="006A7430"/>
    <w:rsid w:val="006A7521"/>
    <w:rsid w:val="006A75B5"/>
    <w:rsid w:val="006A75F5"/>
    <w:rsid w:val="006A7653"/>
    <w:rsid w:val="006A7684"/>
    <w:rsid w:val="006A76AE"/>
    <w:rsid w:val="006A77C9"/>
    <w:rsid w:val="006A77D5"/>
    <w:rsid w:val="006A7835"/>
    <w:rsid w:val="006A783A"/>
    <w:rsid w:val="006A793B"/>
    <w:rsid w:val="006A7969"/>
    <w:rsid w:val="006A7C63"/>
    <w:rsid w:val="006A7CCD"/>
    <w:rsid w:val="006A7D8B"/>
    <w:rsid w:val="006A7DB1"/>
    <w:rsid w:val="006A7EE8"/>
    <w:rsid w:val="006A7F6A"/>
    <w:rsid w:val="006B007B"/>
    <w:rsid w:val="006B0156"/>
    <w:rsid w:val="006B0182"/>
    <w:rsid w:val="006B0243"/>
    <w:rsid w:val="006B02CE"/>
    <w:rsid w:val="006B0322"/>
    <w:rsid w:val="006B0434"/>
    <w:rsid w:val="006B04B4"/>
    <w:rsid w:val="006B0525"/>
    <w:rsid w:val="006B053A"/>
    <w:rsid w:val="006B06A7"/>
    <w:rsid w:val="006B077C"/>
    <w:rsid w:val="006B0808"/>
    <w:rsid w:val="006B0985"/>
    <w:rsid w:val="006B09B2"/>
    <w:rsid w:val="006B0A04"/>
    <w:rsid w:val="006B0A9C"/>
    <w:rsid w:val="006B0ADB"/>
    <w:rsid w:val="006B0BCC"/>
    <w:rsid w:val="006B0C13"/>
    <w:rsid w:val="006B0C15"/>
    <w:rsid w:val="006B0C26"/>
    <w:rsid w:val="006B0DEA"/>
    <w:rsid w:val="006B0DEB"/>
    <w:rsid w:val="006B0E64"/>
    <w:rsid w:val="006B0E8E"/>
    <w:rsid w:val="006B0E9E"/>
    <w:rsid w:val="006B104E"/>
    <w:rsid w:val="006B115E"/>
    <w:rsid w:val="006B11EB"/>
    <w:rsid w:val="006B13B7"/>
    <w:rsid w:val="006B1476"/>
    <w:rsid w:val="006B1530"/>
    <w:rsid w:val="006B1566"/>
    <w:rsid w:val="006B1755"/>
    <w:rsid w:val="006B1A02"/>
    <w:rsid w:val="006B1B38"/>
    <w:rsid w:val="006B1C37"/>
    <w:rsid w:val="006B1C52"/>
    <w:rsid w:val="006B1CD5"/>
    <w:rsid w:val="006B1D29"/>
    <w:rsid w:val="006B1D57"/>
    <w:rsid w:val="006B1EE3"/>
    <w:rsid w:val="006B1F17"/>
    <w:rsid w:val="006B2000"/>
    <w:rsid w:val="006B2048"/>
    <w:rsid w:val="006B2109"/>
    <w:rsid w:val="006B2134"/>
    <w:rsid w:val="006B223B"/>
    <w:rsid w:val="006B2270"/>
    <w:rsid w:val="006B2296"/>
    <w:rsid w:val="006B22EC"/>
    <w:rsid w:val="006B22F5"/>
    <w:rsid w:val="006B2423"/>
    <w:rsid w:val="006B24E7"/>
    <w:rsid w:val="006B24EB"/>
    <w:rsid w:val="006B2505"/>
    <w:rsid w:val="006B2515"/>
    <w:rsid w:val="006B2536"/>
    <w:rsid w:val="006B25EF"/>
    <w:rsid w:val="006B2600"/>
    <w:rsid w:val="006B26E5"/>
    <w:rsid w:val="006B27A2"/>
    <w:rsid w:val="006B27EA"/>
    <w:rsid w:val="006B27F5"/>
    <w:rsid w:val="006B281C"/>
    <w:rsid w:val="006B2842"/>
    <w:rsid w:val="006B2858"/>
    <w:rsid w:val="006B292E"/>
    <w:rsid w:val="006B293F"/>
    <w:rsid w:val="006B297A"/>
    <w:rsid w:val="006B29FF"/>
    <w:rsid w:val="006B2A09"/>
    <w:rsid w:val="006B2A40"/>
    <w:rsid w:val="006B2ADE"/>
    <w:rsid w:val="006B2B7F"/>
    <w:rsid w:val="006B2DC0"/>
    <w:rsid w:val="006B2DED"/>
    <w:rsid w:val="006B2F3D"/>
    <w:rsid w:val="006B2F57"/>
    <w:rsid w:val="006B2F62"/>
    <w:rsid w:val="006B2F73"/>
    <w:rsid w:val="006B30C3"/>
    <w:rsid w:val="006B315B"/>
    <w:rsid w:val="006B3166"/>
    <w:rsid w:val="006B317E"/>
    <w:rsid w:val="006B3264"/>
    <w:rsid w:val="006B3294"/>
    <w:rsid w:val="006B32CA"/>
    <w:rsid w:val="006B33D1"/>
    <w:rsid w:val="006B3430"/>
    <w:rsid w:val="006B3579"/>
    <w:rsid w:val="006B3646"/>
    <w:rsid w:val="006B36B2"/>
    <w:rsid w:val="006B36BB"/>
    <w:rsid w:val="006B36F3"/>
    <w:rsid w:val="006B376F"/>
    <w:rsid w:val="006B380B"/>
    <w:rsid w:val="006B38B5"/>
    <w:rsid w:val="006B38FD"/>
    <w:rsid w:val="006B39E2"/>
    <w:rsid w:val="006B3B07"/>
    <w:rsid w:val="006B3B57"/>
    <w:rsid w:val="006B3BB5"/>
    <w:rsid w:val="006B3C3D"/>
    <w:rsid w:val="006B3C90"/>
    <w:rsid w:val="006B3CA3"/>
    <w:rsid w:val="006B3CB7"/>
    <w:rsid w:val="006B3D03"/>
    <w:rsid w:val="006B3D11"/>
    <w:rsid w:val="006B3D12"/>
    <w:rsid w:val="006B3D19"/>
    <w:rsid w:val="006B3D45"/>
    <w:rsid w:val="006B3D7B"/>
    <w:rsid w:val="006B3EDF"/>
    <w:rsid w:val="006B3F6C"/>
    <w:rsid w:val="006B3FE8"/>
    <w:rsid w:val="006B3FED"/>
    <w:rsid w:val="006B409A"/>
    <w:rsid w:val="006B4134"/>
    <w:rsid w:val="006B4136"/>
    <w:rsid w:val="006B417F"/>
    <w:rsid w:val="006B4208"/>
    <w:rsid w:val="006B4266"/>
    <w:rsid w:val="006B4323"/>
    <w:rsid w:val="006B435C"/>
    <w:rsid w:val="006B43C7"/>
    <w:rsid w:val="006B43CB"/>
    <w:rsid w:val="006B43E8"/>
    <w:rsid w:val="006B4407"/>
    <w:rsid w:val="006B44AB"/>
    <w:rsid w:val="006B45D4"/>
    <w:rsid w:val="006B45EC"/>
    <w:rsid w:val="006B4634"/>
    <w:rsid w:val="006B4691"/>
    <w:rsid w:val="006B4846"/>
    <w:rsid w:val="006B4B1B"/>
    <w:rsid w:val="006B4B49"/>
    <w:rsid w:val="006B4F8B"/>
    <w:rsid w:val="006B51E6"/>
    <w:rsid w:val="006B5251"/>
    <w:rsid w:val="006B528B"/>
    <w:rsid w:val="006B52BD"/>
    <w:rsid w:val="006B52C8"/>
    <w:rsid w:val="006B53FD"/>
    <w:rsid w:val="006B5472"/>
    <w:rsid w:val="006B5580"/>
    <w:rsid w:val="006B55B8"/>
    <w:rsid w:val="006B56A6"/>
    <w:rsid w:val="006B57E1"/>
    <w:rsid w:val="006B581F"/>
    <w:rsid w:val="006B585B"/>
    <w:rsid w:val="006B5955"/>
    <w:rsid w:val="006B5A28"/>
    <w:rsid w:val="006B5BA0"/>
    <w:rsid w:val="006B5C48"/>
    <w:rsid w:val="006B5CD1"/>
    <w:rsid w:val="006B5CFC"/>
    <w:rsid w:val="006B5D39"/>
    <w:rsid w:val="006B5D51"/>
    <w:rsid w:val="006B5DD7"/>
    <w:rsid w:val="006B5E92"/>
    <w:rsid w:val="006B5FBE"/>
    <w:rsid w:val="006B5FF4"/>
    <w:rsid w:val="006B60E4"/>
    <w:rsid w:val="006B6339"/>
    <w:rsid w:val="006B649D"/>
    <w:rsid w:val="006B64E4"/>
    <w:rsid w:val="006B650E"/>
    <w:rsid w:val="006B6606"/>
    <w:rsid w:val="006B66FB"/>
    <w:rsid w:val="006B68D9"/>
    <w:rsid w:val="006B6946"/>
    <w:rsid w:val="006B69B7"/>
    <w:rsid w:val="006B69C6"/>
    <w:rsid w:val="006B6AE6"/>
    <w:rsid w:val="006B6B2B"/>
    <w:rsid w:val="006B6C92"/>
    <w:rsid w:val="006B6D8B"/>
    <w:rsid w:val="006B6D9D"/>
    <w:rsid w:val="006B6E37"/>
    <w:rsid w:val="006B6FBC"/>
    <w:rsid w:val="006B7006"/>
    <w:rsid w:val="006B7109"/>
    <w:rsid w:val="006B714F"/>
    <w:rsid w:val="006B72B2"/>
    <w:rsid w:val="006B734D"/>
    <w:rsid w:val="006B736E"/>
    <w:rsid w:val="006B73C0"/>
    <w:rsid w:val="006B73CF"/>
    <w:rsid w:val="006B73DC"/>
    <w:rsid w:val="006B73F3"/>
    <w:rsid w:val="006B7551"/>
    <w:rsid w:val="006B75CD"/>
    <w:rsid w:val="006B7688"/>
    <w:rsid w:val="006B771A"/>
    <w:rsid w:val="006B7739"/>
    <w:rsid w:val="006B7784"/>
    <w:rsid w:val="006B779D"/>
    <w:rsid w:val="006B7871"/>
    <w:rsid w:val="006B7874"/>
    <w:rsid w:val="006B79B7"/>
    <w:rsid w:val="006B79FA"/>
    <w:rsid w:val="006B7A01"/>
    <w:rsid w:val="006B7A08"/>
    <w:rsid w:val="006B7A0B"/>
    <w:rsid w:val="006B7A5E"/>
    <w:rsid w:val="006B7AAF"/>
    <w:rsid w:val="006B7AD8"/>
    <w:rsid w:val="006B7AF2"/>
    <w:rsid w:val="006B7CAF"/>
    <w:rsid w:val="006B7D14"/>
    <w:rsid w:val="006B7D45"/>
    <w:rsid w:val="006B7DD0"/>
    <w:rsid w:val="006B7DE1"/>
    <w:rsid w:val="006C0020"/>
    <w:rsid w:val="006C009A"/>
    <w:rsid w:val="006C00C9"/>
    <w:rsid w:val="006C00F4"/>
    <w:rsid w:val="006C01A7"/>
    <w:rsid w:val="006C0268"/>
    <w:rsid w:val="006C02E5"/>
    <w:rsid w:val="006C02FD"/>
    <w:rsid w:val="006C0308"/>
    <w:rsid w:val="006C0489"/>
    <w:rsid w:val="006C0553"/>
    <w:rsid w:val="006C0682"/>
    <w:rsid w:val="006C0687"/>
    <w:rsid w:val="006C06BB"/>
    <w:rsid w:val="006C070E"/>
    <w:rsid w:val="006C0802"/>
    <w:rsid w:val="006C0845"/>
    <w:rsid w:val="006C088C"/>
    <w:rsid w:val="006C099D"/>
    <w:rsid w:val="006C0A1F"/>
    <w:rsid w:val="006C0A37"/>
    <w:rsid w:val="006C0A7B"/>
    <w:rsid w:val="006C0BDF"/>
    <w:rsid w:val="006C0BFD"/>
    <w:rsid w:val="006C0C8D"/>
    <w:rsid w:val="006C0D1B"/>
    <w:rsid w:val="006C0D28"/>
    <w:rsid w:val="006C0D62"/>
    <w:rsid w:val="006C0DA9"/>
    <w:rsid w:val="006C0EBE"/>
    <w:rsid w:val="006C1030"/>
    <w:rsid w:val="006C103B"/>
    <w:rsid w:val="006C1140"/>
    <w:rsid w:val="006C1230"/>
    <w:rsid w:val="006C12B3"/>
    <w:rsid w:val="006C12E4"/>
    <w:rsid w:val="006C1302"/>
    <w:rsid w:val="006C13BE"/>
    <w:rsid w:val="006C1425"/>
    <w:rsid w:val="006C1486"/>
    <w:rsid w:val="006C149A"/>
    <w:rsid w:val="006C14C6"/>
    <w:rsid w:val="006C16E9"/>
    <w:rsid w:val="006C17CC"/>
    <w:rsid w:val="006C188C"/>
    <w:rsid w:val="006C1B10"/>
    <w:rsid w:val="006C1B33"/>
    <w:rsid w:val="006C1B61"/>
    <w:rsid w:val="006C1CDD"/>
    <w:rsid w:val="006C1D91"/>
    <w:rsid w:val="006C1DA9"/>
    <w:rsid w:val="006C1E10"/>
    <w:rsid w:val="006C1E3B"/>
    <w:rsid w:val="006C1E79"/>
    <w:rsid w:val="006C1F1E"/>
    <w:rsid w:val="006C1F2A"/>
    <w:rsid w:val="006C1F55"/>
    <w:rsid w:val="006C1F87"/>
    <w:rsid w:val="006C1FFE"/>
    <w:rsid w:val="006C2031"/>
    <w:rsid w:val="006C2155"/>
    <w:rsid w:val="006C2178"/>
    <w:rsid w:val="006C21C0"/>
    <w:rsid w:val="006C21F1"/>
    <w:rsid w:val="006C2316"/>
    <w:rsid w:val="006C2383"/>
    <w:rsid w:val="006C2577"/>
    <w:rsid w:val="006C2682"/>
    <w:rsid w:val="006C26C9"/>
    <w:rsid w:val="006C2742"/>
    <w:rsid w:val="006C28D6"/>
    <w:rsid w:val="006C295C"/>
    <w:rsid w:val="006C2A13"/>
    <w:rsid w:val="006C2A71"/>
    <w:rsid w:val="006C2AB8"/>
    <w:rsid w:val="006C2B23"/>
    <w:rsid w:val="006C2B93"/>
    <w:rsid w:val="006C2C66"/>
    <w:rsid w:val="006C2C6A"/>
    <w:rsid w:val="006C2DD6"/>
    <w:rsid w:val="006C2E19"/>
    <w:rsid w:val="006C2EAE"/>
    <w:rsid w:val="006C2EFA"/>
    <w:rsid w:val="006C2FA5"/>
    <w:rsid w:val="006C2FCC"/>
    <w:rsid w:val="006C30A0"/>
    <w:rsid w:val="006C30F7"/>
    <w:rsid w:val="006C316C"/>
    <w:rsid w:val="006C31E1"/>
    <w:rsid w:val="006C32CF"/>
    <w:rsid w:val="006C32E3"/>
    <w:rsid w:val="006C341A"/>
    <w:rsid w:val="006C34CD"/>
    <w:rsid w:val="006C3667"/>
    <w:rsid w:val="006C36A9"/>
    <w:rsid w:val="006C37A1"/>
    <w:rsid w:val="006C37FA"/>
    <w:rsid w:val="006C387D"/>
    <w:rsid w:val="006C3907"/>
    <w:rsid w:val="006C3976"/>
    <w:rsid w:val="006C39CB"/>
    <w:rsid w:val="006C3A86"/>
    <w:rsid w:val="006C3AA4"/>
    <w:rsid w:val="006C3B75"/>
    <w:rsid w:val="006C3C3C"/>
    <w:rsid w:val="006C3D4B"/>
    <w:rsid w:val="006C3E74"/>
    <w:rsid w:val="006C3F10"/>
    <w:rsid w:val="006C3FB8"/>
    <w:rsid w:val="006C405D"/>
    <w:rsid w:val="006C40AC"/>
    <w:rsid w:val="006C40F5"/>
    <w:rsid w:val="006C4109"/>
    <w:rsid w:val="006C4156"/>
    <w:rsid w:val="006C4160"/>
    <w:rsid w:val="006C4381"/>
    <w:rsid w:val="006C445D"/>
    <w:rsid w:val="006C44ED"/>
    <w:rsid w:val="006C4515"/>
    <w:rsid w:val="006C4519"/>
    <w:rsid w:val="006C45D9"/>
    <w:rsid w:val="006C45E3"/>
    <w:rsid w:val="006C46C0"/>
    <w:rsid w:val="006C46E0"/>
    <w:rsid w:val="006C4772"/>
    <w:rsid w:val="006C49BD"/>
    <w:rsid w:val="006C49BE"/>
    <w:rsid w:val="006C4AD1"/>
    <w:rsid w:val="006C4B12"/>
    <w:rsid w:val="006C4B22"/>
    <w:rsid w:val="006C4B6C"/>
    <w:rsid w:val="006C4B80"/>
    <w:rsid w:val="006C4BB3"/>
    <w:rsid w:val="006C4D34"/>
    <w:rsid w:val="006C4D88"/>
    <w:rsid w:val="006C4DD0"/>
    <w:rsid w:val="006C4F04"/>
    <w:rsid w:val="006C5023"/>
    <w:rsid w:val="006C505C"/>
    <w:rsid w:val="006C508C"/>
    <w:rsid w:val="006C50FA"/>
    <w:rsid w:val="006C51F4"/>
    <w:rsid w:val="006C522A"/>
    <w:rsid w:val="006C52D9"/>
    <w:rsid w:val="006C532E"/>
    <w:rsid w:val="006C5344"/>
    <w:rsid w:val="006C53CF"/>
    <w:rsid w:val="006C54AE"/>
    <w:rsid w:val="006C571A"/>
    <w:rsid w:val="006C571F"/>
    <w:rsid w:val="006C5761"/>
    <w:rsid w:val="006C57DC"/>
    <w:rsid w:val="006C583B"/>
    <w:rsid w:val="006C589E"/>
    <w:rsid w:val="006C59E2"/>
    <w:rsid w:val="006C5A9A"/>
    <w:rsid w:val="006C5C3E"/>
    <w:rsid w:val="006C5C45"/>
    <w:rsid w:val="006C5C63"/>
    <w:rsid w:val="006C5D22"/>
    <w:rsid w:val="006C5D41"/>
    <w:rsid w:val="006C5D73"/>
    <w:rsid w:val="006C5E53"/>
    <w:rsid w:val="006C5F13"/>
    <w:rsid w:val="006C5FB1"/>
    <w:rsid w:val="006C61DA"/>
    <w:rsid w:val="006C61FA"/>
    <w:rsid w:val="006C6202"/>
    <w:rsid w:val="006C620B"/>
    <w:rsid w:val="006C627F"/>
    <w:rsid w:val="006C6337"/>
    <w:rsid w:val="006C63A9"/>
    <w:rsid w:val="006C64AD"/>
    <w:rsid w:val="006C64EB"/>
    <w:rsid w:val="006C6542"/>
    <w:rsid w:val="006C668C"/>
    <w:rsid w:val="006C66CD"/>
    <w:rsid w:val="006C6791"/>
    <w:rsid w:val="006C67F3"/>
    <w:rsid w:val="006C67FE"/>
    <w:rsid w:val="006C682D"/>
    <w:rsid w:val="006C6878"/>
    <w:rsid w:val="006C68F7"/>
    <w:rsid w:val="006C691B"/>
    <w:rsid w:val="006C6A07"/>
    <w:rsid w:val="006C6A17"/>
    <w:rsid w:val="006C6BB5"/>
    <w:rsid w:val="006C6BD6"/>
    <w:rsid w:val="006C6BEF"/>
    <w:rsid w:val="006C6C3A"/>
    <w:rsid w:val="006C6C5F"/>
    <w:rsid w:val="006C6C74"/>
    <w:rsid w:val="006C6D26"/>
    <w:rsid w:val="006C6D73"/>
    <w:rsid w:val="006C6DE3"/>
    <w:rsid w:val="006C6E04"/>
    <w:rsid w:val="006C6FBD"/>
    <w:rsid w:val="006C6FDB"/>
    <w:rsid w:val="006C7096"/>
    <w:rsid w:val="006C70EC"/>
    <w:rsid w:val="006C71B9"/>
    <w:rsid w:val="006C720B"/>
    <w:rsid w:val="006C7317"/>
    <w:rsid w:val="006C737C"/>
    <w:rsid w:val="006C74B2"/>
    <w:rsid w:val="006C74B5"/>
    <w:rsid w:val="006C7579"/>
    <w:rsid w:val="006C7589"/>
    <w:rsid w:val="006C7701"/>
    <w:rsid w:val="006C7A79"/>
    <w:rsid w:val="006C7C97"/>
    <w:rsid w:val="006C7CAB"/>
    <w:rsid w:val="006C7E2B"/>
    <w:rsid w:val="006C7EDB"/>
    <w:rsid w:val="006D004C"/>
    <w:rsid w:val="006D00D9"/>
    <w:rsid w:val="006D022E"/>
    <w:rsid w:val="006D0262"/>
    <w:rsid w:val="006D02E0"/>
    <w:rsid w:val="006D032E"/>
    <w:rsid w:val="006D0368"/>
    <w:rsid w:val="006D03E8"/>
    <w:rsid w:val="006D03FD"/>
    <w:rsid w:val="006D043B"/>
    <w:rsid w:val="006D049E"/>
    <w:rsid w:val="006D05F4"/>
    <w:rsid w:val="006D061E"/>
    <w:rsid w:val="006D062D"/>
    <w:rsid w:val="006D067C"/>
    <w:rsid w:val="006D0759"/>
    <w:rsid w:val="006D0843"/>
    <w:rsid w:val="006D08EF"/>
    <w:rsid w:val="006D09FA"/>
    <w:rsid w:val="006D0AB0"/>
    <w:rsid w:val="006D0BF0"/>
    <w:rsid w:val="006D0C09"/>
    <w:rsid w:val="006D0C49"/>
    <w:rsid w:val="006D0C8A"/>
    <w:rsid w:val="006D0D1D"/>
    <w:rsid w:val="006D0D64"/>
    <w:rsid w:val="006D0E04"/>
    <w:rsid w:val="006D0E9E"/>
    <w:rsid w:val="006D0ED4"/>
    <w:rsid w:val="006D0FE9"/>
    <w:rsid w:val="006D0FFD"/>
    <w:rsid w:val="006D1122"/>
    <w:rsid w:val="006D1249"/>
    <w:rsid w:val="006D1258"/>
    <w:rsid w:val="006D125C"/>
    <w:rsid w:val="006D12B3"/>
    <w:rsid w:val="006D12FC"/>
    <w:rsid w:val="006D130F"/>
    <w:rsid w:val="006D13F5"/>
    <w:rsid w:val="006D142F"/>
    <w:rsid w:val="006D145F"/>
    <w:rsid w:val="006D14AC"/>
    <w:rsid w:val="006D15A9"/>
    <w:rsid w:val="006D15C9"/>
    <w:rsid w:val="006D15E3"/>
    <w:rsid w:val="006D1631"/>
    <w:rsid w:val="006D1741"/>
    <w:rsid w:val="006D17FD"/>
    <w:rsid w:val="006D1866"/>
    <w:rsid w:val="006D187C"/>
    <w:rsid w:val="006D18C4"/>
    <w:rsid w:val="006D1904"/>
    <w:rsid w:val="006D1BE2"/>
    <w:rsid w:val="006D1C07"/>
    <w:rsid w:val="006D1D65"/>
    <w:rsid w:val="006D1E78"/>
    <w:rsid w:val="006D1F49"/>
    <w:rsid w:val="006D2007"/>
    <w:rsid w:val="006D2035"/>
    <w:rsid w:val="006D2093"/>
    <w:rsid w:val="006D20D0"/>
    <w:rsid w:val="006D2153"/>
    <w:rsid w:val="006D222C"/>
    <w:rsid w:val="006D22CA"/>
    <w:rsid w:val="006D22D0"/>
    <w:rsid w:val="006D240C"/>
    <w:rsid w:val="006D24FA"/>
    <w:rsid w:val="006D252D"/>
    <w:rsid w:val="006D2535"/>
    <w:rsid w:val="006D2537"/>
    <w:rsid w:val="006D2583"/>
    <w:rsid w:val="006D25A9"/>
    <w:rsid w:val="006D2899"/>
    <w:rsid w:val="006D28DE"/>
    <w:rsid w:val="006D299D"/>
    <w:rsid w:val="006D29D6"/>
    <w:rsid w:val="006D29FA"/>
    <w:rsid w:val="006D2AB8"/>
    <w:rsid w:val="006D2BC9"/>
    <w:rsid w:val="006D2C64"/>
    <w:rsid w:val="006D2CBF"/>
    <w:rsid w:val="006D2CC4"/>
    <w:rsid w:val="006D2DE3"/>
    <w:rsid w:val="006D2DEB"/>
    <w:rsid w:val="006D2F26"/>
    <w:rsid w:val="006D3095"/>
    <w:rsid w:val="006D30DC"/>
    <w:rsid w:val="006D33E2"/>
    <w:rsid w:val="006D346E"/>
    <w:rsid w:val="006D3622"/>
    <w:rsid w:val="006D363A"/>
    <w:rsid w:val="006D3652"/>
    <w:rsid w:val="006D37C5"/>
    <w:rsid w:val="006D37E3"/>
    <w:rsid w:val="006D38DC"/>
    <w:rsid w:val="006D3981"/>
    <w:rsid w:val="006D39D0"/>
    <w:rsid w:val="006D39D9"/>
    <w:rsid w:val="006D39F6"/>
    <w:rsid w:val="006D3A65"/>
    <w:rsid w:val="006D3AC7"/>
    <w:rsid w:val="006D3B73"/>
    <w:rsid w:val="006D3B86"/>
    <w:rsid w:val="006D3BBC"/>
    <w:rsid w:val="006D3C0D"/>
    <w:rsid w:val="006D3CFA"/>
    <w:rsid w:val="006D3E3C"/>
    <w:rsid w:val="006D3FFC"/>
    <w:rsid w:val="006D408A"/>
    <w:rsid w:val="006D41CD"/>
    <w:rsid w:val="006D42B8"/>
    <w:rsid w:val="006D4450"/>
    <w:rsid w:val="006D462D"/>
    <w:rsid w:val="006D46C8"/>
    <w:rsid w:val="006D46F9"/>
    <w:rsid w:val="006D47D2"/>
    <w:rsid w:val="006D486B"/>
    <w:rsid w:val="006D48AC"/>
    <w:rsid w:val="006D4975"/>
    <w:rsid w:val="006D4A0C"/>
    <w:rsid w:val="006D4B94"/>
    <w:rsid w:val="006D4BCF"/>
    <w:rsid w:val="006D4C15"/>
    <w:rsid w:val="006D4C28"/>
    <w:rsid w:val="006D4DF9"/>
    <w:rsid w:val="006D4E18"/>
    <w:rsid w:val="006D4E7D"/>
    <w:rsid w:val="006D4F0B"/>
    <w:rsid w:val="006D4FBE"/>
    <w:rsid w:val="006D5070"/>
    <w:rsid w:val="006D5080"/>
    <w:rsid w:val="006D5088"/>
    <w:rsid w:val="006D517E"/>
    <w:rsid w:val="006D51A2"/>
    <w:rsid w:val="006D52D1"/>
    <w:rsid w:val="006D53F1"/>
    <w:rsid w:val="006D541C"/>
    <w:rsid w:val="006D545E"/>
    <w:rsid w:val="006D5543"/>
    <w:rsid w:val="006D558D"/>
    <w:rsid w:val="006D5597"/>
    <w:rsid w:val="006D5688"/>
    <w:rsid w:val="006D56D2"/>
    <w:rsid w:val="006D5747"/>
    <w:rsid w:val="006D5819"/>
    <w:rsid w:val="006D5918"/>
    <w:rsid w:val="006D592E"/>
    <w:rsid w:val="006D593F"/>
    <w:rsid w:val="006D5974"/>
    <w:rsid w:val="006D5A29"/>
    <w:rsid w:val="006D5A2C"/>
    <w:rsid w:val="006D5A5D"/>
    <w:rsid w:val="006D5B43"/>
    <w:rsid w:val="006D5B77"/>
    <w:rsid w:val="006D5CBB"/>
    <w:rsid w:val="006D5D6C"/>
    <w:rsid w:val="006D5DD9"/>
    <w:rsid w:val="006D5E28"/>
    <w:rsid w:val="006D6275"/>
    <w:rsid w:val="006D637D"/>
    <w:rsid w:val="006D63EF"/>
    <w:rsid w:val="006D643E"/>
    <w:rsid w:val="006D6477"/>
    <w:rsid w:val="006D65A7"/>
    <w:rsid w:val="006D65C8"/>
    <w:rsid w:val="006D6692"/>
    <w:rsid w:val="006D66C4"/>
    <w:rsid w:val="006D696D"/>
    <w:rsid w:val="006D69A8"/>
    <w:rsid w:val="006D69E5"/>
    <w:rsid w:val="006D6B0D"/>
    <w:rsid w:val="006D6B7C"/>
    <w:rsid w:val="006D6C23"/>
    <w:rsid w:val="006D6CF4"/>
    <w:rsid w:val="006D6DF1"/>
    <w:rsid w:val="006D6E33"/>
    <w:rsid w:val="006D6F16"/>
    <w:rsid w:val="006D7019"/>
    <w:rsid w:val="006D7055"/>
    <w:rsid w:val="006D710D"/>
    <w:rsid w:val="006D71DE"/>
    <w:rsid w:val="006D7402"/>
    <w:rsid w:val="006D74B9"/>
    <w:rsid w:val="006D74BA"/>
    <w:rsid w:val="006D7565"/>
    <w:rsid w:val="006D75AD"/>
    <w:rsid w:val="006D75D0"/>
    <w:rsid w:val="006D7651"/>
    <w:rsid w:val="006D76CD"/>
    <w:rsid w:val="006D7761"/>
    <w:rsid w:val="006D779A"/>
    <w:rsid w:val="006D7883"/>
    <w:rsid w:val="006D7965"/>
    <w:rsid w:val="006D796F"/>
    <w:rsid w:val="006D7B82"/>
    <w:rsid w:val="006D7C4F"/>
    <w:rsid w:val="006D7CE1"/>
    <w:rsid w:val="006D7D78"/>
    <w:rsid w:val="006D7E33"/>
    <w:rsid w:val="006D7E42"/>
    <w:rsid w:val="006D7E77"/>
    <w:rsid w:val="006D7EC8"/>
    <w:rsid w:val="006D7F52"/>
    <w:rsid w:val="006D7F8D"/>
    <w:rsid w:val="006D7F9B"/>
    <w:rsid w:val="006D7FA4"/>
    <w:rsid w:val="006E0059"/>
    <w:rsid w:val="006E00B1"/>
    <w:rsid w:val="006E00FA"/>
    <w:rsid w:val="006E01A7"/>
    <w:rsid w:val="006E01AB"/>
    <w:rsid w:val="006E0352"/>
    <w:rsid w:val="006E03F8"/>
    <w:rsid w:val="006E047E"/>
    <w:rsid w:val="006E0538"/>
    <w:rsid w:val="006E0575"/>
    <w:rsid w:val="006E05D5"/>
    <w:rsid w:val="006E06DF"/>
    <w:rsid w:val="006E07AF"/>
    <w:rsid w:val="006E07C0"/>
    <w:rsid w:val="006E07D7"/>
    <w:rsid w:val="006E07F1"/>
    <w:rsid w:val="006E07FB"/>
    <w:rsid w:val="006E08EA"/>
    <w:rsid w:val="006E09FE"/>
    <w:rsid w:val="006E0A5A"/>
    <w:rsid w:val="006E0AFB"/>
    <w:rsid w:val="006E0B32"/>
    <w:rsid w:val="006E0BCC"/>
    <w:rsid w:val="006E0C0C"/>
    <w:rsid w:val="006E0D49"/>
    <w:rsid w:val="006E0D58"/>
    <w:rsid w:val="006E0ED9"/>
    <w:rsid w:val="006E0F76"/>
    <w:rsid w:val="006E0F8F"/>
    <w:rsid w:val="006E1090"/>
    <w:rsid w:val="006E113A"/>
    <w:rsid w:val="006E1142"/>
    <w:rsid w:val="006E128E"/>
    <w:rsid w:val="006E12C1"/>
    <w:rsid w:val="006E1347"/>
    <w:rsid w:val="006E13F9"/>
    <w:rsid w:val="006E150E"/>
    <w:rsid w:val="006E154A"/>
    <w:rsid w:val="006E155D"/>
    <w:rsid w:val="006E159D"/>
    <w:rsid w:val="006E15DF"/>
    <w:rsid w:val="006E1658"/>
    <w:rsid w:val="006E16F9"/>
    <w:rsid w:val="006E1731"/>
    <w:rsid w:val="006E17D0"/>
    <w:rsid w:val="006E17E5"/>
    <w:rsid w:val="006E192F"/>
    <w:rsid w:val="006E195C"/>
    <w:rsid w:val="006E19FD"/>
    <w:rsid w:val="006E1B28"/>
    <w:rsid w:val="006E1B3F"/>
    <w:rsid w:val="006E1BAD"/>
    <w:rsid w:val="006E1C64"/>
    <w:rsid w:val="006E1C70"/>
    <w:rsid w:val="006E1D47"/>
    <w:rsid w:val="006E1D9D"/>
    <w:rsid w:val="006E1DBE"/>
    <w:rsid w:val="006E1E1B"/>
    <w:rsid w:val="006E1E3B"/>
    <w:rsid w:val="006E1E98"/>
    <w:rsid w:val="006E1EFD"/>
    <w:rsid w:val="006E1FA1"/>
    <w:rsid w:val="006E207D"/>
    <w:rsid w:val="006E208C"/>
    <w:rsid w:val="006E213A"/>
    <w:rsid w:val="006E222D"/>
    <w:rsid w:val="006E224A"/>
    <w:rsid w:val="006E2252"/>
    <w:rsid w:val="006E2435"/>
    <w:rsid w:val="006E2501"/>
    <w:rsid w:val="006E261D"/>
    <w:rsid w:val="006E27FE"/>
    <w:rsid w:val="006E289F"/>
    <w:rsid w:val="006E292F"/>
    <w:rsid w:val="006E2B3F"/>
    <w:rsid w:val="006E2B4D"/>
    <w:rsid w:val="006E2BC1"/>
    <w:rsid w:val="006E2D8A"/>
    <w:rsid w:val="006E2F28"/>
    <w:rsid w:val="006E2F37"/>
    <w:rsid w:val="006E2F94"/>
    <w:rsid w:val="006E30BE"/>
    <w:rsid w:val="006E3101"/>
    <w:rsid w:val="006E314F"/>
    <w:rsid w:val="006E31BF"/>
    <w:rsid w:val="006E3222"/>
    <w:rsid w:val="006E32A6"/>
    <w:rsid w:val="006E33E2"/>
    <w:rsid w:val="006E33F6"/>
    <w:rsid w:val="006E3532"/>
    <w:rsid w:val="006E35FA"/>
    <w:rsid w:val="006E36E2"/>
    <w:rsid w:val="006E37BE"/>
    <w:rsid w:val="006E37C6"/>
    <w:rsid w:val="006E38AC"/>
    <w:rsid w:val="006E38F9"/>
    <w:rsid w:val="006E393B"/>
    <w:rsid w:val="006E3B63"/>
    <w:rsid w:val="006E3C51"/>
    <w:rsid w:val="006E3CCC"/>
    <w:rsid w:val="006E3CF1"/>
    <w:rsid w:val="006E3D4E"/>
    <w:rsid w:val="006E3D61"/>
    <w:rsid w:val="006E3DD7"/>
    <w:rsid w:val="006E3E25"/>
    <w:rsid w:val="006E3E7F"/>
    <w:rsid w:val="006E402E"/>
    <w:rsid w:val="006E4088"/>
    <w:rsid w:val="006E40C3"/>
    <w:rsid w:val="006E40C8"/>
    <w:rsid w:val="006E4283"/>
    <w:rsid w:val="006E4327"/>
    <w:rsid w:val="006E4422"/>
    <w:rsid w:val="006E4471"/>
    <w:rsid w:val="006E45B8"/>
    <w:rsid w:val="006E45CF"/>
    <w:rsid w:val="006E4765"/>
    <w:rsid w:val="006E47E8"/>
    <w:rsid w:val="006E494C"/>
    <w:rsid w:val="006E49C2"/>
    <w:rsid w:val="006E49D2"/>
    <w:rsid w:val="006E4A69"/>
    <w:rsid w:val="006E4AFF"/>
    <w:rsid w:val="006E4B53"/>
    <w:rsid w:val="006E4B60"/>
    <w:rsid w:val="006E4C2C"/>
    <w:rsid w:val="006E4D89"/>
    <w:rsid w:val="006E4DA5"/>
    <w:rsid w:val="006E4F0B"/>
    <w:rsid w:val="006E4F18"/>
    <w:rsid w:val="006E4F1B"/>
    <w:rsid w:val="006E4F9B"/>
    <w:rsid w:val="006E50D2"/>
    <w:rsid w:val="006E5152"/>
    <w:rsid w:val="006E5294"/>
    <w:rsid w:val="006E52CC"/>
    <w:rsid w:val="006E532D"/>
    <w:rsid w:val="006E536C"/>
    <w:rsid w:val="006E54E5"/>
    <w:rsid w:val="006E5545"/>
    <w:rsid w:val="006E576A"/>
    <w:rsid w:val="006E57DC"/>
    <w:rsid w:val="006E57EA"/>
    <w:rsid w:val="006E5862"/>
    <w:rsid w:val="006E5898"/>
    <w:rsid w:val="006E58EC"/>
    <w:rsid w:val="006E596E"/>
    <w:rsid w:val="006E59AD"/>
    <w:rsid w:val="006E59F6"/>
    <w:rsid w:val="006E5AAE"/>
    <w:rsid w:val="006E5B95"/>
    <w:rsid w:val="006E5DFD"/>
    <w:rsid w:val="006E5F7D"/>
    <w:rsid w:val="006E5F99"/>
    <w:rsid w:val="006E5FAD"/>
    <w:rsid w:val="006E6001"/>
    <w:rsid w:val="006E6147"/>
    <w:rsid w:val="006E6149"/>
    <w:rsid w:val="006E61D5"/>
    <w:rsid w:val="006E6396"/>
    <w:rsid w:val="006E63DD"/>
    <w:rsid w:val="006E6574"/>
    <w:rsid w:val="006E6578"/>
    <w:rsid w:val="006E6676"/>
    <w:rsid w:val="006E6745"/>
    <w:rsid w:val="006E6752"/>
    <w:rsid w:val="006E68DB"/>
    <w:rsid w:val="006E690A"/>
    <w:rsid w:val="006E6932"/>
    <w:rsid w:val="006E69ED"/>
    <w:rsid w:val="006E6B0E"/>
    <w:rsid w:val="006E6B49"/>
    <w:rsid w:val="006E6B57"/>
    <w:rsid w:val="006E6B7A"/>
    <w:rsid w:val="006E6CCA"/>
    <w:rsid w:val="006E6D6F"/>
    <w:rsid w:val="006E6D80"/>
    <w:rsid w:val="006E6DF3"/>
    <w:rsid w:val="006E6E25"/>
    <w:rsid w:val="006E6F4E"/>
    <w:rsid w:val="006E6FA1"/>
    <w:rsid w:val="006E6FFB"/>
    <w:rsid w:val="006E70A8"/>
    <w:rsid w:val="006E712A"/>
    <w:rsid w:val="006E71CB"/>
    <w:rsid w:val="006E726F"/>
    <w:rsid w:val="006E7275"/>
    <w:rsid w:val="006E728C"/>
    <w:rsid w:val="006E7349"/>
    <w:rsid w:val="006E7379"/>
    <w:rsid w:val="006E737C"/>
    <w:rsid w:val="006E7393"/>
    <w:rsid w:val="006E744D"/>
    <w:rsid w:val="006E74FE"/>
    <w:rsid w:val="006E75AA"/>
    <w:rsid w:val="006E77A4"/>
    <w:rsid w:val="006E78E4"/>
    <w:rsid w:val="006E78E9"/>
    <w:rsid w:val="006E799B"/>
    <w:rsid w:val="006E7A32"/>
    <w:rsid w:val="006E7A8E"/>
    <w:rsid w:val="006E7B91"/>
    <w:rsid w:val="006E7BE6"/>
    <w:rsid w:val="006E7C67"/>
    <w:rsid w:val="006E7CB6"/>
    <w:rsid w:val="006E7D1A"/>
    <w:rsid w:val="006E7D25"/>
    <w:rsid w:val="006E7D69"/>
    <w:rsid w:val="006E7D9D"/>
    <w:rsid w:val="006E7DC9"/>
    <w:rsid w:val="006E7E53"/>
    <w:rsid w:val="006E7ECE"/>
    <w:rsid w:val="006F0017"/>
    <w:rsid w:val="006F005D"/>
    <w:rsid w:val="006F0171"/>
    <w:rsid w:val="006F038F"/>
    <w:rsid w:val="006F03EB"/>
    <w:rsid w:val="006F03F8"/>
    <w:rsid w:val="006F0470"/>
    <w:rsid w:val="006F0481"/>
    <w:rsid w:val="006F0640"/>
    <w:rsid w:val="006F07AE"/>
    <w:rsid w:val="006F07B3"/>
    <w:rsid w:val="006F081E"/>
    <w:rsid w:val="006F084A"/>
    <w:rsid w:val="006F0872"/>
    <w:rsid w:val="006F0873"/>
    <w:rsid w:val="006F09D6"/>
    <w:rsid w:val="006F09EA"/>
    <w:rsid w:val="006F0AA5"/>
    <w:rsid w:val="006F0ADD"/>
    <w:rsid w:val="006F0B89"/>
    <w:rsid w:val="006F0B90"/>
    <w:rsid w:val="006F0BFC"/>
    <w:rsid w:val="006F0C07"/>
    <w:rsid w:val="006F0C93"/>
    <w:rsid w:val="006F0D69"/>
    <w:rsid w:val="006F0D87"/>
    <w:rsid w:val="006F0E7C"/>
    <w:rsid w:val="006F0EA9"/>
    <w:rsid w:val="006F0F3E"/>
    <w:rsid w:val="006F0F53"/>
    <w:rsid w:val="006F0FA4"/>
    <w:rsid w:val="006F110E"/>
    <w:rsid w:val="006F1135"/>
    <w:rsid w:val="006F1175"/>
    <w:rsid w:val="006F122D"/>
    <w:rsid w:val="006F1345"/>
    <w:rsid w:val="006F148F"/>
    <w:rsid w:val="006F14D3"/>
    <w:rsid w:val="006F14FB"/>
    <w:rsid w:val="006F1518"/>
    <w:rsid w:val="006F15F3"/>
    <w:rsid w:val="006F15F7"/>
    <w:rsid w:val="006F16DA"/>
    <w:rsid w:val="006F172D"/>
    <w:rsid w:val="006F174D"/>
    <w:rsid w:val="006F176C"/>
    <w:rsid w:val="006F179C"/>
    <w:rsid w:val="006F17F1"/>
    <w:rsid w:val="006F182A"/>
    <w:rsid w:val="006F185F"/>
    <w:rsid w:val="006F187D"/>
    <w:rsid w:val="006F198B"/>
    <w:rsid w:val="006F19D1"/>
    <w:rsid w:val="006F19D8"/>
    <w:rsid w:val="006F19F2"/>
    <w:rsid w:val="006F1A4E"/>
    <w:rsid w:val="006F1B02"/>
    <w:rsid w:val="006F1B6A"/>
    <w:rsid w:val="006F1BCA"/>
    <w:rsid w:val="006F1D55"/>
    <w:rsid w:val="006F1D80"/>
    <w:rsid w:val="006F1DF7"/>
    <w:rsid w:val="006F1FB6"/>
    <w:rsid w:val="006F1FBB"/>
    <w:rsid w:val="006F207F"/>
    <w:rsid w:val="006F20C9"/>
    <w:rsid w:val="006F2260"/>
    <w:rsid w:val="006F2275"/>
    <w:rsid w:val="006F2292"/>
    <w:rsid w:val="006F22B8"/>
    <w:rsid w:val="006F2384"/>
    <w:rsid w:val="006F242A"/>
    <w:rsid w:val="006F258A"/>
    <w:rsid w:val="006F2634"/>
    <w:rsid w:val="006F2671"/>
    <w:rsid w:val="006F26CD"/>
    <w:rsid w:val="006F2783"/>
    <w:rsid w:val="006F2943"/>
    <w:rsid w:val="006F2A78"/>
    <w:rsid w:val="006F2ABF"/>
    <w:rsid w:val="006F2BCC"/>
    <w:rsid w:val="006F2C1B"/>
    <w:rsid w:val="006F2CAC"/>
    <w:rsid w:val="006F2D1F"/>
    <w:rsid w:val="006F2DAF"/>
    <w:rsid w:val="006F3033"/>
    <w:rsid w:val="006F30A4"/>
    <w:rsid w:val="006F30BB"/>
    <w:rsid w:val="006F312A"/>
    <w:rsid w:val="006F31C0"/>
    <w:rsid w:val="006F322E"/>
    <w:rsid w:val="006F325E"/>
    <w:rsid w:val="006F3265"/>
    <w:rsid w:val="006F3270"/>
    <w:rsid w:val="006F32BD"/>
    <w:rsid w:val="006F331E"/>
    <w:rsid w:val="006F33D6"/>
    <w:rsid w:val="006F34F9"/>
    <w:rsid w:val="006F35B9"/>
    <w:rsid w:val="006F35E7"/>
    <w:rsid w:val="006F35F3"/>
    <w:rsid w:val="006F3675"/>
    <w:rsid w:val="006F3789"/>
    <w:rsid w:val="006F37DE"/>
    <w:rsid w:val="006F382E"/>
    <w:rsid w:val="006F3839"/>
    <w:rsid w:val="006F394A"/>
    <w:rsid w:val="006F3A6A"/>
    <w:rsid w:val="006F3A8C"/>
    <w:rsid w:val="006F3AF0"/>
    <w:rsid w:val="006F3B35"/>
    <w:rsid w:val="006F3BBB"/>
    <w:rsid w:val="006F3BC6"/>
    <w:rsid w:val="006F3C13"/>
    <w:rsid w:val="006F3D67"/>
    <w:rsid w:val="006F3E9E"/>
    <w:rsid w:val="006F3F0E"/>
    <w:rsid w:val="006F3FE1"/>
    <w:rsid w:val="006F4010"/>
    <w:rsid w:val="006F41A1"/>
    <w:rsid w:val="006F41D9"/>
    <w:rsid w:val="006F41F6"/>
    <w:rsid w:val="006F41FB"/>
    <w:rsid w:val="006F4265"/>
    <w:rsid w:val="006F4298"/>
    <w:rsid w:val="006F42A2"/>
    <w:rsid w:val="006F42C0"/>
    <w:rsid w:val="006F42CF"/>
    <w:rsid w:val="006F42E0"/>
    <w:rsid w:val="006F4355"/>
    <w:rsid w:val="006F437D"/>
    <w:rsid w:val="006F43EA"/>
    <w:rsid w:val="006F442D"/>
    <w:rsid w:val="006F4436"/>
    <w:rsid w:val="006F4452"/>
    <w:rsid w:val="006F44D2"/>
    <w:rsid w:val="006F457F"/>
    <w:rsid w:val="006F45A5"/>
    <w:rsid w:val="006F46AF"/>
    <w:rsid w:val="006F47DF"/>
    <w:rsid w:val="006F487C"/>
    <w:rsid w:val="006F4887"/>
    <w:rsid w:val="006F48AD"/>
    <w:rsid w:val="006F4940"/>
    <w:rsid w:val="006F4951"/>
    <w:rsid w:val="006F4979"/>
    <w:rsid w:val="006F49C9"/>
    <w:rsid w:val="006F4A06"/>
    <w:rsid w:val="006F4AE9"/>
    <w:rsid w:val="006F4BDC"/>
    <w:rsid w:val="006F4DA9"/>
    <w:rsid w:val="006F4E34"/>
    <w:rsid w:val="006F4F7D"/>
    <w:rsid w:val="006F4FBC"/>
    <w:rsid w:val="006F5074"/>
    <w:rsid w:val="006F50FA"/>
    <w:rsid w:val="006F5316"/>
    <w:rsid w:val="006F544E"/>
    <w:rsid w:val="006F5556"/>
    <w:rsid w:val="006F55D4"/>
    <w:rsid w:val="006F5641"/>
    <w:rsid w:val="006F5644"/>
    <w:rsid w:val="006F565B"/>
    <w:rsid w:val="006F593B"/>
    <w:rsid w:val="006F5977"/>
    <w:rsid w:val="006F5A56"/>
    <w:rsid w:val="006F5C4C"/>
    <w:rsid w:val="006F5C8B"/>
    <w:rsid w:val="006F5D96"/>
    <w:rsid w:val="006F5DBB"/>
    <w:rsid w:val="006F5DE4"/>
    <w:rsid w:val="006F5E02"/>
    <w:rsid w:val="006F5F3A"/>
    <w:rsid w:val="006F5F45"/>
    <w:rsid w:val="006F5FDF"/>
    <w:rsid w:val="006F5FF9"/>
    <w:rsid w:val="006F605C"/>
    <w:rsid w:val="006F60CC"/>
    <w:rsid w:val="006F60D3"/>
    <w:rsid w:val="006F61B6"/>
    <w:rsid w:val="006F61B7"/>
    <w:rsid w:val="006F61CF"/>
    <w:rsid w:val="006F6239"/>
    <w:rsid w:val="006F636C"/>
    <w:rsid w:val="006F63EC"/>
    <w:rsid w:val="006F657B"/>
    <w:rsid w:val="006F6670"/>
    <w:rsid w:val="006F66FD"/>
    <w:rsid w:val="006F6711"/>
    <w:rsid w:val="006F6736"/>
    <w:rsid w:val="006F6752"/>
    <w:rsid w:val="006F6761"/>
    <w:rsid w:val="006F6806"/>
    <w:rsid w:val="006F6826"/>
    <w:rsid w:val="006F6846"/>
    <w:rsid w:val="006F690D"/>
    <w:rsid w:val="006F6975"/>
    <w:rsid w:val="006F69AF"/>
    <w:rsid w:val="006F6C4A"/>
    <w:rsid w:val="006F6C65"/>
    <w:rsid w:val="006F6CB1"/>
    <w:rsid w:val="006F6CD2"/>
    <w:rsid w:val="006F6D18"/>
    <w:rsid w:val="006F6D4A"/>
    <w:rsid w:val="006F6DF3"/>
    <w:rsid w:val="006F6E61"/>
    <w:rsid w:val="006F6E7D"/>
    <w:rsid w:val="006F6E84"/>
    <w:rsid w:val="006F6F0F"/>
    <w:rsid w:val="006F6F6F"/>
    <w:rsid w:val="006F705B"/>
    <w:rsid w:val="006F70AB"/>
    <w:rsid w:val="006F70E1"/>
    <w:rsid w:val="006F7167"/>
    <w:rsid w:val="006F717B"/>
    <w:rsid w:val="006F71B8"/>
    <w:rsid w:val="006F722E"/>
    <w:rsid w:val="006F7237"/>
    <w:rsid w:val="006F725F"/>
    <w:rsid w:val="006F7260"/>
    <w:rsid w:val="006F72BE"/>
    <w:rsid w:val="006F72C1"/>
    <w:rsid w:val="006F745B"/>
    <w:rsid w:val="006F7560"/>
    <w:rsid w:val="006F7651"/>
    <w:rsid w:val="006F76C1"/>
    <w:rsid w:val="006F76EE"/>
    <w:rsid w:val="006F7717"/>
    <w:rsid w:val="006F771E"/>
    <w:rsid w:val="006F7753"/>
    <w:rsid w:val="006F777E"/>
    <w:rsid w:val="006F784B"/>
    <w:rsid w:val="006F7962"/>
    <w:rsid w:val="006F7A00"/>
    <w:rsid w:val="006F7A0E"/>
    <w:rsid w:val="006F7C33"/>
    <w:rsid w:val="006F7C9F"/>
    <w:rsid w:val="006F7DAE"/>
    <w:rsid w:val="006F7DFC"/>
    <w:rsid w:val="006F7E57"/>
    <w:rsid w:val="006F7EF2"/>
    <w:rsid w:val="0070002B"/>
    <w:rsid w:val="007000B2"/>
    <w:rsid w:val="0070010C"/>
    <w:rsid w:val="007003EE"/>
    <w:rsid w:val="0070056F"/>
    <w:rsid w:val="00700618"/>
    <w:rsid w:val="007006B0"/>
    <w:rsid w:val="00700771"/>
    <w:rsid w:val="0070096D"/>
    <w:rsid w:val="00700A87"/>
    <w:rsid w:val="00700AAA"/>
    <w:rsid w:val="00700AAB"/>
    <w:rsid w:val="00700B05"/>
    <w:rsid w:val="00700BD3"/>
    <w:rsid w:val="00700C32"/>
    <w:rsid w:val="00700CBC"/>
    <w:rsid w:val="00700CDD"/>
    <w:rsid w:val="00700CEB"/>
    <w:rsid w:val="00700CEE"/>
    <w:rsid w:val="00700E2A"/>
    <w:rsid w:val="00700E5E"/>
    <w:rsid w:val="00700E85"/>
    <w:rsid w:val="00700EA3"/>
    <w:rsid w:val="00700FF7"/>
    <w:rsid w:val="00701077"/>
    <w:rsid w:val="0070110E"/>
    <w:rsid w:val="00701127"/>
    <w:rsid w:val="0070112A"/>
    <w:rsid w:val="00701162"/>
    <w:rsid w:val="0070116D"/>
    <w:rsid w:val="00701277"/>
    <w:rsid w:val="00701282"/>
    <w:rsid w:val="007012F3"/>
    <w:rsid w:val="007013EF"/>
    <w:rsid w:val="0070156E"/>
    <w:rsid w:val="007015A2"/>
    <w:rsid w:val="007015B1"/>
    <w:rsid w:val="00701836"/>
    <w:rsid w:val="00701864"/>
    <w:rsid w:val="00701883"/>
    <w:rsid w:val="0070188F"/>
    <w:rsid w:val="007018B9"/>
    <w:rsid w:val="00701997"/>
    <w:rsid w:val="007019C8"/>
    <w:rsid w:val="00701A44"/>
    <w:rsid w:val="00701AB2"/>
    <w:rsid w:val="00701C35"/>
    <w:rsid w:val="00701E46"/>
    <w:rsid w:val="00701E7F"/>
    <w:rsid w:val="00701FD4"/>
    <w:rsid w:val="00701FE3"/>
    <w:rsid w:val="007020C6"/>
    <w:rsid w:val="007020F0"/>
    <w:rsid w:val="007021C3"/>
    <w:rsid w:val="00702253"/>
    <w:rsid w:val="00702352"/>
    <w:rsid w:val="007023C3"/>
    <w:rsid w:val="007023F0"/>
    <w:rsid w:val="007025B2"/>
    <w:rsid w:val="007025B4"/>
    <w:rsid w:val="0070270B"/>
    <w:rsid w:val="0070272E"/>
    <w:rsid w:val="007027FB"/>
    <w:rsid w:val="0070280E"/>
    <w:rsid w:val="0070299C"/>
    <w:rsid w:val="00702A3E"/>
    <w:rsid w:val="00702A43"/>
    <w:rsid w:val="00702A82"/>
    <w:rsid w:val="00702B90"/>
    <w:rsid w:val="00702BC5"/>
    <w:rsid w:val="00702C7E"/>
    <w:rsid w:val="00702C9A"/>
    <w:rsid w:val="00702CD8"/>
    <w:rsid w:val="00702CEA"/>
    <w:rsid w:val="00702D97"/>
    <w:rsid w:val="00702E92"/>
    <w:rsid w:val="00702EE0"/>
    <w:rsid w:val="00702FBF"/>
    <w:rsid w:val="00703001"/>
    <w:rsid w:val="007030E3"/>
    <w:rsid w:val="00703145"/>
    <w:rsid w:val="007031F4"/>
    <w:rsid w:val="007032D6"/>
    <w:rsid w:val="0070336E"/>
    <w:rsid w:val="007033E6"/>
    <w:rsid w:val="0070343F"/>
    <w:rsid w:val="0070344F"/>
    <w:rsid w:val="00703570"/>
    <w:rsid w:val="00703747"/>
    <w:rsid w:val="007039A8"/>
    <w:rsid w:val="007039BE"/>
    <w:rsid w:val="00703A31"/>
    <w:rsid w:val="00703AC7"/>
    <w:rsid w:val="00703ADA"/>
    <w:rsid w:val="00703AF9"/>
    <w:rsid w:val="00703B00"/>
    <w:rsid w:val="00703BBD"/>
    <w:rsid w:val="00703C02"/>
    <w:rsid w:val="00703C1F"/>
    <w:rsid w:val="00703E1A"/>
    <w:rsid w:val="00703E33"/>
    <w:rsid w:val="00703F49"/>
    <w:rsid w:val="00703FA9"/>
    <w:rsid w:val="0070409D"/>
    <w:rsid w:val="0070418A"/>
    <w:rsid w:val="00704283"/>
    <w:rsid w:val="0070430B"/>
    <w:rsid w:val="0070431F"/>
    <w:rsid w:val="00704431"/>
    <w:rsid w:val="00704462"/>
    <w:rsid w:val="00704486"/>
    <w:rsid w:val="00704542"/>
    <w:rsid w:val="0070461B"/>
    <w:rsid w:val="00704772"/>
    <w:rsid w:val="007047E7"/>
    <w:rsid w:val="007047F0"/>
    <w:rsid w:val="00704938"/>
    <w:rsid w:val="00704A0D"/>
    <w:rsid w:val="00704C6C"/>
    <w:rsid w:val="00704D1A"/>
    <w:rsid w:val="00704D70"/>
    <w:rsid w:val="00704EF0"/>
    <w:rsid w:val="00704FB0"/>
    <w:rsid w:val="00705075"/>
    <w:rsid w:val="0070513D"/>
    <w:rsid w:val="007054B3"/>
    <w:rsid w:val="00705555"/>
    <w:rsid w:val="007055E6"/>
    <w:rsid w:val="0070561B"/>
    <w:rsid w:val="0070575F"/>
    <w:rsid w:val="00705785"/>
    <w:rsid w:val="0070580B"/>
    <w:rsid w:val="0070587D"/>
    <w:rsid w:val="00705B6B"/>
    <w:rsid w:val="00705B89"/>
    <w:rsid w:val="00705B94"/>
    <w:rsid w:val="00705C48"/>
    <w:rsid w:val="00705CA3"/>
    <w:rsid w:val="00705D3C"/>
    <w:rsid w:val="00705D62"/>
    <w:rsid w:val="00705E2B"/>
    <w:rsid w:val="00705E8D"/>
    <w:rsid w:val="00705EA5"/>
    <w:rsid w:val="00705ECA"/>
    <w:rsid w:val="00705F96"/>
    <w:rsid w:val="00705FD1"/>
    <w:rsid w:val="00706027"/>
    <w:rsid w:val="007060D4"/>
    <w:rsid w:val="007061F4"/>
    <w:rsid w:val="00706259"/>
    <w:rsid w:val="0070625A"/>
    <w:rsid w:val="00706279"/>
    <w:rsid w:val="0070639D"/>
    <w:rsid w:val="00706442"/>
    <w:rsid w:val="0070645F"/>
    <w:rsid w:val="007064D1"/>
    <w:rsid w:val="007064D2"/>
    <w:rsid w:val="0070658D"/>
    <w:rsid w:val="00706693"/>
    <w:rsid w:val="00706715"/>
    <w:rsid w:val="00706795"/>
    <w:rsid w:val="007067BB"/>
    <w:rsid w:val="0070683D"/>
    <w:rsid w:val="0070684E"/>
    <w:rsid w:val="0070695C"/>
    <w:rsid w:val="007069E3"/>
    <w:rsid w:val="00706B49"/>
    <w:rsid w:val="00706B6B"/>
    <w:rsid w:val="00706BCE"/>
    <w:rsid w:val="00706D8F"/>
    <w:rsid w:val="00706DF7"/>
    <w:rsid w:val="00706E7D"/>
    <w:rsid w:val="00706F1A"/>
    <w:rsid w:val="00706F1E"/>
    <w:rsid w:val="00707192"/>
    <w:rsid w:val="007071A7"/>
    <w:rsid w:val="00707229"/>
    <w:rsid w:val="00707244"/>
    <w:rsid w:val="007072A2"/>
    <w:rsid w:val="0070732C"/>
    <w:rsid w:val="00707376"/>
    <w:rsid w:val="0070754F"/>
    <w:rsid w:val="0070757E"/>
    <w:rsid w:val="007075A5"/>
    <w:rsid w:val="00707637"/>
    <w:rsid w:val="0070767A"/>
    <w:rsid w:val="00707786"/>
    <w:rsid w:val="007077D9"/>
    <w:rsid w:val="007078A6"/>
    <w:rsid w:val="00707A06"/>
    <w:rsid w:val="00707A2F"/>
    <w:rsid w:val="00707A74"/>
    <w:rsid w:val="00707AAF"/>
    <w:rsid w:val="00707AFB"/>
    <w:rsid w:val="00707BAA"/>
    <w:rsid w:val="00707BBE"/>
    <w:rsid w:val="00707BED"/>
    <w:rsid w:val="00707C45"/>
    <w:rsid w:val="00707D4C"/>
    <w:rsid w:val="00707DC8"/>
    <w:rsid w:val="00707EF5"/>
    <w:rsid w:val="00707F48"/>
    <w:rsid w:val="00707FB3"/>
    <w:rsid w:val="00707FE8"/>
    <w:rsid w:val="00710114"/>
    <w:rsid w:val="0071013D"/>
    <w:rsid w:val="00710191"/>
    <w:rsid w:val="007101D8"/>
    <w:rsid w:val="007102D2"/>
    <w:rsid w:val="00710561"/>
    <w:rsid w:val="007105D6"/>
    <w:rsid w:val="0071076A"/>
    <w:rsid w:val="007107AB"/>
    <w:rsid w:val="007108AF"/>
    <w:rsid w:val="007108BC"/>
    <w:rsid w:val="007109E8"/>
    <w:rsid w:val="00710A37"/>
    <w:rsid w:val="00710A80"/>
    <w:rsid w:val="00710A98"/>
    <w:rsid w:val="00710C9B"/>
    <w:rsid w:val="00710CEA"/>
    <w:rsid w:val="00710D77"/>
    <w:rsid w:val="00710E33"/>
    <w:rsid w:val="00710E90"/>
    <w:rsid w:val="00710F39"/>
    <w:rsid w:val="00710FC3"/>
    <w:rsid w:val="0071144C"/>
    <w:rsid w:val="007114A6"/>
    <w:rsid w:val="007114AA"/>
    <w:rsid w:val="007114F1"/>
    <w:rsid w:val="007115B1"/>
    <w:rsid w:val="007115F2"/>
    <w:rsid w:val="007115F5"/>
    <w:rsid w:val="00711609"/>
    <w:rsid w:val="00711632"/>
    <w:rsid w:val="00711700"/>
    <w:rsid w:val="00711ACE"/>
    <w:rsid w:val="00711B23"/>
    <w:rsid w:val="00711BEF"/>
    <w:rsid w:val="00711C1E"/>
    <w:rsid w:val="00711C8C"/>
    <w:rsid w:val="00711CF1"/>
    <w:rsid w:val="00711EE2"/>
    <w:rsid w:val="00711FA2"/>
    <w:rsid w:val="007120DD"/>
    <w:rsid w:val="00712222"/>
    <w:rsid w:val="00712268"/>
    <w:rsid w:val="00712306"/>
    <w:rsid w:val="00712507"/>
    <w:rsid w:val="00712524"/>
    <w:rsid w:val="00712587"/>
    <w:rsid w:val="007125A6"/>
    <w:rsid w:val="007125EF"/>
    <w:rsid w:val="0071269D"/>
    <w:rsid w:val="007126BB"/>
    <w:rsid w:val="007126C0"/>
    <w:rsid w:val="007129C8"/>
    <w:rsid w:val="00712A67"/>
    <w:rsid w:val="00712A7F"/>
    <w:rsid w:val="00712BB6"/>
    <w:rsid w:val="00712CC4"/>
    <w:rsid w:val="00712D2A"/>
    <w:rsid w:val="00712D87"/>
    <w:rsid w:val="00712E08"/>
    <w:rsid w:val="00712E7D"/>
    <w:rsid w:val="00712E7E"/>
    <w:rsid w:val="00712EB4"/>
    <w:rsid w:val="00712EFF"/>
    <w:rsid w:val="00712F4E"/>
    <w:rsid w:val="00712F9E"/>
    <w:rsid w:val="00712FA1"/>
    <w:rsid w:val="00713024"/>
    <w:rsid w:val="00713055"/>
    <w:rsid w:val="00713294"/>
    <w:rsid w:val="00713352"/>
    <w:rsid w:val="00713394"/>
    <w:rsid w:val="00713570"/>
    <w:rsid w:val="0071377B"/>
    <w:rsid w:val="0071382F"/>
    <w:rsid w:val="00713841"/>
    <w:rsid w:val="00713880"/>
    <w:rsid w:val="0071391D"/>
    <w:rsid w:val="007139DE"/>
    <w:rsid w:val="007139F6"/>
    <w:rsid w:val="00713A55"/>
    <w:rsid w:val="00713A99"/>
    <w:rsid w:val="00713B73"/>
    <w:rsid w:val="00713B9E"/>
    <w:rsid w:val="00713C7B"/>
    <w:rsid w:val="00713D13"/>
    <w:rsid w:val="00713D65"/>
    <w:rsid w:val="00713DC1"/>
    <w:rsid w:val="00713DD4"/>
    <w:rsid w:val="00713E68"/>
    <w:rsid w:val="0071408A"/>
    <w:rsid w:val="007140CE"/>
    <w:rsid w:val="0071411D"/>
    <w:rsid w:val="00714128"/>
    <w:rsid w:val="00714134"/>
    <w:rsid w:val="007141A0"/>
    <w:rsid w:val="007141A2"/>
    <w:rsid w:val="007141A6"/>
    <w:rsid w:val="007141D6"/>
    <w:rsid w:val="00714274"/>
    <w:rsid w:val="007142C6"/>
    <w:rsid w:val="00714365"/>
    <w:rsid w:val="00714423"/>
    <w:rsid w:val="00714503"/>
    <w:rsid w:val="00714620"/>
    <w:rsid w:val="00714622"/>
    <w:rsid w:val="00714743"/>
    <w:rsid w:val="0071488E"/>
    <w:rsid w:val="007148C5"/>
    <w:rsid w:val="0071491C"/>
    <w:rsid w:val="0071496F"/>
    <w:rsid w:val="0071498F"/>
    <w:rsid w:val="00714AA2"/>
    <w:rsid w:val="00714BB1"/>
    <w:rsid w:val="00714CB5"/>
    <w:rsid w:val="00714D6C"/>
    <w:rsid w:val="00714D9D"/>
    <w:rsid w:val="00714DBA"/>
    <w:rsid w:val="00714E91"/>
    <w:rsid w:val="00714F89"/>
    <w:rsid w:val="00714FDB"/>
    <w:rsid w:val="00715006"/>
    <w:rsid w:val="00715050"/>
    <w:rsid w:val="007150BF"/>
    <w:rsid w:val="0071519F"/>
    <w:rsid w:val="00715245"/>
    <w:rsid w:val="0071524B"/>
    <w:rsid w:val="00715269"/>
    <w:rsid w:val="00715283"/>
    <w:rsid w:val="00715334"/>
    <w:rsid w:val="007153CF"/>
    <w:rsid w:val="007154F0"/>
    <w:rsid w:val="00715519"/>
    <w:rsid w:val="00715695"/>
    <w:rsid w:val="007156F8"/>
    <w:rsid w:val="00715709"/>
    <w:rsid w:val="00715756"/>
    <w:rsid w:val="007157B1"/>
    <w:rsid w:val="007157B4"/>
    <w:rsid w:val="007157EB"/>
    <w:rsid w:val="00715948"/>
    <w:rsid w:val="00715989"/>
    <w:rsid w:val="007159B1"/>
    <w:rsid w:val="00715A2F"/>
    <w:rsid w:val="00715AF1"/>
    <w:rsid w:val="00715BC6"/>
    <w:rsid w:val="00715CD4"/>
    <w:rsid w:val="00715DF9"/>
    <w:rsid w:val="00715EA5"/>
    <w:rsid w:val="00715EDE"/>
    <w:rsid w:val="00715F12"/>
    <w:rsid w:val="00716057"/>
    <w:rsid w:val="007160DB"/>
    <w:rsid w:val="0071617C"/>
    <w:rsid w:val="007161BA"/>
    <w:rsid w:val="007162A2"/>
    <w:rsid w:val="0071632B"/>
    <w:rsid w:val="007163AD"/>
    <w:rsid w:val="007163B7"/>
    <w:rsid w:val="007164AC"/>
    <w:rsid w:val="00716507"/>
    <w:rsid w:val="00716607"/>
    <w:rsid w:val="00716645"/>
    <w:rsid w:val="0071665F"/>
    <w:rsid w:val="0071668F"/>
    <w:rsid w:val="007166CC"/>
    <w:rsid w:val="00716726"/>
    <w:rsid w:val="00716746"/>
    <w:rsid w:val="0071677E"/>
    <w:rsid w:val="007167EC"/>
    <w:rsid w:val="0071683C"/>
    <w:rsid w:val="00716937"/>
    <w:rsid w:val="0071695A"/>
    <w:rsid w:val="00716AB3"/>
    <w:rsid w:val="00716ACB"/>
    <w:rsid w:val="00716AFF"/>
    <w:rsid w:val="00716D10"/>
    <w:rsid w:val="00716D98"/>
    <w:rsid w:val="00716E01"/>
    <w:rsid w:val="00716EAA"/>
    <w:rsid w:val="00716F40"/>
    <w:rsid w:val="00716FE9"/>
    <w:rsid w:val="00717247"/>
    <w:rsid w:val="0071727D"/>
    <w:rsid w:val="007172E5"/>
    <w:rsid w:val="00717459"/>
    <w:rsid w:val="007174B6"/>
    <w:rsid w:val="0071772C"/>
    <w:rsid w:val="007177C2"/>
    <w:rsid w:val="0071784F"/>
    <w:rsid w:val="00717850"/>
    <w:rsid w:val="00717919"/>
    <w:rsid w:val="00717931"/>
    <w:rsid w:val="00717A40"/>
    <w:rsid w:val="00717ACE"/>
    <w:rsid w:val="00717AEC"/>
    <w:rsid w:val="00717C70"/>
    <w:rsid w:val="00717C7C"/>
    <w:rsid w:val="00717E53"/>
    <w:rsid w:val="00717F32"/>
    <w:rsid w:val="0072008E"/>
    <w:rsid w:val="0072016A"/>
    <w:rsid w:val="007201C6"/>
    <w:rsid w:val="007201E6"/>
    <w:rsid w:val="007202C4"/>
    <w:rsid w:val="00720339"/>
    <w:rsid w:val="0072033D"/>
    <w:rsid w:val="0072034A"/>
    <w:rsid w:val="007203BB"/>
    <w:rsid w:val="007203DC"/>
    <w:rsid w:val="0072042C"/>
    <w:rsid w:val="0072053C"/>
    <w:rsid w:val="00720633"/>
    <w:rsid w:val="00720718"/>
    <w:rsid w:val="007207C8"/>
    <w:rsid w:val="0072093B"/>
    <w:rsid w:val="0072094E"/>
    <w:rsid w:val="007209A6"/>
    <w:rsid w:val="007209F6"/>
    <w:rsid w:val="00720A33"/>
    <w:rsid w:val="00720D11"/>
    <w:rsid w:val="00720D81"/>
    <w:rsid w:val="00720D97"/>
    <w:rsid w:val="00720DBA"/>
    <w:rsid w:val="00720DE6"/>
    <w:rsid w:val="00720E57"/>
    <w:rsid w:val="00720E92"/>
    <w:rsid w:val="00720EA8"/>
    <w:rsid w:val="0072100A"/>
    <w:rsid w:val="00721073"/>
    <w:rsid w:val="0072107E"/>
    <w:rsid w:val="0072112E"/>
    <w:rsid w:val="0072114D"/>
    <w:rsid w:val="007211CB"/>
    <w:rsid w:val="00721221"/>
    <w:rsid w:val="007212F7"/>
    <w:rsid w:val="00721347"/>
    <w:rsid w:val="0072140A"/>
    <w:rsid w:val="0072152D"/>
    <w:rsid w:val="0072171A"/>
    <w:rsid w:val="00721749"/>
    <w:rsid w:val="0072182E"/>
    <w:rsid w:val="00721870"/>
    <w:rsid w:val="00721890"/>
    <w:rsid w:val="007219BB"/>
    <w:rsid w:val="007219F2"/>
    <w:rsid w:val="00721A60"/>
    <w:rsid w:val="00721A8B"/>
    <w:rsid w:val="00721B4D"/>
    <w:rsid w:val="00721BE1"/>
    <w:rsid w:val="00721BFE"/>
    <w:rsid w:val="00721C70"/>
    <w:rsid w:val="00721CCE"/>
    <w:rsid w:val="00721D3C"/>
    <w:rsid w:val="00721D3E"/>
    <w:rsid w:val="00721ECC"/>
    <w:rsid w:val="00721F46"/>
    <w:rsid w:val="00721F63"/>
    <w:rsid w:val="00721F68"/>
    <w:rsid w:val="00722079"/>
    <w:rsid w:val="007220A6"/>
    <w:rsid w:val="007220D4"/>
    <w:rsid w:val="007222FC"/>
    <w:rsid w:val="007225CA"/>
    <w:rsid w:val="0072260D"/>
    <w:rsid w:val="00722626"/>
    <w:rsid w:val="0072270E"/>
    <w:rsid w:val="00722742"/>
    <w:rsid w:val="0072275E"/>
    <w:rsid w:val="007227C9"/>
    <w:rsid w:val="00722836"/>
    <w:rsid w:val="007228F6"/>
    <w:rsid w:val="0072290C"/>
    <w:rsid w:val="00722949"/>
    <w:rsid w:val="007229C5"/>
    <w:rsid w:val="007229F3"/>
    <w:rsid w:val="00722A2A"/>
    <w:rsid w:val="00722A5D"/>
    <w:rsid w:val="00722A8D"/>
    <w:rsid w:val="00722B05"/>
    <w:rsid w:val="00722B0D"/>
    <w:rsid w:val="00722CA5"/>
    <w:rsid w:val="00722CF5"/>
    <w:rsid w:val="00722D9E"/>
    <w:rsid w:val="00722DE5"/>
    <w:rsid w:val="00722E2D"/>
    <w:rsid w:val="007231CC"/>
    <w:rsid w:val="007233F1"/>
    <w:rsid w:val="0072348F"/>
    <w:rsid w:val="0072354E"/>
    <w:rsid w:val="00723611"/>
    <w:rsid w:val="0072365A"/>
    <w:rsid w:val="00723737"/>
    <w:rsid w:val="00723745"/>
    <w:rsid w:val="00723786"/>
    <w:rsid w:val="00723794"/>
    <w:rsid w:val="007238CA"/>
    <w:rsid w:val="0072391A"/>
    <w:rsid w:val="00723955"/>
    <w:rsid w:val="0072395C"/>
    <w:rsid w:val="007239BE"/>
    <w:rsid w:val="00723A72"/>
    <w:rsid w:val="00723AA4"/>
    <w:rsid w:val="00723B97"/>
    <w:rsid w:val="00723BAA"/>
    <w:rsid w:val="00723BB9"/>
    <w:rsid w:val="00723BD0"/>
    <w:rsid w:val="00723C3E"/>
    <w:rsid w:val="00723CD4"/>
    <w:rsid w:val="00723CE9"/>
    <w:rsid w:val="00723D85"/>
    <w:rsid w:val="00723E47"/>
    <w:rsid w:val="00723FA2"/>
    <w:rsid w:val="00723FB1"/>
    <w:rsid w:val="0072406B"/>
    <w:rsid w:val="00724133"/>
    <w:rsid w:val="007241D6"/>
    <w:rsid w:val="007242E7"/>
    <w:rsid w:val="0072434F"/>
    <w:rsid w:val="007243DB"/>
    <w:rsid w:val="007245A5"/>
    <w:rsid w:val="00724625"/>
    <w:rsid w:val="00724750"/>
    <w:rsid w:val="007247CE"/>
    <w:rsid w:val="0072482E"/>
    <w:rsid w:val="00724861"/>
    <w:rsid w:val="007249C7"/>
    <w:rsid w:val="00724A24"/>
    <w:rsid w:val="00724B62"/>
    <w:rsid w:val="00724BCE"/>
    <w:rsid w:val="00724C6D"/>
    <w:rsid w:val="00724DE8"/>
    <w:rsid w:val="00724F34"/>
    <w:rsid w:val="00724FC9"/>
    <w:rsid w:val="00724FE1"/>
    <w:rsid w:val="007250A3"/>
    <w:rsid w:val="007250BC"/>
    <w:rsid w:val="00725144"/>
    <w:rsid w:val="00725172"/>
    <w:rsid w:val="007251AF"/>
    <w:rsid w:val="00725227"/>
    <w:rsid w:val="007252AF"/>
    <w:rsid w:val="007252E2"/>
    <w:rsid w:val="007253CA"/>
    <w:rsid w:val="007253D1"/>
    <w:rsid w:val="00725470"/>
    <w:rsid w:val="0072557E"/>
    <w:rsid w:val="00725634"/>
    <w:rsid w:val="0072564D"/>
    <w:rsid w:val="0072567A"/>
    <w:rsid w:val="00725876"/>
    <w:rsid w:val="007258A8"/>
    <w:rsid w:val="007258B0"/>
    <w:rsid w:val="00725A1D"/>
    <w:rsid w:val="00725A79"/>
    <w:rsid w:val="00725A90"/>
    <w:rsid w:val="00725B8A"/>
    <w:rsid w:val="00725CA4"/>
    <w:rsid w:val="00725D85"/>
    <w:rsid w:val="00725E46"/>
    <w:rsid w:val="00725F32"/>
    <w:rsid w:val="00725F47"/>
    <w:rsid w:val="00725F85"/>
    <w:rsid w:val="00725F93"/>
    <w:rsid w:val="00726000"/>
    <w:rsid w:val="007261D8"/>
    <w:rsid w:val="00726225"/>
    <w:rsid w:val="00726231"/>
    <w:rsid w:val="007262C2"/>
    <w:rsid w:val="007262C6"/>
    <w:rsid w:val="007263BA"/>
    <w:rsid w:val="0072647A"/>
    <w:rsid w:val="0072659B"/>
    <w:rsid w:val="007265CC"/>
    <w:rsid w:val="00726647"/>
    <w:rsid w:val="0072671B"/>
    <w:rsid w:val="007268AB"/>
    <w:rsid w:val="007268C4"/>
    <w:rsid w:val="00726A7A"/>
    <w:rsid w:val="00726AC5"/>
    <w:rsid w:val="00726BEF"/>
    <w:rsid w:val="00726C42"/>
    <w:rsid w:val="00726C89"/>
    <w:rsid w:val="00726D27"/>
    <w:rsid w:val="00726D34"/>
    <w:rsid w:val="00726D90"/>
    <w:rsid w:val="00726E1D"/>
    <w:rsid w:val="00726EB5"/>
    <w:rsid w:val="00726F69"/>
    <w:rsid w:val="00726FA9"/>
    <w:rsid w:val="00726FCB"/>
    <w:rsid w:val="00727013"/>
    <w:rsid w:val="00727085"/>
    <w:rsid w:val="0072709C"/>
    <w:rsid w:val="00727141"/>
    <w:rsid w:val="00727179"/>
    <w:rsid w:val="007271D7"/>
    <w:rsid w:val="007273B6"/>
    <w:rsid w:val="007273D9"/>
    <w:rsid w:val="00727497"/>
    <w:rsid w:val="00727874"/>
    <w:rsid w:val="007278BE"/>
    <w:rsid w:val="00727919"/>
    <w:rsid w:val="007279EC"/>
    <w:rsid w:val="00727A05"/>
    <w:rsid w:val="00727A80"/>
    <w:rsid w:val="00727B95"/>
    <w:rsid w:val="00727BCE"/>
    <w:rsid w:val="00727D25"/>
    <w:rsid w:val="00727D7A"/>
    <w:rsid w:val="00727E29"/>
    <w:rsid w:val="00727EC5"/>
    <w:rsid w:val="00727EE4"/>
    <w:rsid w:val="00727F11"/>
    <w:rsid w:val="00727FBC"/>
    <w:rsid w:val="0073010E"/>
    <w:rsid w:val="007301B3"/>
    <w:rsid w:val="007301B7"/>
    <w:rsid w:val="0073024E"/>
    <w:rsid w:val="00730347"/>
    <w:rsid w:val="00730373"/>
    <w:rsid w:val="00730470"/>
    <w:rsid w:val="007304C7"/>
    <w:rsid w:val="007305E7"/>
    <w:rsid w:val="00730771"/>
    <w:rsid w:val="00730846"/>
    <w:rsid w:val="007309C3"/>
    <w:rsid w:val="00730AB0"/>
    <w:rsid w:val="00730BE6"/>
    <w:rsid w:val="00730C67"/>
    <w:rsid w:val="00730C7C"/>
    <w:rsid w:val="00730DB2"/>
    <w:rsid w:val="00730DF7"/>
    <w:rsid w:val="00730E3F"/>
    <w:rsid w:val="00730E7B"/>
    <w:rsid w:val="00730F29"/>
    <w:rsid w:val="00730FA4"/>
    <w:rsid w:val="0073106D"/>
    <w:rsid w:val="007310B9"/>
    <w:rsid w:val="007311AB"/>
    <w:rsid w:val="0073120B"/>
    <w:rsid w:val="0073120C"/>
    <w:rsid w:val="00731219"/>
    <w:rsid w:val="00731259"/>
    <w:rsid w:val="0073128F"/>
    <w:rsid w:val="007312D4"/>
    <w:rsid w:val="007313DB"/>
    <w:rsid w:val="00731484"/>
    <w:rsid w:val="00731494"/>
    <w:rsid w:val="00731739"/>
    <w:rsid w:val="007318EE"/>
    <w:rsid w:val="0073192D"/>
    <w:rsid w:val="00731939"/>
    <w:rsid w:val="0073194E"/>
    <w:rsid w:val="00731958"/>
    <w:rsid w:val="007319F2"/>
    <w:rsid w:val="007319FB"/>
    <w:rsid w:val="00731A16"/>
    <w:rsid w:val="00731A1D"/>
    <w:rsid w:val="00731A24"/>
    <w:rsid w:val="00731A70"/>
    <w:rsid w:val="00731A77"/>
    <w:rsid w:val="00731B09"/>
    <w:rsid w:val="00731B69"/>
    <w:rsid w:val="00731CF9"/>
    <w:rsid w:val="00731D39"/>
    <w:rsid w:val="00731DA8"/>
    <w:rsid w:val="00731DCC"/>
    <w:rsid w:val="00731E95"/>
    <w:rsid w:val="00731EA3"/>
    <w:rsid w:val="00731F20"/>
    <w:rsid w:val="00731F53"/>
    <w:rsid w:val="0073200F"/>
    <w:rsid w:val="00732022"/>
    <w:rsid w:val="007322CD"/>
    <w:rsid w:val="00732316"/>
    <w:rsid w:val="0073232F"/>
    <w:rsid w:val="00732356"/>
    <w:rsid w:val="007323E2"/>
    <w:rsid w:val="0073249A"/>
    <w:rsid w:val="007324A1"/>
    <w:rsid w:val="007324D6"/>
    <w:rsid w:val="007325B3"/>
    <w:rsid w:val="007325B8"/>
    <w:rsid w:val="00732608"/>
    <w:rsid w:val="00732619"/>
    <w:rsid w:val="0073264C"/>
    <w:rsid w:val="00732689"/>
    <w:rsid w:val="00732808"/>
    <w:rsid w:val="00732881"/>
    <w:rsid w:val="007328E8"/>
    <w:rsid w:val="007328F8"/>
    <w:rsid w:val="00732A2B"/>
    <w:rsid w:val="00732A54"/>
    <w:rsid w:val="00732AAB"/>
    <w:rsid w:val="00732B94"/>
    <w:rsid w:val="00732C9E"/>
    <w:rsid w:val="00732CBD"/>
    <w:rsid w:val="00732D8B"/>
    <w:rsid w:val="00732F1B"/>
    <w:rsid w:val="00732F89"/>
    <w:rsid w:val="00732FCC"/>
    <w:rsid w:val="00733072"/>
    <w:rsid w:val="007330CE"/>
    <w:rsid w:val="007332B0"/>
    <w:rsid w:val="0073330D"/>
    <w:rsid w:val="007333BA"/>
    <w:rsid w:val="00733401"/>
    <w:rsid w:val="00733488"/>
    <w:rsid w:val="00733538"/>
    <w:rsid w:val="00733561"/>
    <w:rsid w:val="007335B2"/>
    <w:rsid w:val="0073364A"/>
    <w:rsid w:val="0073377A"/>
    <w:rsid w:val="007337E5"/>
    <w:rsid w:val="007337F4"/>
    <w:rsid w:val="007338E9"/>
    <w:rsid w:val="0073395F"/>
    <w:rsid w:val="007339B2"/>
    <w:rsid w:val="00733A5D"/>
    <w:rsid w:val="00733A63"/>
    <w:rsid w:val="00733B33"/>
    <w:rsid w:val="00733B60"/>
    <w:rsid w:val="00733C32"/>
    <w:rsid w:val="00733D0D"/>
    <w:rsid w:val="00733D20"/>
    <w:rsid w:val="00733DBC"/>
    <w:rsid w:val="00733E64"/>
    <w:rsid w:val="00733EC2"/>
    <w:rsid w:val="0073406D"/>
    <w:rsid w:val="007340F3"/>
    <w:rsid w:val="00734134"/>
    <w:rsid w:val="007341D8"/>
    <w:rsid w:val="007341EA"/>
    <w:rsid w:val="007343F7"/>
    <w:rsid w:val="00734454"/>
    <w:rsid w:val="0073449E"/>
    <w:rsid w:val="00734525"/>
    <w:rsid w:val="00734596"/>
    <w:rsid w:val="00734597"/>
    <w:rsid w:val="00734675"/>
    <w:rsid w:val="007346E3"/>
    <w:rsid w:val="0073485B"/>
    <w:rsid w:val="00734A43"/>
    <w:rsid w:val="00734AD4"/>
    <w:rsid w:val="00734AE4"/>
    <w:rsid w:val="00734B3D"/>
    <w:rsid w:val="00734B65"/>
    <w:rsid w:val="00734C44"/>
    <w:rsid w:val="00734CB6"/>
    <w:rsid w:val="00734D4E"/>
    <w:rsid w:val="00734E3C"/>
    <w:rsid w:val="00734F1A"/>
    <w:rsid w:val="00734F7B"/>
    <w:rsid w:val="00734F82"/>
    <w:rsid w:val="00734FAA"/>
    <w:rsid w:val="00734FC4"/>
    <w:rsid w:val="00734FE6"/>
    <w:rsid w:val="00735122"/>
    <w:rsid w:val="007352F6"/>
    <w:rsid w:val="007353CE"/>
    <w:rsid w:val="007353D1"/>
    <w:rsid w:val="00735444"/>
    <w:rsid w:val="0073559A"/>
    <w:rsid w:val="00735654"/>
    <w:rsid w:val="0073568C"/>
    <w:rsid w:val="007356B5"/>
    <w:rsid w:val="007356C0"/>
    <w:rsid w:val="0073575F"/>
    <w:rsid w:val="0073578A"/>
    <w:rsid w:val="007357D3"/>
    <w:rsid w:val="007358B2"/>
    <w:rsid w:val="00735913"/>
    <w:rsid w:val="007359A8"/>
    <w:rsid w:val="007359C5"/>
    <w:rsid w:val="00735A1C"/>
    <w:rsid w:val="00735B79"/>
    <w:rsid w:val="00735B85"/>
    <w:rsid w:val="00735BAB"/>
    <w:rsid w:val="00735C75"/>
    <w:rsid w:val="00735C79"/>
    <w:rsid w:val="00735CC4"/>
    <w:rsid w:val="00735D2C"/>
    <w:rsid w:val="00735D6B"/>
    <w:rsid w:val="00735DE1"/>
    <w:rsid w:val="00735F16"/>
    <w:rsid w:val="0073602C"/>
    <w:rsid w:val="0073606E"/>
    <w:rsid w:val="007361F0"/>
    <w:rsid w:val="00736279"/>
    <w:rsid w:val="007362AB"/>
    <w:rsid w:val="007362BF"/>
    <w:rsid w:val="007363E6"/>
    <w:rsid w:val="007364C7"/>
    <w:rsid w:val="0073651E"/>
    <w:rsid w:val="00736590"/>
    <w:rsid w:val="00736596"/>
    <w:rsid w:val="007365FE"/>
    <w:rsid w:val="0073662C"/>
    <w:rsid w:val="0073662E"/>
    <w:rsid w:val="00736648"/>
    <w:rsid w:val="007366BC"/>
    <w:rsid w:val="007366E6"/>
    <w:rsid w:val="00736791"/>
    <w:rsid w:val="00736834"/>
    <w:rsid w:val="00736891"/>
    <w:rsid w:val="007368B7"/>
    <w:rsid w:val="00736954"/>
    <w:rsid w:val="00736A33"/>
    <w:rsid w:val="00736AF3"/>
    <w:rsid w:val="00736C21"/>
    <w:rsid w:val="00736D08"/>
    <w:rsid w:val="00736DAA"/>
    <w:rsid w:val="00736E41"/>
    <w:rsid w:val="00736ED5"/>
    <w:rsid w:val="00736EF0"/>
    <w:rsid w:val="00736EF1"/>
    <w:rsid w:val="0073720D"/>
    <w:rsid w:val="0073728C"/>
    <w:rsid w:val="007372D4"/>
    <w:rsid w:val="0073732C"/>
    <w:rsid w:val="0073732D"/>
    <w:rsid w:val="0073734A"/>
    <w:rsid w:val="0073736F"/>
    <w:rsid w:val="007373C1"/>
    <w:rsid w:val="00737504"/>
    <w:rsid w:val="00737529"/>
    <w:rsid w:val="00737543"/>
    <w:rsid w:val="007375DD"/>
    <w:rsid w:val="0073767A"/>
    <w:rsid w:val="0073772C"/>
    <w:rsid w:val="007377DB"/>
    <w:rsid w:val="007377ED"/>
    <w:rsid w:val="00737890"/>
    <w:rsid w:val="007378BC"/>
    <w:rsid w:val="00737945"/>
    <w:rsid w:val="00737A15"/>
    <w:rsid w:val="00737A72"/>
    <w:rsid w:val="00737A85"/>
    <w:rsid w:val="00737B59"/>
    <w:rsid w:val="00737B67"/>
    <w:rsid w:val="00737C16"/>
    <w:rsid w:val="00737C3A"/>
    <w:rsid w:val="00737C44"/>
    <w:rsid w:val="00737D57"/>
    <w:rsid w:val="00737D8C"/>
    <w:rsid w:val="00737D96"/>
    <w:rsid w:val="00737ED2"/>
    <w:rsid w:val="00740065"/>
    <w:rsid w:val="00740068"/>
    <w:rsid w:val="00740077"/>
    <w:rsid w:val="007401D0"/>
    <w:rsid w:val="00740208"/>
    <w:rsid w:val="00740209"/>
    <w:rsid w:val="0074039A"/>
    <w:rsid w:val="0074048C"/>
    <w:rsid w:val="007404BD"/>
    <w:rsid w:val="0074050A"/>
    <w:rsid w:val="00740532"/>
    <w:rsid w:val="00740539"/>
    <w:rsid w:val="00740793"/>
    <w:rsid w:val="007407D1"/>
    <w:rsid w:val="00740A65"/>
    <w:rsid w:val="00740B4E"/>
    <w:rsid w:val="00740C1D"/>
    <w:rsid w:val="00740C87"/>
    <w:rsid w:val="00740CBD"/>
    <w:rsid w:val="00740D4A"/>
    <w:rsid w:val="00740E3C"/>
    <w:rsid w:val="00740E60"/>
    <w:rsid w:val="00740ED7"/>
    <w:rsid w:val="00740F70"/>
    <w:rsid w:val="00741145"/>
    <w:rsid w:val="00741161"/>
    <w:rsid w:val="007411F1"/>
    <w:rsid w:val="00741231"/>
    <w:rsid w:val="00741315"/>
    <w:rsid w:val="007413F9"/>
    <w:rsid w:val="0074155A"/>
    <w:rsid w:val="007415FD"/>
    <w:rsid w:val="007417D8"/>
    <w:rsid w:val="0074189D"/>
    <w:rsid w:val="007419EF"/>
    <w:rsid w:val="00741AB9"/>
    <w:rsid w:val="00741C64"/>
    <w:rsid w:val="00741D31"/>
    <w:rsid w:val="00741DE1"/>
    <w:rsid w:val="00741ECF"/>
    <w:rsid w:val="00741FCC"/>
    <w:rsid w:val="00741FE3"/>
    <w:rsid w:val="00742043"/>
    <w:rsid w:val="007420B6"/>
    <w:rsid w:val="007422E6"/>
    <w:rsid w:val="00742591"/>
    <w:rsid w:val="0074263D"/>
    <w:rsid w:val="007426AC"/>
    <w:rsid w:val="00742722"/>
    <w:rsid w:val="007429B8"/>
    <w:rsid w:val="00742A4D"/>
    <w:rsid w:val="00742A5B"/>
    <w:rsid w:val="00742A80"/>
    <w:rsid w:val="00742AA5"/>
    <w:rsid w:val="00742AF9"/>
    <w:rsid w:val="00742D20"/>
    <w:rsid w:val="00742EF8"/>
    <w:rsid w:val="00743053"/>
    <w:rsid w:val="0074331E"/>
    <w:rsid w:val="00743493"/>
    <w:rsid w:val="0074349C"/>
    <w:rsid w:val="0074357F"/>
    <w:rsid w:val="00743613"/>
    <w:rsid w:val="0074365F"/>
    <w:rsid w:val="00743697"/>
    <w:rsid w:val="007436AA"/>
    <w:rsid w:val="007436FB"/>
    <w:rsid w:val="00743705"/>
    <w:rsid w:val="007439D6"/>
    <w:rsid w:val="00743AFD"/>
    <w:rsid w:val="00743B09"/>
    <w:rsid w:val="00743B83"/>
    <w:rsid w:val="00743BBA"/>
    <w:rsid w:val="00743CA1"/>
    <w:rsid w:val="00743CA3"/>
    <w:rsid w:val="00743E42"/>
    <w:rsid w:val="00743F26"/>
    <w:rsid w:val="00743F53"/>
    <w:rsid w:val="00743F75"/>
    <w:rsid w:val="00743F7E"/>
    <w:rsid w:val="00743F83"/>
    <w:rsid w:val="0074405F"/>
    <w:rsid w:val="00744189"/>
    <w:rsid w:val="00744218"/>
    <w:rsid w:val="00744269"/>
    <w:rsid w:val="00744461"/>
    <w:rsid w:val="007444AE"/>
    <w:rsid w:val="007444CD"/>
    <w:rsid w:val="007444D6"/>
    <w:rsid w:val="007444F8"/>
    <w:rsid w:val="00744522"/>
    <w:rsid w:val="00744639"/>
    <w:rsid w:val="007446E0"/>
    <w:rsid w:val="00744766"/>
    <w:rsid w:val="00744860"/>
    <w:rsid w:val="00744908"/>
    <w:rsid w:val="00744995"/>
    <w:rsid w:val="00744AA5"/>
    <w:rsid w:val="00744AC7"/>
    <w:rsid w:val="00744BFB"/>
    <w:rsid w:val="00744C66"/>
    <w:rsid w:val="00744E16"/>
    <w:rsid w:val="00744E73"/>
    <w:rsid w:val="00744F40"/>
    <w:rsid w:val="00744F97"/>
    <w:rsid w:val="00744FD0"/>
    <w:rsid w:val="0074502E"/>
    <w:rsid w:val="007450C1"/>
    <w:rsid w:val="007450F2"/>
    <w:rsid w:val="00745184"/>
    <w:rsid w:val="00745189"/>
    <w:rsid w:val="007451BE"/>
    <w:rsid w:val="0074520F"/>
    <w:rsid w:val="007452C7"/>
    <w:rsid w:val="00745325"/>
    <w:rsid w:val="00745376"/>
    <w:rsid w:val="007453D7"/>
    <w:rsid w:val="007454B6"/>
    <w:rsid w:val="00745562"/>
    <w:rsid w:val="00745592"/>
    <w:rsid w:val="007456F8"/>
    <w:rsid w:val="00745713"/>
    <w:rsid w:val="007458D7"/>
    <w:rsid w:val="007459A0"/>
    <w:rsid w:val="00745B41"/>
    <w:rsid w:val="00745B84"/>
    <w:rsid w:val="00745BD7"/>
    <w:rsid w:val="00745C38"/>
    <w:rsid w:val="00745CE1"/>
    <w:rsid w:val="00745CFC"/>
    <w:rsid w:val="00745F1E"/>
    <w:rsid w:val="00745FE9"/>
    <w:rsid w:val="00746038"/>
    <w:rsid w:val="00746081"/>
    <w:rsid w:val="00746096"/>
    <w:rsid w:val="007460A3"/>
    <w:rsid w:val="007461B3"/>
    <w:rsid w:val="007461EB"/>
    <w:rsid w:val="007461FE"/>
    <w:rsid w:val="0074621F"/>
    <w:rsid w:val="0074624E"/>
    <w:rsid w:val="00746415"/>
    <w:rsid w:val="007464FD"/>
    <w:rsid w:val="007465A2"/>
    <w:rsid w:val="007465C1"/>
    <w:rsid w:val="00746605"/>
    <w:rsid w:val="00746666"/>
    <w:rsid w:val="00746673"/>
    <w:rsid w:val="007466A7"/>
    <w:rsid w:val="00746732"/>
    <w:rsid w:val="0074678F"/>
    <w:rsid w:val="007467B1"/>
    <w:rsid w:val="00746979"/>
    <w:rsid w:val="007469EB"/>
    <w:rsid w:val="00746B7B"/>
    <w:rsid w:val="00746B7D"/>
    <w:rsid w:val="00746C51"/>
    <w:rsid w:val="00746CDB"/>
    <w:rsid w:val="00746DA0"/>
    <w:rsid w:val="00746EA0"/>
    <w:rsid w:val="007470B6"/>
    <w:rsid w:val="00747269"/>
    <w:rsid w:val="0074738E"/>
    <w:rsid w:val="007473DB"/>
    <w:rsid w:val="007473FA"/>
    <w:rsid w:val="00747484"/>
    <w:rsid w:val="0074760B"/>
    <w:rsid w:val="0074766B"/>
    <w:rsid w:val="00747792"/>
    <w:rsid w:val="007477B0"/>
    <w:rsid w:val="00747854"/>
    <w:rsid w:val="007478F2"/>
    <w:rsid w:val="0074791F"/>
    <w:rsid w:val="00747926"/>
    <w:rsid w:val="0074795F"/>
    <w:rsid w:val="007479CC"/>
    <w:rsid w:val="00747A43"/>
    <w:rsid w:val="00747B79"/>
    <w:rsid w:val="00747BEC"/>
    <w:rsid w:val="00747C92"/>
    <w:rsid w:val="00747CDF"/>
    <w:rsid w:val="00747D76"/>
    <w:rsid w:val="00747E0A"/>
    <w:rsid w:val="00747E26"/>
    <w:rsid w:val="00747F90"/>
    <w:rsid w:val="00747FAF"/>
    <w:rsid w:val="00747FE2"/>
    <w:rsid w:val="00750191"/>
    <w:rsid w:val="007503C9"/>
    <w:rsid w:val="007503E3"/>
    <w:rsid w:val="00750420"/>
    <w:rsid w:val="0075048A"/>
    <w:rsid w:val="007505DA"/>
    <w:rsid w:val="00750604"/>
    <w:rsid w:val="00750668"/>
    <w:rsid w:val="007506DF"/>
    <w:rsid w:val="007507C8"/>
    <w:rsid w:val="007507FC"/>
    <w:rsid w:val="00750819"/>
    <w:rsid w:val="0075091A"/>
    <w:rsid w:val="0075095C"/>
    <w:rsid w:val="0075098A"/>
    <w:rsid w:val="007509AE"/>
    <w:rsid w:val="00750A89"/>
    <w:rsid w:val="00750ABB"/>
    <w:rsid w:val="00750B89"/>
    <w:rsid w:val="00750C91"/>
    <w:rsid w:val="00750CB0"/>
    <w:rsid w:val="00750CBF"/>
    <w:rsid w:val="00750E29"/>
    <w:rsid w:val="00750E68"/>
    <w:rsid w:val="00750F22"/>
    <w:rsid w:val="00750F45"/>
    <w:rsid w:val="00750F58"/>
    <w:rsid w:val="007511E9"/>
    <w:rsid w:val="00751228"/>
    <w:rsid w:val="00751340"/>
    <w:rsid w:val="007513DF"/>
    <w:rsid w:val="00751428"/>
    <w:rsid w:val="00751602"/>
    <w:rsid w:val="0075164C"/>
    <w:rsid w:val="007516B5"/>
    <w:rsid w:val="0075170A"/>
    <w:rsid w:val="0075190B"/>
    <w:rsid w:val="0075193A"/>
    <w:rsid w:val="0075193F"/>
    <w:rsid w:val="00751972"/>
    <w:rsid w:val="00751AB1"/>
    <w:rsid w:val="00751CEC"/>
    <w:rsid w:val="00751CF0"/>
    <w:rsid w:val="00751E2F"/>
    <w:rsid w:val="00751F2D"/>
    <w:rsid w:val="0075212E"/>
    <w:rsid w:val="00752218"/>
    <w:rsid w:val="0075227B"/>
    <w:rsid w:val="007522F6"/>
    <w:rsid w:val="0075230D"/>
    <w:rsid w:val="007523B1"/>
    <w:rsid w:val="007523E9"/>
    <w:rsid w:val="00752420"/>
    <w:rsid w:val="0075249F"/>
    <w:rsid w:val="007524E6"/>
    <w:rsid w:val="007524FD"/>
    <w:rsid w:val="0075252C"/>
    <w:rsid w:val="00752587"/>
    <w:rsid w:val="007525BF"/>
    <w:rsid w:val="00752751"/>
    <w:rsid w:val="00752913"/>
    <w:rsid w:val="00752950"/>
    <w:rsid w:val="0075295D"/>
    <w:rsid w:val="00752A22"/>
    <w:rsid w:val="00752B17"/>
    <w:rsid w:val="00752B4E"/>
    <w:rsid w:val="00752C24"/>
    <w:rsid w:val="00752D14"/>
    <w:rsid w:val="00752D32"/>
    <w:rsid w:val="00752DD5"/>
    <w:rsid w:val="00752E68"/>
    <w:rsid w:val="00752F39"/>
    <w:rsid w:val="007530AD"/>
    <w:rsid w:val="00753239"/>
    <w:rsid w:val="00753330"/>
    <w:rsid w:val="00753415"/>
    <w:rsid w:val="0075343E"/>
    <w:rsid w:val="007534C3"/>
    <w:rsid w:val="007534DF"/>
    <w:rsid w:val="0075350B"/>
    <w:rsid w:val="00753552"/>
    <w:rsid w:val="0075368B"/>
    <w:rsid w:val="00753725"/>
    <w:rsid w:val="00753774"/>
    <w:rsid w:val="007537EF"/>
    <w:rsid w:val="0075397B"/>
    <w:rsid w:val="007539C6"/>
    <w:rsid w:val="00753A05"/>
    <w:rsid w:val="00753A1E"/>
    <w:rsid w:val="00753A44"/>
    <w:rsid w:val="00753C39"/>
    <w:rsid w:val="00753C9F"/>
    <w:rsid w:val="00753CE0"/>
    <w:rsid w:val="00753CF9"/>
    <w:rsid w:val="00753D0D"/>
    <w:rsid w:val="00753D12"/>
    <w:rsid w:val="00753D25"/>
    <w:rsid w:val="00753DCB"/>
    <w:rsid w:val="00753DE9"/>
    <w:rsid w:val="00753EEA"/>
    <w:rsid w:val="00753F66"/>
    <w:rsid w:val="0075401B"/>
    <w:rsid w:val="0075405D"/>
    <w:rsid w:val="00754070"/>
    <w:rsid w:val="00754120"/>
    <w:rsid w:val="00754222"/>
    <w:rsid w:val="0075428B"/>
    <w:rsid w:val="007542E2"/>
    <w:rsid w:val="0075454B"/>
    <w:rsid w:val="007545F3"/>
    <w:rsid w:val="00754698"/>
    <w:rsid w:val="0075474D"/>
    <w:rsid w:val="007547C0"/>
    <w:rsid w:val="0075480C"/>
    <w:rsid w:val="0075482D"/>
    <w:rsid w:val="007548D0"/>
    <w:rsid w:val="007548E3"/>
    <w:rsid w:val="00754970"/>
    <w:rsid w:val="007549F4"/>
    <w:rsid w:val="00754A6C"/>
    <w:rsid w:val="00754BA0"/>
    <w:rsid w:val="00754BEE"/>
    <w:rsid w:val="00754C3D"/>
    <w:rsid w:val="00754CB6"/>
    <w:rsid w:val="00754CE9"/>
    <w:rsid w:val="00754D44"/>
    <w:rsid w:val="00754F02"/>
    <w:rsid w:val="00754FF9"/>
    <w:rsid w:val="00755078"/>
    <w:rsid w:val="007551E6"/>
    <w:rsid w:val="007552AF"/>
    <w:rsid w:val="007552C0"/>
    <w:rsid w:val="007552C3"/>
    <w:rsid w:val="00755351"/>
    <w:rsid w:val="007553CA"/>
    <w:rsid w:val="007554E3"/>
    <w:rsid w:val="0075555C"/>
    <w:rsid w:val="00755683"/>
    <w:rsid w:val="00755730"/>
    <w:rsid w:val="00755742"/>
    <w:rsid w:val="00755949"/>
    <w:rsid w:val="007559BE"/>
    <w:rsid w:val="007559EF"/>
    <w:rsid w:val="00755B54"/>
    <w:rsid w:val="00755B76"/>
    <w:rsid w:val="00755C57"/>
    <w:rsid w:val="00755D0A"/>
    <w:rsid w:val="00755D40"/>
    <w:rsid w:val="00755E0D"/>
    <w:rsid w:val="00755E22"/>
    <w:rsid w:val="00755EA3"/>
    <w:rsid w:val="00755F22"/>
    <w:rsid w:val="00755F7C"/>
    <w:rsid w:val="007560EE"/>
    <w:rsid w:val="00756187"/>
    <w:rsid w:val="007561B2"/>
    <w:rsid w:val="007561C3"/>
    <w:rsid w:val="00756223"/>
    <w:rsid w:val="00756305"/>
    <w:rsid w:val="00756349"/>
    <w:rsid w:val="007564FD"/>
    <w:rsid w:val="007565B3"/>
    <w:rsid w:val="007565E6"/>
    <w:rsid w:val="0075667D"/>
    <w:rsid w:val="0075668C"/>
    <w:rsid w:val="007566F0"/>
    <w:rsid w:val="007567FD"/>
    <w:rsid w:val="00756821"/>
    <w:rsid w:val="0075683A"/>
    <w:rsid w:val="0075698B"/>
    <w:rsid w:val="00756993"/>
    <w:rsid w:val="007569EB"/>
    <w:rsid w:val="00756A90"/>
    <w:rsid w:val="00756B97"/>
    <w:rsid w:val="00756B9E"/>
    <w:rsid w:val="00756BCB"/>
    <w:rsid w:val="00756BFE"/>
    <w:rsid w:val="00756C2D"/>
    <w:rsid w:val="00756C64"/>
    <w:rsid w:val="00756DA8"/>
    <w:rsid w:val="00756EC1"/>
    <w:rsid w:val="00756EF7"/>
    <w:rsid w:val="00756F4D"/>
    <w:rsid w:val="007570E6"/>
    <w:rsid w:val="00757166"/>
    <w:rsid w:val="00757265"/>
    <w:rsid w:val="0075743E"/>
    <w:rsid w:val="00757532"/>
    <w:rsid w:val="007575EA"/>
    <w:rsid w:val="0075763F"/>
    <w:rsid w:val="007576F0"/>
    <w:rsid w:val="00757723"/>
    <w:rsid w:val="0075775C"/>
    <w:rsid w:val="007577A8"/>
    <w:rsid w:val="00757844"/>
    <w:rsid w:val="00757862"/>
    <w:rsid w:val="007578A6"/>
    <w:rsid w:val="00757973"/>
    <w:rsid w:val="00757A07"/>
    <w:rsid w:val="00757AF8"/>
    <w:rsid w:val="00757B0B"/>
    <w:rsid w:val="00757BB5"/>
    <w:rsid w:val="00757C14"/>
    <w:rsid w:val="00757C16"/>
    <w:rsid w:val="00757F04"/>
    <w:rsid w:val="0076000B"/>
    <w:rsid w:val="00760033"/>
    <w:rsid w:val="00760105"/>
    <w:rsid w:val="007601FC"/>
    <w:rsid w:val="00760304"/>
    <w:rsid w:val="0076035E"/>
    <w:rsid w:val="0076038F"/>
    <w:rsid w:val="007603DF"/>
    <w:rsid w:val="007604CE"/>
    <w:rsid w:val="00760515"/>
    <w:rsid w:val="00760567"/>
    <w:rsid w:val="00760591"/>
    <w:rsid w:val="007605E6"/>
    <w:rsid w:val="007605FC"/>
    <w:rsid w:val="00760747"/>
    <w:rsid w:val="00760759"/>
    <w:rsid w:val="007607D6"/>
    <w:rsid w:val="00760A22"/>
    <w:rsid w:val="00760B0B"/>
    <w:rsid w:val="00760B7F"/>
    <w:rsid w:val="00760BA9"/>
    <w:rsid w:val="00760BCB"/>
    <w:rsid w:val="00760BDB"/>
    <w:rsid w:val="00760D5C"/>
    <w:rsid w:val="00760DC2"/>
    <w:rsid w:val="00760E54"/>
    <w:rsid w:val="00760F44"/>
    <w:rsid w:val="0076103D"/>
    <w:rsid w:val="007610A9"/>
    <w:rsid w:val="007611C1"/>
    <w:rsid w:val="00761217"/>
    <w:rsid w:val="007612A0"/>
    <w:rsid w:val="00761328"/>
    <w:rsid w:val="00761393"/>
    <w:rsid w:val="00761408"/>
    <w:rsid w:val="0076140F"/>
    <w:rsid w:val="00761423"/>
    <w:rsid w:val="00761427"/>
    <w:rsid w:val="00761434"/>
    <w:rsid w:val="0076144D"/>
    <w:rsid w:val="00761473"/>
    <w:rsid w:val="007615FB"/>
    <w:rsid w:val="00761926"/>
    <w:rsid w:val="00761956"/>
    <w:rsid w:val="00761989"/>
    <w:rsid w:val="007619E7"/>
    <w:rsid w:val="007619EB"/>
    <w:rsid w:val="00761A5B"/>
    <w:rsid w:val="00761B60"/>
    <w:rsid w:val="00761BD1"/>
    <w:rsid w:val="00761BD2"/>
    <w:rsid w:val="00761BE4"/>
    <w:rsid w:val="00761C02"/>
    <w:rsid w:val="00761C05"/>
    <w:rsid w:val="00761C0D"/>
    <w:rsid w:val="00761C51"/>
    <w:rsid w:val="00761D62"/>
    <w:rsid w:val="00761DAB"/>
    <w:rsid w:val="00761DE4"/>
    <w:rsid w:val="00761E73"/>
    <w:rsid w:val="00761E79"/>
    <w:rsid w:val="00761E7A"/>
    <w:rsid w:val="00761F1D"/>
    <w:rsid w:val="0076213E"/>
    <w:rsid w:val="007622F0"/>
    <w:rsid w:val="007623F0"/>
    <w:rsid w:val="007623F1"/>
    <w:rsid w:val="007623FC"/>
    <w:rsid w:val="007625BB"/>
    <w:rsid w:val="00762707"/>
    <w:rsid w:val="007627CC"/>
    <w:rsid w:val="007627CF"/>
    <w:rsid w:val="007629C0"/>
    <w:rsid w:val="00762A42"/>
    <w:rsid w:val="00762A54"/>
    <w:rsid w:val="00762AB0"/>
    <w:rsid w:val="00762AD2"/>
    <w:rsid w:val="00762B31"/>
    <w:rsid w:val="00762B90"/>
    <w:rsid w:val="00762B97"/>
    <w:rsid w:val="00762C1A"/>
    <w:rsid w:val="00762FAE"/>
    <w:rsid w:val="00762FDB"/>
    <w:rsid w:val="00762FEF"/>
    <w:rsid w:val="00763033"/>
    <w:rsid w:val="00763121"/>
    <w:rsid w:val="00763146"/>
    <w:rsid w:val="00763189"/>
    <w:rsid w:val="0076345C"/>
    <w:rsid w:val="00763473"/>
    <w:rsid w:val="007634AB"/>
    <w:rsid w:val="007634EE"/>
    <w:rsid w:val="00763525"/>
    <w:rsid w:val="007635BC"/>
    <w:rsid w:val="007635E6"/>
    <w:rsid w:val="0076366E"/>
    <w:rsid w:val="00763683"/>
    <w:rsid w:val="0076376E"/>
    <w:rsid w:val="00763826"/>
    <w:rsid w:val="007638C9"/>
    <w:rsid w:val="007638E4"/>
    <w:rsid w:val="00763B43"/>
    <w:rsid w:val="00763C26"/>
    <w:rsid w:val="00763D9D"/>
    <w:rsid w:val="00763F1F"/>
    <w:rsid w:val="00764031"/>
    <w:rsid w:val="007640D4"/>
    <w:rsid w:val="0076423F"/>
    <w:rsid w:val="0076425C"/>
    <w:rsid w:val="00764331"/>
    <w:rsid w:val="007643CE"/>
    <w:rsid w:val="00764409"/>
    <w:rsid w:val="00764477"/>
    <w:rsid w:val="0076447E"/>
    <w:rsid w:val="00764499"/>
    <w:rsid w:val="00764526"/>
    <w:rsid w:val="0076452A"/>
    <w:rsid w:val="0076457F"/>
    <w:rsid w:val="00764728"/>
    <w:rsid w:val="00764739"/>
    <w:rsid w:val="00764776"/>
    <w:rsid w:val="007647B1"/>
    <w:rsid w:val="007647D8"/>
    <w:rsid w:val="0076487F"/>
    <w:rsid w:val="007649B7"/>
    <w:rsid w:val="00764B21"/>
    <w:rsid w:val="00764C1B"/>
    <w:rsid w:val="00764C56"/>
    <w:rsid w:val="00764D1D"/>
    <w:rsid w:val="00764DEB"/>
    <w:rsid w:val="00764F46"/>
    <w:rsid w:val="00764F82"/>
    <w:rsid w:val="0076512B"/>
    <w:rsid w:val="007651B4"/>
    <w:rsid w:val="00765283"/>
    <w:rsid w:val="007652D9"/>
    <w:rsid w:val="007653B4"/>
    <w:rsid w:val="0076542B"/>
    <w:rsid w:val="007654F9"/>
    <w:rsid w:val="00765596"/>
    <w:rsid w:val="0076567D"/>
    <w:rsid w:val="007657A0"/>
    <w:rsid w:val="007657E4"/>
    <w:rsid w:val="007657FE"/>
    <w:rsid w:val="00765882"/>
    <w:rsid w:val="0076588B"/>
    <w:rsid w:val="0076594B"/>
    <w:rsid w:val="00765976"/>
    <w:rsid w:val="00765B32"/>
    <w:rsid w:val="00765C0D"/>
    <w:rsid w:val="00765C0F"/>
    <w:rsid w:val="00765CDB"/>
    <w:rsid w:val="00765D16"/>
    <w:rsid w:val="00765EC9"/>
    <w:rsid w:val="00765F20"/>
    <w:rsid w:val="00766024"/>
    <w:rsid w:val="0076606C"/>
    <w:rsid w:val="007660A5"/>
    <w:rsid w:val="0076627F"/>
    <w:rsid w:val="00766343"/>
    <w:rsid w:val="00766351"/>
    <w:rsid w:val="00766358"/>
    <w:rsid w:val="0076650E"/>
    <w:rsid w:val="00766541"/>
    <w:rsid w:val="0076657E"/>
    <w:rsid w:val="007665DD"/>
    <w:rsid w:val="007666B2"/>
    <w:rsid w:val="007666DA"/>
    <w:rsid w:val="007666FA"/>
    <w:rsid w:val="0076673B"/>
    <w:rsid w:val="00766887"/>
    <w:rsid w:val="0076688F"/>
    <w:rsid w:val="007669B4"/>
    <w:rsid w:val="007669D6"/>
    <w:rsid w:val="00766AE3"/>
    <w:rsid w:val="00766B33"/>
    <w:rsid w:val="00766C9C"/>
    <w:rsid w:val="00766CF3"/>
    <w:rsid w:val="00766D59"/>
    <w:rsid w:val="00766DDA"/>
    <w:rsid w:val="007670DE"/>
    <w:rsid w:val="007670DF"/>
    <w:rsid w:val="007670FF"/>
    <w:rsid w:val="00767186"/>
    <w:rsid w:val="00767236"/>
    <w:rsid w:val="007672E5"/>
    <w:rsid w:val="00767404"/>
    <w:rsid w:val="00767500"/>
    <w:rsid w:val="00767542"/>
    <w:rsid w:val="00767581"/>
    <w:rsid w:val="00767682"/>
    <w:rsid w:val="007676F1"/>
    <w:rsid w:val="00767779"/>
    <w:rsid w:val="007677B2"/>
    <w:rsid w:val="00767879"/>
    <w:rsid w:val="007679A6"/>
    <w:rsid w:val="007679B3"/>
    <w:rsid w:val="00767A72"/>
    <w:rsid w:val="00767AB0"/>
    <w:rsid w:val="00767B6B"/>
    <w:rsid w:val="00767B80"/>
    <w:rsid w:val="00767D7C"/>
    <w:rsid w:val="00767E01"/>
    <w:rsid w:val="00767E32"/>
    <w:rsid w:val="00767EAA"/>
    <w:rsid w:val="00767EC2"/>
    <w:rsid w:val="00767F80"/>
    <w:rsid w:val="00767F83"/>
    <w:rsid w:val="00770001"/>
    <w:rsid w:val="0077006B"/>
    <w:rsid w:val="00770205"/>
    <w:rsid w:val="0077026D"/>
    <w:rsid w:val="007702B7"/>
    <w:rsid w:val="007702ED"/>
    <w:rsid w:val="00770354"/>
    <w:rsid w:val="0077038B"/>
    <w:rsid w:val="00770419"/>
    <w:rsid w:val="00770439"/>
    <w:rsid w:val="007705CA"/>
    <w:rsid w:val="007708CC"/>
    <w:rsid w:val="00770A40"/>
    <w:rsid w:val="00770B24"/>
    <w:rsid w:val="00770CCC"/>
    <w:rsid w:val="00770D2D"/>
    <w:rsid w:val="00770DB0"/>
    <w:rsid w:val="00770DC9"/>
    <w:rsid w:val="00770E3F"/>
    <w:rsid w:val="00770E43"/>
    <w:rsid w:val="00770E68"/>
    <w:rsid w:val="00770EC5"/>
    <w:rsid w:val="00770EC7"/>
    <w:rsid w:val="00770F1C"/>
    <w:rsid w:val="00771060"/>
    <w:rsid w:val="007710A6"/>
    <w:rsid w:val="007710E7"/>
    <w:rsid w:val="00771193"/>
    <w:rsid w:val="007711B5"/>
    <w:rsid w:val="007711E5"/>
    <w:rsid w:val="0077122B"/>
    <w:rsid w:val="00771321"/>
    <w:rsid w:val="00771422"/>
    <w:rsid w:val="007714B5"/>
    <w:rsid w:val="00771511"/>
    <w:rsid w:val="00771518"/>
    <w:rsid w:val="00771659"/>
    <w:rsid w:val="00771675"/>
    <w:rsid w:val="00771827"/>
    <w:rsid w:val="007718A8"/>
    <w:rsid w:val="007718F4"/>
    <w:rsid w:val="00771A60"/>
    <w:rsid w:val="00771B39"/>
    <w:rsid w:val="00771B82"/>
    <w:rsid w:val="00771BDF"/>
    <w:rsid w:val="00771BFF"/>
    <w:rsid w:val="00771D25"/>
    <w:rsid w:val="00771E5A"/>
    <w:rsid w:val="00771E6F"/>
    <w:rsid w:val="00771EC7"/>
    <w:rsid w:val="00771F9A"/>
    <w:rsid w:val="007720C8"/>
    <w:rsid w:val="00772114"/>
    <w:rsid w:val="00772169"/>
    <w:rsid w:val="0077217C"/>
    <w:rsid w:val="00772257"/>
    <w:rsid w:val="007724C0"/>
    <w:rsid w:val="00772622"/>
    <w:rsid w:val="0077266D"/>
    <w:rsid w:val="007727AE"/>
    <w:rsid w:val="00772AD2"/>
    <w:rsid w:val="00772B4A"/>
    <w:rsid w:val="00772BE2"/>
    <w:rsid w:val="00772C1A"/>
    <w:rsid w:val="00772C4B"/>
    <w:rsid w:val="00772CF0"/>
    <w:rsid w:val="00772DCD"/>
    <w:rsid w:val="00772E1C"/>
    <w:rsid w:val="00772E3B"/>
    <w:rsid w:val="00772F51"/>
    <w:rsid w:val="00773000"/>
    <w:rsid w:val="00773082"/>
    <w:rsid w:val="007730DF"/>
    <w:rsid w:val="007730FF"/>
    <w:rsid w:val="00773167"/>
    <w:rsid w:val="00773182"/>
    <w:rsid w:val="0077318E"/>
    <w:rsid w:val="007731E6"/>
    <w:rsid w:val="00773231"/>
    <w:rsid w:val="00773371"/>
    <w:rsid w:val="00773461"/>
    <w:rsid w:val="00773469"/>
    <w:rsid w:val="007735A9"/>
    <w:rsid w:val="0077365B"/>
    <w:rsid w:val="0077370E"/>
    <w:rsid w:val="0077373F"/>
    <w:rsid w:val="007737B8"/>
    <w:rsid w:val="007737BF"/>
    <w:rsid w:val="007737C8"/>
    <w:rsid w:val="007737E7"/>
    <w:rsid w:val="007737FF"/>
    <w:rsid w:val="007738C9"/>
    <w:rsid w:val="00773A31"/>
    <w:rsid w:val="00773AB0"/>
    <w:rsid w:val="00773ACD"/>
    <w:rsid w:val="00773B51"/>
    <w:rsid w:val="00773BCF"/>
    <w:rsid w:val="00773C44"/>
    <w:rsid w:val="00773CA5"/>
    <w:rsid w:val="00773CEB"/>
    <w:rsid w:val="00773E21"/>
    <w:rsid w:val="00773F7D"/>
    <w:rsid w:val="00773F87"/>
    <w:rsid w:val="00773F9B"/>
    <w:rsid w:val="00774010"/>
    <w:rsid w:val="007740B7"/>
    <w:rsid w:val="0077414A"/>
    <w:rsid w:val="00774162"/>
    <w:rsid w:val="00774190"/>
    <w:rsid w:val="00774336"/>
    <w:rsid w:val="0077436D"/>
    <w:rsid w:val="00774430"/>
    <w:rsid w:val="007745B5"/>
    <w:rsid w:val="007746D4"/>
    <w:rsid w:val="007747C3"/>
    <w:rsid w:val="007747E9"/>
    <w:rsid w:val="00774847"/>
    <w:rsid w:val="007748A1"/>
    <w:rsid w:val="0077490A"/>
    <w:rsid w:val="007749B5"/>
    <w:rsid w:val="00774AB5"/>
    <w:rsid w:val="00774AF4"/>
    <w:rsid w:val="00774B60"/>
    <w:rsid w:val="00774B85"/>
    <w:rsid w:val="00774C6C"/>
    <w:rsid w:val="00774CBE"/>
    <w:rsid w:val="00774E3C"/>
    <w:rsid w:val="00774E47"/>
    <w:rsid w:val="00774E60"/>
    <w:rsid w:val="00774EF5"/>
    <w:rsid w:val="007750C3"/>
    <w:rsid w:val="007750F2"/>
    <w:rsid w:val="0077517B"/>
    <w:rsid w:val="007751D4"/>
    <w:rsid w:val="007751FC"/>
    <w:rsid w:val="007752FD"/>
    <w:rsid w:val="0077532F"/>
    <w:rsid w:val="00775351"/>
    <w:rsid w:val="00775378"/>
    <w:rsid w:val="00775541"/>
    <w:rsid w:val="00775567"/>
    <w:rsid w:val="0077559D"/>
    <w:rsid w:val="00775653"/>
    <w:rsid w:val="0077570A"/>
    <w:rsid w:val="00775737"/>
    <w:rsid w:val="007757EE"/>
    <w:rsid w:val="007758EC"/>
    <w:rsid w:val="007759D1"/>
    <w:rsid w:val="00775A61"/>
    <w:rsid w:val="00775B75"/>
    <w:rsid w:val="00775C16"/>
    <w:rsid w:val="00775C43"/>
    <w:rsid w:val="00775D60"/>
    <w:rsid w:val="00775DF1"/>
    <w:rsid w:val="00776010"/>
    <w:rsid w:val="0077603B"/>
    <w:rsid w:val="0077604C"/>
    <w:rsid w:val="0077605F"/>
    <w:rsid w:val="00776082"/>
    <w:rsid w:val="007760BC"/>
    <w:rsid w:val="0077612A"/>
    <w:rsid w:val="0077629B"/>
    <w:rsid w:val="007762BB"/>
    <w:rsid w:val="00776377"/>
    <w:rsid w:val="007764AF"/>
    <w:rsid w:val="0077656E"/>
    <w:rsid w:val="00776573"/>
    <w:rsid w:val="00776681"/>
    <w:rsid w:val="00776696"/>
    <w:rsid w:val="00776726"/>
    <w:rsid w:val="007769E1"/>
    <w:rsid w:val="00776A21"/>
    <w:rsid w:val="00776B2E"/>
    <w:rsid w:val="00776B44"/>
    <w:rsid w:val="00776C10"/>
    <w:rsid w:val="00776C71"/>
    <w:rsid w:val="00776D18"/>
    <w:rsid w:val="00776DFD"/>
    <w:rsid w:val="00776E3E"/>
    <w:rsid w:val="00776E47"/>
    <w:rsid w:val="00776E7C"/>
    <w:rsid w:val="00776F29"/>
    <w:rsid w:val="00776F6D"/>
    <w:rsid w:val="00776F70"/>
    <w:rsid w:val="0077715E"/>
    <w:rsid w:val="007771B9"/>
    <w:rsid w:val="00777286"/>
    <w:rsid w:val="007772CE"/>
    <w:rsid w:val="00777394"/>
    <w:rsid w:val="00777478"/>
    <w:rsid w:val="007774DD"/>
    <w:rsid w:val="007776ED"/>
    <w:rsid w:val="00777876"/>
    <w:rsid w:val="0077796F"/>
    <w:rsid w:val="00777A7E"/>
    <w:rsid w:val="00777AA3"/>
    <w:rsid w:val="00777B1A"/>
    <w:rsid w:val="00777B49"/>
    <w:rsid w:val="00777D59"/>
    <w:rsid w:val="00777E2D"/>
    <w:rsid w:val="00777E2F"/>
    <w:rsid w:val="00777E31"/>
    <w:rsid w:val="00777EB0"/>
    <w:rsid w:val="00777FAA"/>
    <w:rsid w:val="00777FB5"/>
    <w:rsid w:val="00777FF2"/>
    <w:rsid w:val="00780014"/>
    <w:rsid w:val="00780090"/>
    <w:rsid w:val="0078009A"/>
    <w:rsid w:val="0078009D"/>
    <w:rsid w:val="0078015B"/>
    <w:rsid w:val="00780197"/>
    <w:rsid w:val="007801B6"/>
    <w:rsid w:val="00780244"/>
    <w:rsid w:val="00780274"/>
    <w:rsid w:val="007802F7"/>
    <w:rsid w:val="00780315"/>
    <w:rsid w:val="00780318"/>
    <w:rsid w:val="0078050F"/>
    <w:rsid w:val="00780657"/>
    <w:rsid w:val="007806D3"/>
    <w:rsid w:val="00780855"/>
    <w:rsid w:val="007808A7"/>
    <w:rsid w:val="007808FC"/>
    <w:rsid w:val="00780A08"/>
    <w:rsid w:val="00780A53"/>
    <w:rsid w:val="00780B18"/>
    <w:rsid w:val="00780BD4"/>
    <w:rsid w:val="00780BEB"/>
    <w:rsid w:val="00780C0E"/>
    <w:rsid w:val="00780C8A"/>
    <w:rsid w:val="00780C93"/>
    <w:rsid w:val="00780D06"/>
    <w:rsid w:val="00780EFB"/>
    <w:rsid w:val="00780F4F"/>
    <w:rsid w:val="0078109C"/>
    <w:rsid w:val="007810F8"/>
    <w:rsid w:val="007811B9"/>
    <w:rsid w:val="00781218"/>
    <w:rsid w:val="00781255"/>
    <w:rsid w:val="0078126A"/>
    <w:rsid w:val="00781294"/>
    <w:rsid w:val="00781341"/>
    <w:rsid w:val="007813E6"/>
    <w:rsid w:val="007814BF"/>
    <w:rsid w:val="00781649"/>
    <w:rsid w:val="00781677"/>
    <w:rsid w:val="007816FA"/>
    <w:rsid w:val="00781784"/>
    <w:rsid w:val="007819F0"/>
    <w:rsid w:val="007819FC"/>
    <w:rsid w:val="00781A35"/>
    <w:rsid w:val="00781A49"/>
    <w:rsid w:val="00781AC4"/>
    <w:rsid w:val="00781ACB"/>
    <w:rsid w:val="00781B6C"/>
    <w:rsid w:val="00781C9B"/>
    <w:rsid w:val="00781D78"/>
    <w:rsid w:val="00781DB4"/>
    <w:rsid w:val="00781E0D"/>
    <w:rsid w:val="00781F78"/>
    <w:rsid w:val="00781FD1"/>
    <w:rsid w:val="00782004"/>
    <w:rsid w:val="0078204D"/>
    <w:rsid w:val="0078219D"/>
    <w:rsid w:val="007821B5"/>
    <w:rsid w:val="00782316"/>
    <w:rsid w:val="00782341"/>
    <w:rsid w:val="007823CA"/>
    <w:rsid w:val="007824A7"/>
    <w:rsid w:val="007824B8"/>
    <w:rsid w:val="007824E2"/>
    <w:rsid w:val="00782553"/>
    <w:rsid w:val="00782568"/>
    <w:rsid w:val="00782607"/>
    <w:rsid w:val="00782831"/>
    <w:rsid w:val="0078288F"/>
    <w:rsid w:val="0078289C"/>
    <w:rsid w:val="00782996"/>
    <w:rsid w:val="007829CD"/>
    <w:rsid w:val="00782ADE"/>
    <w:rsid w:val="00782BC4"/>
    <w:rsid w:val="00782BCA"/>
    <w:rsid w:val="00782C4E"/>
    <w:rsid w:val="00782D01"/>
    <w:rsid w:val="00782E9D"/>
    <w:rsid w:val="00782EC6"/>
    <w:rsid w:val="00782ED8"/>
    <w:rsid w:val="00782F6F"/>
    <w:rsid w:val="00782FDB"/>
    <w:rsid w:val="00782FEC"/>
    <w:rsid w:val="007831AE"/>
    <w:rsid w:val="00783268"/>
    <w:rsid w:val="007832AA"/>
    <w:rsid w:val="007832C3"/>
    <w:rsid w:val="007832DC"/>
    <w:rsid w:val="00783415"/>
    <w:rsid w:val="00783508"/>
    <w:rsid w:val="007835C0"/>
    <w:rsid w:val="007835DB"/>
    <w:rsid w:val="007836D4"/>
    <w:rsid w:val="007836FE"/>
    <w:rsid w:val="00783825"/>
    <w:rsid w:val="0078389E"/>
    <w:rsid w:val="007838F2"/>
    <w:rsid w:val="0078392E"/>
    <w:rsid w:val="0078397F"/>
    <w:rsid w:val="00783B6F"/>
    <w:rsid w:val="00783C96"/>
    <w:rsid w:val="00783CB0"/>
    <w:rsid w:val="00783D58"/>
    <w:rsid w:val="00783D5C"/>
    <w:rsid w:val="00783DF4"/>
    <w:rsid w:val="00783E11"/>
    <w:rsid w:val="00783E46"/>
    <w:rsid w:val="00783E7D"/>
    <w:rsid w:val="007840C9"/>
    <w:rsid w:val="00784129"/>
    <w:rsid w:val="0078414A"/>
    <w:rsid w:val="007841DE"/>
    <w:rsid w:val="007842FD"/>
    <w:rsid w:val="00784401"/>
    <w:rsid w:val="007844AA"/>
    <w:rsid w:val="00784593"/>
    <w:rsid w:val="007845EA"/>
    <w:rsid w:val="0078460A"/>
    <w:rsid w:val="007846C5"/>
    <w:rsid w:val="00784707"/>
    <w:rsid w:val="00784779"/>
    <w:rsid w:val="0078481F"/>
    <w:rsid w:val="00784878"/>
    <w:rsid w:val="007848B0"/>
    <w:rsid w:val="007848BC"/>
    <w:rsid w:val="007849F2"/>
    <w:rsid w:val="00784A82"/>
    <w:rsid w:val="00784A8A"/>
    <w:rsid w:val="00784AA3"/>
    <w:rsid w:val="00784ABE"/>
    <w:rsid w:val="00784B1A"/>
    <w:rsid w:val="00784BB5"/>
    <w:rsid w:val="00784BB7"/>
    <w:rsid w:val="00784BDE"/>
    <w:rsid w:val="00784D93"/>
    <w:rsid w:val="00784DD3"/>
    <w:rsid w:val="00784DE5"/>
    <w:rsid w:val="00784E4B"/>
    <w:rsid w:val="00784E9F"/>
    <w:rsid w:val="00784F01"/>
    <w:rsid w:val="00784FD1"/>
    <w:rsid w:val="00785158"/>
    <w:rsid w:val="007851E3"/>
    <w:rsid w:val="007852E6"/>
    <w:rsid w:val="007853F1"/>
    <w:rsid w:val="0078542A"/>
    <w:rsid w:val="007854A1"/>
    <w:rsid w:val="007854F2"/>
    <w:rsid w:val="00785537"/>
    <w:rsid w:val="00785666"/>
    <w:rsid w:val="0078571D"/>
    <w:rsid w:val="0078575B"/>
    <w:rsid w:val="00785984"/>
    <w:rsid w:val="00785994"/>
    <w:rsid w:val="00785A35"/>
    <w:rsid w:val="00785ABF"/>
    <w:rsid w:val="00785BBB"/>
    <w:rsid w:val="00785C07"/>
    <w:rsid w:val="00785CDD"/>
    <w:rsid w:val="00785CEF"/>
    <w:rsid w:val="00785F20"/>
    <w:rsid w:val="00785FC1"/>
    <w:rsid w:val="00786059"/>
    <w:rsid w:val="00786105"/>
    <w:rsid w:val="00786142"/>
    <w:rsid w:val="007862C8"/>
    <w:rsid w:val="00786368"/>
    <w:rsid w:val="0078639F"/>
    <w:rsid w:val="00786428"/>
    <w:rsid w:val="0078643A"/>
    <w:rsid w:val="0078653C"/>
    <w:rsid w:val="0078676E"/>
    <w:rsid w:val="007867F9"/>
    <w:rsid w:val="007868E2"/>
    <w:rsid w:val="007869A3"/>
    <w:rsid w:val="007869BA"/>
    <w:rsid w:val="007869D4"/>
    <w:rsid w:val="00786A1C"/>
    <w:rsid w:val="00786A23"/>
    <w:rsid w:val="00786A66"/>
    <w:rsid w:val="00786ABF"/>
    <w:rsid w:val="00786B32"/>
    <w:rsid w:val="00786B57"/>
    <w:rsid w:val="00786BC7"/>
    <w:rsid w:val="00786D20"/>
    <w:rsid w:val="00786D66"/>
    <w:rsid w:val="00786E2D"/>
    <w:rsid w:val="00786F30"/>
    <w:rsid w:val="00786F61"/>
    <w:rsid w:val="00786FFE"/>
    <w:rsid w:val="0078714F"/>
    <w:rsid w:val="007872AC"/>
    <w:rsid w:val="007872BE"/>
    <w:rsid w:val="0078737F"/>
    <w:rsid w:val="007875DC"/>
    <w:rsid w:val="007875FF"/>
    <w:rsid w:val="0078767E"/>
    <w:rsid w:val="007878AB"/>
    <w:rsid w:val="00787927"/>
    <w:rsid w:val="007879F2"/>
    <w:rsid w:val="00787A20"/>
    <w:rsid w:val="00787B8D"/>
    <w:rsid w:val="00787BFC"/>
    <w:rsid w:val="00787C00"/>
    <w:rsid w:val="00787C3A"/>
    <w:rsid w:val="00787E0A"/>
    <w:rsid w:val="00787EF8"/>
    <w:rsid w:val="00787FF6"/>
    <w:rsid w:val="007900A8"/>
    <w:rsid w:val="00790122"/>
    <w:rsid w:val="0079013A"/>
    <w:rsid w:val="0079018F"/>
    <w:rsid w:val="007901AF"/>
    <w:rsid w:val="007902DA"/>
    <w:rsid w:val="007902F2"/>
    <w:rsid w:val="0079034F"/>
    <w:rsid w:val="007903E1"/>
    <w:rsid w:val="00790421"/>
    <w:rsid w:val="0079045B"/>
    <w:rsid w:val="00790475"/>
    <w:rsid w:val="00790500"/>
    <w:rsid w:val="007905F9"/>
    <w:rsid w:val="00790671"/>
    <w:rsid w:val="00790725"/>
    <w:rsid w:val="00790737"/>
    <w:rsid w:val="00790756"/>
    <w:rsid w:val="007907CB"/>
    <w:rsid w:val="00790803"/>
    <w:rsid w:val="00790849"/>
    <w:rsid w:val="00790912"/>
    <w:rsid w:val="00790B71"/>
    <w:rsid w:val="00790BE9"/>
    <w:rsid w:val="00790C30"/>
    <w:rsid w:val="00790CBC"/>
    <w:rsid w:val="00790DA9"/>
    <w:rsid w:val="00790DC3"/>
    <w:rsid w:val="00790E21"/>
    <w:rsid w:val="00790E49"/>
    <w:rsid w:val="00790E83"/>
    <w:rsid w:val="0079106B"/>
    <w:rsid w:val="007910A5"/>
    <w:rsid w:val="007910B2"/>
    <w:rsid w:val="00791119"/>
    <w:rsid w:val="007911EB"/>
    <w:rsid w:val="00791218"/>
    <w:rsid w:val="007912F2"/>
    <w:rsid w:val="00791418"/>
    <w:rsid w:val="0079145C"/>
    <w:rsid w:val="0079146B"/>
    <w:rsid w:val="007914D8"/>
    <w:rsid w:val="007915EA"/>
    <w:rsid w:val="007916C1"/>
    <w:rsid w:val="007916C4"/>
    <w:rsid w:val="00791735"/>
    <w:rsid w:val="007918C4"/>
    <w:rsid w:val="0079193E"/>
    <w:rsid w:val="00791946"/>
    <w:rsid w:val="00791959"/>
    <w:rsid w:val="0079196B"/>
    <w:rsid w:val="00791A02"/>
    <w:rsid w:val="00791B29"/>
    <w:rsid w:val="00791B55"/>
    <w:rsid w:val="00791B6D"/>
    <w:rsid w:val="00791C85"/>
    <w:rsid w:val="00791C93"/>
    <w:rsid w:val="00791CBA"/>
    <w:rsid w:val="00791CE8"/>
    <w:rsid w:val="00791DC8"/>
    <w:rsid w:val="00791E57"/>
    <w:rsid w:val="00791E87"/>
    <w:rsid w:val="00791F1B"/>
    <w:rsid w:val="00791F24"/>
    <w:rsid w:val="00791FD4"/>
    <w:rsid w:val="00792030"/>
    <w:rsid w:val="0079205B"/>
    <w:rsid w:val="007920E3"/>
    <w:rsid w:val="00792266"/>
    <w:rsid w:val="007922AC"/>
    <w:rsid w:val="007922C1"/>
    <w:rsid w:val="007925CC"/>
    <w:rsid w:val="007925CD"/>
    <w:rsid w:val="00792609"/>
    <w:rsid w:val="007926FF"/>
    <w:rsid w:val="00792776"/>
    <w:rsid w:val="007927C1"/>
    <w:rsid w:val="0079280C"/>
    <w:rsid w:val="0079284D"/>
    <w:rsid w:val="00792877"/>
    <w:rsid w:val="007928B8"/>
    <w:rsid w:val="00792906"/>
    <w:rsid w:val="00792926"/>
    <w:rsid w:val="007929CB"/>
    <w:rsid w:val="00792A96"/>
    <w:rsid w:val="00792AB4"/>
    <w:rsid w:val="00792B25"/>
    <w:rsid w:val="00792B44"/>
    <w:rsid w:val="00792B69"/>
    <w:rsid w:val="00792C48"/>
    <w:rsid w:val="00792D56"/>
    <w:rsid w:val="00792D78"/>
    <w:rsid w:val="00792E77"/>
    <w:rsid w:val="00792EA5"/>
    <w:rsid w:val="00792ECC"/>
    <w:rsid w:val="00792F62"/>
    <w:rsid w:val="0079303A"/>
    <w:rsid w:val="00793115"/>
    <w:rsid w:val="007931AE"/>
    <w:rsid w:val="00793212"/>
    <w:rsid w:val="0079321C"/>
    <w:rsid w:val="007932CA"/>
    <w:rsid w:val="00793345"/>
    <w:rsid w:val="007933E4"/>
    <w:rsid w:val="00793612"/>
    <w:rsid w:val="00793681"/>
    <w:rsid w:val="00793691"/>
    <w:rsid w:val="0079377C"/>
    <w:rsid w:val="0079379A"/>
    <w:rsid w:val="007937C6"/>
    <w:rsid w:val="007937D6"/>
    <w:rsid w:val="0079386B"/>
    <w:rsid w:val="007938A8"/>
    <w:rsid w:val="00793933"/>
    <w:rsid w:val="0079399D"/>
    <w:rsid w:val="00793A58"/>
    <w:rsid w:val="00793A62"/>
    <w:rsid w:val="00793BD2"/>
    <w:rsid w:val="00793D4D"/>
    <w:rsid w:val="00793D8D"/>
    <w:rsid w:val="00793E06"/>
    <w:rsid w:val="00793E38"/>
    <w:rsid w:val="00793E57"/>
    <w:rsid w:val="00793E97"/>
    <w:rsid w:val="00793EC1"/>
    <w:rsid w:val="00793ED1"/>
    <w:rsid w:val="00793F8C"/>
    <w:rsid w:val="00793FC6"/>
    <w:rsid w:val="00794009"/>
    <w:rsid w:val="007940A6"/>
    <w:rsid w:val="007940D7"/>
    <w:rsid w:val="007941FB"/>
    <w:rsid w:val="0079439B"/>
    <w:rsid w:val="007943EE"/>
    <w:rsid w:val="0079440F"/>
    <w:rsid w:val="00794466"/>
    <w:rsid w:val="00794535"/>
    <w:rsid w:val="0079454C"/>
    <w:rsid w:val="00794567"/>
    <w:rsid w:val="00794641"/>
    <w:rsid w:val="007946A1"/>
    <w:rsid w:val="007946DF"/>
    <w:rsid w:val="00794720"/>
    <w:rsid w:val="00794747"/>
    <w:rsid w:val="007947CF"/>
    <w:rsid w:val="00794962"/>
    <w:rsid w:val="00794973"/>
    <w:rsid w:val="00794A59"/>
    <w:rsid w:val="00794A71"/>
    <w:rsid w:val="00794A94"/>
    <w:rsid w:val="00794AA8"/>
    <w:rsid w:val="00794B11"/>
    <w:rsid w:val="00794B18"/>
    <w:rsid w:val="00794B77"/>
    <w:rsid w:val="00794BDC"/>
    <w:rsid w:val="00794F0D"/>
    <w:rsid w:val="00795059"/>
    <w:rsid w:val="0079509B"/>
    <w:rsid w:val="007950D0"/>
    <w:rsid w:val="007951A6"/>
    <w:rsid w:val="00795204"/>
    <w:rsid w:val="007952C3"/>
    <w:rsid w:val="0079531F"/>
    <w:rsid w:val="007953EF"/>
    <w:rsid w:val="0079542A"/>
    <w:rsid w:val="00795486"/>
    <w:rsid w:val="00795527"/>
    <w:rsid w:val="00795577"/>
    <w:rsid w:val="007955B3"/>
    <w:rsid w:val="007958B9"/>
    <w:rsid w:val="0079596C"/>
    <w:rsid w:val="007959AE"/>
    <w:rsid w:val="00795B2F"/>
    <w:rsid w:val="00795E28"/>
    <w:rsid w:val="00795E2A"/>
    <w:rsid w:val="00795E36"/>
    <w:rsid w:val="00795E47"/>
    <w:rsid w:val="00795E89"/>
    <w:rsid w:val="00795EF3"/>
    <w:rsid w:val="00795F20"/>
    <w:rsid w:val="00795F2E"/>
    <w:rsid w:val="00795F51"/>
    <w:rsid w:val="00795F66"/>
    <w:rsid w:val="007961EF"/>
    <w:rsid w:val="007961F6"/>
    <w:rsid w:val="00796233"/>
    <w:rsid w:val="00796248"/>
    <w:rsid w:val="00796258"/>
    <w:rsid w:val="00796336"/>
    <w:rsid w:val="007964B6"/>
    <w:rsid w:val="00796570"/>
    <w:rsid w:val="007965AC"/>
    <w:rsid w:val="0079680E"/>
    <w:rsid w:val="0079686B"/>
    <w:rsid w:val="0079689C"/>
    <w:rsid w:val="0079690A"/>
    <w:rsid w:val="00796918"/>
    <w:rsid w:val="00796B47"/>
    <w:rsid w:val="00796BA1"/>
    <w:rsid w:val="00796BF8"/>
    <w:rsid w:val="00796C0F"/>
    <w:rsid w:val="00796CE6"/>
    <w:rsid w:val="00796EEC"/>
    <w:rsid w:val="00796EED"/>
    <w:rsid w:val="00796F3B"/>
    <w:rsid w:val="00796F40"/>
    <w:rsid w:val="00796FD6"/>
    <w:rsid w:val="00797011"/>
    <w:rsid w:val="00797079"/>
    <w:rsid w:val="00797212"/>
    <w:rsid w:val="00797270"/>
    <w:rsid w:val="007972BE"/>
    <w:rsid w:val="0079733A"/>
    <w:rsid w:val="0079747C"/>
    <w:rsid w:val="00797494"/>
    <w:rsid w:val="007974D4"/>
    <w:rsid w:val="0079751A"/>
    <w:rsid w:val="00797561"/>
    <w:rsid w:val="007975A4"/>
    <w:rsid w:val="00797653"/>
    <w:rsid w:val="007976C0"/>
    <w:rsid w:val="007976EF"/>
    <w:rsid w:val="007978C3"/>
    <w:rsid w:val="007978E1"/>
    <w:rsid w:val="00797908"/>
    <w:rsid w:val="0079790F"/>
    <w:rsid w:val="007979ED"/>
    <w:rsid w:val="00797B0E"/>
    <w:rsid w:val="00797DC8"/>
    <w:rsid w:val="00797E05"/>
    <w:rsid w:val="00797F42"/>
    <w:rsid w:val="007A00EB"/>
    <w:rsid w:val="007A0375"/>
    <w:rsid w:val="007A0439"/>
    <w:rsid w:val="007A0585"/>
    <w:rsid w:val="007A05A7"/>
    <w:rsid w:val="007A0619"/>
    <w:rsid w:val="007A0654"/>
    <w:rsid w:val="007A06AE"/>
    <w:rsid w:val="007A0901"/>
    <w:rsid w:val="007A096C"/>
    <w:rsid w:val="007A0A12"/>
    <w:rsid w:val="007A0AD1"/>
    <w:rsid w:val="007A0ADB"/>
    <w:rsid w:val="007A0B08"/>
    <w:rsid w:val="007A0C5F"/>
    <w:rsid w:val="007A0CFC"/>
    <w:rsid w:val="007A0D43"/>
    <w:rsid w:val="007A0D84"/>
    <w:rsid w:val="007A0E0F"/>
    <w:rsid w:val="007A0E86"/>
    <w:rsid w:val="007A0F29"/>
    <w:rsid w:val="007A0F4C"/>
    <w:rsid w:val="007A102F"/>
    <w:rsid w:val="007A104F"/>
    <w:rsid w:val="007A1099"/>
    <w:rsid w:val="007A114C"/>
    <w:rsid w:val="007A11BD"/>
    <w:rsid w:val="007A1243"/>
    <w:rsid w:val="007A1259"/>
    <w:rsid w:val="007A12F3"/>
    <w:rsid w:val="007A1332"/>
    <w:rsid w:val="007A13A9"/>
    <w:rsid w:val="007A13B1"/>
    <w:rsid w:val="007A142B"/>
    <w:rsid w:val="007A1431"/>
    <w:rsid w:val="007A15EE"/>
    <w:rsid w:val="007A1721"/>
    <w:rsid w:val="007A172B"/>
    <w:rsid w:val="007A172E"/>
    <w:rsid w:val="007A173A"/>
    <w:rsid w:val="007A181C"/>
    <w:rsid w:val="007A19D6"/>
    <w:rsid w:val="007A1B19"/>
    <w:rsid w:val="007A1BBE"/>
    <w:rsid w:val="007A1C3E"/>
    <w:rsid w:val="007A1C93"/>
    <w:rsid w:val="007A1CB9"/>
    <w:rsid w:val="007A1CD0"/>
    <w:rsid w:val="007A1D2F"/>
    <w:rsid w:val="007A1D3A"/>
    <w:rsid w:val="007A1D8E"/>
    <w:rsid w:val="007A1E17"/>
    <w:rsid w:val="007A1E23"/>
    <w:rsid w:val="007A1E37"/>
    <w:rsid w:val="007A1E45"/>
    <w:rsid w:val="007A1E79"/>
    <w:rsid w:val="007A1E96"/>
    <w:rsid w:val="007A1EFA"/>
    <w:rsid w:val="007A2015"/>
    <w:rsid w:val="007A2087"/>
    <w:rsid w:val="007A2154"/>
    <w:rsid w:val="007A2383"/>
    <w:rsid w:val="007A240E"/>
    <w:rsid w:val="007A2428"/>
    <w:rsid w:val="007A2596"/>
    <w:rsid w:val="007A2895"/>
    <w:rsid w:val="007A28E7"/>
    <w:rsid w:val="007A2958"/>
    <w:rsid w:val="007A29C8"/>
    <w:rsid w:val="007A2A1F"/>
    <w:rsid w:val="007A2A43"/>
    <w:rsid w:val="007A2A50"/>
    <w:rsid w:val="007A2C6E"/>
    <w:rsid w:val="007A2C9D"/>
    <w:rsid w:val="007A2D66"/>
    <w:rsid w:val="007A2E49"/>
    <w:rsid w:val="007A2E6B"/>
    <w:rsid w:val="007A2ECB"/>
    <w:rsid w:val="007A2EE8"/>
    <w:rsid w:val="007A2FA1"/>
    <w:rsid w:val="007A3027"/>
    <w:rsid w:val="007A302A"/>
    <w:rsid w:val="007A308B"/>
    <w:rsid w:val="007A314D"/>
    <w:rsid w:val="007A31A7"/>
    <w:rsid w:val="007A329C"/>
    <w:rsid w:val="007A32CA"/>
    <w:rsid w:val="007A335A"/>
    <w:rsid w:val="007A33B3"/>
    <w:rsid w:val="007A33B4"/>
    <w:rsid w:val="007A3451"/>
    <w:rsid w:val="007A34B5"/>
    <w:rsid w:val="007A3571"/>
    <w:rsid w:val="007A35DE"/>
    <w:rsid w:val="007A36F1"/>
    <w:rsid w:val="007A374F"/>
    <w:rsid w:val="007A3808"/>
    <w:rsid w:val="007A39D4"/>
    <w:rsid w:val="007A39FD"/>
    <w:rsid w:val="007A3B5E"/>
    <w:rsid w:val="007A3BAE"/>
    <w:rsid w:val="007A3C96"/>
    <w:rsid w:val="007A3D62"/>
    <w:rsid w:val="007A3E53"/>
    <w:rsid w:val="007A3E69"/>
    <w:rsid w:val="007A3E7E"/>
    <w:rsid w:val="007A4106"/>
    <w:rsid w:val="007A417D"/>
    <w:rsid w:val="007A424D"/>
    <w:rsid w:val="007A42B6"/>
    <w:rsid w:val="007A42C4"/>
    <w:rsid w:val="007A42CB"/>
    <w:rsid w:val="007A42EC"/>
    <w:rsid w:val="007A42EF"/>
    <w:rsid w:val="007A4401"/>
    <w:rsid w:val="007A454B"/>
    <w:rsid w:val="007A45FE"/>
    <w:rsid w:val="007A4676"/>
    <w:rsid w:val="007A46DF"/>
    <w:rsid w:val="007A478F"/>
    <w:rsid w:val="007A47C6"/>
    <w:rsid w:val="007A4858"/>
    <w:rsid w:val="007A4860"/>
    <w:rsid w:val="007A495C"/>
    <w:rsid w:val="007A4ACE"/>
    <w:rsid w:val="007A4B4C"/>
    <w:rsid w:val="007A4C4C"/>
    <w:rsid w:val="007A4CC4"/>
    <w:rsid w:val="007A4CE1"/>
    <w:rsid w:val="007A4D5F"/>
    <w:rsid w:val="007A4D7B"/>
    <w:rsid w:val="007A4E2D"/>
    <w:rsid w:val="007A4ED9"/>
    <w:rsid w:val="007A4F95"/>
    <w:rsid w:val="007A4FE4"/>
    <w:rsid w:val="007A501E"/>
    <w:rsid w:val="007A511C"/>
    <w:rsid w:val="007A517B"/>
    <w:rsid w:val="007A5259"/>
    <w:rsid w:val="007A528E"/>
    <w:rsid w:val="007A5372"/>
    <w:rsid w:val="007A53E6"/>
    <w:rsid w:val="007A540A"/>
    <w:rsid w:val="007A562E"/>
    <w:rsid w:val="007A565D"/>
    <w:rsid w:val="007A5674"/>
    <w:rsid w:val="007A5760"/>
    <w:rsid w:val="007A57AA"/>
    <w:rsid w:val="007A57C2"/>
    <w:rsid w:val="007A582A"/>
    <w:rsid w:val="007A5843"/>
    <w:rsid w:val="007A59B4"/>
    <w:rsid w:val="007A5A39"/>
    <w:rsid w:val="007A5AEE"/>
    <w:rsid w:val="007A5B02"/>
    <w:rsid w:val="007A5B48"/>
    <w:rsid w:val="007A5C92"/>
    <w:rsid w:val="007A5CDC"/>
    <w:rsid w:val="007A5D07"/>
    <w:rsid w:val="007A5D75"/>
    <w:rsid w:val="007A5D9C"/>
    <w:rsid w:val="007A5DE1"/>
    <w:rsid w:val="007A5EAB"/>
    <w:rsid w:val="007A5F9A"/>
    <w:rsid w:val="007A5FE8"/>
    <w:rsid w:val="007A61ED"/>
    <w:rsid w:val="007A61F7"/>
    <w:rsid w:val="007A6263"/>
    <w:rsid w:val="007A62D2"/>
    <w:rsid w:val="007A62F0"/>
    <w:rsid w:val="007A630F"/>
    <w:rsid w:val="007A6346"/>
    <w:rsid w:val="007A6363"/>
    <w:rsid w:val="007A6384"/>
    <w:rsid w:val="007A63B4"/>
    <w:rsid w:val="007A63C2"/>
    <w:rsid w:val="007A63C7"/>
    <w:rsid w:val="007A6448"/>
    <w:rsid w:val="007A6449"/>
    <w:rsid w:val="007A6469"/>
    <w:rsid w:val="007A64C8"/>
    <w:rsid w:val="007A6526"/>
    <w:rsid w:val="007A6578"/>
    <w:rsid w:val="007A663C"/>
    <w:rsid w:val="007A664F"/>
    <w:rsid w:val="007A6692"/>
    <w:rsid w:val="007A6803"/>
    <w:rsid w:val="007A68F5"/>
    <w:rsid w:val="007A691E"/>
    <w:rsid w:val="007A6A39"/>
    <w:rsid w:val="007A6A5A"/>
    <w:rsid w:val="007A6B4C"/>
    <w:rsid w:val="007A6B70"/>
    <w:rsid w:val="007A6BAA"/>
    <w:rsid w:val="007A6C30"/>
    <w:rsid w:val="007A6C53"/>
    <w:rsid w:val="007A6C84"/>
    <w:rsid w:val="007A6DE7"/>
    <w:rsid w:val="007A6F0E"/>
    <w:rsid w:val="007A6F1F"/>
    <w:rsid w:val="007A6F6F"/>
    <w:rsid w:val="007A6FB1"/>
    <w:rsid w:val="007A7029"/>
    <w:rsid w:val="007A70DD"/>
    <w:rsid w:val="007A7118"/>
    <w:rsid w:val="007A71EA"/>
    <w:rsid w:val="007A72AA"/>
    <w:rsid w:val="007A72C0"/>
    <w:rsid w:val="007A733C"/>
    <w:rsid w:val="007A737C"/>
    <w:rsid w:val="007A738E"/>
    <w:rsid w:val="007A73F3"/>
    <w:rsid w:val="007A740E"/>
    <w:rsid w:val="007A745B"/>
    <w:rsid w:val="007A74E4"/>
    <w:rsid w:val="007A7528"/>
    <w:rsid w:val="007A7529"/>
    <w:rsid w:val="007A756D"/>
    <w:rsid w:val="007A75B1"/>
    <w:rsid w:val="007A7681"/>
    <w:rsid w:val="007A7754"/>
    <w:rsid w:val="007A7794"/>
    <w:rsid w:val="007A7822"/>
    <w:rsid w:val="007A791F"/>
    <w:rsid w:val="007A7943"/>
    <w:rsid w:val="007A7A1F"/>
    <w:rsid w:val="007A7A7F"/>
    <w:rsid w:val="007A7B36"/>
    <w:rsid w:val="007A7BD0"/>
    <w:rsid w:val="007A7BDA"/>
    <w:rsid w:val="007A7D25"/>
    <w:rsid w:val="007A7DE6"/>
    <w:rsid w:val="007A7E0B"/>
    <w:rsid w:val="007A7F29"/>
    <w:rsid w:val="007A7F51"/>
    <w:rsid w:val="007B0025"/>
    <w:rsid w:val="007B00A2"/>
    <w:rsid w:val="007B00E9"/>
    <w:rsid w:val="007B011C"/>
    <w:rsid w:val="007B0147"/>
    <w:rsid w:val="007B01E2"/>
    <w:rsid w:val="007B02E8"/>
    <w:rsid w:val="007B02FE"/>
    <w:rsid w:val="007B034C"/>
    <w:rsid w:val="007B0418"/>
    <w:rsid w:val="007B0480"/>
    <w:rsid w:val="007B0508"/>
    <w:rsid w:val="007B05A7"/>
    <w:rsid w:val="007B0633"/>
    <w:rsid w:val="007B068E"/>
    <w:rsid w:val="007B0716"/>
    <w:rsid w:val="007B0835"/>
    <w:rsid w:val="007B0855"/>
    <w:rsid w:val="007B092A"/>
    <w:rsid w:val="007B0A15"/>
    <w:rsid w:val="007B0B90"/>
    <w:rsid w:val="007B0B99"/>
    <w:rsid w:val="007B0BCC"/>
    <w:rsid w:val="007B0C02"/>
    <w:rsid w:val="007B0C12"/>
    <w:rsid w:val="007B0C97"/>
    <w:rsid w:val="007B0CDE"/>
    <w:rsid w:val="007B0D49"/>
    <w:rsid w:val="007B0E5C"/>
    <w:rsid w:val="007B0EA6"/>
    <w:rsid w:val="007B0F62"/>
    <w:rsid w:val="007B0FA2"/>
    <w:rsid w:val="007B10AD"/>
    <w:rsid w:val="007B10EB"/>
    <w:rsid w:val="007B115B"/>
    <w:rsid w:val="007B120A"/>
    <w:rsid w:val="007B126C"/>
    <w:rsid w:val="007B1385"/>
    <w:rsid w:val="007B142B"/>
    <w:rsid w:val="007B1471"/>
    <w:rsid w:val="007B154A"/>
    <w:rsid w:val="007B15CF"/>
    <w:rsid w:val="007B16AB"/>
    <w:rsid w:val="007B172C"/>
    <w:rsid w:val="007B1741"/>
    <w:rsid w:val="007B17A2"/>
    <w:rsid w:val="007B17C4"/>
    <w:rsid w:val="007B17CC"/>
    <w:rsid w:val="007B1847"/>
    <w:rsid w:val="007B18F0"/>
    <w:rsid w:val="007B1946"/>
    <w:rsid w:val="007B19F4"/>
    <w:rsid w:val="007B1AAD"/>
    <w:rsid w:val="007B1B0D"/>
    <w:rsid w:val="007B1C6D"/>
    <w:rsid w:val="007B1C76"/>
    <w:rsid w:val="007B1CCC"/>
    <w:rsid w:val="007B1CEF"/>
    <w:rsid w:val="007B1DBF"/>
    <w:rsid w:val="007B1E53"/>
    <w:rsid w:val="007B1F48"/>
    <w:rsid w:val="007B1F61"/>
    <w:rsid w:val="007B1FA4"/>
    <w:rsid w:val="007B1FD5"/>
    <w:rsid w:val="007B2015"/>
    <w:rsid w:val="007B209A"/>
    <w:rsid w:val="007B20DB"/>
    <w:rsid w:val="007B212D"/>
    <w:rsid w:val="007B2162"/>
    <w:rsid w:val="007B2167"/>
    <w:rsid w:val="007B2246"/>
    <w:rsid w:val="007B22FE"/>
    <w:rsid w:val="007B23D3"/>
    <w:rsid w:val="007B23F0"/>
    <w:rsid w:val="007B23F5"/>
    <w:rsid w:val="007B256A"/>
    <w:rsid w:val="007B2586"/>
    <w:rsid w:val="007B25A2"/>
    <w:rsid w:val="007B263B"/>
    <w:rsid w:val="007B267C"/>
    <w:rsid w:val="007B2691"/>
    <w:rsid w:val="007B2698"/>
    <w:rsid w:val="007B26D5"/>
    <w:rsid w:val="007B2711"/>
    <w:rsid w:val="007B281A"/>
    <w:rsid w:val="007B2885"/>
    <w:rsid w:val="007B2923"/>
    <w:rsid w:val="007B2A05"/>
    <w:rsid w:val="007B2B05"/>
    <w:rsid w:val="007B2BA6"/>
    <w:rsid w:val="007B2CEB"/>
    <w:rsid w:val="007B2DC3"/>
    <w:rsid w:val="007B2EC4"/>
    <w:rsid w:val="007B2ED3"/>
    <w:rsid w:val="007B2F63"/>
    <w:rsid w:val="007B2FB8"/>
    <w:rsid w:val="007B304F"/>
    <w:rsid w:val="007B3142"/>
    <w:rsid w:val="007B3154"/>
    <w:rsid w:val="007B321D"/>
    <w:rsid w:val="007B3303"/>
    <w:rsid w:val="007B3385"/>
    <w:rsid w:val="007B33DC"/>
    <w:rsid w:val="007B3435"/>
    <w:rsid w:val="007B34DA"/>
    <w:rsid w:val="007B34FA"/>
    <w:rsid w:val="007B35B8"/>
    <w:rsid w:val="007B367F"/>
    <w:rsid w:val="007B36EE"/>
    <w:rsid w:val="007B3786"/>
    <w:rsid w:val="007B37E0"/>
    <w:rsid w:val="007B39CF"/>
    <w:rsid w:val="007B3ABD"/>
    <w:rsid w:val="007B3C49"/>
    <w:rsid w:val="007B3E1B"/>
    <w:rsid w:val="007B3E6F"/>
    <w:rsid w:val="007B3FB1"/>
    <w:rsid w:val="007B4016"/>
    <w:rsid w:val="007B4028"/>
    <w:rsid w:val="007B408A"/>
    <w:rsid w:val="007B40AF"/>
    <w:rsid w:val="007B428D"/>
    <w:rsid w:val="007B437F"/>
    <w:rsid w:val="007B43AD"/>
    <w:rsid w:val="007B43BE"/>
    <w:rsid w:val="007B4429"/>
    <w:rsid w:val="007B4625"/>
    <w:rsid w:val="007B4652"/>
    <w:rsid w:val="007B465B"/>
    <w:rsid w:val="007B47DB"/>
    <w:rsid w:val="007B484D"/>
    <w:rsid w:val="007B4870"/>
    <w:rsid w:val="007B4884"/>
    <w:rsid w:val="007B49FB"/>
    <w:rsid w:val="007B4A49"/>
    <w:rsid w:val="007B4B0D"/>
    <w:rsid w:val="007B4B1B"/>
    <w:rsid w:val="007B4B68"/>
    <w:rsid w:val="007B4B9F"/>
    <w:rsid w:val="007B4BD4"/>
    <w:rsid w:val="007B4D5B"/>
    <w:rsid w:val="007B4E82"/>
    <w:rsid w:val="007B4EFE"/>
    <w:rsid w:val="007B4F23"/>
    <w:rsid w:val="007B4F42"/>
    <w:rsid w:val="007B4F91"/>
    <w:rsid w:val="007B4FCC"/>
    <w:rsid w:val="007B504D"/>
    <w:rsid w:val="007B516F"/>
    <w:rsid w:val="007B5202"/>
    <w:rsid w:val="007B5213"/>
    <w:rsid w:val="007B5295"/>
    <w:rsid w:val="007B535E"/>
    <w:rsid w:val="007B538E"/>
    <w:rsid w:val="007B53E0"/>
    <w:rsid w:val="007B558E"/>
    <w:rsid w:val="007B55E3"/>
    <w:rsid w:val="007B5616"/>
    <w:rsid w:val="007B562A"/>
    <w:rsid w:val="007B567C"/>
    <w:rsid w:val="007B5784"/>
    <w:rsid w:val="007B5871"/>
    <w:rsid w:val="007B58B0"/>
    <w:rsid w:val="007B59B7"/>
    <w:rsid w:val="007B59BE"/>
    <w:rsid w:val="007B5A35"/>
    <w:rsid w:val="007B5B5F"/>
    <w:rsid w:val="007B5BE7"/>
    <w:rsid w:val="007B5C22"/>
    <w:rsid w:val="007B5C96"/>
    <w:rsid w:val="007B5D1B"/>
    <w:rsid w:val="007B5DBC"/>
    <w:rsid w:val="007B5DCE"/>
    <w:rsid w:val="007B5E0D"/>
    <w:rsid w:val="007B5E2A"/>
    <w:rsid w:val="007B5E3B"/>
    <w:rsid w:val="007B5E88"/>
    <w:rsid w:val="007B5ED1"/>
    <w:rsid w:val="007B5F06"/>
    <w:rsid w:val="007B5F79"/>
    <w:rsid w:val="007B5FA4"/>
    <w:rsid w:val="007B6013"/>
    <w:rsid w:val="007B60D1"/>
    <w:rsid w:val="007B6161"/>
    <w:rsid w:val="007B616E"/>
    <w:rsid w:val="007B6205"/>
    <w:rsid w:val="007B624C"/>
    <w:rsid w:val="007B6395"/>
    <w:rsid w:val="007B6410"/>
    <w:rsid w:val="007B6576"/>
    <w:rsid w:val="007B6634"/>
    <w:rsid w:val="007B6692"/>
    <w:rsid w:val="007B684B"/>
    <w:rsid w:val="007B693F"/>
    <w:rsid w:val="007B699B"/>
    <w:rsid w:val="007B6A3A"/>
    <w:rsid w:val="007B6BE7"/>
    <w:rsid w:val="007B6C01"/>
    <w:rsid w:val="007B6C1C"/>
    <w:rsid w:val="007B6CA3"/>
    <w:rsid w:val="007B6CE9"/>
    <w:rsid w:val="007B6D22"/>
    <w:rsid w:val="007B6E06"/>
    <w:rsid w:val="007B6E7C"/>
    <w:rsid w:val="007B6F58"/>
    <w:rsid w:val="007B6F7D"/>
    <w:rsid w:val="007B6F80"/>
    <w:rsid w:val="007B6FAB"/>
    <w:rsid w:val="007B6FB0"/>
    <w:rsid w:val="007B703F"/>
    <w:rsid w:val="007B704B"/>
    <w:rsid w:val="007B70D0"/>
    <w:rsid w:val="007B714F"/>
    <w:rsid w:val="007B71E8"/>
    <w:rsid w:val="007B7255"/>
    <w:rsid w:val="007B73C7"/>
    <w:rsid w:val="007B7409"/>
    <w:rsid w:val="007B7784"/>
    <w:rsid w:val="007B77D0"/>
    <w:rsid w:val="007B78F4"/>
    <w:rsid w:val="007B7939"/>
    <w:rsid w:val="007B795C"/>
    <w:rsid w:val="007B798E"/>
    <w:rsid w:val="007B7A08"/>
    <w:rsid w:val="007B7A39"/>
    <w:rsid w:val="007B7AF9"/>
    <w:rsid w:val="007B7AFF"/>
    <w:rsid w:val="007B7BE1"/>
    <w:rsid w:val="007B7C95"/>
    <w:rsid w:val="007B7CFA"/>
    <w:rsid w:val="007B7E74"/>
    <w:rsid w:val="007B7E9E"/>
    <w:rsid w:val="007B7F72"/>
    <w:rsid w:val="007C0277"/>
    <w:rsid w:val="007C0339"/>
    <w:rsid w:val="007C0348"/>
    <w:rsid w:val="007C0494"/>
    <w:rsid w:val="007C04C1"/>
    <w:rsid w:val="007C04E4"/>
    <w:rsid w:val="007C0515"/>
    <w:rsid w:val="007C0689"/>
    <w:rsid w:val="007C0725"/>
    <w:rsid w:val="007C08B7"/>
    <w:rsid w:val="007C08BB"/>
    <w:rsid w:val="007C0A37"/>
    <w:rsid w:val="007C0C8B"/>
    <w:rsid w:val="007C0D5D"/>
    <w:rsid w:val="007C0EAE"/>
    <w:rsid w:val="007C0F74"/>
    <w:rsid w:val="007C10F3"/>
    <w:rsid w:val="007C122F"/>
    <w:rsid w:val="007C12CB"/>
    <w:rsid w:val="007C1418"/>
    <w:rsid w:val="007C148B"/>
    <w:rsid w:val="007C1508"/>
    <w:rsid w:val="007C1552"/>
    <w:rsid w:val="007C158E"/>
    <w:rsid w:val="007C15A4"/>
    <w:rsid w:val="007C15D2"/>
    <w:rsid w:val="007C1687"/>
    <w:rsid w:val="007C173F"/>
    <w:rsid w:val="007C18D3"/>
    <w:rsid w:val="007C18FF"/>
    <w:rsid w:val="007C1911"/>
    <w:rsid w:val="007C1A4A"/>
    <w:rsid w:val="007C1A5F"/>
    <w:rsid w:val="007C1B20"/>
    <w:rsid w:val="007C1B83"/>
    <w:rsid w:val="007C1BAF"/>
    <w:rsid w:val="007C1C64"/>
    <w:rsid w:val="007C1D61"/>
    <w:rsid w:val="007C1E0B"/>
    <w:rsid w:val="007C1F23"/>
    <w:rsid w:val="007C204A"/>
    <w:rsid w:val="007C20B2"/>
    <w:rsid w:val="007C20D6"/>
    <w:rsid w:val="007C212F"/>
    <w:rsid w:val="007C2287"/>
    <w:rsid w:val="007C23E5"/>
    <w:rsid w:val="007C2400"/>
    <w:rsid w:val="007C252A"/>
    <w:rsid w:val="007C256E"/>
    <w:rsid w:val="007C25B1"/>
    <w:rsid w:val="007C25D1"/>
    <w:rsid w:val="007C2630"/>
    <w:rsid w:val="007C26CE"/>
    <w:rsid w:val="007C26FF"/>
    <w:rsid w:val="007C27BA"/>
    <w:rsid w:val="007C299B"/>
    <w:rsid w:val="007C29AE"/>
    <w:rsid w:val="007C29E9"/>
    <w:rsid w:val="007C2A13"/>
    <w:rsid w:val="007C2A50"/>
    <w:rsid w:val="007C2B0C"/>
    <w:rsid w:val="007C2B16"/>
    <w:rsid w:val="007C2B88"/>
    <w:rsid w:val="007C2B90"/>
    <w:rsid w:val="007C2C14"/>
    <w:rsid w:val="007C2C71"/>
    <w:rsid w:val="007C2C9E"/>
    <w:rsid w:val="007C2D56"/>
    <w:rsid w:val="007C2DDD"/>
    <w:rsid w:val="007C2E58"/>
    <w:rsid w:val="007C2EE4"/>
    <w:rsid w:val="007C2F5C"/>
    <w:rsid w:val="007C3015"/>
    <w:rsid w:val="007C3054"/>
    <w:rsid w:val="007C30A6"/>
    <w:rsid w:val="007C31DF"/>
    <w:rsid w:val="007C325A"/>
    <w:rsid w:val="007C3272"/>
    <w:rsid w:val="007C3293"/>
    <w:rsid w:val="007C3315"/>
    <w:rsid w:val="007C340B"/>
    <w:rsid w:val="007C3447"/>
    <w:rsid w:val="007C3488"/>
    <w:rsid w:val="007C35BA"/>
    <w:rsid w:val="007C3699"/>
    <w:rsid w:val="007C37F4"/>
    <w:rsid w:val="007C3832"/>
    <w:rsid w:val="007C385F"/>
    <w:rsid w:val="007C3897"/>
    <w:rsid w:val="007C38DE"/>
    <w:rsid w:val="007C38FB"/>
    <w:rsid w:val="007C3933"/>
    <w:rsid w:val="007C396D"/>
    <w:rsid w:val="007C3A7E"/>
    <w:rsid w:val="007C3BA6"/>
    <w:rsid w:val="007C3C30"/>
    <w:rsid w:val="007C3CA4"/>
    <w:rsid w:val="007C3DC8"/>
    <w:rsid w:val="007C3F2F"/>
    <w:rsid w:val="007C3FD0"/>
    <w:rsid w:val="007C4016"/>
    <w:rsid w:val="007C401F"/>
    <w:rsid w:val="007C4070"/>
    <w:rsid w:val="007C4162"/>
    <w:rsid w:val="007C429F"/>
    <w:rsid w:val="007C42B7"/>
    <w:rsid w:val="007C42F6"/>
    <w:rsid w:val="007C449A"/>
    <w:rsid w:val="007C44E0"/>
    <w:rsid w:val="007C45BC"/>
    <w:rsid w:val="007C461F"/>
    <w:rsid w:val="007C4771"/>
    <w:rsid w:val="007C4782"/>
    <w:rsid w:val="007C4802"/>
    <w:rsid w:val="007C4879"/>
    <w:rsid w:val="007C4A0C"/>
    <w:rsid w:val="007C4BE6"/>
    <w:rsid w:val="007C4C47"/>
    <w:rsid w:val="007C4E7D"/>
    <w:rsid w:val="007C5013"/>
    <w:rsid w:val="007C5093"/>
    <w:rsid w:val="007C5113"/>
    <w:rsid w:val="007C51F4"/>
    <w:rsid w:val="007C525F"/>
    <w:rsid w:val="007C527D"/>
    <w:rsid w:val="007C5302"/>
    <w:rsid w:val="007C531C"/>
    <w:rsid w:val="007C53FF"/>
    <w:rsid w:val="007C55EA"/>
    <w:rsid w:val="007C56AB"/>
    <w:rsid w:val="007C56BA"/>
    <w:rsid w:val="007C5724"/>
    <w:rsid w:val="007C581D"/>
    <w:rsid w:val="007C58B2"/>
    <w:rsid w:val="007C58D3"/>
    <w:rsid w:val="007C5941"/>
    <w:rsid w:val="007C5990"/>
    <w:rsid w:val="007C599A"/>
    <w:rsid w:val="007C59C6"/>
    <w:rsid w:val="007C59E1"/>
    <w:rsid w:val="007C5A1B"/>
    <w:rsid w:val="007C5BBA"/>
    <w:rsid w:val="007C5C24"/>
    <w:rsid w:val="007C5C5B"/>
    <w:rsid w:val="007C5F05"/>
    <w:rsid w:val="007C5FAE"/>
    <w:rsid w:val="007C5FD1"/>
    <w:rsid w:val="007C5FD3"/>
    <w:rsid w:val="007C60C7"/>
    <w:rsid w:val="007C617C"/>
    <w:rsid w:val="007C6254"/>
    <w:rsid w:val="007C6282"/>
    <w:rsid w:val="007C6338"/>
    <w:rsid w:val="007C6448"/>
    <w:rsid w:val="007C6468"/>
    <w:rsid w:val="007C654B"/>
    <w:rsid w:val="007C6586"/>
    <w:rsid w:val="007C6590"/>
    <w:rsid w:val="007C6739"/>
    <w:rsid w:val="007C6770"/>
    <w:rsid w:val="007C6781"/>
    <w:rsid w:val="007C6916"/>
    <w:rsid w:val="007C69BE"/>
    <w:rsid w:val="007C69FD"/>
    <w:rsid w:val="007C6A3A"/>
    <w:rsid w:val="007C6ADE"/>
    <w:rsid w:val="007C6AF8"/>
    <w:rsid w:val="007C6BC7"/>
    <w:rsid w:val="007C6BF5"/>
    <w:rsid w:val="007C6C5A"/>
    <w:rsid w:val="007C6C80"/>
    <w:rsid w:val="007C6C95"/>
    <w:rsid w:val="007C6CF0"/>
    <w:rsid w:val="007C6DD1"/>
    <w:rsid w:val="007C6E1E"/>
    <w:rsid w:val="007C6E58"/>
    <w:rsid w:val="007C7073"/>
    <w:rsid w:val="007C70A1"/>
    <w:rsid w:val="007C70B5"/>
    <w:rsid w:val="007C70FF"/>
    <w:rsid w:val="007C7176"/>
    <w:rsid w:val="007C719F"/>
    <w:rsid w:val="007C71A5"/>
    <w:rsid w:val="007C730E"/>
    <w:rsid w:val="007C734C"/>
    <w:rsid w:val="007C7372"/>
    <w:rsid w:val="007C74AF"/>
    <w:rsid w:val="007C74C3"/>
    <w:rsid w:val="007C7501"/>
    <w:rsid w:val="007C751B"/>
    <w:rsid w:val="007C7665"/>
    <w:rsid w:val="007C76BD"/>
    <w:rsid w:val="007C76FC"/>
    <w:rsid w:val="007C7801"/>
    <w:rsid w:val="007C781A"/>
    <w:rsid w:val="007C7914"/>
    <w:rsid w:val="007C7BA5"/>
    <w:rsid w:val="007C7DA9"/>
    <w:rsid w:val="007C7E3D"/>
    <w:rsid w:val="007C7ECA"/>
    <w:rsid w:val="007C7EEC"/>
    <w:rsid w:val="007C7F31"/>
    <w:rsid w:val="007D00C3"/>
    <w:rsid w:val="007D0158"/>
    <w:rsid w:val="007D0222"/>
    <w:rsid w:val="007D05D5"/>
    <w:rsid w:val="007D05F0"/>
    <w:rsid w:val="007D070E"/>
    <w:rsid w:val="007D074B"/>
    <w:rsid w:val="007D082B"/>
    <w:rsid w:val="007D083F"/>
    <w:rsid w:val="007D094E"/>
    <w:rsid w:val="007D0974"/>
    <w:rsid w:val="007D0C14"/>
    <w:rsid w:val="007D0C30"/>
    <w:rsid w:val="007D0C39"/>
    <w:rsid w:val="007D0C4F"/>
    <w:rsid w:val="007D0CFE"/>
    <w:rsid w:val="007D0D27"/>
    <w:rsid w:val="007D0E0A"/>
    <w:rsid w:val="007D1006"/>
    <w:rsid w:val="007D10AE"/>
    <w:rsid w:val="007D1170"/>
    <w:rsid w:val="007D11CD"/>
    <w:rsid w:val="007D134E"/>
    <w:rsid w:val="007D142A"/>
    <w:rsid w:val="007D1474"/>
    <w:rsid w:val="007D1492"/>
    <w:rsid w:val="007D14D8"/>
    <w:rsid w:val="007D1518"/>
    <w:rsid w:val="007D15B1"/>
    <w:rsid w:val="007D1655"/>
    <w:rsid w:val="007D16A0"/>
    <w:rsid w:val="007D18F9"/>
    <w:rsid w:val="007D198A"/>
    <w:rsid w:val="007D1B77"/>
    <w:rsid w:val="007D1C44"/>
    <w:rsid w:val="007D1CEB"/>
    <w:rsid w:val="007D1CFF"/>
    <w:rsid w:val="007D1E58"/>
    <w:rsid w:val="007D1F1F"/>
    <w:rsid w:val="007D1F6F"/>
    <w:rsid w:val="007D22BD"/>
    <w:rsid w:val="007D2377"/>
    <w:rsid w:val="007D23C0"/>
    <w:rsid w:val="007D2412"/>
    <w:rsid w:val="007D2561"/>
    <w:rsid w:val="007D25CC"/>
    <w:rsid w:val="007D27E0"/>
    <w:rsid w:val="007D27E6"/>
    <w:rsid w:val="007D2863"/>
    <w:rsid w:val="007D28F4"/>
    <w:rsid w:val="007D2B0B"/>
    <w:rsid w:val="007D2BB5"/>
    <w:rsid w:val="007D2BF3"/>
    <w:rsid w:val="007D2D14"/>
    <w:rsid w:val="007D2E22"/>
    <w:rsid w:val="007D2F10"/>
    <w:rsid w:val="007D309F"/>
    <w:rsid w:val="007D319E"/>
    <w:rsid w:val="007D31D9"/>
    <w:rsid w:val="007D3235"/>
    <w:rsid w:val="007D3253"/>
    <w:rsid w:val="007D3288"/>
    <w:rsid w:val="007D32E5"/>
    <w:rsid w:val="007D3383"/>
    <w:rsid w:val="007D34A1"/>
    <w:rsid w:val="007D352B"/>
    <w:rsid w:val="007D3535"/>
    <w:rsid w:val="007D3638"/>
    <w:rsid w:val="007D36AB"/>
    <w:rsid w:val="007D36C8"/>
    <w:rsid w:val="007D36CB"/>
    <w:rsid w:val="007D36D5"/>
    <w:rsid w:val="007D3740"/>
    <w:rsid w:val="007D3823"/>
    <w:rsid w:val="007D392D"/>
    <w:rsid w:val="007D394C"/>
    <w:rsid w:val="007D3A0E"/>
    <w:rsid w:val="007D3B46"/>
    <w:rsid w:val="007D3B58"/>
    <w:rsid w:val="007D3B60"/>
    <w:rsid w:val="007D3BD8"/>
    <w:rsid w:val="007D3D1A"/>
    <w:rsid w:val="007D3D4B"/>
    <w:rsid w:val="007D3E4A"/>
    <w:rsid w:val="007D41C3"/>
    <w:rsid w:val="007D42C0"/>
    <w:rsid w:val="007D43F2"/>
    <w:rsid w:val="007D4421"/>
    <w:rsid w:val="007D442E"/>
    <w:rsid w:val="007D4468"/>
    <w:rsid w:val="007D4500"/>
    <w:rsid w:val="007D454D"/>
    <w:rsid w:val="007D45E9"/>
    <w:rsid w:val="007D474E"/>
    <w:rsid w:val="007D475F"/>
    <w:rsid w:val="007D47E0"/>
    <w:rsid w:val="007D4852"/>
    <w:rsid w:val="007D48D9"/>
    <w:rsid w:val="007D48DF"/>
    <w:rsid w:val="007D49A5"/>
    <w:rsid w:val="007D4AF4"/>
    <w:rsid w:val="007D4AFA"/>
    <w:rsid w:val="007D4AFC"/>
    <w:rsid w:val="007D4B12"/>
    <w:rsid w:val="007D4C2B"/>
    <w:rsid w:val="007D4C90"/>
    <w:rsid w:val="007D4E04"/>
    <w:rsid w:val="007D4E6D"/>
    <w:rsid w:val="007D4F44"/>
    <w:rsid w:val="007D4FFB"/>
    <w:rsid w:val="007D508E"/>
    <w:rsid w:val="007D5095"/>
    <w:rsid w:val="007D50AD"/>
    <w:rsid w:val="007D50BB"/>
    <w:rsid w:val="007D513D"/>
    <w:rsid w:val="007D532D"/>
    <w:rsid w:val="007D53E2"/>
    <w:rsid w:val="007D5410"/>
    <w:rsid w:val="007D5426"/>
    <w:rsid w:val="007D5435"/>
    <w:rsid w:val="007D5483"/>
    <w:rsid w:val="007D559E"/>
    <w:rsid w:val="007D5614"/>
    <w:rsid w:val="007D5666"/>
    <w:rsid w:val="007D568A"/>
    <w:rsid w:val="007D5895"/>
    <w:rsid w:val="007D5B6B"/>
    <w:rsid w:val="007D5C7A"/>
    <w:rsid w:val="007D5DB4"/>
    <w:rsid w:val="007D5E5F"/>
    <w:rsid w:val="007D5ED1"/>
    <w:rsid w:val="007D5F66"/>
    <w:rsid w:val="007D5F86"/>
    <w:rsid w:val="007D5FA6"/>
    <w:rsid w:val="007D606E"/>
    <w:rsid w:val="007D60B2"/>
    <w:rsid w:val="007D613E"/>
    <w:rsid w:val="007D62A5"/>
    <w:rsid w:val="007D6320"/>
    <w:rsid w:val="007D638C"/>
    <w:rsid w:val="007D63D9"/>
    <w:rsid w:val="007D649D"/>
    <w:rsid w:val="007D6574"/>
    <w:rsid w:val="007D662F"/>
    <w:rsid w:val="007D6724"/>
    <w:rsid w:val="007D682F"/>
    <w:rsid w:val="007D689F"/>
    <w:rsid w:val="007D68DF"/>
    <w:rsid w:val="007D68E9"/>
    <w:rsid w:val="007D691A"/>
    <w:rsid w:val="007D6925"/>
    <w:rsid w:val="007D694E"/>
    <w:rsid w:val="007D69B8"/>
    <w:rsid w:val="007D6ABB"/>
    <w:rsid w:val="007D6B25"/>
    <w:rsid w:val="007D6B92"/>
    <w:rsid w:val="007D6E63"/>
    <w:rsid w:val="007D6F44"/>
    <w:rsid w:val="007D6F48"/>
    <w:rsid w:val="007D6F7E"/>
    <w:rsid w:val="007D7215"/>
    <w:rsid w:val="007D72A8"/>
    <w:rsid w:val="007D7312"/>
    <w:rsid w:val="007D7329"/>
    <w:rsid w:val="007D74B1"/>
    <w:rsid w:val="007D75B9"/>
    <w:rsid w:val="007D7663"/>
    <w:rsid w:val="007D7732"/>
    <w:rsid w:val="007D77CE"/>
    <w:rsid w:val="007D7839"/>
    <w:rsid w:val="007D7866"/>
    <w:rsid w:val="007D7A65"/>
    <w:rsid w:val="007D7B68"/>
    <w:rsid w:val="007D7BAA"/>
    <w:rsid w:val="007D7BC9"/>
    <w:rsid w:val="007D7BE8"/>
    <w:rsid w:val="007D7C43"/>
    <w:rsid w:val="007E0014"/>
    <w:rsid w:val="007E0029"/>
    <w:rsid w:val="007E0112"/>
    <w:rsid w:val="007E0181"/>
    <w:rsid w:val="007E01B3"/>
    <w:rsid w:val="007E01F1"/>
    <w:rsid w:val="007E0288"/>
    <w:rsid w:val="007E029B"/>
    <w:rsid w:val="007E03BB"/>
    <w:rsid w:val="007E03E0"/>
    <w:rsid w:val="007E059A"/>
    <w:rsid w:val="007E05A2"/>
    <w:rsid w:val="007E0694"/>
    <w:rsid w:val="007E069B"/>
    <w:rsid w:val="007E077E"/>
    <w:rsid w:val="007E0856"/>
    <w:rsid w:val="007E0877"/>
    <w:rsid w:val="007E08CA"/>
    <w:rsid w:val="007E08F5"/>
    <w:rsid w:val="007E0936"/>
    <w:rsid w:val="007E0962"/>
    <w:rsid w:val="007E09B8"/>
    <w:rsid w:val="007E0AAF"/>
    <w:rsid w:val="007E0AC2"/>
    <w:rsid w:val="007E0ACF"/>
    <w:rsid w:val="007E0BFE"/>
    <w:rsid w:val="007E0C54"/>
    <w:rsid w:val="007E0D2D"/>
    <w:rsid w:val="007E0D88"/>
    <w:rsid w:val="007E0DD2"/>
    <w:rsid w:val="007E0E78"/>
    <w:rsid w:val="007E0FB4"/>
    <w:rsid w:val="007E104A"/>
    <w:rsid w:val="007E119A"/>
    <w:rsid w:val="007E1206"/>
    <w:rsid w:val="007E1286"/>
    <w:rsid w:val="007E12F6"/>
    <w:rsid w:val="007E12F9"/>
    <w:rsid w:val="007E13EA"/>
    <w:rsid w:val="007E1451"/>
    <w:rsid w:val="007E146F"/>
    <w:rsid w:val="007E1494"/>
    <w:rsid w:val="007E15A1"/>
    <w:rsid w:val="007E172F"/>
    <w:rsid w:val="007E17B2"/>
    <w:rsid w:val="007E180B"/>
    <w:rsid w:val="007E180C"/>
    <w:rsid w:val="007E1818"/>
    <w:rsid w:val="007E1913"/>
    <w:rsid w:val="007E191A"/>
    <w:rsid w:val="007E192C"/>
    <w:rsid w:val="007E1A4C"/>
    <w:rsid w:val="007E1AEF"/>
    <w:rsid w:val="007E1BEA"/>
    <w:rsid w:val="007E1D66"/>
    <w:rsid w:val="007E1D92"/>
    <w:rsid w:val="007E1DC2"/>
    <w:rsid w:val="007E1E07"/>
    <w:rsid w:val="007E1F4E"/>
    <w:rsid w:val="007E1FB1"/>
    <w:rsid w:val="007E2008"/>
    <w:rsid w:val="007E20EA"/>
    <w:rsid w:val="007E247A"/>
    <w:rsid w:val="007E2488"/>
    <w:rsid w:val="007E252C"/>
    <w:rsid w:val="007E2538"/>
    <w:rsid w:val="007E2557"/>
    <w:rsid w:val="007E257C"/>
    <w:rsid w:val="007E2636"/>
    <w:rsid w:val="007E26EF"/>
    <w:rsid w:val="007E28FD"/>
    <w:rsid w:val="007E2972"/>
    <w:rsid w:val="007E29F5"/>
    <w:rsid w:val="007E2A14"/>
    <w:rsid w:val="007E2A22"/>
    <w:rsid w:val="007E2B23"/>
    <w:rsid w:val="007E2B99"/>
    <w:rsid w:val="007E2C27"/>
    <w:rsid w:val="007E2C9D"/>
    <w:rsid w:val="007E2D1D"/>
    <w:rsid w:val="007E2D6A"/>
    <w:rsid w:val="007E2DBC"/>
    <w:rsid w:val="007E2E5D"/>
    <w:rsid w:val="007E2EA0"/>
    <w:rsid w:val="007E2EE8"/>
    <w:rsid w:val="007E2F6A"/>
    <w:rsid w:val="007E2FC5"/>
    <w:rsid w:val="007E3048"/>
    <w:rsid w:val="007E305C"/>
    <w:rsid w:val="007E3101"/>
    <w:rsid w:val="007E3102"/>
    <w:rsid w:val="007E313A"/>
    <w:rsid w:val="007E32A8"/>
    <w:rsid w:val="007E32F9"/>
    <w:rsid w:val="007E3312"/>
    <w:rsid w:val="007E3354"/>
    <w:rsid w:val="007E3456"/>
    <w:rsid w:val="007E349F"/>
    <w:rsid w:val="007E358A"/>
    <w:rsid w:val="007E35B3"/>
    <w:rsid w:val="007E35B7"/>
    <w:rsid w:val="007E3616"/>
    <w:rsid w:val="007E36CE"/>
    <w:rsid w:val="007E36F8"/>
    <w:rsid w:val="007E37C8"/>
    <w:rsid w:val="007E3805"/>
    <w:rsid w:val="007E393E"/>
    <w:rsid w:val="007E39EA"/>
    <w:rsid w:val="007E3B1D"/>
    <w:rsid w:val="007E3BC1"/>
    <w:rsid w:val="007E3BF5"/>
    <w:rsid w:val="007E3C6F"/>
    <w:rsid w:val="007E3C79"/>
    <w:rsid w:val="007E3CA3"/>
    <w:rsid w:val="007E3CF5"/>
    <w:rsid w:val="007E3D46"/>
    <w:rsid w:val="007E3DD2"/>
    <w:rsid w:val="007E3E2E"/>
    <w:rsid w:val="007E3E73"/>
    <w:rsid w:val="007E3FD8"/>
    <w:rsid w:val="007E403D"/>
    <w:rsid w:val="007E40CD"/>
    <w:rsid w:val="007E4156"/>
    <w:rsid w:val="007E4185"/>
    <w:rsid w:val="007E4274"/>
    <w:rsid w:val="007E43A4"/>
    <w:rsid w:val="007E44A1"/>
    <w:rsid w:val="007E44A3"/>
    <w:rsid w:val="007E45E0"/>
    <w:rsid w:val="007E4761"/>
    <w:rsid w:val="007E47C9"/>
    <w:rsid w:val="007E4965"/>
    <w:rsid w:val="007E49C0"/>
    <w:rsid w:val="007E49F1"/>
    <w:rsid w:val="007E4A36"/>
    <w:rsid w:val="007E4A91"/>
    <w:rsid w:val="007E4BBA"/>
    <w:rsid w:val="007E4C3D"/>
    <w:rsid w:val="007E4C47"/>
    <w:rsid w:val="007E4C4C"/>
    <w:rsid w:val="007E4D34"/>
    <w:rsid w:val="007E4DC3"/>
    <w:rsid w:val="007E4E4A"/>
    <w:rsid w:val="007E4F35"/>
    <w:rsid w:val="007E507A"/>
    <w:rsid w:val="007E5235"/>
    <w:rsid w:val="007E52ED"/>
    <w:rsid w:val="007E52EF"/>
    <w:rsid w:val="007E538E"/>
    <w:rsid w:val="007E540A"/>
    <w:rsid w:val="007E540F"/>
    <w:rsid w:val="007E558F"/>
    <w:rsid w:val="007E5605"/>
    <w:rsid w:val="007E57E1"/>
    <w:rsid w:val="007E59FA"/>
    <w:rsid w:val="007E5B8A"/>
    <w:rsid w:val="007E5BA1"/>
    <w:rsid w:val="007E5D94"/>
    <w:rsid w:val="007E5DC5"/>
    <w:rsid w:val="007E5E62"/>
    <w:rsid w:val="007E5E93"/>
    <w:rsid w:val="007E6139"/>
    <w:rsid w:val="007E617B"/>
    <w:rsid w:val="007E63EB"/>
    <w:rsid w:val="007E643D"/>
    <w:rsid w:val="007E644C"/>
    <w:rsid w:val="007E653D"/>
    <w:rsid w:val="007E66EB"/>
    <w:rsid w:val="007E6710"/>
    <w:rsid w:val="007E67F5"/>
    <w:rsid w:val="007E68EA"/>
    <w:rsid w:val="007E68F2"/>
    <w:rsid w:val="007E69F4"/>
    <w:rsid w:val="007E6A87"/>
    <w:rsid w:val="007E6AC6"/>
    <w:rsid w:val="007E6B2C"/>
    <w:rsid w:val="007E6B57"/>
    <w:rsid w:val="007E6B5E"/>
    <w:rsid w:val="007E6C65"/>
    <w:rsid w:val="007E6CC3"/>
    <w:rsid w:val="007E6CDA"/>
    <w:rsid w:val="007E6DBA"/>
    <w:rsid w:val="007E6DBE"/>
    <w:rsid w:val="007E6DD7"/>
    <w:rsid w:val="007E6E97"/>
    <w:rsid w:val="007E6EEE"/>
    <w:rsid w:val="007E7120"/>
    <w:rsid w:val="007E715F"/>
    <w:rsid w:val="007E722E"/>
    <w:rsid w:val="007E72E0"/>
    <w:rsid w:val="007E74CC"/>
    <w:rsid w:val="007E761E"/>
    <w:rsid w:val="007E763C"/>
    <w:rsid w:val="007E77C0"/>
    <w:rsid w:val="007E7813"/>
    <w:rsid w:val="007E7823"/>
    <w:rsid w:val="007E78FA"/>
    <w:rsid w:val="007E7938"/>
    <w:rsid w:val="007E7969"/>
    <w:rsid w:val="007E79FC"/>
    <w:rsid w:val="007E7B4E"/>
    <w:rsid w:val="007E7B5D"/>
    <w:rsid w:val="007E7CD4"/>
    <w:rsid w:val="007E7D4E"/>
    <w:rsid w:val="007E7DAE"/>
    <w:rsid w:val="007E7EC5"/>
    <w:rsid w:val="007E7FF5"/>
    <w:rsid w:val="007F00DA"/>
    <w:rsid w:val="007F01AB"/>
    <w:rsid w:val="007F01AD"/>
    <w:rsid w:val="007F01BF"/>
    <w:rsid w:val="007F01E9"/>
    <w:rsid w:val="007F024D"/>
    <w:rsid w:val="007F0253"/>
    <w:rsid w:val="007F02AF"/>
    <w:rsid w:val="007F040B"/>
    <w:rsid w:val="007F052E"/>
    <w:rsid w:val="007F0568"/>
    <w:rsid w:val="007F0597"/>
    <w:rsid w:val="007F05D5"/>
    <w:rsid w:val="007F0740"/>
    <w:rsid w:val="007F0830"/>
    <w:rsid w:val="007F086C"/>
    <w:rsid w:val="007F0ACB"/>
    <w:rsid w:val="007F0B50"/>
    <w:rsid w:val="007F0B71"/>
    <w:rsid w:val="007F0B76"/>
    <w:rsid w:val="007F0E66"/>
    <w:rsid w:val="007F0EAC"/>
    <w:rsid w:val="007F0ED2"/>
    <w:rsid w:val="007F1083"/>
    <w:rsid w:val="007F10E3"/>
    <w:rsid w:val="007F1187"/>
    <w:rsid w:val="007F1228"/>
    <w:rsid w:val="007F13BE"/>
    <w:rsid w:val="007F15CD"/>
    <w:rsid w:val="007F15F0"/>
    <w:rsid w:val="007F1627"/>
    <w:rsid w:val="007F1648"/>
    <w:rsid w:val="007F1792"/>
    <w:rsid w:val="007F179E"/>
    <w:rsid w:val="007F17D4"/>
    <w:rsid w:val="007F1858"/>
    <w:rsid w:val="007F18AB"/>
    <w:rsid w:val="007F18CB"/>
    <w:rsid w:val="007F1931"/>
    <w:rsid w:val="007F19BE"/>
    <w:rsid w:val="007F1A03"/>
    <w:rsid w:val="007F1A31"/>
    <w:rsid w:val="007F1A8D"/>
    <w:rsid w:val="007F1B03"/>
    <w:rsid w:val="007F1B17"/>
    <w:rsid w:val="007F1B43"/>
    <w:rsid w:val="007F1B8E"/>
    <w:rsid w:val="007F1D12"/>
    <w:rsid w:val="007F1D83"/>
    <w:rsid w:val="007F1DF2"/>
    <w:rsid w:val="007F1EAB"/>
    <w:rsid w:val="007F1F35"/>
    <w:rsid w:val="007F1FC9"/>
    <w:rsid w:val="007F20C0"/>
    <w:rsid w:val="007F212F"/>
    <w:rsid w:val="007F214A"/>
    <w:rsid w:val="007F2169"/>
    <w:rsid w:val="007F2177"/>
    <w:rsid w:val="007F21B5"/>
    <w:rsid w:val="007F236C"/>
    <w:rsid w:val="007F239E"/>
    <w:rsid w:val="007F23FB"/>
    <w:rsid w:val="007F24AC"/>
    <w:rsid w:val="007F251D"/>
    <w:rsid w:val="007F27CE"/>
    <w:rsid w:val="007F2870"/>
    <w:rsid w:val="007F28D5"/>
    <w:rsid w:val="007F2917"/>
    <w:rsid w:val="007F296D"/>
    <w:rsid w:val="007F299B"/>
    <w:rsid w:val="007F2A8C"/>
    <w:rsid w:val="007F2C89"/>
    <w:rsid w:val="007F2D4E"/>
    <w:rsid w:val="007F2DFD"/>
    <w:rsid w:val="007F2E3C"/>
    <w:rsid w:val="007F2E49"/>
    <w:rsid w:val="007F2E9D"/>
    <w:rsid w:val="007F2F2F"/>
    <w:rsid w:val="007F304C"/>
    <w:rsid w:val="007F3228"/>
    <w:rsid w:val="007F324F"/>
    <w:rsid w:val="007F3265"/>
    <w:rsid w:val="007F3360"/>
    <w:rsid w:val="007F347F"/>
    <w:rsid w:val="007F3526"/>
    <w:rsid w:val="007F3595"/>
    <w:rsid w:val="007F3679"/>
    <w:rsid w:val="007F36FD"/>
    <w:rsid w:val="007F37D0"/>
    <w:rsid w:val="007F37ED"/>
    <w:rsid w:val="007F38E1"/>
    <w:rsid w:val="007F38EF"/>
    <w:rsid w:val="007F3A7C"/>
    <w:rsid w:val="007F3ABD"/>
    <w:rsid w:val="007F3AE9"/>
    <w:rsid w:val="007F3BA0"/>
    <w:rsid w:val="007F3C0D"/>
    <w:rsid w:val="007F3C5D"/>
    <w:rsid w:val="007F3C8C"/>
    <w:rsid w:val="007F3D84"/>
    <w:rsid w:val="007F3DC8"/>
    <w:rsid w:val="007F3EA2"/>
    <w:rsid w:val="007F410D"/>
    <w:rsid w:val="007F412F"/>
    <w:rsid w:val="007F41B0"/>
    <w:rsid w:val="007F427F"/>
    <w:rsid w:val="007F43FE"/>
    <w:rsid w:val="007F440F"/>
    <w:rsid w:val="007F4475"/>
    <w:rsid w:val="007F4579"/>
    <w:rsid w:val="007F4638"/>
    <w:rsid w:val="007F463A"/>
    <w:rsid w:val="007F4710"/>
    <w:rsid w:val="007F4716"/>
    <w:rsid w:val="007F47A1"/>
    <w:rsid w:val="007F48B6"/>
    <w:rsid w:val="007F48E5"/>
    <w:rsid w:val="007F48E7"/>
    <w:rsid w:val="007F4954"/>
    <w:rsid w:val="007F4A0B"/>
    <w:rsid w:val="007F4AFF"/>
    <w:rsid w:val="007F4B84"/>
    <w:rsid w:val="007F4BBF"/>
    <w:rsid w:val="007F4BC3"/>
    <w:rsid w:val="007F4C86"/>
    <w:rsid w:val="007F4D14"/>
    <w:rsid w:val="007F4D50"/>
    <w:rsid w:val="007F4E02"/>
    <w:rsid w:val="007F4F49"/>
    <w:rsid w:val="007F4FD8"/>
    <w:rsid w:val="007F50C4"/>
    <w:rsid w:val="007F5128"/>
    <w:rsid w:val="007F515F"/>
    <w:rsid w:val="007F543B"/>
    <w:rsid w:val="007F551B"/>
    <w:rsid w:val="007F567A"/>
    <w:rsid w:val="007F5701"/>
    <w:rsid w:val="007F5941"/>
    <w:rsid w:val="007F59B2"/>
    <w:rsid w:val="007F59D4"/>
    <w:rsid w:val="007F5A48"/>
    <w:rsid w:val="007F5B18"/>
    <w:rsid w:val="007F5B37"/>
    <w:rsid w:val="007F5BEA"/>
    <w:rsid w:val="007F5BF5"/>
    <w:rsid w:val="007F5C03"/>
    <w:rsid w:val="007F5C57"/>
    <w:rsid w:val="007F5E1A"/>
    <w:rsid w:val="007F5E5E"/>
    <w:rsid w:val="007F5EA5"/>
    <w:rsid w:val="007F5F2C"/>
    <w:rsid w:val="007F5FD5"/>
    <w:rsid w:val="007F6058"/>
    <w:rsid w:val="007F6072"/>
    <w:rsid w:val="007F60DE"/>
    <w:rsid w:val="007F6130"/>
    <w:rsid w:val="007F618F"/>
    <w:rsid w:val="007F6208"/>
    <w:rsid w:val="007F62EE"/>
    <w:rsid w:val="007F6487"/>
    <w:rsid w:val="007F6544"/>
    <w:rsid w:val="007F65F7"/>
    <w:rsid w:val="007F6635"/>
    <w:rsid w:val="007F669F"/>
    <w:rsid w:val="007F67D3"/>
    <w:rsid w:val="007F67F6"/>
    <w:rsid w:val="007F688B"/>
    <w:rsid w:val="007F68A7"/>
    <w:rsid w:val="007F68CA"/>
    <w:rsid w:val="007F690C"/>
    <w:rsid w:val="007F6937"/>
    <w:rsid w:val="007F6B39"/>
    <w:rsid w:val="007F6B47"/>
    <w:rsid w:val="007F6BB2"/>
    <w:rsid w:val="007F6BF5"/>
    <w:rsid w:val="007F6D85"/>
    <w:rsid w:val="007F6F46"/>
    <w:rsid w:val="007F6F62"/>
    <w:rsid w:val="007F7029"/>
    <w:rsid w:val="007F7099"/>
    <w:rsid w:val="007F711C"/>
    <w:rsid w:val="007F715A"/>
    <w:rsid w:val="007F716F"/>
    <w:rsid w:val="007F7179"/>
    <w:rsid w:val="007F71F4"/>
    <w:rsid w:val="007F72E5"/>
    <w:rsid w:val="007F73BD"/>
    <w:rsid w:val="007F7434"/>
    <w:rsid w:val="007F7457"/>
    <w:rsid w:val="007F7468"/>
    <w:rsid w:val="007F74D2"/>
    <w:rsid w:val="007F7525"/>
    <w:rsid w:val="007F755E"/>
    <w:rsid w:val="007F75B9"/>
    <w:rsid w:val="007F7709"/>
    <w:rsid w:val="007F77DE"/>
    <w:rsid w:val="007F7830"/>
    <w:rsid w:val="007F78DB"/>
    <w:rsid w:val="007F78F9"/>
    <w:rsid w:val="007F7A15"/>
    <w:rsid w:val="007F7A17"/>
    <w:rsid w:val="007F7A7C"/>
    <w:rsid w:val="007F7BAB"/>
    <w:rsid w:val="007F7F7B"/>
    <w:rsid w:val="00800057"/>
    <w:rsid w:val="008000BE"/>
    <w:rsid w:val="00800104"/>
    <w:rsid w:val="00800372"/>
    <w:rsid w:val="0080038E"/>
    <w:rsid w:val="008003CF"/>
    <w:rsid w:val="0080042B"/>
    <w:rsid w:val="0080042F"/>
    <w:rsid w:val="00800463"/>
    <w:rsid w:val="008004C7"/>
    <w:rsid w:val="00800542"/>
    <w:rsid w:val="00800543"/>
    <w:rsid w:val="00800639"/>
    <w:rsid w:val="0080063D"/>
    <w:rsid w:val="0080065E"/>
    <w:rsid w:val="008006CD"/>
    <w:rsid w:val="00800713"/>
    <w:rsid w:val="0080077B"/>
    <w:rsid w:val="00800885"/>
    <w:rsid w:val="008008E8"/>
    <w:rsid w:val="00800934"/>
    <w:rsid w:val="00800992"/>
    <w:rsid w:val="008009E3"/>
    <w:rsid w:val="00800A2E"/>
    <w:rsid w:val="00800B81"/>
    <w:rsid w:val="00800BD8"/>
    <w:rsid w:val="00800C0E"/>
    <w:rsid w:val="00800C2D"/>
    <w:rsid w:val="00800CC5"/>
    <w:rsid w:val="00800E25"/>
    <w:rsid w:val="00800E4A"/>
    <w:rsid w:val="00800E6F"/>
    <w:rsid w:val="00800F70"/>
    <w:rsid w:val="008012E6"/>
    <w:rsid w:val="008012F2"/>
    <w:rsid w:val="00801373"/>
    <w:rsid w:val="00801379"/>
    <w:rsid w:val="0080138F"/>
    <w:rsid w:val="00801666"/>
    <w:rsid w:val="008016B9"/>
    <w:rsid w:val="008017E1"/>
    <w:rsid w:val="00801868"/>
    <w:rsid w:val="00801AFE"/>
    <w:rsid w:val="00801B78"/>
    <w:rsid w:val="00801BAD"/>
    <w:rsid w:val="00801BC2"/>
    <w:rsid w:val="00801C68"/>
    <w:rsid w:val="00801CF9"/>
    <w:rsid w:val="00801D29"/>
    <w:rsid w:val="00801D36"/>
    <w:rsid w:val="00801E3A"/>
    <w:rsid w:val="00801E4C"/>
    <w:rsid w:val="00801F72"/>
    <w:rsid w:val="00801FE5"/>
    <w:rsid w:val="00802105"/>
    <w:rsid w:val="0080218F"/>
    <w:rsid w:val="00802377"/>
    <w:rsid w:val="008023C6"/>
    <w:rsid w:val="0080251E"/>
    <w:rsid w:val="00802681"/>
    <w:rsid w:val="00802810"/>
    <w:rsid w:val="00802817"/>
    <w:rsid w:val="00802842"/>
    <w:rsid w:val="00802902"/>
    <w:rsid w:val="00802951"/>
    <w:rsid w:val="0080297A"/>
    <w:rsid w:val="0080299F"/>
    <w:rsid w:val="00802ACD"/>
    <w:rsid w:val="00802B26"/>
    <w:rsid w:val="00802B88"/>
    <w:rsid w:val="00802B9C"/>
    <w:rsid w:val="00802D15"/>
    <w:rsid w:val="00802D69"/>
    <w:rsid w:val="00802DCA"/>
    <w:rsid w:val="00802E4A"/>
    <w:rsid w:val="00802E5F"/>
    <w:rsid w:val="00802EDF"/>
    <w:rsid w:val="00802F15"/>
    <w:rsid w:val="00802FA3"/>
    <w:rsid w:val="008030CB"/>
    <w:rsid w:val="00803134"/>
    <w:rsid w:val="00803144"/>
    <w:rsid w:val="008031B3"/>
    <w:rsid w:val="008031CC"/>
    <w:rsid w:val="0080323B"/>
    <w:rsid w:val="00803455"/>
    <w:rsid w:val="00803461"/>
    <w:rsid w:val="008034DB"/>
    <w:rsid w:val="008035FB"/>
    <w:rsid w:val="00803612"/>
    <w:rsid w:val="0080363A"/>
    <w:rsid w:val="0080367B"/>
    <w:rsid w:val="0080386E"/>
    <w:rsid w:val="00803889"/>
    <w:rsid w:val="008038A9"/>
    <w:rsid w:val="0080391B"/>
    <w:rsid w:val="008039A6"/>
    <w:rsid w:val="00803B66"/>
    <w:rsid w:val="00803BCD"/>
    <w:rsid w:val="00803D6D"/>
    <w:rsid w:val="00803F0C"/>
    <w:rsid w:val="00803F3C"/>
    <w:rsid w:val="00803FDE"/>
    <w:rsid w:val="00803FFB"/>
    <w:rsid w:val="00804070"/>
    <w:rsid w:val="00804194"/>
    <w:rsid w:val="00804280"/>
    <w:rsid w:val="00804285"/>
    <w:rsid w:val="00804323"/>
    <w:rsid w:val="008043C9"/>
    <w:rsid w:val="008043F4"/>
    <w:rsid w:val="008044DD"/>
    <w:rsid w:val="00804541"/>
    <w:rsid w:val="008045CB"/>
    <w:rsid w:val="008045D0"/>
    <w:rsid w:val="00804662"/>
    <w:rsid w:val="0080473D"/>
    <w:rsid w:val="0080476B"/>
    <w:rsid w:val="008048EA"/>
    <w:rsid w:val="008049A7"/>
    <w:rsid w:val="00804AB0"/>
    <w:rsid w:val="00804AED"/>
    <w:rsid w:val="00804B8C"/>
    <w:rsid w:val="00804C02"/>
    <w:rsid w:val="00804C26"/>
    <w:rsid w:val="00804C69"/>
    <w:rsid w:val="00804C79"/>
    <w:rsid w:val="00804CCB"/>
    <w:rsid w:val="00804EE3"/>
    <w:rsid w:val="00804FD2"/>
    <w:rsid w:val="008050B3"/>
    <w:rsid w:val="00805177"/>
    <w:rsid w:val="008051D9"/>
    <w:rsid w:val="008051E6"/>
    <w:rsid w:val="00805246"/>
    <w:rsid w:val="008052DB"/>
    <w:rsid w:val="008052F5"/>
    <w:rsid w:val="0080535E"/>
    <w:rsid w:val="00805438"/>
    <w:rsid w:val="0080544F"/>
    <w:rsid w:val="008055B1"/>
    <w:rsid w:val="008056AF"/>
    <w:rsid w:val="008056C8"/>
    <w:rsid w:val="008056F7"/>
    <w:rsid w:val="008057E2"/>
    <w:rsid w:val="00805843"/>
    <w:rsid w:val="0080586F"/>
    <w:rsid w:val="00805870"/>
    <w:rsid w:val="00805A9B"/>
    <w:rsid w:val="00805AAC"/>
    <w:rsid w:val="00805C02"/>
    <w:rsid w:val="00805D01"/>
    <w:rsid w:val="00805E6D"/>
    <w:rsid w:val="008060ED"/>
    <w:rsid w:val="008061A2"/>
    <w:rsid w:val="008061CF"/>
    <w:rsid w:val="008062B2"/>
    <w:rsid w:val="008062BF"/>
    <w:rsid w:val="0080641C"/>
    <w:rsid w:val="0080644A"/>
    <w:rsid w:val="0080645B"/>
    <w:rsid w:val="00806497"/>
    <w:rsid w:val="008064B6"/>
    <w:rsid w:val="0080652D"/>
    <w:rsid w:val="0080665D"/>
    <w:rsid w:val="00806673"/>
    <w:rsid w:val="00806860"/>
    <w:rsid w:val="00806905"/>
    <w:rsid w:val="00806928"/>
    <w:rsid w:val="00806A1D"/>
    <w:rsid w:val="00806B32"/>
    <w:rsid w:val="00806C68"/>
    <w:rsid w:val="00806F37"/>
    <w:rsid w:val="00806F95"/>
    <w:rsid w:val="0080713C"/>
    <w:rsid w:val="008071C8"/>
    <w:rsid w:val="00807224"/>
    <w:rsid w:val="0080728A"/>
    <w:rsid w:val="0080742C"/>
    <w:rsid w:val="0080756E"/>
    <w:rsid w:val="00807598"/>
    <w:rsid w:val="0080763C"/>
    <w:rsid w:val="008077F7"/>
    <w:rsid w:val="008078C5"/>
    <w:rsid w:val="008078ED"/>
    <w:rsid w:val="00807909"/>
    <w:rsid w:val="00807A13"/>
    <w:rsid w:val="00807AA8"/>
    <w:rsid w:val="00807CD4"/>
    <w:rsid w:val="00807D09"/>
    <w:rsid w:val="00807D12"/>
    <w:rsid w:val="00807D1D"/>
    <w:rsid w:val="00807F15"/>
    <w:rsid w:val="00807F1F"/>
    <w:rsid w:val="00807F4E"/>
    <w:rsid w:val="00810026"/>
    <w:rsid w:val="00810037"/>
    <w:rsid w:val="008100A1"/>
    <w:rsid w:val="008100A7"/>
    <w:rsid w:val="008100E0"/>
    <w:rsid w:val="008101E0"/>
    <w:rsid w:val="008102BE"/>
    <w:rsid w:val="0081032C"/>
    <w:rsid w:val="0081053E"/>
    <w:rsid w:val="008106F5"/>
    <w:rsid w:val="0081077B"/>
    <w:rsid w:val="008107BC"/>
    <w:rsid w:val="00810844"/>
    <w:rsid w:val="00810895"/>
    <w:rsid w:val="008108A9"/>
    <w:rsid w:val="008108AD"/>
    <w:rsid w:val="008108B9"/>
    <w:rsid w:val="008108CA"/>
    <w:rsid w:val="00810A59"/>
    <w:rsid w:val="00810A90"/>
    <w:rsid w:val="00810AF4"/>
    <w:rsid w:val="00810B49"/>
    <w:rsid w:val="00810C9C"/>
    <w:rsid w:val="00810D40"/>
    <w:rsid w:val="00810DA9"/>
    <w:rsid w:val="00810DDD"/>
    <w:rsid w:val="00810EB4"/>
    <w:rsid w:val="00810F02"/>
    <w:rsid w:val="00810FAF"/>
    <w:rsid w:val="0081101C"/>
    <w:rsid w:val="00811094"/>
    <w:rsid w:val="008110B5"/>
    <w:rsid w:val="008110DD"/>
    <w:rsid w:val="00811154"/>
    <w:rsid w:val="00811182"/>
    <w:rsid w:val="00811246"/>
    <w:rsid w:val="0081128F"/>
    <w:rsid w:val="008112C2"/>
    <w:rsid w:val="0081135F"/>
    <w:rsid w:val="00811361"/>
    <w:rsid w:val="008113E9"/>
    <w:rsid w:val="00811412"/>
    <w:rsid w:val="00811588"/>
    <w:rsid w:val="008116A6"/>
    <w:rsid w:val="00811712"/>
    <w:rsid w:val="0081176E"/>
    <w:rsid w:val="00811805"/>
    <w:rsid w:val="00811826"/>
    <w:rsid w:val="00811839"/>
    <w:rsid w:val="008119AE"/>
    <w:rsid w:val="008119BD"/>
    <w:rsid w:val="00811A16"/>
    <w:rsid w:val="00811A90"/>
    <w:rsid w:val="00811AF8"/>
    <w:rsid w:val="00811C31"/>
    <w:rsid w:val="00811D90"/>
    <w:rsid w:val="00811DC7"/>
    <w:rsid w:val="00811EE8"/>
    <w:rsid w:val="00811F4D"/>
    <w:rsid w:val="00811FF0"/>
    <w:rsid w:val="0081200B"/>
    <w:rsid w:val="008120A1"/>
    <w:rsid w:val="008120F9"/>
    <w:rsid w:val="008122F2"/>
    <w:rsid w:val="00812397"/>
    <w:rsid w:val="0081239B"/>
    <w:rsid w:val="0081245A"/>
    <w:rsid w:val="008124A1"/>
    <w:rsid w:val="008124AA"/>
    <w:rsid w:val="00812567"/>
    <w:rsid w:val="0081272E"/>
    <w:rsid w:val="00812736"/>
    <w:rsid w:val="008127D4"/>
    <w:rsid w:val="00812835"/>
    <w:rsid w:val="00812A57"/>
    <w:rsid w:val="00812B31"/>
    <w:rsid w:val="00812B82"/>
    <w:rsid w:val="00812B83"/>
    <w:rsid w:val="00812C14"/>
    <w:rsid w:val="00812E1E"/>
    <w:rsid w:val="00812E56"/>
    <w:rsid w:val="00812ECD"/>
    <w:rsid w:val="00812F3F"/>
    <w:rsid w:val="00813125"/>
    <w:rsid w:val="00813141"/>
    <w:rsid w:val="00813155"/>
    <w:rsid w:val="00813188"/>
    <w:rsid w:val="00813275"/>
    <w:rsid w:val="0081327D"/>
    <w:rsid w:val="0081336F"/>
    <w:rsid w:val="00813373"/>
    <w:rsid w:val="008134AA"/>
    <w:rsid w:val="008134E1"/>
    <w:rsid w:val="0081351C"/>
    <w:rsid w:val="00813571"/>
    <w:rsid w:val="0081364F"/>
    <w:rsid w:val="008136C0"/>
    <w:rsid w:val="00813846"/>
    <w:rsid w:val="0081385E"/>
    <w:rsid w:val="0081390D"/>
    <w:rsid w:val="0081392E"/>
    <w:rsid w:val="008139AC"/>
    <w:rsid w:val="00813A8B"/>
    <w:rsid w:val="00813AD1"/>
    <w:rsid w:val="00813B22"/>
    <w:rsid w:val="00813B64"/>
    <w:rsid w:val="00813B8E"/>
    <w:rsid w:val="00813CF7"/>
    <w:rsid w:val="00813D8E"/>
    <w:rsid w:val="00814052"/>
    <w:rsid w:val="0081406A"/>
    <w:rsid w:val="00814101"/>
    <w:rsid w:val="0081411D"/>
    <w:rsid w:val="00814196"/>
    <w:rsid w:val="008141CC"/>
    <w:rsid w:val="00814297"/>
    <w:rsid w:val="0081429E"/>
    <w:rsid w:val="008143B0"/>
    <w:rsid w:val="00814454"/>
    <w:rsid w:val="00814476"/>
    <w:rsid w:val="00814536"/>
    <w:rsid w:val="0081453F"/>
    <w:rsid w:val="00814695"/>
    <w:rsid w:val="008146DA"/>
    <w:rsid w:val="00814717"/>
    <w:rsid w:val="00814731"/>
    <w:rsid w:val="0081475E"/>
    <w:rsid w:val="008147CD"/>
    <w:rsid w:val="008147D1"/>
    <w:rsid w:val="0081481C"/>
    <w:rsid w:val="0081487E"/>
    <w:rsid w:val="00814B50"/>
    <w:rsid w:val="00814BEF"/>
    <w:rsid w:val="00814DF3"/>
    <w:rsid w:val="00814FDE"/>
    <w:rsid w:val="00815029"/>
    <w:rsid w:val="008150C7"/>
    <w:rsid w:val="00815181"/>
    <w:rsid w:val="00815237"/>
    <w:rsid w:val="0081526D"/>
    <w:rsid w:val="00815366"/>
    <w:rsid w:val="008154B1"/>
    <w:rsid w:val="00815513"/>
    <w:rsid w:val="008155B5"/>
    <w:rsid w:val="00815614"/>
    <w:rsid w:val="00815667"/>
    <w:rsid w:val="00815699"/>
    <w:rsid w:val="008156DC"/>
    <w:rsid w:val="008157F3"/>
    <w:rsid w:val="0081586C"/>
    <w:rsid w:val="00815953"/>
    <w:rsid w:val="0081598C"/>
    <w:rsid w:val="00815AEF"/>
    <w:rsid w:val="00815BC4"/>
    <w:rsid w:val="00815D1A"/>
    <w:rsid w:val="00815EE2"/>
    <w:rsid w:val="00815F32"/>
    <w:rsid w:val="00815FD2"/>
    <w:rsid w:val="008160D7"/>
    <w:rsid w:val="0081630A"/>
    <w:rsid w:val="0081635F"/>
    <w:rsid w:val="00816373"/>
    <w:rsid w:val="008163F1"/>
    <w:rsid w:val="0081642F"/>
    <w:rsid w:val="0081644D"/>
    <w:rsid w:val="00816535"/>
    <w:rsid w:val="00816597"/>
    <w:rsid w:val="008165A6"/>
    <w:rsid w:val="00816786"/>
    <w:rsid w:val="008167CE"/>
    <w:rsid w:val="00816809"/>
    <w:rsid w:val="008169AA"/>
    <w:rsid w:val="008169BD"/>
    <w:rsid w:val="008169E3"/>
    <w:rsid w:val="00816B07"/>
    <w:rsid w:val="00816B55"/>
    <w:rsid w:val="00816BF2"/>
    <w:rsid w:val="00816BF8"/>
    <w:rsid w:val="00816CF5"/>
    <w:rsid w:val="00816D47"/>
    <w:rsid w:val="00816D8D"/>
    <w:rsid w:val="00816EFC"/>
    <w:rsid w:val="00816FDF"/>
    <w:rsid w:val="00817086"/>
    <w:rsid w:val="00817087"/>
    <w:rsid w:val="00817156"/>
    <w:rsid w:val="00817394"/>
    <w:rsid w:val="008173B6"/>
    <w:rsid w:val="008174B8"/>
    <w:rsid w:val="0081750C"/>
    <w:rsid w:val="00817575"/>
    <w:rsid w:val="0081757A"/>
    <w:rsid w:val="008175DE"/>
    <w:rsid w:val="00817616"/>
    <w:rsid w:val="0081765A"/>
    <w:rsid w:val="008176AA"/>
    <w:rsid w:val="008176AB"/>
    <w:rsid w:val="0081778F"/>
    <w:rsid w:val="008177BD"/>
    <w:rsid w:val="008178EF"/>
    <w:rsid w:val="0081795D"/>
    <w:rsid w:val="0081797F"/>
    <w:rsid w:val="0081799A"/>
    <w:rsid w:val="008179A3"/>
    <w:rsid w:val="008179E2"/>
    <w:rsid w:val="00817A7D"/>
    <w:rsid w:val="00817AC1"/>
    <w:rsid w:val="00817B10"/>
    <w:rsid w:val="00817BDD"/>
    <w:rsid w:val="00817C0D"/>
    <w:rsid w:val="00817CBB"/>
    <w:rsid w:val="00817D1A"/>
    <w:rsid w:val="00817DAD"/>
    <w:rsid w:val="00820089"/>
    <w:rsid w:val="008200B4"/>
    <w:rsid w:val="008200BF"/>
    <w:rsid w:val="0082027B"/>
    <w:rsid w:val="008202D6"/>
    <w:rsid w:val="008202E1"/>
    <w:rsid w:val="00820343"/>
    <w:rsid w:val="008203A5"/>
    <w:rsid w:val="0082041C"/>
    <w:rsid w:val="00820459"/>
    <w:rsid w:val="00820490"/>
    <w:rsid w:val="00820669"/>
    <w:rsid w:val="008207AA"/>
    <w:rsid w:val="008207F9"/>
    <w:rsid w:val="0082083A"/>
    <w:rsid w:val="00820866"/>
    <w:rsid w:val="0082091A"/>
    <w:rsid w:val="00820955"/>
    <w:rsid w:val="008209E2"/>
    <w:rsid w:val="00820B9C"/>
    <w:rsid w:val="00820BA0"/>
    <w:rsid w:val="00820BE8"/>
    <w:rsid w:val="00820C9D"/>
    <w:rsid w:val="00820D37"/>
    <w:rsid w:val="00820D7C"/>
    <w:rsid w:val="00820DC3"/>
    <w:rsid w:val="00820E49"/>
    <w:rsid w:val="00820ED7"/>
    <w:rsid w:val="00820FAF"/>
    <w:rsid w:val="00820FB6"/>
    <w:rsid w:val="0082101D"/>
    <w:rsid w:val="00821027"/>
    <w:rsid w:val="00821048"/>
    <w:rsid w:val="0082107A"/>
    <w:rsid w:val="008210FF"/>
    <w:rsid w:val="0082160D"/>
    <w:rsid w:val="00821645"/>
    <w:rsid w:val="00821683"/>
    <w:rsid w:val="00821713"/>
    <w:rsid w:val="00821841"/>
    <w:rsid w:val="008218B8"/>
    <w:rsid w:val="00821A27"/>
    <w:rsid w:val="00821BAF"/>
    <w:rsid w:val="00821BFA"/>
    <w:rsid w:val="00821DA6"/>
    <w:rsid w:val="00821E1C"/>
    <w:rsid w:val="00821EA4"/>
    <w:rsid w:val="00821FA5"/>
    <w:rsid w:val="00821FF2"/>
    <w:rsid w:val="00821FF5"/>
    <w:rsid w:val="00822004"/>
    <w:rsid w:val="00822092"/>
    <w:rsid w:val="0082235A"/>
    <w:rsid w:val="00822469"/>
    <w:rsid w:val="00822565"/>
    <w:rsid w:val="008225C5"/>
    <w:rsid w:val="0082260A"/>
    <w:rsid w:val="00822633"/>
    <w:rsid w:val="0082264F"/>
    <w:rsid w:val="00822663"/>
    <w:rsid w:val="00822713"/>
    <w:rsid w:val="008227A8"/>
    <w:rsid w:val="008228F9"/>
    <w:rsid w:val="0082291A"/>
    <w:rsid w:val="0082292C"/>
    <w:rsid w:val="008229A8"/>
    <w:rsid w:val="00822A6E"/>
    <w:rsid w:val="00822A88"/>
    <w:rsid w:val="00822A8C"/>
    <w:rsid w:val="00822ADC"/>
    <w:rsid w:val="00822B07"/>
    <w:rsid w:val="00822B78"/>
    <w:rsid w:val="00822C5F"/>
    <w:rsid w:val="00822C60"/>
    <w:rsid w:val="00822CDE"/>
    <w:rsid w:val="00822D4E"/>
    <w:rsid w:val="00822D52"/>
    <w:rsid w:val="00822DE8"/>
    <w:rsid w:val="00822E13"/>
    <w:rsid w:val="00822E5B"/>
    <w:rsid w:val="00822EFD"/>
    <w:rsid w:val="00823139"/>
    <w:rsid w:val="00823181"/>
    <w:rsid w:val="008231FD"/>
    <w:rsid w:val="0082320C"/>
    <w:rsid w:val="008232F7"/>
    <w:rsid w:val="00823365"/>
    <w:rsid w:val="00823384"/>
    <w:rsid w:val="0082347E"/>
    <w:rsid w:val="0082357A"/>
    <w:rsid w:val="0082361C"/>
    <w:rsid w:val="0082369A"/>
    <w:rsid w:val="008236BA"/>
    <w:rsid w:val="008236F9"/>
    <w:rsid w:val="0082379E"/>
    <w:rsid w:val="008237D8"/>
    <w:rsid w:val="008238F6"/>
    <w:rsid w:val="008238F7"/>
    <w:rsid w:val="00823939"/>
    <w:rsid w:val="008239B5"/>
    <w:rsid w:val="008239EC"/>
    <w:rsid w:val="008239ED"/>
    <w:rsid w:val="00823C43"/>
    <w:rsid w:val="00823C6E"/>
    <w:rsid w:val="00823D0E"/>
    <w:rsid w:val="00823D80"/>
    <w:rsid w:val="00823E5D"/>
    <w:rsid w:val="00823E9B"/>
    <w:rsid w:val="00823F5A"/>
    <w:rsid w:val="00823F89"/>
    <w:rsid w:val="00823FA2"/>
    <w:rsid w:val="00823FFF"/>
    <w:rsid w:val="0082410B"/>
    <w:rsid w:val="0082414B"/>
    <w:rsid w:val="00824264"/>
    <w:rsid w:val="008244B9"/>
    <w:rsid w:val="008246C1"/>
    <w:rsid w:val="00824702"/>
    <w:rsid w:val="0082474F"/>
    <w:rsid w:val="00824799"/>
    <w:rsid w:val="0082484F"/>
    <w:rsid w:val="008249A9"/>
    <w:rsid w:val="00824A5D"/>
    <w:rsid w:val="00824AB7"/>
    <w:rsid w:val="00824B67"/>
    <w:rsid w:val="00824C07"/>
    <w:rsid w:val="00824C08"/>
    <w:rsid w:val="00824CFA"/>
    <w:rsid w:val="00824DDF"/>
    <w:rsid w:val="00824E39"/>
    <w:rsid w:val="00824EDB"/>
    <w:rsid w:val="00824F14"/>
    <w:rsid w:val="00824F5B"/>
    <w:rsid w:val="00825026"/>
    <w:rsid w:val="00825070"/>
    <w:rsid w:val="00825192"/>
    <w:rsid w:val="0082521F"/>
    <w:rsid w:val="008252F8"/>
    <w:rsid w:val="00825343"/>
    <w:rsid w:val="008253E3"/>
    <w:rsid w:val="0082544D"/>
    <w:rsid w:val="00825606"/>
    <w:rsid w:val="00825678"/>
    <w:rsid w:val="008256D2"/>
    <w:rsid w:val="0082577C"/>
    <w:rsid w:val="0082584E"/>
    <w:rsid w:val="00825942"/>
    <w:rsid w:val="00825966"/>
    <w:rsid w:val="00825989"/>
    <w:rsid w:val="00825995"/>
    <w:rsid w:val="008259DE"/>
    <w:rsid w:val="00825BC9"/>
    <w:rsid w:val="00825C1E"/>
    <w:rsid w:val="00825C4E"/>
    <w:rsid w:val="00825D6E"/>
    <w:rsid w:val="00825D82"/>
    <w:rsid w:val="00825DD6"/>
    <w:rsid w:val="00825ECB"/>
    <w:rsid w:val="00825F32"/>
    <w:rsid w:val="00825FE2"/>
    <w:rsid w:val="00826030"/>
    <w:rsid w:val="0082606E"/>
    <w:rsid w:val="008261E8"/>
    <w:rsid w:val="008263C1"/>
    <w:rsid w:val="0082645F"/>
    <w:rsid w:val="008264F0"/>
    <w:rsid w:val="0082655B"/>
    <w:rsid w:val="008266A4"/>
    <w:rsid w:val="008267B1"/>
    <w:rsid w:val="00826807"/>
    <w:rsid w:val="008268A6"/>
    <w:rsid w:val="008268E3"/>
    <w:rsid w:val="00826A1F"/>
    <w:rsid w:val="00826A45"/>
    <w:rsid w:val="00826A95"/>
    <w:rsid w:val="00826B24"/>
    <w:rsid w:val="00826B53"/>
    <w:rsid w:val="00826D72"/>
    <w:rsid w:val="00826D9B"/>
    <w:rsid w:val="00826E12"/>
    <w:rsid w:val="00826E38"/>
    <w:rsid w:val="00826E5A"/>
    <w:rsid w:val="00826FAB"/>
    <w:rsid w:val="00826FAD"/>
    <w:rsid w:val="0082703E"/>
    <w:rsid w:val="008270DC"/>
    <w:rsid w:val="00827129"/>
    <w:rsid w:val="00827143"/>
    <w:rsid w:val="008271B4"/>
    <w:rsid w:val="008271E9"/>
    <w:rsid w:val="008272AD"/>
    <w:rsid w:val="00827339"/>
    <w:rsid w:val="008273A0"/>
    <w:rsid w:val="00827583"/>
    <w:rsid w:val="008275D4"/>
    <w:rsid w:val="008275F4"/>
    <w:rsid w:val="00827632"/>
    <w:rsid w:val="00827713"/>
    <w:rsid w:val="00827770"/>
    <w:rsid w:val="008277AA"/>
    <w:rsid w:val="0082791A"/>
    <w:rsid w:val="00827950"/>
    <w:rsid w:val="00827951"/>
    <w:rsid w:val="00827982"/>
    <w:rsid w:val="00827A16"/>
    <w:rsid w:val="00827BEB"/>
    <w:rsid w:val="00827C02"/>
    <w:rsid w:val="00827C34"/>
    <w:rsid w:val="00827D28"/>
    <w:rsid w:val="00827E1F"/>
    <w:rsid w:val="00827E27"/>
    <w:rsid w:val="00827E4F"/>
    <w:rsid w:val="00827E62"/>
    <w:rsid w:val="00827E74"/>
    <w:rsid w:val="00827F33"/>
    <w:rsid w:val="008301C5"/>
    <w:rsid w:val="00830678"/>
    <w:rsid w:val="00830756"/>
    <w:rsid w:val="0083076E"/>
    <w:rsid w:val="0083078B"/>
    <w:rsid w:val="0083080A"/>
    <w:rsid w:val="0083098C"/>
    <w:rsid w:val="00830A3B"/>
    <w:rsid w:val="00830A4D"/>
    <w:rsid w:val="00830A53"/>
    <w:rsid w:val="00830A71"/>
    <w:rsid w:val="00830B7E"/>
    <w:rsid w:val="00830BC0"/>
    <w:rsid w:val="00830BE1"/>
    <w:rsid w:val="00830C37"/>
    <w:rsid w:val="00830C63"/>
    <w:rsid w:val="00830CB4"/>
    <w:rsid w:val="00830CB5"/>
    <w:rsid w:val="00830D93"/>
    <w:rsid w:val="00830EC7"/>
    <w:rsid w:val="00830EFF"/>
    <w:rsid w:val="00831076"/>
    <w:rsid w:val="00831093"/>
    <w:rsid w:val="008310B3"/>
    <w:rsid w:val="00831190"/>
    <w:rsid w:val="00831214"/>
    <w:rsid w:val="00831284"/>
    <w:rsid w:val="0083136D"/>
    <w:rsid w:val="008313B7"/>
    <w:rsid w:val="00831405"/>
    <w:rsid w:val="00831461"/>
    <w:rsid w:val="0083149A"/>
    <w:rsid w:val="0083155A"/>
    <w:rsid w:val="00831667"/>
    <w:rsid w:val="008317F5"/>
    <w:rsid w:val="0083180B"/>
    <w:rsid w:val="00831892"/>
    <w:rsid w:val="008319B1"/>
    <w:rsid w:val="00831A6F"/>
    <w:rsid w:val="00831B9F"/>
    <w:rsid w:val="00831BE4"/>
    <w:rsid w:val="00831C63"/>
    <w:rsid w:val="00831CD0"/>
    <w:rsid w:val="00831D84"/>
    <w:rsid w:val="00831EC2"/>
    <w:rsid w:val="00831F43"/>
    <w:rsid w:val="00831FCD"/>
    <w:rsid w:val="00832058"/>
    <w:rsid w:val="008320A5"/>
    <w:rsid w:val="0083210B"/>
    <w:rsid w:val="0083228C"/>
    <w:rsid w:val="008322F0"/>
    <w:rsid w:val="0083237B"/>
    <w:rsid w:val="008325EA"/>
    <w:rsid w:val="008327FC"/>
    <w:rsid w:val="008327FD"/>
    <w:rsid w:val="008328FA"/>
    <w:rsid w:val="00832933"/>
    <w:rsid w:val="00832970"/>
    <w:rsid w:val="00832AD3"/>
    <w:rsid w:val="00832ADA"/>
    <w:rsid w:val="00832C8B"/>
    <w:rsid w:val="00832EE3"/>
    <w:rsid w:val="00832EF8"/>
    <w:rsid w:val="00832F9B"/>
    <w:rsid w:val="00832FFE"/>
    <w:rsid w:val="008330C2"/>
    <w:rsid w:val="008330C7"/>
    <w:rsid w:val="008331D1"/>
    <w:rsid w:val="008332C1"/>
    <w:rsid w:val="00833344"/>
    <w:rsid w:val="0083337A"/>
    <w:rsid w:val="008333D6"/>
    <w:rsid w:val="00833416"/>
    <w:rsid w:val="0083344D"/>
    <w:rsid w:val="00833461"/>
    <w:rsid w:val="008334DD"/>
    <w:rsid w:val="0083351A"/>
    <w:rsid w:val="008335F3"/>
    <w:rsid w:val="0083366B"/>
    <w:rsid w:val="00833701"/>
    <w:rsid w:val="0083394A"/>
    <w:rsid w:val="0083395B"/>
    <w:rsid w:val="00833A35"/>
    <w:rsid w:val="00833B4A"/>
    <w:rsid w:val="00833B96"/>
    <w:rsid w:val="00833BB4"/>
    <w:rsid w:val="00833C31"/>
    <w:rsid w:val="00833CAC"/>
    <w:rsid w:val="00833D90"/>
    <w:rsid w:val="00833E1A"/>
    <w:rsid w:val="00833EB6"/>
    <w:rsid w:val="008340A2"/>
    <w:rsid w:val="008340E3"/>
    <w:rsid w:val="00834138"/>
    <w:rsid w:val="00834226"/>
    <w:rsid w:val="00834251"/>
    <w:rsid w:val="00834273"/>
    <w:rsid w:val="008342C6"/>
    <w:rsid w:val="00834415"/>
    <w:rsid w:val="008344A6"/>
    <w:rsid w:val="00834594"/>
    <w:rsid w:val="00834599"/>
    <w:rsid w:val="00834623"/>
    <w:rsid w:val="0083466A"/>
    <w:rsid w:val="00834781"/>
    <w:rsid w:val="00834823"/>
    <w:rsid w:val="008349C3"/>
    <w:rsid w:val="00834A3E"/>
    <w:rsid w:val="00834C9B"/>
    <w:rsid w:val="00834DD1"/>
    <w:rsid w:val="00834E45"/>
    <w:rsid w:val="00834E4D"/>
    <w:rsid w:val="00834E53"/>
    <w:rsid w:val="00834EBA"/>
    <w:rsid w:val="00834F88"/>
    <w:rsid w:val="00834FE3"/>
    <w:rsid w:val="00835071"/>
    <w:rsid w:val="00835145"/>
    <w:rsid w:val="008351BE"/>
    <w:rsid w:val="0083521B"/>
    <w:rsid w:val="008353CB"/>
    <w:rsid w:val="008354E8"/>
    <w:rsid w:val="008355B0"/>
    <w:rsid w:val="008355B5"/>
    <w:rsid w:val="00835614"/>
    <w:rsid w:val="008356C4"/>
    <w:rsid w:val="00835750"/>
    <w:rsid w:val="0083577D"/>
    <w:rsid w:val="00835794"/>
    <w:rsid w:val="008357E2"/>
    <w:rsid w:val="008357FF"/>
    <w:rsid w:val="0083585E"/>
    <w:rsid w:val="008359C4"/>
    <w:rsid w:val="00835B73"/>
    <w:rsid w:val="00835BA4"/>
    <w:rsid w:val="00835BC1"/>
    <w:rsid w:val="00835BFF"/>
    <w:rsid w:val="00835CCB"/>
    <w:rsid w:val="00835D53"/>
    <w:rsid w:val="00835D6B"/>
    <w:rsid w:val="00835DE5"/>
    <w:rsid w:val="00835E18"/>
    <w:rsid w:val="00835F3D"/>
    <w:rsid w:val="00835F74"/>
    <w:rsid w:val="0083611C"/>
    <w:rsid w:val="008361A4"/>
    <w:rsid w:val="008362BD"/>
    <w:rsid w:val="008362EE"/>
    <w:rsid w:val="00836315"/>
    <w:rsid w:val="00836336"/>
    <w:rsid w:val="008364A0"/>
    <w:rsid w:val="00836521"/>
    <w:rsid w:val="00836539"/>
    <w:rsid w:val="0083663A"/>
    <w:rsid w:val="008367BF"/>
    <w:rsid w:val="008367CC"/>
    <w:rsid w:val="008367DA"/>
    <w:rsid w:val="008367DE"/>
    <w:rsid w:val="0083681D"/>
    <w:rsid w:val="0083684F"/>
    <w:rsid w:val="008368A0"/>
    <w:rsid w:val="00836934"/>
    <w:rsid w:val="008369D4"/>
    <w:rsid w:val="00836AB2"/>
    <w:rsid w:val="00836B02"/>
    <w:rsid w:val="00836BDD"/>
    <w:rsid w:val="00836C60"/>
    <w:rsid w:val="00836CF5"/>
    <w:rsid w:val="00836D16"/>
    <w:rsid w:val="00836E4C"/>
    <w:rsid w:val="00836E6C"/>
    <w:rsid w:val="00836E6D"/>
    <w:rsid w:val="00836E81"/>
    <w:rsid w:val="00836ECA"/>
    <w:rsid w:val="00836F7A"/>
    <w:rsid w:val="00836FD1"/>
    <w:rsid w:val="00837098"/>
    <w:rsid w:val="008370AC"/>
    <w:rsid w:val="00837109"/>
    <w:rsid w:val="00837123"/>
    <w:rsid w:val="0083716B"/>
    <w:rsid w:val="00837275"/>
    <w:rsid w:val="00837281"/>
    <w:rsid w:val="00837334"/>
    <w:rsid w:val="008373F9"/>
    <w:rsid w:val="0083740A"/>
    <w:rsid w:val="00837412"/>
    <w:rsid w:val="0083751A"/>
    <w:rsid w:val="008375E3"/>
    <w:rsid w:val="0083761B"/>
    <w:rsid w:val="00837687"/>
    <w:rsid w:val="008379CE"/>
    <w:rsid w:val="00837A9B"/>
    <w:rsid w:val="00837AB4"/>
    <w:rsid w:val="00837AD1"/>
    <w:rsid w:val="00837D35"/>
    <w:rsid w:val="00837DA8"/>
    <w:rsid w:val="00837F0B"/>
    <w:rsid w:val="00837F1B"/>
    <w:rsid w:val="00837F9E"/>
    <w:rsid w:val="00840233"/>
    <w:rsid w:val="00840255"/>
    <w:rsid w:val="008402B9"/>
    <w:rsid w:val="00840425"/>
    <w:rsid w:val="008404E6"/>
    <w:rsid w:val="0084061D"/>
    <w:rsid w:val="00840645"/>
    <w:rsid w:val="0084071E"/>
    <w:rsid w:val="00840851"/>
    <w:rsid w:val="00840B9A"/>
    <w:rsid w:val="00840BC3"/>
    <w:rsid w:val="00840C46"/>
    <w:rsid w:val="00840CB2"/>
    <w:rsid w:val="00840D7C"/>
    <w:rsid w:val="00840D97"/>
    <w:rsid w:val="00840E55"/>
    <w:rsid w:val="00840F56"/>
    <w:rsid w:val="00840F72"/>
    <w:rsid w:val="00840FAA"/>
    <w:rsid w:val="00840FFE"/>
    <w:rsid w:val="00841015"/>
    <w:rsid w:val="0084110C"/>
    <w:rsid w:val="0084117E"/>
    <w:rsid w:val="008411A4"/>
    <w:rsid w:val="008411B6"/>
    <w:rsid w:val="00841217"/>
    <w:rsid w:val="00841320"/>
    <w:rsid w:val="0084145A"/>
    <w:rsid w:val="008414DC"/>
    <w:rsid w:val="008415AC"/>
    <w:rsid w:val="00841630"/>
    <w:rsid w:val="0084167A"/>
    <w:rsid w:val="008416DD"/>
    <w:rsid w:val="008417A3"/>
    <w:rsid w:val="00841876"/>
    <w:rsid w:val="008418C0"/>
    <w:rsid w:val="00841947"/>
    <w:rsid w:val="00841990"/>
    <w:rsid w:val="00841AFD"/>
    <w:rsid w:val="00841B46"/>
    <w:rsid w:val="00841C8F"/>
    <w:rsid w:val="00841CA3"/>
    <w:rsid w:val="00841CE7"/>
    <w:rsid w:val="00841DAC"/>
    <w:rsid w:val="00841DC2"/>
    <w:rsid w:val="00841F22"/>
    <w:rsid w:val="00842105"/>
    <w:rsid w:val="00842236"/>
    <w:rsid w:val="00842241"/>
    <w:rsid w:val="00842251"/>
    <w:rsid w:val="0084227C"/>
    <w:rsid w:val="0084231D"/>
    <w:rsid w:val="0084235C"/>
    <w:rsid w:val="00842392"/>
    <w:rsid w:val="008423B6"/>
    <w:rsid w:val="008423E3"/>
    <w:rsid w:val="0084241B"/>
    <w:rsid w:val="0084253E"/>
    <w:rsid w:val="00842576"/>
    <w:rsid w:val="0084259E"/>
    <w:rsid w:val="008425A1"/>
    <w:rsid w:val="008425CF"/>
    <w:rsid w:val="00842876"/>
    <w:rsid w:val="008428D3"/>
    <w:rsid w:val="0084293F"/>
    <w:rsid w:val="00842A79"/>
    <w:rsid w:val="00842B57"/>
    <w:rsid w:val="00842B5C"/>
    <w:rsid w:val="00842B77"/>
    <w:rsid w:val="00842C90"/>
    <w:rsid w:val="00842CCF"/>
    <w:rsid w:val="00842CF4"/>
    <w:rsid w:val="00842DDA"/>
    <w:rsid w:val="00842EAC"/>
    <w:rsid w:val="00842F0B"/>
    <w:rsid w:val="00842F43"/>
    <w:rsid w:val="00842F77"/>
    <w:rsid w:val="00842FB4"/>
    <w:rsid w:val="00843139"/>
    <w:rsid w:val="008431D8"/>
    <w:rsid w:val="008432D8"/>
    <w:rsid w:val="0084336C"/>
    <w:rsid w:val="008433E3"/>
    <w:rsid w:val="00843416"/>
    <w:rsid w:val="0084354D"/>
    <w:rsid w:val="0084365F"/>
    <w:rsid w:val="0084373E"/>
    <w:rsid w:val="008437E1"/>
    <w:rsid w:val="008438B7"/>
    <w:rsid w:val="00843ACD"/>
    <w:rsid w:val="00843AEE"/>
    <w:rsid w:val="00843C96"/>
    <w:rsid w:val="00843CD4"/>
    <w:rsid w:val="00843D21"/>
    <w:rsid w:val="00843DDC"/>
    <w:rsid w:val="00843E50"/>
    <w:rsid w:val="00843E6F"/>
    <w:rsid w:val="00843F01"/>
    <w:rsid w:val="00843F09"/>
    <w:rsid w:val="00843F74"/>
    <w:rsid w:val="00843F8C"/>
    <w:rsid w:val="00844017"/>
    <w:rsid w:val="008440A5"/>
    <w:rsid w:val="008441F8"/>
    <w:rsid w:val="0084420B"/>
    <w:rsid w:val="00844242"/>
    <w:rsid w:val="008442A4"/>
    <w:rsid w:val="0084436B"/>
    <w:rsid w:val="00844464"/>
    <w:rsid w:val="00844512"/>
    <w:rsid w:val="00844573"/>
    <w:rsid w:val="0084459F"/>
    <w:rsid w:val="008445E9"/>
    <w:rsid w:val="0084474C"/>
    <w:rsid w:val="00844754"/>
    <w:rsid w:val="00844796"/>
    <w:rsid w:val="00844904"/>
    <w:rsid w:val="00844909"/>
    <w:rsid w:val="00844B7E"/>
    <w:rsid w:val="00844BB5"/>
    <w:rsid w:val="00844BBC"/>
    <w:rsid w:val="00844CC4"/>
    <w:rsid w:val="00844D06"/>
    <w:rsid w:val="00844D7B"/>
    <w:rsid w:val="00844DB4"/>
    <w:rsid w:val="00844E85"/>
    <w:rsid w:val="00844F59"/>
    <w:rsid w:val="00845135"/>
    <w:rsid w:val="0084514E"/>
    <w:rsid w:val="00845164"/>
    <w:rsid w:val="00845167"/>
    <w:rsid w:val="008451A8"/>
    <w:rsid w:val="00845298"/>
    <w:rsid w:val="008452DD"/>
    <w:rsid w:val="00845379"/>
    <w:rsid w:val="008453BD"/>
    <w:rsid w:val="0084549F"/>
    <w:rsid w:val="008455B0"/>
    <w:rsid w:val="008455F9"/>
    <w:rsid w:val="0084564D"/>
    <w:rsid w:val="0084582E"/>
    <w:rsid w:val="008459EE"/>
    <w:rsid w:val="00845AC2"/>
    <w:rsid w:val="00845AE9"/>
    <w:rsid w:val="00845CF9"/>
    <w:rsid w:val="00845D30"/>
    <w:rsid w:val="00845D93"/>
    <w:rsid w:val="00845E3F"/>
    <w:rsid w:val="00845E80"/>
    <w:rsid w:val="00845F2D"/>
    <w:rsid w:val="00845F4F"/>
    <w:rsid w:val="00845FEB"/>
    <w:rsid w:val="00846007"/>
    <w:rsid w:val="008460A6"/>
    <w:rsid w:val="008460AC"/>
    <w:rsid w:val="00846237"/>
    <w:rsid w:val="0084637C"/>
    <w:rsid w:val="008463F8"/>
    <w:rsid w:val="00846416"/>
    <w:rsid w:val="0084648E"/>
    <w:rsid w:val="0084672C"/>
    <w:rsid w:val="00846747"/>
    <w:rsid w:val="0084679C"/>
    <w:rsid w:val="008468FF"/>
    <w:rsid w:val="0084693F"/>
    <w:rsid w:val="00846953"/>
    <w:rsid w:val="00846AE4"/>
    <w:rsid w:val="00846B4B"/>
    <w:rsid w:val="00846B6D"/>
    <w:rsid w:val="00846C23"/>
    <w:rsid w:val="00846C7A"/>
    <w:rsid w:val="00846D27"/>
    <w:rsid w:val="00846F70"/>
    <w:rsid w:val="00847104"/>
    <w:rsid w:val="008471DB"/>
    <w:rsid w:val="0084725C"/>
    <w:rsid w:val="00847298"/>
    <w:rsid w:val="008472F9"/>
    <w:rsid w:val="00847361"/>
    <w:rsid w:val="0084737E"/>
    <w:rsid w:val="008473DA"/>
    <w:rsid w:val="00847410"/>
    <w:rsid w:val="008474BD"/>
    <w:rsid w:val="00847577"/>
    <w:rsid w:val="00847771"/>
    <w:rsid w:val="008477FB"/>
    <w:rsid w:val="00847AB4"/>
    <w:rsid w:val="00847B61"/>
    <w:rsid w:val="00847B9E"/>
    <w:rsid w:val="00847C5B"/>
    <w:rsid w:val="00847D9E"/>
    <w:rsid w:val="00847DB5"/>
    <w:rsid w:val="00847E30"/>
    <w:rsid w:val="00847E7B"/>
    <w:rsid w:val="00847F20"/>
    <w:rsid w:val="00847FBA"/>
    <w:rsid w:val="008501BD"/>
    <w:rsid w:val="008503C4"/>
    <w:rsid w:val="0085040D"/>
    <w:rsid w:val="00850600"/>
    <w:rsid w:val="00850645"/>
    <w:rsid w:val="00850671"/>
    <w:rsid w:val="008506B5"/>
    <w:rsid w:val="00850733"/>
    <w:rsid w:val="0085074A"/>
    <w:rsid w:val="0085074D"/>
    <w:rsid w:val="008507FC"/>
    <w:rsid w:val="00850832"/>
    <w:rsid w:val="00850858"/>
    <w:rsid w:val="00850921"/>
    <w:rsid w:val="00850AAF"/>
    <w:rsid w:val="00850AE6"/>
    <w:rsid w:val="00850C45"/>
    <w:rsid w:val="00850C88"/>
    <w:rsid w:val="00850DBD"/>
    <w:rsid w:val="00850DE7"/>
    <w:rsid w:val="00850F78"/>
    <w:rsid w:val="00850FAD"/>
    <w:rsid w:val="00850FF9"/>
    <w:rsid w:val="008510BE"/>
    <w:rsid w:val="0085115F"/>
    <w:rsid w:val="00851189"/>
    <w:rsid w:val="008511F9"/>
    <w:rsid w:val="00851250"/>
    <w:rsid w:val="0085127D"/>
    <w:rsid w:val="0085128F"/>
    <w:rsid w:val="008512D0"/>
    <w:rsid w:val="00851367"/>
    <w:rsid w:val="008513BA"/>
    <w:rsid w:val="008513DC"/>
    <w:rsid w:val="00851408"/>
    <w:rsid w:val="00851683"/>
    <w:rsid w:val="0085180B"/>
    <w:rsid w:val="00851884"/>
    <w:rsid w:val="008518BC"/>
    <w:rsid w:val="008518DC"/>
    <w:rsid w:val="008518F2"/>
    <w:rsid w:val="008519F9"/>
    <w:rsid w:val="00851A6C"/>
    <w:rsid w:val="00851ADB"/>
    <w:rsid w:val="00851B18"/>
    <w:rsid w:val="00851BBC"/>
    <w:rsid w:val="00851C28"/>
    <w:rsid w:val="00851C6A"/>
    <w:rsid w:val="00851CC6"/>
    <w:rsid w:val="00851D0C"/>
    <w:rsid w:val="00851E21"/>
    <w:rsid w:val="00851F9A"/>
    <w:rsid w:val="00852091"/>
    <w:rsid w:val="008520E9"/>
    <w:rsid w:val="00852171"/>
    <w:rsid w:val="0085223D"/>
    <w:rsid w:val="008522E1"/>
    <w:rsid w:val="008523BF"/>
    <w:rsid w:val="00852625"/>
    <w:rsid w:val="00852632"/>
    <w:rsid w:val="0085264C"/>
    <w:rsid w:val="008526C6"/>
    <w:rsid w:val="008526C9"/>
    <w:rsid w:val="00852971"/>
    <w:rsid w:val="0085297D"/>
    <w:rsid w:val="00852A4B"/>
    <w:rsid w:val="00852A5C"/>
    <w:rsid w:val="00852A67"/>
    <w:rsid w:val="00852AEB"/>
    <w:rsid w:val="00852B89"/>
    <w:rsid w:val="00852C08"/>
    <w:rsid w:val="00852D8B"/>
    <w:rsid w:val="00852D91"/>
    <w:rsid w:val="00852DBD"/>
    <w:rsid w:val="0085313D"/>
    <w:rsid w:val="00853229"/>
    <w:rsid w:val="00853346"/>
    <w:rsid w:val="0085343B"/>
    <w:rsid w:val="008534BC"/>
    <w:rsid w:val="008534CC"/>
    <w:rsid w:val="00853613"/>
    <w:rsid w:val="0085371C"/>
    <w:rsid w:val="0085382A"/>
    <w:rsid w:val="0085384E"/>
    <w:rsid w:val="00853914"/>
    <w:rsid w:val="0085395E"/>
    <w:rsid w:val="00853987"/>
    <w:rsid w:val="0085399F"/>
    <w:rsid w:val="00853A13"/>
    <w:rsid w:val="00853BBD"/>
    <w:rsid w:val="00853BBF"/>
    <w:rsid w:val="00853BF0"/>
    <w:rsid w:val="00853E88"/>
    <w:rsid w:val="00854187"/>
    <w:rsid w:val="008541E0"/>
    <w:rsid w:val="008541FA"/>
    <w:rsid w:val="00854355"/>
    <w:rsid w:val="0085443D"/>
    <w:rsid w:val="0085444F"/>
    <w:rsid w:val="0085446E"/>
    <w:rsid w:val="008544F9"/>
    <w:rsid w:val="00854503"/>
    <w:rsid w:val="00854534"/>
    <w:rsid w:val="0085456E"/>
    <w:rsid w:val="008545AE"/>
    <w:rsid w:val="008545DE"/>
    <w:rsid w:val="00854602"/>
    <w:rsid w:val="0085464F"/>
    <w:rsid w:val="0085468A"/>
    <w:rsid w:val="008546E5"/>
    <w:rsid w:val="0085478A"/>
    <w:rsid w:val="008547E3"/>
    <w:rsid w:val="008547EA"/>
    <w:rsid w:val="00854971"/>
    <w:rsid w:val="00854999"/>
    <w:rsid w:val="00854A94"/>
    <w:rsid w:val="00854BEC"/>
    <w:rsid w:val="00854C6D"/>
    <w:rsid w:val="00854C7F"/>
    <w:rsid w:val="00854CF2"/>
    <w:rsid w:val="00854F2D"/>
    <w:rsid w:val="00854FBE"/>
    <w:rsid w:val="00855088"/>
    <w:rsid w:val="00855094"/>
    <w:rsid w:val="008550DB"/>
    <w:rsid w:val="008551D8"/>
    <w:rsid w:val="00855263"/>
    <w:rsid w:val="0085532A"/>
    <w:rsid w:val="00855484"/>
    <w:rsid w:val="008554D9"/>
    <w:rsid w:val="008555FF"/>
    <w:rsid w:val="008556BF"/>
    <w:rsid w:val="008557A4"/>
    <w:rsid w:val="008558CE"/>
    <w:rsid w:val="0085594E"/>
    <w:rsid w:val="00855994"/>
    <w:rsid w:val="008559BD"/>
    <w:rsid w:val="008559D8"/>
    <w:rsid w:val="00855A4F"/>
    <w:rsid w:val="00855AC4"/>
    <w:rsid w:val="00855AE2"/>
    <w:rsid w:val="00855B16"/>
    <w:rsid w:val="00855B81"/>
    <w:rsid w:val="00855D7C"/>
    <w:rsid w:val="00855D9B"/>
    <w:rsid w:val="00855DB2"/>
    <w:rsid w:val="00855E82"/>
    <w:rsid w:val="00855ECB"/>
    <w:rsid w:val="00855EE6"/>
    <w:rsid w:val="0085600D"/>
    <w:rsid w:val="00856082"/>
    <w:rsid w:val="008560DA"/>
    <w:rsid w:val="00856123"/>
    <w:rsid w:val="008562A0"/>
    <w:rsid w:val="00856357"/>
    <w:rsid w:val="00856548"/>
    <w:rsid w:val="008565C8"/>
    <w:rsid w:val="0085661D"/>
    <w:rsid w:val="008567CC"/>
    <w:rsid w:val="0085689D"/>
    <w:rsid w:val="00856AED"/>
    <w:rsid w:val="00856BCD"/>
    <w:rsid w:val="00856C2A"/>
    <w:rsid w:val="00856C40"/>
    <w:rsid w:val="00856C80"/>
    <w:rsid w:val="00856C84"/>
    <w:rsid w:val="00856D20"/>
    <w:rsid w:val="00856D54"/>
    <w:rsid w:val="00856DBD"/>
    <w:rsid w:val="00856E34"/>
    <w:rsid w:val="00856F0F"/>
    <w:rsid w:val="00856FAC"/>
    <w:rsid w:val="00857032"/>
    <w:rsid w:val="00857076"/>
    <w:rsid w:val="00857153"/>
    <w:rsid w:val="00857164"/>
    <w:rsid w:val="008571F1"/>
    <w:rsid w:val="00857277"/>
    <w:rsid w:val="00857345"/>
    <w:rsid w:val="008574E3"/>
    <w:rsid w:val="00857604"/>
    <w:rsid w:val="00857625"/>
    <w:rsid w:val="008576A5"/>
    <w:rsid w:val="008576EA"/>
    <w:rsid w:val="0085772D"/>
    <w:rsid w:val="0085784E"/>
    <w:rsid w:val="00857885"/>
    <w:rsid w:val="008578A8"/>
    <w:rsid w:val="00857B78"/>
    <w:rsid w:val="00857C9F"/>
    <w:rsid w:val="00857CA0"/>
    <w:rsid w:val="00857CDE"/>
    <w:rsid w:val="00857DF4"/>
    <w:rsid w:val="00857E10"/>
    <w:rsid w:val="00857E13"/>
    <w:rsid w:val="00857EDB"/>
    <w:rsid w:val="00860080"/>
    <w:rsid w:val="008600A3"/>
    <w:rsid w:val="008600FF"/>
    <w:rsid w:val="00860126"/>
    <w:rsid w:val="00860128"/>
    <w:rsid w:val="008603F8"/>
    <w:rsid w:val="00860407"/>
    <w:rsid w:val="00860444"/>
    <w:rsid w:val="00860737"/>
    <w:rsid w:val="008607E8"/>
    <w:rsid w:val="0086086E"/>
    <w:rsid w:val="008608CE"/>
    <w:rsid w:val="00860924"/>
    <w:rsid w:val="0086095A"/>
    <w:rsid w:val="008609BA"/>
    <w:rsid w:val="00860AA2"/>
    <w:rsid w:val="00860AE3"/>
    <w:rsid w:val="00860B2F"/>
    <w:rsid w:val="00860C17"/>
    <w:rsid w:val="00860C7F"/>
    <w:rsid w:val="00860C99"/>
    <w:rsid w:val="00860D51"/>
    <w:rsid w:val="00860E0F"/>
    <w:rsid w:val="00860EB1"/>
    <w:rsid w:val="00860F3B"/>
    <w:rsid w:val="00860F66"/>
    <w:rsid w:val="00860F96"/>
    <w:rsid w:val="00860FE7"/>
    <w:rsid w:val="008610B8"/>
    <w:rsid w:val="00861146"/>
    <w:rsid w:val="008612B7"/>
    <w:rsid w:val="0086131F"/>
    <w:rsid w:val="008613FC"/>
    <w:rsid w:val="00861415"/>
    <w:rsid w:val="00861489"/>
    <w:rsid w:val="0086166C"/>
    <w:rsid w:val="00861676"/>
    <w:rsid w:val="008617CB"/>
    <w:rsid w:val="00861868"/>
    <w:rsid w:val="008618D9"/>
    <w:rsid w:val="00861917"/>
    <w:rsid w:val="008619B4"/>
    <w:rsid w:val="00861AE9"/>
    <w:rsid w:val="00861AFA"/>
    <w:rsid w:val="00861CA4"/>
    <w:rsid w:val="00861CD3"/>
    <w:rsid w:val="00861CEB"/>
    <w:rsid w:val="00861D77"/>
    <w:rsid w:val="00861DA0"/>
    <w:rsid w:val="00861E69"/>
    <w:rsid w:val="00861E8D"/>
    <w:rsid w:val="008620F6"/>
    <w:rsid w:val="0086225D"/>
    <w:rsid w:val="00862382"/>
    <w:rsid w:val="008623B1"/>
    <w:rsid w:val="008623BD"/>
    <w:rsid w:val="00862477"/>
    <w:rsid w:val="00862696"/>
    <w:rsid w:val="00862746"/>
    <w:rsid w:val="0086283B"/>
    <w:rsid w:val="00862841"/>
    <w:rsid w:val="00862A0B"/>
    <w:rsid w:val="00862BB2"/>
    <w:rsid w:val="00862CDE"/>
    <w:rsid w:val="00862CE0"/>
    <w:rsid w:val="00862D4F"/>
    <w:rsid w:val="00862E4F"/>
    <w:rsid w:val="00862FB3"/>
    <w:rsid w:val="0086308C"/>
    <w:rsid w:val="00863193"/>
    <w:rsid w:val="008631EB"/>
    <w:rsid w:val="008631FB"/>
    <w:rsid w:val="00863229"/>
    <w:rsid w:val="00863313"/>
    <w:rsid w:val="00863314"/>
    <w:rsid w:val="00863330"/>
    <w:rsid w:val="0086343B"/>
    <w:rsid w:val="00863646"/>
    <w:rsid w:val="0086365E"/>
    <w:rsid w:val="0086376F"/>
    <w:rsid w:val="0086378A"/>
    <w:rsid w:val="0086378F"/>
    <w:rsid w:val="00863794"/>
    <w:rsid w:val="0086398A"/>
    <w:rsid w:val="0086399F"/>
    <w:rsid w:val="008639B8"/>
    <w:rsid w:val="008639C3"/>
    <w:rsid w:val="00863A75"/>
    <w:rsid w:val="00863AFD"/>
    <w:rsid w:val="00863B25"/>
    <w:rsid w:val="00863B99"/>
    <w:rsid w:val="00863CB9"/>
    <w:rsid w:val="00863D17"/>
    <w:rsid w:val="00863DD0"/>
    <w:rsid w:val="00863DE1"/>
    <w:rsid w:val="00863E71"/>
    <w:rsid w:val="00863E79"/>
    <w:rsid w:val="00863EB1"/>
    <w:rsid w:val="00863F00"/>
    <w:rsid w:val="00863FC1"/>
    <w:rsid w:val="0086417C"/>
    <w:rsid w:val="008641D3"/>
    <w:rsid w:val="00864221"/>
    <w:rsid w:val="0086441A"/>
    <w:rsid w:val="00864420"/>
    <w:rsid w:val="00864485"/>
    <w:rsid w:val="008644A8"/>
    <w:rsid w:val="008644F8"/>
    <w:rsid w:val="008645BD"/>
    <w:rsid w:val="00864645"/>
    <w:rsid w:val="00864646"/>
    <w:rsid w:val="008646FE"/>
    <w:rsid w:val="00864795"/>
    <w:rsid w:val="008649AE"/>
    <w:rsid w:val="008649C1"/>
    <w:rsid w:val="00864A77"/>
    <w:rsid w:val="00864AB1"/>
    <w:rsid w:val="00864B80"/>
    <w:rsid w:val="00864C8A"/>
    <w:rsid w:val="00864D44"/>
    <w:rsid w:val="008650F1"/>
    <w:rsid w:val="00865140"/>
    <w:rsid w:val="00865143"/>
    <w:rsid w:val="00865388"/>
    <w:rsid w:val="00865427"/>
    <w:rsid w:val="00865449"/>
    <w:rsid w:val="0086556C"/>
    <w:rsid w:val="008655CF"/>
    <w:rsid w:val="008657BE"/>
    <w:rsid w:val="008657E2"/>
    <w:rsid w:val="0086580C"/>
    <w:rsid w:val="00865842"/>
    <w:rsid w:val="00865966"/>
    <w:rsid w:val="00865A0A"/>
    <w:rsid w:val="00865A7C"/>
    <w:rsid w:val="00865ABC"/>
    <w:rsid w:val="00865ADE"/>
    <w:rsid w:val="00865B7C"/>
    <w:rsid w:val="00865BF3"/>
    <w:rsid w:val="00865C6A"/>
    <w:rsid w:val="00865C88"/>
    <w:rsid w:val="00865DFA"/>
    <w:rsid w:val="00865F02"/>
    <w:rsid w:val="00865F38"/>
    <w:rsid w:val="00865F49"/>
    <w:rsid w:val="00866051"/>
    <w:rsid w:val="008661C4"/>
    <w:rsid w:val="008661DE"/>
    <w:rsid w:val="00866238"/>
    <w:rsid w:val="008662B2"/>
    <w:rsid w:val="0086637B"/>
    <w:rsid w:val="008663AB"/>
    <w:rsid w:val="00866473"/>
    <w:rsid w:val="008664E7"/>
    <w:rsid w:val="008664FE"/>
    <w:rsid w:val="00866528"/>
    <w:rsid w:val="00866608"/>
    <w:rsid w:val="00866655"/>
    <w:rsid w:val="008666DC"/>
    <w:rsid w:val="0086676C"/>
    <w:rsid w:val="008668A5"/>
    <w:rsid w:val="00866926"/>
    <w:rsid w:val="0086698A"/>
    <w:rsid w:val="008669C7"/>
    <w:rsid w:val="00866B83"/>
    <w:rsid w:val="00866BB3"/>
    <w:rsid w:val="00866D67"/>
    <w:rsid w:val="00866DC7"/>
    <w:rsid w:val="00866E35"/>
    <w:rsid w:val="00866F18"/>
    <w:rsid w:val="00866F6B"/>
    <w:rsid w:val="00866FC7"/>
    <w:rsid w:val="0086702A"/>
    <w:rsid w:val="0086706E"/>
    <w:rsid w:val="008670A0"/>
    <w:rsid w:val="008675B0"/>
    <w:rsid w:val="008675C7"/>
    <w:rsid w:val="008676A4"/>
    <w:rsid w:val="008676C2"/>
    <w:rsid w:val="0086783F"/>
    <w:rsid w:val="0086787C"/>
    <w:rsid w:val="008678C7"/>
    <w:rsid w:val="008678F9"/>
    <w:rsid w:val="008678FB"/>
    <w:rsid w:val="00867900"/>
    <w:rsid w:val="0086798F"/>
    <w:rsid w:val="00867A28"/>
    <w:rsid w:val="00867A6B"/>
    <w:rsid w:val="00867B95"/>
    <w:rsid w:val="00867C51"/>
    <w:rsid w:val="00867EB1"/>
    <w:rsid w:val="00867FE7"/>
    <w:rsid w:val="0087025E"/>
    <w:rsid w:val="0087027E"/>
    <w:rsid w:val="00870412"/>
    <w:rsid w:val="00870414"/>
    <w:rsid w:val="0087049B"/>
    <w:rsid w:val="00870585"/>
    <w:rsid w:val="00870652"/>
    <w:rsid w:val="00870690"/>
    <w:rsid w:val="00870866"/>
    <w:rsid w:val="008709B6"/>
    <w:rsid w:val="008709F3"/>
    <w:rsid w:val="00870B5B"/>
    <w:rsid w:val="00870D83"/>
    <w:rsid w:val="00870E23"/>
    <w:rsid w:val="00870E8E"/>
    <w:rsid w:val="0087117F"/>
    <w:rsid w:val="008711E8"/>
    <w:rsid w:val="008711F8"/>
    <w:rsid w:val="0087125B"/>
    <w:rsid w:val="00871266"/>
    <w:rsid w:val="008712B5"/>
    <w:rsid w:val="008712D8"/>
    <w:rsid w:val="00871364"/>
    <w:rsid w:val="0087146E"/>
    <w:rsid w:val="008714C9"/>
    <w:rsid w:val="008715D0"/>
    <w:rsid w:val="008715F6"/>
    <w:rsid w:val="00871659"/>
    <w:rsid w:val="008717CD"/>
    <w:rsid w:val="00871841"/>
    <w:rsid w:val="00871848"/>
    <w:rsid w:val="00871910"/>
    <w:rsid w:val="00871AC5"/>
    <w:rsid w:val="00871B4C"/>
    <w:rsid w:val="00871B73"/>
    <w:rsid w:val="00871C13"/>
    <w:rsid w:val="00871D0D"/>
    <w:rsid w:val="00871D89"/>
    <w:rsid w:val="00871DBF"/>
    <w:rsid w:val="00871DD2"/>
    <w:rsid w:val="00871E0A"/>
    <w:rsid w:val="00871E9D"/>
    <w:rsid w:val="00871EAF"/>
    <w:rsid w:val="0087212A"/>
    <w:rsid w:val="008722AF"/>
    <w:rsid w:val="008724A6"/>
    <w:rsid w:val="008724B6"/>
    <w:rsid w:val="008724C8"/>
    <w:rsid w:val="00872537"/>
    <w:rsid w:val="00872628"/>
    <w:rsid w:val="00872708"/>
    <w:rsid w:val="00872723"/>
    <w:rsid w:val="0087279E"/>
    <w:rsid w:val="008727A9"/>
    <w:rsid w:val="008727E0"/>
    <w:rsid w:val="00872854"/>
    <w:rsid w:val="00872899"/>
    <w:rsid w:val="0087292A"/>
    <w:rsid w:val="008729A2"/>
    <w:rsid w:val="00872A20"/>
    <w:rsid w:val="00872A9C"/>
    <w:rsid w:val="00872B6E"/>
    <w:rsid w:val="00872B92"/>
    <w:rsid w:val="00872D64"/>
    <w:rsid w:val="00872E43"/>
    <w:rsid w:val="00872F2B"/>
    <w:rsid w:val="00872F58"/>
    <w:rsid w:val="00872FC1"/>
    <w:rsid w:val="00872FF7"/>
    <w:rsid w:val="00873010"/>
    <w:rsid w:val="0087302A"/>
    <w:rsid w:val="008730DB"/>
    <w:rsid w:val="00873187"/>
    <w:rsid w:val="008731B0"/>
    <w:rsid w:val="008732BA"/>
    <w:rsid w:val="008733C0"/>
    <w:rsid w:val="008734CF"/>
    <w:rsid w:val="0087358C"/>
    <w:rsid w:val="0087359C"/>
    <w:rsid w:val="008735A7"/>
    <w:rsid w:val="008736FD"/>
    <w:rsid w:val="0087379E"/>
    <w:rsid w:val="008737AB"/>
    <w:rsid w:val="008738EA"/>
    <w:rsid w:val="00873A24"/>
    <w:rsid w:val="00873A34"/>
    <w:rsid w:val="00873A78"/>
    <w:rsid w:val="00873B00"/>
    <w:rsid w:val="00873B4C"/>
    <w:rsid w:val="00873B73"/>
    <w:rsid w:val="00873B83"/>
    <w:rsid w:val="00873BB3"/>
    <w:rsid w:val="00873C6E"/>
    <w:rsid w:val="00873E27"/>
    <w:rsid w:val="00873E5F"/>
    <w:rsid w:val="00873E90"/>
    <w:rsid w:val="00873EC3"/>
    <w:rsid w:val="00873EE3"/>
    <w:rsid w:val="00873F51"/>
    <w:rsid w:val="00874000"/>
    <w:rsid w:val="0087402D"/>
    <w:rsid w:val="00874060"/>
    <w:rsid w:val="00874095"/>
    <w:rsid w:val="008742DA"/>
    <w:rsid w:val="0087435C"/>
    <w:rsid w:val="00874436"/>
    <w:rsid w:val="0087451F"/>
    <w:rsid w:val="008745D4"/>
    <w:rsid w:val="00874604"/>
    <w:rsid w:val="00874609"/>
    <w:rsid w:val="00874673"/>
    <w:rsid w:val="008746D0"/>
    <w:rsid w:val="008746E5"/>
    <w:rsid w:val="008748AD"/>
    <w:rsid w:val="008748BE"/>
    <w:rsid w:val="008749C6"/>
    <w:rsid w:val="00874AB9"/>
    <w:rsid w:val="00874DE9"/>
    <w:rsid w:val="00874FF7"/>
    <w:rsid w:val="008750EA"/>
    <w:rsid w:val="00875112"/>
    <w:rsid w:val="00875333"/>
    <w:rsid w:val="00875459"/>
    <w:rsid w:val="008754F5"/>
    <w:rsid w:val="0087556B"/>
    <w:rsid w:val="00875572"/>
    <w:rsid w:val="00875636"/>
    <w:rsid w:val="00875654"/>
    <w:rsid w:val="008756C5"/>
    <w:rsid w:val="00875722"/>
    <w:rsid w:val="00875740"/>
    <w:rsid w:val="008757C6"/>
    <w:rsid w:val="008758D6"/>
    <w:rsid w:val="00875974"/>
    <w:rsid w:val="008759DA"/>
    <w:rsid w:val="00875A99"/>
    <w:rsid w:val="00875B05"/>
    <w:rsid w:val="00875B37"/>
    <w:rsid w:val="00875CBF"/>
    <w:rsid w:val="00875D58"/>
    <w:rsid w:val="00875D95"/>
    <w:rsid w:val="00875E74"/>
    <w:rsid w:val="00875E7C"/>
    <w:rsid w:val="00875E8F"/>
    <w:rsid w:val="00875EDC"/>
    <w:rsid w:val="00875EDE"/>
    <w:rsid w:val="00876013"/>
    <w:rsid w:val="0087608B"/>
    <w:rsid w:val="008760D2"/>
    <w:rsid w:val="008761BF"/>
    <w:rsid w:val="008761D7"/>
    <w:rsid w:val="0087620A"/>
    <w:rsid w:val="0087621C"/>
    <w:rsid w:val="008762A0"/>
    <w:rsid w:val="008762E9"/>
    <w:rsid w:val="0087632F"/>
    <w:rsid w:val="0087634F"/>
    <w:rsid w:val="00876464"/>
    <w:rsid w:val="00876611"/>
    <w:rsid w:val="00876629"/>
    <w:rsid w:val="008766E0"/>
    <w:rsid w:val="00876729"/>
    <w:rsid w:val="00876774"/>
    <w:rsid w:val="008767F7"/>
    <w:rsid w:val="00876A51"/>
    <w:rsid w:val="00876A65"/>
    <w:rsid w:val="00876AC7"/>
    <w:rsid w:val="00876BED"/>
    <w:rsid w:val="00876C8A"/>
    <w:rsid w:val="00876CFC"/>
    <w:rsid w:val="00876E1B"/>
    <w:rsid w:val="00876F46"/>
    <w:rsid w:val="00876F95"/>
    <w:rsid w:val="00876FA4"/>
    <w:rsid w:val="00877035"/>
    <w:rsid w:val="00877093"/>
    <w:rsid w:val="008770D1"/>
    <w:rsid w:val="00877259"/>
    <w:rsid w:val="008772A0"/>
    <w:rsid w:val="00877368"/>
    <w:rsid w:val="0087736F"/>
    <w:rsid w:val="0087738A"/>
    <w:rsid w:val="00877468"/>
    <w:rsid w:val="008774B3"/>
    <w:rsid w:val="00877510"/>
    <w:rsid w:val="00877522"/>
    <w:rsid w:val="0087754E"/>
    <w:rsid w:val="008776F7"/>
    <w:rsid w:val="00877779"/>
    <w:rsid w:val="008777A1"/>
    <w:rsid w:val="00877849"/>
    <w:rsid w:val="0087784F"/>
    <w:rsid w:val="008778BD"/>
    <w:rsid w:val="008778D6"/>
    <w:rsid w:val="0087792D"/>
    <w:rsid w:val="008779E8"/>
    <w:rsid w:val="00877B1D"/>
    <w:rsid w:val="00877B87"/>
    <w:rsid w:val="00877C12"/>
    <w:rsid w:val="00877C85"/>
    <w:rsid w:val="00877E06"/>
    <w:rsid w:val="00877E08"/>
    <w:rsid w:val="00877E1A"/>
    <w:rsid w:val="00877EA1"/>
    <w:rsid w:val="00877EE2"/>
    <w:rsid w:val="00880150"/>
    <w:rsid w:val="008801EE"/>
    <w:rsid w:val="00880269"/>
    <w:rsid w:val="0088028F"/>
    <w:rsid w:val="008802B7"/>
    <w:rsid w:val="008803A2"/>
    <w:rsid w:val="008803B7"/>
    <w:rsid w:val="008803DA"/>
    <w:rsid w:val="00880463"/>
    <w:rsid w:val="008804FA"/>
    <w:rsid w:val="0088052A"/>
    <w:rsid w:val="008805B8"/>
    <w:rsid w:val="008805BF"/>
    <w:rsid w:val="00880611"/>
    <w:rsid w:val="008806F6"/>
    <w:rsid w:val="00880761"/>
    <w:rsid w:val="0088076C"/>
    <w:rsid w:val="0088091B"/>
    <w:rsid w:val="008809F3"/>
    <w:rsid w:val="00880CE4"/>
    <w:rsid w:val="00880D51"/>
    <w:rsid w:val="00880FD1"/>
    <w:rsid w:val="008810E8"/>
    <w:rsid w:val="008810EE"/>
    <w:rsid w:val="008810F2"/>
    <w:rsid w:val="008811DE"/>
    <w:rsid w:val="008811F1"/>
    <w:rsid w:val="00881283"/>
    <w:rsid w:val="00881482"/>
    <w:rsid w:val="00881500"/>
    <w:rsid w:val="0088160D"/>
    <w:rsid w:val="008816AF"/>
    <w:rsid w:val="008816B5"/>
    <w:rsid w:val="00881797"/>
    <w:rsid w:val="0088182D"/>
    <w:rsid w:val="008818A9"/>
    <w:rsid w:val="008819F6"/>
    <w:rsid w:val="00881A63"/>
    <w:rsid w:val="00881A9B"/>
    <w:rsid w:val="00881B12"/>
    <w:rsid w:val="00881C18"/>
    <w:rsid w:val="00881E96"/>
    <w:rsid w:val="00881F5A"/>
    <w:rsid w:val="00881FB1"/>
    <w:rsid w:val="008821EE"/>
    <w:rsid w:val="008821F5"/>
    <w:rsid w:val="008823D8"/>
    <w:rsid w:val="008823FA"/>
    <w:rsid w:val="00882479"/>
    <w:rsid w:val="008824F7"/>
    <w:rsid w:val="008825AF"/>
    <w:rsid w:val="008827D2"/>
    <w:rsid w:val="00882A7F"/>
    <w:rsid w:val="00882ABF"/>
    <w:rsid w:val="00882C18"/>
    <w:rsid w:val="00882C45"/>
    <w:rsid w:val="00882D2E"/>
    <w:rsid w:val="00882EFD"/>
    <w:rsid w:val="00882F34"/>
    <w:rsid w:val="00883009"/>
    <w:rsid w:val="0088304A"/>
    <w:rsid w:val="00883055"/>
    <w:rsid w:val="00883085"/>
    <w:rsid w:val="00883111"/>
    <w:rsid w:val="008831B0"/>
    <w:rsid w:val="008832E4"/>
    <w:rsid w:val="00883309"/>
    <w:rsid w:val="00883319"/>
    <w:rsid w:val="008833AD"/>
    <w:rsid w:val="0088375B"/>
    <w:rsid w:val="00883A0D"/>
    <w:rsid w:val="00883A5F"/>
    <w:rsid w:val="00883A6F"/>
    <w:rsid w:val="00883AA2"/>
    <w:rsid w:val="00883ACF"/>
    <w:rsid w:val="00883AEB"/>
    <w:rsid w:val="00883B38"/>
    <w:rsid w:val="00883C39"/>
    <w:rsid w:val="00883C51"/>
    <w:rsid w:val="00883CA6"/>
    <w:rsid w:val="00883D08"/>
    <w:rsid w:val="00883D7B"/>
    <w:rsid w:val="00883DF7"/>
    <w:rsid w:val="00883EAF"/>
    <w:rsid w:val="00883EDF"/>
    <w:rsid w:val="008840E9"/>
    <w:rsid w:val="00884200"/>
    <w:rsid w:val="00884253"/>
    <w:rsid w:val="0088429E"/>
    <w:rsid w:val="0088430B"/>
    <w:rsid w:val="00884381"/>
    <w:rsid w:val="00884413"/>
    <w:rsid w:val="00884519"/>
    <w:rsid w:val="008845EE"/>
    <w:rsid w:val="008846F7"/>
    <w:rsid w:val="0088485E"/>
    <w:rsid w:val="0088488E"/>
    <w:rsid w:val="0088490F"/>
    <w:rsid w:val="0088494D"/>
    <w:rsid w:val="00884968"/>
    <w:rsid w:val="00884A96"/>
    <w:rsid w:val="00884AB1"/>
    <w:rsid w:val="00884AE9"/>
    <w:rsid w:val="00884B8D"/>
    <w:rsid w:val="00884CF1"/>
    <w:rsid w:val="00884D36"/>
    <w:rsid w:val="00884F88"/>
    <w:rsid w:val="0088510A"/>
    <w:rsid w:val="00885222"/>
    <w:rsid w:val="00885265"/>
    <w:rsid w:val="0088531D"/>
    <w:rsid w:val="008853E7"/>
    <w:rsid w:val="008854C8"/>
    <w:rsid w:val="0088558A"/>
    <w:rsid w:val="008855D2"/>
    <w:rsid w:val="008855EA"/>
    <w:rsid w:val="00885751"/>
    <w:rsid w:val="00885798"/>
    <w:rsid w:val="0088581A"/>
    <w:rsid w:val="008858C7"/>
    <w:rsid w:val="008858DE"/>
    <w:rsid w:val="008859E7"/>
    <w:rsid w:val="00885A47"/>
    <w:rsid w:val="00885AE0"/>
    <w:rsid w:val="00885AE1"/>
    <w:rsid w:val="00885AF1"/>
    <w:rsid w:val="00885C04"/>
    <w:rsid w:val="00885C39"/>
    <w:rsid w:val="00885C3A"/>
    <w:rsid w:val="00885DB6"/>
    <w:rsid w:val="00885F0E"/>
    <w:rsid w:val="00885F62"/>
    <w:rsid w:val="00885FBF"/>
    <w:rsid w:val="00885FC0"/>
    <w:rsid w:val="00885FE6"/>
    <w:rsid w:val="00886060"/>
    <w:rsid w:val="00886250"/>
    <w:rsid w:val="008862AA"/>
    <w:rsid w:val="008862C8"/>
    <w:rsid w:val="008863FD"/>
    <w:rsid w:val="00886512"/>
    <w:rsid w:val="00886531"/>
    <w:rsid w:val="008865E1"/>
    <w:rsid w:val="008866E6"/>
    <w:rsid w:val="008866F4"/>
    <w:rsid w:val="00886768"/>
    <w:rsid w:val="008867E7"/>
    <w:rsid w:val="008867EB"/>
    <w:rsid w:val="00886956"/>
    <w:rsid w:val="0088697A"/>
    <w:rsid w:val="00886A7E"/>
    <w:rsid w:val="00886AEB"/>
    <w:rsid w:val="00886BF5"/>
    <w:rsid w:val="00886F33"/>
    <w:rsid w:val="00886FA3"/>
    <w:rsid w:val="00887170"/>
    <w:rsid w:val="00887197"/>
    <w:rsid w:val="008871A3"/>
    <w:rsid w:val="008872F2"/>
    <w:rsid w:val="00887351"/>
    <w:rsid w:val="00887377"/>
    <w:rsid w:val="008874BF"/>
    <w:rsid w:val="0088756E"/>
    <w:rsid w:val="00887665"/>
    <w:rsid w:val="008877C3"/>
    <w:rsid w:val="0088787A"/>
    <w:rsid w:val="0088788D"/>
    <w:rsid w:val="008878F2"/>
    <w:rsid w:val="0088798F"/>
    <w:rsid w:val="008879C9"/>
    <w:rsid w:val="00887A02"/>
    <w:rsid w:val="00887A3C"/>
    <w:rsid w:val="00887AB1"/>
    <w:rsid w:val="00887B9C"/>
    <w:rsid w:val="00887BED"/>
    <w:rsid w:val="00887C2F"/>
    <w:rsid w:val="00887E71"/>
    <w:rsid w:val="00887F7D"/>
    <w:rsid w:val="00890053"/>
    <w:rsid w:val="00890134"/>
    <w:rsid w:val="008901BB"/>
    <w:rsid w:val="0089032D"/>
    <w:rsid w:val="008903C9"/>
    <w:rsid w:val="008903F6"/>
    <w:rsid w:val="00890445"/>
    <w:rsid w:val="0089050A"/>
    <w:rsid w:val="0089050C"/>
    <w:rsid w:val="00890559"/>
    <w:rsid w:val="00890562"/>
    <w:rsid w:val="00890665"/>
    <w:rsid w:val="0089069F"/>
    <w:rsid w:val="008906BF"/>
    <w:rsid w:val="0089074A"/>
    <w:rsid w:val="008907A6"/>
    <w:rsid w:val="008907D4"/>
    <w:rsid w:val="0089085F"/>
    <w:rsid w:val="00890871"/>
    <w:rsid w:val="008908B6"/>
    <w:rsid w:val="00890ADA"/>
    <w:rsid w:val="00890B03"/>
    <w:rsid w:val="00890B3E"/>
    <w:rsid w:val="00890B81"/>
    <w:rsid w:val="00890C82"/>
    <w:rsid w:val="00890D44"/>
    <w:rsid w:val="00890DBA"/>
    <w:rsid w:val="00890DC7"/>
    <w:rsid w:val="00890FE1"/>
    <w:rsid w:val="00890FF1"/>
    <w:rsid w:val="0089109C"/>
    <w:rsid w:val="00891115"/>
    <w:rsid w:val="00891172"/>
    <w:rsid w:val="0089124C"/>
    <w:rsid w:val="00891308"/>
    <w:rsid w:val="008913D2"/>
    <w:rsid w:val="008913E7"/>
    <w:rsid w:val="00891437"/>
    <w:rsid w:val="0089145F"/>
    <w:rsid w:val="0089146C"/>
    <w:rsid w:val="0089179F"/>
    <w:rsid w:val="008917D0"/>
    <w:rsid w:val="00891837"/>
    <w:rsid w:val="0089186F"/>
    <w:rsid w:val="008918B9"/>
    <w:rsid w:val="008918CC"/>
    <w:rsid w:val="0089193F"/>
    <w:rsid w:val="008919D2"/>
    <w:rsid w:val="008919F4"/>
    <w:rsid w:val="00891A5D"/>
    <w:rsid w:val="00891AFF"/>
    <w:rsid w:val="00891BAC"/>
    <w:rsid w:val="00891D15"/>
    <w:rsid w:val="00891F1A"/>
    <w:rsid w:val="00891F44"/>
    <w:rsid w:val="00891F71"/>
    <w:rsid w:val="00892000"/>
    <w:rsid w:val="0089202D"/>
    <w:rsid w:val="0089208B"/>
    <w:rsid w:val="0089209D"/>
    <w:rsid w:val="008920D7"/>
    <w:rsid w:val="0089214B"/>
    <w:rsid w:val="0089218A"/>
    <w:rsid w:val="0089223F"/>
    <w:rsid w:val="00892281"/>
    <w:rsid w:val="00892309"/>
    <w:rsid w:val="008923BC"/>
    <w:rsid w:val="00892439"/>
    <w:rsid w:val="00892451"/>
    <w:rsid w:val="008924D0"/>
    <w:rsid w:val="00892622"/>
    <w:rsid w:val="0089267B"/>
    <w:rsid w:val="008926FC"/>
    <w:rsid w:val="0089275C"/>
    <w:rsid w:val="00892797"/>
    <w:rsid w:val="008927AF"/>
    <w:rsid w:val="008928E0"/>
    <w:rsid w:val="00892968"/>
    <w:rsid w:val="00892970"/>
    <w:rsid w:val="0089298F"/>
    <w:rsid w:val="008929CC"/>
    <w:rsid w:val="00892AD8"/>
    <w:rsid w:val="00892BF1"/>
    <w:rsid w:val="00892BFB"/>
    <w:rsid w:val="00892D5C"/>
    <w:rsid w:val="00892E52"/>
    <w:rsid w:val="00892F9C"/>
    <w:rsid w:val="008930C5"/>
    <w:rsid w:val="008931CD"/>
    <w:rsid w:val="0089332B"/>
    <w:rsid w:val="008934A5"/>
    <w:rsid w:val="008935BF"/>
    <w:rsid w:val="008935CB"/>
    <w:rsid w:val="00893620"/>
    <w:rsid w:val="008936B0"/>
    <w:rsid w:val="008936B2"/>
    <w:rsid w:val="0089397A"/>
    <w:rsid w:val="008939CC"/>
    <w:rsid w:val="00893A34"/>
    <w:rsid w:val="00893AA3"/>
    <w:rsid w:val="00893ADD"/>
    <w:rsid w:val="00893B47"/>
    <w:rsid w:val="00893BA1"/>
    <w:rsid w:val="00893C8E"/>
    <w:rsid w:val="00893CC6"/>
    <w:rsid w:val="00893D28"/>
    <w:rsid w:val="00893E21"/>
    <w:rsid w:val="00893EBC"/>
    <w:rsid w:val="00893F86"/>
    <w:rsid w:val="00893FE8"/>
    <w:rsid w:val="008940D3"/>
    <w:rsid w:val="008940E5"/>
    <w:rsid w:val="0089420C"/>
    <w:rsid w:val="00894244"/>
    <w:rsid w:val="0089426F"/>
    <w:rsid w:val="008943CF"/>
    <w:rsid w:val="00894687"/>
    <w:rsid w:val="00894790"/>
    <w:rsid w:val="008947B3"/>
    <w:rsid w:val="008947DB"/>
    <w:rsid w:val="0089488D"/>
    <w:rsid w:val="00894896"/>
    <w:rsid w:val="00894CB3"/>
    <w:rsid w:val="00894CB4"/>
    <w:rsid w:val="00894D02"/>
    <w:rsid w:val="00894D2D"/>
    <w:rsid w:val="00894DED"/>
    <w:rsid w:val="0089506B"/>
    <w:rsid w:val="008950C1"/>
    <w:rsid w:val="008950C6"/>
    <w:rsid w:val="00895185"/>
    <w:rsid w:val="00895247"/>
    <w:rsid w:val="00895273"/>
    <w:rsid w:val="0089535F"/>
    <w:rsid w:val="00895377"/>
    <w:rsid w:val="00895548"/>
    <w:rsid w:val="008956F9"/>
    <w:rsid w:val="008956FA"/>
    <w:rsid w:val="00895828"/>
    <w:rsid w:val="0089587B"/>
    <w:rsid w:val="00895933"/>
    <w:rsid w:val="0089595C"/>
    <w:rsid w:val="00895A11"/>
    <w:rsid w:val="00895A8C"/>
    <w:rsid w:val="00895BD3"/>
    <w:rsid w:val="00895CD9"/>
    <w:rsid w:val="00895E16"/>
    <w:rsid w:val="00895F8A"/>
    <w:rsid w:val="00896170"/>
    <w:rsid w:val="0089618C"/>
    <w:rsid w:val="008961F5"/>
    <w:rsid w:val="00896232"/>
    <w:rsid w:val="00896259"/>
    <w:rsid w:val="008962AB"/>
    <w:rsid w:val="00896386"/>
    <w:rsid w:val="0089638F"/>
    <w:rsid w:val="008963C8"/>
    <w:rsid w:val="0089640E"/>
    <w:rsid w:val="00896440"/>
    <w:rsid w:val="00896448"/>
    <w:rsid w:val="00896524"/>
    <w:rsid w:val="00896549"/>
    <w:rsid w:val="00896748"/>
    <w:rsid w:val="0089678C"/>
    <w:rsid w:val="00896826"/>
    <w:rsid w:val="0089684C"/>
    <w:rsid w:val="008968C0"/>
    <w:rsid w:val="008968CD"/>
    <w:rsid w:val="00896996"/>
    <w:rsid w:val="00896A9A"/>
    <w:rsid w:val="00896B16"/>
    <w:rsid w:val="00896BC3"/>
    <w:rsid w:val="00896CFA"/>
    <w:rsid w:val="00896D51"/>
    <w:rsid w:val="00896EAB"/>
    <w:rsid w:val="00896F01"/>
    <w:rsid w:val="00896F23"/>
    <w:rsid w:val="00897137"/>
    <w:rsid w:val="00897149"/>
    <w:rsid w:val="008972F3"/>
    <w:rsid w:val="008972F6"/>
    <w:rsid w:val="0089732A"/>
    <w:rsid w:val="00897331"/>
    <w:rsid w:val="00897413"/>
    <w:rsid w:val="00897492"/>
    <w:rsid w:val="00897503"/>
    <w:rsid w:val="00897699"/>
    <w:rsid w:val="008976D7"/>
    <w:rsid w:val="00897702"/>
    <w:rsid w:val="00897772"/>
    <w:rsid w:val="008978B8"/>
    <w:rsid w:val="0089794E"/>
    <w:rsid w:val="0089796A"/>
    <w:rsid w:val="0089797A"/>
    <w:rsid w:val="00897A98"/>
    <w:rsid w:val="00897B51"/>
    <w:rsid w:val="00897B88"/>
    <w:rsid w:val="00897B89"/>
    <w:rsid w:val="00897BCA"/>
    <w:rsid w:val="00897CAA"/>
    <w:rsid w:val="00897CFA"/>
    <w:rsid w:val="00897DB3"/>
    <w:rsid w:val="00897DFE"/>
    <w:rsid w:val="008A003A"/>
    <w:rsid w:val="008A0073"/>
    <w:rsid w:val="008A0136"/>
    <w:rsid w:val="008A0285"/>
    <w:rsid w:val="008A02C7"/>
    <w:rsid w:val="008A0331"/>
    <w:rsid w:val="008A035C"/>
    <w:rsid w:val="008A0395"/>
    <w:rsid w:val="008A03CA"/>
    <w:rsid w:val="008A0406"/>
    <w:rsid w:val="008A04C9"/>
    <w:rsid w:val="008A054D"/>
    <w:rsid w:val="008A077E"/>
    <w:rsid w:val="008A0780"/>
    <w:rsid w:val="008A0957"/>
    <w:rsid w:val="008A099C"/>
    <w:rsid w:val="008A09A3"/>
    <w:rsid w:val="008A09B8"/>
    <w:rsid w:val="008A0A52"/>
    <w:rsid w:val="008A0AA9"/>
    <w:rsid w:val="008A0AC8"/>
    <w:rsid w:val="008A0AD9"/>
    <w:rsid w:val="008A0AFE"/>
    <w:rsid w:val="008A0B30"/>
    <w:rsid w:val="008A0C5B"/>
    <w:rsid w:val="008A0CB6"/>
    <w:rsid w:val="008A0E2A"/>
    <w:rsid w:val="008A108D"/>
    <w:rsid w:val="008A109D"/>
    <w:rsid w:val="008A10E8"/>
    <w:rsid w:val="008A1175"/>
    <w:rsid w:val="008A11DA"/>
    <w:rsid w:val="008A1257"/>
    <w:rsid w:val="008A12FB"/>
    <w:rsid w:val="008A1370"/>
    <w:rsid w:val="008A13C1"/>
    <w:rsid w:val="008A141D"/>
    <w:rsid w:val="008A1490"/>
    <w:rsid w:val="008A14F4"/>
    <w:rsid w:val="008A1500"/>
    <w:rsid w:val="008A1558"/>
    <w:rsid w:val="008A1599"/>
    <w:rsid w:val="008A1658"/>
    <w:rsid w:val="008A167D"/>
    <w:rsid w:val="008A16D8"/>
    <w:rsid w:val="008A17B9"/>
    <w:rsid w:val="008A1867"/>
    <w:rsid w:val="008A18C1"/>
    <w:rsid w:val="008A195B"/>
    <w:rsid w:val="008A19EF"/>
    <w:rsid w:val="008A1A0C"/>
    <w:rsid w:val="008A1A97"/>
    <w:rsid w:val="008A1A9E"/>
    <w:rsid w:val="008A1AB2"/>
    <w:rsid w:val="008A1B2F"/>
    <w:rsid w:val="008A1D00"/>
    <w:rsid w:val="008A1DA9"/>
    <w:rsid w:val="008A1F42"/>
    <w:rsid w:val="008A2047"/>
    <w:rsid w:val="008A2099"/>
    <w:rsid w:val="008A20E1"/>
    <w:rsid w:val="008A20F3"/>
    <w:rsid w:val="008A22A5"/>
    <w:rsid w:val="008A2338"/>
    <w:rsid w:val="008A27F5"/>
    <w:rsid w:val="008A2A27"/>
    <w:rsid w:val="008A2B91"/>
    <w:rsid w:val="008A2BF2"/>
    <w:rsid w:val="008A2E9A"/>
    <w:rsid w:val="008A2EAC"/>
    <w:rsid w:val="008A2F22"/>
    <w:rsid w:val="008A3158"/>
    <w:rsid w:val="008A319C"/>
    <w:rsid w:val="008A31E6"/>
    <w:rsid w:val="008A3209"/>
    <w:rsid w:val="008A3269"/>
    <w:rsid w:val="008A3291"/>
    <w:rsid w:val="008A32EE"/>
    <w:rsid w:val="008A339B"/>
    <w:rsid w:val="008A33A8"/>
    <w:rsid w:val="008A341B"/>
    <w:rsid w:val="008A3456"/>
    <w:rsid w:val="008A3457"/>
    <w:rsid w:val="008A36CF"/>
    <w:rsid w:val="008A39AB"/>
    <w:rsid w:val="008A39F2"/>
    <w:rsid w:val="008A3A32"/>
    <w:rsid w:val="008A3AD6"/>
    <w:rsid w:val="008A3D79"/>
    <w:rsid w:val="008A3DA6"/>
    <w:rsid w:val="008A3E62"/>
    <w:rsid w:val="008A3F8A"/>
    <w:rsid w:val="008A3FBB"/>
    <w:rsid w:val="008A3FDC"/>
    <w:rsid w:val="008A40CC"/>
    <w:rsid w:val="008A43A5"/>
    <w:rsid w:val="008A443D"/>
    <w:rsid w:val="008A4449"/>
    <w:rsid w:val="008A44E3"/>
    <w:rsid w:val="008A45A2"/>
    <w:rsid w:val="008A4621"/>
    <w:rsid w:val="008A479E"/>
    <w:rsid w:val="008A47A0"/>
    <w:rsid w:val="008A47FB"/>
    <w:rsid w:val="008A492C"/>
    <w:rsid w:val="008A496B"/>
    <w:rsid w:val="008A4977"/>
    <w:rsid w:val="008A4980"/>
    <w:rsid w:val="008A49FC"/>
    <w:rsid w:val="008A4AAC"/>
    <w:rsid w:val="008A4B7D"/>
    <w:rsid w:val="008A4B8B"/>
    <w:rsid w:val="008A4B91"/>
    <w:rsid w:val="008A4C1A"/>
    <w:rsid w:val="008A4D88"/>
    <w:rsid w:val="008A4D8B"/>
    <w:rsid w:val="008A4EA3"/>
    <w:rsid w:val="008A4EDD"/>
    <w:rsid w:val="008A4F8D"/>
    <w:rsid w:val="008A4FD0"/>
    <w:rsid w:val="008A503A"/>
    <w:rsid w:val="008A503B"/>
    <w:rsid w:val="008A504B"/>
    <w:rsid w:val="008A51CC"/>
    <w:rsid w:val="008A5460"/>
    <w:rsid w:val="008A5555"/>
    <w:rsid w:val="008A5578"/>
    <w:rsid w:val="008A558E"/>
    <w:rsid w:val="008A55F4"/>
    <w:rsid w:val="008A56B5"/>
    <w:rsid w:val="008A56F1"/>
    <w:rsid w:val="008A582D"/>
    <w:rsid w:val="008A5906"/>
    <w:rsid w:val="008A5910"/>
    <w:rsid w:val="008A5989"/>
    <w:rsid w:val="008A59DB"/>
    <w:rsid w:val="008A5B6C"/>
    <w:rsid w:val="008A5B91"/>
    <w:rsid w:val="008A5BD5"/>
    <w:rsid w:val="008A5C02"/>
    <w:rsid w:val="008A5C53"/>
    <w:rsid w:val="008A5C77"/>
    <w:rsid w:val="008A5CBF"/>
    <w:rsid w:val="008A5D62"/>
    <w:rsid w:val="008A5D73"/>
    <w:rsid w:val="008A5D7C"/>
    <w:rsid w:val="008A5E40"/>
    <w:rsid w:val="008A5F20"/>
    <w:rsid w:val="008A5F61"/>
    <w:rsid w:val="008A5FDD"/>
    <w:rsid w:val="008A6019"/>
    <w:rsid w:val="008A60E3"/>
    <w:rsid w:val="008A6155"/>
    <w:rsid w:val="008A6493"/>
    <w:rsid w:val="008A6628"/>
    <w:rsid w:val="008A6671"/>
    <w:rsid w:val="008A6773"/>
    <w:rsid w:val="008A68E7"/>
    <w:rsid w:val="008A6955"/>
    <w:rsid w:val="008A6AC7"/>
    <w:rsid w:val="008A6BD1"/>
    <w:rsid w:val="008A6CFD"/>
    <w:rsid w:val="008A6E26"/>
    <w:rsid w:val="008A6E79"/>
    <w:rsid w:val="008A6E80"/>
    <w:rsid w:val="008A6F3A"/>
    <w:rsid w:val="008A6F58"/>
    <w:rsid w:val="008A6F9B"/>
    <w:rsid w:val="008A7046"/>
    <w:rsid w:val="008A7077"/>
    <w:rsid w:val="008A70B9"/>
    <w:rsid w:val="008A725D"/>
    <w:rsid w:val="008A72FE"/>
    <w:rsid w:val="008A736E"/>
    <w:rsid w:val="008A738C"/>
    <w:rsid w:val="008A73FE"/>
    <w:rsid w:val="008A752A"/>
    <w:rsid w:val="008A7581"/>
    <w:rsid w:val="008A7712"/>
    <w:rsid w:val="008A776E"/>
    <w:rsid w:val="008A77B2"/>
    <w:rsid w:val="008A780E"/>
    <w:rsid w:val="008A7A04"/>
    <w:rsid w:val="008A7A51"/>
    <w:rsid w:val="008A7AD2"/>
    <w:rsid w:val="008A7C1B"/>
    <w:rsid w:val="008A7C29"/>
    <w:rsid w:val="008A7C4D"/>
    <w:rsid w:val="008A7C9A"/>
    <w:rsid w:val="008A7CEA"/>
    <w:rsid w:val="008A7D81"/>
    <w:rsid w:val="008A7DEE"/>
    <w:rsid w:val="008A7E01"/>
    <w:rsid w:val="008B0015"/>
    <w:rsid w:val="008B001D"/>
    <w:rsid w:val="008B00AD"/>
    <w:rsid w:val="008B00AE"/>
    <w:rsid w:val="008B02F4"/>
    <w:rsid w:val="008B0326"/>
    <w:rsid w:val="008B035B"/>
    <w:rsid w:val="008B04CA"/>
    <w:rsid w:val="008B050F"/>
    <w:rsid w:val="008B0577"/>
    <w:rsid w:val="008B0645"/>
    <w:rsid w:val="008B0647"/>
    <w:rsid w:val="008B0648"/>
    <w:rsid w:val="008B072D"/>
    <w:rsid w:val="008B081C"/>
    <w:rsid w:val="008B0870"/>
    <w:rsid w:val="008B08A3"/>
    <w:rsid w:val="008B08F7"/>
    <w:rsid w:val="008B08F8"/>
    <w:rsid w:val="008B0944"/>
    <w:rsid w:val="008B09B3"/>
    <w:rsid w:val="008B09D5"/>
    <w:rsid w:val="008B0A28"/>
    <w:rsid w:val="008B0D5C"/>
    <w:rsid w:val="008B0E23"/>
    <w:rsid w:val="008B1087"/>
    <w:rsid w:val="008B1135"/>
    <w:rsid w:val="008B114E"/>
    <w:rsid w:val="008B115A"/>
    <w:rsid w:val="008B1167"/>
    <w:rsid w:val="008B1190"/>
    <w:rsid w:val="008B138E"/>
    <w:rsid w:val="008B139B"/>
    <w:rsid w:val="008B1410"/>
    <w:rsid w:val="008B141B"/>
    <w:rsid w:val="008B15EA"/>
    <w:rsid w:val="008B170E"/>
    <w:rsid w:val="008B176B"/>
    <w:rsid w:val="008B176D"/>
    <w:rsid w:val="008B18B2"/>
    <w:rsid w:val="008B190B"/>
    <w:rsid w:val="008B19AF"/>
    <w:rsid w:val="008B19D6"/>
    <w:rsid w:val="008B19FE"/>
    <w:rsid w:val="008B1A10"/>
    <w:rsid w:val="008B1BDA"/>
    <w:rsid w:val="008B1CC7"/>
    <w:rsid w:val="008B1E9F"/>
    <w:rsid w:val="008B1EE7"/>
    <w:rsid w:val="008B1FAA"/>
    <w:rsid w:val="008B1FDA"/>
    <w:rsid w:val="008B207C"/>
    <w:rsid w:val="008B21DD"/>
    <w:rsid w:val="008B22BF"/>
    <w:rsid w:val="008B2395"/>
    <w:rsid w:val="008B2408"/>
    <w:rsid w:val="008B2488"/>
    <w:rsid w:val="008B2576"/>
    <w:rsid w:val="008B2652"/>
    <w:rsid w:val="008B26E5"/>
    <w:rsid w:val="008B277D"/>
    <w:rsid w:val="008B27F6"/>
    <w:rsid w:val="008B2845"/>
    <w:rsid w:val="008B2B2F"/>
    <w:rsid w:val="008B2B66"/>
    <w:rsid w:val="008B2B84"/>
    <w:rsid w:val="008B2B87"/>
    <w:rsid w:val="008B2C16"/>
    <w:rsid w:val="008B2D68"/>
    <w:rsid w:val="008B2F5A"/>
    <w:rsid w:val="008B2FB9"/>
    <w:rsid w:val="008B3069"/>
    <w:rsid w:val="008B30A7"/>
    <w:rsid w:val="008B3112"/>
    <w:rsid w:val="008B3196"/>
    <w:rsid w:val="008B31AF"/>
    <w:rsid w:val="008B3290"/>
    <w:rsid w:val="008B32AB"/>
    <w:rsid w:val="008B343E"/>
    <w:rsid w:val="008B3503"/>
    <w:rsid w:val="008B356B"/>
    <w:rsid w:val="008B35B4"/>
    <w:rsid w:val="008B3603"/>
    <w:rsid w:val="008B360D"/>
    <w:rsid w:val="008B36EE"/>
    <w:rsid w:val="008B3720"/>
    <w:rsid w:val="008B376A"/>
    <w:rsid w:val="008B3775"/>
    <w:rsid w:val="008B3803"/>
    <w:rsid w:val="008B380C"/>
    <w:rsid w:val="008B386F"/>
    <w:rsid w:val="008B39BA"/>
    <w:rsid w:val="008B3A8D"/>
    <w:rsid w:val="008B3AFD"/>
    <w:rsid w:val="008B3B63"/>
    <w:rsid w:val="008B3C9D"/>
    <w:rsid w:val="008B3EFD"/>
    <w:rsid w:val="008B3F84"/>
    <w:rsid w:val="008B402C"/>
    <w:rsid w:val="008B4316"/>
    <w:rsid w:val="008B4347"/>
    <w:rsid w:val="008B44C4"/>
    <w:rsid w:val="008B4691"/>
    <w:rsid w:val="008B469D"/>
    <w:rsid w:val="008B46D3"/>
    <w:rsid w:val="008B474C"/>
    <w:rsid w:val="008B4782"/>
    <w:rsid w:val="008B47AA"/>
    <w:rsid w:val="008B4801"/>
    <w:rsid w:val="008B489A"/>
    <w:rsid w:val="008B48BF"/>
    <w:rsid w:val="008B4910"/>
    <w:rsid w:val="008B49B1"/>
    <w:rsid w:val="008B49F5"/>
    <w:rsid w:val="008B4A5B"/>
    <w:rsid w:val="008B4AA4"/>
    <w:rsid w:val="008B4AE7"/>
    <w:rsid w:val="008B4AE9"/>
    <w:rsid w:val="008B4B39"/>
    <w:rsid w:val="008B4BC5"/>
    <w:rsid w:val="008B4C2D"/>
    <w:rsid w:val="008B4C35"/>
    <w:rsid w:val="008B4C79"/>
    <w:rsid w:val="008B4C8E"/>
    <w:rsid w:val="008B4CD6"/>
    <w:rsid w:val="008B4D92"/>
    <w:rsid w:val="008B4DC4"/>
    <w:rsid w:val="008B4DEA"/>
    <w:rsid w:val="008B4E7A"/>
    <w:rsid w:val="008B4E82"/>
    <w:rsid w:val="008B4E97"/>
    <w:rsid w:val="008B4F14"/>
    <w:rsid w:val="008B4F65"/>
    <w:rsid w:val="008B4FC3"/>
    <w:rsid w:val="008B511E"/>
    <w:rsid w:val="008B514B"/>
    <w:rsid w:val="008B51E7"/>
    <w:rsid w:val="008B51F3"/>
    <w:rsid w:val="008B51FA"/>
    <w:rsid w:val="008B5338"/>
    <w:rsid w:val="008B536D"/>
    <w:rsid w:val="008B5462"/>
    <w:rsid w:val="008B5606"/>
    <w:rsid w:val="008B5637"/>
    <w:rsid w:val="008B5645"/>
    <w:rsid w:val="008B56E7"/>
    <w:rsid w:val="008B5732"/>
    <w:rsid w:val="008B574A"/>
    <w:rsid w:val="008B574D"/>
    <w:rsid w:val="008B5751"/>
    <w:rsid w:val="008B57C8"/>
    <w:rsid w:val="008B57F0"/>
    <w:rsid w:val="008B59C9"/>
    <w:rsid w:val="008B5A57"/>
    <w:rsid w:val="008B5A95"/>
    <w:rsid w:val="008B5AA8"/>
    <w:rsid w:val="008B5AAF"/>
    <w:rsid w:val="008B5B38"/>
    <w:rsid w:val="008B5CAC"/>
    <w:rsid w:val="008B5CCD"/>
    <w:rsid w:val="008B5CD4"/>
    <w:rsid w:val="008B5D3F"/>
    <w:rsid w:val="008B5DC5"/>
    <w:rsid w:val="008B5E79"/>
    <w:rsid w:val="008B5E85"/>
    <w:rsid w:val="008B604B"/>
    <w:rsid w:val="008B6129"/>
    <w:rsid w:val="008B6161"/>
    <w:rsid w:val="008B616D"/>
    <w:rsid w:val="008B61BB"/>
    <w:rsid w:val="008B6280"/>
    <w:rsid w:val="008B6289"/>
    <w:rsid w:val="008B62FC"/>
    <w:rsid w:val="008B636B"/>
    <w:rsid w:val="008B649D"/>
    <w:rsid w:val="008B64B7"/>
    <w:rsid w:val="008B64CB"/>
    <w:rsid w:val="008B65B9"/>
    <w:rsid w:val="008B65BA"/>
    <w:rsid w:val="008B65FC"/>
    <w:rsid w:val="008B6696"/>
    <w:rsid w:val="008B6788"/>
    <w:rsid w:val="008B67B9"/>
    <w:rsid w:val="008B67EB"/>
    <w:rsid w:val="008B688C"/>
    <w:rsid w:val="008B68D7"/>
    <w:rsid w:val="008B69CD"/>
    <w:rsid w:val="008B6B97"/>
    <w:rsid w:val="008B6C79"/>
    <w:rsid w:val="008B6D0F"/>
    <w:rsid w:val="008B6DA0"/>
    <w:rsid w:val="008B6DFA"/>
    <w:rsid w:val="008B6E60"/>
    <w:rsid w:val="008B6F19"/>
    <w:rsid w:val="008B6F83"/>
    <w:rsid w:val="008B7074"/>
    <w:rsid w:val="008B70EF"/>
    <w:rsid w:val="008B7100"/>
    <w:rsid w:val="008B7166"/>
    <w:rsid w:val="008B7178"/>
    <w:rsid w:val="008B7188"/>
    <w:rsid w:val="008B72D3"/>
    <w:rsid w:val="008B7363"/>
    <w:rsid w:val="008B7365"/>
    <w:rsid w:val="008B739B"/>
    <w:rsid w:val="008B73D7"/>
    <w:rsid w:val="008B7495"/>
    <w:rsid w:val="008B751B"/>
    <w:rsid w:val="008B756E"/>
    <w:rsid w:val="008B76A0"/>
    <w:rsid w:val="008B7721"/>
    <w:rsid w:val="008B7740"/>
    <w:rsid w:val="008B778C"/>
    <w:rsid w:val="008B781A"/>
    <w:rsid w:val="008B78ED"/>
    <w:rsid w:val="008B792D"/>
    <w:rsid w:val="008B793E"/>
    <w:rsid w:val="008B797A"/>
    <w:rsid w:val="008B7A9B"/>
    <w:rsid w:val="008B7AAD"/>
    <w:rsid w:val="008B7AD3"/>
    <w:rsid w:val="008B7B47"/>
    <w:rsid w:val="008B7C12"/>
    <w:rsid w:val="008B7CE1"/>
    <w:rsid w:val="008B7E1F"/>
    <w:rsid w:val="008B7E61"/>
    <w:rsid w:val="008B7E9D"/>
    <w:rsid w:val="008B7F44"/>
    <w:rsid w:val="008B7FC4"/>
    <w:rsid w:val="008C0130"/>
    <w:rsid w:val="008C020F"/>
    <w:rsid w:val="008C02BF"/>
    <w:rsid w:val="008C0522"/>
    <w:rsid w:val="008C0545"/>
    <w:rsid w:val="008C0558"/>
    <w:rsid w:val="008C0613"/>
    <w:rsid w:val="008C0618"/>
    <w:rsid w:val="008C0702"/>
    <w:rsid w:val="008C0712"/>
    <w:rsid w:val="008C07EB"/>
    <w:rsid w:val="008C080D"/>
    <w:rsid w:val="008C0837"/>
    <w:rsid w:val="008C0888"/>
    <w:rsid w:val="008C0967"/>
    <w:rsid w:val="008C0D45"/>
    <w:rsid w:val="008C0D7B"/>
    <w:rsid w:val="008C0DA1"/>
    <w:rsid w:val="008C0DC5"/>
    <w:rsid w:val="008C0DF6"/>
    <w:rsid w:val="008C0EDD"/>
    <w:rsid w:val="008C0F19"/>
    <w:rsid w:val="008C0FAA"/>
    <w:rsid w:val="008C0FEB"/>
    <w:rsid w:val="008C103B"/>
    <w:rsid w:val="008C10A2"/>
    <w:rsid w:val="008C10E9"/>
    <w:rsid w:val="008C10F5"/>
    <w:rsid w:val="008C110E"/>
    <w:rsid w:val="008C11BD"/>
    <w:rsid w:val="008C11D6"/>
    <w:rsid w:val="008C13D2"/>
    <w:rsid w:val="008C1449"/>
    <w:rsid w:val="008C14E3"/>
    <w:rsid w:val="008C14E9"/>
    <w:rsid w:val="008C1588"/>
    <w:rsid w:val="008C15AC"/>
    <w:rsid w:val="008C16AE"/>
    <w:rsid w:val="008C16CE"/>
    <w:rsid w:val="008C17D3"/>
    <w:rsid w:val="008C17F2"/>
    <w:rsid w:val="008C1865"/>
    <w:rsid w:val="008C1880"/>
    <w:rsid w:val="008C195A"/>
    <w:rsid w:val="008C19BC"/>
    <w:rsid w:val="008C1A79"/>
    <w:rsid w:val="008C1AB6"/>
    <w:rsid w:val="008C1C8F"/>
    <w:rsid w:val="008C1DBB"/>
    <w:rsid w:val="008C1DF7"/>
    <w:rsid w:val="008C1E2A"/>
    <w:rsid w:val="008C1F30"/>
    <w:rsid w:val="008C2212"/>
    <w:rsid w:val="008C22BE"/>
    <w:rsid w:val="008C22C1"/>
    <w:rsid w:val="008C22D0"/>
    <w:rsid w:val="008C22F4"/>
    <w:rsid w:val="008C2360"/>
    <w:rsid w:val="008C23E8"/>
    <w:rsid w:val="008C2419"/>
    <w:rsid w:val="008C2480"/>
    <w:rsid w:val="008C24A2"/>
    <w:rsid w:val="008C24D9"/>
    <w:rsid w:val="008C256C"/>
    <w:rsid w:val="008C2582"/>
    <w:rsid w:val="008C25C4"/>
    <w:rsid w:val="008C2605"/>
    <w:rsid w:val="008C261F"/>
    <w:rsid w:val="008C2634"/>
    <w:rsid w:val="008C2741"/>
    <w:rsid w:val="008C27F9"/>
    <w:rsid w:val="008C2854"/>
    <w:rsid w:val="008C2880"/>
    <w:rsid w:val="008C294F"/>
    <w:rsid w:val="008C2994"/>
    <w:rsid w:val="008C2A6F"/>
    <w:rsid w:val="008C2ACD"/>
    <w:rsid w:val="008C2BBF"/>
    <w:rsid w:val="008C2BFC"/>
    <w:rsid w:val="008C2C49"/>
    <w:rsid w:val="008C2CDB"/>
    <w:rsid w:val="008C2CDC"/>
    <w:rsid w:val="008C2D82"/>
    <w:rsid w:val="008C2F8D"/>
    <w:rsid w:val="008C3057"/>
    <w:rsid w:val="008C331F"/>
    <w:rsid w:val="008C3472"/>
    <w:rsid w:val="008C3540"/>
    <w:rsid w:val="008C356F"/>
    <w:rsid w:val="008C384C"/>
    <w:rsid w:val="008C38CA"/>
    <w:rsid w:val="008C39D3"/>
    <w:rsid w:val="008C3DDC"/>
    <w:rsid w:val="008C3E23"/>
    <w:rsid w:val="008C3E9F"/>
    <w:rsid w:val="008C3EA9"/>
    <w:rsid w:val="008C3F72"/>
    <w:rsid w:val="008C3FAC"/>
    <w:rsid w:val="008C3FEA"/>
    <w:rsid w:val="008C4053"/>
    <w:rsid w:val="008C408E"/>
    <w:rsid w:val="008C41B7"/>
    <w:rsid w:val="008C42B6"/>
    <w:rsid w:val="008C4386"/>
    <w:rsid w:val="008C4565"/>
    <w:rsid w:val="008C4601"/>
    <w:rsid w:val="008C467A"/>
    <w:rsid w:val="008C47E8"/>
    <w:rsid w:val="008C484D"/>
    <w:rsid w:val="008C485F"/>
    <w:rsid w:val="008C489B"/>
    <w:rsid w:val="008C4A0F"/>
    <w:rsid w:val="008C4A6C"/>
    <w:rsid w:val="008C4BEE"/>
    <w:rsid w:val="008C4C13"/>
    <w:rsid w:val="008C4C1C"/>
    <w:rsid w:val="008C4C32"/>
    <w:rsid w:val="008C4C45"/>
    <w:rsid w:val="008C4CA0"/>
    <w:rsid w:val="008C4CC3"/>
    <w:rsid w:val="008C4E91"/>
    <w:rsid w:val="008C4EBF"/>
    <w:rsid w:val="008C50BE"/>
    <w:rsid w:val="008C517A"/>
    <w:rsid w:val="008C51A6"/>
    <w:rsid w:val="008C51CF"/>
    <w:rsid w:val="008C51E3"/>
    <w:rsid w:val="008C523F"/>
    <w:rsid w:val="008C5273"/>
    <w:rsid w:val="008C547F"/>
    <w:rsid w:val="008C54D3"/>
    <w:rsid w:val="008C5536"/>
    <w:rsid w:val="008C556D"/>
    <w:rsid w:val="008C557D"/>
    <w:rsid w:val="008C5618"/>
    <w:rsid w:val="008C583B"/>
    <w:rsid w:val="008C59A1"/>
    <w:rsid w:val="008C5A94"/>
    <w:rsid w:val="008C5AE1"/>
    <w:rsid w:val="008C5B0C"/>
    <w:rsid w:val="008C5B36"/>
    <w:rsid w:val="008C5BBD"/>
    <w:rsid w:val="008C5D09"/>
    <w:rsid w:val="008C5DD0"/>
    <w:rsid w:val="008C6079"/>
    <w:rsid w:val="008C60E4"/>
    <w:rsid w:val="008C610F"/>
    <w:rsid w:val="008C65C6"/>
    <w:rsid w:val="008C66CD"/>
    <w:rsid w:val="008C66EB"/>
    <w:rsid w:val="008C66FC"/>
    <w:rsid w:val="008C671E"/>
    <w:rsid w:val="008C6728"/>
    <w:rsid w:val="008C67B0"/>
    <w:rsid w:val="008C67EC"/>
    <w:rsid w:val="008C6900"/>
    <w:rsid w:val="008C6987"/>
    <w:rsid w:val="008C6A6F"/>
    <w:rsid w:val="008C6AA2"/>
    <w:rsid w:val="008C6B95"/>
    <w:rsid w:val="008C6BEC"/>
    <w:rsid w:val="008C6C3B"/>
    <w:rsid w:val="008C6C5A"/>
    <w:rsid w:val="008C6C75"/>
    <w:rsid w:val="008C6D1F"/>
    <w:rsid w:val="008C6DAA"/>
    <w:rsid w:val="008C6DC4"/>
    <w:rsid w:val="008C6DE7"/>
    <w:rsid w:val="008C6E5C"/>
    <w:rsid w:val="008C6EAF"/>
    <w:rsid w:val="008C6F3D"/>
    <w:rsid w:val="008C6FB5"/>
    <w:rsid w:val="008C6FFC"/>
    <w:rsid w:val="008C7104"/>
    <w:rsid w:val="008C7151"/>
    <w:rsid w:val="008C71A0"/>
    <w:rsid w:val="008C726C"/>
    <w:rsid w:val="008C7330"/>
    <w:rsid w:val="008C7390"/>
    <w:rsid w:val="008C780C"/>
    <w:rsid w:val="008C7871"/>
    <w:rsid w:val="008C7A04"/>
    <w:rsid w:val="008C7B4B"/>
    <w:rsid w:val="008C7C4A"/>
    <w:rsid w:val="008C7CF0"/>
    <w:rsid w:val="008C7DBD"/>
    <w:rsid w:val="008C7DC8"/>
    <w:rsid w:val="008C7E5C"/>
    <w:rsid w:val="008C7FE0"/>
    <w:rsid w:val="008D01C5"/>
    <w:rsid w:val="008D0215"/>
    <w:rsid w:val="008D023D"/>
    <w:rsid w:val="008D02C0"/>
    <w:rsid w:val="008D03C6"/>
    <w:rsid w:val="008D0410"/>
    <w:rsid w:val="008D045E"/>
    <w:rsid w:val="008D04AD"/>
    <w:rsid w:val="008D04D7"/>
    <w:rsid w:val="008D056D"/>
    <w:rsid w:val="008D0686"/>
    <w:rsid w:val="008D077A"/>
    <w:rsid w:val="008D086A"/>
    <w:rsid w:val="008D0902"/>
    <w:rsid w:val="008D0A00"/>
    <w:rsid w:val="008D0D3F"/>
    <w:rsid w:val="008D0DE7"/>
    <w:rsid w:val="008D0E29"/>
    <w:rsid w:val="008D0E8A"/>
    <w:rsid w:val="008D0F25"/>
    <w:rsid w:val="008D0FDC"/>
    <w:rsid w:val="008D10C0"/>
    <w:rsid w:val="008D10EC"/>
    <w:rsid w:val="008D12D3"/>
    <w:rsid w:val="008D1360"/>
    <w:rsid w:val="008D13AE"/>
    <w:rsid w:val="008D1418"/>
    <w:rsid w:val="008D143B"/>
    <w:rsid w:val="008D144B"/>
    <w:rsid w:val="008D145E"/>
    <w:rsid w:val="008D14A3"/>
    <w:rsid w:val="008D14AB"/>
    <w:rsid w:val="008D14BB"/>
    <w:rsid w:val="008D1571"/>
    <w:rsid w:val="008D15A7"/>
    <w:rsid w:val="008D15B4"/>
    <w:rsid w:val="008D161A"/>
    <w:rsid w:val="008D1801"/>
    <w:rsid w:val="008D18B7"/>
    <w:rsid w:val="008D18D6"/>
    <w:rsid w:val="008D1ADE"/>
    <w:rsid w:val="008D1BDD"/>
    <w:rsid w:val="008D1BFA"/>
    <w:rsid w:val="008D1D12"/>
    <w:rsid w:val="008D1D18"/>
    <w:rsid w:val="008D1D69"/>
    <w:rsid w:val="008D1D76"/>
    <w:rsid w:val="008D1E92"/>
    <w:rsid w:val="008D1EBF"/>
    <w:rsid w:val="008D1FC0"/>
    <w:rsid w:val="008D20AC"/>
    <w:rsid w:val="008D2169"/>
    <w:rsid w:val="008D234E"/>
    <w:rsid w:val="008D25E8"/>
    <w:rsid w:val="008D25F9"/>
    <w:rsid w:val="008D2644"/>
    <w:rsid w:val="008D2688"/>
    <w:rsid w:val="008D26D7"/>
    <w:rsid w:val="008D271E"/>
    <w:rsid w:val="008D275A"/>
    <w:rsid w:val="008D286E"/>
    <w:rsid w:val="008D290C"/>
    <w:rsid w:val="008D2BED"/>
    <w:rsid w:val="008D2CED"/>
    <w:rsid w:val="008D2DF1"/>
    <w:rsid w:val="008D2E40"/>
    <w:rsid w:val="008D2E69"/>
    <w:rsid w:val="008D2ECB"/>
    <w:rsid w:val="008D30DF"/>
    <w:rsid w:val="008D3105"/>
    <w:rsid w:val="008D3130"/>
    <w:rsid w:val="008D31CD"/>
    <w:rsid w:val="008D3232"/>
    <w:rsid w:val="008D328F"/>
    <w:rsid w:val="008D32AC"/>
    <w:rsid w:val="008D344E"/>
    <w:rsid w:val="008D3475"/>
    <w:rsid w:val="008D3619"/>
    <w:rsid w:val="008D398D"/>
    <w:rsid w:val="008D3AD4"/>
    <w:rsid w:val="008D3B21"/>
    <w:rsid w:val="008D3B65"/>
    <w:rsid w:val="008D3BEA"/>
    <w:rsid w:val="008D3C0A"/>
    <w:rsid w:val="008D3CA7"/>
    <w:rsid w:val="008D3CA8"/>
    <w:rsid w:val="008D3CE8"/>
    <w:rsid w:val="008D3D3F"/>
    <w:rsid w:val="008D3DE3"/>
    <w:rsid w:val="008D3ED1"/>
    <w:rsid w:val="008D3F1F"/>
    <w:rsid w:val="008D3F72"/>
    <w:rsid w:val="008D408D"/>
    <w:rsid w:val="008D40BA"/>
    <w:rsid w:val="008D41C8"/>
    <w:rsid w:val="008D41FE"/>
    <w:rsid w:val="008D42F3"/>
    <w:rsid w:val="008D438C"/>
    <w:rsid w:val="008D43B1"/>
    <w:rsid w:val="008D4467"/>
    <w:rsid w:val="008D45D8"/>
    <w:rsid w:val="008D45E8"/>
    <w:rsid w:val="008D463F"/>
    <w:rsid w:val="008D4674"/>
    <w:rsid w:val="008D46F9"/>
    <w:rsid w:val="008D476E"/>
    <w:rsid w:val="008D4958"/>
    <w:rsid w:val="008D49A2"/>
    <w:rsid w:val="008D49F5"/>
    <w:rsid w:val="008D4A79"/>
    <w:rsid w:val="008D4A7E"/>
    <w:rsid w:val="008D4AC2"/>
    <w:rsid w:val="008D4B0B"/>
    <w:rsid w:val="008D4C82"/>
    <w:rsid w:val="008D4CD0"/>
    <w:rsid w:val="008D4CF2"/>
    <w:rsid w:val="008D4CFF"/>
    <w:rsid w:val="008D4E78"/>
    <w:rsid w:val="008D4E8B"/>
    <w:rsid w:val="008D4E98"/>
    <w:rsid w:val="008D506C"/>
    <w:rsid w:val="008D50D1"/>
    <w:rsid w:val="008D5148"/>
    <w:rsid w:val="008D5156"/>
    <w:rsid w:val="008D5163"/>
    <w:rsid w:val="008D516F"/>
    <w:rsid w:val="008D51BB"/>
    <w:rsid w:val="008D526F"/>
    <w:rsid w:val="008D528C"/>
    <w:rsid w:val="008D539C"/>
    <w:rsid w:val="008D5503"/>
    <w:rsid w:val="008D551C"/>
    <w:rsid w:val="008D57AE"/>
    <w:rsid w:val="008D5ADF"/>
    <w:rsid w:val="008D5B21"/>
    <w:rsid w:val="008D5BD7"/>
    <w:rsid w:val="008D5CA3"/>
    <w:rsid w:val="008D5CDC"/>
    <w:rsid w:val="008D5D15"/>
    <w:rsid w:val="008D5D22"/>
    <w:rsid w:val="008D5D41"/>
    <w:rsid w:val="008D5DD4"/>
    <w:rsid w:val="008D5DF4"/>
    <w:rsid w:val="008D5E56"/>
    <w:rsid w:val="008D5E71"/>
    <w:rsid w:val="008D5EFE"/>
    <w:rsid w:val="008D5F27"/>
    <w:rsid w:val="008D5F94"/>
    <w:rsid w:val="008D607C"/>
    <w:rsid w:val="008D6128"/>
    <w:rsid w:val="008D618C"/>
    <w:rsid w:val="008D63D8"/>
    <w:rsid w:val="008D64D2"/>
    <w:rsid w:val="008D6690"/>
    <w:rsid w:val="008D670C"/>
    <w:rsid w:val="008D67DB"/>
    <w:rsid w:val="008D67E9"/>
    <w:rsid w:val="008D67EF"/>
    <w:rsid w:val="008D68E0"/>
    <w:rsid w:val="008D697D"/>
    <w:rsid w:val="008D6990"/>
    <w:rsid w:val="008D6A22"/>
    <w:rsid w:val="008D6A4A"/>
    <w:rsid w:val="008D6B93"/>
    <w:rsid w:val="008D6BE7"/>
    <w:rsid w:val="008D6BF9"/>
    <w:rsid w:val="008D6C03"/>
    <w:rsid w:val="008D6D97"/>
    <w:rsid w:val="008D6E23"/>
    <w:rsid w:val="008D6EE8"/>
    <w:rsid w:val="008D6F47"/>
    <w:rsid w:val="008D6F80"/>
    <w:rsid w:val="008D701C"/>
    <w:rsid w:val="008D7106"/>
    <w:rsid w:val="008D715F"/>
    <w:rsid w:val="008D71EB"/>
    <w:rsid w:val="008D720C"/>
    <w:rsid w:val="008D7240"/>
    <w:rsid w:val="008D72EA"/>
    <w:rsid w:val="008D737B"/>
    <w:rsid w:val="008D73CF"/>
    <w:rsid w:val="008D7489"/>
    <w:rsid w:val="008D7505"/>
    <w:rsid w:val="008D7548"/>
    <w:rsid w:val="008D7610"/>
    <w:rsid w:val="008D77D5"/>
    <w:rsid w:val="008D77D8"/>
    <w:rsid w:val="008D77E0"/>
    <w:rsid w:val="008D7879"/>
    <w:rsid w:val="008D78F2"/>
    <w:rsid w:val="008D7A00"/>
    <w:rsid w:val="008D7AB0"/>
    <w:rsid w:val="008D7ACD"/>
    <w:rsid w:val="008D7B0D"/>
    <w:rsid w:val="008D7B24"/>
    <w:rsid w:val="008D7B3E"/>
    <w:rsid w:val="008D7D43"/>
    <w:rsid w:val="008D7DF7"/>
    <w:rsid w:val="008D7E9E"/>
    <w:rsid w:val="008D7EC3"/>
    <w:rsid w:val="008D7F72"/>
    <w:rsid w:val="008E0072"/>
    <w:rsid w:val="008E008A"/>
    <w:rsid w:val="008E015F"/>
    <w:rsid w:val="008E017D"/>
    <w:rsid w:val="008E01A4"/>
    <w:rsid w:val="008E0263"/>
    <w:rsid w:val="008E02F7"/>
    <w:rsid w:val="008E030A"/>
    <w:rsid w:val="008E0375"/>
    <w:rsid w:val="008E0617"/>
    <w:rsid w:val="008E0633"/>
    <w:rsid w:val="008E06D6"/>
    <w:rsid w:val="008E07AA"/>
    <w:rsid w:val="008E081C"/>
    <w:rsid w:val="008E08A9"/>
    <w:rsid w:val="008E0940"/>
    <w:rsid w:val="008E09B3"/>
    <w:rsid w:val="008E09C9"/>
    <w:rsid w:val="008E09F9"/>
    <w:rsid w:val="008E0A03"/>
    <w:rsid w:val="008E0A15"/>
    <w:rsid w:val="008E0A49"/>
    <w:rsid w:val="008E0BF2"/>
    <w:rsid w:val="008E0C69"/>
    <w:rsid w:val="008E0E57"/>
    <w:rsid w:val="008E0E66"/>
    <w:rsid w:val="008E1179"/>
    <w:rsid w:val="008E11AD"/>
    <w:rsid w:val="008E11AE"/>
    <w:rsid w:val="008E1251"/>
    <w:rsid w:val="008E13C6"/>
    <w:rsid w:val="008E13CB"/>
    <w:rsid w:val="008E144D"/>
    <w:rsid w:val="008E1493"/>
    <w:rsid w:val="008E14FB"/>
    <w:rsid w:val="008E150E"/>
    <w:rsid w:val="008E1600"/>
    <w:rsid w:val="008E1784"/>
    <w:rsid w:val="008E17E7"/>
    <w:rsid w:val="008E1879"/>
    <w:rsid w:val="008E1886"/>
    <w:rsid w:val="008E18F7"/>
    <w:rsid w:val="008E1990"/>
    <w:rsid w:val="008E1A7D"/>
    <w:rsid w:val="008E1A8D"/>
    <w:rsid w:val="008E1BAE"/>
    <w:rsid w:val="008E1BE9"/>
    <w:rsid w:val="008E1DF6"/>
    <w:rsid w:val="008E1E05"/>
    <w:rsid w:val="008E1E93"/>
    <w:rsid w:val="008E1F37"/>
    <w:rsid w:val="008E1F42"/>
    <w:rsid w:val="008E1FB5"/>
    <w:rsid w:val="008E1FC2"/>
    <w:rsid w:val="008E21EA"/>
    <w:rsid w:val="008E2298"/>
    <w:rsid w:val="008E2328"/>
    <w:rsid w:val="008E2334"/>
    <w:rsid w:val="008E2336"/>
    <w:rsid w:val="008E23A6"/>
    <w:rsid w:val="008E2453"/>
    <w:rsid w:val="008E2454"/>
    <w:rsid w:val="008E2479"/>
    <w:rsid w:val="008E2584"/>
    <w:rsid w:val="008E2647"/>
    <w:rsid w:val="008E265F"/>
    <w:rsid w:val="008E2670"/>
    <w:rsid w:val="008E276F"/>
    <w:rsid w:val="008E279B"/>
    <w:rsid w:val="008E27AB"/>
    <w:rsid w:val="008E27F9"/>
    <w:rsid w:val="008E280D"/>
    <w:rsid w:val="008E28AA"/>
    <w:rsid w:val="008E2941"/>
    <w:rsid w:val="008E29C7"/>
    <w:rsid w:val="008E2AF6"/>
    <w:rsid w:val="008E2BAD"/>
    <w:rsid w:val="008E2C50"/>
    <w:rsid w:val="008E2D72"/>
    <w:rsid w:val="008E2EFB"/>
    <w:rsid w:val="008E2F09"/>
    <w:rsid w:val="008E2F12"/>
    <w:rsid w:val="008E2F2B"/>
    <w:rsid w:val="008E2F45"/>
    <w:rsid w:val="008E30E4"/>
    <w:rsid w:val="008E3111"/>
    <w:rsid w:val="008E328D"/>
    <w:rsid w:val="008E32BE"/>
    <w:rsid w:val="008E32D9"/>
    <w:rsid w:val="008E33E3"/>
    <w:rsid w:val="008E3444"/>
    <w:rsid w:val="008E346C"/>
    <w:rsid w:val="008E34A3"/>
    <w:rsid w:val="008E358A"/>
    <w:rsid w:val="008E3602"/>
    <w:rsid w:val="008E3695"/>
    <w:rsid w:val="008E3707"/>
    <w:rsid w:val="008E3724"/>
    <w:rsid w:val="008E38CE"/>
    <w:rsid w:val="008E3902"/>
    <w:rsid w:val="008E399A"/>
    <w:rsid w:val="008E39DA"/>
    <w:rsid w:val="008E3A65"/>
    <w:rsid w:val="008E3B1C"/>
    <w:rsid w:val="008E3CBF"/>
    <w:rsid w:val="008E3CF6"/>
    <w:rsid w:val="008E3EB3"/>
    <w:rsid w:val="008E4039"/>
    <w:rsid w:val="008E4080"/>
    <w:rsid w:val="008E40DA"/>
    <w:rsid w:val="008E411A"/>
    <w:rsid w:val="008E4125"/>
    <w:rsid w:val="008E4198"/>
    <w:rsid w:val="008E41CC"/>
    <w:rsid w:val="008E42DA"/>
    <w:rsid w:val="008E42E0"/>
    <w:rsid w:val="008E4502"/>
    <w:rsid w:val="008E4562"/>
    <w:rsid w:val="008E45D2"/>
    <w:rsid w:val="008E466F"/>
    <w:rsid w:val="008E46A8"/>
    <w:rsid w:val="008E4708"/>
    <w:rsid w:val="008E477F"/>
    <w:rsid w:val="008E487C"/>
    <w:rsid w:val="008E48DB"/>
    <w:rsid w:val="008E4965"/>
    <w:rsid w:val="008E4984"/>
    <w:rsid w:val="008E4A09"/>
    <w:rsid w:val="008E4AEB"/>
    <w:rsid w:val="008E4B42"/>
    <w:rsid w:val="008E4BA9"/>
    <w:rsid w:val="008E4D59"/>
    <w:rsid w:val="008E4D6F"/>
    <w:rsid w:val="008E4E23"/>
    <w:rsid w:val="008E4E34"/>
    <w:rsid w:val="008E4E8E"/>
    <w:rsid w:val="008E4F9D"/>
    <w:rsid w:val="008E5002"/>
    <w:rsid w:val="008E5070"/>
    <w:rsid w:val="008E5145"/>
    <w:rsid w:val="008E51BA"/>
    <w:rsid w:val="008E5282"/>
    <w:rsid w:val="008E5291"/>
    <w:rsid w:val="008E52FD"/>
    <w:rsid w:val="008E5340"/>
    <w:rsid w:val="008E535C"/>
    <w:rsid w:val="008E537F"/>
    <w:rsid w:val="008E5526"/>
    <w:rsid w:val="008E5656"/>
    <w:rsid w:val="008E5691"/>
    <w:rsid w:val="008E56B5"/>
    <w:rsid w:val="008E5740"/>
    <w:rsid w:val="008E5744"/>
    <w:rsid w:val="008E5757"/>
    <w:rsid w:val="008E5934"/>
    <w:rsid w:val="008E5984"/>
    <w:rsid w:val="008E5B25"/>
    <w:rsid w:val="008E5BCD"/>
    <w:rsid w:val="008E5DAA"/>
    <w:rsid w:val="008E5E44"/>
    <w:rsid w:val="008E5E4B"/>
    <w:rsid w:val="008E5F5C"/>
    <w:rsid w:val="008E5F6F"/>
    <w:rsid w:val="008E5F73"/>
    <w:rsid w:val="008E60CC"/>
    <w:rsid w:val="008E61EB"/>
    <w:rsid w:val="008E6279"/>
    <w:rsid w:val="008E62BE"/>
    <w:rsid w:val="008E62FC"/>
    <w:rsid w:val="008E63B9"/>
    <w:rsid w:val="008E6540"/>
    <w:rsid w:val="008E6584"/>
    <w:rsid w:val="008E6633"/>
    <w:rsid w:val="008E6652"/>
    <w:rsid w:val="008E673B"/>
    <w:rsid w:val="008E6745"/>
    <w:rsid w:val="008E67D9"/>
    <w:rsid w:val="008E6804"/>
    <w:rsid w:val="008E6922"/>
    <w:rsid w:val="008E692E"/>
    <w:rsid w:val="008E6958"/>
    <w:rsid w:val="008E6A7A"/>
    <w:rsid w:val="008E6A9F"/>
    <w:rsid w:val="008E6AA7"/>
    <w:rsid w:val="008E6ACB"/>
    <w:rsid w:val="008E6C5C"/>
    <w:rsid w:val="008E6CB5"/>
    <w:rsid w:val="008E6D0A"/>
    <w:rsid w:val="008E6D50"/>
    <w:rsid w:val="008E6E03"/>
    <w:rsid w:val="008E6E46"/>
    <w:rsid w:val="008E6F5D"/>
    <w:rsid w:val="008E7074"/>
    <w:rsid w:val="008E70B2"/>
    <w:rsid w:val="008E70BC"/>
    <w:rsid w:val="008E70DE"/>
    <w:rsid w:val="008E71EF"/>
    <w:rsid w:val="008E7285"/>
    <w:rsid w:val="008E72D4"/>
    <w:rsid w:val="008E767C"/>
    <w:rsid w:val="008E770D"/>
    <w:rsid w:val="008E7737"/>
    <w:rsid w:val="008E77E9"/>
    <w:rsid w:val="008E7853"/>
    <w:rsid w:val="008E79AE"/>
    <w:rsid w:val="008E7ABC"/>
    <w:rsid w:val="008E7C66"/>
    <w:rsid w:val="008E7CE8"/>
    <w:rsid w:val="008E7D9A"/>
    <w:rsid w:val="008E7DBB"/>
    <w:rsid w:val="008E7E6D"/>
    <w:rsid w:val="008E7E83"/>
    <w:rsid w:val="008E7F5D"/>
    <w:rsid w:val="008E7F90"/>
    <w:rsid w:val="008F0018"/>
    <w:rsid w:val="008F013E"/>
    <w:rsid w:val="008F0178"/>
    <w:rsid w:val="008F020A"/>
    <w:rsid w:val="008F0250"/>
    <w:rsid w:val="008F026A"/>
    <w:rsid w:val="008F0275"/>
    <w:rsid w:val="008F02AA"/>
    <w:rsid w:val="008F0372"/>
    <w:rsid w:val="008F03AB"/>
    <w:rsid w:val="008F03FA"/>
    <w:rsid w:val="008F0461"/>
    <w:rsid w:val="008F0487"/>
    <w:rsid w:val="008F0577"/>
    <w:rsid w:val="008F05DF"/>
    <w:rsid w:val="008F0605"/>
    <w:rsid w:val="008F0621"/>
    <w:rsid w:val="008F0643"/>
    <w:rsid w:val="008F064A"/>
    <w:rsid w:val="008F0651"/>
    <w:rsid w:val="008F06BC"/>
    <w:rsid w:val="008F0702"/>
    <w:rsid w:val="008F08AC"/>
    <w:rsid w:val="008F0937"/>
    <w:rsid w:val="008F0957"/>
    <w:rsid w:val="008F0A41"/>
    <w:rsid w:val="008F0A5D"/>
    <w:rsid w:val="008F0A7A"/>
    <w:rsid w:val="008F0B6A"/>
    <w:rsid w:val="008F0BF3"/>
    <w:rsid w:val="008F0C60"/>
    <w:rsid w:val="008F0C9D"/>
    <w:rsid w:val="008F0CDE"/>
    <w:rsid w:val="008F0DF7"/>
    <w:rsid w:val="008F0E62"/>
    <w:rsid w:val="008F0F10"/>
    <w:rsid w:val="008F1000"/>
    <w:rsid w:val="008F11EC"/>
    <w:rsid w:val="008F1217"/>
    <w:rsid w:val="008F122F"/>
    <w:rsid w:val="008F1264"/>
    <w:rsid w:val="008F12BD"/>
    <w:rsid w:val="008F132F"/>
    <w:rsid w:val="008F1452"/>
    <w:rsid w:val="008F1511"/>
    <w:rsid w:val="008F1610"/>
    <w:rsid w:val="008F1618"/>
    <w:rsid w:val="008F1634"/>
    <w:rsid w:val="008F1658"/>
    <w:rsid w:val="008F16AF"/>
    <w:rsid w:val="008F1724"/>
    <w:rsid w:val="008F1736"/>
    <w:rsid w:val="008F17C2"/>
    <w:rsid w:val="008F19B1"/>
    <w:rsid w:val="008F19C9"/>
    <w:rsid w:val="008F19E4"/>
    <w:rsid w:val="008F1ACD"/>
    <w:rsid w:val="008F1B7D"/>
    <w:rsid w:val="008F1BC9"/>
    <w:rsid w:val="008F1BD5"/>
    <w:rsid w:val="008F1BDE"/>
    <w:rsid w:val="008F1BEF"/>
    <w:rsid w:val="008F1E1C"/>
    <w:rsid w:val="008F1E48"/>
    <w:rsid w:val="008F1EF3"/>
    <w:rsid w:val="008F2073"/>
    <w:rsid w:val="008F20E3"/>
    <w:rsid w:val="008F220E"/>
    <w:rsid w:val="008F2217"/>
    <w:rsid w:val="008F225A"/>
    <w:rsid w:val="008F2293"/>
    <w:rsid w:val="008F2313"/>
    <w:rsid w:val="008F23CF"/>
    <w:rsid w:val="008F245B"/>
    <w:rsid w:val="008F250C"/>
    <w:rsid w:val="008F257D"/>
    <w:rsid w:val="008F27E6"/>
    <w:rsid w:val="008F282D"/>
    <w:rsid w:val="008F28C5"/>
    <w:rsid w:val="008F2A9D"/>
    <w:rsid w:val="008F2AA8"/>
    <w:rsid w:val="008F2BF4"/>
    <w:rsid w:val="008F2C60"/>
    <w:rsid w:val="008F2C6A"/>
    <w:rsid w:val="008F2CA1"/>
    <w:rsid w:val="008F2D05"/>
    <w:rsid w:val="008F2EE3"/>
    <w:rsid w:val="008F2F2E"/>
    <w:rsid w:val="008F2F3D"/>
    <w:rsid w:val="008F305C"/>
    <w:rsid w:val="008F31D0"/>
    <w:rsid w:val="008F327E"/>
    <w:rsid w:val="008F32E6"/>
    <w:rsid w:val="008F3321"/>
    <w:rsid w:val="008F3328"/>
    <w:rsid w:val="008F3470"/>
    <w:rsid w:val="008F3499"/>
    <w:rsid w:val="008F349C"/>
    <w:rsid w:val="008F350D"/>
    <w:rsid w:val="008F3578"/>
    <w:rsid w:val="008F37F6"/>
    <w:rsid w:val="008F3890"/>
    <w:rsid w:val="008F38BB"/>
    <w:rsid w:val="008F38DD"/>
    <w:rsid w:val="008F3936"/>
    <w:rsid w:val="008F3AB9"/>
    <w:rsid w:val="008F3BB8"/>
    <w:rsid w:val="008F3C1D"/>
    <w:rsid w:val="008F3C2B"/>
    <w:rsid w:val="008F3C3E"/>
    <w:rsid w:val="008F3CD0"/>
    <w:rsid w:val="008F3D32"/>
    <w:rsid w:val="008F3D3D"/>
    <w:rsid w:val="008F3D59"/>
    <w:rsid w:val="008F3D80"/>
    <w:rsid w:val="008F3DF8"/>
    <w:rsid w:val="008F3E30"/>
    <w:rsid w:val="008F3EFD"/>
    <w:rsid w:val="008F3F8C"/>
    <w:rsid w:val="008F3FC7"/>
    <w:rsid w:val="008F4018"/>
    <w:rsid w:val="008F4041"/>
    <w:rsid w:val="008F40A4"/>
    <w:rsid w:val="008F40B4"/>
    <w:rsid w:val="008F40EE"/>
    <w:rsid w:val="008F4133"/>
    <w:rsid w:val="008F41C5"/>
    <w:rsid w:val="008F4287"/>
    <w:rsid w:val="008F42B4"/>
    <w:rsid w:val="008F42C6"/>
    <w:rsid w:val="008F4478"/>
    <w:rsid w:val="008F450F"/>
    <w:rsid w:val="008F4516"/>
    <w:rsid w:val="008F4532"/>
    <w:rsid w:val="008F463C"/>
    <w:rsid w:val="008F4676"/>
    <w:rsid w:val="008F468D"/>
    <w:rsid w:val="008F47E5"/>
    <w:rsid w:val="008F4880"/>
    <w:rsid w:val="008F4924"/>
    <w:rsid w:val="008F4930"/>
    <w:rsid w:val="008F4958"/>
    <w:rsid w:val="008F496B"/>
    <w:rsid w:val="008F4A54"/>
    <w:rsid w:val="008F4BF8"/>
    <w:rsid w:val="008F4C85"/>
    <w:rsid w:val="008F4D29"/>
    <w:rsid w:val="008F4DBD"/>
    <w:rsid w:val="008F4F16"/>
    <w:rsid w:val="008F4F25"/>
    <w:rsid w:val="008F4F41"/>
    <w:rsid w:val="008F4FC9"/>
    <w:rsid w:val="008F500E"/>
    <w:rsid w:val="008F50AA"/>
    <w:rsid w:val="008F5155"/>
    <w:rsid w:val="008F5160"/>
    <w:rsid w:val="008F5161"/>
    <w:rsid w:val="008F5298"/>
    <w:rsid w:val="008F52E3"/>
    <w:rsid w:val="008F54D1"/>
    <w:rsid w:val="008F5714"/>
    <w:rsid w:val="008F58CA"/>
    <w:rsid w:val="008F58D3"/>
    <w:rsid w:val="008F59B2"/>
    <w:rsid w:val="008F59B3"/>
    <w:rsid w:val="008F59E4"/>
    <w:rsid w:val="008F5A10"/>
    <w:rsid w:val="008F5B2A"/>
    <w:rsid w:val="008F5B56"/>
    <w:rsid w:val="008F5C52"/>
    <w:rsid w:val="008F5D50"/>
    <w:rsid w:val="008F5E3C"/>
    <w:rsid w:val="008F5E58"/>
    <w:rsid w:val="008F6125"/>
    <w:rsid w:val="008F62D0"/>
    <w:rsid w:val="008F6541"/>
    <w:rsid w:val="008F666F"/>
    <w:rsid w:val="008F66D9"/>
    <w:rsid w:val="008F67C5"/>
    <w:rsid w:val="008F68DA"/>
    <w:rsid w:val="008F6AC7"/>
    <w:rsid w:val="008F6E88"/>
    <w:rsid w:val="008F6EC4"/>
    <w:rsid w:val="008F6FED"/>
    <w:rsid w:val="008F702F"/>
    <w:rsid w:val="008F70A4"/>
    <w:rsid w:val="008F717E"/>
    <w:rsid w:val="008F7185"/>
    <w:rsid w:val="008F718D"/>
    <w:rsid w:val="008F71EA"/>
    <w:rsid w:val="008F7215"/>
    <w:rsid w:val="008F728D"/>
    <w:rsid w:val="008F7593"/>
    <w:rsid w:val="008F75A6"/>
    <w:rsid w:val="008F76D6"/>
    <w:rsid w:val="008F7753"/>
    <w:rsid w:val="008F782A"/>
    <w:rsid w:val="008F7ACD"/>
    <w:rsid w:val="008F7C3D"/>
    <w:rsid w:val="008F7ED2"/>
    <w:rsid w:val="008F7FD7"/>
    <w:rsid w:val="00900067"/>
    <w:rsid w:val="00900096"/>
    <w:rsid w:val="009000AA"/>
    <w:rsid w:val="009001FD"/>
    <w:rsid w:val="0090027B"/>
    <w:rsid w:val="009003F0"/>
    <w:rsid w:val="009003FA"/>
    <w:rsid w:val="0090041D"/>
    <w:rsid w:val="0090043C"/>
    <w:rsid w:val="009004E5"/>
    <w:rsid w:val="0090054E"/>
    <w:rsid w:val="009006F7"/>
    <w:rsid w:val="0090072A"/>
    <w:rsid w:val="00900790"/>
    <w:rsid w:val="00900834"/>
    <w:rsid w:val="00900938"/>
    <w:rsid w:val="00900ABC"/>
    <w:rsid w:val="00900BEE"/>
    <w:rsid w:val="00900C20"/>
    <w:rsid w:val="00900DF3"/>
    <w:rsid w:val="00900DF9"/>
    <w:rsid w:val="00900E62"/>
    <w:rsid w:val="00900E76"/>
    <w:rsid w:val="00900ED7"/>
    <w:rsid w:val="00900EE6"/>
    <w:rsid w:val="00900F4B"/>
    <w:rsid w:val="00900F82"/>
    <w:rsid w:val="00900F8A"/>
    <w:rsid w:val="00901015"/>
    <w:rsid w:val="00901026"/>
    <w:rsid w:val="00901045"/>
    <w:rsid w:val="00901142"/>
    <w:rsid w:val="0090116B"/>
    <w:rsid w:val="00901269"/>
    <w:rsid w:val="00901280"/>
    <w:rsid w:val="009012EC"/>
    <w:rsid w:val="0090131F"/>
    <w:rsid w:val="0090132C"/>
    <w:rsid w:val="00901434"/>
    <w:rsid w:val="0090143E"/>
    <w:rsid w:val="00901442"/>
    <w:rsid w:val="009014B3"/>
    <w:rsid w:val="009014C8"/>
    <w:rsid w:val="0090159C"/>
    <w:rsid w:val="009015A6"/>
    <w:rsid w:val="009015B1"/>
    <w:rsid w:val="009015B7"/>
    <w:rsid w:val="00901621"/>
    <w:rsid w:val="00901627"/>
    <w:rsid w:val="009016D2"/>
    <w:rsid w:val="00901755"/>
    <w:rsid w:val="00901782"/>
    <w:rsid w:val="009017E7"/>
    <w:rsid w:val="00901806"/>
    <w:rsid w:val="00901882"/>
    <w:rsid w:val="00901899"/>
    <w:rsid w:val="009018CE"/>
    <w:rsid w:val="0090190F"/>
    <w:rsid w:val="009019F4"/>
    <w:rsid w:val="00901A14"/>
    <w:rsid w:val="00901C79"/>
    <w:rsid w:val="00901C98"/>
    <w:rsid w:val="00901E50"/>
    <w:rsid w:val="00901EC4"/>
    <w:rsid w:val="00901F63"/>
    <w:rsid w:val="00901FF5"/>
    <w:rsid w:val="00902023"/>
    <w:rsid w:val="00902194"/>
    <w:rsid w:val="0090219F"/>
    <w:rsid w:val="00902216"/>
    <w:rsid w:val="00902277"/>
    <w:rsid w:val="009022BD"/>
    <w:rsid w:val="00902397"/>
    <w:rsid w:val="0090243A"/>
    <w:rsid w:val="009024E3"/>
    <w:rsid w:val="00902566"/>
    <w:rsid w:val="00902607"/>
    <w:rsid w:val="009026C2"/>
    <w:rsid w:val="009027C4"/>
    <w:rsid w:val="009027F5"/>
    <w:rsid w:val="0090292C"/>
    <w:rsid w:val="00902998"/>
    <w:rsid w:val="00902A49"/>
    <w:rsid w:val="00902A79"/>
    <w:rsid w:val="00902A93"/>
    <w:rsid w:val="00902C72"/>
    <w:rsid w:val="00902D77"/>
    <w:rsid w:val="00902E8A"/>
    <w:rsid w:val="00902F09"/>
    <w:rsid w:val="00902F14"/>
    <w:rsid w:val="00902F7A"/>
    <w:rsid w:val="00902FBB"/>
    <w:rsid w:val="00902FD0"/>
    <w:rsid w:val="00902FD2"/>
    <w:rsid w:val="00903089"/>
    <w:rsid w:val="00903190"/>
    <w:rsid w:val="00903300"/>
    <w:rsid w:val="009033FF"/>
    <w:rsid w:val="0090356E"/>
    <w:rsid w:val="0090362B"/>
    <w:rsid w:val="009036E6"/>
    <w:rsid w:val="0090371D"/>
    <w:rsid w:val="0090376A"/>
    <w:rsid w:val="00903A2B"/>
    <w:rsid w:val="00903A70"/>
    <w:rsid w:val="00903B1A"/>
    <w:rsid w:val="00903CDC"/>
    <w:rsid w:val="00903D1D"/>
    <w:rsid w:val="00903D4A"/>
    <w:rsid w:val="00903E3B"/>
    <w:rsid w:val="00903F7A"/>
    <w:rsid w:val="00903FB5"/>
    <w:rsid w:val="00903FD7"/>
    <w:rsid w:val="00904003"/>
    <w:rsid w:val="0090410B"/>
    <w:rsid w:val="009041D6"/>
    <w:rsid w:val="00904254"/>
    <w:rsid w:val="00904302"/>
    <w:rsid w:val="009044C6"/>
    <w:rsid w:val="00904515"/>
    <w:rsid w:val="00904518"/>
    <w:rsid w:val="00904644"/>
    <w:rsid w:val="0090471E"/>
    <w:rsid w:val="009047BE"/>
    <w:rsid w:val="00904808"/>
    <w:rsid w:val="00904931"/>
    <w:rsid w:val="009049C6"/>
    <w:rsid w:val="00904A09"/>
    <w:rsid w:val="00904A12"/>
    <w:rsid w:val="00904A35"/>
    <w:rsid w:val="00904B52"/>
    <w:rsid w:val="00904C42"/>
    <w:rsid w:val="00904C77"/>
    <w:rsid w:val="00904CBE"/>
    <w:rsid w:val="00904CEF"/>
    <w:rsid w:val="00904E44"/>
    <w:rsid w:val="00904E91"/>
    <w:rsid w:val="0090504B"/>
    <w:rsid w:val="009050F4"/>
    <w:rsid w:val="00905129"/>
    <w:rsid w:val="00905168"/>
    <w:rsid w:val="00905189"/>
    <w:rsid w:val="00905249"/>
    <w:rsid w:val="0090536E"/>
    <w:rsid w:val="00905433"/>
    <w:rsid w:val="009054A3"/>
    <w:rsid w:val="00905522"/>
    <w:rsid w:val="00905523"/>
    <w:rsid w:val="00905562"/>
    <w:rsid w:val="00905632"/>
    <w:rsid w:val="009056E2"/>
    <w:rsid w:val="009058F5"/>
    <w:rsid w:val="00905A4C"/>
    <w:rsid w:val="00905ADC"/>
    <w:rsid w:val="00905C3F"/>
    <w:rsid w:val="00905C9B"/>
    <w:rsid w:val="00905CA5"/>
    <w:rsid w:val="00905DAB"/>
    <w:rsid w:val="00905E10"/>
    <w:rsid w:val="00905E57"/>
    <w:rsid w:val="00905E66"/>
    <w:rsid w:val="00905ECC"/>
    <w:rsid w:val="00905F66"/>
    <w:rsid w:val="00906292"/>
    <w:rsid w:val="00906478"/>
    <w:rsid w:val="0090653F"/>
    <w:rsid w:val="009066A2"/>
    <w:rsid w:val="00906779"/>
    <w:rsid w:val="00906818"/>
    <w:rsid w:val="00906886"/>
    <w:rsid w:val="009068DF"/>
    <w:rsid w:val="00906902"/>
    <w:rsid w:val="00906920"/>
    <w:rsid w:val="00906A48"/>
    <w:rsid w:val="00906A66"/>
    <w:rsid w:val="00906B8F"/>
    <w:rsid w:val="00906BF6"/>
    <w:rsid w:val="00906C2E"/>
    <w:rsid w:val="00906CB9"/>
    <w:rsid w:val="00906CDE"/>
    <w:rsid w:val="00907017"/>
    <w:rsid w:val="009070F3"/>
    <w:rsid w:val="009071A2"/>
    <w:rsid w:val="009071E7"/>
    <w:rsid w:val="00907306"/>
    <w:rsid w:val="00907334"/>
    <w:rsid w:val="00907518"/>
    <w:rsid w:val="00907527"/>
    <w:rsid w:val="00907532"/>
    <w:rsid w:val="00907760"/>
    <w:rsid w:val="00907808"/>
    <w:rsid w:val="00907851"/>
    <w:rsid w:val="0090788C"/>
    <w:rsid w:val="0090795A"/>
    <w:rsid w:val="00907A58"/>
    <w:rsid w:val="00907AD9"/>
    <w:rsid w:val="00907AE5"/>
    <w:rsid w:val="00907BD1"/>
    <w:rsid w:val="00907BF8"/>
    <w:rsid w:val="00907CBB"/>
    <w:rsid w:val="00907CED"/>
    <w:rsid w:val="00907DFC"/>
    <w:rsid w:val="00907F51"/>
    <w:rsid w:val="00907F7E"/>
    <w:rsid w:val="00910026"/>
    <w:rsid w:val="0091016F"/>
    <w:rsid w:val="00910272"/>
    <w:rsid w:val="0091031A"/>
    <w:rsid w:val="00910377"/>
    <w:rsid w:val="009103F7"/>
    <w:rsid w:val="00910466"/>
    <w:rsid w:val="0091047A"/>
    <w:rsid w:val="00910525"/>
    <w:rsid w:val="00910530"/>
    <w:rsid w:val="0091057A"/>
    <w:rsid w:val="009105DE"/>
    <w:rsid w:val="00910622"/>
    <w:rsid w:val="009106A9"/>
    <w:rsid w:val="009106C0"/>
    <w:rsid w:val="0091070E"/>
    <w:rsid w:val="0091073E"/>
    <w:rsid w:val="009107E4"/>
    <w:rsid w:val="00910962"/>
    <w:rsid w:val="00910A2F"/>
    <w:rsid w:val="00910CB0"/>
    <w:rsid w:val="00910CD5"/>
    <w:rsid w:val="00910CFB"/>
    <w:rsid w:val="00910E3C"/>
    <w:rsid w:val="00910E71"/>
    <w:rsid w:val="00910EF6"/>
    <w:rsid w:val="00910FA5"/>
    <w:rsid w:val="0091100F"/>
    <w:rsid w:val="00911034"/>
    <w:rsid w:val="009110C5"/>
    <w:rsid w:val="00911129"/>
    <w:rsid w:val="00911164"/>
    <w:rsid w:val="009111E1"/>
    <w:rsid w:val="009111EF"/>
    <w:rsid w:val="00911271"/>
    <w:rsid w:val="0091137D"/>
    <w:rsid w:val="0091145B"/>
    <w:rsid w:val="00911495"/>
    <w:rsid w:val="009114AF"/>
    <w:rsid w:val="00911501"/>
    <w:rsid w:val="00911567"/>
    <w:rsid w:val="009115A1"/>
    <w:rsid w:val="009115BB"/>
    <w:rsid w:val="0091162B"/>
    <w:rsid w:val="0091169F"/>
    <w:rsid w:val="009116AA"/>
    <w:rsid w:val="009116B1"/>
    <w:rsid w:val="009116D3"/>
    <w:rsid w:val="0091170D"/>
    <w:rsid w:val="00911744"/>
    <w:rsid w:val="009117A1"/>
    <w:rsid w:val="009117A3"/>
    <w:rsid w:val="009117D9"/>
    <w:rsid w:val="0091190B"/>
    <w:rsid w:val="00911940"/>
    <w:rsid w:val="00911972"/>
    <w:rsid w:val="00911A0F"/>
    <w:rsid w:val="00911A28"/>
    <w:rsid w:val="00911A4C"/>
    <w:rsid w:val="00911B65"/>
    <w:rsid w:val="00911BB1"/>
    <w:rsid w:val="00911C75"/>
    <w:rsid w:val="00911C91"/>
    <w:rsid w:val="00911CF8"/>
    <w:rsid w:val="00911E36"/>
    <w:rsid w:val="00911E7B"/>
    <w:rsid w:val="00911E8B"/>
    <w:rsid w:val="00911E90"/>
    <w:rsid w:val="00911F0C"/>
    <w:rsid w:val="00911F37"/>
    <w:rsid w:val="009120A7"/>
    <w:rsid w:val="00912159"/>
    <w:rsid w:val="009121CA"/>
    <w:rsid w:val="00912217"/>
    <w:rsid w:val="0091230D"/>
    <w:rsid w:val="009123ED"/>
    <w:rsid w:val="0091242C"/>
    <w:rsid w:val="0091250C"/>
    <w:rsid w:val="0091265B"/>
    <w:rsid w:val="00912699"/>
    <w:rsid w:val="0091269A"/>
    <w:rsid w:val="009126FD"/>
    <w:rsid w:val="00912724"/>
    <w:rsid w:val="0091274C"/>
    <w:rsid w:val="009127BC"/>
    <w:rsid w:val="009127F2"/>
    <w:rsid w:val="0091288E"/>
    <w:rsid w:val="00912935"/>
    <w:rsid w:val="009129E6"/>
    <w:rsid w:val="00912A00"/>
    <w:rsid w:val="00912A56"/>
    <w:rsid w:val="00912A8E"/>
    <w:rsid w:val="00912AFA"/>
    <w:rsid w:val="00912B10"/>
    <w:rsid w:val="00912CC4"/>
    <w:rsid w:val="00912CCA"/>
    <w:rsid w:val="00912D36"/>
    <w:rsid w:val="00912D3E"/>
    <w:rsid w:val="00912D46"/>
    <w:rsid w:val="00912D7E"/>
    <w:rsid w:val="00912DB4"/>
    <w:rsid w:val="00912DD6"/>
    <w:rsid w:val="00912DFF"/>
    <w:rsid w:val="00912ED3"/>
    <w:rsid w:val="00912EF3"/>
    <w:rsid w:val="00912F3B"/>
    <w:rsid w:val="00912F85"/>
    <w:rsid w:val="00913018"/>
    <w:rsid w:val="0091315C"/>
    <w:rsid w:val="0091317E"/>
    <w:rsid w:val="009131A4"/>
    <w:rsid w:val="009131E1"/>
    <w:rsid w:val="00913428"/>
    <w:rsid w:val="0091350A"/>
    <w:rsid w:val="00913632"/>
    <w:rsid w:val="009136DE"/>
    <w:rsid w:val="00913735"/>
    <w:rsid w:val="009138D8"/>
    <w:rsid w:val="009138F7"/>
    <w:rsid w:val="00913997"/>
    <w:rsid w:val="009139AC"/>
    <w:rsid w:val="00913AB8"/>
    <w:rsid w:val="00913AD1"/>
    <w:rsid w:val="00913B00"/>
    <w:rsid w:val="00913B79"/>
    <w:rsid w:val="00913C31"/>
    <w:rsid w:val="00913C4A"/>
    <w:rsid w:val="00913D8C"/>
    <w:rsid w:val="00913E57"/>
    <w:rsid w:val="00913EAB"/>
    <w:rsid w:val="00913F9D"/>
    <w:rsid w:val="0091400C"/>
    <w:rsid w:val="00914097"/>
    <w:rsid w:val="009141AE"/>
    <w:rsid w:val="00914227"/>
    <w:rsid w:val="00914367"/>
    <w:rsid w:val="00914473"/>
    <w:rsid w:val="00914499"/>
    <w:rsid w:val="0091449A"/>
    <w:rsid w:val="009144AC"/>
    <w:rsid w:val="009144C8"/>
    <w:rsid w:val="00914517"/>
    <w:rsid w:val="00914632"/>
    <w:rsid w:val="009146D9"/>
    <w:rsid w:val="0091473E"/>
    <w:rsid w:val="00914769"/>
    <w:rsid w:val="009147A8"/>
    <w:rsid w:val="009149FC"/>
    <w:rsid w:val="00914AE2"/>
    <w:rsid w:val="00914D0C"/>
    <w:rsid w:val="00914E61"/>
    <w:rsid w:val="00914E65"/>
    <w:rsid w:val="00914E8F"/>
    <w:rsid w:val="0091501D"/>
    <w:rsid w:val="009150BD"/>
    <w:rsid w:val="009152B7"/>
    <w:rsid w:val="0091532F"/>
    <w:rsid w:val="0091549B"/>
    <w:rsid w:val="009154E0"/>
    <w:rsid w:val="00915569"/>
    <w:rsid w:val="0091557A"/>
    <w:rsid w:val="0091560B"/>
    <w:rsid w:val="00915659"/>
    <w:rsid w:val="009156AB"/>
    <w:rsid w:val="00915733"/>
    <w:rsid w:val="00915755"/>
    <w:rsid w:val="00915885"/>
    <w:rsid w:val="009158B9"/>
    <w:rsid w:val="00915991"/>
    <w:rsid w:val="009159B1"/>
    <w:rsid w:val="00915A44"/>
    <w:rsid w:val="00915AEB"/>
    <w:rsid w:val="00915B3E"/>
    <w:rsid w:val="00915C37"/>
    <w:rsid w:val="00915C3D"/>
    <w:rsid w:val="00915D3A"/>
    <w:rsid w:val="00915D4F"/>
    <w:rsid w:val="00915D9C"/>
    <w:rsid w:val="00915DE8"/>
    <w:rsid w:val="00915F03"/>
    <w:rsid w:val="00916125"/>
    <w:rsid w:val="00916144"/>
    <w:rsid w:val="0091616C"/>
    <w:rsid w:val="009161A9"/>
    <w:rsid w:val="009161D4"/>
    <w:rsid w:val="00916205"/>
    <w:rsid w:val="00916274"/>
    <w:rsid w:val="009162B8"/>
    <w:rsid w:val="0091634C"/>
    <w:rsid w:val="009163D6"/>
    <w:rsid w:val="00916461"/>
    <w:rsid w:val="0091647C"/>
    <w:rsid w:val="0091651C"/>
    <w:rsid w:val="0091652E"/>
    <w:rsid w:val="00916586"/>
    <w:rsid w:val="00916629"/>
    <w:rsid w:val="0091663B"/>
    <w:rsid w:val="00916893"/>
    <w:rsid w:val="009168C3"/>
    <w:rsid w:val="0091692F"/>
    <w:rsid w:val="00916968"/>
    <w:rsid w:val="00916A9B"/>
    <w:rsid w:val="00916BBB"/>
    <w:rsid w:val="00916BCD"/>
    <w:rsid w:val="00916BD2"/>
    <w:rsid w:val="00916BE2"/>
    <w:rsid w:val="00916C57"/>
    <w:rsid w:val="00916CF7"/>
    <w:rsid w:val="00916D13"/>
    <w:rsid w:val="00916D8A"/>
    <w:rsid w:val="00916ECE"/>
    <w:rsid w:val="00916F51"/>
    <w:rsid w:val="0091706A"/>
    <w:rsid w:val="00917077"/>
    <w:rsid w:val="0091709E"/>
    <w:rsid w:val="0091714F"/>
    <w:rsid w:val="00917150"/>
    <w:rsid w:val="0091720A"/>
    <w:rsid w:val="009172AA"/>
    <w:rsid w:val="00917478"/>
    <w:rsid w:val="00917493"/>
    <w:rsid w:val="009174A3"/>
    <w:rsid w:val="009174DE"/>
    <w:rsid w:val="00917509"/>
    <w:rsid w:val="00917585"/>
    <w:rsid w:val="009175AD"/>
    <w:rsid w:val="00917688"/>
    <w:rsid w:val="00917715"/>
    <w:rsid w:val="00917781"/>
    <w:rsid w:val="00917859"/>
    <w:rsid w:val="009178D4"/>
    <w:rsid w:val="00917930"/>
    <w:rsid w:val="00917AB5"/>
    <w:rsid w:val="00917AE8"/>
    <w:rsid w:val="00917B41"/>
    <w:rsid w:val="00917B85"/>
    <w:rsid w:val="00917C4E"/>
    <w:rsid w:val="00917E1F"/>
    <w:rsid w:val="00917E2A"/>
    <w:rsid w:val="00917F24"/>
    <w:rsid w:val="00917F8A"/>
    <w:rsid w:val="0092007B"/>
    <w:rsid w:val="0092010E"/>
    <w:rsid w:val="0092016A"/>
    <w:rsid w:val="009202DE"/>
    <w:rsid w:val="009202FD"/>
    <w:rsid w:val="009202FF"/>
    <w:rsid w:val="00920326"/>
    <w:rsid w:val="009203FD"/>
    <w:rsid w:val="00920432"/>
    <w:rsid w:val="00920438"/>
    <w:rsid w:val="0092054B"/>
    <w:rsid w:val="009206A9"/>
    <w:rsid w:val="009206F0"/>
    <w:rsid w:val="00920772"/>
    <w:rsid w:val="00920783"/>
    <w:rsid w:val="00920835"/>
    <w:rsid w:val="009209EA"/>
    <w:rsid w:val="00920AF9"/>
    <w:rsid w:val="00920CB3"/>
    <w:rsid w:val="00920E07"/>
    <w:rsid w:val="00920F46"/>
    <w:rsid w:val="00920FC2"/>
    <w:rsid w:val="00920FEE"/>
    <w:rsid w:val="0092102B"/>
    <w:rsid w:val="009210EF"/>
    <w:rsid w:val="0092110C"/>
    <w:rsid w:val="00921258"/>
    <w:rsid w:val="009212B5"/>
    <w:rsid w:val="009213B3"/>
    <w:rsid w:val="009213B8"/>
    <w:rsid w:val="009213C7"/>
    <w:rsid w:val="00921478"/>
    <w:rsid w:val="009214AE"/>
    <w:rsid w:val="0092156C"/>
    <w:rsid w:val="00921675"/>
    <w:rsid w:val="0092168D"/>
    <w:rsid w:val="009216A6"/>
    <w:rsid w:val="009216B3"/>
    <w:rsid w:val="009217E8"/>
    <w:rsid w:val="00921894"/>
    <w:rsid w:val="00921898"/>
    <w:rsid w:val="009219CE"/>
    <w:rsid w:val="009219D7"/>
    <w:rsid w:val="009219FA"/>
    <w:rsid w:val="00921A88"/>
    <w:rsid w:val="00921AA0"/>
    <w:rsid w:val="00921B91"/>
    <w:rsid w:val="00921BB9"/>
    <w:rsid w:val="00921BF6"/>
    <w:rsid w:val="00921C3E"/>
    <w:rsid w:val="00921CA6"/>
    <w:rsid w:val="00921EAF"/>
    <w:rsid w:val="00921F0C"/>
    <w:rsid w:val="00921FD8"/>
    <w:rsid w:val="00922061"/>
    <w:rsid w:val="00922175"/>
    <w:rsid w:val="00922229"/>
    <w:rsid w:val="00922246"/>
    <w:rsid w:val="0092242D"/>
    <w:rsid w:val="009224EA"/>
    <w:rsid w:val="00922540"/>
    <w:rsid w:val="009226A5"/>
    <w:rsid w:val="009227B2"/>
    <w:rsid w:val="009227C2"/>
    <w:rsid w:val="009227F3"/>
    <w:rsid w:val="0092287D"/>
    <w:rsid w:val="009229E9"/>
    <w:rsid w:val="00922A77"/>
    <w:rsid w:val="00922B88"/>
    <w:rsid w:val="00922B8B"/>
    <w:rsid w:val="00922BBA"/>
    <w:rsid w:val="00922C8C"/>
    <w:rsid w:val="00922D01"/>
    <w:rsid w:val="00922ED9"/>
    <w:rsid w:val="00922EFB"/>
    <w:rsid w:val="0092306B"/>
    <w:rsid w:val="009230DF"/>
    <w:rsid w:val="0092310B"/>
    <w:rsid w:val="009231B8"/>
    <w:rsid w:val="00923280"/>
    <w:rsid w:val="00923285"/>
    <w:rsid w:val="0092333C"/>
    <w:rsid w:val="009233F1"/>
    <w:rsid w:val="00923453"/>
    <w:rsid w:val="0092349E"/>
    <w:rsid w:val="00923556"/>
    <w:rsid w:val="00923628"/>
    <w:rsid w:val="00923743"/>
    <w:rsid w:val="00923752"/>
    <w:rsid w:val="009237EB"/>
    <w:rsid w:val="00923861"/>
    <w:rsid w:val="009238B8"/>
    <w:rsid w:val="00923A2B"/>
    <w:rsid w:val="00923C13"/>
    <w:rsid w:val="00923C36"/>
    <w:rsid w:val="00923C38"/>
    <w:rsid w:val="00923C56"/>
    <w:rsid w:val="00923C79"/>
    <w:rsid w:val="00923CA1"/>
    <w:rsid w:val="00923E95"/>
    <w:rsid w:val="00923F3B"/>
    <w:rsid w:val="00923F83"/>
    <w:rsid w:val="00923FEB"/>
    <w:rsid w:val="00924081"/>
    <w:rsid w:val="009240EC"/>
    <w:rsid w:val="0092434F"/>
    <w:rsid w:val="00924377"/>
    <w:rsid w:val="00924384"/>
    <w:rsid w:val="0092441C"/>
    <w:rsid w:val="00924424"/>
    <w:rsid w:val="0092455F"/>
    <w:rsid w:val="00924580"/>
    <w:rsid w:val="00924585"/>
    <w:rsid w:val="009246AB"/>
    <w:rsid w:val="009246D6"/>
    <w:rsid w:val="009246E4"/>
    <w:rsid w:val="00924997"/>
    <w:rsid w:val="00924C4B"/>
    <w:rsid w:val="00924D57"/>
    <w:rsid w:val="00924DBD"/>
    <w:rsid w:val="00924EA8"/>
    <w:rsid w:val="00924FB9"/>
    <w:rsid w:val="00925029"/>
    <w:rsid w:val="00925050"/>
    <w:rsid w:val="009250F7"/>
    <w:rsid w:val="00925135"/>
    <w:rsid w:val="00925137"/>
    <w:rsid w:val="009251A2"/>
    <w:rsid w:val="009251D9"/>
    <w:rsid w:val="009252FD"/>
    <w:rsid w:val="00925335"/>
    <w:rsid w:val="009253C3"/>
    <w:rsid w:val="00925470"/>
    <w:rsid w:val="009254AE"/>
    <w:rsid w:val="00925592"/>
    <w:rsid w:val="009256F7"/>
    <w:rsid w:val="00925711"/>
    <w:rsid w:val="0092589E"/>
    <w:rsid w:val="00925979"/>
    <w:rsid w:val="00925B11"/>
    <w:rsid w:val="00925C99"/>
    <w:rsid w:val="00925D20"/>
    <w:rsid w:val="00925D24"/>
    <w:rsid w:val="00925D4E"/>
    <w:rsid w:val="00925D56"/>
    <w:rsid w:val="00925D6B"/>
    <w:rsid w:val="00925E1D"/>
    <w:rsid w:val="00925E2C"/>
    <w:rsid w:val="00925EF5"/>
    <w:rsid w:val="00925F68"/>
    <w:rsid w:val="00925FBE"/>
    <w:rsid w:val="00926034"/>
    <w:rsid w:val="00926164"/>
    <w:rsid w:val="009261CA"/>
    <w:rsid w:val="00926218"/>
    <w:rsid w:val="00926372"/>
    <w:rsid w:val="009264EE"/>
    <w:rsid w:val="009264F6"/>
    <w:rsid w:val="00926692"/>
    <w:rsid w:val="009266B3"/>
    <w:rsid w:val="0092682A"/>
    <w:rsid w:val="00926849"/>
    <w:rsid w:val="0092684E"/>
    <w:rsid w:val="0092687B"/>
    <w:rsid w:val="00926912"/>
    <w:rsid w:val="00926930"/>
    <w:rsid w:val="00926A36"/>
    <w:rsid w:val="00926A59"/>
    <w:rsid w:val="00926A86"/>
    <w:rsid w:val="00926B04"/>
    <w:rsid w:val="00926B14"/>
    <w:rsid w:val="00926C64"/>
    <w:rsid w:val="00926CE1"/>
    <w:rsid w:val="00926D9C"/>
    <w:rsid w:val="00926EF8"/>
    <w:rsid w:val="009272B8"/>
    <w:rsid w:val="009272C4"/>
    <w:rsid w:val="00927365"/>
    <w:rsid w:val="00927434"/>
    <w:rsid w:val="0092749A"/>
    <w:rsid w:val="009274A4"/>
    <w:rsid w:val="009274D9"/>
    <w:rsid w:val="009274DE"/>
    <w:rsid w:val="00927567"/>
    <w:rsid w:val="009275B9"/>
    <w:rsid w:val="00927604"/>
    <w:rsid w:val="00927649"/>
    <w:rsid w:val="009276B2"/>
    <w:rsid w:val="009276CF"/>
    <w:rsid w:val="009277A2"/>
    <w:rsid w:val="0092788F"/>
    <w:rsid w:val="00927B3B"/>
    <w:rsid w:val="00927D1B"/>
    <w:rsid w:val="00927DB4"/>
    <w:rsid w:val="00927DD0"/>
    <w:rsid w:val="00927E26"/>
    <w:rsid w:val="00927EB0"/>
    <w:rsid w:val="00927EE6"/>
    <w:rsid w:val="00927F56"/>
    <w:rsid w:val="00927F88"/>
    <w:rsid w:val="00927F8A"/>
    <w:rsid w:val="00930004"/>
    <w:rsid w:val="009301BD"/>
    <w:rsid w:val="00930222"/>
    <w:rsid w:val="0093025D"/>
    <w:rsid w:val="009302B0"/>
    <w:rsid w:val="009302D3"/>
    <w:rsid w:val="00930306"/>
    <w:rsid w:val="0093033A"/>
    <w:rsid w:val="0093037B"/>
    <w:rsid w:val="009303AB"/>
    <w:rsid w:val="00930411"/>
    <w:rsid w:val="0093043C"/>
    <w:rsid w:val="0093047D"/>
    <w:rsid w:val="0093058E"/>
    <w:rsid w:val="00930598"/>
    <w:rsid w:val="009305BC"/>
    <w:rsid w:val="009305EE"/>
    <w:rsid w:val="00930608"/>
    <w:rsid w:val="009306EE"/>
    <w:rsid w:val="0093070F"/>
    <w:rsid w:val="00930846"/>
    <w:rsid w:val="0093094A"/>
    <w:rsid w:val="009309A0"/>
    <w:rsid w:val="00930ADC"/>
    <w:rsid w:val="00930BB9"/>
    <w:rsid w:val="00930C88"/>
    <w:rsid w:val="00930CC0"/>
    <w:rsid w:val="00930CEF"/>
    <w:rsid w:val="00930D51"/>
    <w:rsid w:val="00930D8C"/>
    <w:rsid w:val="00930DC6"/>
    <w:rsid w:val="00930ECC"/>
    <w:rsid w:val="00930F4A"/>
    <w:rsid w:val="00930F67"/>
    <w:rsid w:val="009310E2"/>
    <w:rsid w:val="0093117E"/>
    <w:rsid w:val="00931198"/>
    <w:rsid w:val="0093119D"/>
    <w:rsid w:val="009311D0"/>
    <w:rsid w:val="009311DC"/>
    <w:rsid w:val="009312AB"/>
    <w:rsid w:val="009312F5"/>
    <w:rsid w:val="0093130C"/>
    <w:rsid w:val="00931328"/>
    <w:rsid w:val="00931446"/>
    <w:rsid w:val="009314A3"/>
    <w:rsid w:val="0093154D"/>
    <w:rsid w:val="00931674"/>
    <w:rsid w:val="0093172C"/>
    <w:rsid w:val="0093176F"/>
    <w:rsid w:val="00931846"/>
    <w:rsid w:val="00931994"/>
    <w:rsid w:val="00931A19"/>
    <w:rsid w:val="00931A24"/>
    <w:rsid w:val="00931A9A"/>
    <w:rsid w:val="00931B23"/>
    <w:rsid w:val="00931B87"/>
    <w:rsid w:val="00931BF7"/>
    <w:rsid w:val="00931D07"/>
    <w:rsid w:val="00931DB4"/>
    <w:rsid w:val="00931DDF"/>
    <w:rsid w:val="00931E7C"/>
    <w:rsid w:val="00931EBA"/>
    <w:rsid w:val="00931F6F"/>
    <w:rsid w:val="00931FF3"/>
    <w:rsid w:val="0093202D"/>
    <w:rsid w:val="00932210"/>
    <w:rsid w:val="00932285"/>
    <w:rsid w:val="00932286"/>
    <w:rsid w:val="00932294"/>
    <w:rsid w:val="00932358"/>
    <w:rsid w:val="009323F7"/>
    <w:rsid w:val="00932436"/>
    <w:rsid w:val="0093246E"/>
    <w:rsid w:val="00932538"/>
    <w:rsid w:val="00932553"/>
    <w:rsid w:val="0093279E"/>
    <w:rsid w:val="009327E2"/>
    <w:rsid w:val="009327F6"/>
    <w:rsid w:val="00932847"/>
    <w:rsid w:val="009328A1"/>
    <w:rsid w:val="0093291C"/>
    <w:rsid w:val="00932AA4"/>
    <w:rsid w:val="00932AD7"/>
    <w:rsid w:val="00932C1E"/>
    <w:rsid w:val="00932CB7"/>
    <w:rsid w:val="00932DE4"/>
    <w:rsid w:val="00932F9A"/>
    <w:rsid w:val="00933056"/>
    <w:rsid w:val="0093309E"/>
    <w:rsid w:val="0093311F"/>
    <w:rsid w:val="0093313B"/>
    <w:rsid w:val="0093313F"/>
    <w:rsid w:val="0093316D"/>
    <w:rsid w:val="009331E8"/>
    <w:rsid w:val="0093323A"/>
    <w:rsid w:val="00933435"/>
    <w:rsid w:val="009334B7"/>
    <w:rsid w:val="00933746"/>
    <w:rsid w:val="009337F1"/>
    <w:rsid w:val="0093382E"/>
    <w:rsid w:val="0093386E"/>
    <w:rsid w:val="00933ABA"/>
    <w:rsid w:val="00933B22"/>
    <w:rsid w:val="00933BC0"/>
    <w:rsid w:val="00933C47"/>
    <w:rsid w:val="00933CB6"/>
    <w:rsid w:val="00933D84"/>
    <w:rsid w:val="00933E1E"/>
    <w:rsid w:val="00933E45"/>
    <w:rsid w:val="00933E5C"/>
    <w:rsid w:val="00933EEA"/>
    <w:rsid w:val="0093408C"/>
    <w:rsid w:val="009341DD"/>
    <w:rsid w:val="009342A5"/>
    <w:rsid w:val="00934391"/>
    <w:rsid w:val="009343CE"/>
    <w:rsid w:val="009344DB"/>
    <w:rsid w:val="009346F8"/>
    <w:rsid w:val="00934896"/>
    <w:rsid w:val="009348A5"/>
    <w:rsid w:val="00934A54"/>
    <w:rsid w:val="00934AAC"/>
    <w:rsid w:val="00934B27"/>
    <w:rsid w:val="00934C28"/>
    <w:rsid w:val="00934C64"/>
    <w:rsid w:val="00934CB8"/>
    <w:rsid w:val="00934CEE"/>
    <w:rsid w:val="00934D34"/>
    <w:rsid w:val="00934F64"/>
    <w:rsid w:val="00934FF3"/>
    <w:rsid w:val="0093503F"/>
    <w:rsid w:val="0093515C"/>
    <w:rsid w:val="009351BD"/>
    <w:rsid w:val="00935268"/>
    <w:rsid w:val="009352B8"/>
    <w:rsid w:val="009352DE"/>
    <w:rsid w:val="00935387"/>
    <w:rsid w:val="0093541A"/>
    <w:rsid w:val="0093543F"/>
    <w:rsid w:val="009354E4"/>
    <w:rsid w:val="0093551F"/>
    <w:rsid w:val="0093552D"/>
    <w:rsid w:val="0093558B"/>
    <w:rsid w:val="00935597"/>
    <w:rsid w:val="009355B1"/>
    <w:rsid w:val="009356D8"/>
    <w:rsid w:val="009356DD"/>
    <w:rsid w:val="00935759"/>
    <w:rsid w:val="009357A0"/>
    <w:rsid w:val="00935890"/>
    <w:rsid w:val="0093594B"/>
    <w:rsid w:val="0093595A"/>
    <w:rsid w:val="00935984"/>
    <w:rsid w:val="009359DD"/>
    <w:rsid w:val="00935ACE"/>
    <w:rsid w:val="00935BD5"/>
    <w:rsid w:val="00935CC0"/>
    <w:rsid w:val="00935CD0"/>
    <w:rsid w:val="00935CE6"/>
    <w:rsid w:val="00935D55"/>
    <w:rsid w:val="00935D93"/>
    <w:rsid w:val="00935DE6"/>
    <w:rsid w:val="00935F24"/>
    <w:rsid w:val="00935F94"/>
    <w:rsid w:val="00936009"/>
    <w:rsid w:val="009361A8"/>
    <w:rsid w:val="009361BD"/>
    <w:rsid w:val="009361CF"/>
    <w:rsid w:val="00936229"/>
    <w:rsid w:val="0093632B"/>
    <w:rsid w:val="00936345"/>
    <w:rsid w:val="0093634D"/>
    <w:rsid w:val="009364CF"/>
    <w:rsid w:val="00936556"/>
    <w:rsid w:val="00936822"/>
    <w:rsid w:val="009368EB"/>
    <w:rsid w:val="00936930"/>
    <w:rsid w:val="00936969"/>
    <w:rsid w:val="009369FB"/>
    <w:rsid w:val="00936A5E"/>
    <w:rsid w:val="00936B45"/>
    <w:rsid w:val="00936B70"/>
    <w:rsid w:val="00936B7D"/>
    <w:rsid w:val="00936D40"/>
    <w:rsid w:val="00936D76"/>
    <w:rsid w:val="00936DF7"/>
    <w:rsid w:val="00936E89"/>
    <w:rsid w:val="00936FF6"/>
    <w:rsid w:val="0093701E"/>
    <w:rsid w:val="00937053"/>
    <w:rsid w:val="009370CC"/>
    <w:rsid w:val="00937150"/>
    <w:rsid w:val="00937185"/>
    <w:rsid w:val="0093721E"/>
    <w:rsid w:val="009372E3"/>
    <w:rsid w:val="0093730A"/>
    <w:rsid w:val="009373FC"/>
    <w:rsid w:val="0093746C"/>
    <w:rsid w:val="0093752C"/>
    <w:rsid w:val="00937658"/>
    <w:rsid w:val="0093775B"/>
    <w:rsid w:val="0093778A"/>
    <w:rsid w:val="009377E8"/>
    <w:rsid w:val="00937939"/>
    <w:rsid w:val="00937995"/>
    <w:rsid w:val="00937A37"/>
    <w:rsid w:val="00937A60"/>
    <w:rsid w:val="00937AE0"/>
    <w:rsid w:val="00937C72"/>
    <w:rsid w:val="00937DD5"/>
    <w:rsid w:val="00937E94"/>
    <w:rsid w:val="00937FE8"/>
    <w:rsid w:val="0094004B"/>
    <w:rsid w:val="009400E6"/>
    <w:rsid w:val="00940115"/>
    <w:rsid w:val="009401B4"/>
    <w:rsid w:val="00940246"/>
    <w:rsid w:val="0094033B"/>
    <w:rsid w:val="009404A6"/>
    <w:rsid w:val="009404EA"/>
    <w:rsid w:val="0094057A"/>
    <w:rsid w:val="00940586"/>
    <w:rsid w:val="009406B6"/>
    <w:rsid w:val="009406F3"/>
    <w:rsid w:val="00940886"/>
    <w:rsid w:val="009408CC"/>
    <w:rsid w:val="009408D5"/>
    <w:rsid w:val="009409F8"/>
    <w:rsid w:val="00940ADD"/>
    <w:rsid w:val="00940B85"/>
    <w:rsid w:val="00940CE6"/>
    <w:rsid w:val="00940D1A"/>
    <w:rsid w:val="00940D28"/>
    <w:rsid w:val="00940DB0"/>
    <w:rsid w:val="00940DEA"/>
    <w:rsid w:val="00940E94"/>
    <w:rsid w:val="00940EF2"/>
    <w:rsid w:val="00940F28"/>
    <w:rsid w:val="00941107"/>
    <w:rsid w:val="00941114"/>
    <w:rsid w:val="00941174"/>
    <w:rsid w:val="00941228"/>
    <w:rsid w:val="0094122B"/>
    <w:rsid w:val="00941246"/>
    <w:rsid w:val="00941351"/>
    <w:rsid w:val="009413F8"/>
    <w:rsid w:val="00941489"/>
    <w:rsid w:val="0094156F"/>
    <w:rsid w:val="009415EF"/>
    <w:rsid w:val="0094167B"/>
    <w:rsid w:val="00941704"/>
    <w:rsid w:val="00941799"/>
    <w:rsid w:val="0094180F"/>
    <w:rsid w:val="00941861"/>
    <w:rsid w:val="009419EE"/>
    <w:rsid w:val="00941A2C"/>
    <w:rsid w:val="00941A5C"/>
    <w:rsid w:val="00941A8E"/>
    <w:rsid w:val="00941B02"/>
    <w:rsid w:val="00941B4C"/>
    <w:rsid w:val="00941C0F"/>
    <w:rsid w:val="00941C8C"/>
    <w:rsid w:val="00941D95"/>
    <w:rsid w:val="00941F02"/>
    <w:rsid w:val="00941FC3"/>
    <w:rsid w:val="00941FE5"/>
    <w:rsid w:val="00942060"/>
    <w:rsid w:val="00942158"/>
    <w:rsid w:val="009421C6"/>
    <w:rsid w:val="00942211"/>
    <w:rsid w:val="009422CB"/>
    <w:rsid w:val="009422CF"/>
    <w:rsid w:val="0094236A"/>
    <w:rsid w:val="00942630"/>
    <w:rsid w:val="0094267D"/>
    <w:rsid w:val="0094268C"/>
    <w:rsid w:val="009426FC"/>
    <w:rsid w:val="0094279C"/>
    <w:rsid w:val="009427C9"/>
    <w:rsid w:val="00942868"/>
    <w:rsid w:val="009428B1"/>
    <w:rsid w:val="00942964"/>
    <w:rsid w:val="009429DA"/>
    <w:rsid w:val="00942A26"/>
    <w:rsid w:val="00942B20"/>
    <w:rsid w:val="00942B3A"/>
    <w:rsid w:val="00942C32"/>
    <w:rsid w:val="00942DD5"/>
    <w:rsid w:val="00942DE0"/>
    <w:rsid w:val="00942E22"/>
    <w:rsid w:val="00942EBC"/>
    <w:rsid w:val="00942F0F"/>
    <w:rsid w:val="00942FD2"/>
    <w:rsid w:val="009430C7"/>
    <w:rsid w:val="00943195"/>
    <w:rsid w:val="00943290"/>
    <w:rsid w:val="00943294"/>
    <w:rsid w:val="00943327"/>
    <w:rsid w:val="00943363"/>
    <w:rsid w:val="00943378"/>
    <w:rsid w:val="0094356A"/>
    <w:rsid w:val="0094364A"/>
    <w:rsid w:val="009436DA"/>
    <w:rsid w:val="009437E6"/>
    <w:rsid w:val="00943967"/>
    <w:rsid w:val="00943AA3"/>
    <w:rsid w:val="00943BE6"/>
    <w:rsid w:val="00943C0E"/>
    <w:rsid w:val="00943C54"/>
    <w:rsid w:val="00943CC3"/>
    <w:rsid w:val="00943DD9"/>
    <w:rsid w:val="00943E84"/>
    <w:rsid w:val="00943EF0"/>
    <w:rsid w:val="00943F4A"/>
    <w:rsid w:val="00943FE4"/>
    <w:rsid w:val="009440E0"/>
    <w:rsid w:val="009441D1"/>
    <w:rsid w:val="00944263"/>
    <w:rsid w:val="00944275"/>
    <w:rsid w:val="0094427C"/>
    <w:rsid w:val="00944280"/>
    <w:rsid w:val="00944375"/>
    <w:rsid w:val="00944493"/>
    <w:rsid w:val="00944627"/>
    <w:rsid w:val="0094465B"/>
    <w:rsid w:val="00944720"/>
    <w:rsid w:val="009447E7"/>
    <w:rsid w:val="00944860"/>
    <w:rsid w:val="0094494A"/>
    <w:rsid w:val="0094499A"/>
    <w:rsid w:val="00944A01"/>
    <w:rsid w:val="00944D0F"/>
    <w:rsid w:val="00944D55"/>
    <w:rsid w:val="00944E49"/>
    <w:rsid w:val="00944E67"/>
    <w:rsid w:val="00944E9D"/>
    <w:rsid w:val="00944F00"/>
    <w:rsid w:val="00944F20"/>
    <w:rsid w:val="00944FB9"/>
    <w:rsid w:val="00944FF6"/>
    <w:rsid w:val="009450B8"/>
    <w:rsid w:val="009451A8"/>
    <w:rsid w:val="00945294"/>
    <w:rsid w:val="0094540B"/>
    <w:rsid w:val="00945491"/>
    <w:rsid w:val="00945726"/>
    <w:rsid w:val="0094575A"/>
    <w:rsid w:val="009457D4"/>
    <w:rsid w:val="00945839"/>
    <w:rsid w:val="00945960"/>
    <w:rsid w:val="0094599D"/>
    <w:rsid w:val="00945A85"/>
    <w:rsid w:val="00945BD8"/>
    <w:rsid w:val="00945D81"/>
    <w:rsid w:val="00945E98"/>
    <w:rsid w:val="00945EBB"/>
    <w:rsid w:val="00946082"/>
    <w:rsid w:val="009460B9"/>
    <w:rsid w:val="00946194"/>
    <w:rsid w:val="009461BD"/>
    <w:rsid w:val="009461BE"/>
    <w:rsid w:val="009462CA"/>
    <w:rsid w:val="00946325"/>
    <w:rsid w:val="00946387"/>
    <w:rsid w:val="009464ED"/>
    <w:rsid w:val="00946578"/>
    <w:rsid w:val="009465AD"/>
    <w:rsid w:val="009465E3"/>
    <w:rsid w:val="00946654"/>
    <w:rsid w:val="00946672"/>
    <w:rsid w:val="0094667A"/>
    <w:rsid w:val="00946728"/>
    <w:rsid w:val="0094675C"/>
    <w:rsid w:val="00946795"/>
    <w:rsid w:val="009468EC"/>
    <w:rsid w:val="00946958"/>
    <w:rsid w:val="009469CF"/>
    <w:rsid w:val="009469D9"/>
    <w:rsid w:val="009469F0"/>
    <w:rsid w:val="00946A5D"/>
    <w:rsid w:val="00946AC6"/>
    <w:rsid w:val="00946BAF"/>
    <w:rsid w:val="00946CAA"/>
    <w:rsid w:val="00946CBB"/>
    <w:rsid w:val="00946D9D"/>
    <w:rsid w:val="00946EBF"/>
    <w:rsid w:val="00946EEA"/>
    <w:rsid w:val="00946EEF"/>
    <w:rsid w:val="00946F1D"/>
    <w:rsid w:val="00946F2E"/>
    <w:rsid w:val="00946F43"/>
    <w:rsid w:val="00946FDF"/>
    <w:rsid w:val="0094704B"/>
    <w:rsid w:val="00947099"/>
    <w:rsid w:val="009470C5"/>
    <w:rsid w:val="00947101"/>
    <w:rsid w:val="00947106"/>
    <w:rsid w:val="00947129"/>
    <w:rsid w:val="00947262"/>
    <w:rsid w:val="00947389"/>
    <w:rsid w:val="0094743E"/>
    <w:rsid w:val="0094772C"/>
    <w:rsid w:val="009477BC"/>
    <w:rsid w:val="009477BF"/>
    <w:rsid w:val="009477F9"/>
    <w:rsid w:val="009478F9"/>
    <w:rsid w:val="00947976"/>
    <w:rsid w:val="00947B22"/>
    <w:rsid w:val="00947BE2"/>
    <w:rsid w:val="00947E07"/>
    <w:rsid w:val="00947E0E"/>
    <w:rsid w:val="00947E77"/>
    <w:rsid w:val="00947EEA"/>
    <w:rsid w:val="00947F24"/>
    <w:rsid w:val="00947F4D"/>
    <w:rsid w:val="00947FE8"/>
    <w:rsid w:val="00947FF3"/>
    <w:rsid w:val="00950121"/>
    <w:rsid w:val="00950128"/>
    <w:rsid w:val="009502DA"/>
    <w:rsid w:val="0095045D"/>
    <w:rsid w:val="00950615"/>
    <w:rsid w:val="00950674"/>
    <w:rsid w:val="009507AF"/>
    <w:rsid w:val="00950826"/>
    <w:rsid w:val="00950893"/>
    <w:rsid w:val="009508F0"/>
    <w:rsid w:val="00950930"/>
    <w:rsid w:val="009509F6"/>
    <w:rsid w:val="00950ABC"/>
    <w:rsid w:val="00950B1B"/>
    <w:rsid w:val="00950BBE"/>
    <w:rsid w:val="00950BC3"/>
    <w:rsid w:val="00950C10"/>
    <w:rsid w:val="00950D23"/>
    <w:rsid w:val="00950D42"/>
    <w:rsid w:val="00950D79"/>
    <w:rsid w:val="00950E90"/>
    <w:rsid w:val="00950F0B"/>
    <w:rsid w:val="00950F29"/>
    <w:rsid w:val="00950F5A"/>
    <w:rsid w:val="00951064"/>
    <w:rsid w:val="009510D5"/>
    <w:rsid w:val="00951212"/>
    <w:rsid w:val="0095125B"/>
    <w:rsid w:val="00951361"/>
    <w:rsid w:val="009513EA"/>
    <w:rsid w:val="00951525"/>
    <w:rsid w:val="00951577"/>
    <w:rsid w:val="009515E7"/>
    <w:rsid w:val="0095168A"/>
    <w:rsid w:val="009516DD"/>
    <w:rsid w:val="009518AA"/>
    <w:rsid w:val="00951947"/>
    <w:rsid w:val="00951A05"/>
    <w:rsid w:val="00951B11"/>
    <w:rsid w:val="00951B2A"/>
    <w:rsid w:val="00951B6E"/>
    <w:rsid w:val="00951BCD"/>
    <w:rsid w:val="00951BE5"/>
    <w:rsid w:val="00951BF8"/>
    <w:rsid w:val="00951E49"/>
    <w:rsid w:val="00951EA3"/>
    <w:rsid w:val="00951EB6"/>
    <w:rsid w:val="00951F01"/>
    <w:rsid w:val="00951F5B"/>
    <w:rsid w:val="00951FDC"/>
    <w:rsid w:val="0095202E"/>
    <w:rsid w:val="009520F3"/>
    <w:rsid w:val="0095216E"/>
    <w:rsid w:val="00952193"/>
    <w:rsid w:val="009521A9"/>
    <w:rsid w:val="00952298"/>
    <w:rsid w:val="00952303"/>
    <w:rsid w:val="0095237E"/>
    <w:rsid w:val="00952422"/>
    <w:rsid w:val="009524BA"/>
    <w:rsid w:val="0095257F"/>
    <w:rsid w:val="009525FA"/>
    <w:rsid w:val="00952670"/>
    <w:rsid w:val="00952738"/>
    <w:rsid w:val="00952975"/>
    <w:rsid w:val="00952AC3"/>
    <w:rsid w:val="00952AD3"/>
    <w:rsid w:val="00952B15"/>
    <w:rsid w:val="00952CCA"/>
    <w:rsid w:val="00952CDD"/>
    <w:rsid w:val="00952DAF"/>
    <w:rsid w:val="00952FA8"/>
    <w:rsid w:val="00953028"/>
    <w:rsid w:val="00953088"/>
    <w:rsid w:val="00953090"/>
    <w:rsid w:val="009530DB"/>
    <w:rsid w:val="009531ED"/>
    <w:rsid w:val="009532B8"/>
    <w:rsid w:val="009534B3"/>
    <w:rsid w:val="00953504"/>
    <w:rsid w:val="00953557"/>
    <w:rsid w:val="00953674"/>
    <w:rsid w:val="00953687"/>
    <w:rsid w:val="00953747"/>
    <w:rsid w:val="009537DC"/>
    <w:rsid w:val="0095387D"/>
    <w:rsid w:val="009538D1"/>
    <w:rsid w:val="009538F2"/>
    <w:rsid w:val="00953A8C"/>
    <w:rsid w:val="00953B39"/>
    <w:rsid w:val="00953C76"/>
    <w:rsid w:val="00953D73"/>
    <w:rsid w:val="00953E09"/>
    <w:rsid w:val="00953F23"/>
    <w:rsid w:val="00953F59"/>
    <w:rsid w:val="00953F90"/>
    <w:rsid w:val="00953FF7"/>
    <w:rsid w:val="009540E3"/>
    <w:rsid w:val="0095420C"/>
    <w:rsid w:val="009542FD"/>
    <w:rsid w:val="00954394"/>
    <w:rsid w:val="009543FF"/>
    <w:rsid w:val="00954488"/>
    <w:rsid w:val="0095451D"/>
    <w:rsid w:val="00954576"/>
    <w:rsid w:val="009546AC"/>
    <w:rsid w:val="00954748"/>
    <w:rsid w:val="009547A4"/>
    <w:rsid w:val="009547E3"/>
    <w:rsid w:val="009547EF"/>
    <w:rsid w:val="00954825"/>
    <w:rsid w:val="00954935"/>
    <w:rsid w:val="00954AF2"/>
    <w:rsid w:val="00954BFA"/>
    <w:rsid w:val="00954C59"/>
    <w:rsid w:val="00954C6C"/>
    <w:rsid w:val="00954CD9"/>
    <w:rsid w:val="00954D10"/>
    <w:rsid w:val="00954DAB"/>
    <w:rsid w:val="00954E09"/>
    <w:rsid w:val="00954FE3"/>
    <w:rsid w:val="0095503A"/>
    <w:rsid w:val="0095517B"/>
    <w:rsid w:val="0095517D"/>
    <w:rsid w:val="0095524A"/>
    <w:rsid w:val="00955338"/>
    <w:rsid w:val="00955568"/>
    <w:rsid w:val="00955575"/>
    <w:rsid w:val="009555F2"/>
    <w:rsid w:val="00955665"/>
    <w:rsid w:val="009556A3"/>
    <w:rsid w:val="0095576B"/>
    <w:rsid w:val="0095580B"/>
    <w:rsid w:val="00955826"/>
    <w:rsid w:val="009558D7"/>
    <w:rsid w:val="0095593F"/>
    <w:rsid w:val="009559F1"/>
    <w:rsid w:val="00955AC5"/>
    <w:rsid w:val="00955B82"/>
    <w:rsid w:val="00955C96"/>
    <w:rsid w:val="00955CBD"/>
    <w:rsid w:val="00955CD4"/>
    <w:rsid w:val="00955D7B"/>
    <w:rsid w:val="00955E28"/>
    <w:rsid w:val="00955FD1"/>
    <w:rsid w:val="00956053"/>
    <w:rsid w:val="00956094"/>
    <w:rsid w:val="00956152"/>
    <w:rsid w:val="009561C9"/>
    <w:rsid w:val="009562F9"/>
    <w:rsid w:val="0095635E"/>
    <w:rsid w:val="009563B5"/>
    <w:rsid w:val="00956486"/>
    <w:rsid w:val="00956554"/>
    <w:rsid w:val="009565A2"/>
    <w:rsid w:val="00956611"/>
    <w:rsid w:val="00956623"/>
    <w:rsid w:val="00956658"/>
    <w:rsid w:val="00956703"/>
    <w:rsid w:val="00956860"/>
    <w:rsid w:val="00956874"/>
    <w:rsid w:val="0095690A"/>
    <w:rsid w:val="00956936"/>
    <w:rsid w:val="00956A37"/>
    <w:rsid w:val="00956A98"/>
    <w:rsid w:val="00956C71"/>
    <w:rsid w:val="00956C83"/>
    <w:rsid w:val="00956CBF"/>
    <w:rsid w:val="00956CC4"/>
    <w:rsid w:val="00956E52"/>
    <w:rsid w:val="00956EB8"/>
    <w:rsid w:val="00957002"/>
    <w:rsid w:val="00957046"/>
    <w:rsid w:val="009570B9"/>
    <w:rsid w:val="00957149"/>
    <w:rsid w:val="00957353"/>
    <w:rsid w:val="0095740D"/>
    <w:rsid w:val="0095745B"/>
    <w:rsid w:val="00957591"/>
    <w:rsid w:val="009575A6"/>
    <w:rsid w:val="00957672"/>
    <w:rsid w:val="0095767B"/>
    <w:rsid w:val="00957705"/>
    <w:rsid w:val="009577AF"/>
    <w:rsid w:val="009577E4"/>
    <w:rsid w:val="0095784E"/>
    <w:rsid w:val="009578B1"/>
    <w:rsid w:val="009578BF"/>
    <w:rsid w:val="009578CC"/>
    <w:rsid w:val="009578F6"/>
    <w:rsid w:val="009578F8"/>
    <w:rsid w:val="00957ACB"/>
    <w:rsid w:val="00957BDD"/>
    <w:rsid w:val="00957C5C"/>
    <w:rsid w:val="00957CE6"/>
    <w:rsid w:val="00957DB6"/>
    <w:rsid w:val="00957DDB"/>
    <w:rsid w:val="00957E32"/>
    <w:rsid w:val="00957FF1"/>
    <w:rsid w:val="00960015"/>
    <w:rsid w:val="00960073"/>
    <w:rsid w:val="009600A5"/>
    <w:rsid w:val="00960111"/>
    <w:rsid w:val="00960218"/>
    <w:rsid w:val="00960249"/>
    <w:rsid w:val="009603FD"/>
    <w:rsid w:val="00960497"/>
    <w:rsid w:val="00960535"/>
    <w:rsid w:val="0096058A"/>
    <w:rsid w:val="009605DD"/>
    <w:rsid w:val="00960608"/>
    <w:rsid w:val="0096060D"/>
    <w:rsid w:val="00960661"/>
    <w:rsid w:val="009606B0"/>
    <w:rsid w:val="00960702"/>
    <w:rsid w:val="0096071A"/>
    <w:rsid w:val="00960824"/>
    <w:rsid w:val="00960873"/>
    <w:rsid w:val="009608DE"/>
    <w:rsid w:val="00960915"/>
    <w:rsid w:val="00960951"/>
    <w:rsid w:val="00960BA6"/>
    <w:rsid w:val="00960C5E"/>
    <w:rsid w:val="00960C68"/>
    <w:rsid w:val="00960C9F"/>
    <w:rsid w:val="00960CFE"/>
    <w:rsid w:val="00960F0C"/>
    <w:rsid w:val="00960F32"/>
    <w:rsid w:val="00960FA8"/>
    <w:rsid w:val="00961068"/>
    <w:rsid w:val="00961176"/>
    <w:rsid w:val="009611C6"/>
    <w:rsid w:val="009612B5"/>
    <w:rsid w:val="0096131F"/>
    <w:rsid w:val="009613B0"/>
    <w:rsid w:val="00961457"/>
    <w:rsid w:val="0096148E"/>
    <w:rsid w:val="009615A4"/>
    <w:rsid w:val="0096177D"/>
    <w:rsid w:val="009617C5"/>
    <w:rsid w:val="009619B9"/>
    <w:rsid w:val="009619BD"/>
    <w:rsid w:val="00961A13"/>
    <w:rsid w:val="00961A72"/>
    <w:rsid w:val="00961B20"/>
    <w:rsid w:val="00961B97"/>
    <w:rsid w:val="00961C82"/>
    <w:rsid w:val="00961CA8"/>
    <w:rsid w:val="00961CC0"/>
    <w:rsid w:val="00961CF2"/>
    <w:rsid w:val="00961D4D"/>
    <w:rsid w:val="00961D53"/>
    <w:rsid w:val="00961D83"/>
    <w:rsid w:val="00961D8C"/>
    <w:rsid w:val="00961E13"/>
    <w:rsid w:val="00961F75"/>
    <w:rsid w:val="00961FA5"/>
    <w:rsid w:val="00962065"/>
    <w:rsid w:val="009620A4"/>
    <w:rsid w:val="00962100"/>
    <w:rsid w:val="0096226F"/>
    <w:rsid w:val="009622CF"/>
    <w:rsid w:val="00962320"/>
    <w:rsid w:val="009623C3"/>
    <w:rsid w:val="009623DE"/>
    <w:rsid w:val="00962428"/>
    <w:rsid w:val="00962443"/>
    <w:rsid w:val="0096244B"/>
    <w:rsid w:val="009624D9"/>
    <w:rsid w:val="0096252C"/>
    <w:rsid w:val="00962593"/>
    <w:rsid w:val="00962606"/>
    <w:rsid w:val="00962732"/>
    <w:rsid w:val="0096279E"/>
    <w:rsid w:val="009627CA"/>
    <w:rsid w:val="009629C6"/>
    <w:rsid w:val="00962AB3"/>
    <w:rsid w:val="00962AE7"/>
    <w:rsid w:val="00962B06"/>
    <w:rsid w:val="00962B54"/>
    <w:rsid w:val="00962B5E"/>
    <w:rsid w:val="00962B72"/>
    <w:rsid w:val="00962C18"/>
    <w:rsid w:val="00962CC2"/>
    <w:rsid w:val="00962D33"/>
    <w:rsid w:val="00962D6A"/>
    <w:rsid w:val="00962D6D"/>
    <w:rsid w:val="00962DA9"/>
    <w:rsid w:val="00962DE7"/>
    <w:rsid w:val="00962E85"/>
    <w:rsid w:val="00962E92"/>
    <w:rsid w:val="00962ED3"/>
    <w:rsid w:val="00962F79"/>
    <w:rsid w:val="00963030"/>
    <w:rsid w:val="009631FD"/>
    <w:rsid w:val="00963310"/>
    <w:rsid w:val="0096332D"/>
    <w:rsid w:val="0096351A"/>
    <w:rsid w:val="00963539"/>
    <w:rsid w:val="00963595"/>
    <w:rsid w:val="00963766"/>
    <w:rsid w:val="00963796"/>
    <w:rsid w:val="0096379B"/>
    <w:rsid w:val="00963902"/>
    <w:rsid w:val="0096395C"/>
    <w:rsid w:val="009639AC"/>
    <w:rsid w:val="00963AD5"/>
    <w:rsid w:val="00963BFD"/>
    <w:rsid w:val="00963D29"/>
    <w:rsid w:val="00963D92"/>
    <w:rsid w:val="00963DC5"/>
    <w:rsid w:val="00963E96"/>
    <w:rsid w:val="00964051"/>
    <w:rsid w:val="00964074"/>
    <w:rsid w:val="0096410E"/>
    <w:rsid w:val="0096426A"/>
    <w:rsid w:val="00964313"/>
    <w:rsid w:val="00964323"/>
    <w:rsid w:val="0096437F"/>
    <w:rsid w:val="00964392"/>
    <w:rsid w:val="009644B4"/>
    <w:rsid w:val="00964589"/>
    <w:rsid w:val="009645C1"/>
    <w:rsid w:val="0096464A"/>
    <w:rsid w:val="009647A8"/>
    <w:rsid w:val="009648FA"/>
    <w:rsid w:val="00964909"/>
    <w:rsid w:val="0096494B"/>
    <w:rsid w:val="00964A36"/>
    <w:rsid w:val="00964A7C"/>
    <w:rsid w:val="00964B67"/>
    <w:rsid w:val="00964CDE"/>
    <w:rsid w:val="00964D62"/>
    <w:rsid w:val="00964D74"/>
    <w:rsid w:val="00964DB9"/>
    <w:rsid w:val="00964E41"/>
    <w:rsid w:val="00964EA0"/>
    <w:rsid w:val="00964F3A"/>
    <w:rsid w:val="0096501A"/>
    <w:rsid w:val="009650BA"/>
    <w:rsid w:val="00965144"/>
    <w:rsid w:val="0096527D"/>
    <w:rsid w:val="0096531F"/>
    <w:rsid w:val="009653EB"/>
    <w:rsid w:val="009653F2"/>
    <w:rsid w:val="009654D3"/>
    <w:rsid w:val="00965559"/>
    <w:rsid w:val="0096577F"/>
    <w:rsid w:val="009658D2"/>
    <w:rsid w:val="0096592B"/>
    <w:rsid w:val="00965A4A"/>
    <w:rsid w:val="00965A81"/>
    <w:rsid w:val="00965A9B"/>
    <w:rsid w:val="00965B7F"/>
    <w:rsid w:val="00965B85"/>
    <w:rsid w:val="00965B8E"/>
    <w:rsid w:val="00965C34"/>
    <w:rsid w:val="00965EDC"/>
    <w:rsid w:val="00965EE3"/>
    <w:rsid w:val="00965F27"/>
    <w:rsid w:val="00965F5A"/>
    <w:rsid w:val="0096603C"/>
    <w:rsid w:val="00966274"/>
    <w:rsid w:val="00966308"/>
    <w:rsid w:val="0096644E"/>
    <w:rsid w:val="0096647D"/>
    <w:rsid w:val="00966513"/>
    <w:rsid w:val="0096653A"/>
    <w:rsid w:val="00966572"/>
    <w:rsid w:val="00966579"/>
    <w:rsid w:val="009665F8"/>
    <w:rsid w:val="00966687"/>
    <w:rsid w:val="009666CF"/>
    <w:rsid w:val="009667C9"/>
    <w:rsid w:val="009667EF"/>
    <w:rsid w:val="009668C2"/>
    <w:rsid w:val="009669BB"/>
    <w:rsid w:val="009669D8"/>
    <w:rsid w:val="00966A54"/>
    <w:rsid w:val="00966A5A"/>
    <w:rsid w:val="00966A6E"/>
    <w:rsid w:val="00966AD5"/>
    <w:rsid w:val="00966B15"/>
    <w:rsid w:val="00966B66"/>
    <w:rsid w:val="00966CAF"/>
    <w:rsid w:val="00966D28"/>
    <w:rsid w:val="00966D7C"/>
    <w:rsid w:val="00966DAA"/>
    <w:rsid w:val="00966F07"/>
    <w:rsid w:val="00966FB1"/>
    <w:rsid w:val="00966FB4"/>
    <w:rsid w:val="0096703D"/>
    <w:rsid w:val="009670B3"/>
    <w:rsid w:val="00967151"/>
    <w:rsid w:val="0096718A"/>
    <w:rsid w:val="009671DA"/>
    <w:rsid w:val="009671DC"/>
    <w:rsid w:val="009671E9"/>
    <w:rsid w:val="0096736C"/>
    <w:rsid w:val="00967395"/>
    <w:rsid w:val="009673AC"/>
    <w:rsid w:val="0096748B"/>
    <w:rsid w:val="009675CE"/>
    <w:rsid w:val="00967614"/>
    <w:rsid w:val="0096772F"/>
    <w:rsid w:val="00967758"/>
    <w:rsid w:val="0096780F"/>
    <w:rsid w:val="00967886"/>
    <w:rsid w:val="00967944"/>
    <w:rsid w:val="00967A55"/>
    <w:rsid w:val="00967AFB"/>
    <w:rsid w:val="00967C4D"/>
    <w:rsid w:val="00967C75"/>
    <w:rsid w:val="00967CC5"/>
    <w:rsid w:val="00967F1D"/>
    <w:rsid w:val="0097002C"/>
    <w:rsid w:val="00970251"/>
    <w:rsid w:val="00970457"/>
    <w:rsid w:val="009704E5"/>
    <w:rsid w:val="00970512"/>
    <w:rsid w:val="009705F7"/>
    <w:rsid w:val="0097087D"/>
    <w:rsid w:val="0097087F"/>
    <w:rsid w:val="009708EE"/>
    <w:rsid w:val="0097092B"/>
    <w:rsid w:val="009709C2"/>
    <w:rsid w:val="00970A24"/>
    <w:rsid w:val="00970A9E"/>
    <w:rsid w:val="00970B1B"/>
    <w:rsid w:val="00970B9A"/>
    <w:rsid w:val="00970BEC"/>
    <w:rsid w:val="00970C9F"/>
    <w:rsid w:val="00970CD1"/>
    <w:rsid w:val="00970D3B"/>
    <w:rsid w:val="00970D8C"/>
    <w:rsid w:val="00970E79"/>
    <w:rsid w:val="00970F9F"/>
    <w:rsid w:val="00970FAB"/>
    <w:rsid w:val="009710E8"/>
    <w:rsid w:val="009712CD"/>
    <w:rsid w:val="0097130B"/>
    <w:rsid w:val="0097135A"/>
    <w:rsid w:val="00971367"/>
    <w:rsid w:val="00971647"/>
    <w:rsid w:val="0097169F"/>
    <w:rsid w:val="009716AC"/>
    <w:rsid w:val="0097181B"/>
    <w:rsid w:val="009718AF"/>
    <w:rsid w:val="00971A85"/>
    <w:rsid w:val="00971AB8"/>
    <w:rsid w:val="00971BE2"/>
    <w:rsid w:val="00971C88"/>
    <w:rsid w:val="00971D39"/>
    <w:rsid w:val="00971D4F"/>
    <w:rsid w:val="00971D85"/>
    <w:rsid w:val="00971F43"/>
    <w:rsid w:val="00971F4A"/>
    <w:rsid w:val="00971FA5"/>
    <w:rsid w:val="0097217D"/>
    <w:rsid w:val="00972184"/>
    <w:rsid w:val="00972346"/>
    <w:rsid w:val="0097244C"/>
    <w:rsid w:val="0097248E"/>
    <w:rsid w:val="0097255E"/>
    <w:rsid w:val="00972565"/>
    <w:rsid w:val="0097257F"/>
    <w:rsid w:val="00972672"/>
    <w:rsid w:val="00972774"/>
    <w:rsid w:val="009727AD"/>
    <w:rsid w:val="0097292B"/>
    <w:rsid w:val="00972935"/>
    <w:rsid w:val="00972960"/>
    <w:rsid w:val="00972965"/>
    <w:rsid w:val="00972B39"/>
    <w:rsid w:val="00972C48"/>
    <w:rsid w:val="00972C61"/>
    <w:rsid w:val="00972CE5"/>
    <w:rsid w:val="00972D12"/>
    <w:rsid w:val="00972D8C"/>
    <w:rsid w:val="00972DC5"/>
    <w:rsid w:val="00972DF0"/>
    <w:rsid w:val="00972EA6"/>
    <w:rsid w:val="00972F19"/>
    <w:rsid w:val="009730D1"/>
    <w:rsid w:val="009731BF"/>
    <w:rsid w:val="00973222"/>
    <w:rsid w:val="0097322C"/>
    <w:rsid w:val="0097327A"/>
    <w:rsid w:val="0097337D"/>
    <w:rsid w:val="009734A6"/>
    <w:rsid w:val="0097362B"/>
    <w:rsid w:val="00973632"/>
    <w:rsid w:val="00973658"/>
    <w:rsid w:val="009736A3"/>
    <w:rsid w:val="009737F1"/>
    <w:rsid w:val="00973805"/>
    <w:rsid w:val="0097382C"/>
    <w:rsid w:val="009738C2"/>
    <w:rsid w:val="009739AC"/>
    <w:rsid w:val="00973A21"/>
    <w:rsid w:val="00973C13"/>
    <w:rsid w:val="00973C69"/>
    <w:rsid w:val="00973D16"/>
    <w:rsid w:val="00973DCA"/>
    <w:rsid w:val="00973E33"/>
    <w:rsid w:val="00973EF6"/>
    <w:rsid w:val="00973F15"/>
    <w:rsid w:val="00973FA4"/>
    <w:rsid w:val="0097401E"/>
    <w:rsid w:val="0097407E"/>
    <w:rsid w:val="0097415B"/>
    <w:rsid w:val="0097420D"/>
    <w:rsid w:val="00974213"/>
    <w:rsid w:val="00974214"/>
    <w:rsid w:val="00974231"/>
    <w:rsid w:val="00974333"/>
    <w:rsid w:val="009743FC"/>
    <w:rsid w:val="00974415"/>
    <w:rsid w:val="00974438"/>
    <w:rsid w:val="0097449C"/>
    <w:rsid w:val="009744EF"/>
    <w:rsid w:val="0097470C"/>
    <w:rsid w:val="009748B0"/>
    <w:rsid w:val="00974A23"/>
    <w:rsid w:val="00974AE2"/>
    <w:rsid w:val="00974B37"/>
    <w:rsid w:val="00974BA1"/>
    <w:rsid w:val="00974C2C"/>
    <w:rsid w:val="00974D21"/>
    <w:rsid w:val="00974D42"/>
    <w:rsid w:val="00974E27"/>
    <w:rsid w:val="00974E84"/>
    <w:rsid w:val="00974F31"/>
    <w:rsid w:val="0097508F"/>
    <w:rsid w:val="009750ED"/>
    <w:rsid w:val="0097512B"/>
    <w:rsid w:val="00975207"/>
    <w:rsid w:val="0097525E"/>
    <w:rsid w:val="0097527D"/>
    <w:rsid w:val="00975308"/>
    <w:rsid w:val="00975436"/>
    <w:rsid w:val="0097552D"/>
    <w:rsid w:val="00975554"/>
    <w:rsid w:val="009755A3"/>
    <w:rsid w:val="009755D0"/>
    <w:rsid w:val="00975790"/>
    <w:rsid w:val="009757E5"/>
    <w:rsid w:val="0097584E"/>
    <w:rsid w:val="009758A2"/>
    <w:rsid w:val="009758E3"/>
    <w:rsid w:val="009758EE"/>
    <w:rsid w:val="009759F3"/>
    <w:rsid w:val="00975AC2"/>
    <w:rsid w:val="00975DE9"/>
    <w:rsid w:val="00975EA6"/>
    <w:rsid w:val="00975F97"/>
    <w:rsid w:val="00976010"/>
    <w:rsid w:val="00976058"/>
    <w:rsid w:val="00976080"/>
    <w:rsid w:val="009760BB"/>
    <w:rsid w:val="009761D7"/>
    <w:rsid w:val="009762DE"/>
    <w:rsid w:val="0097630D"/>
    <w:rsid w:val="00976392"/>
    <w:rsid w:val="00976394"/>
    <w:rsid w:val="00976474"/>
    <w:rsid w:val="009764D7"/>
    <w:rsid w:val="0097654B"/>
    <w:rsid w:val="00976674"/>
    <w:rsid w:val="00976750"/>
    <w:rsid w:val="00976798"/>
    <w:rsid w:val="009768B2"/>
    <w:rsid w:val="009768CE"/>
    <w:rsid w:val="00976916"/>
    <w:rsid w:val="00976A07"/>
    <w:rsid w:val="00976A13"/>
    <w:rsid w:val="00976AE1"/>
    <w:rsid w:val="00976B80"/>
    <w:rsid w:val="00976BD3"/>
    <w:rsid w:val="00976E36"/>
    <w:rsid w:val="00976EC9"/>
    <w:rsid w:val="00976F09"/>
    <w:rsid w:val="00976F61"/>
    <w:rsid w:val="00977002"/>
    <w:rsid w:val="00977139"/>
    <w:rsid w:val="009772C2"/>
    <w:rsid w:val="009772D6"/>
    <w:rsid w:val="009773EF"/>
    <w:rsid w:val="00977490"/>
    <w:rsid w:val="0097756A"/>
    <w:rsid w:val="0097756C"/>
    <w:rsid w:val="0097757A"/>
    <w:rsid w:val="0097774F"/>
    <w:rsid w:val="00977806"/>
    <w:rsid w:val="0097787F"/>
    <w:rsid w:val="009778A6"/>
    <w:rsid w:val="009778D1"/>
    <w:rsid w:val="00977987"/>
    <w:rsid w:val="00977A4A"/>
    <w:rsid w:val="00977A87"/>
    <w:rsid w:val="00977AC1"/>
    <w:rsid w:val="00977AD1"/>
    <w:rsid w:val="00977B03"/>
    <w:rsid w:val="00977B2C"/>
    <w:rsid w:val="00977DA6"/>
    <w:rsid w:val="00977E13"/>
    <w:rsid w:val="00977E18"/>
    <w:rsid w:val="00977F32"/>
    <w:rsid w:val="00977F6B"/>
    <w:rsid w:val="00977FBE"/>
    <w:rsid w:val="00977FE0"/>
    <w:rsid w:val="00980077"/>
    <w:rsid w:val="0098009C"/>
    <w:rsid w:val="0098017A"/>
    <w:rsid w:val="009801E7"/>
    <w:rsid w:val="009801F7"/>
    <w:rsid w:val="0098021A"/>
    <w:rsid w:val="00980247"/>
    <w:rsid w:val="009802A8"/>
    <w:rsid w:val="0098036F"/>
    <w:rsid w:val="009803E1"/>
    <w:rsid w:val="00980483"/>
    <w:rsid w:val="00980523"/>
    <w:rsid w:val="00980531"/>
    <w:rsid w:val="00980797"/>
    <w:rsid w:val="009807BC"/>
    <w:rsid w:val="00980847"/>
    <w:rsid w:val="00980881"/>
    <w:rsid w:val="00980898"/>
    <w:rsid w:val="0098089E"/>
    <w:rsid w:val="009808CE"/>
    <w:rsid w:val="00980922"/>
    <w:rsid w:val="009809D9"/>
    <w:rsid w:val="00980A29"/>
    <w:rsid w:val="00980B42"/>
    <w:rsid w:val="00980C4A"/>
    <w:rsid w:val="00980CF2"/>
    <w:rsid w:val="00980D12"/>
    <w:rsid w:val="00980D87"/>
    <w:rsid w:val="00980DEA"/>
    <w:rsid w:val="00980F47"/>
    <w:rsid w:val="00980F6A"/>
    <w:rsid w:val="009810D4"/>
    <w:rsid w:val="00981125"/>
    <w:rsid w:val="00981196"/>
    <w:rsid w:val="009811A9"/>
    <w:rsid w:val="009811C4"/>
    <w:rsid w:val="00981216"/>
    <w:rsid w:val="0098124E"/>
    <w:rsid w:val="0098127C"/>
    <w:rsid w:val="00981335"/>
    <w:rsid w:val="00981379"/>
    <w:rsid w:val="009814AB"/>
    <w:rsid w:val="009814D1"/>
    <w:rsid w:val="0098154A"/>
    <w:rsid w:val="00981655"/>
    <w:rsid w:val="00981672"/>
    <w:rsid w:val="00981764"/>
    <w:rsid w:val="009818FF"/>
    <w:rsid w:val="0098193F"/>
    <w:rsid w:val="00981A18"/>
    <w:rsid w:val="00981A3A"/>
    <w:rsid w:val="00981BD6"/>
    <w:rsid w:val="00981CC2"/>
    <w:rsid w:val="00981CEB"/>
    <w:rsid w:val="00981DBF"/>
    <w:rsid w:val="00981DDA"/>
    <w:rsid w:val="00981DF8"/>
    <w:rsid w:val="00981E6F"/>
    <w:rsid w:val="00981E79"/>
    <w:rsid w:val="00981EBE"/>
    <w:rsid w:val="00981FF6"/>
    <w:rsid w:val="00982004"/>
    <w:rsid w:val="0098207A"/>
    <w:rsid w:val="009820E8"/>
    <w:rsid w:val="0098217D"/>
    <w:rsid w:val="0098218A"/>
    <w:rsid w:val="0098230E"/>
    <w:rsid w:val="00982484"/>
    <w:rsid w:val="00982500"/>
    <w:rsid w:val="00982505"/>
    <w:rsid w:val="00982588"/>
    <w:rsid w:val="009825CD"/>
    <w:rsid w:val="0098262C"/>
    <w:rsid w:val="0098268D"/>
    <w:rsid w:val="00982748"/>
    <w:rsid w:val="00982792"/>
    <w:rsid w:val="009827A0"/>
    <w:rsid w:val="00982847"/>
    <w:rsid w:val="0098288D"/>
    <w:rsid w:val="009828F7"/>
    <w:rsid w:val="0098293B"/>
    <w:rsid w:val="00982AEF"/>
    <w:rsid w:val="00982C7D"/>
    <w:rsid w:val="00982CC9"/>
    <w:rsid w:val="00982CD0"/>
    <w:rsid w:val="00982D3A"/>
    <w:rsid w:val="00982D62"/>
    <w:rsid w:val="00982EF0"/>
    <w:rsid w:val="00983041"/>
    <w:rsid w:val="00983047"/>
    <w:rsid w:val="009830CD"/>
    <w:rsid w:val="0098319D"/>
    <w:rsid w:val="00983205"/>
    <w:rsid w:val="00983281"/>
    <w:rsid w:val="009832BE"/>
    <w:rsid w:val="009832F0"/>
    <w:rsid w:val="009833ED"/>
    <w:rsid w:val="009835C8"/>
    <w:rsid w:val="009835E8"/>
    <w:rsid w:val="009836AC"/>
    <w:rsid w:val="009837CD"/>
    <w:rsid w:val="00983832"/>
    <w:rsid w:val="00983932"/>
    <w:rsid w:val="00983993"/>
    <w:rsid w:val="00983AA2"/>
    <w:rsid w:val="00983AF3"/>
    <w:rsid w:val="00983BE2"/>
    <w:rsid w:val="00983CE0"/>
    <w:rsid w:val="00983D5A"/>
    <w:rsid w:val="00983D9E"/>
    <w:rsid w:val="00983DAB"/>
    <w:rsid w:val="00983E66"/>
    <w:rsid w:val="00983F2B"/>
    <w:rsid w:val="00983FD7"/>
    <w:rsid w:val="00984259"/>
    <w:rsid w:val="009842F4"/>
    <w:rsid w:val="0098448B"/>
    <w:rsid w:val="009844E8"/>
    <w:rsid w:val="0098452D"/>
    <w:rsid w:val="00984554"/>
    <w:rsid w:val="00984707"/>
    <w:rsid w:val="0098481A"/>
    <w:rsid w:val="0098498C"/>
    <w:rsid w:val="00984998"/>
    <w:rsid w:val="00984B5C"/>
    <w:rsid w:val="00984B7B"/>
    <w:rsid w:val="00984B93"/>
    <w:rsid w:val="00984C5C"/>
    <w:rsid w:val="00984CC3"/>
    <w:rsid w:val="00984D2E"/>
    <w:rsid w:val="00984D9B"/>
    <w:rsid w:val="00984EE4"/>
    <w:rsid w:val="00984F25"/>
    <w:rsid w:val="00984F60"/>
    <w:rsid w:val="009850DA"/>
    <w:rsid w:val="009851CE"/>
    <w:rsid w:val="009851DC"/>
    <w:rsid w:val="00985273"/>
    <w:rsid w:val="0098541A"/>
    <w:rsid w:val="009854D4"/>
    <w:rsid w:val="00985505"/>
    <w:rsid w:val="0098569E"/>
    <w:rsid w:val="009856C7"/>
    <w:rsid w:val="00985729"/>
    <w:rsid w:val="0098587C"/>
    <w:rsid w:val="00985896"/>
    <w:rsid w:val="00985911"/>
    <w:rsid w:val="00985AB7"/>
    <w:rsid w:val="00985BDF"/>
    <w:rsid w:val="00985BFC"/>
    <w:rsid w:val="00985D2E"/>
    <w:rsid w:val="00986012"/>
    <w:rsid w:val="00986061"/>
    <w:rsid w:val="0098606B"/>
    <w:rsid w:val="00986105"/>
    <w:rsid w:val="00986156"/>
    <w:rsid w:val="00986239"/>
    <w:rsid w:val="00986312"/>
    <w:rsid w:val="00986486"/>
    <w:rsid w:val="0098649E"/>
    <w:rsid w:val="009864D4"/>
    <w:rsid w:val="0098666D"/>
    <w:rsid w:val="009866F2"/>
    <w:rsid w:val="0098670E"/>
    <w:rsid w:val="00986710"/>
    <w:rsid w:val="0098675E"/>
    <w:rsid w:val="009867B3"/>
    <w:rsid w:val="0098688C"/>
    <w:rsid w:val="00986892"/>
    <w:rsid w:val="00986902"/>
    <w:rsid w:val="00986AB3"/>
    <w:rsid w:val="00986AC9"/>
    <w:rsid w:val="00986C4B"/>
    <w:rsid w:val="00986C8C"/>
    <w:rsid w:val="00986C94"/>
    <w:rsid w:val="00986D8E"/>
    <w:rsid w:val="00986E1B"/>
    <w:rsid w:val="00986F43"/>
    <w:rsid w:val="00986FC8"/>
    <w:rsid w:val="009870E9"/>
    <w:rsid w:val="0098711A"/>
    <w:rsid w:val="00987167"/>
    <w:rsid w:val="009871CC"/>
    <w:rsid w:val="0098729A"/>
    <w:rsid w:val="009872A8"/>
    <w:rsid w:val="0098731A"/>
    <w:rsid w:val="0098739D"/>
    <w:rsid w:val="009873BF"/>
    <w:rsid w:val="0098755B"/>
    <w:rsid w:val="00987612"/>
    <w:rsid w:val="0098765F"/>
    <w:rsid w:val="0098771C"/>
    <w:rsid w:val="009877CB"/>
    <w:rsid w:val="009877D7"/>
    <w:rsid w:val="00987903"/>
    <w:rsid w:val="009879B3"/>
    <w:rsid w:val="00987A8A"/>
    <w:rsid w:val="00987B20"/>
    <w:rsid w:val="00987B28"/>
    <w:rsid w:val="00987BFD"/>
    <w:rsid w:val="00987CC5"/>
    <w:rsid w:val="00987D12"/>
    <w:rsid w:val="00987D6E"/>
    <w:rsid w:val="00987DD9"/>
    <w:rsid w:val="00987E02"/>
    <w:rsid w:val="00987E13"/>
    <w:rsid w:val="00987F81"/>
    <w:rsid w:val="00990038"/>
    <w:rsid w:val="00990201"/>
    <w:rsid w:val="0099023F"/>
    <w:rsid w:val="0099031D"/>
    <w:rsid w:val="009903EA"/>
    <w:rsid w:val="009903FB"/>
    <w:rsid w:val="0099041B"/>
    <w:rsid w:val="0099042B"/>
    <w:rsid w:val="0099047C"/>
    <w:rsid w:val="009904E8"/>
    <w:rsid w:val="009904FA"/>
    <w:rsid w:val="00990531"/>
    <w:rsid w:val="00990657"/>
    <w:rsid w:val="0099066C"/>
    <w:rsid w:val="00990723"/>
    <w:rsid w:val="0099074D"/>
    <w:rsid w:val="009907AC"/>
    <w:rsid w:val="009907FC"/>
    <w:rsid w:val="00990B0E"/>
    <w:rsid w:val="00990B29"/>
    <w:rsid w:val="00990B62"/>
    <w:rsid w:val="00990C64"/>
    <w:rsid w:val="00990CA4"/>
    <w:rsid w:val="00990D11"/>
    <w:rsid w:val="00990D58"/>
    <w:rsid w:val="00990DBA"/>
    <w:rsid w:val="00991087"/>
    <w:rsid w:val="009910B9"/>
    <w:rsid w:val="00991152"/>
    <w:rsid w:val="009911AC"/>
    <w:rsid w:val="009911EC"/>
    <w:rsid w:val="0099120D"/>
    <w:rsid w:val="0099121D"/>
    <w:rsid w:val="00991263"/>
    <w:rsid w:val="00991266"/>
    <w:rsid w:val="009912EE"/>
    <w:rsid w:val="009913C0"/>
    <w:rsid w:val="009913DA"/>
    <w:rsid w:val="009913E2"/>
    <w:rsid w:val="00991706"/>
    <w:rsid w:val="0099175C"/>
    <w:rsid w:val="0099176D"/>
    <w:rsid w:val="0099177C"/>
    <w:rsid w:val="009917BB"/>
    <w:rsid w:val="009918FE"/>
    <w:rsid w:val="00991921"/>
    <w:rsid w:val="00991B47"/>
    <w:rsid w:val="00991BAA"/>
    <w:rsid w:val="00991D59"/>
    <w:rsid w:val="00991D68"/>
    <w:rsid w:val="00991F28"/>
    <w:rsid w:val="00991F96"/>
    <w:rsid w:val="00991FDF"/>
    <w:rsid w:val="00991FEA"/>
    <w:rsid w:val="0099207A"/>
    <w:rsid w:val="0099207D"/>
    <w:rsid w:val="0099214C"/>
    <w:rsid w:val="0099236E"/>
    <w:rsid w:val="009923B6"/>
    <w:rsid w:val="009924B4"/>
    <w:rsid w:val="00992702"/>
    <w:rsid w:val="009927B1"/>
    <w:rsid w:val="00992A21"/>
    <w:rsid w:val="00992A22"/>
    <w:rsid w:val="00992ADF"/>
    <w:rsid w:val="00992B75"/>
    <w:rsid w:val="00992B93"/>
    <w:rsid w:val="00992D63"/>
    <w:rsid w:val="00992E7E"/>
    <w:rsid w:val="00992EAC"/>
    <w:rsid w:val="00992ED8"/>
    <w:rsid w:val="00992F61"/>
    <w:rsid w:val="00993015"/>
    <w:rsid w:val="009930B3"/>
    <w:rsid w:val="009930E9"/>
    <w:rsid w:val="00993156"/>
    <w:rsid w:val="00993212"/>
    <w:rsid w:val="00993318"/>
    <w:rsid w:val="009933B5"/>
    <w:rsid w:val="009933D8"/>
    <w:rsid w:val="009934B2"/>
    <w:rsid w:val="009934C3"/>
    <w:rsid w:val="009934CA"/>
    <w:rsid w:val="009935FF"/>
    <w:rsid w:val="00993698"/>
    <w:rsid w:val="00993740"/>
    <w:rsid w:val="0099375D"/>
    <w:rsid w:val="009937AC"/>
    <w:rsid w:val="009937DC"/>
    <w:rsid w:val="00993876"/>
    <w:rsid w:val="009938E0"/>
    <w:rsid w:val="00993911"/>
    <w:rsid w:val="0099391A"/>
    <w:rsid w:val="0099391E"/>
    <w:rsid w:val="00993A0E"/>
    <w:rsid w:val="00993A82"/>
    <w:rsid w:val="00993B0C"/>
    <w:rsid w:val="00993B8D"/>
    <w:rsid w:val="00993C55"/>
    <w:rsid w:val="00993E59"/>
    <w:rsid w:val="00993F7F"/>
    <w:rsid w:val="00994062"/>
    <w:rsid w:val="0099415A"/>
    <w:rsid w:val="00994216"/>
    <w:rsid w:val="00994230"/>
    <w:rsid w:val="00994233"/>
    <w:rsid w:val="00994280"/>
    <w:rsid w:val="00994281"/>
    <w:rsid w:val="009942B4"/>
    <w:rsid w:val="009942BF"/>
    <w:rsid w:val="00994334"/>
    <w:rsid w:val="009943C2"/>
    <w:rsid w:val="009943D9"/>
    <w:rsid w:val="0099446B"/>
    <w:rsid w:val="00994559"/>
    <w:rsid w:val="00994578"/>
    <w:rsid w:val="009945A2"/>
    <w:rsid w:val="009945FC"/>
    <w:rsid w:val="0099469F"/>
    <w:rsid w:val="009946AA"/>
    <w:rsid w:val="0099478A"/>
    <w:rsid w:val="00994809"/>
    <w:rsid w:val="0099481A"/>
    <w:rsid w:val="00994837"/>
    <w:rsid w:val="009948E6"/>
    <w:rsid w:val="009949AD"/>
    <w:rsid w:val="00994A24"/>
    <w:rsid w:val="00994B26"/>
    <w:rsid w:val="00994BB8"/>
    <w:rsid w:val="00994C42"/>
    <w:rsid w:val="00994C5D"/>
    <w:rsid w:val="00994C62"/>
    <w:rsid w:val="00994C8A"/>
    <w:rsid w:val="00994CBE"/>
    <w:rsid w:val="00994CE2"/>
    <w:rsid w:val="00994D88"/>
    <w:rsid w:val="00994DA6"/>
    <w:rsid w:val="00994E35"/>
    <w:rsid w:val="00995170"/>
    <w:rsid w:val="00995208"/>
    <w:rsid w:val="00995338"/>
    <w:rsid w:val="00995431"/>
    <w:rsid w:val="0099546C"/>
    <w:rsid w:val="009954E3"/>
    <w:rsid w:val="00995683"/>
    <w:rsid w:val="00995757"/>
    <w:rsid w:val="009957CB"/>
    <w:rsid w:val="009958E3"/>
    <w:rsid w:val="00995973"/>
    <w:rsid w:val="00995986"/>
    <w:rsid w:val="009959BB"/>
    <w:rsid w:val="009959FA"/>
    <w:rsid w:val="00995AAD"/>
    <w:rsid w:val="00995D7E"/>
    <w:rsid w:val="00995D82"/>
    <w:rsid w:val="00995E19"/>
    <w:rsid w:val="00995E3E"/>
    <w:rsid w:val="00995ED3"/>
    <w:rsid w:val="00995F47"/>
    <w:rsid w:val="00995F4F"/>
    <w:rsid w:val="009960BE"/>
    <w:rsid w:val="009960E3"/>
    <w:rsid w:val="009960E8"/>
    <w:rsid w:val="009960EF"/>
    <w:rsid w:val="00996148"/>
    <w:rsid w:val="009962CD"/>
    <w:rsid w:val="00996346"/>
    <w:rsid w:val="0099648C"/>
    <w:rsid w:val="009965EB"/>
    <w:rsid w:val="00996756"/>
    <w:rsid w:val="009967C1"/>
    <w:rsid w:val="0099684B"/>
    <w:rsid w:val="009968BA"/>
    <w:rsid w:val="009968D5"/>
    <w:rsid w:val="009969CA"/>
    <w:rsid w:val="00996A27"/>
    <w:rsid w:val="00996A93"/>
    <w:rsid w:val="00996B2B"/>
    <w:rsid w:val="00996C67"/>
    <w:rsid w:val="00996D6C"/>
    <w:rsid w:val="00996D71"/>
    <w:rsid w:val="00996DF2"/>
    <w:rsid w:val="00996F16"/>
    <w:rsid w:val="00996F70"/>
    <w:rsid w:val="00997008"/>
    <w:rsid w:val="00997152"/>
    <w:rsid w:val="0099732C"/>
    <w:rsid w:val="00997451"/>
    <w:rsid w:val="00997456"/>
    <w:rsid w:val="00997469"/>
    <w:rsid w:val="00997523"/>
    <w:rsid w:val="00997594"/>
    <w:rsid w:val="009975D6"/>
    <w:rsid w:val="009976BC"/>
    <w:rsid w:val="009977DE"/>
    <w:rsid w:val="00997891"/>
    <w:rsid w:val="0099789A"/>
    <w:rsid w:val="00997A10"/>
    <w:rsid w:val="00997A85"/>
    <w:rsid w:val="00997ADD"/>
    <w:rsid w:val="00997AFA"/>
    <w:rsid w:val="00997B15"/>
    <w:rsid w:val="00997BEB"/>
    <w:rsid w:val="00997C43"/>
    <w:rsid w:val="00997CBE"/>
    <w:rsid w:val="00997CCD"/>
    <w:rsid w:val="00997DAE"/>
    <w:rsid w:val="00997E9D"/>
    <w:rsid w:val="00997F19"/>
    <w:rsid w:val="00997F82"/>
    <w:rsid w:val="00997F86"/>
    <w:rsid w:val="009A0176"/>
    <w:rsid w:val="009A04E7"/>
    <w:rsid w:val="009A0684"/>
    <w:rsid w:val="009A06FF"/>
    <w:rsid w:val="009A0790"/>
    <w:rsid w:val="009A07CF"/>
    <w:rsid w:val="009A07FB"/>
    <w:rsid w:val="009A088E"/>
    <w:rsid w:val="009A08A1"/>
    <w:rsid w:val="009A08EE"/>
    <w:rsid w:val="009A08FD"/>
    <w:rsid w:val="009A09B1"/>
    <w:rsid w:val="009A09C6"/>
    <w:rsid w:val="009A0AA7"/>
    <w:rsid w:val="009A0B44"/>
    <w:rsid w:val="009A0B67"/>
    <w:rsid w:val="009A0CA9"/>
    <w:rsid w:val="009A0DD5"/>
    <w:rsid w:val="009A0DF8"/>
    <w:rsid w:val="009A0DFC"/>
    <w:rsid w:val="009A0E04"/>
    <w:rsid w:val="009A0E92"/>
    <w:rsid w:val="009A0EF9"/>
    <w:rsid w:val="009A10D5"/>
    <w:rsid w:val="009A12DD"/>
    <w:rsid w:val="009A1342"/>
    <w:rsid w:val="009A1498"/>
    <w:rsid w:val="009A1515"/>
    <w:rsid w:val="009A1577"/>
    <w:rsid w:val="009A1694"/>
    <w:rsid w:val="009A16D4"/>
    <w:rsid w:val="009A1758"/>
    <w:rsid w:val="009A184B"/>
    <w:rsid w:val="009A1872"/>
    <w:rsid w:val="009A189F"/>
    <w:rsid w:val="009A19A2"/>
    <w:rsid w:val="009A1B06"/>
    <w:rsid w:val="009A1B13"/>
    <w:rsid w:val="009A1CF0"/>
    <w:rsid w:val="009A1D2B"/>
    <w:rsid w:val="009A1F2A"/>
    <w:rsid w:val="009A1F42"/>
    <w:rsid w:val="009A1F77"/>
    <w:rsid w:val="009A1FD7"/>
    <w:rsid w:val="009A1FEA"/>
    <w:rsid w:val="009A202C"/>
    <w:rsid w:val="009A2085"/>
    <w:rsid w:val="009A232E"/>
    <w:rsid w:val="009A2377"/>
    <w:rsid w:val="009A239A"/>
    <w:rsid w:val="009A23DE"/>
    <w:rsid w:val="009A244B"/>
    <w:rsid w:val="009A256C"/>
    <w:rsid w:val="009A2A1C"/>
    <w:rsid w:val="009A2ACB"/>
    <w:rsid w:val="009A2B1D"/>
    <w:rsid w:val="009A2B6C"/>
    <w:rsid w:val="009A2BA6"/>
    <w:rsid w:val="009A2BA8"/>
    <w:rsid w:val="009A2C82"/>
    <w:rsid w:val="009A2D7A"/>
    <w:rsid w:val="009A2E17"/>
    <w:rsid w:val="009A2F16"/>
    <w:rsid w:val="009A2FC7"/>
    <w:rsid w:val="009A3276"/>
    <w:rsid w:val="009A32B5"/>
    <w:rsid w:val="009A333C"/>
    <w:rsid w:val="009A33D8"/>
    <w:rsid w:val="009A3420"/>
    <w:rsid w:val="009A3431"/>
    <w:rsid w:val="009A3433"/>
    <w:rsid w:val="009A353E"/>
    <w:rsid w:val="009A35D6"/>
    <w:rsid w:val="009A366D"/>
    <w:rsid w:val="009A371F"/>
    <w:rsid w:val="009A397C"/>
    <w:rsid w:val="009A3AD5"/>
    <w:rsid w:val="009A3B21"/>
    <w:rsid w:val="009A3B45"/>
    <w:rsid w:val="009A3C25"/>
    <w:rsid w:val="009A3C29"/>
    <w:rsid w:val="009A3C2B"/>
    <w:rsid w:val="009A3CDC"/>
    <w:rsid w:val="009A3D05"/>
    <w:rsid w:val="009A3D7F"/>
    <w:rsid w:val="009A3DB8"/>
    <w:rsid w:val="009A3DC5"/>
    <w:rsid w:val="009A3E42"/>
    <w:rsid w:val="009A3E4C"/>
    <w:rsid w:val="009A3E5B"/>
    <w:rsid w:val="009A3E64"/>
    <w:rsid w:val="009A3E8E"/>
    <w:rsid w:val="009A3E9D"/>
    <w:rsid w:val="009A3F53"/>
    <w:rsid w:val="009A3F6B"/>
    <w:rsid w:val="009A4183"/>
    <w:rsid w:val="009A438D"/>
    <w:rsid w:val="009A4549"/>
    <w:rsid w:val="009A457B"/>
    <w:rsid w:val="009A46F3"/>
    <w:rsid w:val="009A472E"/>
    <w:rsid w:val="009A4816"/>
    <w:rsid w:val="009A4818"/>
    <w:rsid w:val="009A4860"/>
    <w:rsid w:val="009A488B"/>
    <w:rsid w:val="009A496D"/>
    <w:rsid w:val="009A4AE4"/>
    <w:rsid w:val="009A4BAF"/>
    <w:rsid w:val="009A4BF7"/>
    <w:rsid w:val="009A4C00"/>
    <w:rsid w:val="009A4CD4"/>
    <w:rsid w:val="009A4CF5"/>
    <w:rsid w:val="009A4D8C"/>
    <w:rsid w:val="009A4DFC"/>
    <w:rsid w:val="009A4EB8"/>
    <w:rsid w:val="009A4EDE"/>
    <w:rsid w:val="009A4F39"/>
    <w:rsid w:val="009A4F47"/>
    <w:rsid w:val="009A4F91"/>
    <w:rsid w:val="009A4FFD"/>
    <w:rsid w:val="009A5019"/>
    <w:rsid w:val="009A51A4"/>
    <w:rsid w:val="009A51D3"/>
    <w:rsid w:val="009A5378"/>
    <w:rsid w:val="009A5384"/>
    <w:rsid w:val="009A53CA"/>
    <w:rsid w:val="009A5639"/>
    <w:rsid w:val="009A5640"/>
    <w:rsid w:val="009A56DE"/>
    <w:rsid w:val="009A5756"/>
    <w:rsid w:val="009A57FF"/>
    <w:rsid w:val="009A5813"/>
    <w:rsid w:val="009A586E"/>
    <w:rsid w:val="009A59A1"/>
    <w:rsid w:val="009A59A5"/>
    <w:rsid w:val="009A5A58"/>
    <w:rsid w:val="009A5AD4"/>
    <w:rsid w:val="009A5B12"/>
    <w:rsid w:val="009A5C7E"/>
    <w:rsid w:val="009A5CBF"/>
    <w:rsid w:val="009A5CCD"/>
    <w:rsid w:val="009A5D4A"/>
    <w:rsid w:val="009A5D95"/>
    <w:rsid w:val="009A5E22"/>
    <w:rsid w:val="009A5E84"/>
    <w:rsid w:val="009A5EAB"/>
    <w:rsid w:val="009A5EC5"/>
    <w:rsid w:val="009A5F76"/>
    <w:rsid w:val="009A5F92"/>
    <w:rsid w:val="009A5FE9"/>
    <w:rsid w:val="009A610A"/>
    <w:rsid w:val="009A6277"/>
    <w:rsid w:val="009A62D1"/>
    <w:rsid w:val="009A62D6"/>
    <w:rsid w:val="009A635E"/>
    <w:rsid w:val="009A6382"/>
    <w:rsid w:val="009A6573"/>
    <w:rsid w:val="009A6593"/>
    <w:rsid w:val="009A65B6"/>
    <w:rsid w:val="009A6743"/>
    <w:rsid w:val="009A67C6"/>
    <w:rsid w:val="009A6839"/>
    <w:rsid w:val="009A68C7"/>
    <w:rsid w:val="009A6A11"/>
    <w:rsid w:val="009A6A40"/>
    <w:rsid w:val="009A6B53"/>
    <w:rsid w:val="009A6BC1"/>
    <w:rsid w:val="009A6C22"/>
    <w:rsid w:val="009A6D5B"/>
    <w:rsid w:val="009A6D65"/>
    <w:rsid w:val="009A6E15"/>
    <w:rsid w:val="009A6FEC"/>
    <w:rsid w:val="009A7034"/>
    <w:rsid w:val="009A705B"/>
    <w:rsid w:val="009A705E"/>
    <w:rsid w:val="009A710F"/>
    <w:rsid w:val="009A7160"/>
    <w:rsid w:val="009A71C0"/>
    <w:rsid w:val="009A71CB"/>
    <w:rsid w:val="009A72E3"/>
    <w:rsid w:val="009A7375"/>
    <w:rsid w:val="009A749B"/>
    <w:rsid w:val="009A74FA"/>
    <w:rsid w:val="009A7531"/>
    <w:rsid w:val="009A75A4"/>
    <w:rsid w:val="009A7600"/>
    <w:rsid w:val="009A7690"/>
    <w:rsid w:val="009A7761"/>
    <w:rsid w:val="009A776F"/>
    <w:rsid w:val="009A778D"/>
    <w:rsid w:val="009A778F"/>
    <w:rsid w:val="009A78BF"/>
    <w:rsid w:val="009A79B2"/>
    <w:rsid w:val="009A7B21"/>
    <w:rsid w:val="009A7B35"/>
    <w:rsid w:val="009A7B57"/>
    <w:rsid w:val="009A7BB5"/>
    <w:rsid w:val="009A7BD6"/>
    <w:rsid w:val="009A7BD9"/>
    <w:rsid w:val="009A7BDB"/>
    <w:rsid w:val="009A7CD9"/>
    <w:rsid w:val="009A7DB3"/>
    <w:rsid w:val="009A7F07"/>
    <w:rsid w:val="009B0015"/>
    <w:rsid w:val="009B0052"/>
    <w:rsid w:val="009B007B"/>
    <w:rsid w:val="009B00AA"/>
    <w:rsid w:val="009B0170"/>
    <w:rsid w:val="009B0256"/>
    <w:rsid w:val="009B0283"/>
    <w:rsid w:val="009B02B7"/>
    <w:rsid w:val="009B0312"/>
    <w:rsid w:val="009B03C7"/>
    <w:rsid w:val="009B04BC"/>
    <w:rsid w:val="009B04EB"/>
    <w:rsid w:val="009B0596"/>
    <w:rsid w:val="009B0606"/>
    <w:rsid w:val="009B0614"/>
    <w:rsid w:val="009B073B"/>
    <w:rsid w:val="009B074B"/>
    <w:rsid w:val="009B096C"/>
    <w:rsid w:val="009B09E9"/>
    <w:rsid w:val="009B0AB0"/>
    <w:rsid w:val="009B0AC0"/>
    <w:rsid w:val="009B0B17"/>
    <w:rsid w:val="009B0CA9"/>
    <w:rsid w:val="009B0CAC"/>
    <w:rsid w:val="009B0D87"/>
    <w:rsid w:val="009B0E1F"/>
    <w:rsid w:val="009B0F3D"/>
    <w:rsid w:val="009B0F6B"/>
    <w:rsid w:val="009B0F81"/>
    <w:rsid w:val="009B1031"/>
    <w:rsid w:val="009B104B"/>
    <w:rsid w:val="009B10EE"/>
    <w:rsid w:val="009B116E"/>
    <w:rsid w:val="009B11B5"/>
    <w:rsid w:val="009B11E5"/>
    <w:rsid w:val="009B136E"/>
    <w:rsid w:val="009B13E1"/>
    <w:rsid w:val="009B13F4"/>
    <w:rsid w:val="009B1448"/>
    <w:rsid w:val="009B14BA"/>
    <w:rsid w:val="009B153D"/>
    <w:rsid w:val="009B1623"/>
    <w:rsid w:val="009B165C"/>
    <w:rsid w:val="009B16A1"/>
    <w:rsid w:val="009B16B3"/>
    <w:rsid w:val="009B1708"/>
    <w:rsid w:val="009B176B"/>
    <w:rsid w:val="009B1847"/>
    <w:rsid w:val="009B184F"/>
    <w:rsid w:val="009B1988"/>
    <w:rsid w:val="009B1A23"/>
    <w:rsid w:val="009B1B5B"/>
    <w:rsid w:val="009B1BE8"/>
    <w:rsid w:val="009B1BF9"/>
    <w:rsid w:val="009B1CA2"/>
    <w:rsid w:val="009B1CCC"/>
    <w:rsid w:val="009B1DBC"/>
    <w:rsid w:val="009B1E23"/>
    <w:rsid w:val="009B1E58"/>
    <w:rsid w:val="009B1EAB"/>
    <w:rsid w:val="009B1EF3"/>
    <w:rsid w:val="009B1FBC"/>
    <w:rsid w:val="009B20D0"/>
    <w:rsid w:val="009B20D2"/>
    <w:rsid w:val="009B2177"/>
    <w:rsid w:val="009B21B4"/>
    <w:rsid w:val="009B21C9"/>
    <w:rsid w:val="009B221F"/>
    <w:rsid w:val="009B24A1"/>
    <w:rsid w:val="009B24CC"/>
    <w:rsid w:val="009B259D"/>
    <w:rsid w:val="009B2615"/>
    <w:rsid w:val="009B269A"/>
    <w:rsid w:val="009B269E"/>
    <w:rsid w:val="009B26B6"/>
    <w:rsid w:val="009B271C"/>
    <w:rsid w:val="009B276D"/>
    <w:rsid w:val="009B28D6"/>
    <w:rsid w:val="009B2958"/>
    <w:rsid w:val="009B29E0"/>
    <w:rsid w:val="009B2A02"/>
    <w:rsid w:val="009B2A34"/>
    <w:rsid w:val="009B2A9F"/>
    <w:rsid w:val="009B2ABE"/>
    <w:rsid w:val="009B2B00"/>
    <w:rsid w:val="009B2B28"/>
    <w:rsid w:val="009B2BD1"/>
    <w:rsid w:val="009B2C67"/>
    <w:rsid w:val="009B2C6F"/>
    <w:rsid w:val="009B2DAF"/>
    <w:rsid w:val="009B2EC1"/>
    <w:rsid w:val="009B3073"/>
    <w:rsid w:val="009B314D"/>
    <w:rsid w:val="009B317B"/>
    <w:rsid w:val="009B31EF"/>
    <w:rsid w:val="009B31FE"/>
    <w:rsid w:val="009B3287"/>
    <w:rsid w:val="009B32A2"/>
    <w:rsid w:val="009B32A9"/>
    <w:rsid w:val="009B32FB"/>
    <w:rsid w:val="009B33A2"/>
    <w:rsid w:val="009B3402"/>
    <w:rsid w:val="009B342E"/>
    <w:rsid w:val="009B353C"/>
    <w:rsid w:val="009B37A1"/>
    <w:rsid w:val="009B3887"/>
    <w:rsid w:val="009B396F"/>
    <w:rsid w:val="009B39B5"/>
    <w:rsid w:val="009B3A25"/>
    <w:rsid w:val="009B3B0D"/>
    <w:rsid w:val="009B3BDE"/>
    <w:rsid w:val="009B3C3C"/>
    <w:rsid w:val="009B3C68"/>
    <w:rsid w:val="009B3D85"/>
    <w:rsid w:val="009B3DD6"/>
    <w:rsid w:val="009B4057"/>
    <w:rsid w:val="009B40E5"/>
    <w:rsid w:val="009B429A"/>
    <w:rsid w:val="009B4311"/>
    <w:rsid w:val="009B4389"/>
    <w:rsid w:val="009B451E"/>
    <w:rsid w:val="009B4544"/>
    <w:rsid w:val="009B4662"/>
    <w:rsid w:val="009B46A9"/>
    <w:rsid w:val="009B48DF"/>
    <w:rsid w:val="009B48EB"/>
    <w:rsid w:val="009B4936"/>
    <w:rsid w:val="009B4972"/>
    <w:rsid w:val="009B4A20"/>
    <w:rsid w:val="009B4A4C"/>
    <w:rsid w:val="009B4ACD"/>
    <w:rsid w:val="009B4E13"/>
    <w:rsid w:val="009B4F38"/>
    <w:rsid w:val="009B4FA3"/>
    <w:rsid w:val="009B5014"/>
    <w:rsid w:val="009B5081"/>
    <w:rsid w:val="009B51A0"/>
    <w:rsid w:val="009B51B8"/>
    <w:rsid w:val="009B51D9"/>
    <w:rsid w:val="009B5287"/>
    <w:rsid w:val="009B5455"/>
    <w:rsid w:val="009B5593"/>
    <w:rsid w:val="009B5597"/>
    <w:rsid w:val="009B562B"/>
    <w:rsid w:val="009B5649"/>
    <w:rsid w:val="009B5759"/>
    <w:rsid w:val="009B57C6"/>
    <w:rsid w:val="009B58D6"/>
    <w:rsid w:val="009B5A07"/>
    <w:rsid w:val="009B5B34"/>
    <w:rsid w:val="009B5B92"/>
    <w:rsid w:val="009B5C01"/>
    <w:rsid w:val="009B5C53"/>
    <w:rsid w:val="009B5CDB"/>
    <w:rsid w:val="009B5D83"/>
    <w:rsid w:val="009B5DF2"/>
    <w:rsid w:val="009B5F2B"/>
    <w:rsid w:val="009B6040"/>
    <w:rsid w:val="009B6190"/>
    <w:rsid w:val="009B61EA"/>
    <w:rsid w:val="009B6298"/>
    <w:rsid w:val="009B6349"/>
    <w:rsid w:val="009B6480"/>
    <w:rsid w:val="009B652B"/>
    <w:rsid w:val="009B65AD"/>
    <w:rsid w:val="009B665A"/>
    <w:rsid w:val="009B66AC"/>
    <w:rsid w:val="009B67E3"/>
    <w:rsid w:val="009B67EB"/>
    <w:rsid w:val="009B681B"/>
    <w:rsid w:val="009B69B0"/>
    <w:rsid w:val="009B69DA"/>
    <w:rsid w:val="009B6A43"/>
    <w:rsid w:val="009B6AA5"/>
    <w:rsid w:val="009B6B62"/>
    <w:rsid w:val="009B6E26"/>
    <w:rsid w:val="009B6F3E"/>
    <w:rsid w:val="009B6FAB"/>
    <w:rsid w:val="009B7026"/>
    <w:rsid w:val="009B7103"/>
    <w:rsid w:val="009B723D"/>
    <w:rsid w:val="009B725A"/>
    <w:rsid w:val="009B72DC"/>
    <w:rsid w:val="009B72EF"/>
    <w:rsid w:val="009B73B7"/>
    <w:rsid w:val="009B740B"/>
    <w:rsid w:val="009B7411"/>
    <w:rsid w:val="009B74C6"/>
    <w:rsid w:val="009B758C"/>
    <w:rsid w:val="009B75AC"/>
    <w:rsid w:val="009B76C4"/>
    <w:rsid w:val="009B7880"/>
    <w:rsid w:val="009B7882"/>
    <w:rsid w:val="009B78A4"/>
    <w:rsid w:val="009B78E2"/>
    <w:rsid w:val="009B7B35"/>
    <w:rsid w:val="009B7D63"/>
    <w:rsid w:val="009B7ED5"/>
    <w:rsid w:val="009B7F3B"/>
    <w:rsid w:val="009B7F41"/>
    <w:rsid w:val="009C0007"/>
    <w:rsid w:val="009C00B5"/>
    <w:rsid w:val="009C00C7"/>
    <w:rsid w:val="009C01F4"/>
    <w:rsid w:val="009C0212"/>
    <w:rsid w:val="009C0268"/>
    <w:rsid w:val="009C0278"/>
    <w:rsid w:val="009C0297"/>
    <w:rsid w:val="009C04B3"/>
    <w:rsid w:val="009C04E0"/>
    <w:rsid w:val="009C059C"/>
    <w:rsid w:val="009C06BB"/>
    <w:rsid w:val="009C084B"/>
    <w:rsid w:val="009C0863"/>
    <w:rsid w:val="009C0A6B"/>
    <w:rsid w:val="009C0A8B"/>
    <w:rsid w:val="009C0A99"/>
    <w:rsid w:val="009C0AE7"/>
    <w:rsid w:val="009C0B56"/>
    <w:rsid w:val="009C0B67"/>
    <w:rsid w:val="009C0BD1"/>
    <w:rsid w:val="009C0C77"/>
    <w:rsid w:val="009C0C81"/>
    <w:rsid w:val="009C0CEF"/>
    <w:rsid w:val="009C0E68"/>
    <w:rsid w:val="009C0FB1"/>
    <w:rsid w:val="009C0FB4"/>
    <w:rsid w:val="009C1109"/>
    <w:rsid w:val="009C11C1"/>
    <w:rsid w:val="009C12B3"/>
    <w:rsid w:val="009C12FF"/>
    <w:rsid w:val="009C1384"/>
    <w:rsid w:val="009C143B"/>
    <w:rsid w:val="009C14BC"/>
    <w:rsid w:val="009C14F2"/>
    <w:rsid w:val="009C17C0"/>
    <w:rsid w:val="009C183C"/>
    <w:rsid w:val="009C1880"/>
    <w:rsid w:val="009C1931"/>
    <w:rsid w:val="009C1978"/>
    <w:rsid w:val="009C1998"/>
    <w:rsid w:val="009C1A2E"/>
    <w:rsid w:val="009C1A37"/>
    <w:rsid w:val="009C1B37"/>
    <w:rsid w:val="009C1D9D"/>
    <w:rsid w:val="009C210E"/>
    <w:rsid w:val="009C212C"/>
    <w:rsid w:val="009C2249"/>
    <w:rsid w:val="009C2328"/>
    <w:rsid w:val="009C23C0"/>
    <w:rsid w:val="009C23DD"/>
    <w:rsid w:val="009C24E5"/>
    <w:rsid w:val="009C24FA"/>
    <w:rsid w:val="009C264C"/>
    <w:rsid w:val="009C278B"/>
    <w:rsid w:val="009C27A4"/>
    <w:rsid w:val="009C28C7"/>
    <w:rsid w:val="009C295A"/>
    <w:rsid w:val="009C295F"/>
    <w:rsid w:val="009C29A9"/>
    <w:rsid w:val="009C2A12"/>
    <w:rsid w:val="009C2ACC"/>
    <w:rsid w:val="009C2BDE"/>
    <w:rsid w:val="009C2C82"/>
    <w:rsid w:val="009C2CA7"/>
    <w:rsid w:val="009C2CBA"/>
    <w:rsid w:val="009C2CD7"/>
    <w:rsid w:val="009C2DCE"/>
    <w:rsid w:val="009C2DD6"/>
    <w:rsid w:val="009C2E18"/>
    <w:rsid w:val="009C2ED3"/>
    <w:rsid w:val="009C2F70"/>
    <w:rsid w:val="009C2FA0"/>
    <w:rsid w:val="009C30EC"/>
    <w:rsid w:val="009C326A"/>
    <w:rsid w:val="009C3316"/>
    <w:rsid w:val="009C3364"/>
    <w:rsid w:val="009C33A0"/>
    <w:rsid w:val="009C3637"/>
    <w:rsid w:val="009C3658"/>
    <w:rsid w:val="009C37A4"/>
    <w:rsid w:val="009C37FF"/>
    <w:rsid w:val="009C3B62"/>
    <w:rsid w:val="009C3B8A"/>
    <w:rsid w:val="009C3BC5"/>
    <w:rsid w:val="009C3C5B"/>
    <w:rsid w:val="009C3CC7"/>
    <w:rsid w:val="009C3CD1"/>
    <w:rsid w:val="009C3D76"/>
    <w:rsid w:val="009C3EB4"/>
    <w:rsid w:val="009C3EE2"/>
    <w:rsid w:val="009C3EE8"/>
    <w:rsid w:val="009C3F27"/>
    <w:rsid w:val="009C3F3F"/>
    <w:rsid w:val="009C4091"/>
    <w:rsid w:val="009C40D1"/>
    <w:rsid w:val="009C41C5"/>
    <w:rsid w:val="009C4205"/>
    <w:rsid w:val="009C421A"/>
    <w:rsid w:val="009C422B"/>
    <w:rsid w:val="009C43DB"/>
    <w:rsid w:val="009C4491"/>
    <w:rsid w:val="009C452E"/>
    <w:rsid w:val="009C453C"/>
    <w:rsid w:val="009C457C"/>
    <w:rsid w:val="009C4707"/>
    <w:rsid w:val="009C4725"/>
    <w:rsid w:val="009C47A4"/>
    <w:rsid w:val="009C4861"/>
    <w:rsid w:val="009C49D7"/>
    <w:rsid w:val="009C4A31"/>
    <w:rsid w:val="009C4A92"/>
    <w:rsid w:val="009C4AE3"/>
    <w:rsid w:val="009C4B14"/>
    <w:rsid w:val="009C4B32"/>
    <w:rsid w:val="009C4B41"/>
    <w:rsid w:val="009C4C5F"/>
    <w:rsid w:val="009C4CF1"/>
    <w:rsid w:val="009C4D87"/>
    <w:rsid w:val="009C4DF6"/>
    <w:rsid w:val="009C4E32"/>
    <w:rsid w:val="009C4E45"/>
    <w:rsid w:val="009C4EF5"/>
    <w:rsid w:val="009C4F18"/>
    <w:rsid w:val="009C4F2C"/>
    <w:rsid w:val="009C5033"/>
    <w:rsid w:val="009C504A"/>
    <w:rsid w:val="009C5064"/>
    <w:rsid w:val="009C507F"/>
    <w:rsid w:val="009C50A4"/>
    <w:rsid w:val="009C50DA"/>
    <w:rsid w:val="009C516A"/>
    <w:rsid w:val="009C51B2"/>
    <w:rsid w:val="009C52E3"/>
    <w:rsid w:val="009C5516"/>
    <w:rsid w:val="009C5567"/>
    <w:rsid w:val="009C55BF"/>
    <w:rsid w:val="009C5603"/>
    <w:rsid w:val="009C5667"/>
    <w:rsid w:val="009C5753"/>
    <w:rsid w:val="009C57BA"/>
    <w:rsid w:val="009C57D4"/>
    <w:rsid w:val="009C57E2"/>
    <w:rsid w:val="009C57F1"/>
    <w:rsid w:val="009C5805"/>
    <w:rsid w:val="009C5825"/>
    <w:rsid w:val="009C5856"/>
    <w:rsid w:val="009C5887"/>
    <w:rsid w:val="009C58E6"/>
    <w:rsid w:val="009C59BD"/>
    <w:rsid w:val="009C5A7D"/>
    <w:rsid w:val="009C5BC8"/>
    <w:rsid w:val="009C5D1F"/>
    <w:rsid w:val="009C5DC1"/>
    <w:rsid w:val="009C5E52"/>
    <w:rsid w:val="009C5E90"/>
    <w:rsid w:val="009C5EB4"/>
    <w:rsid w:val="009C5F3F"/>
    <w:rsid w:val="009C5F52"/>
    <w:rsid w:val="009C5F9F"/>
    <w:rsid w:val="009C6054"/>
    <w:rsid w:val="009C60E4"/>
    <w:rsid w:val="009C60F6"/>
    <w:rsid w:val="009C6256"/>
    <w:rsid w:val="009C6262"/>
    <w:rsid w:val="009C646F"/>
    <w:rsid w:val="009C6497"/>
    <w:rsid w:val="009C64D4"/>
    <w:rsid w:val="009C64F5"/>
    <w:rsid w:val="009C65A1"/>
    <w:rsid w:val="009C661E"/>
    <w:rsid w:val="009C663E"/>
    <w:rsid w:val="009C66CD"/>
    <w:rsid w:val="009C66CE"/>
    <w:rsid w:val="009C67D0"/>
    <w:rsid w:val="009C680C"/>
    <w:rsid w:val="009C6832"/>
    <w:rsid w:val="009C6948"/>
    <w:rsid w:val="009C6971"/>
    <w:rsid w:val="009C69CE"/>
    <w:rsid w:val="009C6A07"/>
    <w:rsid w:val="009C6AE0"/>
    <w:rsid w:val="009C6B58"/>
    <w:rsid w:val="009C6C4F"/>
    <w:rsid w:val="009C6D08"/>
    <w:rsid w:val="009C6F44"/>
    <w:rsid w:val="009C6F4A"/>
    <w:rsid w:val="009C6FF3"/>
    <w:rsid w:val="009C7146"/>
    <w:rsid w:val="009C7202"/>
    <w:rsid w:val="009C7214"/>
    <w:rsid w:val="009C72AB"/>
    <w:rsid w:val="009C73E4"/>
    <w:rsid w:val="009C74A4"/>
    <w:rsid w:val="009C7551"/>
    <w:rsid w:val="009C7578"/>
    <w:rsid w:val="009C7670"/>
    <w:rsid w:val="009C768D"/>
    <w:rsid w:val="009C7717"/>
    <w:rsid w:val="009C7777"/>
    <w:rsid w:val="009C7779"/>
    <w:rsid w:val="009C77FD"/>
    <w:rsid w:val="009C7859"/>
    <w:rsid w:val="009C7976"/>
    <w:rsid w:val="009C7994"/>
    <w:rsid w:val="009C7B1A"/>
    <w:rsid w:val="009C7D35"/>
    <w:rsid w:val="009C7F6F"/>
    <w:rsid w:val="009D018D"/>
    <w:rsid w:val="009D019D"/>
    <w:rsid w:val="009D01D3"/>
    <w:rsid w:val="009D0246"/>
    <w:rsid w:val="009D026F"/>
    <w:rsid w:val="009D0281"/>
    <w:rsid w:val="009D02EF"/>
    <w:rsid w:val="009D032F"/>
    <w:rsid w:val="009D046B"/>
    <w:rsid w:val="009D04C9"/>
    <w:rsid w:val="009D05D7"/>
    <w:rsid w:val="009D06EC"/>
    <w:rsid w:val="009D0789"/>
    <w:rsid w:val="009D07B5"/>
    <w:rsid w:val="009D080A"/>
    <w:rsid w:val="009D099F"/>
    <w:rsid w:val="009D09E5"/>
    <w:rsid w:val="009D0A64"/>
    <w:rsid w:val="009D0A70"/>
    <w:rsid w:val="009D0A8E"/>
    <w:rsid w:val="009D0B23"/>
    <w:rsid w:val="009D0BAD"/>
    <w:rsid w:val="009D0BC0"/>
    <w:rsid w:val="009D0C88"/>
    <w:rsid w:val="009D0D0C"/>
    <w:rsid w:val="009D0D87"/>
    <w:rsid w:val="009D0E3A"/>
    <w:rsid w:val="009D0F14"/>
    <w:rsid w:val="009D0F6B"/>
    <w:rsid w:val="009D1075"/>
    <w:rsid w:val="009D1102"/>
    <w:rsid w:val="009D110B"/>
    <w:rsid w:val="009D1317"/>
    <w:rsid w:val="009D136B"/>
    <w:rsid w:val="009D1401"/>
    <w:rsid w:val="009D156D"/>
    <w:rsid w:val="009D16B7"/>
    <w:rsid w:val="009D1916"/>
    <w:rsid w:val="009D19BE"/>
    <w:rsid w:val="009D1A0F"/>
    <w:rsid w:val="009D1AA8"/>
    <w:rsid w:val="009D1AD3"/>
    <w:rsid w:val="009D1BD2"/>
    <w:rsid w:val="009D1D06"/>
    <w:rsid w:val="009D1D44"/>
    <w:rsid w:val="009D1D68"/>
    <w:rsid w:val="009D1E59"/>
    <w:rsid w:val="009D1EAC"/>
    <w:rsid w:val="009D1FA0"/>
    <w:rsid w:val="009D209D"/>
    <w:rsid w:val="009D211E"/>
    <w:rsid w:val="009D2315"/>
    <w:rsid w:val="009D2352"/>
    <w:rsid w:val="009D2421"/>
    <w:rsid w:val="009D268B"/>
    <w:rsid w:val="009D278C"/>
    <w:rsid w:val="009D290A"/>
    <w:rsid w:val="009D2949"/>
    <w:rsid w:val="009D29DC"/>
    <w:rsid w:val="009D2C1E"/>
    <w:rsid w:val="009D2C3A"/>
    <w:rsid w:val="009D2CA1"/>
    <w:rsid w:val="009D2CAC"/>
    <w:rsid w:val="009D2CE7"/>
    <w:rsid w:val="009D2DB6"/>
    <w:rsid w:val="009D2DBB"/>
    <w:rsid w:val="009D2E4C"/>
    <w:rsid w:val="009D2EA2"/>
    <w:rsid w:val="009D2F35"/>
    <w:rsid w:val="009D2FF3"/>
    <w:rsid w:val="009D3051"/>
    <w:rsid w:val="009D313F"/>
    <w:rsid w:val="009D3163"/>
    <w:rsid w:val="009D316E"/>
    <w:rsid w:val="009D31F7"/>
    <w:rsid w:val="009D320A"/>
    <w:rsid w:val="009D328F"/>
    <w:rsid w:val="009D3494"/>
    <w:rsid w:val="009D35E8"/>
    <w:rsid w:val="009D38A8"/>
    <w:rsid w:val="009D3909"/>
    <w:rsid w:val="009D3920"/>
    <w:rsid w:val="009D3A11"/>
    <w:rsid w:val="009D3ABF"/>
    <w:rsid w:val="009D3B75"/>
    <w:rsid w:val="009D3B86"/>
    <w:rsid w:val="009D3B99"/>
    <w:rsid w:val="009D3BF8"/>
    <w:rsid w:val="009D3C54"/>
    <w:rsid w:val="009D3C75"/>
    <w:rsid w:val="009D3CE6"/>
    <w:rsid w:val="009D3D1E"/>
    <w:rsid w:val="009D3D82"/>
    <w:rsid w:val="009D3DD3"/>
    <w:rsid w:val="009D3DDB"/>
    <w:rsid w:val="009D3EA9"/>
    <w:rsid w:val="009D3EC3"/>
    <w:rsid w:val="009D3F00"/>
    <w:rsid w:val="009D3F7A"/>
    <w:rsid w:val="009D4000"/>
    <w:rsid w:val="009D422E"/>
    <w:rsid w:val="009D4246"/>
    <w:rsid w:val="009D4298"/>
    <w:rsid w:val="009D429D"/>
    <w:rsid w:val="009D441B"/>
    <w:rsid w:val="009D44C9"/>
    <w:rsid w:val="009D4532"/>
    <w:rsid w:val="009D45A4"/>
    <w:rsid w:val="009D4633"/>
    <w:rsid w:val="009D46DB"/>
    <w:rsid w:val="009D4707"/>
    <w:rsid w:val="009D485D"/>
    <w:rsid w:val="009D487D"/>
    <w:rsid w:val="009D48FC"/>
    <w:rsid w:val="009D4A2A"/>
    <w:rsid w:val="009D4AC9"/>
    <w:rsid w:val="009D4BBB"/>
    <w:rsid w:val="009D4CA4"/>
    <w:rsid w:val="009D4D83"/>
    <w:rsid w:val="009D4DC2"/>
    <w:rsid w:val="009D4DFF"/>
    <w:rsid w:val="009D4E75"/>
    <w:rsid w:val="009D4EC8"/>
    <w:rsid w:val="009D4F14"/>
    <w:rsid w:val="009D4FDB"/>
    <w:rsid w:val="009D508A"/>
    <w:rsid w:val="009D511D"/>
    <w:rsid w:val="009D51ED"/>
    <w:rsid w:val="009D51EE"/>
    <w:rsid w:val="009D527F"/>
    <w:rsid w:val="009D52CD"/>
    <w:rsid w:val="009D536C"/>
    <w:rsid w:val="009D54DF"/>
    <w:rsid w:val="009D5639"/>
    <w:rsid w:val="009D5698"/>
    <w:rsid w:val="009D5750"/>
    <w:rsid w:val="009D578B"/>
    <w:rsid w:val="009D57FE"/>
    <w:rsid w:val="009D5807"/>
    <w:rsid w:val="009D5820"/>
    <w:rsid w:val="009D58AC"/>
    <w:rsid w:val="009D59DD"/>
    <w:rsid w:val="009D5A0F"/>
    <w:rsid w:val="009D5A1C"/>
    <w:rsid w:val="009D5A64"/>
    <w:rsid w:val="009D5A6C"/>
    <w:rsid w:val="009D5AAD"/>
    <w:rsid w:val="009D5B18"/>
    <w:rsid w:val="009D5B3A"/>
    <w:rsid w:val="009D5C56"/>
    <w:rsid w:val="009D5D34"/>
    <w:rsid w:val="009D5D5F"/>
    <w:rsid w:val="009D5D98"/>
    <w:rsid w:val="009D5F13"/>
    <w:rsid w:val="009D6052"/>
    <w:rsid w:val="009D617F"/>
    <w:rsid w:val="009D61BD"/>
    <w:rsid w:val="009D61CE"/>
    <w:rsid w:val="009D61F5"/>
    <w:rsid w:val="009D6244"/>
    <w:rsid w:val="009D628A"/>
    <w:rsid w:val="009D62C5"/>
    <w:rsid w:val="009D6450"/>
    <w:rsid w:val="009D6529"/>
    <w:rsid w:val="009D6593"/>
    <w:rsid w:val="009D65B2"/>
    <w:rsid w:val="009D663F"/>
    <w:rsid w:val="009D667F"/>
    <w:rsid w:val="009D670D"/>
    <w:rsid w:val="009D6973"/>
    <w:rsid w:val="009D69A6"/>
    <w:rsid w:val="009D6A35"/>
    <w:rsid w:val="009D6A74"/>
    <w:rsid w:val="009D6B4F"/>
    <w:rsid w:val="009D6BE2"/>
    <w:rsid w:val="009D6C11"/>
    <w:rsid w:val="009D6D09"/>
    <w:rsid w:val="009D6D2A"/>
    <w:rsid w:val="009D6D6A"/>
    <w:rsid w:val="009D6DC0"/>
    <w:rsid w:val="009D6F06"/>
    <w:rsid w:val="009D709D"/>
    <w:rsid w:val="009D713C"/>
    <w:rsid w:val="009D71BD"/>
    <w:rsid w:val="009D7311"/>
    <w:rsid w:val="009D736C"/>
    <w:rsid w:val="009D73EA"/>
    <w:rsid w:val="009D74E2"/>
    <w:rsid w:val="009D7539"/>
    <w:rsid w:val="009D760B"/>
    <w:rsid w:val="009D7794"/>
    <w:rsid w:val="009D77A0"/>
    <w:rsid w:val="009D77E1"/>
    <w:rsid w:val="009D782E"/>
    <w:rsid w:val="009D7941"/>
    <w:rsid w:val="009D7AAE"/>
    <w:rsid w:val="009D7B01"/>
    <w:rsid w:val="009D7B1B"/>
    <w:rsid w:val="009D7C82"/>
    <w:rsid w:val="009D7DD7"/>
    <w:rsid w:val="009D7E75"/>
    <w:rsid w:val="009D7F63"/>
    <w:rsid w:val="009D7F8A"/>
    <w:rsid w:val="009E0032"/>
    <w:rsid w:val="009E00E3"/>
    <w:rsid w:val="009E01C1"/>
    <w:rsid w:val="009E01C5"/>
    <w:rsid w:val="009E0381"/>
    <w:rsid w:val="009E06BB"/>
    <w:rsid w:val="009E0710"/>
    <w:rsid w:val="009E0841"/>
    <w:rsid w:val="009E0878"/>
    <w:rsid w:val="009E0897"/>
    <w:rsid w:val="009E08CD"/>
    <w:rsid w:val="009E08D1"/>
    <w:rsid w:val="009E0978"/>
    <w:rsid w:val="009E0AAF"/>
    <w:rsid w:val="009E0B00"/>
    <w:rsid w:val="009E0BF2"/>
    <w:rsid w:val="009E0BFA"/>
    <w:rsid w:val="009E0CED"/>
    <w:rsid w:val="009E0DBF"/>
    <w:rsid w:val="009E0EBE"/>
    <w:rsid w:val="009E0EDE"/>
    <w:rsid w:val="009E1020"/>
    <w:rsid w:val="009E110B"/>
    <w:rsid w:val="009E1116"/>
    <w:rsid w:val="009E1156"/>
    <w:rsid w:val="009E11F5"/>
    <w:rsid w:val="009E1225"/>
    <w:rsid w:val="009E12E0"/>
    <w:rsid w:val="009E131A"/>
    <w:rsid w:val="009E134D"/>
    <w:rsid w:val="009E13E8"/>
    <w:rsid w:val="009E14D4"/>
    <w:rsid w:val="009E159E"/>
    <w:rsid w:val="009E15B2"/>
    <w:rsid w:val="009E15ED"/>
    <w:rsid w:val="009E1603"/>
    <w:rsid w:val="009E16B4"/>
    <w:rsid w:val="009E171C"/>
    <w:rsid w:val="009E1918"/>
    <w:rsid w:val="009E195F"/>
    <w:rsid w:val="009E19AA"/>
    <w:rsid w:val="009E1A03"/>
    <w:rsid w:val="009E1A97"/>
    <w:rsid w:val="009E1AA4"/>
    <w:rsid w:val="009E1BF7"/>
    <w:rsid w:val="009E1C9D"/>
    <w:rsid w:val="009E1DA9"/>
    <w:rsid w:val="009E1E10"/>
    <w:rsid w:val="009E1E67"/>
    <w:rsid w:val="009E1EB1"/>
    <w:rsid w:val="009E1F05"/>
    <w:rsid w:val="009E1F30"/>
    <w:rsid w:val="009E2025"/>
    <w:rsid w:val="009E20A6"/>
    <w:rsid w:val="009E2116"/>
    <w:rsid w:val="009E222B"/>
    <w:rsid w:val="009E2241"/>
    <w:rsid w:val="009E2252"/>
    <w:rsid w:val="009E2304"/>
    <w:rsid w:val="009E243B"/>
    <w:rsid w:val="009E249B"/>
    <w:rsid w:val="009E24AC"/>
    <w:rsid w:val="009E24F3"/>
    <w:rsid w:val="009E2536"/>
    <w:rsid w:val="009E25B7"/>
    <w:rsid w:val="009E2685"/>
    <w:rsid w:val="009E2804"/>
    <w:rsid w:val="009E283B"/>
    <w:rsid w:val="009E2841"/>
    <w:rsid w:val="009E286F"/>
    <w:rsid w:val="009E28C8"/>
    <w:rsid w:val="009E28CA"/>
    <w:rsid w:val="009E2998"/>
    <w:rsid w:val="009E29CB"/>
    <w:rsid w:val="009E2A87"/>
    <w:rsid w:val="009E2AB2"/>
    <w:rsid w:val="009E2B13"/>
    <w:rsid w:val="009E2C03"/>
    <w:rsid w:val="009E2C5D"/>
    <w:rsid w:val="009E2C6D"/>
    <w:rsid w:val="009E2D4B"/>
    <w:rsid w:val="009E2DE4"/>
    <w:rsid w:val="009E2E5D"/>
    <w:rsid w:val="009E2F16"/>
    <w:rsid w:val="009E2F72"/>
    <w:rsid w:val="009E2F88"/>
    <w:rsid w:val="009E2FD3"/>
    <w:rsid w:val="009E2FDF"/>
    <w:rsid w:val="009E31FA"/>
    <w:rsid w:val="009E3220"/>
    <w:rsid w:val="009E3231"/>
    <w:rsid w:val="009E3314"/>
    <w:rsid w:val="009E3403"/>
    <w:rsid w:val="009E343D"/>
    <w:rsid w:val="009E3494"/>
    <w:rsid w:val="009E34A4"/>
    <w:rsid w:val="009E34F2"/>
    <w:rsid w:val="009E3513"/>
    <w:rsid w:val="009E3661"/>
    <w:rsid w:val="009E3770"/>
    <w:rsid w:val="009E3822"/>
    <w:rsid w:val="009E3859"/>
    <w:rsid w:val="009E398A"/>
    <w:rsid w:val="009E39F6"/>
    <w:rsid w:val="009E39FA"/>
    <w:rsid w:val="009E3A35"/>
    <w:rsid w:val="009E3CE3"/>
    <w:rsid w:val="009E3DE0"/>
    <w:rsid w:val="009E3E4C"/>
    <w:rsid w:val="009E3EF3"/>
    <w:rsid w:val="009E41BB"/>
    <w:rsid w:val="009E41D1"/>
    <w:rsid w:val="009E4228"/>
    <w:rsid w:val="009E42EA"/>
    <w:rsid w:val="009E4440"/>
    <w:rsid w:val="009E44CB"/>
    <w:rsid w:val="009E4502"/>
    <w:rsid w:val="009E45F5"/>
    <w:rsid w:val="009E4608"/>
    <w:rsid w:val="009E468C"/>
    <w:rsid w:val="009E47CE"/>
    <w:rsid w:val="009E47F2"/>
    <w:rsid w:val="009E484D"/>
    <w:rsid w:val="009E49BF"/>
    <w:rsid w:val="009E4A51"/>
    <w:rsid w:val="009E4D1B"/>
    <w:rsid w:val="009E4DFF"/>
    <w:rsid w:val="009E4EB8"/>
    <w:rsid w:val="009E4F7E"/>
    <w:rsid w:val="009E5019"/>
    <w:rsid w:val="009E507A"/>
    <w:rsid w:val="009E52F1"/>
    <w:rsid w:val="009E5389"/>
    <w:rsid w:val="009E538B"/>
    <w:rsid w:val="009E5440"/>
    <w:rsid w:val="009E5486"/>
    <w:rsid w:val="009E54A7"/>
    <w:rsid w:val="009E562F"/>
    <w:rsid w:val="009E567E"/>
    <w:rsid w:val="009E572F"/>
    <w:rsid w:val="009E573A"/>
    <w:rsid w:val="009E5828"/>
    <w:rsid w:val="009E5839"/>
    <w:rsid w:val="009E585D"/>
    <w:rsid w:val="009E586A"/>
    <w:rsid w:val="009E5966"/>
    <w:rsid w:val="009E5A8D"/>
    <w:rsid w:val="009E5AA6"/>
    <w:rsid w:val="009E5B86"/>
    <w:rsid w:val="009E5BCC"/>
    <w:rsid w:val="009E5C80"/>
    <w:rsid w:val="009E5CC4"/>
    <w:rsid w:val="009E5D79"/>
    <w:rsid w:val="009E5DAE"/>
    <w:rsid w:val="009E5DCB"/>
    <w:rsid w:val="009E5E5F"/>
    <w:rsid w:val="009E5E98"/>
    <w:rsid w:val="009E5EE1"/>
    <w:rsid w:val="009E620B"/>
    <w:rsid w:val="009E6353"/>
    <w:rsid w:val="009E64F9"/>
    <w:rsid w:val="009E65CA"/>
    <w:rsid w:val="009E65D5"/>
    <w:rsid w:val="009E6701"/>
    <w:rsid w:val="009E672A"/>
    <w:rsid w:val="009E67BA"/>
    <w:rsid w:val="009E67C7"/>
    <w:rsid w:val="009E67F7"/>
    <w:rsid w:val="009E68E3"/>
    <w:rsid w:val="009E6934"/>
    <w:rsid w:val="009E6999"/>
    <w:rsid w:val="009E69AD"/>
    <w:rsid w:val="009E69F7"/>
    <w:rsid w:val="009E6A65"/>
    <w:rsid w:val="009E6A73"/>
    <w:rsid w:val="009E6A9B"/>
    <w:rsid w:val="009E6B05"/>
    <w:rsid w:val="009E6D4D"/>
    <w:rsid w:val="009E6E28"/>
    <w:rsid w:val="009E6EFF"/>
    <w:rsid w:val="009E6F4C"/>
    <w:rsid w:val="009E706D"/>
    <w:rsid w:val="009E709C"/>
    <w:rsid w:val="009E717B"/>
    <w:rsid w:val="009E71FF"/>
    <w:rsid w:val="009E7330"/>
    <w:rsid w:val="009E7331"/>
    <w:rsid w:val="009E736A"/>
    <w:rsid w:val="009E7491"/>
    <w:rsid w:val="009E763E"/>
    <w:rsid w:val="009E7726"/>
    <w:rsid w:val="009E77BA"/>
    <w:rsid w:val="009E77EB"/>
    <w:rsid w:val="009E77F9"/>
    <w:rsid w:val="009E781C"/>
    <w:rsid w:val="009E7856"/>
    <w:rsid w:val="009E78C6"/>
    <w:rsid w:val="009E7A0E"/>
    <w:rsid w:val="009E7A3D"/>
    <w:rsid w:val="009E7AC2"/>
    <w:rsid w:val="009E7D0E"/>
    <w:rsid w:val="009E7D88"/>
    <w:rsid w:val="009E7E62"/>
    <w:rsid w:val="009E7EED"/>
    <w:rsid w:val="009E7F20"/>
    <w:rsid w:val="009F000A"/>
    <w:rsid w:val="009F0031"/>
    <w:rsid w:val="009F009E"/>
    <w:rsid w:val="009F010F"/>
    <w:rsid w:val="009F01A9"/>
    <w:rsid w:val="009F0225"/>
    <w:rsid w:val="009F02A5"/>
    <w:rsid w:val="009F031D"/>
    <w:rsid w:val="009F03FD"/>
    <w:rsid w:val="009F0420"/>
    <w:rsid w:val="009F04BE"/>
    <w:rsid w:val="009F04F3"/>
    <w:rsid w:val="009F054E"/>
    <w:rsid w:val="009F062E"/>
    <w:rsid w:val="009F0662"/>
    <w:rsid w:val="009F067C"/>
    <w:rsid w:val="009F0873"/>
    <w:rsid w:val="009F08E4"/>
    <w:rsid w:val="009F0925"/>
    <w:rsid w:val="009F09E5"/>
    <w:rsid w:val="009F0A21"/>
    <w:rsid w:val="009F0A57"/>
    <w:rsid w:val="009F0A5E"/>
    <w:rsid w:val="009F0A95"/>
    <w:rsid w:val="009F0AF6"/>
    <w:rsid w:val="009F0BC0"/>
    <w:rsid w:val="009F0E17"/>
    <w:rsid w:val="009F0E27"/>
    <w:rsid w:val="009F0F4B"/>
    <w:rsid w:val="009F107D"/>
    <w:rsid w:val="009F111B"/>
    <w:rsid w:val="009F112A"/>
    <w:rsid w:val="009F1155"/>
    <w:rsid w:val="009F117C"/>
    <w:rsid w:val="009F11A5"/>
    <w:rsid w:val="009F11E6"/>
    <w:rsid w:val="009F1240"/>
    <w:rsid w:val="009F1274"/>
    <w:rsid w:val="009F13E3"/>
    <w:rsid w:val="009F1411"/>
    <w:rsid w:val="009F1461"/>
    <w:rsid w:val="009F14DC"/>
    <w:rsid w:val="009F1504"/>
    <w:rsid w:val="009F15C2"/>
    <w:rsid w:val="009F1685"/>
    <w:rsid w:val="009F1716"/>
    <w:rsid w:val="009F173E"/>
    <w:rsid w:val="009F1818"/>
    <w:rsid w:val="009F185A"/>
    <w:rsid w:val="009F18D3"/>
    <w:rsid w:val="009F18F4"/>
    <w:rsid w:val="009F196D"/>
    <w:rsid w:val="009F1A5B"/>
    <w:rsid w:val="009F1AF6"/>
    <w:rsid w:val="009F1BBD"/>
    <w:rsid w:val="009F1C93"/>
    <w:rsid w:val="009F1D1A"/>
    <w:rsid w:val="009F1D4F"/>
    <w:rsid w:val="009F1D66"/>
    <w:rsid w:val="009F1DA5"/>
    <w:rsid w:val="009F1EE8"/>
    <w:rsid w:val="009F20D9"/>
    <w:rsid w:val="009F213D"/>
    <w:rsid w:val="009F22FF"/>
    <w:rsid w:val="009F247C"/>
    <w:rsid w:val="009F249B"/>
    <w:rsid w:val="009F2581"/>
    <w:rsid w:val="009F25C1"/>
    <w:rsid w:val="009F25D9"/>
    <w:rsid w:val="009F264A"/>
    <w:rsid w:val="009F2651"/>
    <w:rsid w:val="009F26F7"/>
    <w:rsid w:val="009F2706"/>
    <w:rsid w:val="009F271B"/>
    <w:rsid w:val="009F27AB"/>
    <w:rsid w:val="009F2894"/>
    <w:rsid w:val="009F28C5"/>
    <w:rsid w:val="009F29CD"/>
    <w:rsid w:val="009F2A5A"/>
    <w:rsid w:val="009F2B82"/>
    <w:rsid w:val="009F2C5B"/>
    <w:rsid w:val="009F2DBD"/>
    <w:rsid w:val="009F2E03"/>
    <w:rsid w:val="009F2E2D"/>
    <w:rsid w:val="009F2EE1"/>
    <w:rsid w:val="009F304C"/>
    <w:rsid w:val="009F3069"/>
    <w:rsid w:val="009F3088"/>
    <w:rsid w:val="009F3251"/>
    <w:rsid w:val="009F33BD"/>
    <w:rsid w:val="009F3464"/>
    <w:rsid w:val="009F350B"/>
    <w:rsid w:val="009F35A3"/>
    <w:rsid w:val="009F35FD"/>
    <w:rsid w:val="009F3611"/>
    <w:rsid w:val="009F36A5"/>
    <w:rsid w:val="009F36DE"/>
    <w:rsid w:val="009F3752"/>
    <w:rsid w:val="009F375A"/>
    <w:rsid w:val="009F386F"/>
    <w:rsid w:val="009F3A3A"/>
    <w:rsid w:val="009F3B2C"/>
    <w:rsid w:val="009F3CEC"/>
    <w:rsid w:val="009F3CFC"/>
    <w:rsid w:val="009F3D99"/>
    <w:rsid w:val="009F3D9F"/>
    <w:rsid w:val="009F3DEF"/>
    <w:rsid w:val="009F3E2C"/>
    <w:rsid w:val="009F3E54"/>
    <w:rsid w:val="009F3E81"/>
    <w:rsid w:val="009F3ED3"/>
    <w:rsid w:val="009F400B"/>
    <w:rsid w:val="009F4102"/>
    <w:rsid w:val="009F4223"/>
    <w:rsid w:val="009F429E"/>
    <w:rsid w:val="009F431F"/>
    <w:rsid w:val="009F433C"/>
    <w:rsid w:val="009F4384"/>
    <w:rsid w:val="009F43C3"/>
    <w:rsid w:val="009F4402"/>
    <w:rsid w:val="009F445C"/>
    <w:rsid w:val="009F4472"/>
    <w:rsid w:val="009F4561"/>
    <w:rsid w:val="009F465A"/>
    <w:rsid w:val="009F471B"/>
    <w:rsid w:val="009F471C"/>
    <w:rsid w:val="009F4864"/>
    <w:rsid w:val="009F4866"/>
    <w:rsid w:val="009F486A"/>
    <w:rsid w:val="009F48F7"/>
    <w:rsid w:val="009F48F9"/>
    <w:rsid w:val="009F496F"/>
    <w:rsid w:val="009F4997"/>
    <w:rsid w:val="009F4A2A"/>
    <w:rsid w:val="009F4A8F"/>
    <w:rsid w:val="009F4B02"/>
    <w:rsid w:val="009F4BE4"/>
    <w:rsid w:val="009F4CCD"/>
    <w:rsid w:val="009F4D17"/>
    <w:rsid w:val="009F4F16"/>
    <w:rsid w:val="009F4F3B"/>
    <w:rsid w:val="009F4F52"/>
    <w:rsid w:val="009F505B"/>
    <w:rsid w:val="009F51AD"/>
    <w:rsid w:val="009F5205"/>
    <w:rsid w:val="009F5212"/>
    <w:rsid w:val="009F52CC"/>
    <w:rsid w:val="009F52EA"/>
    <w:rsid w:val="009F53B4"/>
    <w:rsid w:val="009F5413"/>
    <w:rsid w:val="009F545D"/>
    <w:rsid w:val="009F5596"/>
    <w:rsid w:val="009F564F"/>
    <w:rsid w:val="009F5656"/>
    <w:rsid w:val="009F56C3"/>
    <w:rsid w:val="009F56E5"/>
    <w:rsid w:val="009F5952"/>
    <w:rsid w:val="009F59A1"/>
    <w:rsid w:val="009F59F8"/>
    <w:rsid w:val="009F5A36"/>
    <w:rsid w:val="009F5A3F"/>
    <w:rsid w:val="009F5AAC"/>
    <w:rsid w:val="009F5AB7"/>
    <w:rsid w:val="009F5AEE"/>
    <w:rsid w:val="009F5B01"/>
    <w:rsid w:val="009F5B3E"/>
    <w:rsid w:val="009F5B6B"/>
    <w:rsid w:val="009F5C67"/>
    <w:rsid w:val="009F5CD4"/>
    <w:rsid w:val="009F5CEF"/>
    <w:rsid w:val="009F5D3E"/>
    <w:rsid w:val="009F5EC2"/>
    <w:rsid w:val="009F6072"/>
    <w:rsid w:val="009F6086"/>
    <w:rsid w:val="009F6106"/>
    <w:rsid w:val="009F61E6"/>
    <w:rsid w:val="009F61E7"/>
    <w:rsid w:val="009F6375"/>
    <w:rsid w:val="009F6438"/>
    <w:rsid w:val="009F643E"/>
    <w:rsid w:val="009F648A"/>
    <w:rsid w:val="009F656C"/>
    <w:rsid w:val="009F65F3"/>
    <w:rsid w:val="009F677B"/>
    <w:rsid w:val="009F6785"/>
    <w:rsid w:val="009F67F0"/>
    <w:rsid w:val="009F68A7"/>
    <w:rsid w:val="009F6950"/>
    <w:rsid w:val="009F69E8"/>
    <w:rsid w:val="009F6A13"/>
    <w:rsid w:val="009F6ABD"/>
    <w:rsid w:val="009F6B59"/>
    <w:rsid w:val="009F6CC8"/>
    <w:rsid w:val="009F6D0E"/>
    <w:rsid w:val="009F6DFB"/>
    <w:rsid w:val="009F6EA3"/>
    <w:rsid w:val="009F6F3D"/>
    <w:rsid w:val="009F6F88"/>
    <w:rsid w:val="009F7028"/>
    <w:rsid w:val="009F703C"/>
    <w:rsid w:val="009F706A"/>
    <w:rsid w:val="009F70BB"/>
    <w:rsid w:val="009F70C7"/>
    <w:rsid w:val="009F7208"/>
    <w:rsid w:val="009F72BF"/>
    <w:rsid w:val="009F72EF"/>
    <w:rsid w:val="009F7302"/>
    <w:rsid w:val="009F7336"/>
    <w:rsid w:val="009F739C"/>
    <w:rsid w:val="009F73F3"/>
    <w:rsid w:val="009F74B0"/>
    <w:rsid w:val="009F74ED"/>
    <w:rsid w:val="009F7586"/>
    <w:rsid w:val="009F7651"/>
    <w:rsid w:val="009F7703"/>
    <w:rsid w:val="009F775A"/>
    <w:rsid w:val="009F777A"/>
    <w:rsid w:val="009F7832"/>
    <w:rsid w:val="009F788D"/>
    <w:rsid w:val="009F7943"/>
    <w:rsid w:val="009F7AB3"/>
    <w:rsid w:val="009F7B71"/>
    <w:rsid w:val="009F7BB4"/>
    <w:rsid w:val="009F7BD2"/>
    <w:rsid w:val="009F7D7E"/>
    <w:rsid w:val="009F7E2B"/>
    <w:rsid w:val="009F7F5B"/>
    <w:rsid w:val="00A00073"/>
    <w:rsid w:val="00A00120"/>
    <w:rsid w:val="00A00202"/>
    <w:rsid w:val="00A0040B"/>
    <w:rsid w:val="00A00476"/>
    <w:rsid w:val="00A006E2"/>
    <w:rsid w:val="00A006EC"/>
    <w:rsid w:val="00A006F8"/>
    <w:rsid w:val="00A0070D"/>
    <w:rsid w:val="00A0071C"/>
    <w:rsid w:val="00A00860"/>
    <w:rsid w:val="00A00898"/>
    <w:rsid w:val="00A009F7"/>
    <w:rsid w:val="00A00C2C"/>
    <w:rsid w:val="00A00C48"/>
    <w:rsid w:val="00A00C5F"/>
    <w:rsid w:val="00A00C62"/>
    <w:rsid w:val="00A00D5D"/>
    <w:rsid w:val="00A010B6"/>
    <w:rsid w:val="00A01202"/>
    <w:rsid w:val="00A01289"/>
    <w:rsid w:val="00A012F0"/>
    <w:rsid w:val="00A01311"/>
    <w:rsid w:val="00A01372"/>
    <w:rsid w:val="00A015CB"/>
    <w:rsid w:val="00A0166C"/>
    <w:rsid w:val="00A016D9"/>
    <w:rsid w:val="00A0198B"/>
    <w:rsid w:val="00A019B7"/>
    <w:rsid w:val="00A01B44"/>
    <w:rsid w:val="00A01B61"/>
    <w:rsid w:val="00A01B9B"/>
    <w:rsid w:val="00A01CB3"/>
    <w:rsid w:val="00A01E75"/>
    <w:rsid w:val="00A01E8B"/>
    <w:rsid w:val="00A01E93"/>
    <w:rsid w:val="00A01E9B"/>
    <w:rsid w:val="00A01EEF"/>
    <w:rsid w:val="00A01F27"/>
    <w:rsid w:val="00A01F5B"/>
    <w:rsid w:val="00A0204C"/>
    <w:rsid w:val="00A020A2"/>
    <w:rsid w:val="00A022BB"/>
    <w:rsid w:val="00A022F1"/>
    <w:rsid w:val="00A023C7"/>
    <w:rsid w:val="00A02429"/>
    <w:rsid w:val="00A0251C"/>
    <w:rsid w:val="00A0255C"/>
    <w:rsid w:val="00A0265C"/>
    <w:rsid w:val="00A0265D"/>
    <w:rsid w:val="00A0279B"/>
    <w:rsid w:val="00A02808"/>
    <w:rsid w:val="00A028E8"/>
    <w:rsid w:val="00A02956"/>
    <w:rsid w:val="00A029F6"/>
    <w:rsid w:val="00A02A17"/>
    <w:rsid w:val="00A02AAE"/>
    <w:rsid w:val="00A02AC8"/>
    <w:rsid w:val="00A02B41"/>
    <w:rsid w:val="00A02B5D"/>
    <w:rsid w:val="00A02C43"/>
    <w:rsid w:val="00A02D46"/>
    <w:rsid w:val="00A02D85"/>
    <w:rsid w:val="00A02DDC"/>
    <w:rsid w:val="00A02E8C"/>
    <w:rsid w:val="00A02E8F"/>
    <w:rsid w:val="00A0301C"/>
    <w:rsid w:val="00A03170"/>
    <w:rsid w:val="00A0327A"/>
    <w:rsid w:val="00A03349"/>
    <w:rsid w:val="00A03353"/>
    <w:rsid w:val="00A033A5"/>
    <w:rsid w:val="00A033FC"/>
    <w:rsid w:val="00A03643"/>
    <w:rsid w:val="00A037D8"/>
    <w:rsid w:val="00A039AE"/>
    <w:rsid w:val="00A03A22"/>
    <w:rsid w:val="00A03A32"/>
    <w:rsid w:val="00A03AA7"/>
    <w:rsid w:val="00A03C24"/>
    <w:rsid w:val="00A03CD8"/>
    <w:rsid w:val="00A03D1D"/>
    <w:rsid w:val="00A03D52"/>
    <w:rsid w:val="00A03DEC"/>
    <w:rsid w:val="00A03F36"/>
    <w:rsid w:val="00A03F96"/>
    <w:rsid w:val="00A04099"/>
    <w:rsid w:val="00A040A6"/>
    <w:rsid w:val="00A04167"/>
    <w:rsid w:val="00A04203"/>
    <w:rsid w:val="00A04338"/>
    <w:rsid w:val="00A043A0"/>
    <w:rsid w:val="00A043A4"/>
    <w:rsid w:val="00A043EB"/>
    <w:rsid w:val="00A04404"/>
    <w:rsid w:val="00A04525"/>
    <w:rsid w:val="00A04533"/>
    <w:rsid w:val="00A04543"/>
    <w:rsid w:val="00A0454D"/>
    <w:rsid w:val="00A04719"/>
    <w:rsid w:val="00A047A4"/>
    <w:rsid w:val="00A04962"/>
    <w:rsid w:val="00A04996"/>
    <w:rsid w:val="00A04B49"/>
    <w:rsid w:val="00A04B64"/>
    <w:rsid w:val="00A04C06"/>
    <w:rsid w:val="00A04C08"/>
    <w:rsid w:val="00A04D95"/>
    <w:rsid w:val="00A04E63"/>
    <w:rsid w:val="00A04E87"/>
    <w:rsid w:val="00A04E9A"/>
    <w:rsid w:val="00A04F99"/>
    <w:rsid w:val="00A0502F"/>
    <w:rsid w:val="00A05060"/>
    <w:rsid w:val="00A05087"/>
    <w:rsid w:val="00A05096"/>
    <w:rsid w:val="00A050F4"/>
    <w:rsid w:val="00A050F5"/>
    <w:rsid w:val="00A051EE"/>
    <w:rsid w:val="00A05207"/>
    <w:rsid w:val="00A052E0"/>
    <w:rsid w:val="00A05316"/>
    <w:rsid w:val="00A05418"/>
    <w:rsid w:val="00A0542B"/>
    <w:rsid w:val="00A05484"/>
    <w:rsid w:val="00A05592"/>
    <w:rsid w:val="00A057E8"/>
    <w:rsid w:val="00A057F0"/>
    <w:rsid w:val="00A05813"/>
    <w:rsid w:val="00A0586D"/>
    <w:rsid w:val="00A058EC"/>
    <w:rsid w:val="00A058EF"/>
    <w:rsid w:val="00A05956"/>
    <w:rsid w:val="00A05983"/>
    <w:rsid w:val="00A059BB"/>
    <w:rsid w:val="00A05A39"/>
    <w:rsid w:val="00A05A8D"/>
    <w:rsid w:val="00A05A98"/>
    <w:rsid w:val="00A05AA6"/>
    <w:rsid w:val="00A05AB5"/>
    <w:rsid w:val="00A05ADD"/>
    <w:rsid w:val="00A05B3F"/>
    <w:rsid w:val="00A05BBD"/>
    <w:rsid w:val="00A05EDB"/>
    <w:rsid w:val="00A05F25"/>
    <w:rsid w:val="00A05FB9"/>
    <w:rsid w:val="00A05FE9"/>
    <w:rsid w:val="00A06211"/>
    <w:rsid w:val="00A06253"/>
    <w:rsid w:val="00A062A3"/>
    <w:rsid w:val="00A0630A"/>
    <w:rsid w:val="00A063E6"/>
    <w:rsid w:val="00A06400"/>
    <w:rsid w:val="00A06416"/>
    <w:rsid w:val="00A06427"/>
    <w:rsid w:val="00A0654E"/>
    <w:rsid w:val="00A066CE"/>
    <w:rsid w:val="00A0672B"/>
    <w:rsid w:val="00A067A7"/>
    <w:rsid w:val="00A068A1"/>
    <w:rsid w:val="00A06AF2"/>
    <w:rsid w:val="00A06B33"/>
    <w:rsid w:val="00A06B88"/>
    <w:rsid w:val="00A06B99"/>
    <w:rsid w:val="00A06C28"/>
    <w:rsid w:val="00A06C7B"/>
    <w:rsid w:val="00A06DCE"/>
    <w:rsid w:val="00A06E0A"/>
    <w:rsid w:val="00A07060"/>
    <w:rsid w:val="00A070F3"/>
    <w:rsid w:val="00A0720E"/>
    <w:rsid w:val="00A07237"/>
    <w:rsid w:val="00A07238"/>
    <w:rsid w:val="00A07251"/>
    <w:rsid w:val="00A072AD"/>
    <w:rsid w:val="00A07461"/>
    <w:rsid w:val="00A0748B"/>
    <w:rsid w:val="00A074EE"/>
    <w:rsid w:val="00A075B4"/>
    <w:rsid w:val="00A075F7"/>
    <w:rsid w:val="00A076AF"/>
    <w:rsid w:val="00A07808"/>
    <w:rsid w:val="00A07875"/>
    <w:rsid w:val="00A07965"/>
    <w:rsid w:val="00A079F3"/>
    <w:rsid w:val="00A07C7F"/>
    <w:rsid w:val="00A07C80"/>
    <w:rsid w:val="00A07CAA"/>
    <w:rsid w:val="00A07CDC"/>
    <w:rsid w:val="00A07CE2"/>
    <w:rsid w:val="00A07D42"/>
    <w:rsid w:val="00A07D95"/>
    <w:rsid w:val="00A07D9C"/>
    <w:rsid w:val="00A07DFF"/>
    <w:rsid w:val="00A07EE4"/>
    <w:rsid w:val="00A07F61"/>
    <w:rsid w:val="00A1003B"/>
    <w:rsid w:val="00A10040"/>
    <w:rsid w:val="00A10048"/>
    <w:rsid w:val="00A10079"/>
    <w:rsid w:val="00A100F1"/>
    <w:rsid w:val="00A101B9"/>
    <w:rsid w:val="00A102D9"/>
    <w:rsid w:val="00A1031D"/>
    <w:rsid w:val="00A103F5"/>
    <w:rsid w:val="00A10440"/>
    <w:rsid w:val="00A10684"/>
    <w:rsid w:val="00A106D7"/>
    <w:rsid w:val="00A10745"/>
    <w:rsid w:val="00A10840"/>
    <w:rsid w:val="00A108C7"/>
    <w:rsid w:val="00A108C8"/>
    <w:rsid w:val="00A10920"/>
    <w:rsid w:val="00A10997"/>
    <w:rsid w:val="00A109F6"/>
    <w:rsid w:val="00A10BE0"/>
    <w:rsid w:val="00A10D26"/>
    <w:rsid w:val="00A10F1F"/>
    <w:rsid w:val="00A10F42"/>
    <w:rsid w:val="00A10F9C"/>
    <w:rsid w:val="00A11107"/>
    <w:rsid w:val="00A11116"/>
    <w:rsid w:val="00A11125"/>
    <w:rsid w:val="00A112AF"/>
    <w:rsid w:val="00A112B9"/>
    <w:rsid w:val="00A112D7"/>
    <w:rsid w:val="00A1139F"/>
    <w:rsid w:val="00A11475"/>
    <w:rsid w:val="00A11492"/>
    <w:rsid w:val="00A11517"/>
    <w:rsid w:val="00A115D3"/>
    <w:rsid w:val="00A115FF"/>
    <w:rsid w:val="00A1160C"/>
    <w:rsid w:val="00A1163B"/>
    <w:rsid w:val="00A11697"/>
    <w:rsid w:val="00A1169A"/>
    <w:rsid w:val="00A11760"/>
    <w:rsid w:val="00A11778"/>
    <w:rsid w:val="00A1182E"/>
    <w:rsid w:val="00A11856"/>
    <w:rsid w:val="00A11A15"/>
    <w:rsid w:val="00A11A33"/>
    <w:rsid w:val="00A11B03"/>
    <w:rsid w:val="00A11BA7"/>
    <w:rsid w:val="00A11C57"/>
    <w:rsid w:val="00A11CC7"/>
    <w:rsid w:val="00A11CED"/>
    <w:rsid w:val="00A11D57"/>
    <w:rsid w:val="00A11DF7"/>
    <w:rsid w:val="00A11EDB"/>
    <w:rsid w:val="00A11F69"/>
    <w:rsid w:val="00A11F88"/>
    <w:rsid w:val="00A11FB2"/>
    <w:rsid w:val="00A12069"/>
    <w:rsid w:val="00A1206B"/>
    <w:rsid w:val="00A12288"/>
    <w:rsid w:val="00A122F7"/>
    <w:rsid w:val="00A1241B"/>
    <w:rsid w:val="00A124A9"/>
    <w:rsid w:val="00A12509"/>
    <w:rsid w:val="00A12629"/>
    <w:rsid w:val="00A12785"/>
    <w:rsid w:val="00A1282E"/>
    <w:rsid w:val="00A12B37"/>
    <w:rsid w:val="00A12B65"/>
    <w:rsid w:val="00A12C39"/>
    <w:rsid w:val="00A12CA7"/>
    <w:rsid w:val="00A12CF5"/>
    <w:rsid w:val="00A12DD6"/>
    <w:rsid w:val="00A12E60"/>
    <w:rsid w:val="00A12EF5"/>
    <w:rsid w:val="00A13018"/>
    <w:rsid w:val="00A13050"/>
    <w:rsid w:val="00A1316D"/>
    <w:rsid w:val="00A131A7"/>
    <w:rsid w:val="00A131CD"/>
    <w:rsid w:val="00A1335E"/>
    <w:rsid w:val="00A13366"/>
    <w:rsid w:val="00A133FF"/>
    <w:rsid w:val="00A134A4"/>
    <w:rsid w:val="00A134AB"/>
    <w:rsid w:val="00A134F4"/>
    <w:rsid w:val="00A134F6"/>
    <w:rsid w:val="00A1353E"/>
    <w:rsid w:val="00A1367B"/>
    <w:rsid w:val="00A136D6"/>
    <w:rsid w:val="00A13905"/>
    <w:rsid w:val="00A1392E"/>
    <w:rsid w:val="00A139CB"/>
    <w:rsid w:val="00A13A61"/>
    <w:rsid w:val="00A13A74"/>
    <w:rsid w:val="00A13AAF"/>
    <w:rsid w:val="00A13AF1"/>
    <w:rsid w:val="00A13AFF"/>
    <w:rsid w:val="00A13B06"/>
    <w:rsid w:val="00A13C45"/>
    <w:rsid w:val="00A13CF8"/>
    <w:rsid w:val="00A13D00"/>
    <w:rsid w:val="00A13D99"/>
    <w:rsid w:val="00A13EEB"/>
    <w:rsid w:val="00A13F7E"/>
    <w:rsid w:val="00A14079"/>
    <w:rsid w:val="00A1407A"/>
    <w:rsid w:val="00A14110"/>
    <w:rsid w:val="00A1411F"/>
    <w:rsid w:val="00A1412D"/>
    <w:rsid w:val="00A14172"/>
    <w:rsid w:val="00A141B3"/>
    <w:rsid w:val="00A141BF"/>
    <w:rsid w:val="00A141FE"/>
    <w:rsid w:val="00A14214"/>
    <w:rsid w:val="00A1424B"/>
    <w:rsid w:val="00A14292"/>
    <w:rsid w:val="00A1432A"/>
    <w:rsid w:val="00A1435F"/>
    <w:rsid w:val="00A143EF"/>
    <w:rsid w:val="00A144B9"/>
    <w:rsid w:val="00A14549"/>
    <w:rsid w:val="00A147F6"/>
    <w:rsid w:val="00A14931"/>
    <w:rsid w:val="00A14A2D"/>
    <w:rsid w:val="00A14B49"/>
    <w:rsid w:val="00A14B4F"/>
    <w:rsid w:val="00A14B8F"/>
    <w:rsid w:val="00A14C0B"/>
    <w:rsid w:val="00A14C4E"/>
    <w:rsid w:val="00A14C9D"/>
    <w:rsid w:val="00A14DE6"/>
    <w:rsid w:val="00A14EB9"/>
    <w:rsid w:val="00A14FED"/>
    <w:rsid w:val="00A151F1"/>
    <w:rsid w:val="00A15221"/>
    <w:rsid w:val="00A1526D"/>
    <w:rsid w:val="00A15284"/>
    <w:rsid w:val="00A152B9"/>
    <w:rsid w:val="00A15398"/>
    <w:rsid w:val="00A154B5"/>
    <w:rsid w:val="00A15518"/>
    <w:rsid w:val="00A15561"/>
    <w:rsid w:val="00A15598"/>
    <w:rsid w:val="00A155A6"/>
    <w:rsid w:val="00A156C7"/>
    <w:rsid w:val="00A156FA"/>
    <w:rsid w:val="00A1571F"/>
    <w:rsid w:val="00A1581C"/>
    <w:rsid w:val="00A15842"/>
    <w:rsid w:val="00A15925"/>
    <w:rsid w:val="00A1598D"/>
    <w:rsid w:val="00A159A9"/>
    <w:rsid w:val="00A159BC"/>
    <w:rsid w:val="00A15A26"/>
    <w:rsid w:val="00A15C01"/>
    <w:rsid w:val="00A15CBA"/>
    <w:rsid w:val="00A15CC8"/>
    <w:rsid w:val="00A15D6F"/>
    <w:rsid w:val="00A15DDE"/>
    <w:rsid w:val="00A15F95"/>
    <w:rsid w:val="00A1611D"/>
    <w:rsid w:val="00A161F9"/>
    <w:rsid w:val="00A1623A"/>
    <w:rsid w:val="00A1628F"/>
    <w:rsid w:val="00A162BB"/>
    <w:rsid w:val="00A162EC"/>
    <w:rsid w:val="00A16466"/>
    <w:rsid w:val="00A16550"/>
    <w:rsid w:val="00A16677"/>
    <w:rsid w:val="00A166D6"/>
    <w:rsid w:val="00A16711"/>
    <w:rsid w:val="00A169CA"/>
    <w:rsid w:val="00A16ACD"/>
    <w:rsid w:val="00A16B9C"/>
    <w:rsid w:val="00A16C06"/>
    <w:rsid w:val="00A16D56"/>
    <w:rsid w:val="00A16D64"/>
    <w:rsid w:val="00A16D74"/>
    <w:rsid w:val="00A16F53"/>
    <w:rsid w:val="00A16FD6"/>
    <w:rsid w:val="00A17285"/>
    <w:rsid w:val="00A1732E"/>
    <w:rsid w:val="00A17364"/>
    <w:rsid w:val="00A17421"/>
    <w:rsid w:val="00A174D9"/>
    <w:rsid w:val="00A17556"/>
    <w:rsid w:val="00A175F7"/>
    <w:rsid w:val="00A17774"/>
    <w:rsid w:val="00A17947"/>
    <w:rsid w:val="00A1795E"/>
    <w:rsid w:val="00A17962"/>
    <w:rsid w:val="00A17A1D"/>
    <w:rsid w:val="00A17A56"/>
    <w:rsid w:val="00A17A75"/>
    <w:rsid w:val="00A17B38"/>
    <w:rsid w:val="00A17B81"/>
    <w:rsid w:val="00A17B8F"/>
    <w:rsid w:val="00A17D49"/>
    <w:rsid w:val="00A20066"/>
    <w:rsid w:val="00A200FD"/>
    <w:rsid w:val="00A20131"/>
    <w:rsid w:val="00A2022A"/>
    <w:rsid w:val="00A2027E"/>
    <w:rsid w:val="00A20338"/>
    <w:rsid w:val="00A20515"/>
    <w:rsid w:val="00A20575"/>
    <w:rsid w:val="00A207B1"/>
    <w:rsid w:val="00A207FD"/>
    <w:rsid w:val="00A209F2"/>
    <w:rsid w:val="00A20A31"/>
    <w:rsid w:val="00A20A63"/>
    <w:rsid w:val="00A20BDA"/>
    <w:rsid w:val="00A20C30"/>
    <w:rsid w:val="00A20C56"/>
    <w:rsid w:val="00A20EDF"/>
    <w:rsid w:val="00A20EE7"/>
    <w:rsid w:val="00A21070"/>
    <w:rsid w:val="00A21108"/>
    <w:rsid w:val="00A21113"/>
    <w:rsid w:val="00A2114F"/>
    <w:rsid w:val="00A2122C"/>
    <w:rsid w:val="00A21385"/>
    <w:rsid w:val="00A213A4"/>
    <w:rsid w:val="00A215CB"/>
    <w:rsid w:val="00A2166B"/>
    <w:rsid w:val="00A21701"/>
    <w:rsid w:val="00A217A2"/>
    <w:rsid w:val="00A217C2"/>
    <w:rsid w:val="00A2197A"/>
    <w:rsid w:val="00A219B8"/>
    <w:rsid w:val="00A21A2C"/>
    <w:rsid w:val="00A21A55"/>
    <w:rsid w:val="00A21B32"/>
    <w:rsid w:val="00A21B41"/>
    <w:rsid w:val="00A21BBA"/>
    <w:rsid w:val="00A21D27"/>
    <w:rsid w:val="00A21DD5"/>
    <w:rsid w:val="00A21E3F"/>
    <w:rsid w:val="00A21E62"/>
    <w:rsid w:val="00A21ECB"/>
    <w:rsid w:val="00A21ED4"/>
    <w:rsid w:val="00A21FB4"/>
    <w:rsid w:val="00A21FEB"/>
    <w:rsid w:val="00A220B6"/>
    <w:rsid w:val="00A220BB"/>
    <w:rsid w:val="00A2222F"/>
    <w:rsid w:val="00A2229E"/>
    <w:rsid w:val="00A222A9"/>
    <w:rsid w:val="00A222BA"/>
    <w:rsid w:val="00A222D6"/>
    <w:rsid w:val="00A22547"/>
    <w:rsid w:val="00A2266F"/>
    <w:rsid w:val="00A226EF"/>
    <w:rsid w:val="00A227E2"/>
    <w:rsid w:val="00A22806"/>
    <w:rsid w:val="00A2293B"/>
    <w:rsid w:val="00A2294A"/>
    <w:rsid w:val="00A22A1F"/>
    <w:rsid w:val="00A22A43"/>
    <w:rsid w:val="00A22A50"/>
    <w:rsid w:val="00A22ACA"/>
    <w:rsid w:val="00A22B95"/>
    <w:rsid w:val="00A22BAC"/>
    <w:rsid w:val="00A22BB5"/>
    <w:rsid w:val="00A22EF3"/>
    <w:rsid w:val="00A230C3"/>
    <w:rsid w:val="00A230D1"/>
    <w:rsid w:val="00A230D6"/>
    <w:rsid w:val="00A230DA"/>
    <w:rsid w:val="00A230FA"/>
    <w:rsid w:val="00A23149"/>
    <w:rsid w:val="00A231D9"/>
    <w:rsid w:val="00A2328C"/>
    <w:rsid w:val="00A232A3"/>
    <w:rsid w:val="00A2330C"/>
    <w:rsid w:val="00A2337E"/>
    <w:rsid w:val="00A2339A"/>
    <w:rsid w:val="00A23453"/>
    <w:rsid w:val="00A23460"/>
    <w:rsid w:val="00A234E6"/>
    <w:rsid w:val="00A23567"/>
    <w:rsid w:val="00A236A0"/>
    <w:rsid w:val="00A2371F"/>
    <w:rsid w:val="00A2373D"/>
    <w:rsid w:val="00A237A4"/>
    <w:rsid w:val="00A237E0"/>
    <w:rsid w:val="00A23957"/>
    <w:rsid w:val="00A23958"/>
    <w:rsid w:val="00A239A7"/>
    <w:rsid w:val="00A23A2E"/>
    <w:rsid w:val="00A23A8D"/>
    <w:rsid w:val="00A23AB3"/>
    <w:rsid w:val="00A23ABC"/>
    <w:rsid w:val="00A23B5F"/>
    <w:rsid w:val="00A23BCA"/>
    <w:rsid w:val="00A23C92"/>
    <w:rsid w:val="00A23CA0"/>
    <w:rsid w:val="00A23E46"/>
    <w:rsid w:val="00A23EDA"/>
    <w:rsid w:val="00A23FC7"/>
    <w:rsid w:val="00A23FF9"/>
    <w:rsid w:val="00A24057"/>
    <w:rsid w:val="00A24198"/>
    <w:rsid w:val="00A24242"/>
    <w:rsid w:val="00A2425B"/>
    <w:rsid w:val="00A2438E"/>
    <w:rsid w:val="00A24482"/>
    <w:rsid w:val="00A244F6"/>
    <w:rsid w:val="00A2457D"/>
    <w:rsid w:val="00A246EB"/>
    <w:rsid w:val="00A2476E"/>
    <w:rsid w:val="00A247DA"/>
    <w:rsid w:val="00A2482B"/>
    <w:rsid w:val="00A248A7"/>
    <w:rsid w:val="00A248E1"/>
    <w:rsid w:val="00A249BA"/>
    <w:rsid w:val="00A249CD"/>
    <w:rsid w:val="00A24BEE"/>
    <w:rsid w:val="00A24EA5"/>
    <w:rsid w:val="00A24F66"/>
    <w:rsid w:val="00A2502E"/>
    <w:rsid w:val="00A2507C"/>
    <w:rsid w:val="00A25167"/>
    <w:rsid w:val="00A25269"/>
    <w:rsid w:val="00A252B0"/>
    <w:rsid w:val="00A2536A"/>
    <w:rsid w:val="00A253F7"/>
    <w:rsid w:val="00A25507"/>
    <w:rsid w:val="00A25585"/>
    <w:rsid w:val="00A25662"/>
    <w:rsid w:val="00A25732"/>
    <w:rsid w:val="00A25798"/>
    <w:rsid w:val="00A25812"/>
    <w:rsid w:val="00A25885"/>
    <w:rsid w:val="00A258D0"/>
    <w:rsid w:val="00A25A30"/>
    <w:rsid w:val="00A25A35"/>
    <w:rsid w:val="00A25A79"/>
    <w:rsid w:val="00A25B5A"/>
    <w:rsid w:val="00A25C9D"/>
    <w:rsid w:val="00A25D28"/>
    <w:rsid w:val="00A25D75"/>
    <w:rsid w:val="00A25D87"/>
    <w:rsid w:val="00A25DFE"/>
    <w:rsid w:val="00A25F23"/>
    <w:rsid w:val="00A25F48"/>
    <w:rsid w:val="00A25F5B"/>
    <w:rsid w:val="00A25FAD"/>
    <w:rsid w:val="00A25FFB"/>
    <w:rsid w:val="00A2613C"/>
    <w:rsid w:val="00A2614E"/>
    <w:rsid w:val="00A26230"/>
    <w:rsid w:val="00A26314"/>
    <w:rsid w:val="00A26541"/>
    <w:rsid w:val="00A26546"/>
    <w:rsid w:val="00A26548"/>
    <w:rsid w:val="00A265E6"/>
    <w:rsid w:val="00A2665E"/>
    <w:rsid w:val="00A266C2"/>
    <w:rsid w:val="00A266F3"/>
    <w:rsid w:val="00A26712"/>
    <w:rsid w:val="00A267A3"/>
    <w:rsid w:val="00A267C1"/>
    <w:rsid w:val="00A2690F"/>
    <w:rsid w:val="00A269D0"/>
    <w:rsid w:val="00A26B06"/>
    <w:rsid w:val="00A26BD1"/>
    <w:rsid w:val="00A26BF8"/>
    <w:rsid w:val="00A26C71"/>
    <w:rsid w:val="00A26C7D"/>
    <w:rsid w:val="00A26DA0"/>
    <w:rsid w:val="00A26DF3"/>
    <w:rsid w:val="00A26DFA"/>
    <w:rsid w:val="00A26F0B"/>
    <w:rsid w:val="00A26F2A"/>
    <w:rsid w:val="00A2701D"/>
    <w:rsid w:val="00A2717B"/>
    <w:rsid w:val="00A271B6"/>
    <w:rsid w:val="00A271FB"/>
    <w:rsid w:val="00A27218"/>
    <w:rsid w:val="00A2728A"/>
    <w:rsid w:val="00A2728D"/>
    <w:rsid w:val="00A27309"/>
    <w:rsid w:val="00A27335"/>
    <w:rsid w:val="00A27437"/>
    <w:rsid w:val="00A2751A"/>
    <w:rsid w:val="00A2759B"/>
    <w:rsid w:val="00A27604"/>
    <w:rsid w:val="00A27686"/>
    <w:rsid w:val="00A276BE"/>
    <w:rsid w:val="00A27883"/>
    <w:rsid w:val="00A27969"/>
    <w:rsid w:val="00A279E3"/>
    <w:rsid w:val="00A27A1A"/>
    <w:rsid w:val="00A27A2B"/>
    <w:rsid w:val="00A27A9F"/>
    <w:rsid w:val="00A27BD8"/>
    <w:rsid w:val="00A27D3D"/>
    <w:rsid w:val="00A27DAF"/>
    <w:rsid w:val="00A27F28"/>
    <w:rsid w:val="00A27F4F"/>
    <w:rsid w:val="00A27F6B"/>
    <w:rsid w:val="00A300D7"/>
    <w:rsid w:val="00A30170"/>
    <w:rsid w:val="00A30218"/>
    <w:rsid w:val="00A30273"/>
    <w:rsid w:val="00A30347"/>
    <w:rsid w:val="00A30415"/>
    <w:rsid w:val="00A30478"/>
    <w:rsid w:val="00A304B0"/>
    <w:rsid w:val="00A3056B"/>
    <w:rsid w:val="00A305DE"/>
    <w:rsid w:val="00A30777"/>
    <w:rsid w:val="00A30906"/>
    <w:rsid w:val="00A30AAD"/>
    <w:rsid w:val="00A30AEC"/>
    <w:rsid w:val="00A30B4B"/>
    <w:rsid w:val="00A30B4F"/>
    <w:rsid w:val="00A30BBB"/>
    <w:rsid w:val="00A30BD3"/>
    <w:rsid w:val="00A30BD6"/>
    <w:rsid w:val="00A30BDC"/>
    <w:rsid w:val="00A30BF3"/>
    <w:rsid w:val="00A30CBF"/>
    <w:rsid w:val="00A30D67"/>
    <w:rsid w:val="00A30EEB"/>
    <w:rsid w:val="00A30F13"/>
    <w:rsid w:val="00A30FE1"/>
    <w:rsid w:val="00A31180"/>
    <w:rsid w:val="00A31186"/>
    <w:rsid w:val="00A31239"/>
    <w:rsid w:val="00A3126E"/>
    <w:rsid w:val="00A31270"/>
    <w:rsid w:val="00A31281"/>
    <w:rsid w:val="00A3134D"/>
    <w:rsid w:val="00A31359"/>
    <w:rsid w:val="00A31467"/>
    <w:rsid w:val="00A3157B"/>
    <w:rsid w:val="00A316C9"/>
    <w:rsid w:val="00A31702"/>
    <w:rsid w:val="00A317C5"/>
    <w:rsid w:val="00A31862"/>
    <w:rsid w:val="00A3188C"/>
    <w:rsid w:val="00A31902"/>
    <w:rsid w:val="00A3195A"/>
    <w:rsid w:val="00A31A97"/>
    <w:rsid w:val="00A31B7C"/>
    <w:rsid w:val="00A31CED"/>
    <w:rsid w:val="00A31E3C"/>
    <w:rsid w:val="00A32006"/>
    <w:rsid w:val="00A320DC"/>
    <w:rsid w:val="00A32169"/>
    <w:rsid w:val="00A32186"/>
    <w:rsid w:val="00A321D9"/>
    <w:rsid w:val="00A32330"/>
    <w:rsid w:val="00A3234C"/>
    <w:rsid w:val="00A32373"/>
    <w:rsid w:val="00A3237B"/>
    <w:rsid w:val="00A323F2"/>
    <w:rsid w:val="00A3263B"/>
    <w:rsid w:val="00A32760"/>
    <w:rsid w:val="00A3290F"/>
    <w:rsid w:val="00A32B96"/>
    <w:rsid w:val="00A32C93"/>
    <w:rsid w:val="00A32D34"/>
    <w:rsid w:val="00A32E2F"/>
    <w:rsid w:val="00A32E47"/>
    <w:rsid w:val="00A32F61"/>
    <w:rsid w:val="00A330CC"/>
    <w:rsid w:val="00A33159"/>
    <w:rsid w:val="00A33295"/>
    <w:rsid w:val="00A3335F"/>
    <w:rsid w:val="00A333A0"/>
    <w:rsid w:val="00A33433"/>
    <w:rsid w:val="00A3358C"/>
    <w:rsid w:val="00A3362A"/>
    <w:rsid w:val="00A336AC"/>
    <w:rsid w:val="00A33773"/>
    <w:rsid w:val="00A33793"/>
    <w:rsid w:val="00A3393E"/>
    <w:rsid w:val="00A339AF"/>
    <w:rsid w:val="00A33BFC"/>
    <w:rsid w:val="00A33D34"/>
    <w:rsid w:val="00A33D54"/>
    <w:rsid w:val="00A33DEB"/>
    <w:rsid w:val="00A33E5A"/>
    <w:rsid w:val="00A33E6F"/>
    <w:rsid w:val="00A33F18"/>
    <w:rsid w:val="00A33F36"/>
    <w:rsid w:val="00A33FC3"/>
    <w:rsid w:val="00A34218"/>
    <w:rsid w:val="00A34287"/>
    <w:rsid w:val="00A342ED"/>
    <w:rsid w:val="00A34310"/>
    <w:rsid w:val="00A343FD"/>
    <w:rsid w:val="00A344A3"/>
    <w:rsid w:val="00A3457D"/>
    <w:rsid w:val="00A345AB"/>
    <w:rsid w:val="00A3469F"/>
    <w:rsid w:val="00A346C8"/>
    <w:rsid w:val="00A34726"/>
    <w:rsid w:val="00A34790"/>
    <w:rsid w:val="00A347FB"/>
    <w:rsid w:val="00A3483D"/>
    <w:rsid w:val="00A34869"/>
    <w:rsid w:val="00A34910"/>
    <w:rsid w:val="00A34992"/>
    <w:rsid w:val="00A34A7A"/>
    <w:rsid w:val="00A34A84"/>
    <w:rsid w:val="00A34ABD"/>
    <w:rsid w:val="00A34BB4"/>
    <w:rsid w:val="00A34BF0"/>
    <w:rsid w:val="00A34D1A"/>
    <w:rsid w:val="00A34D45"/>
    <w:rsid w:val="00A34E30"/>
    <w:rsid w:val="00A34E4D"/>
    <w:rsid w:val="00A351F4"/>
    <w:rsid w:val="00A35217"/>
    <w:rsid w:val="00A35233"/>
    <w:rsid w:val="00A3524C"/>
    <w:rsid w:val="00A353C8"/>
    <w:rsid w:val="00A353D7"/>
    <w:rsid w:val="00A3541B"/>
    <w:rsid w:val="00A35449"/>
    <w:rsid w:val="00A3546C"/>
    <w:rsid w:val="00A354E5"/>
    <w:rsid w:val="00A354EC"/>
    <w:rsid w:val="00A355C3"/>
    <w:rsid w:val="00A3567C"/>
    <w:rsid w:val="00A357C2"/>
    <w:rsid w:val="00A35813"/>
    <w:rsid w:val="00A35829"/>
    <w:rsid w:val="00A35878"/>
    <w:rsid w:val="00A35894"/>
    <w:rsid w:val="00A3593A"/>
    <w:rsid w:val="00A35962"/>
    <w:rsid w:val="00A35969"/>
    <w:rsid w:val="00A35988"/>
    <w:rsid w:val="00A35A2F"/>
    <w:rsid w:val="00A35AA1"/>
    <w:rsid w:val="00A35B88"/>
    <w:rsid w:val="00A35BAA"/>
    <w:rsid w:val="00A35BBE"/>
    <w:rsid w:val="00A35C7E"/>
    <w:rsid w:val="00A35CC5"/>
    <w:rsid w:val="00A35CDE"/>
    <w:rsid w:val="00A35E3D"/>
    <w:rsid w:val="00A35EFA"/>
    <w:rsid w:val="00A35F6E"/>
    <w:rsid w:val="00A35FE6"/>
    <w:rsid w:val="00A35FF2"/>
    <w:rsid w:val="00A361A6"/>
    <w:rsid w:val="00A361F1"/>
    <w:rsid w:val="00A36204"/>
    <w:rsid w:val="00A3627D"/>
    <w:rsid w:val="00A36282"/>
    <w:rsid w:val="00A3631D"/>
    <w:rsid w:val="00A36443"/>
    <w:rsid w:val="00A364C3"/>
    <w:rsid w:val="00A364CF"/>
    <w:rsid w:val="00A365A7"/>
    <w:rsid w:val="00A368A7"/>
    <w:rsid w:val="00A368EC"/>
    <w:rsid w:val="00A368F7"/>
    <w:rsid w:val="00A36935"/>
    <w:rsid w:val="00A36938"/>
    <w:rsid w:val="00A36A8B"/>
    <w:rsid w:val="00A36C74"/>
    <w:rsid w:val="00A36CFC"/>
    <w:rsid w:val="00A36D95"/>
    <w:rsid w:val="00A36DCC"/>
    <w:rsid w:val="00A36DDC"/>
    <w:rsid w:val="00A36DEC"/>
    <w:rsid w:val="00A36E0E"/>
    <w:rsid w:val="00A36F0A"/>
    <w:rsid w:val="00A37067"/>
    <w:rsid w:val="00A37127"/>
    <w:rsid w:val="00A37131"/>
    <w:rsid w:val="00A3714B"/>
    <w:rsid w:val="00A3720B"/>
    <w:rsid w:val="00A374A2"/>
    <w:rsid w:val="00A3764C"/>
    <w:rsid w:val="00A37778"/>
    <w:rsid w:val="00A37842"/>
    <w:rsid w:val="00A379CA"/>
    <w:rsid w:val="00A379D6"/>
    <w:rsid w:val="00A37A0E"/>
    <w:rsid w:val="00A37A28"/>
    <w:rsid w:val="00A37B24"/>
    <w:rsid w:val="00A37C40"/>
    <w:rsid w:val="00A37D54"/>
    <w:rsid w:val="00A37E64"/>
    <w:rsid w:val="00A37E6C"/>
    <w:rsid w:val="00A37E8A"/>
    <w:rsid w:val="00A37F68"/>
    <w:rsid w:val="00A40008"/>
    <w:rsid w:val="00A4003B"/>
    <w:rsid w:val="00A40063"/>
    <w:rsid w:val="00A40072"/>
    <w:rsid w:val="00A40186"/>
    <w:rsid w:val="00A402CA"/>
    <w:rsid w:val="00A40326"/>
    <w:rsid w:val="00A40497"/>
    <w:rsid w:val="00A4049D"/>
    <w:rsid w:val="00A4054A"/>
    <w:rsid w:val="00A40689"/>
    <w:rsid w:val="00A40709"/>
    <w:rsid w:val="00A40860"/>
    <w:rsid w:val="00A40864"/>
    <w:rsid w:val="00A408EF"/>
    <w:rsid w:val="00A40902"/>
    <w:rsid w:val="00A4092C"/>
    <w:rsid w:val="00A4095E"/>
    <w:rsid w:val="00A40976"/>
    <w:rsid w:val="00A40B17"/>
    <w:rsid w:val="00A40C94"/>
    <w:rsid w:val="00A40E28"/>
    <w:rsid w:val="00A40F16"/>
    <w:rsid w:val="00A40F45"/>
    <w:rsid w:val="00A40F97"/>
    <w:rsid w:val="00A40FFE"/>
    <w:rsid w:val="00A41028"/>
    <w:rsid w:val="00A41233"/>
    <w:rsid w:val="00A41284"/>
    <w:rsid w:val="00A41295"/>
    <w:rsid w:val="00A41648"/>
    <w:rsid w:val="00A4164C"/>
    <w:rsid w:val="00A41683"/>
    <w:rsid w:val="00A4168B"/>
    <w:rsid w:val="00A41694"/>
    <w:rsid w:val="00A416AE"/>
    <w:rsid w:val="00A41758"/>
    <w:rsid w:val="00A41779"/>
    <w:rsid w:val="00A4180C"/>
    <w:rsid w:val="00A4186A"/>
    <w:rsid w:val="00A41876"/>
    <w:rsid w:val="00A4190F"/>
    <w:rsid w:val="00A4192E"/>
    <w:rsid w:val="00A41959"/>
    <w:rsid w:val="00A41961"/>
    <w:rsid w:val="00A419C6"/>
    <w:rsid w:val="00A419CB"/>
    <w:rsid w:val="00A419DA"/>
    <w:rsid w:val="00A419ED"/>
    <w:rsid w:val="00A41B25"/>
    <w:rsid w:val="00A41BA4"/>
    <w:rsid w:val="00A41CC7"/>
    <w:rsid w:val="00A41CCE"/>
    <w:rsid w:val="00A41CE2"/>
    <w:rsid w:val="00A41D02"/>
    <w:rsid w:val="00A41D23"/>
    <w:rsid w:val="00A41E14"/>
    <w:rsid w:val="00A41E74"/>
    <w:rsid w:val="00A41F64"/>
    <w:rsid w:val="00A41F7A"/>
    <w:rsid w:val="00A41FAE"/>
    <w:rsid w:val="00A4202B"/>
    <w:rsid w:val="00A42058"/>
    <w:rsid w:val="00A420ED"/>
    <w:rsid w:val="00A42135"/>
    <w:rsid w:val="00A42197"/>
    <w:rsid w:val="00A422D3"/>
    <w:rsid w:val="00A4231D"/>
    <w:rsid w:val="00A42351"/>
    <w:rsid w:val="00A423EC"/>
    <w:rsid w:val="00A4242A"/>
    <w:rsid w:val="00A42615"/>
    <w:rsid w:val="00A42654"/>
    <w:rsid w:val="00A426BC"/>
    <w:rsid w:val="00A42801"/>
    <w:rsid w:val="00A429A4"/>
    <w:rsid w:val="00A42A78"/>
    <w:rsid w:val="00A42ACC"/>
    <w:rsid w:val="00A42B02"/>
    <w:rsid w:val="00A42BFC"/>
    <w:rsid w:val="00A42C4D"/>
    <w:rsid w:val="00A42C61"/>
    <w:rsid w:val="00A42C83"/>
    <w:rsid w:val="00A42E29"/>
    <w:rsid w:val="00A42E65"/>
    <w:rsid w:val="00A42F10"/>
    <w:rsid w:val="00A42FC8"/>
    <w:rsid w:val="00A42FCD"/>
    <w:rsid w:val="00A43057"/>
    <w:rsid w:val="00A433E9"/>
    <w:rsid w:val="00A434AF"/>
    <w:rsid w:val="00A43676"/>
    <w:rsid w:val="00A436CC"/>
    <w:rsid w:val="00A437C4"/>
    <w:rsid w:val="00A437D0"/>
    <w:rsid w:val="00A439A7"/>
    <w:rsid w:val="00A439D7"/>
    <w:rsid w:val="00A439EE"/>
    <w:rsid w:val="00A43A72"/>
    <w:rsid w:val="00A43AB2"/>
    <w:rsid w:val="00A43AE0"/>
    <w:rsid w:val="00A43B40"/>
    <w:rsid w:val="00A43BC9"/>
    <w:rsid w:val="00A43C2D"/>
    <w:rsid w:val="00A43D52"/>
    <w:rsid w:val="00A43D94"/>
    <w:rsid w:val="00A43D9E"/>
    <w:rsid w:val="00A43E2B"/>
    <w:rsid w:val="00A43F4D"/>
    <w:rsid w:val="00A44008"/>
    <w:rsid w:val="00A44015"/>
    <w:rsid w:val="00A440CE"/>
    <w:rsid w:val="00A440E2"/>
    <w:rsid w:val="00A4416D"/>
    <w:rsid w:val="00A441EF"/>
    <w:rsid w:val="00A44330"/>
    <w:rsid w:val="00A44671"/>
    <w:rsid w:val="00A446CE"/>
    <w:rsid w:val="00A44718"/>
    <w:rsid w:val="00A44802"/>
    <w:rsid w:val="00A44868"/>
    <w:rsid w:val="00A449A6"/>
    <w:rsid w:val="00A44A7C"/>
    <w:rsid w:val="00A44C27"/>
    <w:rsid w:val="00A44CA9"/>
    <w:rsid w:val="00A44CB8"/>
    <w:rsid w:val="00A44CFC"/>
    <w:rsid w:val="00A44D0D"/>
    <w:rsid w:val="00A44D7F"/>
    <w:rsid w:val="00A44F4D"/>
    <w:rsid w:val="00A450A0"/>
    <w:rsid w:val="00A450DC"/>
    <w:rsid w:val="00A4510F"/>
    <w:rsid w:val="00A4511F"/>
    <w:rsid w:val="00A4513E"/>
    <w:rsid w:val="00A45269"/>
    <w:rsid w:val="00A45374"/>
    <w:rsid w:val="00A454E5"/>
    <w:rsid w:val="00A45521"/>
    <w:rsid w:val="00A4554B"/>
    <w:rsid w:val="00A455A5"/>
    <w:rsid w:val="00A45608"/>
    <w:rsid w:val="00A4561A"/>
    <w:rsid w:val="00A4566C"/>
    <w:rsid w:val="00A456BE"/>
    <w:rsid w:val="00A4575D"/>
    <w:rsid w:val="00A4575E"/>
    <w:rsid w:val="00A4576E"/>
    <w:rsid w:val="00A457B9"/>
    <w:rsid w:val="00A4588A"/>
    <w:rsid w:val="00A45951"/>
    <w:rsid w:val="00A459AD"/>
    <w:rsid w:val="00A45AA5"/>
    <w:rsid w:val="00A45ABF"/>
    <w:rsid w:val="00A45BAD"/>
    <w:rsid w:val="00A45C3A"/>
    <w:rsid w:val="00A45C5E"/>
    <w:rsid w:val="00A45CA2"/>
    <w:rsid w:val="00A45CEA"/>
    <w:rsid w:val="00A45D1F"/>
    <w:rsid w:val="00A45D2B"/>
    <w:rsid w:val="00A45D4B"/>
    <w:rsid w:val="00A45DB2"/>
    <w:rsid w:val="00A45E1F"/>
    <w:rsid w:val="00A45E46"/>
    <w:rsid w:val="00A45FB2"/>
    <w:rsid w:val="00A460BB"/>
    <w:rsid w:val="00A460F5"/>
    <w:rsid w:val="00A46149"/>
    <w:rsid w:val="00A46238"/>
    <w:rsid w:val="00A462A4"/>
    <w:rsid w:val="00A462CD"/>
    <w:rsid w:val="00A4634E"/>
    <w:rsid w:val="00A463D3"/>
    <w:rsid w:val="00A464AB"/>
    <w:rsid w:val="00A465DF"/>
    <w:rsid w:val="00A465F7"/>
    <w:rsid w:val="00A46790"/>
    <w:rsid w:val="00A467C9"/>
    <w:rsid w:val="00A467CF"/>
    <w:rsid w:val="00A468F1"/>
    <w:rsid w:val="00A46919"/>
    <w:rsid w:val="00A4696C"/>
    <w:rsid w:val="00A4698A"/>
    <w:rsid w:val="00A469C4"/>
    <w:rsid w:val="00A46A11"/>
    <w:rsid w:val="00A46C1A"/>
    <w:rsid w:val="00A46CD1"/>
    <w:rsid w:val="00A46D80"/>
    <w:rsid w:val="00A46D8C"/>
    <w:rsid w:val="00A46DA0"/>
    <w:rsid w:val="00A46E9B"/>
    <w:rsid w:val="00A46EC2"/>
    <w:rsid w:val="00A46F00"/>
    <w:rsid w:val="00A46F51"/>
    <w:rsid w:val="00A46FE2"/>
    <w:rsid w:val="00A470AB"/>
    <w:rsid w:val="00A470F7"/>
    <w:rsid w:val="00A470FD"/>
    <w:rsid w:val="00A47159"/>
    <w:rsid w:val="00A47199"/>
    <w:rsid w:val="00A4719D"/>
    <w:rsid w:val="00A471B2"/>
    <w:rsid w:val="00A47320"/>
    <w:rsid w:val="00A4735D"/>
    <w:rsid w:val="00A473D3"/>
    <w:rsid w:val="00A47410"/>
    <w:rsid w:val="00A4749C"/>
    <w:rsid w:val="00A474A5"/>
    <w:rsid w:val="00A474F9"/>
    <w:rsid w:val="00A4750B"/>
    <w:rsid w:val="00A47562"/>
    <w:rsid w:val="00A4756E"/>
    <w:rsid w:val="00A479C9"/>
    <w:rsid w:val="00A47A91"/>
    <w:rsid w:val="00A47B3B"/>
    <w:rsid w:val="00A47B9C"/>
    <w:rsid w:val="00A47BC9"/>
    <w:rsid w:val="00A47C33"/>
    <w:rsid w:val="00A47C4C"/>
    <w:rsid w:val="00A47CC0"/>
    <w:rsid w:val="00A47CF4"/>
    <w:rsid w:val="00A47D9D"/>
    <w:rsid w:val="00A47DFB"/>
    <w:rsid w:val="00A47EA9"/>
    <w:rsid w:val="00A47FEC"/>
    <w:rsid w:val="00A5001A"/>
    <w:rsid w:val="00A50126"/>
    <w:rsid w:val="00A5020B"/>
    <w:rsid w:val="00A50219"/>
    <w:rsid w:val="00A502A1"/>
    <w:rsid w:val="00A503FD"/>
    <w:rsid w:val="00A505B7"/>
    <w:rsid w:val="00A505C9"/>
    <w:rsid w:val="00A50705"/>
    <w:rsid w:val="00A5078E"/>
    <w:rsid w:val="00A50790"/>
    <w:rsid w:val="00A507C5"/>
    <w:rsid w:val="00A507CF"/>
    <w:rsid w:val="00A508D9"/>
    <w:rsid w:val="00A509BA"/>
    <w:rsid w:val="00A50B68"/>
    <w:rsid w:val="00A50D04"/>
    <w:rsid w:val="00A50D11"/>
    <w:rsid w:val="00A50D27"/>
    <w:rsid w:val="00A50D7C"/>
    <w:rsid w:val="00A50DA7"/>
    <w:rsid w:val="00A50FEC"/>
    <w:rsid w:val="00A510CF"/>
    <w:rsid w:val="00A51194"/>
    <w:rsid w:val="00A511A6"/>
    <w:rsid w:val="00A511A9"/>
    <w:rsid w:val="00A512E8"/>
    <w:rsid w:val="00A51318"/>
    <w:rsid w:val="00A51320"/>
    <w:rsid w:val="00A5145A"/>
    <w:rsid w:val="00A514E9"/>
    <w:rsid w:val="00A516ED"/>
    <w:rsid w:val="00A51773"/>
    <w:rsid w:val="00A51812"/>
    <w:rsid w:val="00A518CC"/>
    <w:rsid w:val="00A51B94"/>
    <w:rsid w:val="00A51B99"/>
    <w:rsid w:val="00A51D43"/>
    <w:rsid w:val="00A51D80"/>
    <w:rsid w:val="00A51DC3"/>
    <w:rsid w:val="00A51E21"/>
    <w:rsid w:val="00A51E54"/>
    <w:rsid w:val="00A51E74"/>
    <w:rsid w:val="00A51EA6"/>
    <w:rsid w:val="00A51EF7"/>
    <w:rsid w:val="00A51F11"/>
    <w:rsid w:val="00A51F29"/>
    <w:rsid w:val="00A51F91"/>
    <w:rsid w:val="00A51FD7"/>
    <w:rsid w:val="00A52000"/>
    <w:rsid w:val="00A520B5"/>
    <w:rsid w:val="00A52112"/>
    <w:rsid w:val="00A521A3"/>
    <w:rsid w:val="00A521AB"/>
    <w:rsid w:val="00A52263"/>
    <w:rsid w:val="00A524EE"/>
    <w:rsid w:val="00A525F5"/>
    <w:rsid w:val="00A5268E"/>
    <w:rsid w:val="00A52734"/>
    <w:rsid w:val="00A527A6"/>
    <w:rsid w:val="00A52848"/>
    <w:rsid w:val="00A5286F"/>
    <w:rsid w:val="00A52A56"/>
    <w:rsid w:val="00A52B31"/>
    <w:rsid w:val="00A52C22"/>
    <w:rsid w:val="00A52C49"/>
    <w:rsid w:val="00A52CDA"/>
    <w:rsid w:val="00A52CFC"/>
    <w:rsid w:val="00A52D23"/>
    <w:rsid w:val="00A52D56"/>
    <w:rsid w:val="00A52D61"/>
    <w:rsid w:val="00A52D9D"/>
    <w:rsid w:val="00A52DBF"/>
    <w:rsid w:val="00A52EC4"/>
    <w:rsid w:val="00A52F7B"/>
    <w:rsid w:val="00A52FCA"/>
    <w:rsid w:val="00A53132"/>
    <w:rsid w:val="00A53148"/>
    <w:rsid w:val="00A53161"/>
    <w:rsid w:val="00A531DC"/>
    <w:rsid w:val="00A532D4"/>
    <w:rsid w:val="00A533DA"/>
    <w:rsid w:val="00A533E6"/>
    <w:rsid w:val="00A533EE"/>
    <w:rsid w:val="00A533F3"/>
    <w:rsid w:val="00A53477"/>
    <w:rsid w:val="00A5363B"/>
    <w:rsid w:val="00A5372D"/>
    <w:rsid w:val="00A53738"/>
    <w:rsid w:val="00A5381A"/>
    <w:rsid w:val="00A53850"/>
    <w:rsid w:val="00A53B4C"/>
    <w:rsid w:val="00A53B62"/>
    <w:rsid w:val="00A53B81"/>
    <w:rsid w:val="00A53C0A"/>
    <w:rsid w:val="00A53C4C"/>
    <w:rsid w:val="00A53D84"/>
    <w:rsid w:val="00A53D95"/>
    <w:rsid w:val="00A53DA9"/>
    <w:rsid w:val="00A53DFC"/>
    <w:rsid w:val="00A53E32"/>
    <w:rsid w:val="00A53E42"/>
    <w:rsid w:val="00A53E45"/>
    <w:rsid w:val="00A53EB9"/>
    <w:rsid w:val="00A53EDC"/>
    <w:rsid w:val="00A53EF1"/>
    <w:rsid w:val="00A53F33"/>
    <w:rsid w:val="00A53F59"/>
    <w:rsid w:val="00A53FAD"/>
    <w:rsid w:val="00A53FB7"/>
    <w:rsid w:val="00A5401D"/>
    <w:rsid w:val="00A54079"/>
    <w:rsid w:val="00A540AF"/>
    <w:rsid w:val="00A540DE"/>
    <w:rsid w:val="00A54180"/>
    <w:rsid w:val="00A54194"/>
    <w:rsid w:val="00A54198"/>
    <w:rsid w:val="00A542E8"/>
    <w:rsid w:val="00A542FF"/>
    <w:rsid w:val="00A54302"/>
    <w:rsid w:val="00A5434E"/>
    <w:rsid w:val="00A543B4"/>
    <w:rsid w:val="00A54731"/>
    <w:rsid w:val="00A5473B"/>
    <w:rsid w:val="00A547F5"/>
    <w:rsid w:val="00A54815"/>
    <w:rsid w:val="00A54884"/>
    <w:rsid w:val="00A5491F"/>
    <w:rsid w:val="00A5496C"/>
    <w:rsid w:val="00A549D3"/>
    <w:rsid w:val="00A54A61"/>
    <w:rsid w:val="00A54AA4"/>
    <w:rsid w:val="00A54B19"/>
    <w:rsid w:val="00A54B61"/>
    <w:rsid w:val="00A54B6B"/>
    <w:rsid w:val="00A54C8F"/>
    <w:rsid w:val="00A54CE0"/>
    <w:rsid w:val="00A54DB6"/>
    <w:rsid w:val="00A54DEF"/>
    <w:rsid w:val="00A54E41"/>
    <w:rsid w:val="00A54EB1"/>
    <w:rsid w:val="00A54EE4"/>
    <w:rsid w:val="00A54F23"/>
    <w:rsid w:val="00A54F67"/>
    <w:rsid w:val="00A55003"/>
    <w:rsid w:val="00A5518B"/>
    <w:rsid w:val="00A5518F"/>
    <w:rsid w:val="00A5527D"/>
    <w:rsid w:val="00A55307"/>
    <w:rsid w:val="00A554D5"/>
    <w:rsid w:val="00A554D9"/>
    <w:rsid w:val="00A55592"/>
    <w:rsid w:val="00A5563C"/>
    <w:rsid w:val="00A5572E"/>
    <w:rsid w:val="00A5574A"/>
    <w:rsid w:val="00A5575B"/>
    <w:rsid w:val="00A557CC"/>
    <w:rsid w:val="00A5587A"/>
    <w:rsid w:val="00A55891"/>
    <w:rsid w:val="00A559D7"/>
    <w:rsid w:val="00A55BE8"/>
    <w:rsid w:val="00A55C7E"/>
    <w:rsid w:val="00A55CA0"/>
    <w:rsid w:val="00A55CC6"/>
    <w:rsid w:val="00A55D77"/>
    <w:rsid w:val="00A55D8D"/>
    <w:rsid w:val="00A55DAC"/>
    <w:rsid w:val="00A55E5C"/>
    <w:rsid w:val="00A55E6E"/>
    <w:rsid w:val="00A56008"/>
    <w:rsid w:val="00A56139"/>
    <w:rsid w:val="00A5617C"/>
    <w:rsid w:val="00A5619B"/>
    <w:rsid w:val="00A5626C"/>
    <w:rsid w:val="00A56314"/>
    <w:rsid w:val="00A5632D"/>
    <w:rsid w:val="00A5634A"/>
    <w:rsid w:val="00A563A4"/>
    <w:rsid w:val="00A563B3"/>
    <w:rsid w:val="00A563D7"/>
    <w:rsid w:val="00A564AB"/>
    <w:rsid w:val="00A564E9"/>
    <w:rsid w:val="00A5653F"/>
    <w:rsid w:val="00A5655A"/>
    <w:rsid w:val="00A56587"/>
    <w:rsid w:val="00A5659D"/>
    <w:rsid w:val="00A56673"/>
    <w:rsid w:val="00A56754"/>
    <w:rsid w:val="00A567E5"/>
    <w:rsid w:val="00A56978"/>
    <w:rsid w:val="00A569DC"/>
    <w:rsid w:val="00A56ACE"/>
    <w:rsid w:val="00A56C52"/>
    <w:rsid w:val="00A56C94"/>
    <w:rsid w:val="00A56E0E"/>
    <w:rsid w:val="00A56E16"/>
    <w:rsid w:val="00A56EA8"/>
    <w:rsid w:val="00A5708A"/>
    <w:rsid w:val="00A570B9"/>
    <w:rsid w:val="00A57158"/>
    <w:rsid w:val="00A5728A"/>
    <w:rsid w:val="00A57295"/>
    <w:rsid w:val="00A572A2"/>
    <w:rsid w:val="00A572D3"/>
    <w:rsid w:val="00A574AD"/>
    <w:rsid w:val="00A574EB"/>
    <w:rsid w:val="00A5751A"/>
    <w:rsid w:val="00A57564"/>
    <w:rsid w:val="00A57632"/>
    <w:rsid w:val="00A5769C"/>
    <w:rsid w:val="00A576D3"/>
    <w:rsid w:val="00A57766"/>
    <w:rsid w:val="00A57845"/>
    <w:rsid w:val="00A578E1"/>
    <w:rsid w:val="00A579B0"/>
    <w:rsid w:val="00A57AD1"/>
    <w:rsid w:val="00A57AD3"/>
    <w:rsid w:val="00A57B39"/>
    <w:rsid w:val="00A57B3C"/>
    <w:rsid w:val="00A57B46"/>
    <w:rsid w:val="00A57C26"/>
    <w:rsid w:val="00A57DA7"/>
    <w:rsid w:val="00A57DF8"/>
    <w:rsid w:val="00A57E39"/>
    <w:rsid w:val="00A57E96"/>
    <w:rsid w:val="00A57FE8"/>
    <w:rsid w:val="00A60021"/>
    <w:rsid w:val="00A60053"/>
    <w:rsid w:val="00A60126"/>
    <w:rsid w:val="00A603AF"/>
    <w:rsid w:val="00A6045A"/>
    <w:rsid w:val="00A6048C"/>
    <w:rsid w:val="00A60511"/>
    <w:rsid w:val="00A60526"/>
    <w:rsid w:val="00A60537"/>
    <w:rsid w:val="00A605D1"/>
    <w:rsid w:val="00A605ED"/>
    <w:rsid w:val="00A6062C"/>
    <w:rsid w:val="00A60698"/>
    <w:rsid w:val="00A607B2"/>
    <w:rsid w:val="00A608DB"/>
    <w:rsid w:val="00A60959"/>
    <w:rsid w:val="00A60A06"/>
    <w:rsid w:val="00A60A0D"/>
    <w:rsid w:val="00A60B07"/>
    <w:rsid w:val="00A60BD4"/>
    <w:rsid w:val="00A60C66"/>
    <w:rsid w:val="00A60C99"/>
    <w:rsid w:val="00A60D99"/>
    <w:rsid w:val="00A60EA6"/>
    <w:rsid w:val="00A60F1E"/>
    <w:rsid w:val="00A60FEA"/>
    <w:rsid w:val="00A61014"/>
    <w:rsid w:val="00A6104E"/>
    <w:rsid w:val="00A61073"/>
    <w:rsid w:val="00A61087"/>
    <w:rsid w:val="00A6108A"/>
    <w:rsid w:val="00A61098"/>
    <w:rsid w:val="00A610A4"/>
    <w:rsid w:val="00A610B1"/>
    <w:rsid w:val="00A611DA"/>
    <w:rsid w:val="00A61237"/>
    <w:rsid w:val="00A612F7"/>
    <w:rsid w:val="00A6132A"/>
    <w:rsid w:val="00A61442"/>
    <w:rsid w:val="00A61482"/>
    <w:rsid w:val="00A614F6"/>
    <w:rsid w:val="00A6154B"/>
    <w:rsid w:val="00A617BF"/>
    <w:rsid w:val="00A619C0"/>
    <w:rsid w:val="00A619DA"/>
    <w:rsid w:val="00A61A21"/>
    <w:rsid w:val="00A61A2F"/>
    <w:rsid w:val="00A61A3D"/>
    <w:rsid w:val="00A61B77"/>
    <w:rsid w:val="00A61C59"/>
    <w:rsid w:val="00A61C6D"/>
    <w:rsid w:val="00A61C90"/>
    <w:rsid w:val="00A61D59"/>
    <w:rsid w:val="00A61D8C"/>
    <w:rsid w:val="00A61DD0"/>
    <w:rsid w:val="00A61EC3"/>
    <w:rsid w:val="00A62080"/>
    <w:rsid w:val="00A620D6"/>
    <w:rsid w:val="00A621EE"/>
    <w:rsid w:val="00A62235"/>
    <w:rsid w:val="00A622E2"/>
    <w:rsid w:val="00A623F8"/>
    <w:rsid w:val="00A625A9"/>
    <w:rsid w:val="00A62602"/>
    <w:rsid w:val="00A6265B"/>
    <w:rsid w:val="00A626FF"/>
    <w:rsid w:val="00A6270E"/>
    <w:rsid w:val="00A62757"/>
    <w:rsid w:val="00A62894"/>
    <w:rsid w:val="00A62942"/>
    <w:rsid w:val="00A6296A"/>
    <w:rsid w:val="00A62A31"/>
    <w:rsid w:val="00A62BD8"/>
    <w:rsid w:val="00A62C2A"/>
    <w:rsid w:val="00A62C69"/>
    <w:rsid w:val="00A62CAC"/>
    <w:rsid w:val="00A62E19"/>
    <w:rsid w:val="00A62F04"/>
    <w:rsid w:val="00A63005"/>
    <w:rsid w:val="00A63016"/>
    <w:rsid w:val="00A6307B"/>
    <w:rsid w:val="00A63203"/>
    <w:rsid w:val="00A633BB"/>
    <w:rsid w:val="00A633C3"/>
    <w:rsid w:val="00A63545"/>
    <w:rsid w:val="00A635D0"/>
    <w:rsid w:val="00A6361C"/>
    <w:rsid w:val="00A63666"/>
    <w:rsid w:val="00A636C3"/>
    <w:rsid w:val="00A63718"/>
    <w:rsid w:val="00A63820"/>
    <w:rsid w:val="00A63884"/>
    <w:rsid w:val="00A63A11"/>
    <w:rsid w:val="00A63A7A"/>
    <w:rsid w:val="00A63AFB"/>
    <w:rsid w:val="00A63B36"/>
    <w:rsid w:val="00A63D4E"/>
    <w:rsid w:val="00A63DC0"/>
    <w:rsid w:val="00A63EBC"/>
    <w:rsid w:val="00A640D4"/>
    <w:rsid w:val="00A640EE"/>
    <w:rsid w:val="00A64198"/>
    <w:rsid w:val="00A641A2"/>
    <w:rsid w:val="00A641C6"/>
    <w:rsid w:val="00A6425B"/>
    <w:rsid w:val="00A64332"/>
    <w:rsid w:val="00A643A0"/>
    <w:rsid w:val="00A643E0"/>
    <w:rsid w:val="00A643F0"/>
    <w:rsid w:val="00A6441E"/>
    <w:rsid w:val="00A644C5"/>
    <w:rsid w:val="00A6456E"/>
    <w:rsid w:val="00A64573"/>
    <w:rsid w:val="00A645A3"/>
    <w:rsid w:val="00A645C2"/>
    <w:rsid w:val="00A645C8"/>
    <w:rsid w:val="00A645D1"/>
    <w:rsid w:val="00A645D4"/>
    <w:rsid w:val="00A645F2"/>
    <w:rsid w:val="00A64600"/>
    <w:rsid w:val="00A64634"/>
    <w:rsid w:val="00A6470C"/>
    <w:rsid w:val="00A64714"/>
    <w:rsid w:val="00A648B9"/>
    <w:rsid w:val="00A648EE"/>
    <w:rsid w:val="00A6496A"/>
    <w:rsid w:val="00A6498C"/>
    <w:rsid w:val="00A64A47"/>
    <w:rsid w:val="00A64A79"/>
    <w:rsid w:val="00A64A88"/>
    <w:rsid w:val="00A64A95"/>
    <w:rsid w:val="00A64B81"/>
    <w:rsid w:val="00A64B8A"/>
    <w:rsid w:val="00A64C14"/>
    <w:rsid w:val="00A64C5D"/>
    <w:rsid w:val="00A64C69"/>
    <w:rsid w:val="00A64C86"/>
    <w:rsid w:val="00A64E22"/>
    <w:rsid w:val="00A64E2A"/>
    <w:rsid w:val="00A64E36"/>
    <w:rsid w:val="00A64E61"/>
    <w:rsid w:val="00A64F5F"/>
    <w:rsid w:val="00A6502C"/>
    <w:rsid w:val="00A6511A"/>
    <w:rsid w:val="00A6513E"/>
    <w:rsid w:val="00A6514D"/>
    <w:rsid w:val="00A6519C"/>
    <w:rsid w:val="00A65368"/>
    <w:rsid w:val="00A6542E"/>
    <w:rsid w:val="00A65440"/>
    <w:rsid w:val="00A654B1"/>
    <w:rsid w:val="00A6567D"/>
    <w:rsid w:val="00A656C6"/>
    <w:rsid w:val="00A657A8"/>
    <w:rsid w:val="00A65811"/>
    <w:rsid w:val="00A6586F"/>
    <w:rsid w:val="00A6587B"/>
    <w:rsid w:val="00A658FC"/>
    <w:rsid w:val="00A65955"/>
    <w:rsid w:val="00A6595A"/>
    <w:rsid w:val="00A65A31"/>
    <w:rsid w:val="00A65A58"/>
    <w:rsid w:val="00A65B98"/>
    <w:rsid w:val="00A65BB9"/>
    <w:rsid w:val="00A65C5B"/>
    <w:rsid w:val="00A65CA5"/>
    <w:rsid w:val="00A65E23"/>
    <w:rsid w:val="00A65F23"/>
    <w:rsid w:val="00A65FD6"/>
    <w:rsid w:val="00A6600F"/>
    <w:rsid w:val="00A6604E"/>
    <w:rsid w:val="00A66070"/>
    <w:rsid w:val="00A660F0"/>
    <w:rsid w:val="00A66228"/>
    <w:rsid w:val="00A66305"/>
    <w:rsid w:val="00A6634D"/>
    <w:rsid w:val="00A6649F"/>
    <w:rsid w:val="00A6652E"/>
    <w:rsid w:val="00A6652F"/>
    <w:rsid w:val="00A66556"/>
    <w:rsid w:val="00A6655F"/>
    <w:rsid w:val="00A66593"/>
    <w:rsid w:val="00A6683B"/>
    <w:rsid w:val="00A66950"/>
    <w:rsid w:val="00A66975"/>
    <w:rsid w:val="00A66A29"/>
    <w:rsid w:val="00A66A2E"/>
    <w:rsid w:val="00A66A58"/>
    <w:rsid w:val="00A66ADE"/>
    <w:rsid w:val="00A66C22"/>
    <w:rsid w:val="00A66C68"/>
    <w:rsid w:val="00A66CF4"/>
    <w:rsid w:val="00A66D52"/>
    <w:rsid w:val="00A66ED0"/>
    <w:rsid w:val="00A66ED1"/>
    <w:rsid w:val="00A66EEA"/>
    <w:rsid w:val="00A66F52"/>
    <w:rsid w:val="00A66FF5"/>
    <w:rsid w:val="00A67074"/>
    <w:rsid w:val="00A670CE"/>
    <w:rsid w:val="00A670DB"/>
    <w:rsid w:val="00A671AC"/>
    <w:rsid w:val="00A671E0"/>
    <w:rsid w:val="00A6736E"/>
    <w:rsid w:val="00A674B4"/>
    <w:rsid w:val="00A6750E"/>
    <w:rsid w:val="00A67572"/>
    <w:rsid w:val="00A676B5"/>
    <w:rsid w:val="00A676D5"/>
    <w:rsid w:val="00A6780D"/>
    <w:rsid w:val="00A67818"/>
    <w:rsid w:val="00A67827"/>
    <w:rsid w:val="00A679B3"/>
    <w:rsid w:val="00A67A06"/>
    <w:rsid w:val="00A67B34"/>
    <w:rsid w:val="00A67BA0"/>
    <w:rsid w:val="00A67BA5"/>
    <w:rsid w:val="00A67BD2"/>
    <w:rsid w:val="00A67BE7"/>
    <w:rsid w:val="00A67C5C"/>
    <w:rsid w:val="00A67D67"/>
    <w:rsid w:val="00A67DB5"/>
    <w:rsid w:val="00A67E2C"/>
    <w:rsid w:val="00A67E54"/>
    <w:rsid w:val="00A67ED7"/>
    <w:rsid w:val="00A67EDD"/>
    <w:rsid w:val="00A67EE0"/>
    <w:rsid w:val="00A67F4E"/>
    <w:rsid w:val="00A67F66"/>
    <w:rsid w:val="00A67F7E"/>
    <w:rsid w:val="00A701B4"/>
    <w:rsid w:val="00A702C2"/>
    <w:rsid w:val="00A702FB"/>
    <w:rsid w:val="00A70327"/>
    <w:rsid w:val="00A7041A"/>
    <w:rsid w:val="00A70420"/>
    <w:rsid w:val="00A70444"/>
    <w:rsid w:val="00A704CB"/>
    <w:rsid w:val="00A704E6"/>
    <w:rsid w:val="00A70683"/>
    <w:rsid w:val="00A7068F"/>
    <w:rsid w:val="00A70797"/>
    <w:rsid w:val="00A707E3"/>
    <w:rsid w:val="00A7084A"/>
    <w:rsid w:val="00A708F0"/>
    <w:rsid w:val="00A70939"/>
    <w:rsid w:val="00A70A43"/>
    <w:rsid w:val="00A70A70"/>
    <w:rsid w:val="00A70AEB"/>
    <w:rsid w:val="00A70B8C"/>
    <w:rsid w:val="00A70BA1"/>
    <w:rsid w:val="00A70E05"/>
    <w:rsid w:val="00A70E39"/>
    <w:rsid w:val="00A70E7A"/>
    <w:rsid w:val="00A70EE0"/>
    <w:rsid w:val="00A70F06"/>
    <w:rsid w:val="00A70F09"/>
    <w:rsid w:val="00A70F37"/>
    <w:rsid w:val="00A70F5D"/>
    <w:rsid w:val="00A70FFB"/>
    <w:rsid w:val="00A71065"/>
    <w:rsid w:val="00A711BB"/>
    <w:rsid w:val="00A71253"/>
    <w:rsid w:val="00A7125A"/>
    <w:rsid w:val="00A7128C"/>
    <w:rsid w:val="00A7130C"/>
    <w:rsid w:val="00A713BA"/>
    <w:rsid w:val="00A71411"/>
    <w:rsid w:val="00A71496"/>
    <w:rsid w:val="00A714AD"/>
    <w:rsid w:val="00A715C8"/>
    <w:rsid w:val="00A71608"/>
    <w:rsid w:val="00A7164F"/>
    <w:rsid w:val="00A71685"/>
    <w:rsid w:val="00A7169C"/>
    <w:rsid w:val="00A7182C"/>
    <w:rsid w:val="00A71838"/>
    <w:rsid w:val="00A719F2"/>
    <w:rsid w:val="00A71ABD"/>
    <w:rsid w:val="00A71AE3"/>
    <w:rsid w:val="00A71AFF"/>
    <w:rsid w:val="00A71C0F"/>
    <w:rsid w:val="00A71C91"/>
    <w:rsid w:val="00A71C96"/>
    <w:rsid w:val="00A71D35"/>
    <w:rsid w:val="00A71D6A"/>
    <w:rsid w:val="00A71DB7"/>
    <w:rsid w:val="00A71E86"/>
    <w:rsid w:val="00A71FE9"/>
    <w:rsid w:val="00A72151"/>
    <w:rsid w:val="00A72170"/>
    <w:rsid w:val="00A721D5"/>
    <w:rsid w:val="00A72288"/>
    <w:rsid w:val="00A72423"/>
    <w:rsid w:val="00A72620"/>
    <w:rsid w:val="00A72626"/>
    <w:rsid w:val="00A726CF"/>
    <w:rsid w:val="00A7279C"/>
    <w:rsid w:val="00A72819"/>
    <w:rsid w:val="00A72951"/>
    <w:rsid w:val="00A7297E"/>
    <w:rsid w:val="00A729E5"/>
    <w:rsid w:val="00A72A22"/>
    <w:rsid w:val="00A72A56"/>
    <w:rsid w:val="00A72B9C"/>
    <w:rsid w:val="00A72BBB"/>
    <w:rsid w:val="00A72CB2"/>
    <w:rsid w:val="00A72DB4"/>
    <w:rsid w:val="00A72DFE"/>
    <w:rsid w:val="00A72E1E"/>
    <w:rsid w:val="00A72F2F"/>
    <w:rsid w:val="00A72F52"/>
    <w:rsid w:val="00A72F6A"/>
    <w:rsid w:val="00A72FE4"/>
    <w:rsid w:val="00A73059"/>
    <w:rsid w:val="00A730F8"/>
    <w:rsid w:val="00A73127"/>
    <w:rsid w:val="00A73183"/>
    <w:rsid w:val="00A731B0"/>
    <w:rsid w:val="00A731EF"/>
    <w:rsid w:val="00A7322D"/>
    <w:rsid w:val="00A7322F"/>
    <w:rsid w:val="00A73302"/>
    <w:rsid w:val="00A73337"/>
    <w:rsid w:val="00A7334D"/>
    <w:rsid w:val="00A733D6"/>
    <w:rsid w:val="00A734AD"/>
    <w:rsid w:val="00A734BD"/>
    <w:rsid w:val="00A7353A"/>
    <w:rsid w:val="00A736BE"/>
    <w:rsid w:val="00A736CE"/>
    <w:rsid w:val="00A737AB"/>
    <w:rsid w:val="00A73881"/>
    <w:rsid w:val="00A738F8"/>
    <w:rsid w:val="00A738FC"/>
    <w:rsid w:val="00A738FE"/>
    <w:rsid w:val="00A73903"/>
    <w:rsid w:val="00A73910"/>
    <w:rsid w:val="00A73968"/>
    <w:rsid w:val="00A7398F"/>
    <w:rsid w:val="00A73AF0"/>
    <w:rsid w:val="00A73B02"/>
    <w:rsid w:val="00A73B9F"/>
    <w:rsid w:val="00A73BA7"/>
    <w:rsid w:val="00A73C0C"/>
    <w:rsid w:val="00A73C14"/>
    <w:rsid w:val="00A73D14"/>
    <w:rsid w:val="00A740A9"/>
    <w:rsid w:val="00A7416F"/>
    <w:rsid w:val="00A7423D"/>
    <w:rsid w:val="00A7434E"/>
    <w:rsid w:val="00A74378"/>
    <w:rsid w:val="00A74386"/>
    <w:rsid w:val="00A74539"/>
    <w:rsid w:val="00A7455D"/>
    <w:rsid w:val="00A747FE"/>
    <w:rsid w:val="00A74889"/>
    <w:rsid w:val="00A7492F"/>
    <w:rsid w:val="00A749B1"/>
    <w:rsid w:val="00A749BA"/>
    <w:rsid w:val="00A74A2C"/>
    <w:rsid w:val="00A74A9A"/>
    <w:rsid w:val="00A74AB0"/>
    <w:rsid w:val="00A74B9D"/>
    <w:rsid w:val="00A74BD8"/>
    <w:rsid w:val="00A74C11"/>
    <w:rsid w:val="00A74C2E"/>
    <w:rsid w:val="00A74DF9"/>
    <w:rsid w:val="00A74E1B"/>
    <w:rsid w:val="00A74E67"/>
    <w:rsid w:val="00A74EE0"/>
    <w:rsid w:val="00A74F0B"/>
    <w:rsid w:val="00A74F22"/>
    <w:rsid w:val="00A7509D"/>
    <w:rsid w:val="00A75158"/>
    <w:rsid w:val="00A75173"/>
    <w:rsid w:val="00A751A9"/>
    <w:rsid w:val="00A753FA"/>
    <w:rsid w:val="00A754CC"/>
    <w:rsid w:val="00A7553D"/>
    <w:rsid w:val="00A75619"/>
    <w:rsid w:val="00A756DB"/>
    <w:rsid w:val="00A7577F"/>
    <w:rsid w:val="00A7587C"/>
    <w:rsid w:val="00A75936"/>
    <w:rsid w:val="00A7595D"/>
    <w:rsid w:val="00A75966"/>
    <w:rsid w:val="00A759CE"/>
    <w:rsid w:val="00A75A58"/>
    <w:rsid w:val="00A75A6C"/>
    <w:rsid w:val="00A75AE1"/>
    <w:rsid w:val="00A75B20"/>
    <w:rsid w:val="00A75D05"/>
    <w:rsid w:val="00A75D5A"/>
    <w:rsid w:val="00A75E63"/>
    <w:rsid w:val="00A75EB0"/>
    <w:rsid w:val="00A75ED9"/>
    <w:rsid w:val="00A75FA8"/>
    <w:rsid w:val="00A760FD"/>
    <w:rsid w:val="00A76102"/>
    <w:rsid w:val="00A76118"/>
    <w:rsid w:val="00A7617E"/>
    <w:rsid w:val="00A761A1"/>
    <w:rsid w:val="00A76200"/>
    <w:rsid w:val="00A762CF"/>
    <w:rsid w:val="00A76396"/>
    <w:rsid w:val="00A76491"/>
    <w:rsid w:val="00A76524"/>
    <w:rsid w:val="00A76569"/>
    <w:rsid w:val="00A7660F"/>
    <w:rsid w:val="00A76682"/>
    <w:rsid w:val="00A76698"/>
    <w:rsid w:val="00A766F1"/>
    <w:rsid w:val="00A7676A"/>
    <w:rsid w:val="00A767E8"/>
    <w:rsid w:val="00A767FF"/>
    <w:rsid w:val="00A7683E"/>
    <w:rsid w:val="00A76894"/>
    <w:rsid w:val="00A769D9"/>
    <w:rsid w:val="00A769F2"/>
    <w:rsid w:val="00A76A6C"/>
    <w:rsid w:val="00A76BB3"/>
    <w:rsid w:val="00A76F0F"/>
    <w:rsid w:val="00A76FBB"/>
    <w:rsid w:val="00A76FCA"/>
    <w:rsid w:val="00A770AC"/>
    <w:rsid w:val="00A7715E"/>
    <w:rsid w:val="00A77190"/>
    <w:rsid w:val="00A771B2"/>
    <w:rsid w:val="00A77259"/>
    <w:rsid w:val="00A772DB"/>
    <w:rsid w:val="00A77328"/>
    <w:rsid w:val="00A7732D"/>
    <w:rsid w:val="00A775C4"/>
    <w:rsid w:val="00A77691"/>
    <w:rsid w:val="00A776C1"/>
    <w:rsid w:val="00A776FB"/>
    <w:rsid w:val="00A777AB"/>
    <w:rsid w:val="00A777C4"/>
    <w:rsid w:val="00A779B1"/>
    <w:rsid w:val="00A77B89"/>
    <w:rsid w:val="00A77BA1"/>
    <w:rsid w:val="00A77C7C"/>
    <w:rsid w:val="00A77C91"/>
    <w:rsid w:val="00A77CE1"/>
    <w:rsid w:val="00A77D5F"/>
    <w:rsid w:val="00A77FFD"/>
    <w:rsid w:val="00A80020"/>
    <w:rsid w:val="00A800F4"/>
    <w:rsid w:val="00A8014D"/>
    <w:rsid w:val="00A8017E"/>
    <w:rsid w:val="00A80270"/>
    <w:rsid w:val="00A803E5"/>
    <w:rsid w:val="00A8041B"/>
    <w:rsid w:val="00A80561"/>
    <w:rsid w:val="00A80676"/>
    <w:rsid w:val="00A806C1"/>
    <w:rsid w:val="00A80730"/>
    <w:rsid w:val="00A807A6"/>
    <w:rsid w:val="00A80820"/>
    <w:rsid w:val="00A80877"/>
    <w:rsid w:val="00A809A5"/>
    <w:rsid w:val="00A80A66"/>
    <w:rsid w:val="00A80A8B"/>
    <w:rsid w:val="00A80AFB"/>
    <w:rsid w:val="00A80C89"/>
    <w:rsid w:val="00A80CC4"/>
    <w:rsid w:val="00A80D0B"/>
    <w:rsid w:val="00A80D3D"/>
    <w:rsid w:val="00A80D94"/>
    <w:rsid w:val="00A80D98"/>
    <w:rsid w:val="00A80E49"/>
    <w:rsid w:val="00A80EA1"/>
    <w:rsid w:val="00A80EBB"/>
    <w:rsid w:val="00A80EE5"/>
    <w:rsid w:val="00A80F03"/>
    <w:rsid w:val="00A80F6A"/>
    <w:rsid w:val="00A80F88"/>
    <w:rsid w:val="00A8101C"/>
    <w:rsid w:val="00A811C3"/>
    <w:rsid w:val="00A812AB"/>
    <w:rsid w:val="00A8131B"/>
    <w:rsid w:val="00A813AA"/>
    <w:rsid w:val="00A81419"/>
    <w:rsid w:val="00A81523"/>
    <w:rsid w:val="00A815B1"/>
    <w:rsid w:val="00A81604"/>
    <w:rsid w:val="00A81636"/>
    <w:rsid w:val="00A8165D"/>
    <w:rsid w:val="00A8174C"/>
    <w:rsid w:val="00A81776"/>
    <w:rsid w:val="00A8180A"/>
    <w:rsid w:val="00A818D7"/>
    <w:rsid w:val="00A819B2"/>
    <w:rsid w:val="00A819BB"/>
    <w:rsid w:val="00A81AB1"/>
    <w:rsid w:val="00A81B7B"/>
    <w:rsid w:val="00A81D08"/>
    <w:rsid w:val="00A81D97"/>
    <w:rsid w:val="00A81E15"/>
    <w:rsid w:val="00A81EB4"/>
    <w:rsid w:val="00A81F13"/>
    <w:rsid w:val="00A81F39"/>
    <w:rsid w:val="00A81FC1"/>
    <w:rsid w:val="00A8200D"/>
    <w:rsid w:val="00A820CA"/>
    <w:rsid w:val="00A820E2"/>
    <w:rsid w:val="00A8223F"/>
    <w:rsid w:val="00A8226A"/>
    <w:rsid w:val="00A8226E"/>
    <w:rsid w:val="00A822AE"/>
    <w:rsid w:val="00A8231E"/>
    <w:rsid w:val="00A82421"/>
    <w:rsid w:val="00A82590"/>
    <w:rsid w:val="00A825E4"/>
    <w:rsid w:val="00A825E8"/>
    <w:rsid w:val="00A825F4"/>
    <w:rsid w:val="00A82637"/>
    <w:rsid w:val="00A82791"/>
    <w:rsid w:val="00A82A76"/>
    <w:rsid w:val="00A82A82"/>
    <w:rsid w:val="00A82A93"/>
    <w:rsid w:val="00A82B11"/>
    <w:rsid w:val="00A82B4A"/>
    <w:rsid w:val="00A82BEF"/>
    <w:rsid w:val="00A82C4F"/>
    <w:rsid w:val="00A82D91"/>
    <w:rsid w:val="00A82D93"/>
    <w:rsid w:val="00A82DC3"/>
    <w:rsid w:val="00A82E15"/>
    <w:rsid w:val="00A82F37"/>
    <w:rsid w:val="00A82F39"/>
    <w:rsid w:val="00A82FB5"/>
    <w:rsid w:val="00A82FB7"/>
    <w:rsid w:val="00A82FF7"/>
    <w:rsid w:val="00A83030"/>
    <w:rsid w:val="00A83105"/>
    <w:rsid w:val="00A83111"/>
    <w:rsid w:val="00A83244"/>
    <w:rsid w:val="00A8328C"/>
    <w:rsid w:val="00A832B1"/>
    <w:rsid w:val="00A832B9"/>
    <w:rsid w:val="00A832F7"/>
    <w:rsid w:val="00A833F1"/>
    <w:rsid w:val="00A8342E"/>
    <w:rsid w:val="00A835A9"/>
    <w:rsid w:val="00A837C4"/>
    <w:rsid w:val="00A8382B"/>
    <w:rsid w:val="00A8388D"/>
    <w:rsid w:val="00A8394D"/>
    <w:rsid w:val="00A839F3"/>
    <w:rsid w:val="00A83B9A"/>
    <w:rsid w:val="00A83BDF"/>
    <w:rsid w:val="00A83C84"/>
    <w:rsid w:val="00A83CC1"/>
    <w:rsid w:val="00A83CF6"/>
    <w:rsid w:val="00A83D52"/>
    <w:rsid w:val="00A83DA8"/>
    <w:rsid w:val="00A83E0A"/>
    <w:rsid w:val="00A83F2F"/>
    <w:rsid w:val="00A8402B"/>
    <w:rsid w:val="00A84066"/>
    <w:rsid w:val="00A84154"/>
    <w:rsid w:val="00A84328"/>
    <w:rsid w:val="00A84383"/>
    <w:rsid w:val="00A843B0"/>
    <w:rsid w:val="00A843FA"/>
    <w:rsid w:val="00A84414"/>
    <w:rsid w:val="00A8442F"/>
    <w:rsid w:val="00A84578"/>
    <w:rsid w:val="00A84654"/>
    <w:rsid w:val="00A846F2"/>
    <w:rsid w:val="00A84713"/>
    <w:rsid w:val="00A84739"/>
    <w:rsid w:val="00A847AC"/>
    <w:rsid w:val="00A84826"/>
    <w:rsid w:val="00A8497D"/>
    <w:rsid w:val="00A84A04"/>
    <w:rsid w:val="00A84A74"/>
    <w:rsid w:val="00A84AB9"/>
    <w:rsid w:val="00A84B3F"/>
    <w:rsid w:val="00A84B88"/>
    <w:rsid w:val="00A84B92"/>
    <w:rsid w:val="00A84D19"/>
    <w:rsid w:val="00A84E01"/>
    <w:rsid w:val="00A84E72"/>
    <w:rsid w:val="00A84F02"/>
    <w:rsid w:val="00A84F11"/>
    <w:rsid w:val="00A8508E"/>
    <w:rsid w:val="00A850BB"/>
    <w:rsid w:val="00A851A4"/>
    <w:rsid w:val="00A8522A"/>
    <w:rsid w:val="00A85366"/>
    <w:rsid w:val="00A854BE"/>
    <w:rsid w:val="00A8550F"/>
    <w:rsid w:val="00A85619"/>
    <w:rsid w:val="00A856C1"/>
    <w:rsid w:val="00A85727"/>
    <w:rsid w:val="00A85778"/>
    <w:rsid w:val="00A85796"/>
    <w:rsid w:val="00A857F7"/>
    <w:rsid w:val="00A8582C"/>
    <w:rsid w:val="00A85A12"/>
    <w:rsid w:val="00A85B59"/>
    <w:rsid w:val="00A85D8B"/>
    <w:rsid w:val="00A85E16"/>
    <w:rsid w:val="00A85E39"/>
    <w:rsid w:val="00A85EE8"/>
    <w:rsid w:val="00A85F2F"/>
    <w:rsid w:val="00A85F90"/>
    <w:rsid w:val="00A86048"/>
    <w:rsid w:val="00A8610D"/>
    <w:rsid w:val="00A8616A"/>
    <w:rsid w:val="00A86208"/>
    <w:rsid w:val="00A862EC"/>
    <w:rsid w:val="00A86317"/>
    <w:rsid w:val="00A86396"/>
    <w:rsid w:val="00A86470"/>
    <w:rsid w:val="00A8647B"/>
    <w:rsid w:val="00A865BD"/>
    <w:rsid w:val="00A8668B"/>
    <w:rsid w:val="00A8669E"/>
    <w:rsid w:val="00A8677C"/>
    <w:rsid w:val="00A8681E"/>
    <w:rsid w:val="00A86B33"/>
    <w:rsid w:val="00A86BC6"/>
    <w:rsid w:val="00A86C2C"/>
    <w:rsid w:val="00A86DA4"/>
    <w:rsid w:val="00A86E4B"/>
    <w:rsid w:val="00A86E5A"/>
    <w:rsid w:val="00A86EBB"/>
    <w:rsid w:val="00A86EF1"/>
    <w:rsid w:val="00A86F5C"/>
    <w:rsid w:val="00A86F92"/>
    <w:rsid w:val="00A8709B"/>
    <w:rsid w:val="00A870C2"/>
    <w:rsid w:val="00A87116"/>
    <w:rsid w:val="00A87137"/>
    <w:rsid w:val="00A871E4"/>
    <w:rsid w:val="00A87453"/>
    <w:rsid w:val="00A8746A"/>
    <w:rsid w:val="00A874D8"/>
    <w:rsid w:val="00A87512"/>
    <w:rsid w:val="00A87629"/>
    <w:rsid w:val="00A876AE"/>
    <w:rsid w:val="00A876BD"/>
    <w:rsid w:val="00A876F7"/>
    <w:rsid w:val="00A877FA"/>
    <w:rsid w:val="00A87806"/>
    <w:rsid w:val="00A87914"/>
    <w:rsid w:val="00A8793A"/>
    <w:rsid w:val="00A879B2"/>
    <w:rsid w:val="00A879C5"/>
    <w:rsid w:val="00A87A51"/>
    <w:rsid w:val="00A87AF5"/>
    <w:rsid w:val="00A87B42"/>
    <w:rsid w:val="00A87B7E"/>
    <w:rsid w:val="00A87CB8"/>
    <w:rsid w:val="00A87CD6"/>
    <w:rsid w:val="00A87D31"/>
    <w:rsid w:val="00A87E7B"/>
    <w:rsid w:val="00A9000D"/>
    <w:rsid w:val="00A900F2"/>
    <w:rsid w:val="00A901B5"/>
    <w:rsid w:val="00A9021A"/>
    <w:rsid w:val="00A90233"/>
    <w:rsid w:val="00A9026E"/>
    <w:rsid w:val="00A90447"/>
    <w:rsid w:val="00A9051B"/>
    <w:rsid w:val="00A905AD"/>
    <w:rsid w:val="00A905B0"/>
    <w:rsid w:val="00A9067A"/>
    <w:rsid w:val="00A9070B"/>
    <w:rsid w:val="00A9076C"/>
    <w:rsid w:val="00A907E6"/>
    <w:rsid w:val="00A90849"/>
    <w:rsid w:val="00A9087F"/>
    <w:rsid w:val="00A90928"/>
    <w:rsid w:val="00A90939"/>
    <w:rsid w:val="00A90A0A"/>
    <w:rsid w:val="00A90A66"/>
    <w:rsid w:val="00A90A9A"/>
    <w:rsid w:val="00A90AD0"/>
    <w:rsid w:val="00A90B97"/>
    <w:rsid w:val="00A90C35"/>
    <w:rsid w:val="00A90C95"/>
    <w:rsid w:val="00A90D24"/>
    <w:rsid w:val="00A90D3B"/>
    <w:rsid w:val="00A90D7D"/>
    <w:rsid w:val="00A90E2C"/>
    <w:rsid w:val="00A90E2D"/>
    <w:rsid w:val="00A90E2E"/>
    <w:rsid w:val="00A90EE3"/>
    <w:rsid w:val="00A91029"/>
    <w:rsid w:val="00A911DC"/>
    <w:rsid w:val="00A911F8"/>
    <w:rsid w:val="00A911FD"/>
    <w:rsid w:val="00A91342"/>
    <w:rsid w:val="00A914D1"/>
    <w:rsid w:val="00A9154D"/>
    <w:rsid w:val="00A915A0"/>
    <w:rsid w:val="00A9160F"/>
    <w:rsid w:val="00A91612"/>
    <w:rsid w:val="00A91632"/>
    <w:rsid w:val="00A9171C"/>
    <w:rsid w:val="00A91767"/>
    <w:rsid w:val="00A9177F"/>
    <w:rsid w:val="00A917B7"/>
    <w:rsid w:val="00A917CB"/>
    <w:rsid w:val="00A91940"/>
    <w:rsid w:val="00A91987"/>
    <w:rsid w:val="00A919C3"/>
    <w:rsid w:val="00A91A37"/>
    <w:rsid w:val="00A91AD3"/>
    <w:rsid w:val="00A91D0C"/>
    <w:rsid w:val="00A91D53"/>
    <w:rsid w:val="00A91E49"/>
    <w:rsid w:val="00A91E75"/>
    <w:rsid w:val="00A9203D"/>
    <w:rsid w:val="00A92049"/>
    <w:rsid w:val="00A92069"/>
    <w:rsid w:val="00A920D2"/>
    <w:rsid w:val="00A92120"/>
    <w:rsid w:val="00A92134"/>
    <w:rsid w:val="00A921B4"/>
    <w:rsid w:val="00A92323"/>
    <w:rsid w:val="00A9233B"/>
    <w:rsid w:val="00A92358"/>
    <w:rsid w:val="00A9237C"/>
    <w:rsid w:val="00A9242B"/>
    <w:rsid w:val="00A92433"/>
    <w:rsid w:val="00A92539"/>
    <w:rsid w:val="00A9253D"/>
    <w:rsid w:val="00A92553"/>
    <w:rsid w:val="00A926AD"/>
    <w:rsid w:val="00A926FE"/>
    <w:rsid w:val="00A9270B"/>
    <w:rsid w:val="00A92756"/>
    <w:rsid w:val="00A927CF"/>
    <w:rsid w:val="00A928D8"/>
    <w:rsid w:val="00A928E4"/>
    <w:rsid w:val="00A92A22"/>
    <w:rsid w:val="00A92A48"/>
    <w:rsid w:val="00A92A86"/>
    <w:rsid w:val="00A92D00"/>
    <w:rsid w:val="00A92D8C"/>
    <w:rsid w:val="00A92DC4"/>
    <w:rsid w:val="00A92E75"/>
    <w:rsid w:val="00A92EB6"/>
    <w:rsid w:val="00A92EC7"/>
    <w:rsid w:val="00A93267"/>
    <w:rsid w:val="00A93394"/>
    <w:rsid w:val="00A933BC"/>
    <w:rsid w:val="00A935B5"/>
    <w:rsid w:val="00A93747"/>
    <w:rsid w:val="00A937DD"/>
    <w:rsid w:val="00A937FE"/>
    <w:rsid w:val="00A93889"/>
    <w:rsid w:val="00A93A7F"/>
    <w:rsid w:val="00A93AAF"/>
    <w:rsid w:val="00A93B04"/>
    <w:rsid w:val="00A93B09"/>
    <w:rsid w:val="00A93B10"/>
    <w:rsid w:val="00A93B7B"/>
    <w:rsid w:val="00A93BFB"/>
    <w:rsid w:val="00A93CB9"/>
    <w:rsid w:val="00A93CC6"/>
    <w:rsid w:val="00A93D60"/>
    <w:rsid w:val="00A93E1C"/>
    <w:rsid w:val="00A940A1"/>
    <w:rsid w:val="00A94124"/>
    <w:rsid w:val="00A94154"/>
    <w:rsid w:val="00A941E6"/>
    <w:rsid w:val="00A94268"/>
    <w:rsid w:val="00A942A4"/>
    <w:rsid w:val="00A942E8"/>
    <w:rsid w:val="00A9446A"/>
    <w:rsid w:val="00A94669"/>
    <w:rsid w:val="00A94694"/>
    <w:rsid w:val="00A94696"/>
    <w:rsid w:val="00A946BC"/>
    <w:rsid w:val="00A946BF"/>
    <w:rsid w:val="00A9479A"/>
    <w:rsid w:val="00A947FD"/>
    <w:rsid w:val="00A94829"/>
    <w:rsid w:val="00A94899"/>
    <w:rsid w:val="00A94903"/>
    <w:rsid w:val="00A9490F"/>
    <w:rsid w:val="00A94963"/>
    <w:rsid w:val="00A94994"/>
    <w:rsid w:val="00A94B2A"/>
    <w:rsid w:val="00A94B58"/>
    <w:rsid w:val="00A94B95"/>
    <w:rsid w:val="00A94D5E"/>
    <w:rsid w:val="00A94DC9"/>
    <w:rsid w:val="00A94E1A"/>
    <w:rsid w:val="00A94F51"/>
    <w:rsid w:val="00A950BC"/>
    <w:rsid w:val="00A9512C"/>
    <w:rsid w:val="00A95314"/>
    <w:rsid w:val="00A9539C"/>
    <w:rsid w:val="00A95403"/>
    <w:rsid w:val="00A954AF"/>
    <w:rsid w:val="00A95521"/>
    <w:rsid w:val="00A955C2"/>
    <w:rsid w:val="00A9560C"/>
    <w:rsid w:val="00A95626"/>
    <w:rsid w:val="00A9573E"/>
    <w:rsid w:val="00A957DA"/>
    <w:rsid w:val="00A958C4"/>
    <w:rsid w:val="00A95B08"/>
    <w:rsid w:val="00A95B09"/>
    <w:rsid w:val="00A95B9D"/>
    <w:rsid w:val="00A95BD2"/>
    <w:rsid w:val="00A95CA5"/>
    <w:rsid w:val="00A95CE5"/>
    <w:rsid w:val="00A95D33"/>
    <w:rsid w:val="00A95DC0"/>
    <w:rsid w:val="00A95FEC"/>
    <w:rsid w:val="00A9605A"/>
    <w:rsid w:val="00A96077"/>
    <w:rsid w:val="00A96117"/>
    <w:rsid w:val="00A9618A"/>
    <w:rsid w:val="00A9628B"/>
    <w:rsid w:val="00A963E0"/>
    <w:rsid w:val="00A96528"/>
    <w:rsid w:val="00A965BD"/>
    <w:rsid w:val="00A9660D"/>
    <w:rsid w:val="00A96648"/>
    <w:rsid w:val="00A9665F"/>
    <w:rsid w:val="00A96666"/>
    <w:rsid w:val="00A966E5"/>
    <w:rsid w:val="00A967D6"/>
    <w:rsid w:val="00A968C5"/>
    <w:rsid w:val="00A9695D"/>
    <w:rsid w:val="00A969F5"/>
    <w:rsid w:val="00A96B27"/>
    <w:rsid w:val="00A96BCD"/>
    <w:rsid w:val="00A96C8E"/>
    <w:rsid w:val="00A96CDD"/>
    <w:rsid w:val="00A96CF7"/>
    <w:rsid w:val="00A96F79"/>
    <w:rsid w:val="00A96FFF"/>
    <w:rsid w:val="00A97112"/>
    <w:rsid w:val="00A972A0"/>
    <w:rsid w:val="00A97396"/>
    <w:rsid w:val="00A973C1"/>
    <w:rsid w:val="00A973EB"/>
    <w:rsid w:val="00A97402"/>
    <w:rsid w:val="00A97494"/>
    <w:rsid w:val="00A9759F"/>
    <w:rsid w:val="00A9764B"/>
    <w:rsid w:val="00A97661"/>
    <w:rsid w:val="00A976CC"/>
    <w:rsid w:val="00A976DE"/>
    <w:rsid w:val="00A976FD"/>
    <w:rsid w:val="00A9770D"/>
    <w:rsid w:val="00A97756"/>
    <w:rsid w:val="00A97773"/>
    <w:rsid w:val="00A9777D"/>
    <w:rsid w:val="00A978A3"/>
    <w:rsid w:val="00A978CA"/>
    <w:rsid w:val="00A978DD"/>
    <w:rsid w:val="00A9790A"/>
    <w:rsid w:val="00A979B0"/>
    <w:rsid w:val="00A979B2"/>
    <w:rsid w:val="00A979BE"/>
    <w:rsid w:val="00A97AE2"/>
    <w:rsid w:val="00A97C6D"/>
    <w:rsid w:val="00A97CDF"/>
    <w:rsid w:val="00A97CE6"/>
    <w:rsid w:val="00A97D83"/>
    <w:rsid w:val="00A97DA8"/>
    <w:rsid w:val="00A97DF4"/>
    <w:rsid w:val="00A97E7B"/>
    <w:rsid w:val="00A97F10"/>
    <w:rsid w:val="00A97F63"/>
    <w:rsid w:val="00A97F9F"/>
    <w:rsid w:val="00A97FBA"/>
    <w:rsid w:val="00AA0078"/>
    <w:rsid w:val="00AA0082"/>
    <w:rsid w:val="00AA0227"/>
    <w:rsid w:val="00AA024A"/>
    <w:rsid w:val="00AA0259"/>
    <w:rsid w:val="00AA0285"/>
    <w:rsid w:val="00AA02CA"/>
    <w:rsid w:val="00AA0321"/>
    <w:rsid w:val="00AA0519"/>
    <w:rsid w:val="00AA05B4"/>
    <w:rsid w:val="00AA05EA"/>
    <w:rsid w:val="00AA05F4"/>
    <w:rsid w:val="00AA0757"/>
    <w:rsid w:val="00AA07CB"/>
    <w:rsid w:val="00AA0838"/>
    <w:rsid w:val="00AA0844"/>
    <w:rsid w:val="00AA0903"/>
    <w:rsid w:val="00AA0AA3"/>
    <w:rsid w:val="00AA0B5D"/>
    <w:rsid w:val="00AA0B7D"/>
    <w:rsid w:val="00AA0E80"/>
    <w:rsid w:val="00AA0EC8"/>
    <w:rsid w:val="00AA0EE7"/>
    <w:rsid w:val="00AA0FBB"/>
    <w:rsid w:val="00AA1157"/>
    <w:rsid w:val="00AA1195"/>
    <w:rsid w:val="00AA11C4"/>
    <w:rsid w:val="00AA11E6"/>
    <w:rsid w:val="00AA1242"/>
    <w:rsid w:val="00AA12B5"/>
    <w:rsid w:val="00AA144F"/>
    <w:rsid w:val="00AA1464"/>
    <w:rsid w:val="00AA1469"/>
    <w:rsid w:val="00AA14CC"/>
    <w:rsid w:val="00AA1589"/>
    <w:rsid w:val="00AA15EF"/>
    <w:rsid w:val="00AA1799"/>
    <w:rsid w:val="00AA17AA"/>
    <w:rsid w:val="00AA19A3"/>
    <w:rsid w:val="00AA1A25"/>
    <w:rsid w:val="00AA1A2D"/>
    <w:rsid w:val="00AA1A9B"/>
    <w:rsid w:val="00AA1B95"/>
    <w:rsid w:val="00AA1CB8"/>
    <w:rsid w:val="00AA1CBB"/>
    <w:rsid w:val="00AA1DA3"/>
    <w:rsid w:val="00AA1E13"/>
    <w:rsid w:val="00AA1ECC"/>
    <w:rsid w:val="00AA1FD5"/>
    <w:rsid w:val="00AA1FDF"/>
    <w:rsid w:val="00AA2026"/>
    <w:rsid w:val="00AA2043"/>
    <w:rsid w:val="00AA20F2"/>
    <w:rsid w:val="00AA2120"/>
    <w:rsid w:val="00AA2147"/>
    <w:rsid w:val="00AA2173"/>
    <w:rsid w:val="00AA2202"/>
    <w:rsid w:val="00AA2222"/>
    <w:rsid w:val="00AA22FE"/>
    <w:rsid w:val="00AA2359"/>
    <w:rsid w:val="00AA2493"/>
    <w:rsid w:val="00AA2533"/>
    <w:rsid w:val="00AA257A"/>
    <w:rsid w:val="00AA25EC"/>
    <w:rsid w:val="00AA26CF"/>
    <w:rsid w:val="00AA26E6"/>
    <w:rsid w:val="00AA2743"/>
    <w:rsid w:val="00AA2799"/>
    <w:rsid w:val="00AA2847"/>
    <w:rsid w:val="00AA2854"/>
    <w:rsid w:val="00AA28D7"/>
    <w:rsid w:val="00AA2914"/>
    <w:rsid w:val="00AA2973"/>
    <w:rsid w:val="00AA2A5E"/>
    <w:rsid w:val="00AA2A75"/>
    <w:rsid w:val="00AA2B33"/>
    <w:rsid w:val="00AA2BA7"/>
    <w:rsid w:val="00AA2C3C"/>
    <w:rsid w:val="00AA2C80"/>
    <w:rsid w:val="00AA2CFF"/>
    <w:rsid w:val="00AA2DCE"/>
    <w:rsid w:val="00AA2E51"/>
    <w:rsid w:val="00AA2EB1"/>
    <w:rsid w:val="00AA2FD3"/>
    <w:rsid w:val="00AA30D2"/>
    <w:rsid w:val="00AA30E9"/>
    <w:rsid w:val="00AA3167"/>
    <w:rsid w:val="00AA318A"/>
    <w:rsid w:val="00AA323C"/>
    <w:rsid w:val="00AA325A"/>
    <w:rsid w:val="00AA339A"/>
    <w:rsid w:val="00AA342D"/>
    <w:rsid w:val="00AA3451"/>
    <w:rsid w:val="00AA354F"/>
    <w:rsid w:val="00AA35E3"/>
    <w:rsid w:val="00AA36FF"/>
    <w:rsid w:val="00AA386E"/>
    <w:rsid w:val="00AA38E0"/>
    <w:rsid w:val="00AA38EC"/>
    <w:rsid w:val="00AA39A4"/>
    <w:rsid w:val="00AA3A16"/>
    <w:rsid w:val="00AA3B2B"/>
    <w:rsid w:val="00AA3C22"/>
    <w:rsid w:val="00AA3CAB"/>
    <w:rsid w:val="00AA3D79"/>
    <w:rsid w:val="00AA3F76"/>
    <w:rsid w:val="00AA3FC8"/>
    <w:rsid w:val="00AA4075"/>
    <w:rsid w:val="00AA43D8"/>
    <w:rsid w:val="00AA444B"/>
    <w:rsid w:val="00AA4520"/>
    <w:rsid w:val="00AA45A0"/>
    <w:rsid w:val="00AA45AE"/>
    <w:rsid w:val="00AA45C6"/>
    <w:rsid w:val="00AA463E"/>
    <w:rsid w:val="00AA46C5"/>
    <w:rsid w:val="00AA4753"/>
    <w:rsid w:val="00AA47E1"/>
    <w:rsid w:val="00AA494A"/>
    <w:rsid w:val="00AA49B9"/>
    <w:rsid w:val="00AA4A42"/>
    <w:rsid w:val="00AA4AAA"/>
    <w:rsid w:val="00AA4BB8"/>
    <w:rsid w:val="00AA4C19"/>
    <w:rsid w:val="00AA4C34"/>
    <w:rsid w:val="00AA4C7A"/>
    <w:rsid w:val="00AA4CED"/>
    <w:rsid w:val="00AA4CFF"/>
    <w:rsid w:val="00AA4E57"/>
    <w:rsid w:val="00AA4EC0"/>
    <w:rsid w:val="00AA4EDA"/>
    <w:rsid w:val="00AA4EE5"/>
    <w:rsid w:val="00AA5003"/>
    <w:rsid w:val="00AA5112"/>
    <w:rsid w:val="00AA5171"/>
    <w:rsid w:val="00AA5174"/>
    <w:rsid w:val="00AA5282"/>
    <w:rsid w:val="00AA5331"/>
    <w:rsid w:val="00AA53B9"/>
    <w:rsid w:val="00AA5432"/>
    <w:rsid w:val="00AA54BA"/>
    <w:rsid w:val="00AA5635"/>
    <w:rsid w:val="00AA5691"/>
    <w:rsid w:val="00AA5713"/>
    <w:rsid w:val="00AA5727"/>
    <w:rsid w:val="00AA583D"/>
    <w:rsid w:val="00AA5847"/>
    <w:rsid w:val="00AA5952"/>
    <w:rsid w:val="00AA5B5B"/>
    <w:rsid w:val="00AA5B8F"/>
    <w:rsid w:val="00AA5CAD"/>
    <w:rsid w:val="00AA5CFF"/>
    <w:rsid w:val="00AA5D9E"/>
    <w:rsid w:val="00AA5E75"/>
    <w:rsid w:val="00AA5F59"/>
    <w:rsid w:val="00AA5F6F"/>
    <w:rsid w:val="00AA5F9D"/>
    <w:rsid w:val="00AA5FA4"/>
    <w:rsid w:val="00AA60AB"/>
    <w:rsid w:val="00AA616F"/>
    <w:rsid w:val="00AA6172"/>
    <w:rsid w:val="00AA6213"/>
    <w:rsid w:val="00AA6237"/>
    <w:rsid w:val="00AA6261"/>
    <w:rsid w:val="00AA62E1"/>
    <w:rsid w:val="00AA6370"/>
    <w:rsid w:val="00AA645A"/>
    <w:rsid w:val="00AA6478"/>
    <w:rsid w:val="00AA64A1"/>
    <w:rsid w:val="00AA6516"/>
    <w:rsid w:val="00AA657B"/>
    <w:rsid w:val="00AA65D6"/>
    <w:rsid w:val="00AA65F4"/>
    <w:rsid w:val="00AA6616"/>
    <w:rsid w:val="00AA6688"/>
    <w:rsid w:val="00AA6694"/>
    <w:rsid w:val="00AA66B3"/>
    <w:rsid w:val="00AA68CF"/>
    <w:rsid w:val="00AA6937"/>
    <w:rsid w:val="00AA6947"/>
    <w:rsid w:val="00AA6998"/>
    <w:rsid w:val="00AA69C0"/>
    <w:rsid w:val="00AA6A07"/>
    <w:rsid w:val="00AA6A8C"/>
    <w:rsid w:val="00AA6ADB"/>
    <w:rsid w:val="00AA6AF1"/>
    <w:rsid w:val="00AA6B27"/>
    <w:rsid w:val="00AA6E3A"/>
    <w:rsid w:val="00AA6E85"/>
    <w:rsid w:val="00AA6EA1"/>
    <w:rsid w:val="00AA6F7A"/>
    <w:rsid w:val="00AA6FD1"/>
    <w:rsid w:val="00AA7244"/>
    <w:rsid w:val="00AA72ED"/>
    <w:rsid w:val="00AA73C6"/>
    <w:rsid w:val="00AA741B"/>
    <w:rsid w:val="00AA7673"/>
    <w:rsid w:val="00AA76FF"/>
    <w:rsid w:val="00AA7948"/>
    <w:rsid w:val="00AA7999"/>
    <w:rsid w:val="00AA7A4D"/>
    <w:rsid w:val="00AA7ADE"/>
    <w:rsid w:val="00AA7ADF"/>
    <w:rsid w:val="00AA7B0A"/>
    <w:rsid w:val="00AA7BA9"/>
    <w:rsid w:val="00AA7C20"/>
    <w:rsid w:val="00AA7C57"/>
    <w:rsid w:val="00AA7DE8"/>
    <w:rsid w:val="00AA7E6A"/>
    <w:rsid w:val="00AA7F6C"/>
    <w:rsid w:val="00AA7F8A"/>
    <w:rsid w:val="00AB0181"/>
    <w:rsid w:val="00AB01AB"/>
    <w:rsid w:val="00AB01C6"/>
    <w:rsid w:val="00AB029C"/>
    <w:rsid w:val="00AB0494"/>
    <w:rsid w:val="00AB04FE"/>
    <w:rsid w:val="00AB0785"/>
    <w:rsid w:val="00AB08CC"/>
    <w:rsid w:val="00AB08EE"/>
    <w:rsid w:val="00AB09D0"/>
    <w:rsid w:val="00AB0A32"/>
    <w:rsid w:val="00AB0A66"/>
    <w:rsid w:val="00AB0B03"/>
    <w:rsid w:val="00AB0B9A"/>
    <w:rsid w:val="00AB0BD9"/>
    <w:rsid w:val="00AB0C66"/>
    <w:rsid w:val="00AB0C86"/>
    <w:rsid w:val="00AB0CFD"/>
    <w:rsid w:val="00AB0DF1"/>
    <w:rsid w:val="00AB0E05"/>
    <w:rsid w:val="00AB0EA2"/>
    <w:rsid w:val="00AB0EB4"/>
    <w:rsid w:val="00AB0EFF"/>
    <w:rsid w:val="00AB0F05"/>
    <w:rsid w:val="00AB10B6"/>
    <w:rsid w:val="00AB10C8"/>
    <w:rsid w:val="00AB1163"/>
    <w:rsid w:val="00AB116B"/>
    <w:rsid w:val="00AB12B6"/>
    <w:rsid w:val="00AB14A0"/>
    <w:rsid w:val="00AB14E3"/>
    <w:rsid w:val="00AB1618"/>
    <w:rsid w:val="00AB16EA"/>
    <w:rsid w:val="00AB1783"/>
    <w:rsid w:val="00AB1848"/>
    <w:rsid w:val="00AB18D9"/>
    <w:rsid w:val="00AB1912"/>
    <w:rsid w:val="00AB19CF"/>
    <w:rsid w:val="00AB1AD5"/>
    <w:rsid w:val="00AB1AEB"/>
    <w:rsid w:val="00AB1BE4"/>
    <w:rsid w:val="00AB1BEE"/>
    <w:rsid w:val="00AB1C3B"/>
    <w:rsid w:val="00AB1D1C"/>
    <w:rsid w:val="00AB1E2C"/>
    <w:rsid w:val="00AB1E2D"/>
    <w:rsid w:val="00AB1E2F"/>
    <w:rsid w:val="00AB1EBB"/>
    <w:rsid w:val="00AB1EE7"/>
    <w:rsid w:val="00AB204C"/>
    <w:rsid w:val="00AB2128"/>
    <w:rsid w:val="00AB215D"/>
    <w:rsid w:val="00AB2180"/>
    <w:rsid w:val="00AB2197"/>
    <w:rsid w:val="00AB21D1"/>
    <w:rsid w:val="00AB21EA"/>
    <w:rsid w:val="00AB21EE"/>
    <w:rsid w:val="00AB2241"/>
    <w:rsid w:val="00AB22CD"/>
    <w:rsid w:val="00AB24E6"/>
    <w:rsid w:val="00AB2630"/>
    <w:rsid w:val="00AB266B"/>
    <w:rsid w:val="00AB2785"/>
    <w:rsid w:val="00AB27C7"/>
    <w:rsid w:val="00AB2804"/>
    <w:rsid w:val="00AB286A"/>
    <w:rsid w:val="00AB28BE"/>
    <w:rsid w:val="00AB28EE"/>
    <w:rsid w:val="00AB290A"/>
    <w:rsid w:val="00AB29D0"/>
    <w:rsid w:val="00AB29E4"/>
    <w:rsid w:val="00AB2BDE"/>
    <w:rsid w:val="00AB2BE3"/>
    <w:rsid w:val="00AB2BF8"/>
    <w:rsid w:val="00AB2C76"/>
    <w:rsid w:val="00AB2CDA"/>
    <w:rsid w:val="00AB2D18"/>
    <w:rsid w:val="00AB2D6F"/>
    <w:rsid w:val="00AB2DDF"/>
    <w:rsid w:val="00AB2E01"/>
    <w:rsid w:val="00AB2E0C"/>
    <w:rsid w:val="00AB2E46"/>
    <w:rsid w:val="00AB30E0"/>
    <w:rsid w:val="00AB31B4"/>
    <w:rsid w:val="00AB31D6"/>
    <w:rsid w:val="00AB32A2"/>
    <w:rsid w:val="00AB32DE"/>
    <w:rsid w:val="00AB3326"/>
    <w:rsid w:val="00AB334B"/>
    <w:rsid w:val="00AB33AD"/>
    <w:rsid w:val="00AB33C5"/>
    <w:rsid w:val="00AB3457"/>
    <w:rsid w:val="00AB3477"/>
    <w:rsid w:val="00AB3487"/>
    <w:rsid w:val="00AB358E"/>
    <w:rsid w:val="00AB37F2"/>
    <w:rsid w:val="00AB39F1"/>
    <w:rsid w:val="00AB3A5A"/>
    <w:rsid w:val="00AB3B7C"/>
    <w:rsid w:val="00AB3BBC"/>
    <w:rsid w:val="00AB3D5C"/>
    <w:rsid w:val="00AB3D82"/>
    <w:rsid w:val="00AB3E0D"/>
    <w:rsid w:val="00AB3E3D"/>
    <w:rsid w:val="00AB3E95"/>
    <w:rsid w:val="00AB3F40"/>
    <w:rsid w:val="00AB4062"/>
    <w:rsid w:val="00AB4137"/>
    <w:rsid w:val="00AB4173"/>
    <w:rsid w:val="00AB417D"/>
    <w:rsid w:val="00AB4187"/>
    <w:rsid w:val="00AB4199"/>
    <w:rsid w:val="00AB420C"/>
    <w:rsid w:val="00AB4248"/>
    <w:rsid w:val="00AB4265"/>
    <w:rsid w:val="00AB429A"/>
    <w:rsid w:val="00AB432C"/>
    <w:rsid w:val="00AB4383"/>
    <w:rsid w:val="00AB4406"/>
    <w:rsid w:val="00AB4553"/>
    <w:rsid w:val="00AB456D"/>
    <w:rsid w:val="00AB459B"/>
    <w:rsid w:val="00AB4624"/>
    <w:rsid w:val="00AB464E"/>
    <w:rsid w:val="00AB4734"/>
    <w:rsid w:val="00AB47B0"/>
    <w:rsid w:val="00AB48B4"/>
    <w:rsid w:val="00AB49A2"/>
    <w:rsid w:val="00AB4A67"/>
    <w:rsid w:val="00AB4A6B"/>
    <w:rsid w:val="00AB4BF2"/>
    <w:rsid w:val="00AB4D80"/>
    <w:rsid w:val="00AB4F4D"/>
    <w:rsid w:val="00AB52C4"/>
    <w:rsid w:val="00AB52EA"/>
    <w:rsid w:val="00AB536C"/>
    <w:rsid w:val="00AB55D9"/>
    <w:rsid w:val="00AB5621"/>
    <w:rsid w:val="00AB56F8"/>
    <w:rsid w:val="00AB5730"/>
    <w:rsid w:val="00AB584B"/>
    <w:rsid w:val="00AB5877"/>
    <w:rsid w:val="00AB58A8"/>
    <w:rsid w:val="00AB58CD"/>
    <w:rsid w:val="00AB5AD2"/>
    <w:rsid w:val="00AB5AD5"/>
    <w:rsid w:val="00AB5AE0"/>
    <w:rsid w:val="00AB5AE2"/>
    <w:rsid w:val="00AB5B08"/>
    <w:rsid w:val="00AB5B43"/>
    <w:rsid w:val="00AB5B6C"/>
    <w:rsid w:val="00AB5BCE"/>
    <w:rsid w:val="00AB5C98"/>
    <w:rsid w:val="00AB5CD7"/>
    <w:rsid w:val="00AB5CF6"/>
    <w:rsid w:val="00AB5D04"/>
    <w:rsid w:val="00AB5F48"/>
    <w:rsid w:val="00AB6026"/>
    <w:rsid w:val="00AB6098"/>
    <w:rsid w:val="00AB6129"/>
    <w:rsid w:val="00AB625B"/>
    <w:rsid w:val="00AB6267"/>
    <w:rsid w:val="00AB6279"/>
    <w:rsid w:val="00AB629E"/>
    <w:rsid w:val="00AB6452"/>
    <w:rsid w:val="00AB650B"/>
    <w:rsid w:val="00AB6527"/>
    <w:rsid w:val="00AB6629"/>
    <w:rsid w:val="00AB665F"/>
    <w:rsid w:val="00AB668F"/>
    <w:rsid w:val="00AB67B8"/>
    <w:rsid w:val="00AB67F8"/>
    <w:rsid w:val="00AB6829"/>
    <w:rsid w:val="00AB682C"/>
    <w:rsid w:val="00AB68A7"/>
    <w:rsid w:val="00AB69AD"/>
    <w:rsid w:val="00AB6C95"/>
    <w:rsid w:val="00AB6D11"/>
    <w:rsid w:val="00AB6D23"/>
    <w:rsid w:val="00AB6D85"/>
    <w:rsid w:val="00AB6DFA"/>
    <w:rsid w:val="00AB6E38"/>
    <w:rsid w:val="00AB6E6C"/>
    <w:rsid w:val="00AB6EA1"/>
    <w:rsid w:val="00AB6ED3"/>
    <w:rsid w:val="00AB74D8"/>
    <w:rsid w:val="00AB754C"/>
    <w:rsid w:val="00AB7683"/>
    <w:rsid w:val="00AB76C3"/>
    <w:rsid w:val="00AB7715"/>
    <w:rsid w:val="00AB7774"/>
    <w:rsid w:val="00AB790C"/>
    <w:rsid w:val="00AB79D4"/>
    <w:rsid w:val="00AB7A0D"/>
    <w:rsid w:val="00AB7A46"/>
    <w:rsid w:val="00AB7BB5"/>
    <w:rsid w:val="00AB7C11"/>
    <w:rsid w:val="00AB7D25"/>
    <w:rsid w:val="00AB7EDC"/>
    <w:rsid w:val="00AB7F03"/>
    <w:rsid w:val="00AB7FE2"/>
    <w:rsid w:val="00AC02C5"/>
    <w:rsid w:val="00AC0388"/>
    <w:rsid w:val="00AC03DF"/>
    <w:rsid w:val="00AC04B6"/>
    <w:rsid w:val="00AC05FE"/>
    <w:rsid w:val="00AC07B1"/>
    <w:rsid w:val="00AC07C0"/>
    <w:rsid w:val="00AC0846"/>
    <w:rsid w:val="00AC0848"/>
    <w:rsid w:val="00AC084A"/>
    <w:rsid w:val="00AC087A"/>
    <w:rsid w:val="00AC0891"/>
    <w:rsid w:val="00AC0905"/>
    <w:rsid w:val="00AC0BA2"/>
    <w:rsid w:val="00AC0C41"/>
    <w:rsid w:val="00AC0D1C"/>
    <w:rsid w:val="00AC0DDD"/>
    <w:rsid w:val="00AC0F1F"/>
    <w:rsid w:val="00AC0FC2"/>
    <w:rsid w:val="00AC105C"/>
    <w:rsid w:val="00AC119C"/>
    <w:rsid w:val="00AC1237"/>
    <w:rsid w:val="00AC12EA"/>
    <w:rsid w:val="00AC131C"/>
    <w:rsid w:val="00AC140B"/>
    <w:rsid w:val="00AC1412"/>
    <w:rsid w:val="00AC14C8"/>
    <w:rsid w:val="00AC172D"/>
    <w:rsid w:val="00AC17E9"/>
    <w:rsid w:val="00AC17F1"/>
    <w:rsid w:val="00AC17F6"/>
    <w:rsid w:val="00AC19E2"/>
    <w:rsid w:val="00AC19F6"/>
    <w:rsid w:val="00AC1A2E"/>
    <w:rsid w:val="00AC1A3A"/>
    <w:rsid w:val="00AC1B96"/>
    <w:rsid w:val="00AC1BD7"/>
    <w:rsid w:val="00AC1C13"/>
    <w:rsid w:val="00AC1C16"/>
    <w:rsid w:val="00AC1C3B"/>
    <w:rsid w:val="00AC1CBD"/>
    <w:rsid w:val="00AC1DDB"/>
    <w:rsid w:val="00AC1F1A"/>
    <w:rsid w:val="00AC2348"/>
    <w:rsid w:val="00AC2392"/>
    <w:rsid w:val="00AC23AF"/>
    <w:rsid w:val="00AC23FF"/>
    <w:rsid w:val="00AC243F"/>
    <w:rsid w:val="00AC2591"/>
    <w:rsid w:val="00AC265D"/>
    <w:rsid w:val="00AC26A8"/>
    <w:rsid w:val="00AC2760"/>
    <w:rsid w:val="00AC285D"/>
    <w:rsid w:val="00AC2983"/>
    <w:rsid w:val="00AC29C2"/>
    <w:rsid w:val="00AC2A3E"/>
    <w:rsid w:val="00AC2A7F"/>
    <w:rsid w:val="00AC2ADA"/>
    <w:rsid w:val="00AC2B15"/>
    <w:rsid w:val="00AC2D52"/>
    <w:rsid w:val="00AC2D97"/>
    <w:rsid w:val="00AC2E17"/>
    <w:rsid w:val="00AC2ECD"/>
    <w:rsid w:val="00AC2ED0"/>
    <w:rsid w:val="00AC2F0D"/>
    <w:rsid w:val="00AC30A2"/>
    <w:rsid w:val="00AC318F"/>
    <w:rsid w:val="00AC31C9"/>
    <w:rsid w:val="00AC3286"/>
    <w:rsid w:val="00AC32CA"/>
    <w:rsid w:val="00AC32FA"/>
    <w:rsid w:val="00AC3397"/>
    <w:rsid w:val="00AC345F"/>
    <w:rsid w:val="00AC34E6"/>
    <w:rsid w:val="00AC350D"/>
    <w:rsid w:val="00AC3532"/>
    <w:rsid w:val="00AC361E"/>
    <w:rsid w:val="00AC36B1"/>
    <w:rsid w:val="00AC37AD"/>
    <w:rsid w:val="00AC37E5"/>
    <w:rsid w:val="00AC3801"/>
    <w:rsid w:val="00AC3804"/>
    <w:rsid w:val="00AC384D"/>
    <w:rsid w:val="00AC39A9"/>
    <w:rsid w:val="00AC3BAE"/>
    <w:rsid w:val="00AC3BDE"/>
    <w:rsid w:val="00AC3C2A"/>
    <w:rsid w:val="00AC3C79"/>
    <w:rsid w:val="00AC3DC4"/>
    <w:rsid w:val="00AC3DED"/>
    <w:rsid w:val="00AC3E31"/>
    <w:rsid w:val="00AC3EFD"/>
    <w:rsid w:val="00AC3F63"/>
    <w:rsid w:val="00AC4009"/>
    <w:rsid w:val="00AC40BC"/>
    <w:rsid w:val="00AC4333"/>
    <w:rsid w:val="00AC438A"/>
    <w:rsid w:val="00AC438D"/>
    <w:rsid w:val="00AC4436"/>
    <w:rsid w:val="00AC45DB"/>
    <w:rsid w:val="00AC4699"/>
    <w:rsid w:val="00AC469A"/>
    <w:rsid w:val="00AC469F"/>
    <w:rsid w:val="00AC4734"/>
    <w:rsid w:val="00AC47D0"/>
    <w:rsid w:val="00AC47E3"/>
    <w:rsid w:val="00AC4838"/>
    <w:rsid w:val="00AC489D"/>
    <w:rsid w:val="00AC48D6"/>
    <w:rsid w:val="00AC4903"/>
    <w:rsid w:val="00AC49F3"/>
    <w:rsid w:val="00AC4A59"/>
    <w:rsid w:val="00AC4A9E"/>
    <w:rsid w:val="00AC4B3A"/>
    <w:rsid w:val="00AC4C7C"/>
    <w:rsid w:val="00AC4C8F"/>
    <w:rsid w:val="00AC4CB7"/>
    <w:rsid w:val="00AC4E76"/>
    <w:rsid w:val="00AC4FAC"/>
    <w:rsid w:val="00AC50B6"/>
    <w:rsid w:val="00AC5132"/>
    <w:rsid w:val="00AC5214"/>
    <w:rsid w:val="00AC5215"/>
    <w:rsid w:val="00AC534F"/>
    <w:rsid w:val="00AC5551"/>
    <w:rsid w:val="00AC561E"/>
    <w:rsid w:val="00AC5628"/>
    <w:rsid w:val="00AC5644"/>
    <w:rsid w:val="00AC56F2"/>
    <w:rsid w:val="00AC581F"/>
    <w:rsid w:val="00AC58E7"/>
    <w:rsid w:val="00AC5926"/>
    <w:rsid w:val="00AC5A30"/>
    <w:rsid w:val="00AC5A35"/>
    <w:rsid w:val="00AC5A49"/>
    <w:rsid w:val="00AC5A59"/>
    <w:rsid w:val="00AC5B69"/>
    <w:rsid w:val="00AC5BCD"/>
    <w:rsid w:val="00AC5BE0"/>
    <w:rsid w:val="00AC5BFD"/>
    <w:rsid w:val="00AC5C00"/>
    <w:rsid w:val="00AC5C7F"/>
    <w:rsid w:val="00AC5F68"/>
    <w:rsid w:val="00AC5F9F"/>
    <w:rsid w:val="00AC6015"/>
    <w:rsid w:val="00AC6093"/>
    <w:rsid w:val="00AC6273"/>
    <w:rsid w:val="00AC64CF"/>
    <w:rsid w:val="00AC6592"/>
    <w:rsid w:val="00AC6620"/>
    <w:rsid w:val="00AC662B"/>
    <w:rsid w:val="00AC668A"/>
    <w:rsid w:val="00AC68DD"/>
    <w:rsid w:val="00AC69A4"/>
    <w:rsid w:val="00AC69E4"/>
    <w:rsid w:val="00AC6A5E"/>
    <w:rsid w:val="00AC6A8D"/>
    <w:rsid w:val="00AC6B19"/>
    <w:rsid w:val="00AC6BEB"/>
    <w:rsid w:val="00AC6C35"/>
    <w:rsid w:val="00AC6C76"/>
    <w:rsid w:val="00AC6D99"/>
    <w:rsid w:val="00AC6DD8"/>
    <w:rsid w:val="00AC6F98"/>
    <w:rsid w:val="00AC701B"/>
    <w:rsid w:val="00AC705B"/>
    <w:rsid w:val="00AC70E0"/>
    <w:rsid w:val="00AC7109"/>
    <w:rsid w:val="00AC71CC"/>
    <w:rsid w:val="00AC720A"/>
    <w:rsid w:val="00AC7266"/>
    <w:rsid w:val="00AC7361"/>
    <w:rsid w:val="00AC74A1"/>
    <w:rsid w:val="00AC7627"/>
    <w:rsid w:val="00AC76AF"/>
    <w:rsid w:val="00AC76DB"/>
    <w:rsid w:val="00AC771F"/>
    <w:rsid w:val="00AC7722"/>
    <w:rsid w:val="00AC779F"/>
    <w:rsid w:val="00AC77C2"/>
    <w:rsid w:val="00AC77CC"/>
    <w:rsid w:val="00AC7850"/>
    <w:rsid w:val="00AC78C8"/>
    <w:rsid w:val="00AC7902"/>
    <w:rsid w:val="00AC7934"/>
    <w:rsid w:val="00AC7953"/>
    <w:rsid w:val="00AC7A20"/>
    <w:rsid w:val="00AC7B0B"/>
    <w:rsid w:val="00AC7B4A"/>
    <w:rsid w:val="00AC7B70"/>
    <w:rsid w:val="00AC7B9D"/>
    <w:rsid w:val="00AC7C26"/>
    <w:rsid w:val="00AC7CC2"/>
    <w:rsid w:val="00AC7DC1"/>
    <w:rsid w:val="00AC7E62"/>
    <w:rsid w:val="00AC7EB4"/>
    <w:rsid w:val="00AD000D"/>
    <w:rsid w:val="00AD0011"/>
    <w:rsid w:val="00AD00C7"/>
    <w:rsid w:val="00AD021D"/>
    <w:rsid w:val="00AD0303"/>
    <w:rsid w:val="00AD0311"/>
    <w:rsid w:val="00AD0470"/>
    <w:rsid w:val="00AD0678"/>
    <w:rsid w:val="00AD06AA"/>
    <w:rsid w:val="00AD074B"/>
    <w:rsid w:val="00AD0768"/>
    <w:rsid w:val="00AD0805"/>
    <w:rsid w:val="00AD0A80"/>
    <w:rsid w:val="00AD0AC0"/>
    <w:rsid w:val="00AD0B64"/>
    <w:rsid w:val="00AD0B76"/>
    <w:rsid w:val="00AD0C50"/>
    <w:rsid w:val="00AD0C8B"/>
    <w:rsid w:val="00AD0CB3"/>
    <w:rsid w:val="00AD0CB4"/>
    <w:rsid w:val="00AD0CFC"/>
    <w:rsid w:val="00AD0D97"/>
    <w:rsid w:val="00AD0E0D"/>
    <w:rsid w:val="00AD0E53"/>
    <w:rsid w:val="00AD0E79"/>
    <w:rsid w:val="00AD0EF0"/>
    <w:rsid w:val="00AD0FBD"/>
    <w:rsid w:val="00AD1036"/>
    <w:rsid w:val="00AD108A"/>
    <w:rsid w:val="00AD108D"/>
    <w:rsid w:val="00AD1165"/>
    <w:rsid w:val="00AD13F5"/>
    <w:rsid w:val="00AD1415"/>
    <w:rsid w:val="00AD1473"/>
    <w:rsid w:val="00AD1479"/>
    <w:rsid w:val="00AD1516"/>
    <w:rsid w:val="00AD1578"/>
    <w:rsid w:val="00AD158D"/>
    <w:rsid w:val="00AD163D"/>
    <w:rsid w:val="00AD167A"/>
    <w:rsid w:val="00AD16D5"/>
    <w:rsid w:val="00AD1749"/>
    <w:rsid w:val="00AD180E"/>
    <w:rsid w:val="00AD18A0"/>
    <w:rsid w:val="00AD190F"/>
    <w:rsid w:val="00AD1918"/>
    <w:rsid w:val="00AD1AB7"/>
    <w:rsid w:val="00AD1AD1"/>
    <w:rsid w:val="00AD1C13"/>
    <w:rsid w:val="00AD1D1C"/>
    <w:rsid w:val="00AD1D40"/>
    <w:rsid w:val="00AD1E64"/>
    <w:rsid w:val="00AD1F96"/>
    <w:rsid w:val="00AD1FC4"/>
    <w:rsid w:val="00AD1FD6"/>
    <w:rsid w:val="00AD2069"/>
    <w:rsid w:val="00AD207D"/>
    <w:rsid w:val="00AD2087"/>
    <w:rsid w:val="00AD20B7"/>
    <w:rsid w:val="00AD21EA"/>
    <w:rsid w:val="00AD2247"/>
    <w:rsid w:val="00AD225E"/>
    <w:rsid w:val="00AD2264"/>
    <w:rsid w:val="00AD23AB"/>
    <w:rsid w:val="00AD23CD"/>
    <w:rsid w:val="00AD23FA"/>
    <w:rsid w:val="00AD2538"/>
    <w:rsid w:val="00AD2544"/>
    <w:rsid w:val="00AD25E9"/>
    <w:rsid w:val="00AD25EC"/>
    <w:rsid w:val="00AD2630"/>
    <w:rsid w:val="00AD26F1"/>
    <w:rsid w:val="00AD2735"/>
    <w:rsid w:val="00AD2737"/>
    <w:rsid w:val="00AD27CD"/>
    <w:rsid w:val="00AD2877"/>
    <w:rsid w:val="00AD28AF"/>
    <w:rsid w:val="00AD2951"/>
    <w:rsid w:val="00AD2AF2"/>
    <w:rsid w:val="00AD2C6D"/>
    <w:rsid w:val="00AD2DC4"/>
    <w:rsid w:val="00AD2DCF"/>
    <w:rsid w:val="00AD2E23"/>
    <w:rsid w:val="00AD2E40"/>
    <w:rsid w:val="00AD2EFC"/>
    <w:rsid w:val="00AD2F22"/>
    <w:rsid w:val="00AD2FAA"/>
    <w:rsid w:val="00AD3012"/>
    <w:rsid w:val="00AD3080"/>
    <w:rsid w:val="00AD30E3"/>
    <w:rsid w:val="00AD3112"/>
    <w:rsid w:val="00AD3175"/>
    <w:rsid w:val="00AD31B7"/>
    <w:rsid w:val="00AD31DF"/>
    <w:rsid w:val="00AD321A"/>
    <w:rsid w:val="00AD32D1"/>
    <w:rsid w:val="00AD3326"/>
    <w:rsid w:val="00AD3483"/>
    <w:rsid w:val="00AD38C5"/>
    <w:rsid w:val="00AD3B9B"/>
    <w:rsid w:val="00AD3C6E"/>
    <w:rsid w:val="00AD3CDC"/>
    <w:rsid w:val="00AD3DA3"/>
    <w:rsid w:val="00AD3EA2"/>
    <w:rsid w:val="00AD3FB8"/>
    <w:rsid w:val="00AD4012"/>
    <w:rsid w:val="00AD4016"/>
    <w:rsid w:val="00AD4032"/>
    <w:rsid w:val="00AD4091"/>
    <w:rsid w:val="00AD4262"/>
    <w:rsid w:val="00AD4352"/>
    <w:rsid w:val="00AD4391"/>
    <w:rsid w:val="00AD4485"/>
    <w:rsid w:val="00AD45BC"/>
    <w:rsid w:val="00AD4674"/>
    <w:rsid w:val="00AD481B"/>
    <w:rsid w:val="00AD4862"/>
    <w:rsid w:val="00AD48E3"/>
    <w:rsid w:val="00AD49E0"/>
    <w:rsid w:val="00AD4AB0"/>
    <w:rsid w:val="00AD4C68"/>
    <w:rsid w:val="00AD4C74"/>
    <w:rsid w:val="00AD4CA5"/>
    <w:rsid w:val="00AD4D13"/>
    <w:rsid w:val="00AD4DE9"/>
    <w:rsid w:val="00AD4E2C"/>
    <w:rsid w:val="00AD4ECE"/>
    <w:rsid w:val="00AD4ED0"/>
    <w:rsid w:val="00AD4EEA"/>
    <w:rsid w:val="00AD4F01"/>
    <w:rsid w:val="00AD4FAD"/>
    <w:rsid w:val="00AD505E"/>
    <w:rsid w:val="00AD509A"/>
    <w:rsid w:val="00AD50EE"/>
    <w:rsid w:val="00AD511F"/>
    <w:rsid w:val="00AD51AE"/>
    <w:rsid w:val="00AD5240"/>
    <w:rsid w:val="00AD5271"/>
    <w:rsid w:val="00AD52ED"/>
    <w:rsid w:val="00AD5306"/>
    <w:rsid w:val="00AD5311"/>
    <w:rsid w:val="00AD53D4"/>
    <w:rsid w:val="00AD5531"/>
    <w:rsid w:val="00AD5795"/>
    <w:rsid w:val="00AD5A2D"/>
    <w:rsid w:val="00AD5A8B"/>
    <w:rsid w:val="00AD5D2B"/>
    <w:rsid w:val="00AD5D80"/>
    <w:rsid w:val="00AD5DBC"/>
    <w:rsid w:val="00AD5E94"/>
    <w:rsid w:val="00AD5F0E"/>
    <w:rsid w:val="00AD5F2F"/>
    <w:rsid w:val="00AD5F56"/>
    <w:rsid w:val="00AD5F90"/>
    <w:rsid w:val="00AD6026"/>
    <w:rsid w:val="00AD6027"/>
    <w:rsid w:val="00AD6051"/>
    <w:rsid w:val="00AD6073"/>
    <w:rsid w:val="00AD60AD"/>
    <w:rsid w:val="00AD61D4"/>
    <w:rsid w:val="00AD6205"/>
    <w:rsid w:val="00AD624C"/>
    <w:rsid w:val="00AD6261"/>
    <w:rsid w:val="00AD63AC"/>
    <w:rsid w:val="00AD64A6"/>
    <w:rsid w:val="00AD64E4"/>
    <w:rsid w:val="00AD653E"/>
    <w:rsid w:val="00AD6617"/>
    <w:rsid w:val="00AD670F"/>
    <w:rsid w:val="00AD6758"/>
    <w:rsid w:val="00AD693C"/>
    <w:rsid w:val="00AD69DA"/>
    <w:rsid w:val="00AD6A08"/>
    <w:rsid w:val="00AD6A66"/>
    <w:rsid w:val="00AD6AB2"/>
    <w:rsid w:val="00AD6ACE"/>
    <w:rsid w:val="00AD6B4B"/>
    <w:rsid w:val="00AD6CEC"/>
    <w:rsid w:val="00AD6D33"/>
    <w:rsid w:val="00AD6DB6"/>
    <w:rsid w:val="00AD6DC9"/>
    <w:rsid w:val="00AD6DDB"/>
    <w:rsid w:val="00AD6E38"/>
    <w:rsid w:val="00AD6EBB"/>
    <w:rsid w:val="00AD6EDF"/>
    <w:rsid w:val="00AD6F2E"/>
    <w:rsid w:val="00AD6F37"/>
    <w:rsid w:val="00AD6F54"/>
    <w:rsid w:val="00AD7048"/>
    <w:rsid w:val="00AD70DD"/>
    <w:rsid w:val="00AD7354"/>
    <w:rsid w:val="00AD736C"/>
    <w:rsid w:val="00AD7384"/>
    <w:rsid w:val="00AD73B0"/>
    <w:rsid w:val="00AD73F4"/>
    <w:rsid w:val="00AD7502"/>
    <w:rsid w:val="00AD7559"/>
    <w:rsid w:val="00AD7560"/>
    <w:rsid w:val="00AD7574"/>
    <w:rsid w:val="00AD759F"/>
    <w:rsid w:val="00AD7663"/>
    <w:rsid w:val="00AD7784"/>
    <w:rsid w:val="00AD77B9"/>
    <w:rsid w:val="00AD7911"/>
    <w:rsid w:val="00AD7959"/>
    <w:rsid w:val="00AD7A51"/>
    <w:rsid w:val="00AD7A57"/>
    <w:rsid w:val="00AD7ADC"/>
    <w:rsid w:val="00AD7AF0"/>
    <w:rsid w:val="00AD7CDF"/>
    <w:rsid w:val="00AD7CEE"/>
    <w:rsid w:val="00AD7CFC"/>
    <w:rsid w:val="00AD7E3C"/>
    <w:rsid w:val="00AD7E3D"/>
    <w:rsid w:val="00AD7EEC"/>
    <w:rsid w:val="00AD7FFD"/>
    <w:rsid w:val="00AE0001"/>
    <w:rsid w:val="00AE0015"/>
    <w:rsid w:val="00AE012B"/>
    <w:rsid w:val="00AE019B"/>
    <w:rsid w:val="00AE01BC"/>
    <w:rsid w:val="00AE0312"/>
    <w:rsid w:val="00AE044B"/>
    <w:rsid w:val="00AE04CF"/>
    <w:rsid w:val="00AE0527"/>
    <w:rsid w:val="00AE05A3"/>
    <w:rsid w:val="00AE05C8"/>
    <w:rsid w:val="00AE05EF"/>
    <w:rsid w:val="00AE0622"/>
    <w:rsid w:val="00AE0754"/>
    <w:rsid w:val="00AE07CE"/>
    <w:rsid w:val="00AE07F3"/>
    <w:rsid w:val="00AE088B"/>
    <w:rsid w:val="00AE08AC"/>
    <w:rsid w:val="00AE0930"/>
    <w:rsid w:val="00AE09E5"/>
    <w:rsid w:val="00AE0A03"/>
    <w:rsid w:val="00AE0A36"/>
    <w:rsid w:val="00AE0A37"/>
    <w:rsid w:val="00AE0A91"/>
    <w:rsid w:val="00AE0B71"/>
    <w:rsid w:val="00AE0B9C"/>
    <w:rsid w:val="00AE0CE9"/>
    <w:rsid w:val="00AE0D28"/>
    <w:rsid w:val="00AE0D81"/>
    <w:rsid w:val="00AE0E75"/>
    <w:rsid w:val="00AE0E9E"/>
    <w:rsid w:val="00AE10A6"/>
    <w:rsid w:val="00AE1108"/>
    <w:rsid w:val="00AE1142"/>
    <w:rsid w:val="00AE11C3"/>
    <w:rsid w:val="00AE12A9"/>
    <w:rsid w:val="00AE133F"/>
    <w:rsid w:val="00AE13ED"/>
    <w:rsid w:val="00AE146D"/>
    <w:rsid w:val="00AE1490"/>
    <w:rsid w:val="00AE14D2"/>
    <w:rsid w:val="00AE1616"/>
    <w:rsid w:val="00AE1717"/>
    <w:rsid w:val="00AE1733"/>
    <w:rsid w:val="00AE1842"/>
    <w:rsid w:val="00AE188F"/>
    <w:rsid w:val="00AE18C2"/>
    <w:rsid w:val="00AE1918"/>
    <w:rsid w:val="00AE1B14"/>
    <w:rsid w:val="00AE1B92"/>
    <w:rsid w:val="00AE1BBA"/>
    <w:rsid w:val="00AE1C2B"/>
    <w:rsid w:val="00AE1D67"/>
    <w:rsid w:val="00AE1DD3"/>
    <w:rsid w:val="00AE1DE6"/>
    <w:rsid w:val="00AE1E09"/>
    <w:rsid w:val="00AE1E27"/>
    <w:rsid w:val="00AE1E92"/>
    <w:rsid w:val="00AE2027"/>
    <w:rsid w:val="00AE20FA"/>
    <w:rsid w:val="00AE2166"/>
    <w:rsid w:val="00AE2177"/>
    <w:rsid w:val="00AE21F3"/>
    <w:rsid w:val="00AE2252"/>
    <w:rsid w:val="00AE2312"/>
    <w:rsid w:val="00AE23D0"/>
    <w:rsid w:val="00AE2435"/>
    <w:rsid w:val="00AE2556"/>
    <w:rsid w:val="00AE25E8"/>
    <w:rsid w:val="00AE285D"/>
    <w:rsid w:val="00AE286F"/>
    <w:rsid w:val="00AE2887"/>
    <w:rsid w:val="00AE28EC"/>
    <w:rsid w:val="00AE29C0"/>
    <w:rsid w:val="00AE29D5"/>
    <w:rsid w:val="00AE29E2"/>
    <w:rsid w:val="00AE2B2D"/>
    <w:rsid w:val="00AE2BC8"/>
    <w:rsid w:val="00AE2BDE"/>
    <w:rsid w:val="00AE2BE5"/>
    <w:rsid w:val="00AE2C2E"/>
    <w:rsid w:val="00AE2C4D"/>
    <w:rsid w:val="00AE2C69"/>
    <w:rsid w:val="00AE2E3E"/>
    <w:rsid w:val="00AE2EE1"/>
    <w:rsid w:val="00AE2FAA"/>
    <w:rsid w:val="00AE2FBB"/>
    <w:rsid w:val="00AE3032"/>
    <w:rsid w:val="00AE30D2"/>
    <w:rsid w:val="00AE3108"/>
    <w:rsid w:val="00AE3143"/>
    <w:rsid w:val="00AE32FC"/>
    <w:rsid w:val="00AE330D"/>
    <w:rsid w:val="00AE3369"/>
    <w:rsid w:val="00AE33B1"/>
    <w:rsid w:val="00AE343A"/>
    <w:rsid w:val="00AE3620"/>
    <w:rsid w:val="00AE3626"/>
    <w:rsid w:val="00AE3631"/>
    <w:rsid w:val="00AE3656"/>
    <w:rsid w:val="00AE3766"/>
    <w:rsid w:val="00AE3781"/>
    <w:rsid w:val="00AE38BC"/>
    <w:rsid w:val="00AE3B77"/>
    <w:rsid w:val="00AE3D12"/>
    <w:rsid w:val="00AE3DA3"/>
    <w:rsid w:val="00AE3DE1"/>
    <w:rsid w:val="00AE3E0F"/>
    <w:rsid w:val="00AE3F3E"/>
    <w:rsid w:val="00AE3FFA"/>
    <w:rsid w:val="00AE4005"/>
    <w:rsid w:val="00AE404A"/>
    <w:rsid w:val="00AE4055"/>
    <w:rsid w:val="00AE4215"/>
    <w:rsid w:val="00AE4288"/>
    <w:rsid w:val="00AE4289"/>
    <w:rsid w:val="00AE43E5"/>
    <w:rsid w:val="00AE446A"/>
    <w:rsid w:val="00AE449B"/>
    <w:rsid w:val="00AE44BF"/>
    <w:rsid w:val="00AE450A"/>
    <w:rsid w:val="00AE476D"/>
    <w:rsid w:val="00AE47BF"/>
    <w:rsid w:val="00AE486A"/>
    <w:rsid w:val="00AE48E6"/>
    <w:rsid w:val="00AE4917"/>
    <w:rsid w:val="00AE49EC"/>
    <w:rsid w:val="00AE4A73"/>
    <w:rsid w:val="00AE4B10"/>
    <w:rsid w:val="00AE4BD1"/>
    <w:rsid w:val="00AE4BE6"/>
    <w:rsid w:val="00AE4DB9"/>
    <w:rsid w:val="00AE4DDD"/>
    <w:rsid w:val="00AE4FEC"/>
    <w:rsid w:val="00AE5007"/>
    <w:rsid w:val="00AE5019"/>
    <w:rsid w:val="00AE501F"/>
    <w:rsid w:val="00AE5031"/>
    <w:rsid w:val="00AE512A"/>
    <w:rsid w:val="00AE51F7"/>
    <w:rsid w:val="00AE524B"/>
    <w:rsid w:val="00AE52CD"/>
    <w:rsid w:val="00AE5354"/>
    <w:rsid w:val="00AE5393"/>
    <w:rsid w:val="00AE5537"/>
    <w:rsid w:val="00AE5595"/>
    <w:rsid w:val="00AE55F8"/>
    <w:rsid w:val="00AE56A8"/>
    <w:rsid w:val="00AE56B6"/>
    <w:rsid w:val="00AE5755"/>
    <w:rsid w:val="00AE5814"/>
    <w:rsid w:val="00AE5846"/>
    <w:rsid w:val="00AE58ED"/>
    <w:rsid w:val="00AE5949"/>
    <w:rsid w:val="00AE5960"/>
    <w:rsid w:val="00AE59C4"/>
    <w:rsid w:val="00AE5A0D"/>
    <w:rsid w:val="00AE5AFE"/>
    <w:rsid w:val="00AE5B7B"/>
    <w:rsid w:val="00AE5B86"/>
    <w:rsid w:val="00AE5BE6"/>
    <w:rsid w:val="00AE5C4C"/>
    <w:rsid w:val="00AE5C50"/>
    <w:rsid w:val="00AE5CDA"/>
    <w:rsid w:val="00AE5D9C"/>
    <w:rsid w:val="00AE5F37"/>
    <w:rsid w:val="00AE5F8D"/>
    <w:rsid w:val="00AE5FD4"/>
    <w:rsid w:val="00AE601A"/>
    <w:rsid w:val="00AE60D0"/>
    <w:rsid w:val="00AE6115"/>
    <w:rsid w:val="00AE6186"/>
    <w:rsid w:val="00AE61AF"/>
    <w:rsid w:val="00AE622A"/>
    <w:rsid w:val="00AE6279"/>
    <w:rsid w:val="00AE62AF"/>
    <w:rsid w:val="00AE62D9"/>
    <w:rsid w:val="00AE6484"/>
    <w:rsid w:val="00AE650D"/>
    <w:rsid w:val="00AE654A"/>
    <w:rsid w:val="00AE6645"/>
    <w:rsid w:val="00AE676F"/>
    <w:rsid w:val="00AE68A9"/>
    <w:rsid w:val="00AE698F"/>
    <w:rsid w:val="00AE6C32"/>
    <w:rsid w:val="00AE6E11"/>
    <w:rsid w:val="00AE6E24"/>
    <w:rsid w:val="00AE6E74"/>
    <w:rsid w:val="00AE6F00"/>
    <w:rsid w:val="00AE6F90"/>
    <w:rsid w:val="00AE6FA0"/>
    <w:rsid w:val="00AE7073"/>
    <w:rsid w:val="00AE71A5"/>
    <w:rsid w:val="00AE762B"/>
    <w:rsid w:val="00AE7689"/>
    <w:rsid w:val="00AE76DD"/>
    <w:rsid w:val="00AE7773"/>
    <w:rsid w:val="00AE7880"/>
    <w:rsid w:val="00AE7B13"/>
    <w:rsid w:val="00AE7C42"/>
    <w:rsid w:val="00AE7D2D"/>
    <w:rsid w:val="00AE7D82"/>
    <w:rsid w:val="00AE7DD8"/>
    <w:rsid w:val="00AE7DDA"/>
    <w:rsid w:val="00AE7E92"/>
    <w:rsid w:val="00AE7EE6"/>
    <w:rsid w:val="00AE7FC6"/>
    <w:rsid w:val="00AF0033"/>
    <w:rsid w:val="00AF0070"/>
    <w:rsid w:val="00AF00B2"/>
    <w:rsid w:val="00AF019B"/>
    <w:rsid w:val="00AF01E5"/>
    <w:rsid w:val="00AF020F"/>
    <w:rsid w:val="00AF03B0"/>
    <w:rsid w:val="00AF0457"/>
    <w:rsid w:val="00AF05A4"/>
    <w:rsid w:val="00AF071B"/>
    <w:rsid w:val="00AF0772"/>
    <w:rsid w:val="00AF08E3"/>
    <w:rsid w:val="00AF0911"/>
    <w:rsid w:val="00AF097A"/>
    <w:rsid w:val="00AF09C3"/>
    <w:rsid w:val="00AF0A13"/>
    <w:rsid w:val="00AF0C6F"/>
    <w:rsid w:val="00AF0CEB"/>
    <w:rsid w:val="00AF0E59"/>
    <w:rsid w:val="00AF104B"/>
    <w:rsid w:val="00AF1123"/>
    <w:rsid w:val="00AF1173"/>
    <w:rsid w:val="00AF11F8"/>
    <w:rsid w:val="00AF127D"/>
    <w:rsid w:val="00AF13B1"/>
    <w:rsid w:val="00AF13CD"/>
    <w:rsid w:val="00AF1468"/>
    <w:rsid w:val="00AF1484"/>
    <w:rsid w:val="00AF1585"/>
    <w:rsid w:val="00AF15D2"/>
    <w:rsid w:val="00AF1707"/>
    <w:rsid w:val="00AF1727"/>
    <w:rsid w:val="00AF1999"/>
    <w:rsid w:val="00AF19ED"/>
    <w:rsid w:val="00AF1B1C"/>
    <w:rsid w:val="00AF1BF5"/>
    <w:rsid w:val="00AF1C4D"/>
    <w:rsid w:val="00AF1C4E"/>
    <w:rsid w:val="00AF1C6A"/>
    <w:rsid w:val="00AF1CFE"/>
    <w:rsid w:val="00AF1D20"/>
    <w:rsid w:val="00AF1D2E"/>
    <w:rsid w:val="00AF1E5A"/>
    <w:rsid w:val="00AF1EEA"/>
    <w:rsid w:val="00AF2090"/>
    <w:rsid w:val="00AF2096"/>
    <w:rsid w:val="00AF20A1"/>
    <w:rsid w:val="00AF2297"/>
    <w:rsid w:val="00AF22EB"/>
    <w:rsid w:val="00AF2389"/>
    <w:rsid w:val="00AF240D"/>
    <w:rsid w:val="00AF2491"/>
    <w:rsid w:val="00AF25B6"/>
    <w:rsid w:val="00AF26CA"/>
    <w:rsid w:val="00AF26FA"/>
    <w:rsid w:val="00AF2734"/>
    <w:rsid w:val="00AF2756"/>
    <w:rsid w:val="00AF2769"/>
    <w:rsid w:val="00AF276B"/>
    <w:rsid w:val="00AF2941"/>
    <w:rsid w:val="00AF294B"/>
    <w:rsid w:val="00AF2962"/>
    <w:rsid w:val="00AF2B4B"/>
    <w:rsid w:val="00AF2B58"/>
    <w:rsid w:val="00AF2BBE"/>
    <w:rsid w:val="00AF2C38"/>
    <w:rsid w:val="00AF2DAB"/>
    <w:rsid w:val="00AF2E26"/>
    <w:rsid w:val="00AF2E79"/>
    <w:rsid w:val="00AF2F31"/>
    <w:rsid w:val="00AF2F9F"/>
    <w:rsid w:val="00AF3058"/>
    <w:rsid w:val="00AF3111"/>
    <w:rsid w:val="00AF31A5"/>
    <w:rsid w:val="00AF31A6"/>
    <w:rsid w:val="00AF3234"/>
    <w:rsid w:val="00AF343A"/>
    <w:rsid w:val="00AF3452"/>
    <w:rsid w:val="00AF34D0"/>
    <w:rsid w:val="00AF35DB"/>
    <w:rsid w:val="00AF35E0"/>
    <w:rsid w:val="00AF3607"/>
    <w:rsid w:val="00AF3656"/>
    <w:rsid w:val="00AF372D"/>
    <w:rsid w:val="00AF386A"/>
    <w:rsid w:val="00AF38CC"/>
    <w:rsid w:val="00AF3989"/>
    <w:rsid w:val="00AF39EA"/>
    <w:rsid w:val="00AF3A52"/>
    <w:rsid w:val="00AF3A8C"/>
    <w:rsid w:val="00AF3CC0"/>
    <w:rsid w:val="00AF3D9A"/>
    <w:rsid w:val="00AF3E1A"/>
    <w:rsid w:val="00AF3EAE"/>
    <w:rsid w:val="00AF3EDC"/>
    <w:rsid w:val="00AF3F86"/>
    <w:rsid w:val="00AF401C"/>
    <w:rsid w:val="00AF4090"/>
    <w:rsid w:val="00AF40EF"/>
    <w:rsid w:val="00AF4109"/>
    <w:rsid w:val="00AF4353"/>
    <w:rsid w:val="00AF43B1"/>
    <w:rsid w:val="00AF44D8"/>
    <w:rsid w:val="00AF4506"/>
    <w:rsid w:val="00AF4521"/>
    <w:rsid w:val="00AF45AD"/>
    <w:rsid w:val="00AF468A"/>
    <w:rsid w:val="00AF4721"/>
    <w:rsid w:val="00AF476B"/>
    <w:rsid w:val="00AF482A"/>
    <w:rsid w:val="00AF4A1C"/>
    <w:rsid w:val="00AF4B15"/>
    <w:rsid w:val="00AF4B18"/>
    <w:rsid w:val="00AF4B27"/>
    <w:rsid w:val="00AF4B3B"/>
    <w:rsid w:val="00AF4BAD"/>
    <w:rsid w:val="00AF4C6B"/>
    <w:rsid w:val="00AF4CB5"/>
    <w:rsid w:val="00AF4CC0"/>
    <w:rsid w:val="00AF4D3F"/>
    <w:rsid w:val="00AF4EE5"/>
    <w:rsid w:val="00AF4F60"/>
    <w:rsid w:val="00AF501F"/>
    <w:rsid w:val="00AF512F"/>
    <w:rsid w:val="00AF51C4"/>
    <w:rsid w:val="00AF5211"/>
    <w:rsid w:val="00AF5220"/>
    <w:rsid w:val="00AF52C0"/>
    <w:rsid w:val="00AF540A"/>
    <w:rsid w:val="00AF54C3"/>
    <w:rsid w:val="00AF54EC"/>
    <w:rsid w:val="00AF556E"/>
    <w:rsid w:val="00AF55ED"/>
    <w:rsid w:val="00AF5669"/>
    <w:rsid w:val="00AF5747"/>
    <w:rsid w:val="00AF576A"/>
    <w:rsid w:val="00AF5798"/>
    <w:rsid w:val="00AF579A"/>
    <w:rsid w:val="00AF57EF"/>
    <w:rsid w:val="00AF5800"/>
    <w:rsid w:val="00AF587A"/>
    <w:rsid w:val="00AF5B0B"/>
    <w:rsid w:val="00AF5B0D"/>
    <w:rsid w:val="00AF5B49"/>
    <w:rsid w:val="00AF5B90"/>
    <w:rsid w:val="00AF5BF3"/>
    <w:rsid w:val="00AF5C81"/>
    <w:rsid w:val="00AF5D5A"/>
    <w:rsid w:val="00AF5D67"/>
    <w:rsid w:val="00AF5D8F"/>
    <w:rsid w:val="00AF5DBB"/>
    <w:rsid w:val="00AF5DE3"/>
    <w:rsid w:val="00AF5E1C"/>
    <w:rsid w:val="00AF5F3E"/>
    <w:rsid w:val="00AF601D"/>
    <w:rsid w:val="00AF60F5"/>
    <w:rsid w:val="00AF6154"/>
    <w:rsid w:val="00AF62B5"/>
    <w:rsid w:val="00AF635E"/>
    <w:rsid w:val="00AF63AF"/>
    <w:rsid w:val="00AF64DA"/>
    <w:rsid w:val="00AF6539"/>
    <w:rsid w:val="00AF6582"/>
    <w:rsid w:val="00AF664A"/>
    <w:rsid w:val="00AF690F"/>
    <w:rsid w:val="00AF6D16"/>
    <w:rsid w:val="00AF6D4B"/>
    <w:rsid w:val="00AF6DBE"/>
    <w:rsid w:val="00AF6DEF"/>
    <w:rsid w:val="00AF6E8E"/>
    <w:rsid w:val="00AF6EC8"/>
    <w:rsid w:val="00AF6F4B"/>
    <w:rsid w:val="00AF6F9F"/>
    <w:rsid w:val="00AF700C"/>
    <w:rsid w:val="00AF7076"/>
    <w:rsid w:val="00AF7096"/>
    <w:rsid w:val="00AF709C"/>
    <w:rsid w:val="00AF72C3"/>
    <w:rsid w:val="00AF733F"/>
    <w:rsid w:val="00AF739E"/>
    <w:rsid w:val="00AF74F3"/>
    <w:rsid w:val="00AF75CA"/>
    <w:rsid w:val="00AF761C"/>
    <w:rsid w:val="00AF763E"/>
    <w:rsid w:val="00AF771E"/>
    <w:rsid w:val="00AF77BC"/>
    <w:rsid w:val="00AF77D9"/>
    <w:rsid w:val="00AF7801"/>
    <w:rsid w:val="00AF7823"/>
    <w:rsid w:val="00AF790C"/>
    <w:rsid w:val="00AF79CE"/>
    <w:rsid w:val="00AF7A44"/>
    <w:rsid w:val="00AF7A91"/>
    <w:rsid w:val="00AF7D08"/>
    <w:rsid w:val="00AF7D14"/>
    <w:rsid w:val="00AF7D58"/>
    <w:rsid w:val="00AF7E73"/>
    <w:rsid w:val="00AF7F64"/>
    <w:rsid w:val="00AF7F68"/>
    <w:rsid w:val="00B00188"/>
    <w:rsid w:val="00B00296"/>
    <w:rsid w:val="00B0030B"/>
    <w:rsid w:val="00B00466"/>
    <w:rsid w:val="00B0047B"/>
    <w:rsid w:val="00B0053C"/>
    <w:rsid w:val="00B00728"/>
    <w:rsid w:val="00B007EF"/>
    <w:rsid w:val="00B00903"/>
    <w:rsid w:val="00B0099F"/>
    <w:rsid w:val="00B00A9B"/>
    <w:rsid w:val="00B00AD4"/>
    <w:rsid w:val="00B00AE7"/>
    <w:rsid w:val="00B00B0C"/>
    <w:rsid w:val="00B00BDD"/>
    <w:rsid w:val="00B00C1A"/>
    <w:rsid w:val="00B00C37"/>
    <w:rsid w:val="00B00E71"/>
    <w:rsid w:val="00B00F61"/>
    <w:rsid w:val="00B00F76"/>
    <w:rsid w:val="00B00FA1"/>
    <w:rsid w:val="00B01066"/>
    <w:rsid w:val="00B012E3"/>
    <w:rsid w:val="00B012EC"/>
    <w:rsid w:val="00B0134C"/>
    <w:rsid w:val="00B01404"/>
    <w:rsid w:val="00B015BA"/>
    <w:rsid w:val="00B016C8"/>
    <w:rsid w:val="00B0186B"/>
    <w:rsid w:val="00B01893"/>
    <w:rsid w:val="00B0190A"/>
    <w:rsid w:val="00B01A67"/>
    <w:rsid w:val="00B01AA5"/>
    <w:rsid w:val="00B01AE1"/>
    <w:rsid w:val="00B01B3E"/>
    <w:rsid w:val="00B01B78"/>
    <w:rsid w:val="00B01B9D"/>
    <w:rsid w:val="00B01BD9"/>
    <w:rsid w:val="00B01C2E"/>
    <w:rsid w:val="00B01C39"/>
    <w:rsid w:val="00B01C7C"/>
    <w:rsid w:val="00B01D39"/>
    <w:rsid w:val="00B01D4E"/>
    <w:rsid w:val="00B01DB7"/>
    <w:rsid w:val="00B01E14"/>
    <w:rsid w:val="00B02153"/>
    <w:rsid w:val="00B021F4"/>
    <w:rsid w:val="00B0228F"/>
    <w:rsid w:val="00B0230A"/>
    <w:rsid w:val="00B023B4"/>
    <w:rsid w:val="00B023FC"/>
    <w:rsid w:val="00B02445"/>
    <w:rsid w:val="00B0247E"/>
    <w:rsid w:val="00B02506"/>
    <w:rsid w:val="00B0257F"/>
    <w:rsid w:val="00B025C4"/>
    <w:rsid w:val="00B02649"/>
    <w:rsid w:val="00B0272B"/>
    <w:rsid w:val="00B0275A"/>
    <w:rsid w:val="00B0276C"/>
    <w:rsid w:val="00B027AA"/>
    <w:rsid w:val="00B027FB"/>
    <w:rsid w:val="00B0281D"/>
    <w:rsid w:val="00B02988"/>
    <w:rsid w:val="00B0298A"/>
    <w:rsid w:val="00B02A6E"/>
    <w:rsid w:val="00B02AC8"/>
    <w:rsid w:val="00B02AE6"/>
    <w:rsid w:val="00B02B53"/>
    <w:rsid w:val="00B02C16"/>
    <w:rsid w:val="00B02C36"/>
    <w:rsid w:val="00B02C7D"/>
    <w:rsid w:val="00B02EAF"/>
    <w:rsid w:val="00B02FA8"/>
    <w:rsid w:val="00B03082"/>
    <w:rsid w:val="00B03198"/>
    <w:rsid w:val="00B031D0"/>
    <w:rsid w:val="00B031D3"/>
    <w:rsid w:val="00B0320C"/>
    <w:rsid w:val="00B0329E"/>
    <w:rsid w:val="00B032D3"/>
    <w:rsid w:val="00B03388"/>
    <w:rsid w:val="00B033E9"/>
    <w:rsid w:val="00B03567"/>
    <w:rsid w:val="00B03630"/>
    <w:rsid w:val="00B03796"/>
    <w:rsid w:val="00B037E4"/>
    <w:rsid w:val="00B038A5"/>
    <w:rsid w:val="00B03958"/>
    <w:rsid w:val="00B039FC"/>
    <w:rsid w:val="00B03A03"/>
    <w:rsid w:val="00B03C01"/>
    <w:rsid w:val="00B03C78"/>
    <w:rsid w:val="00B03DCE"/>
    <w:rsid w:val="00B03F06"/>
    <w:rsid w:val="00B03F2C"/>
    <w:rsid w:val="00B03F65"/>
    <w:rsid w:val="00B0404B"/>
    <w:rsid w:val="00B040FE"/>
    <w:rsid w:val="00B041FF"/>
    <w:rsid w:val="00B04269"/>
    <w:rsid w:val="00B0453D"/>
    <w:rsid w:val="00B04728"/>
    <w:rsid w:val="00B04863"/>
    <w:rsid w:val="00B0487B"/>
    <w:rsid w:val="00B048AD"/>
    <w:rsid w:val="00B048C5"/>
    <w:rsid w:val="00B04914"/>
    <w:rsid w:val="00B0491F"/>
    <w:rsid w:val="00B0494E"/>
    <w:rsid w:val="00B04956"/>
    <w:rsid w:val="00B04963"/>
    <w:rsid w:val="00B0499E"/>
    <w:rsid w:val="00B04A43"/>
    <w:rsid w:val="00B04A7F"/>
    <w:rsid w:val="00B04AC4"/>
    <w:rsid w:val="00B04AF7"/>
    <w:rsid w:val="00B04BE2"/>
    <w:rsid w:val="00B04BE6"/>
    <w:rsid w:val="00B04C11"/>
    <w:rsid w:val="00B04CB3"/>
    <w:rsid w:val="00B04D9B"/>
    <w:rsid w:val="00B04E35"/>
    <w:rsid w:val="00B04F0D"/>
    <w:rsid w:val="00B04FF9"/>
    <w:rsid w:val="00B05057"/>
    <w:rsid w:val="00B0505B"/>
    <w:rsid w:val="00B0506D"/>
    <w:rsid w:val="00B0513C"/>
    <w:rsid w:val="00B0529A"/>
    <w:rsid w:val="00B0532B"/>
    <w:rsid w:val="00B053A7"/>
    <w:rsid w:val="00B053DE"/>
    <w:rsid w:val="00B0564D"/>
    <w:rsid w:val="00B057B4"/>
    <w:rsid w:val="00B057EE"/>
    <w:rsid w:val="00B05802"/>
    <w:rsid w:val="00B05900"/>
    <w:rsid w:val="00B05A23"/>
    <w:rsid w:val="00B05A57"/>
    <w:rsid w:val="00B05C25"/>
    <w:rsid w:val="00B05C75"/>
    <w:rsid w:val="00B05DA7"/>
    <w:rsid w:val="00B05DD4"/>
    <w:rsid w:val="00B05E9D"/>
    <w:rsid w:val="00B060AE"/>
    <w:rsid w:val="00B06114"/>
    <w:rsid w:val="00B06133"/>
    <w:rsid w:val="00B06205"/>
    <w:rsid w:val="00B0627F"/>
    <w:rsid w:val="00B0634A"/>
    <w:rsid w:val="00B063A2"/>
    <w:rsid w:val="00B063B9"/>
    <w:rsid w:val="00B0655F"/>
    <w:rsid w:val="00B0664E"/>
    <w:rsid w:val="00B06689"/>
    <w:rsid w:val="00B06744"/>
    <w:rsid w:val="00B06777"/>
    <w:rsid w:val="00B06782"/>
    <w:rsid w:val="00B06819"/>
    <w:rsid w:val="00B06959"/>
    <w:rsid w:val="00B06977"/>
    <w:rsid w:val="00B069E7"/>
    <w:rsid w:val="00B06AE8"/>
    <w:rsid w:val="00B06AE9"/>
    <w:rsid w:val="00B06B17"/>
    <w:rsid w:val="00B06C3B"/>
    <w:rsid w:val="00B06C5C"/>
    <w:rsid w:val="00B06C75"/>
    <w:rsid w:val="00B06E0B"/>
    <w:rsid w:val="00B06E2C"/>
    <w:rsid w:val="00B06F8C"/>
    <w:rsid w:val="00B070A4"/>
    <w:rsid w:val="00B07241"/>
    <w:rsid w:val="00B0724D"/>
    <w:rsid w:val="00B07281"/>
    <w:rsid w:val="00B07296"/>
    <w:rsid w:val="00B07332"/>
    <w:rsid w:val="00B07477"/>
    <w:rsid w:val="00B076FA"/>
    <w:rsid w:val="00B07768"/>
    <w:rsid w:val="00B077C4"/>
    <w:rsid w:val="00B07839"/>
    <w:rsid w:val="00B0787D"/>
    <w:rsid w:val="00B078CA"/>
    <w:rsid w:val="00B07947"/>
    <w:rsid w:val="00B07969"/>
    <w:rsid w:val="00B07A2C"/>
    <w:rsid w:val="00B07AB3"/>
    <w:rsid w:val="00B07AEF"/>
    <w:rsid w:val="00B07B55"/>
    <w:rsid w:val="00B07BE3"/>
    <w:rsid w:val="00B07D7E"/>
    <w:rsid w:val="00B07E93"/>
    <w:rsid w:val="00B07F5D"/>
    <w:rsid w:val="00B1003C"/>
    <w:rsid w:val="00B10044"/>
    <w:rsid w:val="00B10063"/>
    <w:rsid w:val="00B100AE"/>
    <w:rsid w:val="00B1016C"/>
    <w:rsid w:val="00B101D1"/>
    <w:rsid w:val="00B10207"/>
    <w:rsid w:val="00B10341"/>
    <w:rsid w:val="00B10452"/>
    <w:rsid w:val="00B10548"/>
    <w:rsid w:val="00B1056C"/>
    <w:rsid w:val="00B1059E"/>
    <w:rsid w:val="00B105F1"/>
    <w:rsid w:val="00B105FC"/>
    <w:rsid w:val="00B10604"/>
    <w:rsid w:val="00B10616"/>
    <w:rsid w:val="00B10636"/>
    <w:rsid w:val="00B1069D"/>
    <w:rsid w:val="00B1070C"/>
    <w:rsid w:val="00B1076F"/>
    <w:rsid w:val="00B107BB"/>
    <w:rsid w:val="00B109C6"/>
    <w:rsid w:val="00B109EE"/>
    <w:rsid w:val="00B10A9F"/>
    <w:rsid w:val="00B10C16"/>
    <w:rsid w:val="00B10D04"/>
    <w:rsid w:val="00B10DAF"/>
    <w:rsid w:val="00B10DF0"/>
    <w:rsid w:val="00B10E33"/>
    <w:rsid w:val="00B10E61"/>
    <w:rsid w:val="00B10E9C"/>
    <w:rsid w:val="00B10F2C"/>
    <w:rsid w:val="00B10FBC"/>
    <w:rsid w:val="00B11039"/>
    <w:rsid w:val="00B11051"/>
    <w:rsid w:val="00B11055"/>
    <w:rsid w:val="00B1109F"/>
    <w:rsid w:val="00B110CE"/>
    <w:rsid w:val="00B11265"/>
    <w:rsid w:val="00B1127B"/>
    <w:rsid w:val="00B11305"/>
    <w:rsid w:val="00B113C5"/>
    <w:rsid w:val="00B1142B"/>
    <w:rsid w:val="00B114DE"/>
    <w:rsid w:val="00B11568"/>
    <w:rsid w:val="00B116C8"/>
    <w:rsid w:val="00B117A3"/>
    <w:rsid w:val="00B11909"/>
    <w:rsid w:val="00B11AB6"/>
    <w:rsid w:val="00B11AB9"/>
    <w:rsid w:val="00B11B42"/>
    <w:rsid w:val="00B11CBF"/>
    <w:rsid w:val="00B11D50"/>
    <w:rsid w:val="00B11DAD"/>
    <w:rsid w:val="00B11DD8"/>
    <w:rsid w:val="00B11E56"/>
    <w:rsid w:val="00B11E67"/>
    <w:rsid w:val="00B11F35"/>
    <w:rsid w:val="00B11F75"/>
    <w:rsid w:val="00B11FA0"/>
    <w:rsid w:val="00B1203E"/>
    <w:rsid w:val="00B12098"/>
    <w:rsid w:val="00B120AE"/>
    <w:rsid w:val="00B120D0"/>
    <w:rsid w:val="00B121FE"/>
    <w:rsid w:val="00B122A5"/>
    <w:rsid w:val="00B1232E"/>
    <w:rsid w:val="00B12416"/>
    <w:rsid w:val="00B12480"/>
    <w:rsid w:val="00B126C0"/>
    <w:rsid w:val="00B12858"/>
    <w:rsid w:val="00B1285A"/>
    <w:rsid w:val="00B12894"/>
    <w:rsid w:val="00B128CC"/>
    <w:rsid w:val="00B12921"/>
    <w:rsid w:val="00B12949"/>
    <w:rsid w:val="00B12ABD"/>
    <w:rsid w:val="00B12AF2"/>
    <w:rsid w:val="00B12C9C"/>
    <w:rsid w:val="00B12D35"/>
    <w:rsid w:val="00B12D54"/>
    <w:rsid w:val="00B12D72"/>
    <w:rsid w:val="00B12DE9"/>
    <w:rsid w:val="00B12DEB"/>
    <w:rsid w:val="00B12E05"/>
    <w:rsid w:val="00B12E57"/>
    <w:rsid w:val="00B12EE1"/>
    <w:rsid w:val="00B12F1C"/>
    <w:rsid w:val="00B13014"/>
    <w:rsid w:val="00B1301A"/>
    <w:rsid w:val="00B1304B"/>
    <w:rsid w:val="00B13090"/>
    <w:rsid w:val="00B1315C"/>
    <w:rsid w:val="00B13247"/>
    <w:rsid w:val="00B13487"/>
    <w:rsid w:val="00B13603"/>
    <w:rsid w:val="00B13621"/>
    <w:rsid w:val="00B13676"/>
    <w:rsid w:val="00B13796"/>
    <w:rsid w:val="00B137B4"/>
    <w:rsid w:val="00B13800"/>
    <w:rsid w:val="00B13927"/>
    <w:rsid w:val="00B13949"/>
    <w:rsid w:val="00B139D3"/>
    <w:rsid w:val="00B139FF"/>
    <w:rsid w:val="00B13A0B"/>
    <w:rsid w:val="00B13B85"/>
    <w:rsid w:val="00B13BCB"/>
    <w:rsid w:val="00B13BFB"/>
    <w:rsid w:val="00B13C41"/>
    <w:rsid w:val="00B13C47"/>
    <w:rsid w:val="00B13C6C"/>
    <w:rsid w:val="00B13C8D"/>
    <w:rsid w:val="00B13D75"/>
    <w:rsid w:val="00B13DA0"/>
    <w:rsid w:val="00B13E07"/>
    <w:rsid w:val="00B13E7C"/>
    <w:rsid w:val="00B13EA1"/>
    <w:rsid w:val="00B13EC9"/>
    <w:rsid w:val="00B13F61"/>
    <w:rsid w:val="00B14007"/>
    <w:rsid w:val="00B14025"/>
    <w:rsid w:val="00B14072"/>
    <w:rsid w:val="00B140DD"/>
    <w:rsid w:val="00B140EF"/>
    <w:rsid w:val="00B141EE"/>
    <w:rsid w:val="00B14308"/>
    <w:rsid w:val="00B14452"/>
    <w:rsid w:val="00B14559"/>
    <w:rsid w:val="00B145C3"/>
    <w:rsid w:val="00B145FE"/>
    <w:rsid w:val="00B1465F"/>
    <w:rsid w:val="00B147D7"/>
    <w:rsid w:val="00B14901"/>
    <w:rsid w:val="00B14909"/>
    <w:rsid w:val="00B14920"/>
    <w:rsid w:val="00B149E6"/>
    <w:rsid w:val="00B14B52"/>
    <w:rsid w:val="00B14CEF"/>
    <w:rsid w:val="00B14D28"/>
    <w:rsid w:val="00B14D2E"/>
    <w:rsid w:val="00B14E53"/>
    <w:rsid w:val="00B14E8E"/>
    <w:rsid w:val="00B14F13"/>
    <w:rsid w:val="00B15099"/>
    <w:rsid w:val="00B15110"/>
    <w:rsid w:val="00B15148"/>
    <w:rsid w:val="00B1519F"/>
    <w:rsid w:val="00B15202"/>
    <w:rsid w:val="00B1528B"/>
    <w:rsid w:val="00B1531D"/>
    <w:rsid w:val="00B15551"/>
    <w:rsid w:val="00B15559"/>
    <w:rsid w:val="00B156E7"/>
    <w:rsid w:val="00B15701"/>
    <w:rsid w:val="00B157A1"/>
    <w:rsid w:val="00B15908"/>
    <w:rsid w:val="00B1594B"/>
    <w:rsid w:val="00B15995"/>
    <w:rsid w:val="00B15BFC"/>
    <w:rsid w:val="00B15C61"/>
    <w:rsid w:val="00B15E07"/>
    <w:rsid w:val="00B15F0A"/>
    <w:rsid w:val="00B15F82"/>
    <w:rsid w:val="00B160BA"/>
    <w:rsid w:val="00B161F6"/>
    <w:rsid w:val="00B1628F"/>
    <w:rsid w:val="00B162FA"/>
    <w:rsid w:val="00B163D1"/>
    <w:rsid w:val="00B1641D"/>
    <w:rsid w:val="00B16470"/>
    <w:rsid w:val="00B16561"/>
    <w:rsid w:val="00B166D2"/>
    <w:rsid w:val="00B166F8"/>
    <w:rsid w:val="00B16708"/>
    <w:rsid w:val="00B167D5"/>
    <w:rsid w:val="00B16834"/>
    <w:rsid w:val="00B1683B"/>
    <w:rsid w:val="00B1691E"/>
    <w:rsid w:val="00B1693E"/>
    <w:rsid w:val="00B16996"/>
    <w:rsid w:val="00B16A3D"/>
    <w:rsid w:val="00B16A68"/>
    <w:rsid w:val="00B16A6D"/>
    <w:rsid w:val="00B16B37"/>
    <w:rsid w:val="00B16BA7"/>
    <w:rsid w:val="00B16BB5"/>
    <w:rsid w:val="00B16D8B"/>
    <w:rsid w:val="00B16EAD"/>
    <w:rsid w:val="00B16F7A"/>
    <w:rsid w:val="00B16F87"/>
    <w:rsid w:val="00B16F97"/>
    <w:rsid w:val="00B16FD8"/>
    <w:rsid w:val="00B170D3"/>
    <w:rsid w:val="00B171A7"/>
    <w:rsid w:val="00B17223"/>
    <w:rsid w:val="00B1724B"/>
    <w:rsid w:val="00B17292"/>
    <w:rsid w:val="00B172AC"/>
    <w:rsid w:val="00B173AF"/>
    <w:rsid w:val="00B173B9"/>
    <w:rsid w:val="00B1749F"/>
    <w:rsid w:val="00B176D7"/>
    <w:rsid w:val="00B17750"/>
    <w:rsid w:val="00B1775E"/>
    <w:rsid w:val="00B177AD"/>
    <w:rsid w:val="00B177EC"/>
    <w:rsid w:val="00B17ADF"/>
    <w:rsid w:val="00B17B68"/>
    <w:rsid w:val="00B17B89"/>
    <w:rsid w:val="00B17BCC"/>
    <w:rsid w:val="00B17DA0"/>
    <w:rsid w:val="00B17E61"/>
    <w:rsid w:val="00B17FA8"/>
    <w:rsid w:val="00B2004C"/>
    <w:rsid w:val="00B200F5"/>
    <w:rsid w:val="00B202E9"/>
    <w:rsid w:val="00B20355"/>
    <w:rsid w:val="00B2035D"/>
    <w:rsid w:val="00B203CE"/>
    <w:rsid w:val="00B20452"/>
    <w:rsid w:val="00B204C5"/>
    <w:rsid w:val="00B205C9"/>
    <w:rsid w:val="00B20706"/>
    <w:rsid w:val="00B20769"/>
    <w:rsid w:val="00B208B0"/>
    <w:rsid w:val="00B2097F"/>
    <w:rsid w:val="00B20BBD"/>
    <w:rsid w:val="00B20C1E"/>
    <w:rsid w:val="00B20CF5"/>
    <w:rsid w:val="00B20DA5"/>
    <w:rsid w:val="00B20DAB"/>
    <w:rsid w:val="00B20FAA"/>
    <w:rsid w:val="00B21158"/>
    <w:rsid w:val="00B211A4"/>
    <w:rsid w:val="00B211EF"/>
    <w:rsid w:val="00B211FC"/>
    <w:rsid w:val="00B213D3"/>
    <w:rsid w:val="00B21512"/>
    <w:rsid w:val="00B2154C"/>
    <w:rsid w:val="00B21569"/>
    <w:rsid w:val="00B217AB"/>
    <w:rsid w:val="00B217DB"/>
    <w:rsid w:val="00B218D1"/>
    <w:rsid w:val="00B218EB"/>
    <w:rsid w:val="00B21948"/>
    <w:rsid w:val="00B21990"/>
    <w:rsid w:val="00B219BF"/>
    <w:rsid w:val="00B219D9"/>
    <w:rsid w:val="00B21A39"/>
    <w:rsid w:val="00B21ACE"/>
    <w:rsid w:val="00B21BC1"/>
    <w:rsid w:val="00B21BD8"/>
    <w:rsid w:val="00B21C69"/>
    <w:rsid w:val="00B21E6A"/>
    <w:rsid w:val="00B21EF1"/>
    <w:rsid w:val="00B21FBF"/>
    <w:rsid w:val="00B22143"/>
    <w:rsid w:val="00B221F2"/>
    <w:rsid w:val="00B222BE"/>
    <w:rsid w:val="00B2242D"/>
    <w:rsid w:val="00B22589"/>
    <w:rsid w:val="00B22591"/>
    <w:rsid w:val="00B225B9"/>
    <w:rsid w:val="00B22625"/>
    <w:rsid w:val="00B2264B"/>
    <w:rsid w:val="00B226E3"/>
    <w:rsid w:val="00B22A07"/>
    <w:rsid w:val="00B22ACB"/>
    <w:rsid w:val="00B22B0C"/>
    <w:rsid w:val="00B22B15"/>
    <w:rsid w:val="00B22B4A"/>
    <w:rsid w:val="00B22BDC"/>
    <w:rsid w:val="00B22C6E"/>
    <w:rsid w:val="00B22DF6"/>
    <w:rsid w:val="00B22E44"/>
    <w:rsid w:val="00B22E7C"/>
    <w:rsid w:val="00B22EEE"/>
    <w:rsid w:val="00B2302A"/>
    <w:rsid w:val="00B23195"/>
    <w:rsid w:val="00B231B3"/>
    <w:rsid w:val="00B231FB"/>
    <w:rsid w:val="00B2328E"/>
    <w:rsid w:val="00B232AE"/>
    <w:rsid w:val="00B23317"/>
    <w:rsid w:val="00B23349"/>
    <w:rsid w:val="00B23361"/>
    <w:rsid w:val="00B23409"/>
    <w:rsid w:val="00B2343F"/>
    <w:rsid w:val="00B2349D"/>
    <w:rsid w:val="00B23669"/>
    <w:rsid w:val="00B2394E"/>
    <w:rsid w:val="00B23982"/>
    <w:rsid w:val="00B23AEF"/>
    <w:rsid w:val="00B23B0B"/>
    <w:rsid w:val="00B23C0D"/>
    <w:rsid w:val="00B23D19"/>
    <w:rsid w:val="00B23D9C"/>
    <w:rsid w:val="00B23E44"/>
    <w:rsid w:val="00B23EA3"/>
    <w:rsid w:val="00B24015"/>
    <w:rsid w:val="00B2407B"/>
    <w:rsid w:val="00B240C2"/>
    <w:rsid w:val="00B241D5"/>
    <w:rsid w:val="00B24207"/>
    <w:rsid w:val="00B2429B"/>
    <w:rsid w:val="00B2441A"/>
    <w:rsid w:val="00B24475"/>
    <w:rsid w:val="00B244B6"/>
    <w:rsid w:val="00B2451F"/>
    <w:rsid w:val="00B2458C"/>
    <w:rsid w:val="00B245C4"/>
    <w:rsid w:val="00B246A8"/>
    <w:rsid w:val="00B246AF"/>
    <w:rsid w:val="00B246D1"/>
    <w:rsid w:val="00B2481A"/>
    <w:rsid w:val="00B24821"/>
    <w:rsid w:val="00B248DE"/>
    <w:rsid w:val="00B24925"/>
    <w:rsid w:val="00B249BC"/>
    <w:rsid w:val="00B24A11"/>
    <w:rsid w:val="00B24A92"/>
    <w:rsid w:val="00B24AD9"/>
    <w:rsid w:val="00B24B5D"/>
    <w:rsid w:val="00B24C1D"/>
    <w:rsid w:val="00B24C61"/>
    <w:rsid w:val="00B24CC3"/>
    <w:rsid w:val="00B24D35"/>
    <w:rsid w:val="00B24DE2"/>
    <w:rsid w:val="00B24DFD"/>
    <w:rsid w:val="00B24E50"/>
    <w:rsid w:val="00B24E6F"/>
    <w:rsid w:val="00B24E8D"/>
    <w:rsid w:val="00B24ED1"/>
    <w:rsid w:val="00B24F34"/>
    <w:rsid w:val="00B24FA6"/>
    <w:rsid w:val="00B25047"/>
    <w:rsid w:val="00B250C7"/>
    <w:rsid w:val="00B25170"/>
    <w:rsid w:val="00B2518D"/>
    <w:rsid w:val="00B251C0"/>
    <w:rsid w:val="00B251F7"/>
    <w:rsid w:val="00B25209"/>
    <w:rsid w:val="00B25222"/>
    <w:rsid w:val="00B25242"/>
    <w:rsid w:val="00B252B4"/>
    <w:rsid w:val="00B252CE"/>
    <w:rsid w:val="00B2534E"/>
    <w:rsid w:val="00B2540A"/>
    <w:rsid w:val="00B2547D"/>
    <w:rsid w:val="00B254B3"/>
    <w:rsid w:val="00B25529"/>
    <w:rsid w:val="00B25668"/>
    <w:rsid w:val="00B256AE"/>
    <w:rsid w:val="00B257A7"/>
    <w:rsid w:val="00B2587E"/>
    <w:rsid w:val="00B2590E"/>
    <w:rsid w:val="00B25942"/>
    <w:rsid w:val="00B25967"/>
    <w:rsid w:val="00B2597E"/>
    <w:rsid w:val="00B259AA"/>
    <w:rsid w:val="00B25ACF"/>
    <w:rsid w:val="00B25B4B"/>
    <w:rsid w:val="00B25C46"/>
    <w:rsid w:val="00B25CFA"/>
    <w:rsid w:val="00B25D3C"/>
    <w:rsid w:val="00B25F03"/>
    <w:rsid w:val="00B25FAD"/>
    <w:rsid w:val="00B26074"/>
    <w:rsid w:val="00B260B2"/>
    <w:rsid w:val="00B26168"/>
    <w:rsid w:val="00B2618B"/>
    <w:rsid w:val="00B26270"/>
    <w:rsid w:val="00B26408"/>
    <w:rsid w:val="00B26441"/>
    <w:rsid w:val="00B26475"/>
    <w:rsid w:val="00B26497"/>
    <w:rsid w:val="00B2650E"/>
    <w:rsid w:val="00B26558"/>
    <w:rsid w:val="00B265CF"/>
    <w:rsid w:val="00B26691"/>
    <w:rsid w:val="00B26704"/>
    <w:rsid w:val="00B267B0"/>
    <w:rsid w:val="00B2680D"/>
    <w:rsid w:val="00B26A7F"/>
    <w:rsid w:val="00B26AE0"/>
    <w:rsid w:val="00B26B38"/>
    <w:rsid w:val="00B26BA7"/>
    <w:rsid w:val="00B26BE8"/>
    <w:rsid w:val="00B26C08"/>
    <w:rsid w:val="00B26CB1"/>
    <w:rsid w:val="00B26D2B"/>
    <w:rsid w:val="00B26D3C"/>
    <w:rsid w:val="00B26DB2"/>
    <w:rsid w:val="00B27119"/>
    <w:rsid w:val="00B27200"/>
    <w:rsid w:val="00B2732C"/>
    <w:rsid w:val="00B27352"/>
    <w:rsid w:val="00B2736B"/>
    <w:rsid w:val="00B27398"/>
    <w:rsid w:val="00B273B0"/>
    <w:rsid w:val="00B273DB"/>
    <w:rsid w:val="00B27471"/>
    <w:rsid w:val="00B274E3"/>
    <w:rsid w:val="00B2750A"/>
    <w:rsid w:val="00B2751F"/>
    <w:rsid w:val="00B275A0"/>
    <w:rsid w:val="00B276B4"/>
    <w:rsid w:val="00B276C6"/>
    <w:rsid w:val="00B27842"/>
    <w:rsid w:val="00B278BC"/>
    <w:rsid w:val="00B27948"/>
    <w:rsid w:val="00B27A39"/>
    <w:rsid w:val="00B27AA7"/>
    <w:rsid w:val="00B27B0F"/>
    <w:rsid w:val="00B27C11"/>
    <w:rsid w:val="00B27C84"/>
    <w:rsid w:val="00B27CC2"/>
    <w:rsid w:val="00B27DA6"/>
    <w:rsid w:val="00B27DBF"/>
    <w:rsid w:val="00B27E3B"/>
    <w:rsid w:val="00B27EF0"/>
    <w:rsid w:val="00B3008A"/>
    <w:rsid w:val="00B300E7"/>
    <w:rsid w:val="00B3017C"/>
    <w:rsid w:val="00B301C5"/>
    <w:rsid w:val="00B30231"/>
    <w:rsid w:val="00B302D1"/>
    <w:rsid w:val="00B30592"/>
    <w:rsid w:val="00B306D5"/>
    <w:rsid w:val="00B30785"/>
    <w:rsid w:val="00B307C3"/>
    <w:rsid w:val="00B30931"/>
    <w:rsid w:val="00B3097A"/>
    <w:rsid w:val="00B309B3"/>
    <w:rsid w:val="00B30A9D"/>
    <w:rsid w:val="00B30AE5"/>
    <w:rsid w:val="00B30D43"/>
    <w:rsid w:val="00B30D46"/>
    <w:rsid w:val="00B30DE6"/>
    <w:rsid w:val="00B30E01"/>
    <w:rsid w:val="00B30E66"/>
    <w:rsid w:val="00B30ED8"/>
    <w:rsid w:val="00B30EDC"/>
    <w:rsid w:val="00B30F57"/>
    <w:rsid w:val="00B31025"/>
    <w:rsid w:val="00B31085"/>
    <w:rsid w:val="00B3113E"/>
    <w:rsid w:val="00B3117C"/>
    <w:rsid w:val="00B312BE"/>
    <w:rsid w:val="00B31319"/>
    <w:rsid w:val="00B3132E"/>
    <w:rsid w:val="00B3142B"/>
    <w:rsid w:val="00B314D5"/>
    <w:rsid w:val="00B31546"/>
    <w:rsid w:val="00B31558"/>
    <w:rsid w:val="00B315E2"/>
    <w:rsid w:val="00B31636"/>
    <w:rsid w:val="00B31665"/>
    <w:rsid w:val="00B316C2"/>
    <w:rsid w:val="00B3177D"/>
    <w:rsid w:val="00B3184D"/>
    <w:rsid w:val="00B318F1"/>
    <w:rsid w:val="00B319F8"/>
    <w:rsid w:val="00B31A6C"/>
    <w:rsid w:val="00B31A83"/>
    <w:rsid w:val="00B31AEE"/>
    <w:rsid w:val="00B31B91"/>
    <w:rsid w:val="00B31BAA"/>
    <w:rsid w:val="00B31C5A"/>
    <w:rsid w:val="00B31D60"/>
    <w:rsid w:val="00B31E4C"/>
    <w:rsid w:val="00B31F03"/>
    <w:rsid w:val="00B32129"/>
    <w:rsid w:val="00B32157"/>
    <w:rsid w:val="00B32166"/>
    <w:rsid w:val="00B3217D"/>
    <w:rsid w:val="00B3217F"/>
    <w:rsid w:val="00B3241F"/>
    <w:rsid w:val="00B324A7"/>
    <w:rsid w:val="00B32536"/>
    <w:rsid w:val="00B32567"/>
    <w:rsid w:val="00B32735"/>
    <w:rsid w:val="00B32746"/>
    <w:rsid w:val="00B3279D"/>
    <w:rsid w:val="00B3287C"/>
    <w:rsid w:val="00B32933"/>
    <w:rsid w:val="00B329ED"/>
    <w:rsid w:val="00B32A71"/>
    <w:rsid w:val="00B32B19"/>
    <w:rsid w:val="00B32B2D"/>
    <w:rsid w:val="00B32B4A"/>
    <w:rsid w:val="00B32C34"/>
    <w:rsid w:val="00B32C8D"/>
    <w:rsid w:val="00B32CE2"/>
    <w:rsid w:val="00B32D2E"/>
    <w:rsid w:val="00B32D8E"/>
    <w:rsid w:val="00B32E70"/>
    <w:rsid w:val="00B32F47"/>
    <w:rsid w:val="00B32FBB"/>
    <w:rsid w:val="00B3300A"/>
    <w:rsid w:val="00B3300E"/>
    <w:rsid w:val="00B33160"/>
    <w:rsid w:val="00B3320D"/>
    <w:rsid w:val="00B332D2"/>
    <w:rsid w:val="00B3338D"/>
    <w:rsid w:val="00B333C6"/>
    <w:rsid w:val="00B335F4"/>
    <w:rsid w:val="00B336CB"/>
    <w:rsid w:val="00B336EF"/>
    <w:rsid w:val="00B337C8"/>
    <w:rsid w:val="00B337D0"/>
    <w:rsid w:val="00B3389E"/>
    <w:rsid w:val="00B338B3"/>
    <w:rsid w:val="00B33930"/>
    <w:rsid w:val="00B33935"/>
    <w:rsid w:val="00B33989"/>
    <w:rsid w:val="00B339C4"/>
    <w:rsid w:val="00B339F3"/>
    <w:rsid w:val="00B33A08"/>
    <w:rsid w:val="00B33A4E"/>
    <w:rsid w:val="00B33B12"/>
    <w:rsid w:val="00B33D39"/>
    <w:rsid w:val="00B33DAE"/>
    <w:rsid w:val="00B33DD7"/>
    <w:rsid w:val="00B33EB5"/>
    <w:rsid w:val="00B33EE2"/>
    <w:rsid w:val="00B33F1F"/>
    <w:rsid w:val="00B33FAE"/>
    <w:rsid w:val="00B34015"/>
    <w:rsid w:val="00B34070"/>
    <w:rsid w:val="00B34265"/>
    <w:rsid w:val="00B34291"/>
    <w:rsid w:val="00B342E0"/>
    <w:rsid w:val="00B34325"/>
    <w:rsid w:val="00B3448A"/>
    <w:rsid w:val="00B344E9"/>
    <w:rsid w:val="00B344FF"/>
    <w:rsid w:val="00B3455C"/>
    <w:rsid w:val="00B345D5"/>
    <w:rsid w:val="00B3460A"/>
    <w:rsid w:val="00B346AB"/>
    <w:rsid w:val="00B346B9"/>
    <w:rsid w:val="00B34704"/>
    <w:rsid w:val="00B34756"/>
    <w:rsid w:val="00B34762"/>
    <w:rsid w:val="00B347D0"/>
    <w:rsid w:val="00B347DA"/>
    <w:rsid w:val="00B348A3"/>
    <w:rsid w:val="00B3491C"/>
    <w:rsid w:val="00B349F5"/>
    <w:rsid w:val="00B34A35"/>
    <w:rsid w:val="00B34AF8"/>
    <w:rsid w:val="00B34C26"/>
    <w:rsid w:val="00B34D79"/>
    <w:rsid w:val="00B34D90"/>
    <w:rsid w:val="00B34D99"/>
    <w:rsid w:val="00B34F8E"/>
    <w:rsid w:val="00B3506E"/>
    <w:rsid w:val="00B35086"/>
    <w:rsid w:val="00B3512C"/>
    <w:rsid w:val="00B35141"/>
    <w:rsid w:val="00B352BC"/>
    <w:rsid w:val="00B35317"/>
    <w:rsid w:val="00B3538D"/>
    <w:rsid w:val="00B35393"/>
    <w:rsid w:val="00B35479"/>
    <w:rsid w:val="00B35599"/>
    <w:rsid w:val="00B35724"/>
    <w:rsid w:val="00B35950"/>
    <w:rsid w:val="00B359EE"/>
    <w:rsid w:val="00B35A07"/>
    <w:rsid w:val="00B35A21"/>
    <w:rsid w:val="00B35A49"/>
    <w:rsid w:val="00B35A6A"/>
    <w:rsid w:val="00B35AD7"/>
    <w:rsid w:val="00B35C5A"/>
    <w:rsid w:val="00B35C97"/>
    <w:rsid w:val="00B35F34"/>
    <w:rsid w:val="00B35F57"/>
    <w:rsid w:val="00B35F83"/>
    <w:rsid w:val="00B36038"/>
    <w:rsid w:val="00B360EB"/>
    <w:rsid w:val="00B36112"/>
    <w:rsid w:val="00B36156"/>
    <w:rsid w:val="00B36384"/>
    <w:rsid w:val="00B36393"/>
    <w:rsid w:val="00B36478"/>
    <w:rsid w:val="00B364A3"/>
    <w:rsid w:val="00B364A5"/>
    <w:rsid w:val="00B36574"/>
    <w:rsid w:val="00B3658E"/>
    <w:rsid w:val="00B365C4"/>
    <w:rsid w:val="00B365DE"/>
    <w:rsid w:val="00B36660"/>
    <w:rsid w:val="00B36823"/>
    <w:rsid w:val="00B368BE"/>
    <w:rsid w:val="00B368C8"/>
    <w:rsid w:val="00B368F4"/>
    <w:rsid w:val="00B36A4F"/>
    <w:rsid w:val="00B36ADA"/>
    <w:rsid w:val="00B36AE6"/>
    <w:rsid w:val="00B36B35"/>
    <w:rsid w:val="00B36BFC"/>
    <w:rsid w:val="00B36C1E"/>
    <w:rsid w:val="00B36DA4"/>
    <w:rsid w:val="00B36DB8"/>
    <w:rsid w:val="00B36E93"/>
    <w:rsid w:val="00B36EB4"/>
    <w:rsid w:val="00B36FFC"/>
    <w:rsid w:val="00B370EF"/>
    <w:rsid w:val="00B3719C"/>
    <w:rsid w:val="00B37245"/>
    <w:rsid w:val="00B3724F"/>
    <w:rsid w:val="00B372C9"/>
    <w:rsid w:val="00B372E8"/>
    <w:rsid w:val="00B37361"/>
    <w:rsid w:val="00B374A0"/>
    <w:rsid w:val="00B374C6"/>
    <w:rsid w:val="00B3752C"/>
    <w:rsid w:val="00B37571"/>
    <w:rsid w:val="00B375FE"/>
    <w:rsid w:val="00B37767"/>
    <w:rsid w:val="00B377CF"/>
    <w:rsid w:val="00B3783E"/>
    <w:rsid w:val="00B37851"/>
    <w:rsid w:val="00B37891"/>
    <w:rsid w:val="00B378DD"/>
    <w:rsid w:val="00B3792A"/>
    <w:rsid w:val="00B379D4"/>
    <w:rsid w:val="00B37A5C"/>
    <w:rsid w:val="00B37BC1"/>
    <w:rsid w:val="00B37CED"/>
    <w:rsid w:val="00B37D04"/>
    <w:rsid w:val="00B37D28"/>
    <w:rsid w:val="00B37E9C"/>
    <w:rsid w:val="00B37FE1"/>
    <w:rsid w:val="00B40018"/>
    <w:rsid w:val="00B40074"/>
    <w:rsid w:val="00B40101"/>
    <w:rsid w:val="00B40110"/>
    <w:rsid w:val="00B401EF"/>
    <w:rsid w:val="00B4021E"/>
    <w:rsid w:val="00B4034F"/>
    <w:rsid w:val="00B403A4"/>
    <w:rsid w:val="00B4045A"/>
    <w:rsid w:val="00B40556"/>
    <w:rsid w:val="00B40571"/>
    <w:rsid w:val="00B4058D"/>
    <w:rsid w:val="00B40619"/>
    <w:rsid w:val="00B40680"/>
    <w:rsid w:val="00B40733"/>
    <w:rsid w:val="00B40792"/>
    <w:rsid w:val="00B407A9"/>
    <w:rsid w:val="00B40894"/>
    <w:rsid w:val="00B40C7B"/>
    <w:rsid w:val="00B40C97"/>
    <w:rsid w:val="00B40CB2"/>
    <w:rsid w:val="00B40D10"/>
    <w:rsid w:val="00B40D32"/>
    <w:rsid w:val="00B40D6E"/>
    <w:rsid w:val="00B40F85"/>
    <w:rsid w:val="00B40FD9"/>
    <w:rsid w:val="00B41033"/>
    <w:rsid w:val="00B4113C"/>
    <w:rsid w:val="00B41152"/>
    <w:rsid w:val="00B411A8"/>
    <w:rsid w:val="00B411CA"/>
    <w:rsid w:val="00B41306"/>
    <w:rsid w:val="00B413E3"/>
    <w:rsid w:val="00B41481"/>
    <w:rsid w:val="00B4159A"/>
    <w:rsid w:val="00B415A7"/>
    <w:rsid w:val="00B41649"/>
    <w:rsid w:val="00B4164B"/>
    <w:rsid w:val="00B41663"/>
    <w:rsid w:val="00B41686"/>
    <w:rsid w:val="00B416B2"/>
    <w:rsid w:val="00B416E9"/>
    <w:rsid w:val="00B4194F"/>
    <w:rsid w:val="00B419C9"/>
    <w:rsid w:val="00B419D7"/>
    <w:rsid w:val="00B41ABE"/>
    <w:rsid w:val="00B41AD2"/>
    <w:rsid w:val="00B41BB3"/>
    <w:rsid w:val="00B41BCF"/>
    <w:rsid w:val="00B41C5F"/>
    <w:rsid w:val="00B41D71"/>
    <w:rsid w:val="00B41DBD"/>
    <w:rsid w:val="00B41E25"/>
    <w:rsid w:val="00B41E4B"/>
    <w:rsid w:val="00B41F72"/>
    <w:rsid w:val="00B4202E"/>
    <w:rsid w:val="00B420F9"/>
    <w:rsid w:val="00B42109"/>
    <w:rsid w:val="00B4213D"/>
    <w:rsid w:val="00B421BE"/>
    <w:rsid w:val="00B42248"/>
    <w:rsid w:val="00B42318"/>
    <w:rsid w:val="00B42364"/>
    <w:rsid w:val="00B423D6"/>
    <w:rsid w:val="00B42403"/>
    <w:rsid w:val="00B42444"/>
    <w:rsid w:val="00B42491"/>
    <w:rsid w:val="00B424D3"/>
    <w:rsid w:val="00B426A0"/>
    <w:rsid w:val="00B426BD"/>
    <w:rsid w:val="00B42750"/>
    <w:rsid w:val="00B42892"/>
    <w:rsid w:val="00B42A04"/>
    <w:rsid w:val="00B42A3F"/>
    <w:rsid w:val="00B42A53"/>
    <w:rsid w:val="00B42C11"/>
    <w:rsid w:val="00B42C78"/>
    <w:rsid w:val="00B42EED"/>
    <w:rsid w:val="00B42F7A"/>
    <w:rsid w:val="00B430B6"/>
    <w:rsid w:val="00B43309"/>
    <w:rsid w:val="00B4330D"/>
    <w:rsid w:val="00B43330"/>
    <w:rsid w:val="00B43392"/>
    <w:rsid w:val="00B433DE"/>
    <w:rsid w:val="00B433EA"/>
    <w:rsid w:val="00B433F8"/>
    <w:rsid w:val="00B4345F"/>
    <w:rsid w:val="00B43527"/>
    <w:rsid w:val="00B4360E"/>
    <w:rsid w:val="00B43614"/>
    <w:rsid w:val="00B436D0"/>
    <w:rsid w:val="00B436DC"/>
    <w:rsid w:val="00B43756"/>
    <w:rsid w:val="00B43816"/>
    <w:rsid w:val="00B43883"/>
    <w:rsid w:val="00B4390A"/>
    <w:rsid w:val="00B43913"/>
    <w:rsid w:val="00B43A26"/>
    <w:rsid w:val="00B43AF2"/>
    <w:rsid w:val="00B43B4C"/>
    <w:rsid w:val="00B43BE7"/>
    <w:rsid w:val="00B43C30"/>
    <w:rsid w:val="00B43CDF"/>
    <w:rsid w:val="00B43D3E"/>
    <w:rsid w:val="00B43D9F"/>
    <w:rsid w:val="00B43DF7"/>
    <w:rsid w:val="00B43EA3"/>
    <w:rsid w:val="00B43EEA"/>
    <w:rsid w:val="00B4409D"/>
    <w:rsid w:val="00B441D1"/>
    <w:rsid w:val="00B4436E"/>
    <w:rsid w:val="00B44484"/>
    <w:rsid w:val="00B444A0"/>
    <w:rsid w:val="00B44621"/>
    <w:rsid w:val="00B44664"/>
    <w:rsid w:val="00B446A2"/>
    <w:rsid w:val="00B447A9"/>
    <w:rsid w:val="00B447EB"/>
    <w:rsid w:val="00B44830"/>
    <w:rsid w:val="00B448B9"/>
    <w:rsid w:val="00B44B53"/>
    <w:rsid w:val="00B44B87"/>
    <w:rsid w:val="00B44BB7"/>
    <w:rsid w:val="00B44C8B"/>
    <w:rsid w:val="00B44D02"/>
    <w:rsid w:val="00B44D6A"/>
    <w:rsid w:val="00B44D7C"/>
    <w:rsid w:val="00B44D97"/>
    <w:rsid w:val="00B44ED7"/>
    <w:rsid w:val="00B44EFB"/>
    <w:rsid w:val="00B44F6F"/>
    <w:rsid w:val="00B4507F"/>
    <w:rsid w:val="00B45176"/>
    <w:rsid w:val="00B451C8"/>
    <w:rsid w:val="00B45439"/>
    <w:rsid w:val="00B4553E"/>
    <w:rsid w:val="00B455AE"/>
    <w:rsid w:val="00B45602"/>
    <w:rsid w:val="00B45629"/>
    <w:rsid w:val="00B45642"/>
    <w:rsid w:val="00B4565A"/>
    <w:rsid w:val="00B456F8"/>
    <w:rsid w:val="00B457B8"/>
    <w:rsid w:val="00B458D0"/>
    <w:rsid w:val="00B45969"/>
    <w:rsid w:val="00B45A11"/>
    <w:rsid w:val="00B45A3E"/>
    <w:rsid w:val="00B45AFF"/>
    <w:rsid w:val="00B45C15"/>
    <w:rsid w:val="00B45C2D"/>
    <w:rsid w:val="00B45C3B"/>
    <w:rsid w:val="00B45C68"/>
    <w:rsid w:val="00B45CFA"/>
    <w:rsid w:val="00B45D52"/>
    <w:rsid w:val="00B45D7F"/>
    <w:rsid w:val="00B45DBA"/>
    <w:rsid w:val="00B45E31"/>
    <w:rsid w:val="00B45E81"/>
    <w:rsid w:val="00B45E9B"/>
    <w:rsid w:val="00B45F51"/>
    <w:rsid w:val="00B45FE9"/>
    <w:rsid w:val="00B46005"/>
    <w:rsid w:val="00B46015"/>
    <w:rsid w:val="00B460D5"/>
    <w:rsid w:val="00B4614D"/>
    <w:rsid w:val="00B461E8"/>
    <w:rsid w:val="00B46217"/>
    <w:rsid w:val="00B46229"/>
    <w:rsid w:val="00B4628F"/>
    <w:rsid w:val="00B46325"/>
    <w:rsid w:val="00B46458"/>
    <w:rsid w:val="00B46494"/>
    <w:rsid w:val="00B4652D"/>
    <w:rsid w:val="00B465D7"/>
    <w:rsid w:val="00B4660F"/>
    <w:rsid w:val="00B467D1"/>
    <w:rsid w:val="00B468B4"/>
    <w:rsid w:val="00B468CB"/>
    <w:rsid w:val="00B4693E"/>
    <w:rsid w:val="00B469D1"/>
    <w:rsid w:val="00B469D5"/>
    <w:rsid w:val="00B46ADF"/>
    <w:rsid w:val="00B46AEA"/>
    <w:rsid w:val="00B46B39"/>
    <w:rsid w:val="00B46B72"/>
    <w:rsid w:val="00B46BB6"/>
    <w:rsid w:val="00B46C17"/>
    <w:rsid w:val="00B46C20"/>
    <w:rsid w:val="00B46C2C"/>
    <w:rsid w:val="00B46CA3"/>
    <w:rsid w:val="00B46CE4"/>
    <w:rsid w:val="00B46CE9"/>
    <w:rsid w:val="00B46DB0"/>
    <w:rsid w:val="00B46E94"/>
    <w:rsid w:val="00B46F97"/>
    <w:rsid w:val="00B470C2"/>
    <w:rsid w:val="00B4716B"/>
    <w:rsid w:val="00B4718D"/>
    <w:rsid w:val="00B472BF"/>
    <w:rsid w:val="00B472C8"/>
    <w:rsid w:val="00B472E4"/>
    <w:rsid w:val="00B47345"/>
    <w:rsid w:val="00B473B2"/>
    <w:rsid w:val="00B47459"/>
    <w:rsid w:val="00B4747E"/>
    <w:rsid w:val="00B474AA"/>
    <w:rsid w:val="00B474C9"/>
    <w:rsid w:val="00B474DB"/>
    <w:rsid w:val="00B4757A"/>
    <w:rsid w:val="00B4759B"/>
    <w:rsid w:val="00B47611"/>
    <w:rsid w:val="00B4764B"/>
    <w:rsid w:val="00B476CB"/>
    <w:rsid w:val="00B4770B"/>
    <w:rsid w:val="00B4775F"/>
    <w:rsid w:val="00B477C7"/>
    <w:rsid w:val="00B47873"/>
    <w:rsid w:val="00B47900"/>
    <w:rsid w:val="00B4795A"/>
    <w:rsid w:val="00B479DC"/>
    <w:rsid w:val="00B47A07"/>
    <w:rsid w:val="00B47B22"/>
    <w:rsid w:val="00B47B82"/>
    <w:rsid w:val="00B47C96"/>
    <w:rsid w:val="00B47D80"/>
    <w:rsid w:val="00B47EFF"/>
    <w:rsid w:val="00B47F06"/>
    <w:rsid w:val="00B50056"/>
    <w:rsid w:val="00B500BE"/>
    <w:rsid w:val="00B501B6"/>
    <w:rsid w:val="00B50249"/>
    <w:rsid w:val="00B5025B"/>
    <w:rsid w:val="00B50284"/>
    <w:rsid w:val="00B502BF"/>
    <w:rsid w:val="00B502E6"/>
    <w:rsid w:val="00B503B6"/>
    <w:rsid w:val="00B503D8"/>
    <w:rsid w:val="00B503F5"/>
    <w:rsid w:val="00B50424"/>
    <w:rsid w:val="00B5042A"/>
    <w:rsid w:val="00B504B3"/>
    <w:rsid w:val="00B50538"/>
    <w:rsid w:val="00B505D2"/>
    <w:rsid w:val="00B50649"/>
    <w:rsid w:val="00B50672"/>
    <w:rsid w:val="00B506A2"/>
    <w:rsid w:val="00B506A4"/>
    <w:rsid w:val="00B50717"/>
    <w:rsid w:val="00B5082C"/>
    <w:rsid w:val="00B5091C"/>
    <w:rsid w:val="00B5093A"/>
    <w:rsid w:val="00B50B7B"/>
    <w:rsid w:val="00B50BAE"/>
    <w:rsid w:val="00B50BBE"/>
    <w:rsid w:val="00B50C5F"/>
    <w:rsid w:val="00B50FC2"/>
    <w:rsid w:val="00B5114C"/>
    <w:rsid w:val="00B511EB"/>
    <w:rsid w:val="00B511EE"/>
    <w:rsid w:val="00B512E0"/>
    <w:rsid w:val="00B5138B"/>
    <w:rsid w:val="00B5140D"/>
    <w:rsid w:val="00B514FC"/>
    <w:rsid w:val="00B515DB"/>
    <w:rsid w:val="00B5178C"/>
    <w:rsid w:val="00B51865"/>
    <w:rsid w:val="00B518BD"/>
    <w:rsid w:val="00B518E2"/>
    <w:rsid w:val="00B51923"/>
    <w:rsid w:val="00B51927"/>
    <w:rsid w:val="00B5195C"/>
    <w:rsid w:val="00B51A7B"/>
    <w:rsid w:val="00B51ABD"/>
    <w:rsid w:val="00B51ABF"/>
    <w:rsid w:val="00B51B02"/>
    <w:rsid w:val="00B51B86"/>
    <w:rsid w:val="00B51B9A"/>
    <w:rsid w:val="00B51C8B"/>
    <w:rsid w:val="00B51CBD"/>
    <w:rsid w:val="00B51D0B"/>
    <w:rsid w:val="00B51D7C"/>
    <w:rsid w:val="00B51E28"/>
    <w:rsid w:val="00B51E5A"/>
    <w:rsid w:val="00B51E77"/>
    <w:rsid w:val="00B51F3C"/>
    <w:rsid w:val="00B51F70"/>
    <w:rsid w:val="00B51FA8"/>
    <w:rsid w:val="00B52003"/>
    <w:rsid w:val="00B520BA"/>
    <w:rsid w:val="00B520BF"/>
    <w:rsid w:val="00B520EA"/>
    <w:rsid w:val="00B52118"/>
    <w:rsid w:val="00B521FB"/>
    <w:rsid w:val="00B5222D"/>
    <w:rsid w:val="00B52291"/>
    <w:rsid w:val="00B522E6"/>
    <w:rsid w:val="00B52384"/>
    <w:rsid w:val="00B523A7"/>
    <w:rsid w:val="00B523F1"/>
    <w:rsid w:val="00B523F8"/>
    <w:rsid w:val="00B52416"/>
    <w:rsid w:val="00B52499"/>
    <w:rsid w:val="00B524D6"/>
    <w:rsid w:val="00B525AE"/>
    <w:rsid w:val="00B52646"/>
    <w:rsid w:val="00B526B2"/>
    <w:rsid w:val="00B52767"/>
    <w:rsid w:val="00B52929"/>
    <w:rsid w:val="00B529A2"/>
    <w:rsid w:val="00B529AB"/>
    <w:rsid w:val="00B52A16"/>
    <w:rsid w:val="00B52AFD"/>
    <w:rsid w:val="00B52B3F"/>
    <w:rsid w:val="00B52C8B"/>
    <w:rsid w:val="00B52D3D"/>
    <w:rsid w:val="00B52D48"/>
    <w:rsid w:val="00B52DB0"/>
    <w:rsid w:val="00B52DD2"/>
    <w:rsid w:val="00B52DFE"/>
    <w:rsid w:val="00B52EBD"/>
    <w:rsid w:val="00B52ECB"/>
    <w:rsid w:val="00B52FCF"/>
    <w:rsid w:val="00B5300F"/>
    <w:rsid w:val="00B532A0"/>
    <w:rsid w:val="00B5336A"/>
    <w:rsid w:val="00B534B5"/>
    <w:rsid w:val="00B535BD"/>
    <w:rsid w:val="00B535FC"/>
    <w:rsid w:val="00B5364A"/>
    <w:rsid w:val="00B5366F"/>
    <w:rsid w:val="00B5370C"/>
    <w:rsid w:val="00B537EC"/>
    <w:rsid w:val="00B538C8"/>
    <w:rsid w:val="00B53917"/>
    <w:rsid w:val="00B539D5"/>
    <w:rsid w:val="00B539ED"/>
    <w:rsid w:val="00B53AA3"/>
    <w:rsid w:val="00B53AC2"/>
    <w:rsid w:val="00B53B09"/>
    <w:rsid w:val="00B53B12"/>
    <w:rsid w:val="00B53B82"/>
    <w:rsid w:val="00B53C61"/>
    <w:rsid w:val="00B53C82"/>
    <w:rsid w:val="00B53CED"/>
    <w:rsid w:val="00B53DC0"/>
    <w:rsid w:val="00B53DF2"/>
    <w:rsid w:val="00B53E4B"/>
    <w:rsid w:val="00B53F40"/>
    <w:rsid w:val="00B53FAD"/>
    <w:rsid w:val="00B54097"/>
    <w:rsid w:val="00B54175"/>
    <w:rsid w:val="00B541E5"/>
    <w:rsid w:val="00B54219"/>
    <w:rsid w:val="00B5424A"/>
    <w:rsid w:val="00B5435A"/>
    <w:rsid w:val="00B5440D"/>
    <w:rsid w:val="00B544FD"/>
    <w:rsid w:val="00B545A6"/>
    <w:rsid w:val="00B545AF"/>
    <w:rsid w:val="00B545C1"/>
    <w:rsid w:val="00B54640"/>
    <w:rsid w:val="00B546FA"/>
    <w:rsid w:val="00B54836"/>
    <w:rsid w:val="00B5493C"/>
    <w:rsid w:val="00B5493D"/>
    <w:rsid w:val="00B549A0"/>
    <w:rsid w:val="00B549DE"/>
    <w:rsid w:val="00B549F1"/>
    <w:rsid w:val="00B54BA3"/>
    <w:rsid w:val="00B54BB9"/>
    <w:rsid w:val="00B54DB9"/>
    <w:rsid w:val="00B54DD4"/>
    <w:rsid w:val="00B54E0D"/>
    <w:rsid w:val="00B54F65"/>
    <w:rsid w:val="00B5503A"/>
    <w:rsid w:val="00B55055"/>
    <w:rsid w:val="00B550A3"/>
    <w:rsid w:val="00B550D4"/>
    <w:rsid w:val="00B550ED"/>
    <w:rsid w:val="00B55157"/>
    <w:rsid w:val="00B551EA"/>
    <w:rsid w:val="00B5521C"/>
    <w:rsid w:val="00B5522F"/>
    <w:rsid w:val="00B552A8"/>
    <w:rsid w:val="00B55475"/>
    <w:rsid w:val="00B554AD"/>
    <w:rsid w:val="00B5552A"/>
    <w:rsid w:val="00B55596"/>
    <w:rsid w:val="00B5559E"/>
    <w:rsid w:val="00B55649"/>
    <w:rsid w:val="00B55679"/>
    <w:rsid w:val="00B557A6"/>
    <w:rsid w:val="00B55877"/>
    <w:rsid w:val="00B5587C"/>
    <w:rsid w:val="00B5589A"/>
    <w:rsid w:val="00B558C7"/>
    <w:rsid w:val="00B5591A"/>
    <w:rsid w:val="00B5592E"/>
    <w:rsid w:val="00B5597D"/>
    <w:rsid w:val="00B559F7"/>
    <w:rsid w:val="00B55A7F"/>
    <w:rsid w:val="00B55A82"/>
    <w:rsid w:val="00B55ADE"/>
    <w:rsid w:val="00B55AF0"/>
    <w:rsid w:val="00B55B62"/>
    <w:rsid w:val="00B55BDB"/>
    <w:rsid w:val="00B55BF4"/>
    <w:rsid w:val="00B55DE2"/>
    <w:rsid w:val="00B55E06"/>
    <w:rsid w:val="00B55E1D"/>
    <w:rsid w:val="00B55F7D"/>
    <w:rsid w:val="00B55F97"/>
    <w:rsid w:val="00B5606F"/>
    <w:rsid w:val="00B560ED"/>
    <w:rsid w:val="00B56150"/>
    <w:rsid w:val="00B5619B"/>
    <w:rsid w:val="00B561F6"/>
    <w:rsid w:val="00B562C6"/>
    <w:rsid w:val="00B562E1"/>
    <w:rsid w:val="00B5636B"/>
    <w:rsid w:val="00B563F9"/>
    <w:rsid w:val="00B56456"/>
    <w:rsid w:val="00B56496"/>
    <w:rsid w:val="00B564E2"/>
    <w:rsid w:val="00B564EF"/>
    <w:rsid w:val="00B5650C"/>
    <w:rsid w:val="00B56547"/>
    <w:rsid w:val="00B5663A"/>
    <w:rsid w:val="00B5682E"/>
    <w:rsid w:val="00B56955"/>
    <w:rsid w:val="00B56AC4"/>
    <w:rsid w:val="00B56B4C"/>
    <w:rsid w:val="00B56CBD"/>
    <w:rsid w:val="00B56D20"/>
    <w:rsid w:val="00B56DA9"/>
    <w:rsid w:val="00B56E98"/>
    <w:rsid w:val="00B56EE6"/>
    <w:rsid w:val="00B57090"/>
    <w:rsid w:val="00B5709F"/>
    <w:rsid w:val="00B57123"/>
    <w:rsid w:val="00B57124"/>
    <w:rsid w:val="00B57221"/>
    <w:rsid w:val="00B5725E"/>
    <w:rsid w:val="00B5727E"/>
    <w:rsid w:val="00B5728D"/>
    <w:rsid w:val="00B57296"/>
    <w:rsid w:val="00B575ED"/>
    <w:rsid w:val="00B57637"/>
    <w:rsid w:val="00B576A2"/>
    <w:rsid w:val="00B57752"/>
    <w:rsid w:val="00B5780B"/>
    <w:rsid w:val="00B5789E"/>
    <w:rsid w:val="00B579B3"/>
    <w:rsid w:val="00B57A43"/>
    <w:rsid w:val="00B57A59"/>
    <w:rsid w:val="00B57AA2"/>
    <w:rsid w:val="00B57AC9"/>
    <w:rsid w:val="00B57B0C"/>
    <w:rsid w:val="00B57C2F"/>
    <w:rsid w:val="00B57CDA"/>
    <w:rsid w:val="00B57CF5"/>
    <w:rsid w:val="00B57E2D"/>
    <w:rsid w:val="00B57E90"/>
    <w:rsid w:val="00B57EF2"/>
    <w:rsid w:val="00B57F1F"/>
    <w:rsid w:val="00B57FD8"/>
    <w:rsid w:val="00B57FEE"/>
    <w:rsid w:val="00B600DF"/>
    <w:rsid w:val="00B600F2"/>
    <w:rsid w:val="00B6015D"/>
    <w:rsid w:val="00B60185"/>
    <w:rsid w:val="00B60300"/>
    <w:rsid w:val="00B6032D"/>
    <w:rsid w:val="00B603A9"/>
    <w:rsid w:val="00B603BF"/>
    <w:rsid w:val="00B603CB"/>
    <w:rsid w:val="00B603F0"/>
    <w:rsid w:val="00B60485"/>
    <w:rsid w:val="00B6059D"/>
    <w:rsid w:val="00B60657"/>
    <w:rsid w:val="00B60747"/>
    <w:rsid w:val="00B607DD"/>
    <w:rsid w:val="00B608F5"/>
    <w:rsid w:val="00B6090F"/>
    <w:rsid w:val="00B609D4"/>
    <w:rsid w:val="00B60A57"/>
    <w:rsid w:val="00B60B4A"/>
    <w:rsid w:val="00B60CAA"/>
    <w:rsid w:val="00B60CCB"/>
    <w:rsid w:val="00B60CE7"/>
    <w:rsid w:val="00B60D45"/>
    <w:rsid w:val="00B60DAA"/>
    <w:rsid w:val="00B60DE6"/>
    <w:rsid w:val="00B60E66"/>
    <w:rsid w:val="00B610C8"/>
    <w:rsid w:val="00B61103"/>
    <w:rsid w:val="00B6110B"/>
    <w:rsid w:val="00B611C6"/>
    <w:rsid w:val="00B611CC"/>
    <w:rsid w:val="00B611D1"/>
    <w:rsid w:val="00B611DA"/>
    <w:rsid w:val="00B6133F"/>
    <w:rsid w:val="00B6138F"/>
    <w:rsid w:val="00B613CC"/>
    <w:rsid w:val="00B61415"/>
    <w:rsid w:val="00B6142A"/>
    <w:rsid w:val="00B61445"/>
    <w:rsid w:val="00B61498"/>
    <w:rsid w:val="00B614CD"/>
    <w:rsid w:val="00B61568"/>
    <w:rsid w:val="00B61727"/>
    <w:rsid w:val="00B6174F"/>
    <w:rsid w:val="00B6176A"/>
    <w:rsid w:val="00B61783"/>
    <w:rsid w:val="00B6179A"/>
    <w:rsid w:val="00B61876"/>
    <w:rsid w:val="00B618B2"/>
    <w:rsid w:val="00B618DC"/>
    <w:rsid w:val="00B6198C"/>
    <w:rsid w:val="00B61AC7"/>
    <w:rsid w:val="00B61C1B"/>
    <w:rsid w:val="00B61C94"/>
    <w:rsid w:val="00B61C9A"/>
    <w:rsid w:val="00B61CAC"/>
    <w:rsid w:val="00B61CE6"/>
    <w:rsid w:val="00B61D3A"/>
    <w:rsid w:val="00B61ED2"/>
    <w:rsid w:val="00B61F47"/>
    <w:rsid w:val="00B61F80"/>
    <w:rsid w:val="00B61FD6"/>
    <w:rsid w:val="00B62123"/>
    <w:rsid w:val="00B6215D"/>
    <w:rsid w:val="00B62220"/>
    <w:rsid w:val="00B62274"/>
    <w:rsid w:val="00B622F8"/>
    <w:rsid w:val="00B62318"/>
    <w:rsid w:val="00B62347"/>
    <w:rsid w:val="00B623BD"/>
    <w:rsid w:val="00B623CD"/>
    <w:rsid w:val="00B623CF"/>
    <w:rsid w:val="00B62414"/>
    <w:rsid w:val="00B62421"/>
    <w:rsid w:val="00B6242E"/>
    <w:rsid w:val="00B6253D"/>
    <w:rsid w:val="00B62661"/>
    <w:rsid w:val="00B6266A"/>
    <w:rsid w:val="00B626C2"/>
    <w:rsid w:val="00B62724"/>
    <w:rsid w:val="00B627E8"/>
    <w:rsid w:val="00B62815"/>
    <w:rsid w:val="00B62856"/>
    <w:rsid w:val="00B62A8E"/>
    <w:rsid w:val="00B62AB6"/>
    <w:rsid w:val="00B62ABF"/>
    <w:rsid w:val="00B62BE2"/>
    <w:rsid w:val="00B62C2E"/>
    <w:rsid w:val="00B62CDC"/>
    <w:rsid w:val="00B62D8D"/>
    <w:rsid w:val="00B62E3E"/>
    <w:rsid w:val="00B62E7E"/>
    <w:rsid w:val="00B62FBC"/>
    <w:rsid w:val="00B6310A"/>
    <w:rsid w:val="00B631FB"/>
    <w:rsid w:val="00B63354"/>
    <w:rsid w:val="00B6359A"/>
    <w:rsid w:val="00B635A1"/>
    <w:rsid w:val="00B63674"/>
    <w:rsid w:val="00B6367C"/>
    <w:rsid w:val="00B63745"/>
    <w:rsid w:val="00B637A9"/>
    <w:rsid w:val="00B6394C"/>
    <w:rsid w:val="00B6395D"/>
    <w:rsid w:val="00B63985"/>
    <w:rsid w:val="00B639CD"/>
    <w:rsid w:val="00B63A2F"/>
    <w:rsid w:val="00B63B14"/>
    <w:rsid w:val="00B63C08"/>
    <w:rsid w:val="00B63CCB"/>
    <w:rsid w:val="00B63CED"/>
    <w:rsid w:val="00B63D21"/>
    <w:rsid w:val="00B63DC2"/>
    <w:rsid w:val="00B63EBA"/>
    <w:rsid w:val="00B63F15"/>
    <w:rsid w:val="00B63F21"/>
    <w:rsid w:val="00B63F3F"/>
    <w:rsid w:val="00B6404C"/>
    <w:rsid w:val="00B640E6"/>
    <w:rsid w:val="00B64195"/>
    <w:rsid w:val="00B642EA"/>
    <w:rsid w:val="00B642F4"/>
    <w:rsid w:val="00B6441E"/>
    <w:rsid w:val="00B64452"/>
    <w:rsid w:val="00B644C3"/>
    <w:rsid w:val="00B64542"/>
    <w:rsid w:val="00B645CE"/>
    <w:rsid w:val="00B64631"/>
    <w:rsid w:val="00B64784"/>
    <w:rsid w:val="00B64785"/>
    <w:rsid w:val="00B64897"/>
    <w:rsid w:val="00B649FE"/>
    <w:rsid w:val="00B64A7A"/>
    <w:rsid w:val="00B64AB9"/>
    <w:rsid w:val="00B64B6E"/>
    <w:rsid w:val="00B64BEF"/>
    <w:rsid w:val="00B64C0D"/>
    <w:rsid w:val="00B64C19"/>
    <w:rsid w:val="00B64C40"/>
    <w:rsid w:val="00B64C96"/>
    <w:rsid w:val="00B64D90"/>
    <w:rsid w:val="00B64E67"/>
    <w:rsid w:val="00B65004"/>
    <w:rsid w:val="00B6502C"/>
    <w:rsid w:val="00B6508D"/>
    <w:rsid w:val="00B6513A"/>
    <w:rsid w:val="00B65241"/>
    <w:rsid w:val="00B65283"/>
    <w:rsid w:val="00B65461"/>
    <w:rsid w:val="00B65576"/>
    <w:rsid w:val="00B655D0"/>
    <w:rsid w:val="00B655ED"/>
    <w:rsid w:val="00B657BC"/>
    <w:rsid w:val="00B657F7"/>
    <w:rsid w:val="00B65887"/>
    <w:rsid w:val="00B658F7"/>
    <w:rsid w:val="00B659C7"/>
    <w:rsid w:val="00B65B33"/>
    <w:rsid w:val="00B65B9B"/>
    <w:rsid w:val="00B65BB7"/>
    <w:rsid w:val="00B65C47"/>
    <w:rsid w:val="00B65D4E"/>
    <w:rsid w:val="00B65D75"/>
    <w:rsid w:val="00B65D93"/>
    <w:rsid w:val="00B65DDE"/>
    <w:rsid w:val="00B65F15"/>
    <w:rsid w:val="00B65FD3"/>
    <w:rsid w:val="00B65FD8"/>
    <w:rsid w:val="00B660A8"/>
    <w:rsid w:val="00B660B1"/>
    <w:rsid w:val="00B660B7"/>
    <w:rsid w:val="00B660B8"/>
    <w:rsid w:val="00B660E0"/>
    <w:rsid w:val="00B6615A"/>
    <w:rsid w:val="00B6618F"/>
    <w:rsid w:val="00B66199"/>
    <w:rsid w:val="00B66212"/>
    <w:rsid w:val="00B66228"/>
    <w:rsid w:val="00B6629A"/>
    <w:rsid w:val="00B6639C"/>
    <w:rsid w:val="00B66427"/>
    <w:rsid w:val="00B66499"/>
    <w:rsid w:val="00B664D9"/>
    <w:rsid w:val="00B6659A"/>
    <w:rsid w:val="00B665C4"/>
    <w:rsid w:val="00B66665"/>
    <w:rsid w:val="00B66674"/>
    <w:rsid w:val="00B666C8"/>
    <w:rsid w:val="00B666D2"/>
    <w:rsid w:val="00B666EB"/>
    <w:rsid w:val="00B66746"/>
    <w:rsid w:val="00B66884"/>
    <w:rsid w:val="00B668D0"/>
    <w:rsid w:val="00B669CA"/>
    <w:rsid w:val="00B669F3"/>
    <w:rsid w:val="00B66A3D"/>
    <w:rsid w:val="00B66A4F"/>
    <w:rsid w:val="00B66A7E"/>
    <w:rsid w:val="00B66AF4"/>
    <w:rsid w:val="00B66B9F"/>
    <w:rsid w:val="00B66BD5"/>
    <w:rsid w:val="00B66EF3"/>
    <w:rsid w:val="00B67076"/>
    <w:rsid w:val="00B672A7"/>
    <w:rsid w:val="00B672B5"/>
    <w:rsid w:val="00B672CC"/>
    <w:rsid w:val="00B67352"/>
    <w:rsid w:val="00B67387"/>
    <w:rsid w:val="00B673A2"/>
    <w:rsid w:val="00B674FA"/>
    <w:rsid w:val="00B67612"/>
    <w:rsid w:val="00B67667"/>
    <w:rsid w:val="00B6767A"/>
    <w:rsid w:val="00B676CA"/>
    <w:rsid w:val="00B6777A"/>
    <w:rsid w:val="00B677FB"/>
    <w:rsid w:val="00B6783C"/>
    <w:rsid w:val="00B67856"/>
    <w:rsid w:val="00B6793F"/>
    <w:rsid w:val="00B67B42"/>
    <w:rsid w:val="00B67C74"/>
    <w:rsid w:val="00B67CF6"/>
    <w:rsid w:val="00B67DF8"/>
    <w:rsid w:val="00B67E1C"/>
    <w:rsid w:val="00B67E2B"/>
    <w:rsid w:val="00B67F19"/>
    <w:rsid w:val="00B67F88"/>
    <w:rsid w:val="00B70024"/>
    <w:rsid w:val="00B7003B"/>
    <w:rsid w:val="00B7006C"/>
    <w:rsid w:val="00B70178"/>
    <w:rsid w:val="00B70207"/>
    <w:rsid w:val="00B70253"/>
    <w:rsid w:val="00B702A6"/>
    <w:rsid w:val="00B7033D"/>
    <w:rsid w:val="00B70497"/>
    <w:rsid w:val="00B70540"/>
    <w:rsid w:val="00B705BD"/>
    <w:rsid w:val="00B7085C"/>
    <w:rsid w:val="00B70892"/>
    <w:rsid w:val="00B708B6"/>
    <w:rsid w:val="00B708FD"/>
    <w:rsid w:val="00B70987"/>
    <w:rsid w:val="00B70A37"/>
    <w:rsid w:val="00B70CE5"/>
    <w:rsid w:val="00B70DCE"/>
    <w:rsid w:val="00B70E80"/>
    <w:rsid w:val="00B70E9B"/>
    <w:rsid w:val="00B71086"/>
    <w:rsid w:val="00B71378"/>
    <w:rsid w:val="00B713A4"/>
    <w:rsid w:val="00B7154C"/>
    <w:rsid w:val="00B7156A"/>
    <w:rsid w:val="00B715E6"/>
    <w:rsid w:val="00B71623"/>
    <w:rsid w:val="00B7179A"/>
    <w:rsid w:val="00B7184E"/>
    <w:rsid w:val="00B7188E"/>
    <w:rsid w:val="00B718C1"/>
    <w:rsid w:val="00B718E0"/>
    <w:rsid w:val="00B71A2E"/>
    <w:rsid w:val="00B71A72"/>
    <w:rsid w:val="00B71A9D"/>
    <w:rsid w:val="00B71B08"/>
    <w:rsid w:val="00B71B10"/>
    <w:rsid w:val="00B71B1F"/>
    <w:rsid w:val="00B71BCD"/>
    <w:rsid w:val="00B71CF5"/>
    <w:rsid w:val="00B71D00"/>
    <w:rsid w:val="00B71D08"/>
    <w:rsid w:val="00B71D3F"/>
    <w:rsid w:val="00B71DC7"/>
    <w:rsid w:val="00B71E27"/>
    <w:rsid w:val="00B71ECC"/>
    <w:rsid w:val="00B71ED9"/>
    <w:rsid w:val="00B7203B"/>
    <w:rsid w:val="00B72138"/>
    <w:rsid w:val="00B72143"/>
    <w:rsid w:val="00B72165"/>
    <w:rsid w:val="00B721B4"/>
    <w:rsid w:val="00B722F4"/>
    <w:rsid w:val="00B72327"/>
    <w:rsid w:val="00B7232D"/>
    <w:rsid w:val="00B7236E"/>
    <w:rsid w:val="00B72446"/>
    <w:rsid w:val="00B724AD"/>
    <w:rsid w:val="00B724F0"/>
    <w:rsid w:val="00B725C1"/>
    <w:rsid w:val="00B7264B"/>
    <w:rsid w:val="00B7275D"/>
    <w:rsid w:val="00B72766"/>
    <w:rsid w:val="00B72795"/>
    <w:rsid w:val="00B727A8"/>
    <w:rsid w:val="00B728D1"/>
    <w:rsid w:val="00B728E8"/>
    <w:rsid w:val="00B72A01"/>
    <w:rsid w:val="00B72B79"/>
    <w:rsid w:val="00B72CD9"/>
    <w:rsid w:val="00B72D6C"/>
    <w:rsid w:val="00B72D96"/>
    <w:rsid w:val="00B72DF8"/>
    <w:rsid w:val="00B72F1A"/>
    <w:rsid w:val="00B72F24"/>
    <w:rsid w:val="00B72FBF"/>
    <w:rsid w:val="00B73046"/>
    <w:rsid w:val="00B73136"/>
    <w:rsid w:val="00B73212"/>
    <w:rsid w:val="00B732A8"/>
    <w:rsid w:val="00B734CA"/>
    <w:rsid w:val="00B7363F"/>
    <w:rsid w:val="00B736F0"/>
    <w:rsid w:val="00B7375C"/>
    <w:rsid w:val="00B73795"/>
    <w:rsid w:val="00B7379A"/>
    <w:rsid w:val="00B737CB"/>
    <w:rsid w:val="00B738D9"/>
    <w:rsid w:val="00B73903"/>
    <w:rsid w:val="00B73968"/>
    <w:rsid w:val="00B73A73"/>
    <w:rsid w:val="00B73BB0"/>
    <w:rsid w:val="00B73CCD"/>
    <w:rsid w:val="00B73CD3"/>
    <w:rsid w:val="00B73D32"/>
    <w:rsid w:val="00B73DE0"/>
    <w:rsid w:val="00B73E2A"/>
    <w:rsid w:val="00B73E33"/>
    <w:rsid w:val="00B73E50"/>
    <w:rsid w:val="00B73E68"/>
    <w:rsid w:val="00B7402B"/>
    <w:rsid w:val="00B74111"/>
    <w:rsid w:val="00B74129"/>
    <w:rsid w:val="00B74135"/>
    <w:rsid w:val="00B7414A"/>
    <w:rsid w:val="00B74153"/>
    <w:rsid w:val="00B7415B"/>
    <w:rsid w:val="00B7415F"/>
    <w:rsid w:val="00B741A9"/>
    <w:rsid w:val="00B741B5"/>
    <w:rsid w:val="00B742BE"/>
    <w:rsid w:val="00B74340"/>
    <w:rsid w:val="00B74465"/>
    <w:rsid w:val="00B744EA"/>
    <w:rsid w:val="00B7452A"/>
    <w:rsid w:val="00B7455B"/>
    <w:rsid w:val="00B74568"/>
    <w:rsid w:val="00B74604"/>
    <w:rsid w:val="00B74658"/>
    <w:rsid w:val="00B746C4"/>
    <w:rsid w:val="00B74712"/>
    <w:rsid w:val="00B7471D"/>
    <w:rsid w:val="00B74769"/>
    <w:rsid w:val="00B7480C"/>
    <w:rsid w:val="00B7483B"/>
    <w:rsid w:val="00B74866"/>
    <w:rsid w:val="00B748BB"/>
    <w:rsid w:val="00B749C0"/>
    <w:rsid w:val="00B74AD0"/>
    <w:rsid w:val="00B74B11"/>
    <w:rsid w:val="00B74BBD"/>
    <w:rsid w:val="00B74BE5"/>
    <w:rsid w:val="00B74C5B"/>
    <w:rsid w:val="00B74C7D"/>
    <w:rsid w:val="00B74D59"/>
    <w:rsid w:val="00B74F6A"/>
    <w:rsid w:val="00B74F73"/>
    <w:rsid w:val="00B75026"/>
    <w:rsid w:val="00B751A6"/>
    <w:rsid w:val="00B7548D"/>
    <w:rsid w:val="00B75602"/>
    <w:rsid w:val="00B75669"/>
    <w:rsid w:val="00B756D8"/>
    <w:rsid w:val="00B75833"/>
    <w:rsid w:val="00B75859"/>
    <w:rsid w:val="00B758A6"/>
    <w:rsid w:val="00B758C6"/>
    <w:rsid w:val="00B7590A"/>
    <w:rsid w:val="00B75CE7"/>
    <w:rsid w:val="00B75D1C"/>
    <w:rsid w:val="00B75D6D"/>
    <w:rsid w:val="00B75E3A"/>
    <w:rsid w:val="00B75E54"/>
    <w:rsid w:val="00B75EB6"/>
    <w:rsid w:val="00B75EBB"/>
    <w:rsid w:val="00B75EFC"/>
    <w:rsid w:val="00B75F50"/>
    <w:rsid w:val="00B75FD3"/>
    <w:rsid w:val="00B76070"/>
    <w:rsid w:val="00B76138"/>
    <w:rsid w:val="00B76244"/>
    <w:rsid w:val="00B76277"/>
    <w:rsid w:val="00B76299"/>
    <w:rsid w:val="00B7636D"/>
    <w:rsid w:val="00B76387"/>
    <w:rsid w:val="00B76469"/>
    <w:rsid w:val="00B76586"/>
    <w:rsid w:val="00B76599"/>
    <w:rsid w:val="00B76643"/>
    <w:rsid w:val="00B76685"/>
    <w:rsid w:val="00B76733"/>
    <w:rsid w:val="00B76828"/>
    <w:rsid w:val="00B76A2C"/>
    <w:rsid w:val="00B76A91"/>
    <w:rsid w:val="00B76B4B"/>
    <w:rsid w:val="00B76C4F"/>
    <w:rsid w:val="00B76DA0"/>
    <w:rsid w:val="00B76E67"/>
    <w:rsid w:val="00B77014"/>
    <w:rsid w:val="00B77110"/>
    <w:rsid w:val="00B7716F"/>
    <w:rsid w:val="00B77171"/>
    <w:rsid w:val="00B77185"/>
    <w:rsid w:val="00B77189"/>
    <w:rsid w:val="00B771CD"/>
    <w:rsid w:val="00B7721D"/>
    <w:rsid w:val="00B7732B"/>
    <w:rsid w:val="00B77343"/>
    <w:rsid w:val="00B7746D"/>
    <w:rsid w:val="00B774C7"/>
    <w:rsid w:val="00B77778"/>
    <w:rsid w:val="00B777CE"/>
    <w:rsid w:val="00B7785F"/>
    <w:rsid w:val="00B7791A"/>
    <w:rsid w:val="00B77A51"/>
    <w:rsid w:val="00B77B01"/>
    <w:rsid w:val="00B77B24"/>
    <w:rsid w:val="00B77B6A"/>
    <w:rsid w:val="00B77C0C"/>
    <w:rsid w:val="00B77C16"/>
    <w:rsid w:val="00B77C40"/>
    <w:rsid w:val="00B77C7F"/>
    <w:rsid w:val="00B77CE2"/>
    <w:rsid w:val="00B77D0C"/>
    <w:rsid w:val="00B77DED"/>
    <w:rsid w:val="00B77EE2"/>
    <w:rsid w:val="00B77F17"/>
    <w:rsid w:val="00B80008"/>
    <w:rsid w:val="00B8001A"/>
    <w:rsid w:val="00B80061"/>
    <w:rsid w:val="00B80081"/>
    <w:rsid w:val="00B80090"/>
    <w:rsid w:val="00B801BE"/>
    <w:rsid w:val="00B8026E"/>
    <w:rsid w:val="00B80304"/>
    <w:rsid w:val="00B80391"/>
    <w:rsid w:val="00B8045C"/>
    <w:rsid w:val="00B8072F"/>
    <w:rsid w:val="00B807F9"/>
    <w:rsid w:val="00B80800"/>
    <w:rsid w:val="00B80ACB"/>
    <w:rsid w:val="00B80BFE"/>
    <w:rsid w:val="00B80BFF"/>
    <w:rsid w:val="00B80CB8"/>
    <w:rsid w:val="00B80D32"/>
    <w:rsid w:val="00B80DAE"/>
    <w:rsid w:val="00B80E01"/>
    <w:rsid w:val="00B80E08"/>
    <w:rsid w:val="00B80F97"/>
    <w:rsid w:val="00B8103E"/>
    <w:rsid w:val="00B8105F"/>
    <w:rsid w:val="00B81146"/>
    <w:rsid w:val="00B81170"/>
    <w:rsid w:val="00B81232"/>
    <w:rsid w:val="00B81252"/>
    <w:rsid w:val="00B8125E"/>
    <w:rsid w:val="00B812BE"/>
    <w:rsid w:val="00B81564"/>
    <w:rsid w:val="00B8177F"/>
    <w:rsid w:val="00B81780"/>
    <w:rsid w:val="00B8179E"/>
    <w:rsid w:val="00B817D4"/>
    <w:rsid w:val="00B81975"/>
    <w:rsid w:val="00B81AB1"/>
    <w:rsid w:val="00B81AED"/>
    <w:rsid w:val="00B81C18"/>
    <w:rsid w:val="00B81CCC"/>
    <w:rsid w:val="00B81CE8"/>
    <w:rsid w:val="00B81CF4"/>
    <w:rsid w:val="00B81D29"/>
    <w:rsid w:val="00B81F00"/>
    <w:rsid w:val="00B82018"/>
    <w:rsid w:val="00B82097"/>
    <w:rsid w:val="00B820C8"/>
    <w:rsid w:val="00B82107"/>
    <w:rsid w:val="00B82114"/>
    <w:rsid w:val="00B82196"/>
    <w:rsid w:val="00B82236"/>
    <w:rsid w:val="00B823A1"/>
    <w:rsid w:val="00B824AE"/>
    <w:rsid w:val="00B82507"/>
    <w:rsid w:val="00B8252C"/>
    <w:rsid w:val="00B82546"/>
    <w:rsid w:val="00B82613"/>
    <w:rsid w:val="00B8266A"/>
    <w:rsid w:val="00B826AB"/>
    <w:rsid w:val="00B826C7"/>
    <w:rsid w:val="00B8277A"/>
    <w:rsid w:val="00B8278E"/>
    <w:rsid w:val="00B828B9"/>
    <w:rsid w:val="00B82A2E"/>
    <w:rsid w:val="00B82C14"/>
    <w:rsid w:val="00B82C2E"/>
    <w:rsid w:val="00B82D87"/>
    <w:rsid w:val="00B82DCC"/>
    <w:rsid w:val="00B82E10"/>
    <w:rsid w:val="00B82EF7"/>
    <w:rsid w:val="00B82F3B"/>
    <w:rsid w:val="00B82F3C"/>
    <w:rsid w:val="00B82F48"/>
    <w:rsid w:val="00B82F5E"/>
    <w:rsid w:val="00B8301C"/>
    <w:rsid w:val="00B83020"/>
    <w:rsid w:val="00B8304A"/>
    <w:rsid w:val="00B8308B"/>
    <w:rsid w:val="00B830BD"/>
    <w:rsid w:val="00B83173"/>
    <w:rsid w:val="00B83177"/>
    <w:rsid w:val="00B83179"/>
    <w:rsid w:val="00B8317A"/>
    <w:rsid w:val="00B831DC"/>
    <w:rsid w:val="00B8328D"/>
    <w:rsid w:val="00B8329F"/>
    <w:rsid w:val="00B832AE"/>
    <w:rsid w:val="00B832EB"/>
    <w:rsid w:val="00B83357"/>
    <w:rsid w:val="00B833AA"/>
    <w:rsid w:val="00B83422"/>
    <w:rsid w:val="00B83432"/>
    <w:rsid w:val="00B83456"/>
    <w:rsid w:val="00B834A2"/>
    <w:rsid w:val="00B834FF"/>
    <w:rsid w:val="00B8357E"/>
    <w:rsid w:val="00B83620"/>
    <w:rsid w:val="00B83724"/>
    <w:rsid w:val="00B83784"/>
    <w:rsid w:val="00B837DA"/>
    <w:rsid w:val="00B838D6"/>
    <w:rsid w:val="00B838DE"/>
    <w:rsid w:val="00B83969"/>
    <w:rsid w:val="00B839DA"/>
    <w:rsid w:val="00B83AAB"/>
    <w:rsid w:val="00B83AB5"/>
    <w:rsid w:val="00B83B5C"/>
    <w:rsid w:val="00B83BC5"/>
    <w:rsid w:val="00B83BCD"/>
    <w:rsid w:val="00B83C75"/>
    <w:rsid w:val="00B83E6E"/>
    <w:rsid w:val="00B83F1C"/>
    <w:rsid w:val="00B83F39"/>
    <w:rsid w:val="00B841AF"/>
    <w:rsid w:val="00B84210"/>
    <w:rsid w:val="00B84273"/>
    <w:rsid w:val="00B843FA"/>
    <w:rsid w:val="00B84415"/>
    <w:rsid w:val="00B84438"/>
    <w:rsid w:val="00B844A3"/>
    <w:rsid w:val="00B8451B"/>
    <w:rsid w:val="00B8457E"/>
    <w:rsid w:val="00B845A0"/>
    <w:rsid w:val="00B8469D"/>
    <w:rsid w:val="00B8494E"/>
    <w:rsid w:val="00B84A01"/>
    <w:rsid w:val="00B84A44"/>
    <w:rsid w:val="00B84A54"/>
    <w:rsid w:val="00B84BC1"/>
    <w:rsid w:val="00B84C08"/>
    <w:rsid w:val="00B84CB0"/>
    <w:rsid w:val="00B84CB1"/>
    <w:rsid w:val="00B84DCF"/>
    <w:rsid w:val="00B84EFF"/>
    <w:rsid w:val="00B84FA0"/>
    <w:rsid w:val="00B850BC"/>
    <w:rsid w:val="00B850D6"/>
    <w:rsid w:val="00B8512C"/>
    <w:rsid w:val="00B851D5"/>
    <w:rsid w:val="00B8525F"/>
    <w:rsid w:val="00B85264"/>
    <w:rsid w:val="00B852C7"/>
    <w:rsid w:val="00B852ED"/>
    <w:rsid w:val="00B853AB"/>
    <w:rsid w:val="00B853AC"/>
    <w:rsid w:val="00B8540E"/>
    <w:rsid w:val="00B854D9"/>
    <w:rsid w:val="00B8550B"/>
    <w:rsid w:val="00B85561"/>
    <w:rsid w:val="00B856C0"/>
    <w:rsid w:val="00B8571F"/>
    <w:rsid w:val="00B857E7"/>
    <w:rsid w:val="00B8580C"/>
    <w:rsid w:val="00B858EF"/>
    <w:rsid w:val="00B85AB5"/>
    <w:rsid w:val="00B85B48"/>
    <w:rsid w:val="00B85B96"/>
    <w:rsid w:val="00B85CA4"/>
    <w:rsid w:val="00B85CD9"/>
    <w:rsid w:val="00B85D22"/>
    <w:rsid w:val="00B85DC1"/>
    <w:rsid w:val="00B85E27"/>
    <w:rsid w:val="00B85E63"/>
    <w:rsid w:val="00B85F7D"/>
    <w:rsid w:val="00B85FE0"/>
    <w:rsid w:val="00B86026"/>
    <w:rsid w:val="00B860CA"/>
    <w:rsid w:val="00B86172"/>
    <w:rsid w:val="00B86178"/>
    <w:rsid w:val="00B861AC"/>
    <w:rsid w:val="00B86341"/>
    <w:rsid w:val="00B8642C"/>
    <w:rsid w:val="00B864D9"/>
    <w:rsid w:val="00B86655"/>
    <w:rsid w:val="00B86693"/>
    <w:rsid w:val="00B866B0"/>
    <w:rsid w:val="00B867BD"/>
    <w:rsid w:val="00B8686C"/>
    <w:rsid w:val="00B868D7"/>
    <w:rsid w:val="00B86973"/>
    <w:rsid w:val="00B869CC"/>
    <w:rsid w:val="00B86AC0"/>
    <w:rsid w:val="00B86B00"/>
    <w:rsid w:val="00B86B3C"/>
    <w:rsid w:val="00B86C33"/>
    <w:rsid w:val="00B86D69"/>
    <w:rsid w:val="00B86D6D"/>
    <w:rsid w:val="00B86D85"/>
    <w:rsid w:val="00B86DB2"/>
    <w:rsid w:val="00B86FB8"/>
    <w:rsid w:val="00B870E7"/>
    <w:rsid w:val="00B871D7"/>
    <w:rsid w:val="00B87320"/>
    <w:rsid w:val="00B876C3"/>
    <w:rsid w:val="00B8771E"/>
    <w:rsid w:val="00B87725"/>
    <w:rsid w:val="00B8795F"/>
    <w:rsid w:val="00B87B21"/>
    <w:rsid w:val="00B87BA4"/>
    <w:rsid w:val="00B87BEA"/>
    <w:rsid w:val="00B87C77"/>
    <w:rsid w:val="00B87C85"/>
    <w:rsid w:val="00B87D27"/>
    <w:rsid w:val="00B87DC0"/>
    <w:rsid w:val="00B87E0D"/>
    <w:rsid w:val="00B87E10"/>
    <w:rsid w:val="00B87ED6"/>
    <w:rsid w:val="00B87EFE"/>
    <w:rsid w:val="00B87F2F"/>
    <w:rsid w:val="00B900CC"/>
    <w:rsid w:val="00B90117"/>
    <w:rsid w:val="00B901D4"/>
    <w:rsid w:val="00B9021C"/>
    <w:rsid w:val="00B902ED"/>
    <w:rsid w:val="00B90381"/>
    <w:rsid w:val="00B903DA"/>
    <w:rsid w:val="00B90559"/>
    <w:rsid w:val="00B90605"/>
    <w:rsid w:val="00B90820"/>
    <w:rsid w:val="00B90868"/>
    <w:rsid w:val="00B90984"/>
    <w:rsid w:val="00B90AD8"/>
    <w:rsid w:val="00B90B59"/>
    <w:rsid w:val="00B90D4A"/>
    <w:rsid w:val="00B90D52"/>
    <w:rsid w:val="00B90D77"/>
    <w:rsid w:val="00B90DD3"/>
    <w:rsid w:val="00B90DD5"/>
    <w:rsid w:val="00B90DF6"/>
    <w:rsid w:val="00B90E19"/>
    <w:rsid w:val="00B90E60"/>
    <w:rsid w:val="00B9138A"/>
    <w:rsid w:val="00B913B3"/>
    <w:rsid w:val="00B91495"/>
    <w:rsid w:val="00B914A2"/>
    <w:rsid w:val="00B915E9"/>
    <w:rsid w:val="00B91650"/>
    <w:rsid w:val="00B91793"/>
    <w:rsid w:val="00B917E3"/>
    <w:rsid w:val="00B91803"/>
    <w:rsid w:val="00B9194E"/>
    <w:rsid w:val="00B91954"/>
    <w:rsid w:val="00B919DB"/>
    <w:rsid w:val="00B91A68"/>
    <w:rsid w:val="00B91B96"/>
    <w:rsid w:val="00B91BF9"/>
    <w:rsid w:val="00B91CC8"/>
    <w:rsid w:val="00B91D19"/>
    <w:rsid w:val="00B91D88"/>
    <w:rsid w:val="00B91D9E"/>
    <w:rsid w:val="00B91EC5"/>
    <w:rsid w:val="00B91FE0"/>
    <w:rsid w:val="00B91FF6"/>
    <w:rsid w:val="00B9206A"/>
    <w:rsid w:val="00B92136"/>
    <w:rsid w:val="00B92177"/>
    <w:rsid w:val="00B921CC"/>
    <w:rsid w:val="00B921DB"/>
    <w:rsid w:val="00B92222"/>
    <w:rsid w:val="00B92228"/>
    <w:rsid w:val="00B92256"/>
    <w:rsid w:val="00B92334"/>
    <w:rsid w:val="00B92366"/>
    <w:rsid w:val="00B9237B"/>
    <w:rsid w:val="00B923DF"/>
    <w:rsid w:val="00B923F4"/>
    <w:rsid w:val="00B92420"/>
    <w:rsid w:val="00B9256A"/>
    <w:rsid w:val="00B9256B"/>
    <w:rsid w:val="00B926A8"/>
    <w:rsid w:val="00B926AD"/>
    <w:rsid w:val="00B92907"/>
    <w:rsid w:val="00B9297D"/>
    <w:rsid w:val="00B92B57"/>
    <w:rsid w:val="00B92B88"/>
    <w:rsid w:val="00B92B8A"/>
    <w:rsid w:val="00B92BB4"/>
    <w:rsid w:val="00B92BCB"/>
    <w:rsid w:val="00B92BE0"/>
    <w:rsid w:val="00B92C36"/>
    <w:rsid w:val="00B92CA4"/>
    <w:rsid w:val="00B92D49"/>
    <w:rsid w:val="00B92D88"/>
    <w:rsid w:val="00B92E16"/>
    <w:rsid w:val="00B92F33"/>
    <w:rsid w:val="00B92F97"/>
    <w:rsid w:val="00B9319E"/>
    <w:rsid w:val="00B931E2"/>
    <w:rsid w:val="00B9323D"/>
    <w:rsid w:val="00B93308"/>
    <w:rsid w:val="00B933CF"/>
    <w:rsid w:val="00B93528"/>
    <w:rsid w:val="00B935D2"/>
    <w:rsid w:val="00B93610"/>
    <w:rsid w:val="00B936AB"/>
    <w:rsid w:val="00B936CB"/>
    <w:rsid w:val="00B938BE"/>
    <w:rsid w:val="00B938FC"/>
    <w:rsid w:val="00B93978"/>
    <w:rsid w:val="00B93984"/>
    <w:rsid w:val="00B939B3"/>
    <w:rsid w:val="00B939B6"/>
    <w:rsid w:val="00B93A83"/>
    <w:rsid w:val="00B93ACA"/>
    <w:rsid w:val="00B93B3D"/>
    <w:rsid w:val="00B93BF8"/>
    <w:rsid w:val="00B93BFD"/>
    <w:rsid w:val="00B93C45"/>
    <w:rsid w:val="00B93C84"/>
    <w:rsid w:val="00B93C9F"/>
    <w:rsid w:val="00B93CB4"/>
    <w:rsid w:val="00B93CEF"/>
    <w:rsid w:val="00B93D0A"/>
    <w:rsid w:val="00B93D87"/>
    <w:rsid w:val="00B93E0C"/>
    <w:rsid w:val="00B93E7B"/>
    <w:rsid w:val="00B93EBE"/>
    <w:rsid w:val="00B93ECC"/>
    <w:rsid w:val="00B93F77"/>
    <w:rsid w:val="00B94012"/>
    <w:rsid w:val="00B94181"/>
    <w:rsid w:val="00B94241"/>
    <w:rsid w:val="00B942C6"/>
    <w:rsid w:val="00B942CC"/>
    <w:rsid w:val="00B94370"/>
    <w:rsid w:val="00B943C8"/>
    <w:rsid w:val="00B943E2"/>
    <w:rsid w:val="00B94534"/>
    <w:rsid w:val="00B94580"/>
    <w:rsid w:val="00B94625"/>
    <w:rsid w:val="00B94845"/>
    <w:rsid w:val="00B9487D"/>
    <w:rsid w:val="00B949B6"/>
    <w:rsid w:val="00B94A94"/>
    <w:rsid w:val="00B94AE2"/>
    <w:rsid w:val="00B94AEE"/>
    <w:rsid w:val="00B94BAE"/>
    <w:rsid w:val="00B94BCA"/>
    <w:rsid w:val="00B94BE1"/>
    <w:rsid w:val="00B94C54"/>
    <w:rsid w:val="00B94C6C"/>
    <w:rsid w:val="00B94CA3"/>
    <w:rsid w:val="00B94D09"/>
    <w:rsid w:val="00B94DC9"/>
    <w:rsid w:val="00B95061"/>
    <w:rsid w:val="00B950AE"/>
    <w:rsid w:val="00B950E2"/>
    <w:rsid w:val="00B951C3"/>
    <w:rsid w:val="00B951CC"/>
    <w:rsid w:val="00B95376"/>
    <w:rsid w:val="00B953AE"/>
    <w:rsid w:val="00B95536"/>
    <w:rsid w:val="00B955B1"/>
    <w:rsid w:val="00B95729"/>
    <w:rsid w:val="00B959A7"/>
    <w:rsid w:val="00B95A48"/>
    <w:rsid w:val="00B95A81"/>
    <w:rsid w:val="00B95B81"/>
    <w:rsid w:val="00B95B9F"/>
    <w:rsid w:val="00B95BBF"/>
    <w:rsid w:val="00B95BE8"/>
    <w:rsid w:val="00B95C84"/>
    <w:rsid w:val="00B95D4F"/>
    <w:rsid w:val="00B95E5C"/>
    <w:rsid w:val="00B95EBA"/>
    <w:rsid w:val="00B95F59"/>
    <w:rsid w:val="00B96007"/>
    <w:rsid w:val="00B960A1"/>
    <w:rsid w:val="00B960CB"/>
    <w:rsid w:val="00B960D4"/>
    <w:rsid w:val="00B960DB"/>
    <w:rsid w:val="00B9617E"/>
    <w:rsid w:val="00B9619B"/>
    <w:rsid w:val="00B96224"/>
    <w:rsid w:val="00B962E8"/>
    <w:rsid w:val="00B963BF"/>
    <w:rsid w:val="00B9641C"/>
    <w:rsid w:val="00B96505"/>
    <w:rsid w:val="00B96555"/>
    <w:rsid w:val="00B965EA"/>
    <w:rsid w:val="00B968F2"/>
    <w:rsid w:val="00B968FC"/>
    <w:rsid w:val="00B96943"/>
    <w:rsid w:val="00B9698E"/>
    <w:rsid w:val="00B96A46"/>
    <w:rsid w:val="00B96B00"/>
    <w:rsid w:val="00B96BF0"/>
    <w:rsid w:val="00B96CF3"/>
    <w:rsid w:val="00B9704F"/>
    <w:rsid w:val="00B97190"/>
    <w:rsid w:val="00B971B7"/>
    <w:rsid w:val="00B9726E"/>
    <w:rsid w:val="00B972AB"/>
    <w:rsid w:val="00B97386"/>
    <w:rsid w:val="00B974D1"/>
    <w:rsid w:val="00B9753F"/>
    <w:rsid w:val="00B9759A"/>
    <w:rsid w:val="00B9778D"/>
    <w:rsid w:val="00B977FD"/>
    <w:rsid w:val="00B9786C"/>
    <w:rsid w:val="00B9789C"/>
    <w:rsid w:val="00B978BB"/>
    <w:rsid w:val="00B978FD"/>
    <w:rsid w:val="00B97994"/>
    <w:rsid w:val="00B9799D"/>
    <w:rsid w:val="00B979B3"/>
    <w:rsid w:val="00B97A65"/>
    <w:rsid w:val="00B97B01"/>
    <w:rsid w:val="00B97B34"/>
    <w:rsid w:val="00B97BAA"/>
    <w:rsid w:val="00B97BEB"/>
    <w:rsid w:val="00B97C78"/>
    <w:rsid w:val="00B97CC9"/>
    <w:rsid w:val="00B97CF5"/>
    <w:rsid w:val="00B97D3C"/>
    <w:rsid w:val="00B97E51"/>
    <w:rsid w:val="00B97F7A"/>
    <w:rsid w:val="00B97F8D"/>
    <w:rsid w:val="00B97FBE"/>
    <w:rsid w:val="00BA00E4"/>
    <w:rsid w:val="00BA00EE"/>
    <w:rsid w:val="00BA0186"/>
    <w:rsid w:val="00BA01C1"/>
    <w:rsid w:val="00BA025C"/>
    <w:rsid w:val="00BA0338"/>
    <w:rsid w:val="00BA0383"/>
    <w:rsid w:val="00BA03AF"/>
    <w:rsid w:val="00BA03B1"/>
    <w:rsid w:val="00BA03C4"/>
    <w:rsid w:val="00BA0446"/>
    <w:rsid w:val="00BA0496"/>
    <w:rsid w:val="00BA04D2"/>
    <w:rsid w:val="00BA0507"/>
    <w:rsid w:val="00BA05DC"/>
    <w:rsid w:val="00BA08DB"/>
    <w:rsid w:val="00BA08E2"/>
    <w:rsid w:val="00BA09A4"/>
    <w:rsid w:val="00BA09D8"/>
    <w:rsid w:val="00BA0A15"/>
    <w:rsid w:val="00BA0A34"/>
    <w:rsid w:val="00BA0ACF"/>
    <w:rsid w:val="00BA0B3B"/>
    <w:rsid w:val="00BA0B55"/>
    <w:rsid w:val="00BA0C61"/>
    <w:rsid w:val="00BA0C93"/>
    <w:rsid w:val="00BA0CE9"/>
    <w:rsid w:val="00BA0D08"/>
    <w:rsid w:val="00BA0DE3"/>
    <w:rsid w:val="00BA0DFB"/>
    <w:rsid w:val="00BA0E92"/>
    <w:rsid w:val="00BA0EE0"/>
    <w:rsid w:val="00BA0EFB"/>
    <w:rsid w:val="00BA0F5A"/>
    <w:rsid w:val="00BA0F75"/>
    <w:rsid w:val="00BA0F98"/>
    <w:rsid w:val="00BA10D9"/>
    <w:rsid w:val="00BA10F0"/>
    <w:rsid w:val="00BA1141"/>
    <w:rsid w:val="00BA11C6"/>
    <w:rsid w:val="00BA11F0"/>
    <w:rsid w:val="00BA11F9"/>
    <w:rsid w:val="00BA1221"/>
    <w:rsid w:val="00BA12C0"/>
    <w:rsid w:val="00BA12C8"/>
    <w:rsid w:val="00BA134F"/>
    <w:rsid w:val="00BA147F"/>
    <w:rsid w:val="00BA14A3"/>
    <w:rsid w:val="00BA14F3"/>
    <w:rsid w:val="00BA15BE"/>
    <w:rsid w:val="00BA1682"/>
    <w:rsid w:val="00BA18B2"/>
    <w:rsid w:val="00BA18CA"/>
    <w:rsid w:val="00BA1931"/>
    <w:rsid w:val="00BA1941"/>
    <w:rsid w:val="00BA19A0"/>
    <w:rsid w:val="00BA19D4"/>
    <w:rsid w:val="00BA1BAA"/>
    <w:rsid w:val="00BA1D19"/>
    <w:rsid w:val="00BA1DB7"/>
    <w:rsid w:val="00BA1E60"/>
    <w:rsid w:val="00BA1EEF"/>
    <w:rsid w:val="00BA1F0B"/>
    <w:rsid w:val="00BA1F22"/>
    <w:rsid w:val="00BA1F61"/>
    <w:rsid w:val="00BA1F67"/>
    <w:rsid w:val="00BA20CD"/>
    <w:rsid w:val="00BA20D3"/>
    <w:rsid w:val="00BA2101"/>
    <w:rsid w:val="00BA211F"/>
    <w:rsid w:val="00BA21B5"/>
    <w:rsid w:val="00BA2288"/>
    <w:rsid w:val="00BA230C"/>
    <w:rsid w:val="00BA23F4"/>
    <w:rsid w:val="00BA249C"/>
    <w:rsid w:val="00BA24A7"/>
    <w:rsid w:val="00BA24D2"/>
    <w:rsid w:val="00BA25AB"/>
    <w:rsid w:val="00BA2647"/>
    <w:rsid w:val="00BA272B"/>
    <w:rsid w:val="00BA27B5"/>
    <w:rsid w:val="00BA27C5"/>
    <w:rsid w:val="00BA28DD"/>
    <w:rsid w:val="00BA2985"/>
    <w:rsid w:val="00BA29D7"/>
    <w:rsid w:val="00BA2B2D"/>
    <w:rsid w:val="00BA2B88"/>
    <w:rsid w:val="00BA2BAE"/>
    <w:rsid w:val="00BA2DCF"/>
    <w:rsid w:val="00BA2E8A"/>
    <w:rsid w:val="00BA2FAC"/>
    <w:rsid w:val="00BA2FE6"/>
    <w:rsid w:val="00BA3202"/>
    <w:rsid w:val="00BA32D3"/>
    <w:rsid w:val="00BA3300"/>
    <w:rsid w:val="00BA331F"/>
    <w:rsid w:val="00BA333D"/>
    <w:rsid w:val="00BA33B9"/>
    <w:rsid w:val="00BA34A6"/>
    <w:rsid w:val="00BA356A"/>
    <w:rsid w:val="00BA357C"/>
    <w:rsid w:val="00BA3580"/>
    <w:rsid w:val="00BA35C4"/>
    <w:rsid w:val="00BA35F8"/>
    <w:rsid w:val="00BA3789"/>
    <w:rsid w:val="00BA37D3"/>
    <w:rsid w:val="00BA38CD"/>
    <w:rsid w:val="00BA3953"/>
    <w:rsid w:val="00BA3B7E"/>
    <w:rsid w:val="00BA3BE2"/>
    <w:rsid w:val="00BA3BED"/>
    <w:rsid w:val="00BA3BFE"/>
    <w:rsid w:val="00BA3D23"/>
    <w:rsid w:val="00BA3D2F"/>
    <w:rsid w:val="00BA3D39"/>
    <w:rsid w:val="00BA3E81"/>
    <w:rsid w:val="00BA3E91"/>
    <w:rsid w:val="00BA3EC9"/>
    <w:rsid w:val="00BA3F36"/>
    <w:rsid w:val="00BA3F3C"/>
    <w:rsid w:val="00BA43B2"/>
    <w:rsid w:val="00BA4412"/>
    <w:rsid w:val="00BA445B"/>
    <w:rsid w:val="00BA4487"/>
    <w:rsid w:val="00BA4584"/>
    <w:rsid w:val="00BA458D"/>
    <w:rsid w:val="00BA4666"/>
    <w:rsid w:val="00BA47F5"/>
    <w:rsid w:val="00BA4922"/>
    <w:rsid w:val="00BA49AD"/>
    <w:rsid w:val="00BA4A02"/>
    <w:rsid w:val="00BA4E0A"/>
    <w:rsid w:val="00BA4E0D"/>
    <w:rsid w:val="00BA4E44"/>
    <w:rsid w:val="00BA4E8A"/>
    <w:rsid w:val="00BA4E9F"/>
    <w:rsid w:val="00BA506A"/>
    <w:rsid w:val="00BA50AF"/>
    <w:rsid w:val="00BA5167"/>
    <w:rsid w:val="00BA537E"/>
    <w:rsid w:val="00BA53C1"/>
    <w:rsid w:val="00BA543A"/>
    <w:rsid w:val="00BA54CE"/>
    <w:rsid w:val="00BA550A"/>
    <w:rsid w:val="00BA5510"/>
    <w:rsid w:val="00BA5574"/>
    <w:rsid w:val="00BA55D2"/>
    <w:rsid w:val="00BA5678"/>
    <w:rsid w:val="00BA568B"/>
    <w:rsid w:val="00BA56A6"/>
    <w:rsid w:val="00BA5703"/>
    <w:rsid w:val="00BA57B3"/>
    <w:rsid w:val="00BA5950"/>
    <w:rsid w:val="00BA5A69"/>
    <w:rsid w:val="00BA5B91"/>
    <w:rsid w:val="00BA5CBA"/>
    <w:rsid w:val="00BA5CE7"/>
    <w:rsid w:val="00BA5DF6"/>
    <w:rsid w:val="00BA5DFD"/>
    <w:rsid w:val="00BA5EDE"/>
    <w:rsid w:val="00BA5FC2"/>
    <w:rsid w:val="00BA6026"/>
    <w:rsid w:val="00BA60C8"/>
    <w:rsid w:val="00BA611C"/>
    <w:rsid w:val="00BA616F"/>
    <w:rsid w:val="00BA6296"/>
    <w:rsid w:val="00BA62B3"/>
    <w:rsid w:val="00BA62E8"/>
    <w:rsid w:val="00BA62F5"/>
    <w:rsid w:val="00BA6398"/>
    <w:rsid w:val="00BA63BA"/>
    <w:rsid w:val="00BA6453"/>
    <w:rsid w:val="00BA64CF"/>
    <w:rsid w:val="00BA651A"/>
    <w:rsid w:val="00BA6565"/>
    <w:rsid w:val="00BA66C1"/>
    <w:rsid w:val="00BA685B"/>
    <w:rsid w:val="00BA6A81"/>
    <w:rsid w:val="00BA6ACB"/>
    <w:rsid w:val="00BA6B05"/>
    <w:rsid w:val="00BA6B08"/>
    <w:rsid w:val="00BA6B6C"/>
    <w:rsid w:val="00BA6BE9"/>
    <w:rsid w:val="00BA6D43"/>
    <w:rsid w:val="00BA6DFD"/>
    <w:rsid w:val="00BA6EDA"/>
    <w:rsid w:val="00BA6EE3"/>
    <w:rsid w:val="00BA6F0A"/>
    <w:rsid w:val="00BA6F12"/>
    <w:rsid w:val="00BA6F23"/>
    <w:rsid w:val="00BA6F43"/>
    <w:rsid w:val="00BA6FA0"/>
    <w:rsid w:val="00BA6FCC"/>
    <w:rsid w:val="00BA6FF7"/>
    <w:rsid w:val="00BA7072"/>
    <w:rsid w:val="00BA7147"/>
    <w:rsid w:val="00BA7151"/>
    <w:rsid w:val="00BA71C5"/>
    <w:rsid w:val="00BA71DD"/>
    <w:rsid w:val="00BA747E"/>
    <w:rsid w:val="00BA7555"/>
    <w:rsid w:val="00BA7556"/>
    <w:rsid w:val="00BA7608"/>
    <w:rsid w:val="00BA76E2"/>
    <w:rsid w:val="00BA7792"/>
    <w:rsid w:val="00BA77B9"/>
    <w:rsid w:val="00BA785B"/>
    <w:rsid w:val="00BA786E"/>
    <w:rsid w:val="00BA7871"/>
    <w:rsid w:val="00BA78A5"/>
    <w:rsid w:val="00BA78D2"/>
    <w:rsid w:val="00BA7964"/>
    <w:rsid w:val="00BA79BC"/>
    <w:rsid w:val="00BA7A96"/>
    <w:rsid w:val="00BA7AA6"/>
    <w:rsid w:val="00BA7AB5"/>
    <w:rsid w:val="00BA7AEB"/>
    <w:rsid w:val="00BA7B06"/>
    <w:rsid w:val="00BA7CF1"/>
    <w:rsid w:val="00BA7D1E"/>
    <w:rsid w:val="00BA7ECF"/>
    <w:rsid w:val="00BA7F57"/>
    <w:rsid w:val="00BB00AE"/>
    <w:rsid w:val="00BB0208"/>
    <w:rsid w:val="00BB04FC"/>
    <w:rsid w:val="00BB057D"/>
    <w:rsid w:val="00BB05F4"/>
    <w:rsid w:val="00BB067E"/>
    <w:rsid w:val="00BB06BE"/>
    <w:rsid w:val="00BB06CA"/>
    <w:rsid w:val="00BB06CC"/>
    <w:rsid w:val="00BB0714"/>
    <w:rsid w:val="00BB0733"/>
    <w:rsid w:val="00BB0899"/>
    <w:rsid w:val="00BB08F7"/>
    <w:rsid w:val="00BB0A05"/>
    <w:rsid w:val="00BB0B60"/>
    <w:rsid w:val="00BB0D25"/>
    <w:rsid w:val="00BB0DCD"/>
    <w:rsid w:val="00BB0DE9"/>
    <w:rsid w:val="00BB0E3E"/>
    <w:rsid w:val="00BB0E8F"/>
    <w:rsid w:val="00BB0EA3"/>
    <w:rsid w:val="00BB0ED7"/>
    <w:rsid w:val="00BB0F4B"/>
    <w:rsid w:val="00BB1017"/>
    <w:rsid w:val="00BB102E"/>
    <w:rsid w:val="00BB1068"/>
    <w:rsid w:val="00BB11AE"/>
    <w:rsid w:val="00BB11B7"/>
    <w:rsid w:val="00BB123A"/>
    <w:rsid w:val="00BB1293"/>
    <w:rsid w:val="00BB13A8"/>
    <w:rsid w:val="00BB14CB"/>
    <w:rsid w:val="00BB1542"/>
    <w:rsid w:val="00BB15C2"/>
    <w:rsid w:val="00BB171E"/>
    <w:rsid w:val="00BB1813"/>
    <w:rsid w:val="00BB1868"/>
    <w:rsid w:val="00BB19D5"/>
    <w:rsid w:val="00BB1A62"/>
    <w:rsid w:val="00BB1A97"/>
    <w:rsid w:val="00BB1A9F"/>
    <w:rsid w:val="00BB1C15"/>
    <w:rsid w:val="00BB1D50"/>
    <w:rsid w:val="00BB1D54"/>
    <w:rsid w:val="00BB1E5D"/>
    <w:rsid w:val="00BB1F85"/>
    <w:rsid w:val="00BB20F7"/>
    <w:rsid w:val="00BB212F"/>
    <w:rsid w:val="00BB236F"/>
    <w:rsid w:val="00BB23F8"/>
    <w:rsid w:val="00BB24E9"/>
    <w:rsid w:val="00BB2509"/>
    <w:rsid w:val="00BB2545"/>
    <w:rsid w:val="00BB25CC"/>
    <w:rsid w:val="00BB2632"/>
    <w:rsid w:val="00BB2661"/>
    <w:rsid w:val="00BB2ADA"/>
    <w:rsid w:val="00BB2B38"/>
    <w:rsid w:val="00BB2C05"/>
    <w:rsid w:val="00BB2C11"/>
    <w:rsid w:val="00BB2C8F"/>
    <w:rsid w:val="00BB2CE1"/>
    <w:rsid w:val="00BB2DD0"/>
    <w:rsid w:val="00BB2E93"/>
    <w:rsid w:val="00BB3004"/>
    <w:rsid w:val="00BB3086"/>
    <w:rsid w:val="00BB3089"/>
    <w:rsid w:val="00BB318D"/>
    <w:rsid w:val="00BB3314"/>
    <w:rsid w:val="00BB335B"/>
    <w:rsid w:val="00BB339D"/>
    <w:rsid w:val="00BB3416"/>
    <w:rsid w:val="00BB34FC"/>
    <w:rsid w:val="00BB351B"/>
    <w:rsid w:val="00BB378F"/>
    <w:rsid w:val="00BB37E6"/>
    <w:rsid w:val="00BB3817"/>
    <w:rsid w:val="00BB3883"/>
    <w:rsid w:val="00BB3908"/>
    <w:rsid w:val="00BB3963"/>
    <w:rsid w:val="00BB3973"/>
    <w:rsid w:val="00BB39F0"/>
    <w:rsid w:val="00BB3BA9"/>
    <w:rsid w:val="00BB3C6B"/>
    <w:rsid w:val="00BB3D77"/>
    <w:rsid w:val="00BB3D98"/>
    <w:rsid w:val="00BB3D99"/>
    <w:rsid w:val="00BB3E3C"/>
    <w:rsid w:val="00BB3E46"/>
    <w:rsid w:val="00BB3F5F"/>
    <w:rsid w:val="00BB4182"/>
    <w:rsid w:val="00BB4267"/>
    <w:rsid w:val="00BB42BF"/>
    <w:rsid w:val="00BB4344"/>
    <w:rsid w:val="00BB437A"/>
    <w:rsid w:val="00BB43D3"/>
    <w:rsid w:val="00BB4563"/>
    <w:rsid w:val="00BB459A"/>
    <w:rsid w:val="00BB46F3"/>
    <w:rsid w:val="00BB473C"/>
    <w:rsid w:val="00BB4783"/>
    <w:rsid w:val="00BB47B6"/>
    <w:rsid w:val="00BB487E"/>
    <w:rsid w:val="00BB4915"/>
    <w:rsid w:val="00BB4A8C"/>
    <w:rsid w:val="00BB4B21"/>
    <w:rsid w:val="00BB4C32"/>
    <w:rsid w:val="00BB4C68"/>
    <w:rsid w:val="00BB4C75"/>
    <w:rsid w:val="00BB4D9A"/>
    <w:rsid w:val="00BB4E23"/>
    <w:rsid w:val="00BB4E60"/>
    <w:rsid w:val="00BB4E87"/>
    <w:rsid w:val="00BB4EC4"/>
    <w:rsid w:val="00BB4ED3"/>
    <w:rsid w:val="00BB4FAC"/>
    <w:rsid w:val="00BB4FAF"/>
    <w:rsid w:val="00BB5091"/>
    <w:rsid w:val="00BB5098"/>
    <w:rsid w:val="00BB50C8"/>
    <w:rsid w:val="00BB518E"/>
    <w:rsid w:val="00BB51B3"/>
    <w:rsid w:val="00BB5219"/>
    <w:rsid w:val="00BB523A"/>
    <w:rsid w:val="00BB537C"/>
    <w:rsid w:val="00BB53E8"/>
    <w:rsid w:val="00BB5425"/>
    <w:rsid w:val="00BB543B"/>
    <w:rsid w:val="00BB5560"/>
    <w:rsid w:val="00BB5597"/>
    <w:rsid w:val="00BB564B"/>
    <w:rsid w:val="00BB56CD"/>
    <w:rsid w:val="00BB5737"/>
    <w:rsid w:val="00BB57CC"/>
    <w:rsid w:val="00BB58C5"/>
    <w:rsid w:val="00BB5914"/>
    <w:rsid w:val="00BB592E"/>
    <w:rsid w:val="00BB5946"/>
    <w:rsid w:val="00BB5958"/>
    <w:rsid w:val="00BB59D5"/>
    <w:rsid w:val="00BB5A4B"/>
    <w:rsid w:val="00BB5AB1"/>
    <w:rsid w:val="00BB5BA8"/>
    <w:rsid w:val="00BB5DCD"/>
    <w:rsid w:val="00BB5EAA"/>
    <w:rsid w:val="00BB5EC0"/>
    <w:rsid w:val="00BB5F54"/>
    <w:rsid w:val="00BB5F9A"/>
    <w:rsid w:val="00BB5F9B"/>
    <w:rsid w:val="00BB5FF0"/>
    <w:rsid w:val="00BB618E"/>
    <w:rsid w:val="00BB619A"/>
    <w:rsid w:val="00BB61B2"/>
    <w:rsid w:val="00BB629B"/>
    <w:rsid w:val="00BB6371"/>
    <w:rsid w:val="00BB637A"/>
    <w:rsid w:val="00BB641B"/>
    <w:rsid w:val="00BB6444"/>
    <w:rsid w:val="00BB65AC"/>
    <w:rsid w:val="00BB6631"/>
    <w:rsid w:val="00BB666C"/>
    <w:rsid w:val="00BB66ED"/>
    <w:rsid w:val="00BB66FB"/>
    <w:rsid w:val="00BB6772"/>
    <w:rsid w:val="00BB67D5"/>
    <w:rsid w:val="00BB69A5"/>
    <w:rsid w:val="00BB6A07"/>
    <w:rsid w:val="00BB6ADA"/>
    <w:rsid w:val="00BB6BC5"/>
    <w:rsid w:val="00BB6C11"/>
    <w:rsid w:val="00BB6CBB"/>
    <w:rsid w:val="00BB6DB2"/>
    <w:rsid w:val="00BB6E11"/>
    <w:rsid w:val="00BB6E22"/>
    <w:rsid w:val="00BB6E66"/>
    <w:rsid w:val="00BB6E69"/>
    <w:rsid w:val="00BB6EE2"/>
    <w:rsid w:val="00BB6F77"/>
    <w:rsid w:val="00BB6FCA"/>
    <w:rsid w:val="00BB702C"/>
    <w:rsid w:val="00BB70A7"/>
    <w:rsid w:val="00BB70B8"/>
    <w:rsid w:val="00BB70F9"/>
    <w:rsid w:val="00BB7135"/>
    <w:rsid w:val="00BB7187"/>
    <w:rsid w:val="00BB718E"/>
    <w:rsid w:val="00BB71B4"/>
    <w:rsid w:val="00BB7212"/>
    <w:rsid w:val="00BB7273"/>
    <w:rsid w:val="00BB72E5"/>
    <w:rsid w:val="00BB7353"/>
    <w:rsid w:val="00BB7427"/>
    <w:rsid w:val="00BB7435"/>
    <w:rsid w:val="00BB748C"/>
    <w:rsid w:val="00BB74AF"/>
    <w:rsid w:val="00BB7571"/>
    <w:rsid w:val="00BB758B"/>
    <w:rsid w:val="00BB75E0"/>
    <w:rsid w:val="00BB767D"/>
    <w:rsid w:val="00BB769F"/>
    <w:rsid w:val="00BB76D1"/>
    <w:rsid w:val="00BB78BD"/>
    <w:rsid w:val="00BB78F6"/>
    <w:rsid w:val="00BB78FC"/>
    <w:rsid w:val="00BB7969"/>
    <w:rsid w:val="00BB79F5"/>
    <w:rsid w:val="00BB7A09"/>
    <w:rsid w:val="00BB7A8C"/>
    <w:rsid w:val="00BB7AC8"/>
    <w:rsid w:val="00BB7BF3"/>
    <w:rsid w:val="00BB7C33"/>
    <w:rsid w:val="00BB7C7A"/>
    <w:rsid w:val="00BB7DE8"/>
    <w:rsid w:val="00BB7F2D"/>
    <w:rsid w:val="00BB7FF3"/>
    <w:rsid w:val="00BC0033"/>
    <w:rsid w:val="00BC0159"/>
    <w:rsid w:val="00BC0165"/>
    <w:rsid w:val="00BC0203"/>
    <w:rsid w:val="00BC024E"/>
    <w:rsid w:val="00BC02DC"/>
    <w:rsid w:val="00BC02EF"/>
    <w:rsid w:val="00BC0323"/>
    <w:rsid w:val="00BC03AC"/>
    <w:rsid w:val="00BC04CC"/>
    <w:rsid w:val="00BC051D"/>
    <w:rsid w:val="00BC0727"/>
    <w:rsid w:val="00BC0888"/>
    <w:rsid w:val="00BC0942"/>
    <w:rsid w:val="00BC0969"/>
    <w:rsid w:val="00BC09CB"/>
    <w:rsid w:val="00BC09F9"/>
    <w:rsid w:val="00BC0A2C"/>
    <w:rsid w:val="00BC0B80"/>
    <w:rsid w:val="00BC0C14"/>
    <w:rsid w:val="00BC0C34"/>
    <w:rsid w:val="00BC0C4C"/>
    <w:rsid w:val="00BC0CA7"/>
    <w:rsid w:val="00BC0D24"/>
    <w:rsid w:val="00BC0EE7"/>
    <w:rsid w:val="00BC0F47"/>
    <w:rsid w:val="00BC0FFC"/>
    <w:rsid w:val="00BC1014"/>
    <w:rsid w:val="00BC108D"/>
    <w:rsid w:val="00BC10C1"/>
    <w:rsid w:val="00BC10C4"/>
    <w:rsid w:val="00BC1138"/>
    <w:rsid w:val="00BC1144"/>
    <w:rsid w:val="00BC1323"/>
    <w:rsid w:val="00BC1432"/>
    <w:rsid w:val="00BC1434"/>
    <w:rsid w:val="00BC1476"/>
    <w:rsid w:val="00BC1595"/>
    <w:rsid w:val="00BC163A"/>
    <w:rsid w:val="00BC170F"/>
    <w:rsid w:val="00BC1733"/>
    <w:rsid w:val="00BC1777"/>
    <w:rsid w:val="00BC178C"/>
    <w:rsid w:val="00BC182A"/>
    <w:rsid w:val="00BC1927"/>
    <w:rsid w:val="00BC1BC8"/>
    <w:rsid w:val="00BC1CE1"/>
    <w:rsid w:val="00BC1D5D"/>
    <w:rsid w:val="00BC1E15"/>
    <w:rsid w:val="00BC1EC9"/>
    <w:rsid w:val="00BC1FE8"/>
    <w:rsid w:val="00BC20D8"/>
    <w:rsid w:val="00BC2139"/>
    <w:rsid w:val="00BC2309"/>
    <w:rsid w:val="00BC2402"/>
    <w:rsid w:val="00BC24A7"/>
    <w:rsid w:val="00BC250B"/>
    <w:rsid w:val="00BC25C8"/>
    <w:rsid w:val="00BC264F"/>
    <w:rsid w:val="00BC26EA"/>
    <w:rsid w:val="00BC273C"/>
    <w:rsid w:val="00BC28B5"/>
    <w:rsid w:val="00BC28CA"/>
    <w:rsid w:val="00BC2A48"/>
    <w:rsid w:val="00BC2A7C"/>
    <w:rsid w:val="00BC2A8F"/>
    <w:rsid w:val="00BC2B32"/>
    <w:rsid w:val="00BC2B7C"/>
    <w:rsid w:val="00BC2BEA"/>
    <w:rsid w:val="00BC2DC8"/>
    <w:rsid w:val="00BC2E3A"/>
    <w:rsid w:val="00BC2EB5"/>
    <w:rsid w:val="00BC2EBE"/>
    <w:rsid w:val="00BC2EDC"/>
    <w:rsid w:val="00BC2F0A"/>
    <w:rsid w:val="00BC2F15"/>
    <w:rsid w:val="00BC2F4D"/>
    <w:rsid w:val="00BC2F4E"/>
    <w:rsid w:val="00BC2F65"/>
    <w:rsid w:val="00BC2FA7"/>
    <w:rsid w:val="00BC310E"/>
    <w:rsid w:val="00BC3174"/>
    <w:rsid w:val="00BC31A2"/>
    <w:rsid w:val="00BC3202"/>
    <w:rsid w:val="00BC320D"/>
    <w:rsid w:val="00BC3225"/>
    <w:rsid w:val="00BC3283"/>
    <w:rsid w:val="00BC32E2"/>
    <w:rsid w:val="00BC3341"/>
    <w:rsid w:val="00BC33AB"/>
    <w:rsid w:val="00BC33F2"/>
    <w:rsid w:val="00BC3402"/>
    <w:rsid w:val="00BC343D"/>
    <w:rsid w:val="00BC347F"/>
    <w:rsid w:val="00BC34C4"/>
    <w:rsid w:val="00BC350B"/>
    <w:rsid w:val="00BC37B2"/>
    <w:rsid w:val="00BC386C"/>
    <w:rsid w:val="00BC38C4"/>
    <w:rsid w:val="00BC38E0"/>
    <w:rsid w:val="00BC39C5"/>
    <w:rsid w:val="00BC3C4F"/>
    <w:rsid w:val="00BC3D54"/>
    <w:rsid w:val="00BC403A"/>
    <w:rsid w:val="00BC40EB"/>
    <w:rsid w:val="00BC413F"/>
    <w:rsid w:val="00BC414C"/>
    <w:rsid w:val="00BC420D"/>
    <w:rsid w:val="00BC4387"/>
    <w:rsid w:val="00BC4491"/>
    <w:rsid w:val="00BC4546"/>
    <w:rsid w:val="00BC45BF"/>
    <w:rsid w:val="00BC4604"/>
    <w:rsid w:val="00BC46A3"/>
    <w:rsid w:val="00BC472B"/>
    <w:rsid w:val="00BC478D"/>
    <w:rsid w:val="00BC4833"/>
    <w:rsid w:val="00BC483E"/>
    <w:rsid w:val="00BC484F"/>
    <w:rsid w:val="00BC4890"/>
    <w:rsid w:val="00BC489F"/>
    <w:rsid w:val="00BC48FF"/>
    <w:rsid w:val="00BC4BE5"/>
    <w:rsid w:val="00BC4C87"/>
    <w:rsid w:val="00BC4CA6"/>
    <w:rsid w:val="00BC4DD7"/>
    <w:rsid w:val="00BC4F15"/>
    <w:rsid w:val="00BC4FBB"/>
    <w:rsid w:val="00BC5066"/>
    <w:rsid w:val="00BC5284"/>
    <w:rsid w:val="00BC5506"/>
    <w:rsid w:val="00BC576C"/>
    <w:rsid w:val="00BC58E3"/>
    <w:rsid w:val="00BC58FD"/>
    <w:rsid w:val="00BC5A22"/>
    <w:rsid w:val="00BC5AC6"/>
    <w:rsid w:val="00BC5B06"/>
    <w:rsid w:val="00BC5CD0"/>
    <w:rsid w:val="00BC5EE8"/>
    <w:rsid w:val="00BC5F27"/>
    <w:rsid w:val="00BC6006"/>
    <w:rsid w:val="00BC6151"/>
    <w:rsid w:val="00BC6161"/>
    <w:rsid w:val="00BC622E"/>
    <w:rsid w:val="00BC6312"/>
    <w:rsid w:val="00BC6377"/>
    <w:rsid w:val="00BC63AE"/>
    <w:rsid w:val="00BC63DC"/>
    <w:rsid w:val="00BC646F"/>
    <w:rsid w:val="00BC649B"/>
    <w:rsid w:val="00BC655F"/>
    <w:rsid w:val="00BC66B0"/>
    <w:rsid w:val="00BC66E9"/>
    <w:rsid w:val="00BC66EA"/>
    <w:rsid w:val="00BC67C3"/>
    <w:rsid w:val="00BC6845"/>
    <w:rsid w:val="00BC6880"/>
    <w:rsid w:val="00BC68BD"/>
    <w:rsid w:val="00BC68DE"/>
    <w:rsid w:val="00BC6931"/>
    <w:rsid w:val="00BC6B59"/>
    <w:rsid w:val="00BC6C07"/>
    <w:rsid w:val="00BC6C88"/>
    <w:rsid w:val="00BC6CD7"/>
    <w:rsid w:val="00BC6DCB"/>
    <w:rsid w:val="00BC6DD0"/>
    <w:rsid w:val="00BC6DD3"/>
    <w:rsid w:val="00BC6F36"/>
    <w:rsid w:val="00BC6F3E"/>
    <w:rsid w:val="00BC6F9C"/>
    <w:rsid w:val="00BC7169"/>
    <w:rsid w:val="00BC7276"/>
    <w:rsid w:val="00BC72EB"/>
    <w:rsid w:val="00BC7427"/>
    <w:rsid w:val="00BC7499"/>
    <w:rsid w:val="00BC74D6"/>
    <w:rsid w:val="00BC7528"/>
    <w:rsid w:val="00BC755C"/>
    <w:rsid w:val="00BC7573"/>
    <w:rsid w:val="00BC75D8"/>
    <w:rsid w:val="00BC75E6"/>
    <w:rsid w:val="00BC772C"/>
    <w:rsid w:val="00BC78B4"/>
    <w:rsid w:val="00BC79F9"/>
    <w:rsid w:val="00BC7A00"/>
    <w:rsid w:val="00BC7AFF"/>
    <w:rsid w:val="00BC7B53"/>
    <w:rsid w:val="00BC7B91"/>
    <w:rsid w:val="00BC7CB5"/>
    <w:rsid w:val="00BC7D36"/>
    <w:rsid w:val="00BC7F0A"/>
    <w:rsid w:val="00BC7F25"/>
    <w:rsid w:val="00BC7F3B"/>
    <w:rsid w:val="00BC7F64"/>
    <w:rsid w:val="00BD018E"/>
    <w:rsid w:val="00BD01AE"/>
    <w:rsid w:val="00BD0233"/>
    <w:rsid w:val="00BD02AF"/>
    <w:rsid w:val="00BD02B2"/>
    <w:rsid w:val="00BD0392"/>
    <w:rsid w:val="00BD03EF"/>
    <w:rsid w:val="00BD045E"/>
    <w:rsid w:val="00BD0583"/>
    <w:rsid w:val="00BD05AD"/>
    <w:rsid w:val="00BD05FE"/>
    <w:rsid w:val="00BD06E9"/>
    <w:rsid w:val="00BD0749"/>
    <w:rsid w:val="00BD078B"/>
    <w:rsid w:val="00BD09EE"/>
    <w:rsid w:val="00BD0A4D"/>
    <w:rsid w:val="00BD0A52"/>
    <w:rsid w:val="00BD0AB7"/>
    <w:rsid w:val="00BD0BBC"/>
    <w:rsid w:val="00BD0C09"/>
    <w:rsid w:val="00BD0C11"/>
    <w:rsid w:val="00BD0CA5"/>
    <w:rsid w:val="00BD0D90"/>
    <w:rsid w:val="00BD0DB6"/>
    <w:rsid w:val="00BD0DE7"/>
    <w:rsid w:val="00BD0E2A"/>
    <w:rsid w:val="00BD0E68"/>
    <w:rsid w:val="00BD0E9A"/>
    <w:rsid w:val="00BD0F36"/>
    <w:rsid w:val="00BD0FE2"/>
    <w:rsid w:val="00BD10EA"/>
    <w:rsid w:val="00BD11BD"/>
    <w:rsid w:val="00BD128A"/>
    <w:rsid w:val="00BD1444"/>
    <w:rsid w:val="00BD1482"/>
    <w:rsid w:val="00BD1492"/>
    <w:rsid w:val="00BD1523"/>
    <w:rsid w:val="00BD152B"/>
    <w:rsid w:val="00BD152D"/>
    <w:rsid w:val="00BD15AD"/>
    <w:rsid w:val="00BD15D2"/>
    <w:rsid w:val="00BD161D"/>
    <w:rsid w:val="00BD1684"/>
    <w:rsid w:val="00BD16B7"/>
    <w:rsid w:val="00BD16D1"/>
    <w:rsid w:val="00BD16E1"/>
    <w:rsid w:val="00BD1782"/>
    <w:rsid w:val="00BD17E7"/>
    <w:rsid w:val="00BD18B6"/>
    <w:rsid w:val="00BD1974"/>
    <w:rsid w:val="00BD1A6C"/>
    <w:rsid w:val="00BD1A7B"/>
    <w:rsid w:val="00BD1B49"/>
    <w:rsid w:val="00BD1B73"/>
    <w:rsid w:val="00BD1B96"/>
    <w:rsid w:val="00BD1BFE"/>
    <w:rsid w:val="00BD1D53"/>
    <w:rsid w:val="00BD1DA7"/>
    <w:rsid w:val="00BD1E1D"/>
    <w:rsid w:val="00BD1E34"/>
    <w:rsid w:val="00BD1E4F"/>
    <w:rsid w:val="00BD1E84"/>
    <w:rsid w:val="00BD1EFB"/>
    <w:rsid w:val="00BD1F03"/>
    <w:rsid w:val="00BD1F2A"/>
    <w:rsid w:val="00BD2072"/>
    <w:rsid w:val="00BD2137"/>
    <w:rsid w:val="00BD2177"/>
    <w:rsid w:val="00BD218F"/>
    <w:rsid w:val="00BD21CC"/>
    <w:rsid w:val="00BD2307"/>
    <w:rsid w:val="00BD253B"/>
    <w:rsid w:val="00BD26B4"/>
    <w:rsid w:val="00BD2727"/>
    <w:rsid w:val="00BD2743"/>
    <w:rsid w:val="00BD274A"/>
    <w:rsid w:val="00BD27FD"/>
    <w:rsid w:val="00BD282E"/>
    <w:rsid w:val="00BD29B5"/>
    <w:rsid w:val="00BD2B37"/>
    <w:rsid w:val="00BD2B3F"/>
    <w:rsid w:val="00BD2BBB"/>
    <w:rsid w:val="00BD2CA1"/>
    <w:rsid w:val="00BD2CB0"/>
    <w:rsid w:val="00BD2E72"/>
    <w:rsid w:val="00BD30D0"/>
    <w:rsid w:val="00BD31EA"/>
    <w:rsid w:val="00BD321E"/>
    <w:rsid w:val="00BD32D9"/>
    <w:rsid w:val="00BD32DE"/>
    <w:rsid w:val="00BD3352"/>
    <w:rsid w:val="00BD3355"/>
    <w:rsid w:val="00BD33BB"/>
    <w:rsid w:val="00BD33FD"/>
    <w:rsid w:val="00BD3451"/>
    <w:rsid w:val="00BD355B"/>
    <w:rsid w:val="00BD363A"/>
    <w:rsid w:val="00BD3716"/>
    <w:rsid w:val="00BD3761"/>
    <w:rsid w:val="00BD37A3"/>
    <w:rsid w:val="00BD391B"/>
    <w:rsid w:val="00BD3994"/>
    <w:rsid w:val="00BD3A2C"/>
    <w:rsid w:val="00BD3C4D"/>
    <w:rsid w:val="00BD3D1B"/>
    <w:rsid w:val="00BD3DEE"/>
    <w:rsid w:val="00BD3EF7"/>
    <w:rsid w:val="00BD3F40"/>
    <w:rsid w:val="00BD3F47"/>
    <w:rsid w:val="00BD402C"/>
    <w:rsid w:val="00BD40A8"/>
    <w:rsid w:val="00BD40AE"/>
    <w:rsid w:val="00BD40C4"/>
    <w:rsid w:val="00BD41E1"/>
    <w:rsid w:val="00BD43A2"/>
    <w:rsid w:val="00BD440C"/>
    <w:rsid w:val="00BD4421"/>
    <w:rsid w:val="00BD46E0"/>
    <w:rsid w:val="00BD472D"/>
    <w:rsid w:val="00BD480A"/>
    <w:rsid w:val="00BD4898"/>
    <w:rsid w:val="00BD48AA"/>
    <w:rsid w:val="00BD48B7"/>
    <w:rsid w:val="00BD48CE"/>
    <w:rsid w:val="00BD4954"/>
    <w:rsid w:val="00BD49BA"/>
    <w:rsid w:val="00BD4C68"/>
    <w:rsid w:val="00BD4C9C"/>
    <w:rsid w:val="00BD4CB8"/>
    <w:rsid w:val="00BD4D3A"/>
    <w:rsid w:val="00BD4DC9"/>
    <w:rsid w:val="00BD4DE4"/>
    <w:rsid w:val="00BD4E4D"/>
    <w:rsid w:val="00BD5075"/>
    <w:rsid w:val="00BD5167"/>
    <w:rsid w:val="00BD51DA"/>
    <w:rsid w:val="00BD5225"/>
    <w:rsid w:val="00BD52EA"/>
    <w:rsid w:val="00BD534A"/>
    <w:rsid w:val="00BD5379"/>
    <w:rsid w:val="00BD5387"/>
    <w:rsid w:val="00BD545E"/>
    <w:rsid w:val="00BD5469"/>
    <w:rsid w:val="00BD5548"/>
    <w:rsid w:val="00BD5653"/>
    <w:rsid w:val="00BD57C2"/>
    <w:rsid w:val="00BD584C"/>
    <w:rsid w:val="00BD5863"/>
    <w:rsid w:val="00BD5889"/>
    <w:rsid w:val="00BD5984"/>
    <w:rsid w:val="00BD5A8B"/>
    <w:rsid w:val="00BD5AE2"/>
    <w:rsid w:val="00BD5EB1"/>
    <w:rsid w:val="00BD5F13"/>
    <w:rsid w:val="00BD5F59"/>
    <w:rsid w:val="00BD603C"/>
    <w:rsid w:val="00BD6081"/>
    <w:rsid w:val="00BD6130"/>
    <w:rsid w:val="00BD613E"/>
    <w:rsid w:val="00BD620C"/>
    <w:rsid w:val="00BD6223"/>
    <w:rsid w:val="00BD635D"/>
    <w:rsid w:val="00BD63A7"/>
    <w:rsid w:val="00BD63F6"/>
    <w:rsid w:val="00BD64A3"/>
    <w:rsid w:val="00BD66A2"/>
    <w:rsid w:val="00BD681F"/>
    <w:rsid w:val="00BD68D7"/>
    <w:rsid w:val="00BD6A44"/>
    <w:rsid w:val="00BD6A47"/>
    <w:rsid w:val="00BD6AC0"/>
    <w:rsid w:val="00BD6B8D"/>
    <w:rsid w:val="00BD6D04"/>
    <w:rsid w:val="00BD6D05"/>
    <w:rsid w:val="00BD6D3F"/>
    <w:rsid w:val="00BD6D6E"/>
    <w:rsid w:val="00BD6DF7"/>
    <w:rsid w:val="00BD6E7E"/>
    <w:rsid w:val="00BD6EB1"/>
    <w:rsid w:val="00BD6EC3"/>
    <w:rsid w:val="00BD6EF9"/>
    <w:rsid w:val="00BD6F86"/>
    <w:rsid w:val="00BD6F9A"/>
    <w:rsid w:val="00BD6FF1"/>
    <w:rsid w:val="00BD7026"/>
    <w:rsid w:val="00BD70B2"/>
    <w:rsid w:val="00BD70C5"/>
    <w:rsid w:val="00BD71B2"/>
    <w:rsid w:val="00BD71E7"/>
    <w:rsid w:val="00BD721B"/>
    <w:rsid w:val="00BD7566"/>
    <w:rsid w:val="00BD756D"/>
    <w:rsid w:val="00BD75A4"/>
    <w:rsid w:val="00BD75E8"/>
    <w:rsid w:val="00BD768E"/>
    <w:rsid w:val="00BD7751"/>
    <w:rsid w:val="00BD7835"/>
    <w:rsid w:val="00BD78BB"/>
    <w:rsid w:val="00BD7958"/>
    <w:rsid w:val="00BD7A55"/>
    <w:rsid w:val="00BD7ADC"/>
    <w:rsid w:val="00BD7B0C"/>
    <w:rsid w:val="00BD7B95"/>
    <w:rsid w:val="00BD7BAF"/>
    <w:rsid w:val="00BD7CCB"/>
    <w:rsid w:val="00BD7D23"/>
    <w:rsid w:val="00BD7D78"/>
    <w:rsid w:val="00BD7DDA"/>
    <w:rsid w:val="00BD7E12"/>
    <w:rsid w:val="00BD7EA7"/>
    <w:rsid w:val="00BD7EB5"/>
    <w:rsid w:val="00BD7EE1"/>
    <w:rsid w:val="00BD7F10"/>
    <w:rsid w:val="00BD7FE6"/>
    <w:rsid w:val="00BE008E"/>
    <w:rsid w:val="00BE00C2"/>
    <w:rsid w:val="00BE0106"/>
    <w:rsid w:val="00BE0200"/>
    <w:rsid w:val="00BE0266"/>
    <w:rsid w:val="00BE02BC"/>
    <w:rsid w:val="00BE0301"/>
    <w:rsid w:val="00BE032A"/>
    <w:rsid w:val="00BE043F"/>
    <w:rsid w:val="00BE046D"/>
    <w:rsid w:val="00BE0475"/>
    <w:rsid w:val="00BE0530"/>
    <w:rsid w:val="00BE060A"/>
    <w:rsid w:val="00BE065B"/>
    <w:rsid w:val="00BE0663"/>
    <w:rsid w:val="00BE06D3"/>
    <w:rsid w:val="00BE079C"/>
    <w:rsid w:val="00BE07F1"/>
    <w:rsid w:val="00BE08F1"/>
    <w:rsid w:val="00BE0A02"/>
    <w:rsid w:val="00BE0A5C"/>
    <w:rsid w:val="00BE0AC8"/>
    <w:rsid w:val="00BE0C18"/>
    <w:rsid w:val="00BE0C31"/>
    <w:rsid w:val="00BE0C65"/>
    <w:rsid w:val="00BE0D2E"/>
    <w:rsid w:val="00BE0D93"/>
    <w:rsid w:val="00BE0DFF"/>
    <w:rsid w:val="00BE0EB7"/>
    <w:rsid w:val="00BE0F5B"/>
    <w:rsid w:val="00BE0FE2"/>
    <w:rsid w:val="00BE0FF1"/>
    <w:rsid w:val="00BE10D3"/>
    <w:rsid w:val="00BE10D5"/>
    <w:rsid w:val="00BE133B"/>
    <w:rsid w:val="00BE1437"/>
    <w:rsid w:val="00BE14D4"/>
    <w:rsid w:val="00BE1578"/>
    <w:rsid w:val="00BE15A2"/>
    <w:rsid w:val="00BE15E7"/>
    <w:rsid w:val="00BE1606"/>
    <w:rsid w:val="00BE16A7"/>
    <w:rsid w:val="00BE171A"/>
    <w:rsid w:val="00BE17C1"/>
    <w:rsid w:val="00BE1820"/>
    <w:rsid w:val="00BE1851"/>
    <w:rsid w:val="00BE18A9"/>
    <w:rsid w:val="00BE1933"/>
    <w:rsid w:val="00BE1947"/>
    <w:rsid w:val="00BE1A65"/>
    <w:rsid w:val="00BE1B0F"/>
    <w:rsid w:val="00BE1BB8"/>
    <w:rsid w:val="00BE1BDA"/>
    <w:rsid w:val="00BE1C95"/>
    <w:rsid w:val="00BE1D2A"/>
    <w:rsid w:val="00BE1D6A"/>
    <w:rsid w:val="00BE1D77"/>
    <w:rsid w:val="00BE1DD2"/>
    <w:rsid w:val="00BE1DD4"/>
    <w:rsid w:val="00BE1EED"/>
    <w:rsid w:val="00BE2002"/>
    <w:rsid w:val="00BE216B"/>
    <w:rsid w:val="00BE21E2"/>
    <w:rsid w:val="00BE22A9"/>
    <w:rsid w:val="00BE22E4"/>
    <w:rsid w:val="00BE22F1"/>
    <w:rsid w:val="00BE23C4"/>
    <w:rsid w:val="00BE23CC"/>
    <w:rsid w:val="00BE255C"/>
    <w:rsid w:val="00BE2665"/>
    <w:rsid w:val="00BE2673"/>
    <w:rsid w:val="00BE27FF"/>
    <w:rsid w:val="00BE282B"/>
    <w:rsid w:val="00BE28F1"/>
    <w:rsid w:val="00BE2A01"/>
    <w:rsid w:val="00BE2A09"/>
    <w:rsid w:val="00BE2AB9"/>
    <w:rsid w:val="00BE2AD2"/>
    <w:rsid w:val="00BE2B10"/>
    <w:rsid w:val="00BE2BF6"/>
    <w:rsid w:val="00BE2CB5"/>
    <w:rsid w:val="00BE2CD9"/>
    <w:rsid w:val="00BE2FB6"/>
    <w:rsid w:val="00BE30C6"/>
    <w:rsid w:val="00BE313F"/>
    <w:rsid w:val="00BE3227"/>
    <w:rsid w:val="00BE32AF"/>
    <w:rsid w:val="00BE32F5"/>
    <w:rsid w:val="00BE335C"/>
    <w:rsid w:val="00BE3366"/>
    <w:rsid w:val="00BE33A7"/>
    <w:rsid w:val="00BE348C"/>
    <w:rsid w:val="00BE3528"/>
    <w:rsid w:val="00BE3659"/>
    <w:rsid w:val="00BE378B"/>
    <w:rsid w:val="00BE38B6"/>
    <w:rsid w:val="00BE3989"/>
    <w:rsid w:val="00BE3B69"/>
    <w:rsid w:val="00BE3BF6"/>
    <w:rsid w:val="00BE3BFB"/>
    <w:rsid w:val="00BE3C11"/>
    <w:rsid w:val="00BE3E43"/>
    <w:rsid w:val="00BE3EBF"/>
    <w:rsid w:val="00BE3F54"/>
    <w:rsid w:val="00BE3FA7"/>
    <w:rsid w:val="00BE4102"/>
    <w:rsid w:val="00BE411C"/>
    <w:rsid w:val="00BE4180"/>
    <w:rsid w:val="00BE4285"/>
    <w:rsid w:val="00BE42CA"/>
    <w:rsid w:val="00BE42D3"/>
    <w:rsid w:val="00BE4311"/>
    <w:rsid w:val="00BE43CF"/>
    <w:rsid w:val="00BE441E"/>
    <w:rsid w:val="00BE4435"/>
    <w:rsid w:val="00BE4454"/>
    <w:rsid w:val="00BE447D"/>
    <w:rsid w:val="00BE4544"/>
    <w:rsid w:val="00BE457E"/>
    <w:rsid w:val="00BE458A"/>
    <w:rsid w:val="00BE4608"/>
    <w:rsid w:val="00BE4774"/>
    <w:rsid w:val="00BE47A4"/>
    <w:rsid w:val="00BE47E4"/>
    <w:rsid w:val="00BE481B"/>
    <w:rsid w:val="00BE4865"/>
    <w:rsid w:val="00BE4866"/>
    <w:rsid w:val="00BE49AC"/>
    <w:rsid w:val="00BE4ABD"/>
    <w:rsid w:val="00BE4AF2"/>
    <w:rsid w:val="00BE4B56"/>
    <w:rsid w:val="00BE4B5C"/>
    <w:rsid w:val="00BE4B84"/>
    <w:rsid w:val="00BE4C84"/>
    <w:rsid w:val="00BE4CC8"/>
    <w:rsid w:val="00BE4CE2"/>
    <w:rsid w:val="00BE4D49"/>
    <w:rsid w:val="00BE4D67"/>
    <w:rsid w:val="00BE4E5D"/>
    <w:rsid w:val="00BE4F94"/>
    <w:rsid w:val="00BE5043"/>
    <w:rsid w:val="00BE50A8"/>
    <w:rsid w:val="00BE50F7"/>
    <w:rsid w:val="00BE5113"/>
    <w:rsid w:val="00BE51B3"/>
    <w:rsid w:val="00BE532F"/>
    <w:rsid w:val="00BE5352"/>
    <w:rsid w:val="00BE536E"/>
    <w:rsid w:val="00BE53FD"/>
    <w:rsid w:val="00BE547D"/>
    <w:rsid w:val="00BE5490"/>
    <w:rsid w:val="00BE54A1"/>
    <w:rsid w:val="00BE54CD"/>
    <w:rsid w:val="00BE567C"/>
    <w:rsid w:val="00BE56EE"/>
    <w:rsid w:val="00BE56F2"/>
    <w:rsid w:val="00BE57B5"/>
    <w:rsid w:val="00BE5870"/>
    <w:rsid w:val="00BE5A6F"/>
    <w:rsid w:val="00BE5BFA"/>
    <w:rsid w:val="00BE5C67"/>
    <w:rsid w:val="00BE5DE4"/>
    <w:rsid w:val="00BE5E9E"/>
    <w:rsid w:val="00BE5EF3"/>
    <w:rsid w:val="00BE5F1E"/>
    <w:rsid w:val="00BE5F37"/>
    <w:rsid w:val="00BE5F3A"/>
    <w:rsid w:val="00BE5F4B"/>
    <w:rsid w:val="00BE5F4F"/>
    <w:rsid w:val="00BE5F84"/>
    <w:rsid w:val="00BE5F8E"/>
    <w:rsid w:val="00BE5FD2"/>
    <w:rsid w:val="00BE602C"/>
    <w:rsid w:val="00BE61C0"/>
    <w:rsid w:val="00BE6227"/>
    <w:rsid w:val="00BE62BF"/>
    <w:rsid w:val="00BE62EC"/>
    <w:rsid w:val="00BE633E"/>
    <w:rsid w:val="00BE63A7"/>
    <w:rsid w:val="00BE63B0"/>
    <w:rsid w:val="00BE64C9"/>
    <w:rsid w:val="00BE64FF"/>
    <w:rsid w:val="00BE655E"/>
    <w:rsid w:val="00BE6574"/>
    <w:rsid w:val="00BE6618"/>
    <w:rsid w:val="00BE669E"/>
    <w:rsid w:val="00BE66D2"/>
    <w:rsid w:val="00BE67AF"/>
    <w:rsid w:val="00BE67E6"/>
    <w:rsid w:val="00BE67E9"/>
    <w:rsid w:val="00BE6810"/>
    <w:rsid w:val="00BE68F9"/>
    <w:rsid w:val="00BE6945"/>
    <w:rsid w:val="00BE6A48"/>
    <w:rsid w:val="00BE6A49"/>
    <w:rsid w:val="00BE6AAB"/>
    <w:rsid w:val="00BE6B3A"/>
    <w:rsid w:val="00BE6B48"/>
    <w:rsid w:val="00BE6DF8"/>
    <w:rsid w:val="00BE7066"/>
    <w:rsid w:val="00BE720D"/>
    <w:rsid w:val="00BE7294"/>
    <w:rsid w:val="00BE73A6"/>
    <w:rsid w:val="00BE73A8"/>
    <w:rsid w:val="00BE73B4"/>
    <w:rsid w:val="00BE73BA"/>
    <w:rsid w:val="00BE741D"/>
    <w:rsid w:val="00BE7458"/>
    <w:rsid w:val="00BE74E2"/>
    <w:rsid w:val="00BE7502"/>
    <w:rsid w:val="00BE7520"/>
    <w:rsid w:val="00BE75F3"/>
    <w:rsid w:val="00BE76DD"/>
    <w:rsid w:val="00BE77D4"/>
    <w:rsid w:val="00BE793D"/>
    <w:rsid w:val="00BE797D"/>
    <w:rsid w:val="00BE7A7E"/>
    <w:rsid w:val="00BE7C2B"/>
    <w:rsid w:val="00BE7C53"/>
    <w:rsid w:val="00BE7C9B"/>
    <w:rsid w:val="00BE7D77"/>
    <w:rsid w:val="00BE7E0C"/>
    <w:rsid w:val="00BE7F7D"/>
    <w:rsid w:val="00BE7FC8"/>
    <w:rsid w:val="00BF0074"/>
    <w:rsid w:val="00BF00D6"/>
    <w:rsid w:val="00BF019C"/>
    <w:rsid w:val="00BF0225"/>
    <w:rsid w:val="00BF02F0"/>
    <w:rsid w:val="00BF0319"/>
    <w:rsid w:val="00BF03ED"/>
    <w:rsid w:val="00BF0517"/>
    <w:rsid w:val="00BF0555"/>
    <w:rsid w:val="00BF066F"/>
    <w:rsid w:val="00BF0706"/>
    <w:rsid w:val="00BF07D9"/>
    <w:rsid w:val="00BF0806"/>
    <w:rsid w:val="00BF0985"/>
    <w:rsid w:val="00BF0990"/>
    <w:rsid w:val="00BF0998"/>
    <w:rsid w:val="00BF09DB"/>
    <w:rsid w:val="00BF0A11"/>
    <w:rsid w:val="00BF0A52"/>
    <w:rsid w:val="00BF0A98"/>
    <w:rsid w:val="00BF0BB4"/>
    <w:rsid w:val="00BF0C98"/>
    <w:rsid w:val="00BF0CAB"/>
    <w:rsid w:val="00BF0CEA"/>
    <w:rsid w:val="00BF0D61"/>
    <w:rsid w:val="00BF0DB2"/>
    <w:rsid w:val="00BF0EBE"/>
    <w:rsid w:val="00BF0ED8"/>
    <w:rsid w:val="00BF0F51"/>
    <w:rsid w:val="00BF100D"/>
    <w:rsid w:val="00BF1033"/>
    <w:rsid w:val="00BF122D"/>
    <w:rsid w:val="00BF1430"/>
    <w:rsid w:val="00BF14F3"/>
    <w:rsid w:val="00BF159F"/>
    <w:rsid w:val="00BF15A5"/>
    <w:rsid w:val="00BF15D2"/>
    <w:rsid w:val="00BF1640"/>
    <w:rsid w:val="00BF1646"/>
    <w:rsid w:val="00BF16B4"/>
    <w:rsid w:val="00BF16FB"/>
    <w:rsid w:val="00BF184A"/>
    <w:rsid w:val="00BF189C"/>
    <w:rsid w:val="00BF18B8"/>
    <w:rsid w:val="00BF18F5"/>
    <w:rsid w:val="00BF1973"/>
    <w:rsid w:val="00BF1A7E"/>
    <w:rsid w:val="00BF1B55"/>
    <w:rsid w:val="00BF1BA1"/>
    <w:rsid w:val="00BF1CAD"/>
    <w:rsid w:val="00BF1CD7"/>
    <w:rsid w:val="00BF1E90"/>
    <w:rsid w:val="00BF1E9A"/>
    <w:rsid w:val="00BF1FB3"/>
    <w:rsid w:val="00BF1FEF"/>
    <w:rsid w:val="00BF20B0"/>
    <w:rsid w:val="00BF20D6"/>
    <w:rsid w:val="00BF20F6"/>
    <w:rsid w:val="00BF21A0"/>
    <w:rsid w:val="00BF2217"/>
    <w:rsid w:val="00BF2234"/>
    <w:rsid w:val="00BF2305"/>
    <w:rsid w:val="00BF2371"/>
    <w:rsid w:val="00BF252D"/>
    <w:rsid w:val="00BF25A8"/>
    <w:rsid w:val="00BF2633"/>
    <w:rsid w:val="00BF26B8"/>
    <w:rsid w:val="00BF27DD"/>
    <w:rsid w:val="00BF27E0"/>
    <w:rsid w:val="00BF28E5"/>
    <w:rsid w:val="00BF29BB"/>
    <w:rsid w:val="00BF29C0"/>
    <w:rsid w:val="00BF2A3F"/>
    <w:rsid w:val="00BF2A72"/>
    <w:rsid w:val="00BF2BF2"/>
    <w:rsid w:val="00BF2C0A"/>
    <w:rsid w:val="00BF2C1A"/>
    <w:rsid w:val="00BF2CAA"/>
    <w:rsid w:val="00BF2D23"/>
    <w:rsid w:val="00BF2D9C"/>
    <w:rsid w:val="00BF2DE2"/>
    <w:rsid w:val="00BF2FEB"/>
    <w:rsid w:val="00BF2FFF"/>
    <w:rsid w:val="00BF318C"/>
    <w:rsid w:val="00BF318E"/>
    <w:rsid w:val="00BF3194"/>
    <w:rsid w:val="00BF3259"/>
    <w:rsid w:val="00BF3288"/>
    <w:rsid w:val="00BF32B5"/>
    <w:rsid w:val="00BF33C9"/>
    <w:rsid w:val="00BF341D"/>
    <w:rsid w:val="00BF34C0"/>
    <w:rsid w:val="00BF357B"/>
    <w:rsid w:val="00BF3676"/>
    <w:rsid w:val="00BF36E6"/>
    <w:rsid w:val="00BF3717"/>
    <w:rsid w:val="00BF378D"/>
    <w:rsid w:val="00BF37CF"/>
    <w:rsid w:val="00BF37E1"/>
    <w:rsid w:val="00BF3800"/>
    <w:rsid w:val="00BF3873"/>
    <w:rsid w:val="00BF387A"/>
    <w:rsid w:val="00BF3900"/>
    <w:rsid w:val="00BF3999"/>
    <w:rsid w:val="00BF399F"/>
    <w:rsid w:val="00BF39A4"/>
    <w:rsid w:val="00BF3B8C"/>
    <w:rsid w:val="00BF3C36"/>
    <w:rsid w:val="00BF3C82"/>
    <w:rsid w:val="00BF3CAF"/>
    <w:rsid w:val="00BF3F63"/>
    <w:rsid w:val="00BF3F7E"/>
    <w:rsid w:val="00BF3FF9"/>
    <w:rsid w:val="00BF4204"/>
    <w:rsid w:val="00BF4207"/>
    <w:rsid w:val="00BF4318"/>
    <w:rsid w:val="00BF458B"/>
    <w:rsid w:val="00BF45EE"/>
    <w:rsid w:val="00BF4718"/>
    <w:rsid w:val="00BF47A5"/>
    <w:rsid w:val="00BF482A"/>
    <w:rsid w:val="00BF495B"/>
    <w:rsid w:val="00BF4A6A"/>
    <w:rsid w:val="00BF4B18"/>
    <w:rsid w:val="00BF4B2C"/>
    <w:rsid w:val="00BF4BE3"/>
    <w:rsid w:val="00BF4C2A"/>
    <w:rsid w:val="00BF4C8A"/>
    <w:rsid w:val="00BF4CF3"/>
    <w:rsid w:val="00BF4D13"/>
    <w:rsid w:val="00BF4D25"/>
    <w:rsid w:val="00BF4D99"/>
    <w:rsid w:val="00BF4DB3"/>
    <w:rsid w:val="00BF4DD7"/>
    <w:rsid w:val="00BF4E6B"/>
    <w:rsid w:val="00BF4EE5"/>
    <w:rsid w:val="00BF4F03"/>
    <w:rsid w:val="00BF4F82"/>
    <w:rsid w:val="00BF4F85"/>
    <w:rsid w:val="00BF4FDC"/>
    <w:rsid w:val="00BF5041"/>
    <w:rsid w:val="00BF51A9"/>
    <w:rsid w:val="00BF5220"/>
    <w:rsid w:val="00BF52C4"/>
    <w:rsid w:val="00BF53BD"/>
    <w:rsid w:val="00BF54B6"/>
    <w:rsid w:val="00BF54CD"/>
    <w:rsid w:val="00BF5536"/>
    <w:rsid w:val="00BF557D"/>
    <w:rsid w:val="00BF5658"/>
    <w:rsid w:val="00BF5678"/>
    <w:rsid w:val="00BF56AA"/>
    <w:rsid w:val="00BF5888"/>
    <w:rsid w:val="00BF5918"/>
    <w:rsid w:val="00BF591A"/>
    <w:rsid w:val="00BF5937"/>
    <w:rsid w:val="00BF5AA3"/>
    <w:rsid w:val="00BF5C32"/>
    <w:rsid w:val="00BF5C7D"/>
    <w:rsid w:val="00BF5C91"/>
    <w:rsid w:val="00BF5CC7"/>
    <w:rsid w:val="00BF5D91"/>
    <w:rsid w:val="00BF5ECC"/>
    <w:rsid w:val="00BF5EE4"/>
    <w:rsid w:val="00BF5F19"/>
    <w:rsid w:val="00BF5F79"/>
    <w:rsid w:val="00BF6015"/>
    <w:rsid w:val="00BF6099"/>
    <w:rsid w:val="00BF6111"/>
    <w:rsid w:val="00BF64A2"/>
    <w:rsid w:val="00BF64C1"/>
    <w:rsid w:val="00BF6550"/>
    <w:rsid w:val="00BF6644"/>
    <w:rsid w:val="00BF6715"/>
    <w:rsid w:val="00BF6744"/>
    <w:rsid w:val="00BF67EB"/>
    <w:rsid w:val="00BF67ED"/>
    <w:rsid w:val="00BF69B1"/>
    <w:rsid w:val="00BF69DE"/>
    <w:rsid w:val="00BF6A40"/>
    <w:rsid w:val="00BF6B91"/>
    <w:rsid w:val="00BF6BC6"/>
    <w:rsid w:val="00BF6C43"/>
    <w:rsid w:val="00BF6C83"/>
    <w:rsid w:val="00BF6CB2"/>
    <w:rsid w:val="00BF6CC4"/>
    <w:rsid w:val="00BF6D6F"/>
    <w:rsid w:val="00BF6E9E"/>
    <w:rsid w:val="00BF6F80"/>
    <w:rsid w:val="00BF6F8A"/>
    <w:rsid w:val="00BF706F"/>
    <w:rsid w:val="00BF7267"/>
    <w:rsid w:val="00BF7397"/>
    <w:rsid w:val="00BF7415"/>
    <w:rsid w:val="00BF75AE"/>
    <w:rsid w:val="00BF762B"/>
    <w:rsid w:val="00BF76EA"/>
    <w:rsid w:val="00BF781D"/>
    <w:rsid w:val="00BF78F6"/>
    <w:rsid w:val="00BF78FD"/>
    <w:rsid w:val="00BF7944"/>
    <w:rsid w:val="00BF79CC"/>
    <w:rsid w:val="00BF7A09"/>
    <w:rsid w:val="00BF7A40"/>
    <w:rsid w:val="00BF7A4D"/>
    <w:rsid w:val="00BF7A54"/>
    <w:rsid w:val="00BF7ACB"/>
    <w:rsid w:val="00BF7B57"/>
    <w:rsid w:val="00BF7B5E"/>
    <w:rsid w:val="00BF7C46"/>
    <w:rsid w:val="00BF7C71"/>
    <w:rsid w:val="00BF7D33"/>
    <w:rsid w:val="00BF7DCB"/>
    <w:rsid w:val="00BF7E61"/>
    <w:rsid w:val="00BF7EFB"/>
    <w:rsid w:val="00BF7F65"/>
    <w:rsid w:val="00C00019"/>
    <w:rsid w:val="00C0011C"/>
    <w:rsid w:val="00C00220"/>
    <w:rsid w:val="00C00223"/>
    <w:rsid w:val="00C002C7"/>
    <w:rsid w:val="00C003DB"/>
    <w:rsid w:val="00C003EE"/>
    <w:rsid w:val="00C0049D"/>
    <w:rsid w:val="00C004BC"/>
    <w:rsid w:val="00C004E6"/>
    <w:rsid w:val="00C006FD"/>
    <w:rsid w:val="00C00839"/>
    <w:rsid w:val="00C00863"/>
    <w:rsid w:val="00C008E9"/>
    <w:rsid w:val="00C00A3F"/>
    <w:rsid w:val="00C00A70"/>
    <w:rsid w:val="00C00AD7"/>
    <w:rsid w:val="00C00B1F"/>
    <w:rsid w:val="00C00B20"/>
    <w:rsid w:val="00C00BAD"/>
    <w:rsid w:val="00C00C68"/>
    <w:rsid w:val="00C00E7F"/>
    <w:rsid w:val="00C00E8C"/>
    <w:rsid w:val="00C00EEA"/>
    <w:rsid w:val="00C00F68"/>
    <w:rsid w:val="00C0107B"/>
    <w:rsid w:val="00C010DD"/>
    <w:rsid w:val="00C011FB"/>
    <w:rsid w:val="00C0121D"/>
    <w:rsid w:val="00C01242"/>
    <w:rsid w:val="00C012BE"/>
    <w:rsid w:val="00C012E2"/>
    <w:rsid w:val="00C013BB"/>
    <w:rsid w:val="00C01468"/>
    <w:rsid w:val="00C014D7"/>
    <w:rsid w:val="00C014F1"/>
    <w:rsid w:val="00C01688"/>
    <w:rsid w:val="00C01729"/>
    <w:rsid w:val="00C0174C"/>
    <w:rsid w:val="00C0175E"/>
    <w:rsid w:val="00C01899"/>
    <w:rsid w:val="00C01966"/>
    <w:rsid w:val="00C0199F"/>
    <w:rsid w:val="00C01C0D"/>
    <w:rsid w:val="00C01C30"/>
    <w:rsid w:val="00C01E4A"/>
    <w:rsid w:val="00C01EB8"/>
    <w:rsid w:val="00C01F89"/>
    <w:rsid w:val="00C01FE9"/>
    <w:rsid w:val="00C0219E"/>
    <w:rsid w:val="00C021F0"/>
    <w:rsid w:val="00C02212"/>
    <w:rsid w:val="00C0230B"/>
    <w:rsid w:val="00C02316"/>
    <w:rsid w:val="00C023E4"/>
    <w:rsid w:val="00C0244B"/>
    <w:rsid w:val="00C02489"/>
    <w:rsid w:val="00C024F0"/>
    <w:rsid w:val="00C02550"/>
    <w:rsid w:val="00C025CE"/>
    <w:rsid w:val="00C02614"/>
    <w:rsid w:val="00C0272B"/>
    <w:rsid w:val="00C0275E"/>
    <w:rsid w:val="00C027C4"/>
    <w:rsid w:val="00C027EE"/>
    <w:rsid w:val="00C027F8"/>
    <w:rsid w:val="00C02811"/>
    <w:rsid w:val="00C0284D"/>
    <w:rsid w:val="00C028E6"/>
    <w:rsid w:val="00C02903"/>
    <w:rsid w:val="00C02A03"/>
    <w:rsid w:val="00C02ADE"/>
    <w:rsid w:val="00C02AE9"/>
    <w:rsid w:val="00C02B51"/>
    <w:rsid w:val="00C02BA1"/>
    <w:rsid w:val="00C02BEA"/>
    <w:rsid w:val="00C02C80"/>
    <w:rsid w:val="00C02D5F"/>
    <w:rsid w:val="00C02E7D"/>
    <w:rsid w:val="00C02E7F"/>
    <w:rsid w:val="00C02EBC"/>
    <w:rsid w:val="00C02F59"/>
    <w:rsid w:val="00C02F87"/>
    <w:rsid w:val="00C03066"/>
    <w:rsid w:val="00C0317A"/>
    <w:rsid w:val="00C03186"/>
    <w:rsid w:val="00C031B6"/>
    <w:rsid w:val="00C033C7"/>
    <w:rsid w:val="00C0351D"/>
    <w:rsid w:val="00C03524"/>
    <w:rsid w:val="00C035FF"/>
    <w:rsid w:val="00C0360B"/>
    <w:rsid w:val="00C0385D"/>
    <w:rsid w:val="00C03890"/>
    <w:rsid w:val="00C03926"/>
    <w:rsid w:val="00C0393E"/>
    <w:rsid w:val="00C03983"/>
    <w:rsid w:val="00C03A9F"/>
    <w:rsid w:val="00C03AAA"/>
    <w:rsid w:val="00C03BE5"/>
    <w:rsid w:val="00C03D7A"/>
    <w:rsid w:val="00C04001"/>
    <w:rsid w:val="00C04028"/>
    <w:rsid w:val="00C0405F"/>
    <w:rsid w:val="00C0413E"/>
    <w:rsid w:val="00C041BB"/>
    <w:rsid w:val="00C042DF"/>
    <w:rsid w:val="00C042E7"/>
    <w:rsid w:val="00C04303"/>
    <w:rsid w:val="00C0431A"/>
    <w:rsid w:val="00C04327"/>
    <w:rsid w:val="00C0447D"/>
    <w:rsid w:val="00C04483"/>
    <w:rsid w:val="00C044B6"/>
    <w:rsid w:val="00C0457E"/>
    <w:rsid w:val="00C04669"/>
    <w:rsid w:val="00C04694"/>
    <w:rsid w:val="00C046A5"/>
    <w:rsid w:val="00C046F0"/>
    <w:rsid w:val="00C047E3"/>
    <w:rsid w:val="00C047E5"/>
    <w:rsid w:val="00C04805"/>
    <w:rsid w:val="00C0483F"/>
    <w:rsid w:val="00C048CD"/>
    <w:rsid w:val="00C04A1E"/>
    <w:rsid w:val="00C04A30"/>
    <w:rsid w:val="00C04ABD"/>
    <w:rsid w:val="00C04AD3"/>
    <w:rsid w:val="00C04B77"/>
    <w:rsid w:val="00C04C5C"/>
    <w:rsid w:val="00C04E9B"/>
    <w:rsid w:val="00C04FDC"/>
    <w:rsid w:val="00C04FFC"/>
    <w:rsid w:val="00C05059"/>
    <w:rsid w:val="00C05193"/>
    <w:rsid w:val="00C051E5"/>
    <w:rsid w:val="00C0527F"/>
    <w:rsid w:val="00C053C2"/>
    <w:rsid w:val="00C05479"/>
    <w:rsid w:val="00C055B1"/>
    <w:rsid w:val="00C055C8"/>
    <w:rsid w:val="00C056AC"/>
    <w:rsid w:val="00C057E9"/>
    <w:rsid w:val="00C058D1"/>
    <w:rsid w:val="00C058DA"/>
    <w:rsid w:val="00C059B8"/>
    <w:rsid w:val="00C05A1F"/>
    <w:rsid w:val="00C05A80"/>
    <w:rsid w:val="00C05A83"/>
    <w:rsid w:val="00C05AAD"/>
    <w:rsid w:val="00C05AFA"/>
    <w:rsid w:val="00C05B23"/>
    <w:rsid w:val="00C05B36"/>
    <w:rsid w:val="00C05B65"/>
    <w:rsid w:val="00C05CC9"/>
    <w:rsid w:val="00C05D61"/>
    <w:rsid w:val="00C05E3C"/>
    <w:rsid w:val="00C05E52"/>
    <w:rsid w:val="00C05EB1"/>
    <w:rsid w:val="00C05F4B"/>
    <w:rsid w:val="00C05FD3"/>
    <w:rsid w:val="00C06093"/>
    <w:rsid w:val="00C060C0"/>
    <w:rsid w:val="00C06120"/>
    <w:rsid w:val="00C062AB"/>
    <w:rsid w:val="00C06351"/>
    <w:rsid w:val="00C06488"/>
    <w:rsid w:val="00C06524"/>
    <w:rsid w:val="00C06549"/>
    <w:rsid w:val="00C06569"/>
    <w:rsid w:val="00C06592"/>
    <w:rsid w:val="00C0662E"/>
    <w:rsid w:val="00C06635"/>
    <w:rsid w:val="00C06697"/>
    <w:rsid w:val="00C06832"/>
    <w:rsid w:val="00C0684D"/>
    <w:rsid w:val="00C06ABD"/>
    <w:rsid w:val="00C06AC7"/>
    <w:rsid w:val="00C06C53"/>
    <w:rsid w:val="00C06C84"/>
    <w:rsid w:val="00C06CC6"/>
    <w:rsid w:val="00C06D8E"/>
    <w:rsid w:val="00C06DB6"/>
    <w:rsid w:val="00C06E07"/>
    <w:rsid w:val="00C07111"/>
    <w:rsid w:val="00C0720C"/>
    <w:rsid w:val="00C0725F"/>
    <w:rsid w:val="00C072BD"/>
    <w:rsid w:val="00C072E7"/>
    <w:rsid w:val="00C0736E"/>
    <w:rsid w:val="00C07373"/>
    <w:rsid w:val="00C07425"/>
    <w:rsid w:val="00C0748C"/>
    <w:rsid w:val="00C0757B"/>
    <w:rsid w:val="00C0775E"/>
    <w:rsid w:val="00C077FB"/>
    <w:rsid w:val="00C078CE"/>
    <w:rsid w:val="00C0793E"/>
    <w:rsid w:val="00C079B5"/>
    <w:rsid w:val="00C07A02"/>
    <w:rsid w:val="00C07BF1"/>
    <w:rsid w:val="00C07D60"/>
    <w:rsid w:val="00C07D66"/>
    <w:rsid w:val="00C07D79"/>
    <w:rsid w:val="00C07DB1"/>
    <w:rsid w:val="00C07DD7"/>
    <w:rsid w:val="00C07E41"/>
    <w:rsid w:val="00C07FC2"/>
    <w:rsid w:val="00C10075"/>
    <w:rsid w:val="00C1007D"/>
    <w:rsid w:val="00C100A5"/>
    <w:rsid w:val="00C100AE"/>
    <w:rsid w:val="00C100CF"/>
    <w:rsid w:val="00C10134"/>
    <w:rsid w:val="00C10189"/>
    <w:rsid w:val="00C10195"/>
    <w:rsid w:val="00C101FB"/>
    <w:rsid w:val="00C1020F"/>
    <w:rsid w:val="00C10322"/>
    <w:rsid w:val="00C1035C"/>
    <w:rsid w:val="00C103F3"/>
    <w:rsid w:val="00C1045F"/>
    <w:rsid w:val="00C105A2"/>
    <w:rsid w:val="00C106B2"/>
    <w:rsid w:val="00C108D5"/>
    <w:rsid w:val="00C1091B"/>
    <w:rsid w:val="00C10A04"/>
    <w:rsid w:val="00C10A09"/>
    <w:rsid w:val="00C10A9A"/>
    <w:rsid w:val="00C10B07"/>
    <w:rsid w:val="00C10B08"/>
    <w:rsid w:val="00C10C27"/>
    <w:rsid w:val="00C10C2F"/>
    <w:rsid w:val="00C10C82"/>
    <w:rsid w:val="00C10CB3"/>
    <w:rsid w:val="00C10D3B"/>
    <w:rsid w:val="00C10F3F"/>
    <w:rsid w:val="00C1103E"/>
    <w:rsid w:val="00C110A0"/>
    <w:rsid w:val="00C1112D"/>
    <w:rsid w:val="00C11143"/>
    <w:rsid w:val="00C11177"/>
    <w:rsid w:val="00C11224"/>
    <w:rsid w:val="00C11260"/>
    <w:rsid w:val="00C11269"/>
    <w:rsid w:val="00C112E7"/>
    <w:rsid w:val="00C1135B"/>
    <w:rsid w:val="00C11467"/>
    <w:rsid w:val="00C1147B"/>
    <w:rsid w:val="00C11515"/>
    <w:rsid w:val="00C1153F"/>
    <w:rsid w:val="00C117D9"/>
    <w:rsid w:val="00C1190F"/>
    <w:rsid w:val="00C11998"/>
    <w:rsid w:val="00C11BD9"/>
    <w:rsid w:val="00C11BF7"/>
    <w:rsid w:val="00C11BFF"/>
    <w:rsid w:val="00C11CA9"/>
    <w:rsid w:val="00C11CBD"/>
    <w:rsid w:val="00C11DAF"/>
    <w:rsid w:val="00C11E01"/>
    <w:rsid w:val="00C11E60"/>
    <w:rsid w:val="00C11E88"/>
    <w:rsid w:val="00C11EB1"/>
    <w:rsid w:val="00C11EBA"/>
    <w:rsid w:val="00C12070"/>
    <w:rsid w:val="00C120CA"/>
    <w:rsid w:val="00C12105"/>
    <w:rsid w:val="00C12181"/>
    <w:rsid w:val="00C121E5"/>
    <w:rsid w:val="00C12209"/>
    <w:rsid w:val="00C12318"/>
    <w:rsid w:val="00C123A2"/>
    <w:rsid w:val="00C124A6"/>
    <w:rsid w:val="00C1252B"/>
    <w:rsid w:val="00C125BC"/>
    <w:rsid w:val="00C12650"/>
    <w:rsid w:val="00C1268B"/>
    <w:rsid w:val="00C1275A"/>
    <w:rsid w:val="00C127FB"/>
    <w:rsid w:val="00C128D0"/>
    <w:rsid w:val="00C12955"/>
    <w:rsid w:val="00C12981"/>
    <w:rsid w:val="00C12A86"/>
    <w:rsid w:val="00C12B17"/>
    <w:rsid w:val="00C12BA0"/>
    <w:rsid w:val="00C12CA8"/>
    <w:rsid w:val="00C12D12"/>
    <w:rsid w:val="00C12DAF"/>
    <w:rsid w:val="00C12E37"/>
    <w:rsid w:val="00C12F02"/>
    <w:rsid w:val="00C12F65"/>
    <w:rsid w:val="00C1315C"/>
    <w:rsid w:val="00C131D7"/>
    <w:rsid w:val="00C1329C"/>
    <w:rsid w:val="00C132C3"/>
    <w:rsid w:val="00C1335F"/>
    <w:rsid w:val="00C133B3"/>
    <w:rsid w:val="00C134CE"/>
    <w:rsid w:val="00C134D7"/>
    <w:rsid w:val="00C135A3"/>
    <w:rsid w:val="00C135FF"/>
    <w:rsid w:val="00C13618"/>
    <w:rsid w:val="00C136F5"/>
    <w:rsid w:val="00C13725"/>
    <w:rsid w:val="00C13890"/>
    <w:rsid w:val="00C13BF9"/>
    <w:rsid w:val="00C13DBE"/>
    <w:rsid w:val="00C13F39"/>
    <w:rsid w:val="00C13F61"/>
    <w:rsid w:val="00C13FBF"/>
    <w:rsid w:val="00C140F0"/>
    <w:rsid w:val="00C1417E"/>
    <w:rsid w:val="00C141B5"/>
    <w:rsid w:val="00C1420D"/>
    <w:rsid w:val="00C14244"/>
    <w:rsid w:val="00C143CB"/>
    <w:rsid w:val="00C143CD"/>
    <w:rsid w:val="00C1440F"/>
    <w:rsid w:val="00C14453"/>
    <w:rsid w:val="00C14470"/>
    <w:rsid w:val="00C14485"/>
    <w:rsid w:val="00C145FA"/>
    <w:rsid w:val="00C14606"/>
    <w:rsid w:val="00C14826"/>
    <w:rsid w:val="00C1494E"/>
    <w:rsid w:val="00C14963"/>
    <w:rsid w:val="00C14999"/>
    <w:rsid w:val="00C14B0B"/>
    <w:rsid w:val="00C14C28"/>
    <w:rsid w:val="00C14D1B"/>
    <w:rsid w:val="00C14D22"/>
    <w:rsid w:val="00C14E15"/>
    <w:rsid w:val="00C14E43"/>
    <w:rsid w:val="00C14E54"/>
    <w:rsid w:val="00C14EA3"/>
    <w:rsid w:val="00C14F23"/>
    <w:rsid w:val="00C15055"/>
    <w:rsid w:val="00C15060"/>
    <w:rsid w:val="00C15078"/>
    <w:rsid w:val="00C150A4"/>
    <w:rsid w:val="00C15243"/>
    <w:rsid w:val="00C15281"/>
    <w:rsid w:val="00C152A2"/>
    <w:rsid w:val="00C15335"/>
    <w:rsid w:val="00C1539E"/>
    <w:rsid w:val="00C153AC"/>
    <w:rsid w:val="00C1546B"/>
    <w:rsid w:val="00C15524"/>
    <w:rsid w:val="00C15582"/>
    <w:rsid w:val="00C15671"/>
    <w:rsid w:val="00C15728"/>
    <w:rsid w:val="00C1599A"/>
    <w:rsid w:val="00C159CB"/>
    <w:rsid w:val="00C15A40"/>
    <w:rsid w:val="00C15A7E"/>
    <w:rsid w:val="00C15B17"/>
    <w:rsid w:val="00C15B76"/>
    <w:rsid w:val="00C15BD6"/>
    <w:rsid w:val="00C15D44"/>
    <w:rsid w:val="00C15E98"/>
    <w:rsid w:val="00C15EF8"/>
    <w:rsid w:val="00C15F2B"/>
    <w:rsid w:val="00C1601C"/>
    <w:rsid w:val="00C160F9"/>
    <w:rsid w:val="00C1612C"/>
    <w:rsid w:val="00C16251"/>
    <w:rsid w:val="00C16252"/>
    <w:rsid w:val="00C162DC"/>
    <w:rsid w:val="00C1638B"/>
    <w:rsid w:val="00C1645D"/>
    <w:rsid w:val="00C165CF"/>
    <w:rsid w:val="00C16673"/>
    <w:rsid w:val="00C16684"/>
    <w:rsid w:val="00C1669A"/>
    <w:rsid w:val="00C166C5"/>
    <w:rsid w:val="00C1693A"/>
    <w:rsid w:val="00C16A83"/>
    <w:rsid w:val="00C16AC7"/>
    <w:rsid w:val="00C16BFC"/>
    <w:rsid w:val="00C16D43"/>
    <w:rsid w:val="00C16DC5"/>
    <w:rsid w:val="00C16EA7"/>
    <w:rsid w:val="00C16F31"/>
    <w:rsid w:val="00C16FF7"/>
    <w:rsid w:val="00C17116"/>
    <w:rsid w:val="00C17212"/>
    <w:rsid w:val="00C172A9"/>
    <w:rsid w:val="00C172AA"/>
    <w:rsid w:val="00C172C0"/>
    <w:rsid w:val="00C17338"/>
    <w:rsid w:val="00C17344"/>
    <w:rsid w:val="00C173B2"/>
    <w:rsid w:val="00C173B8"/>
    <w:rsid w:val="00C173E4"/>
    <w:rsid w:val="00C174DA"/>
    <w:rsid w:val="00C1753E"/>
    <w:rsid w:val="00C175F0"/>
    <w:rsid w:val="00C17623"/>
    <w:rsid w:val="00C17789"/>
    <w:rsid w:val="00C177E3"/>
    <w:rsid w:val="00C17815"/>
    <w:rsid w:val="00C178B8"/>
    <w:rsid w:val="00C178F4"/>
    <w:rsid w:val="00C17957"/>
    <w:rsid w:val="00C1797B"/>
    <w:rsid w:val="00C17ABA"/>
    <w:rsid w:val="00C17E29"/>
    <w:rsid w:val="00C17EE1"/>
    <w:rsid w:val="00C20022"/>
    <w:rsid w:val="00C2002F"/>
    <w:rsid w:val="00C20040"/>
    <w:rsid w:val="00C200B7"/>
    <w:rsid w:val="00C2012A"/>
    <w:rsid w:val="00C20140"/>
    <w:rsid w:val="00C20260"/>
    <w:rsid w:val="00C2029B"/>
    <w:rsid w:val="00C202AA"/>
    <w:rsid w:val="00C2030D"/>
    <w:rsid w:val="00C2038A"/>
    <w:rsid w:val="00C2040B"/>
    <w:rsid w:val="00C206C9"/>
    <w:rsid w:val="00C206D3"/>
    <w:rsid w:val="00C207E4"/>
    <w:rsid w:val="00C20A89"/>
    <w:rsid w:val="00C20AA6"/>
    <w:rsid w:val="00C20AFF"/>
    <w:rsid w:val="00C20D0E"/>
    <w:rsid w:val="00C20D3D"/>
    <w:rsid w:val="00C20DF8"/>
    <w:rsid w:val="00C20E5A"/>
    <w:rsid w:val="00C20E8E"/>
    <w:rsid w:val="00C21172"/>
    <w:rsid w:val="00C21199"/>
    <w:rsid w:val="00C211DB"/>
    <w:rsid w:val="00C21219"/>
    <w:rsid w:val="00C2130D"/>
    <w:rsid w:val="00C213E2"/>
    <w:rsid w:val="00C21430"/>
    <w:rsid w:val="00C2143B"/>
    <w:rsid w:val="00C2151C"/>
    <w:rsid w:val="00C2168A"/>
    <w:rsid w:val="00C216A5"/>
    <w:rsid w:val="00C216EC"/>
    <w:rsid w:val="00C21754"/>
    <w:rsid w:val="00C2176A"/>
    <w:rsid w:val="00C217F6"/>
    <w:rsid w:val="00C21897"/>
    <w:rsid w:val="00C218B6"/>
    <w:rsid w:val="00C218DE"/>
    <w:rsid w:val="00C2191B"/>
    <w:rsid w:val="00C2195B"/>
    <w:rsid w:val="00C2198C"/>
    <w:rsid w:val="00C21A7B"/>
    <w:rsid w:val="00C21B45"/>
    <w:rsid w:val="00C21B60"/>
    <w:rsid w:val="00C21B9F"/>
    <w:rsid w:val="00C21BBC"/>
    <w:rsid w:val="00C21C49"/>
    <w:rsid w:val="00C21D52"/>
    <w:rsid w:val="00C21D9F"/>
    <w:rsid w:val="00C21E05"/>
    <w:rsid w:val="00C21F01"/>
    <w:rsid w:val="00C2202D"/>
    <w:rsid w:val="00C22151"/>
    <w:rsid w:val="00C221A0"/>
    <w:rsid w:val="00C221CD"/>
    <w:rsid w:val="00C221FB"/>
    <w:rsid w:val="00C22287"/>
    <w:rsid w:val="00C22294"/>
    <w:rsid w:val="00C224DD"/>
    <w:rsid w:val="00C22502"/>
    <w:rsid w:val="00C22633"/>
    <w:rsid w:val="00C226AE"/>
    <w:rsid w:val="00C22887"/>
    <w:rsid w:val="00C22904"/>
    <w:rsid w:val="00C22B37"/>
    <w:rsid w:val="00C22B7B"/>
    <w:rsid w:val="00C22BB2"/>
    <w:rsid w:val="00C22BD5"/>
    <w:rsid w:val="00C22C3B"/>
    <w:rsid w:val="00C22F0B"/>
    <w:rsid w:val="00C22F31"/>
    <w:rsid w:val="00C22F4A"/>
    <w:rsid w:val="00C23016"/>
    <w:rsid w:val="00C230A0"/>
    <w:rsid w:val="00C2325B"/>
    <w:rsid w:val="00C23381"/>
    <w:rsid w:val="00C233F6"/>
    <w:rsid w:val="00C235D5"/>
    <w:rsid w:val="00C235FF"/>
    <w:rsid w:val="00C2366A"/>
    <w:rsid w:val="00C2374A"/>
    <w:rsid w:val="00C23851"/>
    <w:rsid w:val="00C23862"/>
    <w:rsid w:val="00C239F0"/>
    <w:rsid w:val="00C23AE2"/>
    <w:rsid w:val="00C23C9B"/>
    <w:rsid w:val="00C23D05"/>
    <w:rsid w:val="00C23E31"/>
    <w:rsid w:val="00C23F00"/>
    <w:rsid w:val="00C23FE5"/>
    <w:rsid w:val="00C24004"/>
    <w:rsid w:val="00C2421B"/>
    <w:rsid w:val="00C24558"/>
    <w:rsid w:val="00C24624"/>
    <w:rsid w:val="00C2462E"/>
    <w:rsid w:val="00C24656"/>
    <w:rsid w:val="00C246B1"/>
    <w:rsid w:val="00C2477F"/>
    <w:rsid w:val="00C247A5"/>
    <w:rsid w:val="00C247C3"/>
    <w:rsid w:val="00C24AE2"/>
    <w:rsid w:val="00C24B00"/>
    <w:rsid w:val="00C24B18"/>
    <w:rsid w:val="00C24B33"/>
    <w:rsid w:val="00C24C15"/>
    <w:rsid w:val="00C24C18"/>
    <w:rsid w:val="00C24C6B"/>
    <w:rsid w:val="00C24CA0"/>
    <w:rsid w:val="00C24EDE"/>
    <w:rsid w:val="00C2509C"/>
    <w:rsid w:val="00C250C0"/>
    <w:rsid w:val="00C250DF"/>
    <w:rsid w:val="00C25153"/>
    <w:rsid w:val="00C252CA"/>
    <w:rsid w:val="00C25302"/>
    <w:rsid w:val="00C2530B"/>
    <w:rsid w:val="00C2536D"/>
    <w:rsid w:val="00C25729"/>
    <w:rsid w:val="00C25793"/>
    <w:rsid w:val="00C2590C"/>
    <w:rsid w:val="00C25949"/>
    <w:rsid w:val="00C259ED"/>
    <w:rsid w:val="00C259F3"/>
    <w:rsid w:val="00C25A72"/>
    <w:rsid w:val="00C25BF4"/>
    <w:rsid w:val="00C25C0B"/>
    <w:rsid w:val="00C25C72"/>
    <w:rsid w:val="00C25D03"/>
    <w:rsid w:val="00C25D4D"/>
    <w:rsid w:val="00C25DA8"/>
    <w:rsid w:val="00C25E3F"/>
    <w:rsid w:val="00C25EF1"/>
    <w:rsid w:val="00C25F29"/>
    <w:rsid w:val="00C25F8F"/>
    <w:rsid w:val="00C26075"/>
    <w:rsid w:val="00C2609F"/>
    <w:rsid w:val="00C260E4"/>
    <w:rsid w:val="00C26167"/>
    <w:rsid w:val="00C262A9"/>
    <w:rsid w:val="00C262BC"/>
    <w:rsid w:val="00C264D1"/>
    <w:rsid w:val="00C26609"/>
    <w:rsid w:val="00C2661A"/>
    <w:rsid w:val="00C2675A"/>
    <w:rsid w:val="00C267FC"/>
    <w:rsid w:val="00C26883"/>
    <w:rsid w:val="00C268EC"/>
    <w:rsid w:val="00C26923"/>
    <w:rsid w:val="00C26957"/>
    <w:rsid w:val="00C26966"/>
    <w:rsid w:val="00C26980"/>
    <w:rsid w:val="00C269BC"/>
    <w:rsid w:val="00C26A9B"/>
    <w:rsid w:val="00C26AA8"/>
    <w:rsid w:val="00C26AAE"/>
    <w:rsid w:val="00C26CCD"/>
    <w:rsid w:val="00C26DCB"/>
    <w:rsid w:val="00C26F0D"/>
    <w:rsid w:val="00C26F5B"/>
    <w:rsid w:val="00C26FF9"/>
    <w:rsid w:val="00C270FE"/>
    <w:rsid w:val="00C2718D"/>
    <w:rsid w:val="00C272B7"/>
    <w:rsid w:val="00C272D5"/>
    <w:rsid w:val="00C2733F"/>
    <w:rsid w:val="00C27363"/>
    <w:rsid w:val="00C2737A"/>
    <w:rsid w:val="00C2744A"/>
    <w:rsid w:val="00C27481"/>
    <w:rsid w:val="00C2756F"/>
    <w:rsid w:val="00C2778A"/>
    <w:rsid w:val="00C27848"/>
    <w:rsid w:val="00C27855"/>
    <w:rsid w:val="00C27889"/>
    <w:rsid w:val="00C279D4"/>
    <w:rsid w:val="00C27A4A"/>
    <w:rsid w:val="00C27A65"/>
    <w:rsid w:val="00C27A6E"/>
    <w:rsid w:val="00C27AF4"/>
    <w:rsid w:val="00C27B14"/>
    <w:rsid w:val="00C27C6A"/>
    <w:rsid w:val="00C27D0E"/>
    <w:rsid w:val="00C27E6F"/>
    <w:rsid w:val="00C27E81"/>
    <w:rsid w:val="00C27EE7"/>
    <w:rsid w:val="00C27EF6"/>
    <w:rsid w:val="00C27F7A"/>
    <w:rsid w:val="00C27FD1"/>
    <w:rsid w:val="00C30054"/>
    <w:rsid w:val="00C30168"/>
    <w:rsid w:val="00C301DC"/>
    <w:rsid w:val="00C30229"/>
    <w:rsid w:val="00C3022C"/>
    <w:rsid w:val="00C30295"/>
    <w:rsid w:val="00C30346"/>
    <w:rsid w:val="00C3034B"/>
    <w:rsid w:val="00C3044C"/>
    <w:rsid w:val="00C304FE"/>
    <w:rsid w:val="00C30592"/>
    <w:rsid w:val="00C30713"/>
    <w:rsid w:val="00C3075E"/>
    <w:rsid w:val="00C30794"/>
    <w:rsid w:val="00C307E7"/>
    <w:rsid w:val="00C30930"/>
    <w:rsid w:val="00C309E2"/>
    <w:rsid w:val="00C30A9A"/>
    <w:rsid w:val="00C30AEC"/>
    <w:rsid w:val="00C30BCE"/>
    <w:rsid w:val="00C30CEC"/>
    <w:rsid w:val="00C30D30"/>
    <w:rsid w:val="00C30D60"/>
    <w:rsid w:val="00C30E10"/>
    <w:rsid w:val="00C30E19"/>
    <w:rsid w:val="00C30E88"/>
    <w:rsid w:val="00C3109B"/>
    <w:rsid w:val="00C311C7"/>
    <w:rsid w:val="00C312D2"/>
    <w:rsid w:val="00C31324"/>
    <w:rsid w:val="00C313C3"/>
    <w:rsid w:val="00C3151C"/>
    <w:rsid w:val="00C315D6"/>
    <w:rsid w:val="00C315F8"/>
    <w:rsid w:val="00C31621"/>
    <w:rsid w:val="00C31671"/>
    <w:rsid w:val="00C317C9"/>
    <w:rsid w:val="00C317CD"/>
    <w:rsid w:val="00C31804"/>
    <w:rsid w:val="00C318D2"/>
    <w:rsid w:val="00C31930"/>
    <w:rsid w:val="00C319D1"/>
    <w:rsid w:val="00C31AD8"/>
    <w:rsid w:val="00C31AEB"/>
    <w:rsid w:val="00C31BE9"/>
    <w:rsid w:val="00C31CF6"/>
    <w:rsid w:val="00C31CFC"/>
    <w:rsid w:val="00C31D55"/>
    <w:rsid w:val="00C31F79"/>
    <w:rsid w:val="00C31F9D"/>
    <w:rsid w:val="00C3203D"/>
    <w:rsid w:val="00C320FC"/>
    <w:rsid w:val="00C3219A"/>
    <w:rsid w:val="00C32350"/>
    <w:rsid w:val="00C323C6"/>
    <w:rsid w:val="00C326B2"/>
    <w:rsid w:val="00C326C5"/>
    <w:rsid w:val="00C326F5"/>
    <w:rsid w:val="00C3274E"/>
    <w:rsid w:val="00C32818"/>
    <w:rsid w:val="00C32864"/>
    <w:rsid w:val="00C32903"/>
    <w:rsid w:val="00C32910"/>
    <w:rsid w:val="00C32942"/>
    <w:rsid w:val="00C32A6C"/>
    <w:rsid w:val="00C32A72"/>
    <w:rsid w:val="00C32A88"/>
    <w:rsid w:val="00C32B5D"/>
    <w:rsid w:val="00C32CAE"/>
    <w:rsid w:val="00C32D31"/>
    <w:rsid w:val="00C32D4C"/>
    <w:rsid w:val="00C32D88"/>
    <w:rsid w:val="00C32E55"/>
    <w:rsid w:val="00C3301C"/>
    <w:rsid w:val="00C3310A"/>
    <w:rsid w:val="00C33245"/>
    <w:rsid w:val="00C332AE"/>
    <w:rsid w:val="00C33425"/>
    <w:rsid w:val="00C33674"/>
    <w:rsid w:val="00C336B9"/>
    <w:rsid w:val="00C336F4"/>
    <w:rsid w:val="00C33707"/>
    <w:rsid w:val="00C33748"/>
    <w:rsid w:val="00C3375A"/>
    <w:rsid w:val="00C33760"/>
    <w:rsid w:val="00C337A3"/>
    <w:rsid w:val="00C3382F"/>
    <w:rsid w:val="00C3387E"/>
    <w:rsid w:val="00C33A42"/>
    <w:rsid w:val="00C33A7E"/>
    <w:rsid w:val="00C33B6A"/>
    <w:rsid w:val="00C33B85"/>
    <w:rsid w:val="00C33C01"/>
    <w:rsid w:val="00C33C6D"/>
    <w:rsid w:val="00C33E1A"/>
    <w:rsid w:val="00C33EAC"/>
    <w:rsid w:val="00C33FD2"/>
    <w:rsid w:val="00C34053"/>
    <w:rsid w:val="00C340B8"/>
    <w:rsid w:val="00C3414C"/>
    <w:rsid w:val="00C3415B"/>
    <w:rsid w:val="00C3417F"/>
    <w:rsid w:val="00C34208"/>
    <w:rsid w:val="00C34221"/>
    <w:rsid w:val="00C343AD"/>
    <w:rsid w:val="00C343B9"/>
    <w:rsid w:val="00C343D8"/>
    <w:rsid w:val="00C3442D"/>
    <w:rsid w:val="00C3444F"/>
    <w:rsid w:val="00C34450"/>
    <w:rsid w:val="00C34470"/>
    <w:rsid w:val="00C34554"/>
    <w:rsid w:val="00C346A3"/>
    <w:rsid w:val="00C346D1"/>
    <w:rsid w:val="00C3473C"/>
    <w:rsid w:val="00C3490F"/>
    <w:rsid w:val="00C3496D"/>
    <w:rsid w:val="00C34A90"/>
    <w:rsid w:val="00C34B38"/>
    <w:rsid w:val="00C34D09"/>
    <w:rsid w:val="00C34F25"/>
    <w:rsid w:val="00C34F8D"/>
    <w:rsid w:val="00C3500D"/>
    <w:rsid w:val="00C35074"/>
    <w:rsid w:val="00C35114"/>
    <w:rsid w:val="00C3518B"/>
    <w:rsid w:val="00C35280"/>
    <w:rsid w:val="00C35284"/>
    <w:rsid w:val="00C354C8"/>
    <w:rsid w:val="00C355EA"/>
    <w:rsid w:val="00C3568B"/>
    <w:rsid w:val="00C356BF"/>
    <w:rsid w:val="00C35932"/>
    <w:rsid w:val="00C359BB"/>
    <w:rsid w:val="00C35A7D"/>
    <w:rsid w:val="00C35B05"/>
    <w:rsid w:val="00C35B52"/>
    <w:rsid w:val="00C35B9F"/>
    <w:rsid w:val="00C35D30"/>
    <w:rsid w:val="00C35EFB"/>
    <w:rsid w:val="00C35F17"/>
    <w:rsid w:val="00C35FC0"/>
    <w:rsid w:val="00C360FF"/>
    <w:rsid w:val="00C3611E"/>
    <w:rsid w:val="00C362CD"/>
    <w:rsid w:val="00C363E2"/>
    <w:rsid w:val="00C363FA"/>
    <w:rsid w:val="00C36473"/>
    <w:rsid w:val="00C364B3"/>
    <w:rsid w:val="00C364E0"/>
    <w:rsid w:val="00C36561"/>
    <w:rsid w:val="00C365A5"/>
    <w:rsid w:val="00C365ED"/>
    <w:rsid w:val="00C36661"/>
    <w:rsid w:val="00C36910"/>
    <w:rsid w:val="00C369F1"/>
    <w:rsid w:val="00C36A5F"/>
    <w:rsid w:val="00C36AEE"/>
    <w:rsid w:val="00C36B5B"/>
    <w:rsid w:val="00C36BF5"/>
    <w:rsid w:val="00C36CA7"/>
    <w:rsid w:val="00C36D2E"/>
    <w:rsid w:val="00C36D3D"/>
    <w:rsid w:val="00C37033"/>
    <w:rsid w:val="00C3711C"/>
    <w:rsid w:val="00C371A2"/>
    <w:rsid w:val="00C37306"/>
    <w:rsid w:val="00C37403"/>
    <w:rsid w:val="00C37432"/>
    <w:rsid w:val="00C37435"/>
    <w:rsid w:val="00C374FA"/>
    <w:rsid w:val="00C37545"/>
    <w:rsid w:val="00C3754E"/>
    <w:rsid w:val="00C375BD"/>
    <w:rsid w:val="00C375CB"/>
    <w:rsid w:val="00C3767A"/>
    <w:rsid w:val="00C378DD"/>
    <w:rsid w:val="00C379BB"/>
    <w:rsid w:val="00C379DC"/>
    <w:rsid w:val="00C379E3"/>
    <w:rsid w:val="00C37A7C"/>
    <w:rsid w:val="00C37AC7"/>
    <w:rsid w:val="00C37B2D"/>
    <w:rsid w:val="00C37B5C"/>
    <w:rsid w:val="00C37BD4"/>
    <w:rsid w:val="00C37E62"/>
    <w:rsid w:val="00C37FF3"/>
    <w:rsid w:val="00C40058"/>
    <w:rsid w:val="00C400D8"/>
    <w:rsid w:val="00C401B3"/>
    <w:rsid w:val="00C40294"/>
    <w:rsid w:val="00C402CF"/>
    <w:rsid w:val="00C40429"/>
    <w:rsid w:val="00C4046E"/>
    <w:rsid w:val="00C40486"/>
    <w:rsid w:val="00C40598"/>
    <w:rsid w:val="00C40670"/>
    <w:rsid w:val="00C40702"/>
    <w:rsid w:val="00C40791"/>
    <w:rsid w:val="00C40909"/>
    <w:rsid w:val="00C40945"/>
    <w:rsid w:val="00C409F3"/>
    <w:rsid w:val="00C40BCB"/>
    <w:rsid w:val="00C40C36"/>
    <w:rsid w:val="00C40CB1"/>
    <w:rsid w:val="00C40CF4"/>
    <w:rsid w:val="00C40DEE"/>
    <w:rsid w:val="00C40DF8"/>
    <w:rsid w:val="00C40E75"/>
    <w:rsid w:val="00C41055"/>
    <w:rsid w:val="00C412AE"/>
    <w:rsid w:val="00C412BA"/>
    <w:rsid w:val="00C41439"/>
    <w:rsid w:val="00C414C1"/>
    <w:rsid w:val="00C41504"/>
    <w:rsid w:val="00C41505"/>
    <w:rsid w:val="00C41508"/>
    <w:rsid w:val="00C41566"/>
    <w:rsid w:val="00C415E5"/>
    <w:rsid w:val="00C416B5"/>
    <w:rsid w:val="00C41713"/>
    <w:rsid w:val="00C4174E"/>
    <w:rsid w:val="00C41799"/>
    <w:rsid w:val="00C4179A"/>
    <w:rsid w:val="00C417D2"/>
    <w:rsid w:val="00C419DE"/>
    <w:rsid w:val="00C41A24"/>
    <w:rsid w:val="00C41ACD"/>
    <w:rsid w:val="00C41B2D"/>
    <w:rsid w:val="00C41B3D"/>
    <w:rsid w:val="00C41BBF"/>
    <w:rsid w:val="00C41C4C"/>
    <w:rsid w:val="00C41CB8"/>
    <w:rsid w:val="00C41D43"/>
    <w:rsid w:val="00C41DB6"/>
    <w:rsid w:val="00C42049"/>
    <w:rsid w:val="00C42124"/>
    <w:rsid w:val="00C421CC"/>
    <w:rsid w:val="00C421DC"/>
    <w:rsid w:val="00C421E6"/>
    <w:rsid w:val="00C421E9"/>
    <w:rsid w:val="00C42351"/>
    <w:rsid w:val="00C423A3"/>
    <w:rsid w:val="00C423F9"/>
    <w:rsid w:val="00C42468"/>
    <w:rsid w:val="00C42492"/>
    <w:rsid w:val="00C424E8"/>
    <w:rsid w:val="00C424F5"/>
    <w:rsid w:val="00C4260B"/>
    <w:rsid w:val="00C426EF"/>
    <w:rsid w:val="00C42720"/>
    <w:rsid w:val="00C4289C"/>
    <w:rsid w:val="00C428A7"/>
    <w:rsid w:val="00C42911"/>
    <w:rsid w:val="00C42ABF"/>
    <w:rsid w:val="00C42BDE"/>
    <w:rsid w:val="00C42C6E"/>
    <w:rsid w:val="00C42CE6"/>
    <w:rsid w:val="00C42CFC"/>
    <w:rsid w:val="00C42E22"/>
    <w:rsid w:val="00C42ED7"/>
    <w:rsid w:val="00C42F8E"/>
    <w:rsid w:val="00C42FB0"/>
    <w:rsid w:val="00C43039"/>
    <w:rsid w:val="00C43138"/>
    <w:rsid w:val="00C43201"/>
    <w:rsid w:val="00C43237"/>
    <w:rsid w:val="00C43244"/>
    <w:rsid w:val="00C432A5"/>
    <w:rsid w:val="00C432BD"/>
    <w:rsid w:val="00C432D5"/>
    <w:rsid w:val="00C43448"/>
    <w:rsid w:val="00C434D2"/>
    <w:rsid w:val="00C4353C"/>
    <w:rsid w:val="00C4359D"/>
    <w:rsid w:val="00C435E2"/>
    <w:rsid w:val="00C436AB"/>
    <w:rsid w:val="00C43712"/>
    <w:rsid w:val="00C4382F"/>
    <w:rsid w:val="00C43868"/>
    <w:rsid w:val="00C43903"/>
    <w:rsid w:val="00C4394C"/>
    <w:rsid w:val="00C43978"/>
    <w:rsid w:val="00C43998"/>
    <w:rsid w:val="00C439C0"/>
    <w:rsid w:val="00C43A3B"/>
    <w:rsid w:val="00C43AD3"/>
    <w:rsid w:val="00C43C15"/>
    <w:rsid w:val="00C43E3E"/>
    <w:rsid w:val="00C43E86"/>
    <w:rsid w:val="00C43EB4"/>
    <w:rsid w:val="00C43EDB"/>
    <w:rsid w:val="00C43F01"/>
    <w:rsid w:val="00C44009"/>
    <w:rsid w:val="00C4408F"/>
    <w:rsid w:val="00C44195"/>
    <w:rsid w:val="00C441B3"/>
    <w:rsid w:val="00C442A4"/>
    <w:rsid w:val="00C4448E"/>
    <w:rsid w:val="00C444BE"/>
    <w:rsid w:val="00C4451B"/>
    <w:rsid w:val="00C445E8"/>
    <w:rsid w:val="00C44807"/>
    <w:rsid w:val="00C44981"/>
    <w:rsid w:val="00C4499D"/>
    <w:rsid w:val="00C44A31"/>
    <w:rsid w:val="00C44A64"/>
    <w:rsid w:val="00C44A74"/>
    <w:rsid w:val="00C44A99"/>
    <w:rsid w:val="00C44B9D"/>
    <w:rsid w:val="00C44BAC"/>
    <w:rsid w:val="00C44C95"/>
    <w:rsid w:val="00C44CDC"/>
    <w:rsid w:val="00C44D48"/>
    <w:rsid w:val="00C44D95"/>
    <w:rsid w:val="00C44F0C"/>
    <w:rsid w:val="00C4503A"/>
    <w:rsid w:val="00C450DC"/>
    <w:rsid w:val="00C4514F"/>
    <w:rsid w:val="00C45275"/>
    <w:rsid w:val="00C452D7"/>
    <w:rsid w:val="00C45341"/>
    <w:rsid w:val="00C45356"/>
    <w:rsid w:val="00C45445"/>
    <w:rsid w:val="00C45517"/>
    <w:rsid w:val="00C4552B"/>
    <w:rsid w:val="00C455B4"/>
    <w:rsid w:val="00C455FE"/>
    <w:rsid w:val="00C456C7"/>
    <w:rsid w:val="00C4576A"/>
    <w:rsid w:val="00C45783"/>
    <w:rsid w:val="00C458EC"/>
    <w:rsid w:val="00C4598B"/>
    <w:rsid w:val="00C45B09"/>
    <w:rsid w:val="00C45BDA"/>
    <w:rsid w:val="00C45C8B"/>
    <w:rsid w:val="00C45DBA"/>
    <w:rsid w:val="00C45E28"/>
    <w:rsid w:val="00C45E7E"/>
    <w:rsid w:val="00C45F79"/>
    <w:rsid w:val="00C45F7E"/>
    <w:rsid w:val="00C46029"/>
    <w:rsid w:val="00C4616B"/>
    <w:rsid w:val="00C4616D"/>
    <w:rsid w:val="00C4629E"/>
    <w:rsid w:val="00C464FA"/>
    <w:rsid w:val="00C46508"/>
    <w:rsid w:val="00C46539"/>
    <w:rsid w:val="00C4653B"/>
    <w:rsid w:val="00C46697"/>
    <w:rsid w:val="00C46734"/>
    <w:rsid w:val="00C46786"/>
    <w:rsid w:val="00C46810"/>
    <w:rsid w:val="00C468A4"/>
    <w:rsid w:val="00C4691F"/>
    <w:rsid w:val="00C46BB6"/>
    <w:rsid w:val="00C46BCF"/>
    <w:rsid w:val="00C46E54"/>
    <w:rsid w:val="00C46E6A"/>
    <w:rsid w:val="00C46E95"/>
    <w:rsid w:val="00C4704B"/>
    <w:rsid w:val="00C4706F"/>
    <w:rsid w:val="00C47102"/>
    <w:rsid w:val="00C47131"/>
    <w:rsid w:val="00C47207"/>
    <w:rsid w:val="00C4728C"/>
    <w:rsid w:val="00C472DC"/>
    <w:rsid w:val="00C4732A"/>
    <w:rsid w:val="00C4745E"/>
    <w:rsid w:val="00C4753A"/>
    <w:rsid w:val="00C477BD"/>
    <w:rsid w:val="00C477C0"/>
    <w:rsid w:val="00C477CD"/>
    <w:rsid w:val="00C47863"/>
    <w:rsid w:val="00C4794D"/>
    <w:rsid w:val="00C479AE"/>
    <w:rsid w:val="00C479F5"/>
    <w:rsid w:val="00C47A43"/>
    <w:rsid w:val="00C47A6A"/>
    <w:rsid w:val="00C47A6F"/>
    <w:rsid w:val="00C47AD8"/>
    <w:rsid w:val="00C47BAC"/>
    <w:rsid w:val="00C47BD0"/>
    <w:rsid w:val="00C47E03"/>
    <w:rsid w:val="00C47ED3"/>
    <w:rsid w:val="00C47F2B"/>
    <w:rsid w:val="00C47F3D"/>
    <w:rsid w:val="00C50096"/>
    <w:rsid w:val="00C500AC"/>
    <w:rsid w:val="00C50261"/>
    <w:rsid w:val="00C50275"/>
    <w:rsid w:val="00C50348"/>
    <w:rsid w:val="00C50366"/>
    <w:rsid w:val="00C50436"/>
    <w:rsid w:val="00C5064A"/>
    <w:rsid w:val="00C506DE"/>
    <w:rsid w:val="00C50744"/>
    <w:rsid w:val="00C507B5"/>
    <w:rsid w:val="00C507C1"/>
    <w:rsid w:val="00C509FA"/>
    <w:rsid w:val="00C50BDB"/>
    <w:rsid w:val="00C50C21"/>
    <w:rsid w:val="00C50C57"/>
    <w:rsid w:val="00C50C97"/>
    <w:rsid w:val="00C50D12"/>
    <w:rsid w:val="00C50DD5"/>
    <w:rsid w:val="00C50E9E"/>
    <w:rsid w:val="00C50EA4"/>
    <w:rsid w:val="00C50EB5"/>
    <w:rsid w:val="00C51037"/>
    <w:rsid w:val="00C511A7"/>
    <w:rsid w:val="00C51461"/>
    <w:rsid w:val="00C5153A"/>
    <w:rsid w:val="00C51699"/>
    <w:rsid w:val="00C516F5"/>
    <w:rsid w:val="00C5176D"/>
    <w:rsid w:val="00C517CB"/>
    <w:rsid w:val="00C517E6"/>
    <w:rsid w:val="00C51808"/>
    <w:rsid w:val="00C51818"/>
    <w:rsid w:val="00C518F8"/>
    <w:rsid w:val="00C519F1"/>
    <w:rsid w:val="00C51A52"/>
    <w:rsid w:val="00C51A70"/>
    <w:rsid w:val="00C51AAD"/>
    <w:rsid w:val="00C51C0F"/>
    <w:rsid w:val="00C51C2F"/>
    <w:rsid w:val="00C51CB7"/>
    <w:rsid w:val="00C51CD9"/>
    <w:rsid w:val="00C51CEF"/>
    <w:rsid w:val="00C51EC1"/>
    <w:rsid w:val="00C51F28"/>
    <w:rsid w:val="00C51FD0"/>
    <w:rsid w:val="00C5203E"/>
    <w:rsid w:val="00C520CE"/>
    <w:rsid w:val="00C52186"/>
    <w:rsid w:val="00C52293"/>
    <w:rsid w:val="00C52297"/>
    <w:rsid w:val="00C522E7"/>
    <w:rsid w:val="00C5244F"/>
    <w:rsid w:val="00C5247E"/>
    <w:rsid w:val="00C524B2"/>
    <w:rsid w:val="00C525CC"/>
    <w:rsid w:val="00C5264A"/>
    <w:rsid w:val="00C526DD"/>
    <w:rsid w:val="00C526E2"/>
    <w:rsid w:val="00C52727"/>
    <w:rsid w:val="00C52775"/>
    <w:rsid w:val="00C52910"/>
    <w:rsid w:val="00C5293A"/>
    <w:rsid w:val="00C52A41"/>
    <w:rsid w:val="00C52A43"/>
    <w:rsid w:val="00C52A5B"/>
    <w:rsid w:val="00C52B39"/>
    <w:rsid w:val="00C52BB1"/>
    <w:rsid w:val="00C52C1F"/>
    <w:rsid w:val="00C52C9F"/>
    <w:rsid w:val="00C52CDA"/>
    <w:rsid w:val="00C52D2B"/>
    <w:rsid w:val="00C52DC8"/>
    <w:rsid w:val="00C52E93"/>
    <w:rsid w:val="00C52F25"/>
    <w:rsid w:val="00C52F41"/>
    <w:rsid w:val="00C52FBA"/>
    <w:rsid w:val="00C53043"/>
    <w:rsid w:val="00C53117"/>
    <w:rsid w:val="00C53136"/>
    <w:rsid w:val="00C532CA"/>
    <w:rsid w:val="00C53303"/>
    <w:rsid w:val="00C5336B"/>
    <w:rsid w:val="00C533F3"/>
    <w:rsid w:val="00C533F7"/>
    <w:rsid w:val="00C5346A"/>
    <w:rsid w:val="00C535AA"/>
    <w:rsid w:val="00C53611"/>
    <w:rsid w:val="00C536C3"/>
    <w:rsid w:val="00C5383D"/>
    <w:rsid w:val="00C5383F"/>
    <w:rsid w:val="00C5384E"/>
    <w:rsid w:val="00C53893"/>
    <w:rsid w:val="00C53918"/>
    <w:rsid w:val="00C53937"/>
    <w:rsid w:val="00C53A73"/>
    <w:rsid w:val="00C53AB0"/>
    <w:rsid w:val="00C53AD9"/>
    <w:rsid w:val="00C53B00"/>
    <w:rsid w:val="00C53B1F"/>
    <w:rsid w:val="00C53B38"/>
    <w:rsid w:val="00C53B52"/>
    <w:rsid w:val="00C53B67"/>
    <w:rsid w:val="00C53CC7"/>
    <w:rsid w:val="00C53D4A"/>
    <w:rsid w:val="00C53DCF"/>
    <w:rsid w:val="00C53DDC"/>
    <w:rsid w:val="00C53EAD"/>
    <w:rsid w:val="00C53F9C"/>
    <w:rsid w:val="00C54158"/>
    <w:rsid w:val="00C541C9"/>
    <w:rsid w:val="00C54281"/>
    <w:rsid w:val="00C54289"/>
    <w:rsid w:val="00C54346"/>
    <w:rsid w:val="00C54391"/>
    <w:rsid w:val="00C54501"/>
    <w:rsid w:val="00C54533"/>
    <w:rsid w:val="00C54605"/>
    <w:rsid w:val="00C5473B"/>
    <w:rsid w:val="00C54841"/>
    <w:rsid w:val="00C5484C"/>
    <w:rsid w:val="00C548B5"/>
    <w:rsid w:val="00C5494F"/>
    <w:rsid w:val="00C54A74"/>
    <w:rsid w:val="00C54ACE"/>
    <w:rsid w:val="00C54EED"/>
    <w:rsid w:val="00C55030"/>
    <w:rsid w:val="00C55210"/>
    <w:rsid w:val="00C55214"/>
    <w:rsid w:val="00C553E1"/>
    <w:rsid w:val="00C55423"/>
    <w:rsid w:val="00C5544A"/>
    <w:rsid w:val="00C554B4"/>
    <w:rsid w:val="00C55554"/>
    <w:rsid w:val="00C556E2"/>
    <w:rsid w:val="00C557DA"/>
    <w:rsid w:val="00C557E4"/>
    <w:rsid w:val="00C5580E"/>
    <w:rsid w:val="00C5584E"/>
    <w:rsid w:val="00C55871"/>
    <w:rsid w:val="00C558DC"/>
    <w:rsid w:val="00C5590C"/>
    <w:rsid w:val="00C55C1C"/>
    <w:rsid w:val="00C55C5E"/>
    <w:rsid w:val="00C55D81"/>
    <w:rsid w:val="00C55DBA"/>
    <w:rsid w:val="00C55DD5"/>
    <w:rsid w:val="00C55E6F"/>
    <w:rsid w:val="00C55F23"/>
    <w:rsid w:val="00C55FC7"/>
    <w:rsid w:val="00C55FD9"/>
    <w:rsid w:val="00C560D6"/>
    <w:rsid w:val="00C560FD"/>
    <w:rsid w:val="00C56139"/>
    <w:rsid w:val="00C5628A"/>
    <w:rsid w:val="00C56336"/>
    <w:rsid w:val="00C5637F"/>
    <w:rsid w:val="00C563C1"/>
    <w:rsid w:val="00C563E3"/>
    <w:rsid w:val="00C564A2"/>
    <w:rsid w:val="00C56518"/>
    <w:rsid w:val="00C56694"/>
    <w:rsid w:val="00C5677E"/>
    <w:rsid w:val="00C56821"/>
    <w:rsid w:val="00C56866"/>
    <w:rsid w:val="00C568B2"/>
    <w:rsid w:val="00C5698C"/>
    <w:rsid w:val="00C56A02"/>
    <w:rsid w:val="00C56A15"/>
    <w:rsid w:val="00C56A9A"/>
    <w:rsid w:val="00C56AEC"/>
    <w:rsid w:val="00C56B26"/>
    <w:rsid w:val="00C56B93"/>
    <w:rsid w:val="00C56C25"/>
    <w:rsid w:val="00C56C79"/>
    <w:rsid w:val="00C56C99"/>
    <w:rsid w:val="00C56D10"/>
    <w:rsid w:val="00C56E0D"/>
    <w:rsid w:val="00C56EC8"/>
    <w:rsid w:val="00C56F8D"/>
    <w:rsid w:val="00C5717D"/>
    <w:rsid w:val="00C57211"/>
    <w:rsid w:val="00C57235"/>
    <w:rsid w:val="00C5725A"/>
    <w:rsid w:val="00C57263"/>
    <w:rsid w:val="00C57322"/>
    <w:rsid w:val="00C573D0"/>
    <w:rsid w:val="00C573DF"/>
    <w:rsid w:val="00C5743E"/>
    <w:rsid w:val="00C57464"/>
    <w:rsid w:val="00C57487"/>
    <w:rsid w:val="00C574F2"/>
    <w:rsid w:val="00C57645"/>
    <w:rsid w:val="00C576F3"/>
    <w:rsid w:val="00C57780"/>
    <w:rsid w:val="00C577F0"/>
    <w:rsid w:val="00C57976"/>
    <w:rsid w:val="00C5798A"/>
    <w:rsid w:val="00C57A27"/>
    <w:rsid w:val="00C57A31"/>
    <w:rsid w:val="00C57A66"/>
    <w:rsid w:val="00C57BC5"/>
    <w:rsid w:val="00C57CFE"/>
    <w:rsid w:val="00C57D00"/>
    <w:rsid w:val="00C57DC1"/>
    <w:rsid w:val="00C57E1B"/>
    <w:rsid w:val="00C57E55"/>
    <w:rsid w:val="00C57E83"/>
    <w:rsid w:val="00C57ED0"/>
    <w:rsid w:val="00C57F3C"/>
    <w:rsid w:val="00C57F53"/>
    <w:rsid w:val="00C60003"/>
    <w:rsid w:val="00C601F1"/>
    <w:rsid w:val="00C60215"/>
    <w:rsid w:val="00C60295"/>
    <w:rsid w:val="00C602E9"/>
    <w:rsid w:val="00C60388"/>
    <w:rsid w:val="00C6043E"/>
    <w:rsid w:val="00C6044A"/>
    <w:rsid w:val="00C60493"/>
    <w:rsid w:val="00C605A8"/>
    <w:rsid w:val="00C605B9"/>
    <w:rsid w:val="00C6061C"/>
    <w:rsid w:val="00C60692"/>
    <w:rsid w:val="00C60733"/>
    <w:rsid w:val="00C60808"/>
    <w:rsid w:val="00C60836"/>
    <w:rsid w:val="00C60980"/>
    <w:rsid w:val="00C60ABF"/>
    <w:rsid w:val="00C60B04"/>
    <w:rsid w:val="00C60BE8"/>
    <w:rsid w:val="00C60DA6"/>
    <w:rsid w:val="00C60DD5"/>
    <w:rsid w:val="00C60E18"/>
    <w:rsid w:val="00C60FAE"/>
    <w:rsid w:val="00C6106E"/>
    <w:rsid w:val="00C61080"/>
    <w:rsid w:val="00C610F6"/>
    <w:rsid w:val="00C61101"/>
    <w:rsid w:val="00C61156"/>
    <w:rsid w:val="00C6119B"/>
    <w:rsid w:val="00C61222"/>
    <w:rsid w:val="00C61286"/>
    <w:rsid w:val="00C61336"/>
    <w:rsid w:val="00C61344"/>
    <w:rsid w:val="00C613ED"/>
    <w:rsid w:val="00C614D7"/>
    <w:rsid w:val="00C6155C"/>
    <w:rsid w:val="00C61578"/>
    <w:rsid w:val="00C61646"/>
    <w:rsid w:val="00C6167E"/>
    <w:rsid w:val="00C616CE"/>
    <w:rsid w:val="00C616E7"/>
    <w:rsid w:val="00C61794"/>
    <w:rsid w:val="00C61993"/>
    <w:rsid w:val="00C619C7"/>
    <w:rsid w:val="00C61A3A"/>
    <w:rsid w:val="00C61C3F"/>
    <w:rsid w:val="00C61E07"/>
    <w:rsid w:val="00C61E94"/>
    <w:rsid w:val="00C61ECF"/>
    <w:rsid w:val="00C621A0"/>
    <w:rsid w:val="00C622AF"/>
    <w:rsid w:val="00C622EC"/>
    <w:rsid w:val="00C62320"/>
    <w:rsid w:val="00C623C5"/>
    <w:rsid w:val="00C62521"/>
    <w:rsid w:val="00C62597"/>
    <w:rsid w:val="00C62614"/>
    <w:rsid w:val="00C6262E"/>
    <w:rsid w:val="00C6265E"/>
    <w:rsid w:val="00C626CB"/>
    <w:rsid w:val="00C626CF"/>
    <w:rsid w:val="00C6279D"/>
    <w:rsid w:val="00C627BF"/>
    <w:rsid w:val="00C6289E"/>
    <w:rsid w:val="00C62B9F"/>
    <w:rsid w:val="00C62C65"/>
    <w:rsid w:val="00C62CDB"/>
    <w:rsid w:val="00C62DDD"/>
    <w:rsid w:val="00C62E43"/>
    <w:rsid w:val="00C62ED0"/>
    <w:rsid w:val="00C62EEC"/>
    <w:rsid w:val="00C630B8"/>
    <w:rsid w:val="00C630E8"/>
    <w:rsid w:val="00C63201"/>
    <w:rsid w:val="00C63259"/>
    <w:rsid w:val="00C632D4"/>
    <w:rsid w:val="00C632E4"/>
    <w:rsid w:val="00C63334"/>
    <w:rsid w:val="00C63343"/>
    <w:rsid w:val="00C6336B"/>
    <w:rsid w:val="00C634B5"/>
    <w:rsid w:val="00C6358F"/>
    <w:rsid w:val="00C63593"/>
    <w:rsid w:val="00C6359D"/>
    <w:rsid w:val="00C63707"/>
    <w:rsid w:val="00C63815"/>
    <w:rsid w:val="00C63908"/>
    <w:rsid w:val="00C63A9F"/>
    <w:rsid w:val="00C63BBA"/>
    <w:rsid w:val="00C63C24"/>
    <w:rsid w:val="00C63D10"/>
    <w:rsid w:val="00C63D77"/>
    <w:rsid w:val="00C63DEB"/>
    <w:rsid w:val="00C63E17"/>
    <w:rsid w:val="00C63ED9"/>
    <w:rsid w:val="00C63F68"/>
    <w:rsid w:val="00C6403C"/>
    <w:rsid w:val="00C643ED"/>
    <w:rsid w:val="00C64401"/>
    <w:rsid w:val="00C645E0"/>
    <w:rsid w:val="00C645F4"/>
    <w:rsid w:val="00C6466E"/>
    <w:rsid w:val="00C64751"/>
    <w:rsid w:val="00C64827"/>
    <w:rsid w:val="00C648B2"/>
    <w:rsid w:val="00C648F2"/>
    <w:rsid w:val="00C6493E"/>
    <w:rsid w:val="00C649E0"/>
    <w:rsid w:val="00C64A1A"/>
    <w:rsid w:val="00C64AE1"/>
    <w:rsid w:val="00C64AF7"/>
    <w:rsid w:val="00C64CA2"/>
    <w:rsid w:val="00C64CCD"/>
    <w:rsid w:val="00C64D09"/>
    <w:rsid w:val="00C64D4A"/>
    <w:rsid w:val="00C64D97"/>
    <w:rsid w:val="00C64DB9"/>
    <w:rsid w:val="00C64E47"/>
    <w:rsid w:val="00C64E7C"/>
    <w:rsid w:val="00C64E7E"/>
    <w:rsid w:val="00C64F09"/>
    <w:rsid w:val="00C65037"/>
    <w:rsid w:val="00C6507D"/>
    <w:rsid w:val="00C650EB"/>
    <w:rsid w:val="00C65204"/>
    <w:rsid w:val="00C652D0"/>
    <w:rsid w:val="00C6535A"/>
    <w:rsid w:val="00C653F3"/>
    <w:rsid w:val="00C65425"/>
    <w:rsid w:val="00C654B4"/>
    <w:rsid w:val="00C65555"/>
    <w:rsid w:val="00C655CF"/>
    <w:rsid w:val="00C65718"/>
    <w:rsid w:val="00C6579B"/>
    <w:rsid w:val="00C65821"/>
    <w:rsid w:val="00C659C0"/>
    <w:rsid w:val="00C65A1A"/>
    <w:rsid w:val="00C65A68"/>
    <w:rsid w:val="00C65C12"/>
    <w:rsid w:val="00C65C9C"/>
    <w:rsid w:val="00C65E03"/>
    <w:rsid w:val="00C65F30"/>
    <w:rsid w:val="00C65FC0"/>
    <w:rsid w:val="00C66086"/>
    <w:rsid w:val="00C660E4"/>
    <w:rsid w:val="00C66116"/>
    <w:rsid w:val="00C66160"/>
    <w:rsid w:val="00C661BC"/>
    <w:rsid w:val="00C66220"/>
    <w:rsid w:val="00C6623E"/>
    <w:rsid w:val="00C66257"/>
    <w:rsid w:val="00C66291"/>
    <w:rsid w:val="00C66388"/>
    <w:rsid w:val="00C663BB"/>
    <w:rsid w:val="00C66481"/>
    <w:rsid w:val="00C665CE"/>
    <w:rsid w:val="00C66603"/>
    <w:rsid w:val="00C66619"/>
    <w:rsid w:val="00C666D0"/>
    <w:rsid w:val="00C666EE"/>
    <w:rsid w:val="00C66701"/>
    <w:rsid w:val="00C66738"/>
    <w:rsid w:val="00C66764"/>
    <w:rsid w:val="00C6695E"/>
    <w:rsid w:val="00C66A37"/>
    <w:rsid w:val="00C66A54"/>
    <w:rsid w:val="00C66AAD"/>
    <w:rsid w:val="00C66B28"/>
    <w:rsid w:val="00C66B75"/>
    <w:rsid w:val="00C66BAC"/>
    <w:rsid w:val="00C66C8C"/>
    <w:rsid w:val="00C66CA4"/>
    <w:rsid w:val="00C66E58"/>
    <w:rsid w:val="00C6706F"/>
    <w:rsid w:val="00C670F0"/>
    <w:rsid w:val="00C67190"/>
    <w:rsid w:val="00C67192"/>
    <w:rsid w:val="00C671B9"/>
    <w:rsid w:val="00C67231"/>
    <w:rsid w:val="00C67359"/>
    <w:rsid w:val="00C67373"/>
    <w:rsid w:val="00C673D4"/>
    <w:rsid w:val="00C67404"/>
    <w:rsid w:val="00C674E5"/>
    <w:rsid w:val="00C67687"/>
    <w:rsid w:val="00C677B0"/>
    <w:rsid w:val="00C67981"/>
    <w:rsid w:val="00C67AA1"/>
    <w:rsid w:val="00C67B01"/>
    <w:rsid w:val="00C67BCD"/>
    <w:rsid w:val="00C67D68"/>
    <w:rsid w:val="00C67F29"/>
    <w:rsid w:val="00C67F2F"/>
    <w:rsid w:val="00C67F3C"/>
    <w:rsid w:val="00C70079"/>
    <w:rsid w:val="00C70131"/>
    <w:rsid w:val="00C701DA"/>
    <w:rsid w:val="00C701F2"/>
    <w:rsid w:val="00C702A0"/>
    <w:rsid w:val="00C703B1"/>
    <w:rsid w:val="00C70414"/>
    <w:rsid w:val="00C7042C"/>
    <w:rsid w:val="00C7048C"/>
    <w:rsid w:val="00C7057A"/>
    <w:rsid w:val="00C705FF"/>
    <w:rsid w:val="00C70641"/>
    <w:rsid w:val="00C70689"/>
    <w:rsid w:val="00C706A7"/>
    <w:rsid w:val="00C706C5"/>
    <w:rsid w:val="00C7070E"/>
    <w:rsid w:val="00C70736"/>
    <w:rsid w:val="00C7075F"/>
    <w:rsid w:val="00C70784"/>
    <w:rsid w:val="00C70870"/>
    <w:rsid w:val="00C70949"/>
    <w:rsid w:val="00C709E7"/>
    <w:rsid w:val="00C70A15"/>
    <w:rsid w:val="00C70A3F"/>
    <w:rsid w:val="00C70B5A"/>
    <w:rsid w:val="00C70C50"/>
    <w:rsid w:val="00C70C6F"/>
    <w:rsid w:val="00C70CBC"/>
    <w:rsid w:val="00C70D12"/>
    <w:rsid w:val="00C70D8A"/>
    <w:rsid w:val="00C70EC9"/>
    <w:rsid w:val="00C70F42"/>
    <w:rsid w:val="00C70F5C"/>
    <w:rsid w:val="00C70FEB"/>
    <w:rsid w:val="00C710F0"/>
    <w:rsid w:val="00C71208"/>
    <w:rsid w:val="00C71215"/>
    <w:rsid w:val="00C7124B"/>
    <w:rsid w:val="00C712FB"/>
    <w:rsid w:val="00C71466"/>
    <w:rsid w:val="00C7149A"/>
    <w:rsid w:val="00C715B9"/>
    <w:rsid w:val="00C715EF"/>
    <w:rsid w:val="00C71610"/>
    <w:rsid w:val="00C716C7"/>
    <w:rsid w:val="00C716EB"/>
    <w:rsid w:val="00C7172B"/>
    <w:rsid w:val="00C718D2"/>
    <w:rsid w:val="00C719A3"/>
    <w:rsid w:val="00C719BA"/>
    <w:rsid w:val="00C71A94"/>
    <w:rsid w:val="00C71B27"/>
    <w:rsid w:val="00C71B57"/>
    <w:rsid w:val="00C71BE9"/>
    <w:rsid w:val="00C71BF1"/>
    <w:rsid w:val="00C71C2B"/>
    <w:rsid w:val="00C71C31"/>
    <w:rsid w:val="00C71D08"/>
    <w:rsid w:val="00C71D3D"/>
    <w:rsid w:val="00C71E56"/>
    <w:rsid w:val="00C71E78"/>
    <w:rsid w:val="00C71EEF"/>
    <w:rsid w:val="00C71F19"/>
    <w:rsid w:val="00C71F42"/>
    <w:rsid w:val="00C72015"/>
    <w:rsid w:val="00C7217D"/>
    <w:rsid w:val="00C72187"/>
    <w:rsid w:val="00C721EB"/>
    <w:rsid w:val="00C7221E"/>
    <w:rsid w:val="00C722C4"/>
    <w:rsid w:val="00C722D3"/>
    <w:rsid w:val="00C722F5"/>
    <w:rsid w:val="00C72322"/>
    <w:rsid w:val="00C723EC"/>
    <w:rsid w:val="00C72648"/>
    <w:rsid w:val="00C7266B"/>
    <w:rsid w:val="00C7266E"/>
    <w:rsid w:val="00C727AA"/>
    <w:rsid w:val="00C72833"/>
    <w:rsid w:val="00C72900"/>
    <w:rsid w:val="00C7292F"/>
    <w:rsid w:val="00C7293F"/>
    <w:rsid w:val="00C7298B"/>
    <w:rsid w:val="00C72B1F"/>
    <w:rsid w:val="00C72C0B"/>
    <w:rsid w:val="00C72C2D"/>
    <w:rsid w:val="00C72C31"/>
    <w:rsid w:val="00C72C49"/>
    <w:rsid w:val="00C73044"/>
    <w:rsid w:val="00C7309E"/>
    <w:rsid w:val="00C730A6"/>
    <w:rsid w:val="00C7310D"/>
    <w:rsid w:val="00C7311F"/>
    <w:rsid w:val="00C73161"/>
    <w:rsid w:val="00C73234"/>
    <w:rsid w:val="00C7328B"/>
    <w:rsid w:val="00C732D1"/>
    <w:rsid w:val="00C732E2"/>
    <w:rsid w:val="00C733AF"/>
    <w:rsid w:val="00C7343C"/>
    <w:rsid w:val="00C734F6"/>
    <w:rsid w:val="00C734F7"/>
    <w:rsid w:val="00C7354C"/>
    <w:rsid w:val="00C73586"/>
    <w:rsid w:val="00C73626"/>
    <w:rsid w:val="00C736C7"/>
    <w:rsid w:val="00C736FE"/>
    <w:rsid w:val="00C73761"/>
    <w:rsid w:val="00C737E1"/>
    <w:rsid w:val="00C73817"/>
    <w:rsid w:val="00C738D2"/>
    <w:rsid w:val="00C73943"/>
    <w:rsid w:val="00C73A63"/>
    <w:rsid w:val="00C73AA8"/>
    <w:rsid w:val="00C73ADD"/>
    <w:rsid w:val="00C73B15"/>
    <w:rsid w:val="00C73B87"/>
    <w:rsid w:val="00C73BBF"/>
    <w:rsid w:val="00C73BE0"/>
    <w:rsid w:val="00C73C12"/>
    <w:rsid w:val="00C73E29"/>
    <w:rsid w:val="00C73EFA"/>
    <w:rsid w:val="00C73F0E"/>
    <w:rsid w:val="00C740CF"/>
    <w:rsid w:val="00C741DF"/>
    <w:rsid w:val="00C74284"/>
    <w:rsid w:val="00C7434E"/>
    <w:rsid w:val="00C7442D"/>
    <w:rsid w:val="00C74484"/>
    <w:rsid w:val="00C744D4"/>
    <w:rsid w:val="00C745F9"/>
    <w:rsid w:val="00C74628"/>
    <w:rsid w:val="00C746F1"/>
    <w:rsid w:val="00C7482B"/>
    <w:rsid w:val="00C7482F"/>
    <w:rsid w:val="00C74857"/>
    <w:rsid w:val="00C74A97"/>
    <w:rsid w:val="00C74AD4"/>
    <w:rsid w:val="00C74C93"/>
    <w:rsid w:val="00C74CB7"/>
    <w:rsid w:val="00C74D2E"/>
    <w:rsid w:val="00C750B5"/>
    <w:rsid w:val="00C75100"/>
    <w:rsid w:val="00C7516E"/>
    <w:rsid w:val="00C751E7"/>
    <w:rsid w:val="00C75271"/>
    <w:rsid w:val="00C75347"/>
    <w:rsid w:val="00C75351"/>
    <w:rsid w:val="00C753BB"/>
    <w:rsid w:val="00C753DF"/>
    <w:rsid w:val="00C75501"/>
    <w:rsid w:val="00C75535"/>
    <w:rsid w:val="00C75578"/>
    <w:rsid w:val="00C7559D"/>
    <w:rsid w:val="00C755CF"/>
    <w:rsid w:val="00C756A4"/>
    <w:rsid w:val="00C75862"/>
    <w:rsid w:val="00C75952"/>
    <w:rsid w:val="00C759E6"/>
    <w:rsid w:val="00C75A4A"/>
    <w:rsid w:val="00C75A78"/>
    <w:rsid w:val="00C75A9A"/>
    <w:rsid w:val="00C75B95"/>
    <w:rsid w:val="00C75C02"/>
    <w:rsid w:val="00C75C25"/>
    <w:rsid w:val="00C75CE4"/>
    <w:rsid w:val="00C75E4A"/>
    <w:rsid w:val="00C75F51"/>
    <w:rsid w:val="00C7605C"/>
    <w:rsid w:val="00C76167"/>
    <w:rsid w:val="00C76271"/>
    <w:rsid w:val="00C762BD"/>
    <w:rsid w:val="00C76328"/>
    <w:rsid w:val="00C7636A"/>
    <w:rsid w:val="00C76380"/>
    <w:rsid w:val="00C7640F"/>
    <w:rsid w:val="00C7649E"/>
    <w:rsid w:val="00C764A8"/>
    <w:rsid w:val="00C765E4"/>
    <w:rsid w:val="00C765F0"/>
    <w:rsid w:val="00C7665F"/>
    <w:rsid w:val="00C76663"/>
    <w:rsid w:val="00C7668B"/>
    <w:rsid w:val="00C76746"/>
    <w:rsid w:val="00C7684B"/>
    <w:rsid w:val="00C76894"/>
    <w:rsid w:val="00C76A15"/>
    <w:rsid w:val="00C76A89"/>
    <w:rsid w:val="00C76AA3"/>
    <w:rsid w:val="00C76B5C"/>
    <w:rsid w:val="00C76B6D"/>
    <w:rsid w:val="00C76BD2"/>
    <w:rsid w:val="00C76C1A"/>
    <w:rsid w:val="00C76D16"/>
    <w:rsid w:val="00C76D17"/>
    <w:rsid w:val="00C76DA0"/>
    <w:rsid w:val="00C76DB6"/>
    <w:rsid w:val="00C76DDA"/>
    <w:rsid w:val="00C76DFB"/>
    <w:rsid w:val="00C76E34"/>
    <w:rsid w:val="00C76E76"/>
    <w:rsid w:val="00C76ED0"/>
    <w:rsid w:val="00C76F0E"/>
    <w:rsid w:val="00C76F31"/>
    <w:rsid w:val="00C76F5B"/>
    <w:rsid w:val="00C76F7D"/>
    <w:rsid w:val="00C76F86"/>
    <w:rsid w:val="00C770D3"/>
    <w:rsid w:val="00C77130"/>
    <w:rsid w:val="00C77131"/>
    <w:rsid w:val="00C7719F"/>
    <w:rsid w:val="00C773D0"/>
    <w:rsid w:val="00C773FE"/>
    <w:rsid w:val="00C77501"/>
    <w:rsid w:val="00C77581"/>
    <w:rsid w:val="00C77648"/>
    <w:rsid w:val="00C777B3"/>
    <w:rsid w:val="00C77A5E"/>
    <w:rsid w:val="00C77AB3"/>
    <w:rsid w:val="00C77BEE"/>
    <w:rsid w:val="00C77C12"/>
    <w:rsid w:val="00C77CD6"/>
    <w:rsid w:val="00C77DA3"/>
    <w:rsid w:val="00C77DFB"/>
    <w:rsid w:val="00C77E9D"/>
    <w:rsid w:val="00C77E9E"/>
    <w:rsid w:val="00C77F5F"/>
    <w:rsid w:val="00C77F6F"/>
    <w:rsid w:val="00C77FF3"/>
    <w:rsid w:val="00C800CD"/>
    <w:rsid w:val="00C800D3"/>
    <w:rsid w:val="00C8017A"/>
    <w:rsid w:val="00C8017F"/>
    <w:rsid w:val="00C8026B"/>
    <w:rsid w:val="00C802BC"/>
    <w:rsid w:val="00C804FA"/>
    <w:rsid w:val="00C805B2"/>
    <w:rsid w:val="00C8085E"/>
    <w:rsid w:val="00C8086F"/>
    <w:rsid w:val="00C80883"/>
    <w:rsid w:val="00C80885"/>
    <w:rsid w:val="00C80982"/>
    <w:rsid w:val="00C80B00"/>
    <w:rsid w:val="00C80B6A"/>
    <w:rsid w:val="00C80BB9"/>
    <w:rsid w:val="00C80CA5"/>
    <w:rsid w:val="00C80DA5"/>
    <w:rsid w:val="00C80F24"/>
    <w:rsid w:val="00C80F33"/>
    <w:rsid w:val="00C80F72"/>
    <w:rsid w:val="00C80F8D"/>
    <w:rsid w:val="00C8100C"/>
    <w:rsid w:val="00C8114D"/>
    <w:rsid w:val="00C81273"/>
    <w:rsid w:val="00C81325"/>
    <w:rsid w:val="00C8141C"/>
    <w:rsid w:val="00C81426"/>
    <w:rsid w:val="00C814EF"/>
    <w:rsid w:val="00C815D5"/>
    <w:rsid w:val="00C8162D"/>
    <w:rsid w:val="00C81743"/>
    <w:rsid w:val="00C817DB"/>
    <w:rsid w:val="00C817E1"/>
    <w:rsid w:val="00C817F7"/>
    <w:rsid w:val="00C8180D"/>
    <w:rsid w:val="00C81812"/>
    <w:rsid w:val="00C8194D"/>
    <w:rsid w:val="00C81994"/>
    <w:rsid w:val="00C819D7"/>
    <w:rsid w:val="00C81A42"/>
    <w:rsid w:val="00C81ABA"/>
    <w:rsid w:val="00C81BCE"/>
    <w:rsid w:val="00C81CD2"/>
    <w:rsid w:val="00C81D09"/>
    <w:rsid w:val="00C81F21"/>
    <w:rsid w:val="00C81F91"/>
    <w:rsid w:val="00C81FB2"/>
    <w:rsid w:val="00C820FA"/>
    <w:rsid w:val="00C8211B"/>
    <w:rsid w:val="00C82142"/>
    <w:rsid w:val="00C8216A"/>
    <w:rsid w:val="00C823C1"/>
    <w:rsid w:val="00C8240A"/>
    <w:rsid w:val="00C82512"/>
    <w:rsid w:val="00C82756"/>
    <w:rsid w:val="00C828D4"/>
    <w:rsid w:val="00C828D8"/>
    <w:rsid w:val="00C82958"/>
    <w:rsid w:val="00C829C0"/>
    <w:rsid w:val="00C82A89"/>
    <w:rsid w:val="00C82A9E"/>
    <w:rsid w:val="00C82B23"/>
    <w:rsid w:val="00C82B50"/>
    <w:rsid w:val="00C82B64"/>
    <w:rsid w:val="00C82C8D"/>
    <w:rsid w:val="00C82D11"/>
    <w:rsid w:val="00C82D45"/>
    <w:rsid w:val="00C82DD8"/>
    <w:rsid w:val="00C82E5E"/>
    <w:rsid w:val="00C82EC3"/>
    <w:rsid w:val="00C82F68"/>
    <w:rsid w:val="00C8300B"/>
    <w:rsid w:val="00C8309C"/>
    <w:rsid w:val="00C830CD"/>
    <w:rsid w:val="00C83147"/>
    <w:rsid w:val="00C831FE"/>
    <w:rsid w:val="00C83450"/>
    <w:rsid w:val="00C83554"/>
    <w:rsid w:val="00C839D2"/>
    <w:rsid w:val="00C839D9"/>
    <w:rsid w:val="00C83A41"/>
    <w:rsid w:val="00C83A8C"/>
    <w:rsid w:val="00C83B84"/>
    <w:rsid w:val="00C83BA6"/>
    <w:rsid w:val="00C83C8B"/>
    <w:rsid w:val="00C83DB2"/>
    <w:rsid w:val="00C83F43"/>
    <w:rsid w:val="00C83FCF"/>
    <w:rsid w:val="00C84040"/>
    <w:rsid w:val="00C84059"/>
    <w:rsid w:val="00C840C1"/>
    <w:rsid w:val="00C8415F"/>
    <w:rsid w:val="00C84253"/>
    <w:rsid w:val="00C84266"/>
    <w:rsid w:val="00C842BB"/>
    <w:rsid w:val="00C8435D"/>
    <w:rsid w:val="00C84454"/>
    <w:rsid w:val="00C84564"/>
    <w:rsid w:val="00C845FB"/>
    <w:rsid w:val="00C8460D"/>
    <w:rsid w:val="00C84617"/>
    <w:rsid w:val="00C84715"/>
    <w:rsid w:val="00C8480B"/>
    <w:rsid w:val="00C848F5"/>
    <w:rsid w:val="00C84908"/>
    <w:rsid w:val="00C84C4B"/>
    <w:rsid w:val="00C84D1B"/>
    <w:rsid w:val="00C84E66"/>
    <w:rsid w:val="00C84ECE"/>
    <w:rsid w:val="00C85060"/>
    <w:rsid w:val="00C850B8"/>
    <w:rsid w:val="00C850E8"/>
    <w:rsid w:val="00C85356"/>
    <w:rsid w:val="00C85402"/>
    <w:rsid w:val="00C85411"/>
    <w:rsid w:val="00C8553E"/>
    <w:rsid w:val="00C85544"/>
    <w:rsid w:val="00C855F4"/>
    <w:rsid w:val="00C8566D"/>
    <w:rsid w:val="00C856F6"/>
    <w:rsid w:val="00C857B0"/>
    <w:rsid w:val="00C85895"/>
    <w:rsid w:val="00C859F8"/>
    <w:rsid w:val="00C85A4C"/>
    <w:rsid w:val="00C85B20"/>
    <w:rsid w:val="00C85C59"/>
    <w:rsid w:val="00C85C62"/>
    <w:rsid w:val="00C85C73"/>
    <w:rsid w:val="00C85CB4"/>
    <w:rsid w:val="00C85D79"/>
    <w:rsid w:val="00C85E46"/>
    <w:rsid w:val="00C85E5B"/>
    <w:rsid w:val="00C85EC4"/>
    <w:rsid w:val="00C85F38"/>
    <w:rsid w:val="00C8608D"/>
    <w:rsid w:val="00C86116"/>
    <w:rsid w:val="00C86230"/>
    <w:rsid w:val="00C862ED"/>
    <w:rsid w:val="00C862F3"/>
    <w:rsid w:val="00C8630C"/>
    <w:rsid w:val="00C863DC"/>
    <w:rsid w:val="00C863EB"/>
    <w:rsid w:val="00C86468"/>
    <w:rsid w:val="00C86486"/>
    <w:rsid w:val="00C86665"/>
    <w:rsid w:val="00C86790"/>
    <w:rsid w:val="00C86836"/>
    <w:rsid w:val="00C86856"/>
    <w:rsid w:val="00C8686E"/>
    <w:rsid w:val="00C86935"/>
    <w:rsid w:val="00C8699E"/>
    <w:rsid w:val="00C869D4"/>
    <w:rsid w:val="00C86B8A"/>
    <w:rsid w:val="00C86CB0"/>
    <w:rsid w:val="00C86D1D"/>
    <w:rsid w:val="00C86D27"/>
    <w:rsid w:val="00C87050"/>
    <w:rsid w:val="00C870E0"/>
    <w:rsid w:val="00C8715E"/>
    <w:rsid w:val="00C871C3"/>
    <w:rsid w:val="00C8726A"/>
    <w:rsid w:val="00C8726D"/>
    <w:rsid w:val="00C87328"/>
    <w:rsid w:val="00C873B8"/>
    <w:rsid w:val="00C87462"/>
    <w:rsid w:val="00C87529"/>
    <w:rsid w:val="00C87591"/>
    <w:rsid w:val="00C87630"/>
    <w:rsid w:val="00C877E4"/>
    <w:rsid w:val="00C878E9"/>
    <w:rsid w:val="00C87A44"/>
    <w:rsid w:val="00C87A8E"/>
    <w:rsid w:val="00C87B30"/>
    <w:rsid w:val="00C87D80"/>
    <w:rsid w:val="00C87DA5"/>
    <w:rsid w:val="00C87DC0"/>
    <w:rsid w:val="00C87E40"/>
    <w:rsid w:val="00C87E46"/>
    <w:rsid w:val="00C87E9E"/>
    <w:rsid w:val="00C9004A"/>
    <w:rsid w:val="00C90097"/>
    <w:rsid w:val="00C900C5"/>
    <w:rsid w:val="00C90104"/>
    <w:rsid w:val="00C90198"/>
    <w:rsid w:val="00C901DB"/>
    <w:rsid w:val="00C9021F"/>
    <w:rsid w:val="00C902E4"/>
    <w:rsid w:val="00C905F8"/>
    <w:rsid w:val="00C9061B"/>
    <w:rsid w:val="00C90623"/>
    <w:rsid w:val="00C907D1"/>
    <w:rsid w:val="00C9081D"/>
    <w:rsid w:val="00C9093E"/>
    <w:rsid w:val="00C909CD"/>
    <w:rsid w:val="00C909F8"/>
    <w:rsid w:val="00C90AC5"/>
    <w:rsid w:val="00C90AFE"/>
    <w:rsid w:val="00C90B80"/>
    <w:rsid w:val="00C90BBA"/>
    <w:rsid w:val="00C90D40"/>
    <w:rsid w:val="00C90DC8"/>
    <w:rsid w:val="00C90DF2"/>
    <w:rsid w:val="00C90E91"/>
    <w:rsid w:val="00C90F86"/>
    <w:rsid w:val="00C9102E"/>
    <w:rsid w:val="00C91034"/>
    <w:rsid w:val="00C91035"/>
    <w:rsid w:val="00C910AF"/>
    <w:rsid w:val="00C910CE"/>
    <w:rsid w:val="00C91198"/>
    <w:rsid w:val="00C911E0"/>
    <w:rsid w:val="00C91457"/>
    <w:rsid w:val="00C9146D"/>
    <w:rsid w:val="00C914AE"/>
    <w:rsid w:val="00C9155A"/>
    <w:rsid w:val="00C91562"/>
    <w:rsid w:val="00C915E5"/>
    <w:rsid w:val="00C916DC"/>
    <w:rsid w:val="00C91740"/>
    <w:rsid w:val="00C917D2"/>
    <w:rsid w:val="00C917DA"/>
    <w:rsid w:val="00C91893"/>
    <w:rsid w:val="00C9189E"/>
    <w:rsid w:val="00C918F4"/>
    <w:rsid w:val="00C91988"/>
    <w:rsid w:val="00C919A0"/>
    <w:rsid w:val="00C91A02"/>
    <w:rsid w:val="00C91A19"/>
    <w:rsid w:val="00C91A37"/>
    <w:rsid w:val="00C91A98"/>
    <w:rsid w:val="00C91B2C"/>
    <w:rsid w:val="00C91B63"/>
    <w:rsid w:val="00C91BCC"/>
    <w:rsid w:val="00C91C2B"/>
    <w:rsid w:val="00C91C6D"/>
    <w:rsid w:val="00C91C99"/>
    <w:rsid w:val="00C91CA0"/>
    <w:rsid w:val="00C91D4E"/>
    <w:rsid w:val="00C91E6C"/>
    <w:rsid w:val="00C91FB8"/>
    <w:rsid w:val="00C9202C"/>
    <w:rsid w:val="00C921F1"/>
    <w:rsid w:val="00C92334"/>
    <w:rsid w:val="00C9233B"/>
    <w:rsid w:val="00C92370"/>
    <w:rsid w:val="00C92395"/>
    <w:rsid w:val="00C92607"/>
    <w:rsid w:val="00C9267E"/>
    <w:rsid w:val="00C92725"/>
    <w:rsid w:val="00C927BD"/>
    <w:rsid w:val="00C927CC"/>
    <w:rsid w:val="00C927F5"/>
    <w:rsid w:val="00C9281E"/>
    <w:rsid w:val="00C92848"/>
    <w:rsid w:val="00C92865"/>
    <w:rsid w:val="00C9289D"/>
    <w:rsid w:val="00C9289E"/>
    <w:rsid w:val="00C9289F"/>
    <w:rsid w:val="00C928E3"/>
    <w:rsid w:val="00C929C4"/>
    <w:rsid w:val="00C92A06"/>
    <w:rsid w:val="00C92A43"/>
    <w:rsid w:val="00C92A61"/>
    <w:rsid w:val="00C92AD0"/>
    <w:rsid w:val="00C92B34"/>
    <w:rsid w:val="00C92BB1"/>
    <w:rsid w:val="00C92BCA"/>
    <w:rsid w:val="00C92BD8"/>
    <w:rsid w:val="00C92CC9"/>
    <w:rsid w:val="00C92CF1"/>
    <w:rsid w:val="00C92D95"/>
    <w:rsid w:val="00C92F33"/>
    <w:rsid w:val="00C92F54"/>
    <w:rsid w:val="00C92F62"/>
    <w:rsid w:val="00C92F7F"/>
    <w:rsid w:val="00C92FB2"/>
    <w:rsid w:val="00C93140"/>
    <w:rsid w:val="00C93149"/>
    <w:rsid w:val="00C931D5"/>
    <w:rsid w:val="00C93230"/>
    <w:rsid w:val="00C932C9"/>
    <w:rsid w:val="00C93615"/>
    <w:rsid w:val="00C9362D"/>
    <w:rsid w:val="00C9382C"/>
    <w:rsid w:val="00C93880"/>
    <w:rsid w:val="00C9393E"/>
    <w:rsid w:val="00C93974"/>
    <w:rsid w:val="00C939B1"/>
    <w:rsid w:val="00C939B6"/>
    <w:rsid w:val="00C93A02"/>
    <w:rsid w:val="00C93A20"/>
    <w:rsid w:val="00C93AB0"/>
    <w:rsid w:val="00C93AE1"/>
    <w:rsid w:val="00C93B3D"/>
    <w:rsid w:val="00C93B71"/>
    <w:rsid w:val="00C93BA7"/>
    <w:rsid w:val="00C93C02"/>
    <w:rsid w:val="00C93CE9"/>
    <w:rsid w:val="00C93D44"/>
    <w:rsid w:val="00C93D82"/>
    <w:rsid w:val="00C93E35"/>
    <w:rsid w:val="00C93EC7"/>
    <w:rsid w:val="00C94030"/>
    <w:rsid w:val="00C943A6"/>
    <w:rsid w:val="00C943A7"/>
    <w:rsid w:val="00C94432"/>
    <w:rsid w:val="00C94459"/>
    <w:rsid w:val="00C9469D"/>
    <w:rsid w:val="00C946AC"/>
    <w:rsid w:val="00C948C3"/>
    <w:rsid w:val="00C9494B"/>
    <w:rsid w:val="00C94951"/>
    <w:rsid w:val="00C949F8"/>
    <w:rsid w:val="00C94B68"/>
    <w:rsid w:val="00C94B70"/>
    <w:rsid w:val="00C94B7A"/>
    <w:rsid w:val="00C94CCA"/>
    <w:rsid w:val="00C94E52"/>
    <w:rsid w:val="00C94F03"/>
    <w:rsid w:val="00C9507E"/>
    <w:rsid w:val="00C951AF"/>
    <w:rsid w:val="00C951BE"/>
    <w:rsid w:val="00C95257"/>
    <w:rsid w:val="00C9536F"/>
    <w:rsid w:val="00C954B7"/>
    <w:rsid w:val="00C954F5"/>
    <w:rsid w:val="00C95579"/>
    <w:rsid w:val="00C956F1"/>
    <w:rsid w:val="00C957D0"/>
    <w:rsid w:val="00C958B4"/>
    <w:rsid w:val="00C95A3F"/>
    <w:rsid w:val="00C95A5E"/>
    <w:rsid w:val="00C95BD4"/>
    <w:rsid w:val="00C95C40"/>
    <w:rsid w:val="00C95D4B"/>
    <w:rsid w:val="00C95D52"/>
    <w:rsid w:val="00C95D80"/>
    <w:rsid w:val="00C95EFD"/>
    <w:rsid w:val="00C95F06"/>
    <w:rsid w:val="00C95FD2"/>
    <w:rsid w:val="00C95FE9"/>
    <w:rsid w:val="00C95FF7"/>
    <w:rsid w:val="00C96092"/>
    <w:rsid w:val="00C961B6"/>
    <w:rsid w:val="00C96271"/>
    <w:rsid w:val="00C96343"/>
    <w:rsid w:val="00C965EA"/>
    <w:rsid w:val="00C9664C"/>
    <w:rsid w:val="00C96699"/>
    <w:rsid w:val="00C96769"/>
    <w:rsid w:val="00C9679B"/>
    <w:rsid w:val="00C967BE"/>
    <w:rsid w:val="00C968A8"/>
    <w:rsid w:val="00C96A5F"/>
    <w:rsid w:val="00C96BF1"/>
    <w:rsid w:val="00C96C54"/>
    <w:rsid w:val="00C96D70"/>
    <w:rsid w:val="00C96E6B"/>
    <w:rsid w:val="00C96EC9"/>
    <w:rsid w:val="00C96F54"/>
    <w:rsid w:val="00C96F68"/>
    <w:rsid w:val="00C9705D"/>
    <w:rsid w:val="00C970A0"/>
    <w:rsid w:val="00C971DA"/>
    <w:rsid w:val="00C97243"/>
    <w:rsid w:val="00C97282"/>
    <w:rsid w:val="00C972AC"/>
    <w:rsid w:val="00C972D2"/>
    <w:rsid w:val="00C973FF"/>
    <w:rsid w:val="00C97441"/>
    <w:rsid w:val="00C97451"/>
    <w:rsid w:val="00C97633"/>
    <w:rsid w:val="00C97701"/>
    <w:rsid w:val="00C97751"/>
    <w:rsid w:val="00C977E0"/>
    <w:rsid w:val="00C978BE"/>
    <w:rsid w:val="00C97969"/>
    <w:rsid w:val="00C97B3D"/>
    <w:rsid w:val="00C97C06"/>
    <w:rsid w:val="00C97C2F"/>
    <w:rsid w:val="00C97C6B"/>
    <w:rsid w:val="00C97CBA"/>
    <w:rsid w:val="00C97CC3"/>
    <w:rsid w:val="00C97D46"/>
    <w:rsid w:val="00C97DD6"/>
    <w:rsid w:val="00C97F78"/>
    <w:rsid w:val="00CA0076"/>
    <w:rsid w:val="00CA00C5"/>
    <w:rsid w:val="00CA01FB"/>
    <w:rsid w:val="00CA0306"/>
    <w:rsid w:val="00CA0459"/>
    <w:rsid w:val="00CA04B3"/>
    <w:rsid w:val="00CA0578"/>
    <w:rsid w:val="00CA05AD"/>
    <w:rsid w:val="00CA06E0"/>
    <w:rsid w:val="00CA0768"/>
    <w:rsid w:val="00CA07F5"/>
    <w:rsid w:val="00CA0824"/>
    <w:rsid w:val="00CA0880"/>
    <w:rsid w:val="00CA0935"/>
    <w:rsid w:val="00CA0A21"/>
    <w:rsid w:val="00CA0B6E"/>
    <w:rsid w:val="00CA0C08"/>
    <w:rsid w:val="00CA0D26"/>
    <w:rsid w:val="00CA0D43"/>
    <w:rsid w:val="00CA0E05"/>
    <w:rsid w:val="00CA0E4D"/>
    <w:rsid w:val="00CA0E7C"/>
    <w:rsid w:val="00CA0F1F"/>
    <w:rsid w:val="00CA0FE2"/>
    <w:rsid w:val="00CA1013"/>
    <w:rsid w:val="00CA1046"/>
    <w:rsid w:val="00CA10F2"/>
    <w:rsid w:val="00CA10F5"/>
    <w:rsid w:val="00CA1153"/>
    <w:rsid w:val="00CA1166"/>
    <w:rsid w:val="00CA1323"/>
    <w:rsid w:val="00CA1416"/>
    <w:rsid w:val="00CA1564"/>
    <w:rsid w:val="00CA15AF"/>
    <w:rsid w:val="00CA15BD"/>
    <w:rsid w:val="00CA16DE"/>
    <w:rsid w:val="00CA1A49"/>
    <w:rsid w:val="00CA1B0C"/>
    <w:rsid w:val="00CA1B48"/>
    <w:rsid w:val="00CA1B63"/>
    <w:rsid w:val="00CA1C2C"/>
    <w:rsid w:val="00CA1D58"/>
    <w:rsid w:val="00CA1D77"/>
    <w:rsid w:val="00CA1EE2"/>
    <w:rsid w:val="00CA1F82"/>
    <w:rsid w:val="00CA1FF1"/>
    <w:rsid w:val="00CA2021"/>
    <w:rsid w:val="00CA20C8"/>
    <w:rsid w:val="00CA21D7"/>
    <w:rsid w:val="00CA22E1"/>
    <w:rsid w:val="00CA22F8"/>
    <w:rsid w:val="00CA235C"/>
    <w:rsid w:val="00CA24C1"/>
    <w:rsid w:val="00CA259E"/>
    <w:rsid w:val="00CA2603"/>
    <w:rsid w:val="00CA270B"/>
    <w:rsid w:val="00CA277A"/>
    <w:rsid w:val="00CA2801"/>
    <w:rsid w:val="00CA2828"/>
    <w:rsid w:val="00CA2879"/>
    <w:rsid w:val="00CA28E3"/>
    <w:rsid w:val="00CA28FF"/>
    <w:rsid w:val="00CA2944"/>
    <w:rsid w:val="00CA2A0E"/>
    <w:rsid w:val="00CA2BE3"/>
    <w:rsid w:val="00CA2C4B"/>
    <w:rsid w:val="00CA2DDE"/>
    <w:rsid w:val="00CA2E4F"/>
    <w:rsid w:val="00CA2F59"/>
    <w:rsid w:val="00CA2F61"/>
    <w:rsid w:val="00CA2F95"/>
    <w:rsid w:val="00CA2FBB"/>
    <w:rsid w:val="00CA3046"/>
    <w:rsid w:val="00CA318C"/>
    <w:rsid w:val="00CA31F7"/>
    <w:rsid w:val="00CA3226"/>
    <w:rsid w:val="00CA3250"/>
    <w:rsid w:val="00CA3277"/>
    <w:rsid w:val="00CA32DC"/>
    <w:rsid w:val="00CA32EB"/>
    <w:rsid w:val="00CA3363"/>
    <w:rsid w:val="00CA33D9"/>
    <w:rsid w:val="00CA33DD"/>
    <w:rsid w:val="00CA347E"/>
    <w:rsid w:val="00CA3525"/>
    <w:rsid w:val="00CA35D0"/>
    <w:rsid w:val="00CA35EE"/>
    <w:rsid w:val="00CA365D"/>
    <w:rsid w:val="00CA373A"/>
    <w:rsid w:val="00CA37F8"/>
    <w:rsid w:val="00CA382A"/>
    <w:rsid w:val="00CA393B"/>
    <w:rsid w:val="00CA3AA9"/>
    <w:rsid w:val="00CA3B7D"/>
    <w:rsid w:val="00CA3C43"/>
    <w:rsid w:val="00CA3CA8"/>
    <w:rsid w:val="00CA3CF3"/>
    <w:rsid w:val="00CA3D53"/>
    <w:rsid w:val="00CA3D89"/>
    <w:rsid w:val="00CA3DF0"/>
    <w:rsid w:val="00CA3E66"/>
    <w:rsid w:val="00CA3E7B"/>
    <w:rsid w:val="00CA3F9B"/>
    <w:rsid w:val="00CA3FCF"/>
    <w:rsid w:val="00CA400E"/>
    <w:rsid w:val="00CA409A"/>
    <w:rsid w:val="00CA40F8"/>
    <w:rsid w:val="00CA41BF"/>
    <w:rsid w:val="00CA432F"/>
    <w:rsid w:val="00CA43C1"/>
    <w:rsid w:val="00CA43EA"/>
    <w:rsid w:val="00CA446F"/>
    <w:rsid w:val="00CA44E5"/>
    <w:rsid w:val="00CA45A2"/>
    <w:rsid w:val="00CA4660"/>
    <w:rsid w:val="00CA466B"/>
    <w:rsid w:val="00CA466D"/>
    <w:rsid w:val="00CA4739"/>
    <w:rsid w:val="00CA4759"/>
    <w:rsid w:val="00CA4991"/>
    <w:rsid w:val="00CA4A87"/>
    <w:rsid w:val="00CA4A95"/>
    <w:rsid w:val="00CA4C6C"/>
    <w:rsid w:val="00CA4D08"/>
    <w:rsid w:val="00CA4F19"/>
    <w:rsid w:val="00CA5064"/>
    <w:rsid w:val="00CA5067"/>
    <w:rsid w:val="00CA519C"/>
    <w:rsid w:val="00CA51D7"/>
    <w:rsid w:val="00CA51F0"/>
    <w:rsid w:val="00CA5212"/>
    <w:rsid w:val="00CA5228"/>
    <w:rsid w:val="00CA523F"/>
    <w:rsid w:val="00CA5283"/>
    <w:rsid w:val="00CA52BA"/>
    <w:rsid w:val="00CA52CD"/>
    <w:rsid w:val="00CA52FE"/>
    <w:rsid w:val="00CA54E0"/>
    <w:rsid w:val="00CA54FC"/>
    <w:rsid w:val="00CA556F"/>
    <w:rsid w:val="00CA5640"/>
    <w:rsid w:val="00CA56BC"/>
    <w:rsid w:val="00CA5718"/>
    <w:rsid w:val="00CA578E"/>
    <w:rsid w:val="00CA5806"/>
    <w:rsid w:val="00CA5878"/>
    <w:rsid w:val="00CA5918"/>
    <w:rsid w:val="00CA5937"/>
    <w:rsid w:val="00CA5985"/>
    <w:rsid w:val="00CA59A7"/>
    <w:rsid w:val="00CA59A9"/>
    <w:rsid w:val="00CA59AF"/>
    <w:rsid w:val="00CA5A36"/>
    <w:rsid w:val="00CA5A79"/>
    <w:rsid w:val="00CA5AD5"/>
    <w:rsid w:val="00CA5B7E"/>
    <w:rsid w:val="00CA5BDD"/>
    <w:rsid w:val="00CA5D16"/>
    <w:rsid w:val="00CA5DA4"/>
    <w:rsid w:val="00CA6122"/>
    <w:rsid w:val="00CA643F"/>
    <w:rsid w:val="00CA6567"/>
    <w:rsid w:val="00CA656B"/>
    <w:rsid w:val="00CA676B"/>
    <w:rsid w:val="00CA678A"/>
    <w:rsid w:val="00CA6821"/>
    <w:rsid w:val="00CA68AF"/>
    <w:rsid w:val="00CA69FF"/>
    <w:rsid w:val="00CA6B53"/>
    <w:rsid w:val="00CA6BB1"/>
    <w:rsid w:val="00CA6C25"/>
    <w:rsid w:val="00CA6C44"/>
    <w:rsid w:val="00CA6C74"/>
    <w:rsid w:val="00CA6E7F"/>
    <w:rsid w:val="00CA700A"/>
    <w:rsid w:val="00CA7098"/>
    <w:rsid w:val="00CA70B2"/>
    <w:rsid w:val="00CA7136"/>
    <w:rsid w:val="00CA71DC"/>
    <w:rsid w:val="00CA71DF"/>
    <w:rsid w:val="00CA721F"/>
    <w:rsid w:val="00CA724F"/>
    <w:rsid w:val="00CA7342"/>
    <w:rsid w:val="00CA73EE"/>
    <w:rsid w:val="00CA743C"/>
    <w:rsid w:val="00CA75A3"/>
    <w:rsid w:val="00CA75A5"/>
    <w:rsid w:val="00CA75CA"/>
    <w:rsid w:val="00CA761E"/>
    <w:rsid w:val="00CA762A"/>
    <w:rsid w:val="00CA7723"/>
    <w:rsid w:val="00CA778D"/>
    <w:rsid w:val="00CA781C"/>
    <w:rsid w:val="00CA79DA"/>
    <w:rsid w:val="00CA7A03"/>
    <w:rsid w:val="00CA7A7B"/>
    <w:rsid w:val="00CA7B82"/>
    <w:rsid w:val="00CA7C1D"/>
    <w:rsid w:val="00CA7DC5"/>
    <w:rsid w:val="00CA7E15"/>
    <w:rsid w:val="00CA7E26"/>
    <w:rsid w:val="00CA7E36"/>
    <w:rsid w:val="00CA7E4A"/>
    <w:rsid w:val="00CA7EA2"/>
    <w:rsid w:val="00CB0002"/>
    <w:rsid w:val="00CB01C5"/>
    <w:rsid w:val="00CB022B"/>
    <w:rsid w:val="00CB0366"/>
    <w:rsid w:val="00CB03E6"/>
    <w:rsid w:val="00CB0476"/>
    <w:rsid w:val="00CB0486"/>
    <w:rsid w:val="00CB04D6"/>
    <w:rsid w:val="00CB05A9"/>
    <w:rsid w:val="00CB067A"/>
    <w:rsid w:val="00CB0683"/>
    <w:rsid w:val="00CB071C"/>
    <w:rsid w:val="00CB07AD"/>
    <w:rsid w:val="00CB08C8"/>
    <w:rsid w:val="00CB08E5"/>
    <w:rsid w:val="00CB0900"/>
    <w:rsid w:val="00CB0961"/>
    <w:rsid w:val="00CB0977"/>
    <w:rsid w:val="00CB0AC5"/>
    <w:rsid w:val="00CB0BA8"/>
    <w:rsid w:val="00CB0CBC"/>
    <w:rsid w:val="00CB0DD6"/>
    <w:rsid w:val="00CB0E4D"/>
    <w:rsid w:val="00CB0E4F"/>
    <w:rsid w:val="00CB0F1A"/>
    <w:rsid w:val="00CB0F98"/>
    <w:rsid w:val="00CB10FC"/>
    <w:rsid w:val="00CB1167"/>
    <w:rsid w:val="00CB1358"/>
    <w:rsid w:val="00CB1378"/>
    <w:rsid w:val="00CB1753"/>
    <w:rsid w:val="00CB1872"/>
    <w:rsid w:val="00CB194C"/>
    <w:rsid w:val="00CB1B69"/>
    <w:rsid w:val="00CB1BD1"/>
    <w:rsid w:val="00CB1C0A"/>
    <w:rsid w:val="00CB1D1D"/>
    <w:rsid w:val="00CB1DAE"/>
    <w:rsid w:val="00CB1DB3"/>
    <w:rsid w:val="00CB1DE2"/>
    <w:rsid w:val="00CB1E19"/>
    <w:rsid w:val="00CB1F46"/>
    <w:rsid w:val="00CB1F5B"/>
    <w:rsid w:val="00CB2032"/>
    <w:rsid w:val="00CB2064"/>
    <w:rsid w:val="00CB2122"/>
    <w:rsid w:val="00CB21A2"/>
    <w:rsid w:val="00CB21D8"/>
    <w:rsid w:val="00CB2248"/>
    <w:rsid w:val="00CB2337"/>
    <w:rsid w:val="00CB247B"/>
    <w:rsid w:val="00CB24C0"/>
    <w:rsid w:val="00CB253C"/>
    <w:rsid w:val="00CB25FB"/>
    <w:rsid w:val="00CB2691"/>
    <w:rsid w:val="00CB2808"/>
    <w:rsid w:val="00CB2838"/>
    <w:rsid w:val="00CB28A7"/>
    <w:rsid w:val="00CB2974"/>
    <w:rsid w:val="00CB2A56"/>
    <w:rsid w:val="00CB2A65"/>
    <w:rsid w:val="00CB2AB1"/>
    <w:rsid w:val="00CB2B0D"/>
    <w:rsid w:val="00CB2B84"/>
    <w:rsid w:val="00CB2C73"/>
    <w:rsid w:val="00CB2C90"/>
    <w:rsid w:val="00CB2CC5"/>
    <w:rsid w:val="00CB2D54"/>
    <w:rsid w:val="00CB2D87"/>
    <w:rsid w:val="00CB2DAD"/>
    <w:rsid w:val="00CB2DD2"/>
    <w:rsid w:val="00CB2DD4"/>
    <w:rsid w:val="00CB2E9E"/>
    <w:rsid w:val="00CB3031"/>
    <w:rsid w:val="00CB3046"/>
    <w:rsid w:val="00CB3078"/>
    <w:rsid w:val="00CB30B3"/>
    <w:rsid w:val="00CB317E"/>
    <w:rsid w:val="00CB31AB"/>
    <w:rsid w:val="00CB325D"/>
    <w:rsid w:val="00CB3344"/>
    <w:rsid w:val="00CB339E"/>
    <w:rsid w:val="00CB35A3"/>
    <w:rsid w:val="00CB37E3"/>
    <w:rsid w:val="00CB37EB"/>
    <w:rsid w:val="00CB39C2"/>
    <w:rsid w:val="00CB39C7"/>
    <w:rsid w:val="00CB3A4C"/>
    <w:rsid w:val="00CB3A64"/>
    <w:rsid w:val="00CB3AAF"/>
    <w:rsid w:val="00CB3B34"/>
    <w:rsid w:val="00CB3B3C"/>
    <w:rsid w:val="00CB3C81"/>
    <w:rsid w:val="00CB3C97"/>
    <w:rsid w:val="00CB3CFC"/>
    <w:rsid w:val="00CB3DC3"/>
    <w:rsid w:val="00CB3DE7"/>
    <w:rsid w:val="00CB3E0E"/>
    <w:rsid w:val="00CB3F08"/>
    <w:rsid w:val="00CB40DE"/>
    <w:rsid w:val="00CB424A"/>
    <w:rsid w:val="00CB44E0"/>
    <w:rsid w:val="00CB461C"/>
    <w:rsid w:val="00CB462C"/>
    <w:rsid w:val="00CB4786"/>
    <w:rsid w:val="00CB4801"/>
    <w:rsid w:val="00CB48FF"/>
    <w:rsid w:val="00CB49A6"/>
    <w:rsid w:val="00CB49D8"/>
    <w:rsid w:val="00CB4A50"/>
    <w:rsid w:val="00CB4B40"/>
    <w:rsid w:val="00CB4B4D"/>
    <w:rsid w:val="00CB4B66"/>
    <w:rsid w:val="00CB4C09"/>
    <w:rsid w:val="00CB4D17"/>
    <w:rsid w:val="00CB4DA8"/>
    <w:rsid w:val="00CB4E4D"/>
    <w:rsid w:val="00CB506F"/>
    <w:rsid w:val="00CB5126"/>
    <w:rsid w:val="00CB5147"/>
    <w:rsid w:val="00CB5300"/>
    <w:rsid w:val="00CB5336"/>
    <w:rsid w:val="00CB538E"/>
    <w:rsid w:val="00CB5403"/>
    <w:rsid w:val="00CB55A1"/>
    <w:rsid w:val="00CB55AA"/>
    <w:rsid w:val="00CB55D6"/>
    <w:rsid w:val="00CB560D"/>
    <w:rsid w:val="00CB560F"/>
    <w:rsid w:val="00CB5681"/>
    <w:rsid w:val="00CB57E7"/>
    <w:rsid w:val="00CB582F"/>
    <w:rsid w:val="00CB589D"/>
    <w:rsid w:val="00CB58A9"/>
    <w:rsid w:val="00CB58AC"/>
    <w:rsid w:val="00CB5915"/>
    <w:rsid w:val="00CB5930"/>
    <w:rsid w:val="00CB5A41"/>
    <w:rsid w:val="00CB5B41"/>
    <w:rsid w:val="00CB5B4D"/>
    <w:rsid w:val="00CB5B9A"/>
    <w:rsid w:val="00CB5E4E"/>
    <w:rsid w:val="00CB5E55"/>
    <w:rsid w:val="00CB5EA6"/>
    <w:rsid w:val="00CB609D"/>
    <w:rsid w:val="00CB6105"/>
    <w:rsid w:val="00CB6106"/>
    <w:rsid w:val="00CB6107"/>
    <w:rsid w:val="00CB613D"/>
    <w:rsid w:val="00CB6245"/>
    <w:rsid w:val="00CB6298"/>
    <w:rsid w:val="00CB62C0"/>
    <w:rsid w:val="00CB64AE"/>
    <w:rsid w:val="00CB6655"/>
    <w:rsid w:val="00CB6665"/>
    <w:rsid w:val="00CB667B"/>
    <w:rsid w:val="00CB66F4"/>
    <w:rsid w:val="00CB6724"/>
    <w:rsid w:val="00CB6781"/>
    <w:rsid w:val="00CB6784"/>
    <w:rsid w:val="00CB67F6"/>
    <w:rsid w:val="00CB6824"/>
    <w:rsid w:val="00CB68D4"/>
    <w:rsid w:val="00CB68FB"/>
    <w:rsid w:val="00CB69D6"/>
    <w:rsid w:val="00CB69D8"/>
    <w:rsid w:val="00CB6A30"/>
    <w:rsid w:val="00CB6A90"/>
    <w:rsid w:val="00CB6B46"/>
    <w:rsid w:val="00CB6B9A"/>
    <w:rsid w:val="00CB6D27"/>
    <w:rsid w:val="00CB6DCA"/>
    <w:rsid w:val="00CB6F9A"/>
    <w:rsid w:val="00CB6FA7"/>
    <w:rsid w:val="00CB700F"/>
    <w:rsid w:val="00CB7055"/>
    <w:rsid w:val="00CB70C3"/>
    <w:rsid w:val="00CB70C4"/>
    <w:rsid w:val="00CB71A1"/>
    <w:rsid w:val="00CB721F"/>
    <w:rsid w:val="00CB72DB"/>
    <w:rsid w:val="00CB7362"/>
    <w:rsid w:val="00CB736F"/>
    <w:rsid w:val="00CB7385"/>
    <w:rsid w:val="00CB7387"/>
    <w:rsid w:val="00CB73F9"/>
    <w:rsid w:val="00CB7599"/>
    <w:rsid w:val="00CB7617"/>
    <w:rsid w:val="00CB761E"/>
    <w:rsid w:val="00CB761F"/>
    <w:rsid w:val="00CB7726"/>
    <w:rsid w:val="00CB7728"/>
    <w:rsid w:val="00CB7741"/>
    <w:rsid w:val="00CB7783"/>
    <w:rsid w:val="00CB7842"/>
    <w:rsid w:val="00CB799A"/>
    <w:rsid w:val="00CB79EA"/>
    <w:rsid w:val="00CB7A4F"/>
    <w:rsid w:val="00CB7D61"/>
    <w:rsid w:val="00CB7D66"/>
    <w:rsid w:val="00CB7E36"/>
    <w:rsid w:val="00CB7EE6"/>
    <w:rsid w:val="00CB7F04"/>
    <w:rsid w:val="00CB7F2F"/>
    <w:rsid w:val="00CC0066"/>
    <w:rsid w:val="00CC00BF"/>
    <w:rsid w:val="00CC00D3"/>
    <w:rsid w:val="00CC0126"/>
    <w:rsid w:val="00CC018F"/>
    <w:rsid w:val="00CC01DE"/>
    <w:rsid w:val="00CC0276"/>
    <w:rsid w:val="00CC02A7"/>
    <w:rsid w:val="00CC0325"/>
    <w:rsid w:val="00CC0476"/>
    <w:rsid w:val="00CC04FC"/>
    <w:rsid w:val="00CC0611"/>
    <w:rsid w:val="00CC07D8"/>
    <w:rsid w:val="00CC0874"/>
    <w:rsid w:val="00CC0888"/>
    <w:rsid w:val="00CC0953"/>
    <w:rsid w:val="00CC09C3"/>
    <w:rsid w:val="00CC09F3"/>
    <w:rsid w:val="00CC0A64"/>
    <w:rsid w:val="00CC0B12"/>
    <w:rsid w:val="00CC0B59"/>
    <w:rsid w:val="00CC0C3B"/>
    <w:rsid w:val="00CC0C77"/>
    <w:rsid w:val="00CC0D05"/>
    <w:rsid w:val="00CC0D60"/>
    <w:rsid w:val="00CC0F48"/>
    <w:rsid w:val="00CC101A"/>
    <w:rsid w:val="00CC1028"/>
    <w:rsid w:val="00CC1149"/>
    <w:rsid w:val="00CC115F"/>
    <w:rsid w:val="00CC11D6"/>
    <w:rsid w:val="00CC1250"/>
    <w:rsid w:val="00CC1362"/>
    <w:rsid w:val="00CC1419"/>
    <w:rsid w:val="00CC144A"/>
    <w:rsid w:val="00CC1454"/>
    <w:rsid w:val="00CC1506"/>
    <w:rsid w:val="00CC1523"/>
    <w:rsid w:val="00CC15E4"/>
    <w:rsid w:val="00CC1613"/>
    <w:rsid w:val="00CC16D0"/>
    <w:rsid w:val="00CC1732"/>
    <w:rsid w:val="00CC176D"/>
    <w:rsid w:val="00CC18F1"/>
    <w:rsid w:val="00CC1909"/>
    <w:rsid w:val="00CC1941"/>
    <w:rsid w:val="00CC1A8F"/>
    <w:rsid w:val="00CC1BF7"/>
    <w:rsid w:val="00CC1C32"/>
    <w:rsid w:val="00CC1CA1"/>
    <w:rsid w:val="00CC1D2F"/>
    <w:rsid w:val="00CC1E21"/>
    <w:rsid w:val="00CC1F06"/>
    <w:rsid w:val="00CC2003"/>
    <w:rsid w:val="00CC20BB"/>
    <w:rsid w:val="00CC20CD"/>
    <w:rsid w:val="00CC2121"/>
    <w:rsid w:val="00CC2144"/>
    <w:rsid w:val="00CC223C"/>
    <w:rsid w:val="00CC2260"/>
    <w:rsid w:val="00CC2291"/>
    <w:rsid w:val="00CC243E"/>
    <w:rsid w:val="00CC2623"/>
    <w:rsid w:val="00CC2631"/>
    <w:rsid w:val="00CC2673"/>
    <w:rsid w:val="00CC274B"/>
    <w:rsid w:val="00CC27E9"/>
    <w:rsid w:val="00CC2851"/>
    <w:rsid w:val="00CC296E"/>
    <w:rsid w:val="00CC29D8"/>
    <w:rsid w:val="00CC2A87"/>
    <w:rsid w:val="00CC2AAD"/>
    <w:rsid w:val="00CC2AD2"/>
    <w:rsid w:val="00CC2C3E"/>
    <w:rsid w:val="00CC2E0E"/>
    <w:rsid w:val="00CC2EFA"/>
    <w:rsid w:val="00CC2F26"/>
    <w:rsid w:val="00CC2F6C"/>
    <w:rsid w:val="00CC2FB5"/>
    <w:rsid w:val="00CC3103"/>
    <w:rsid w:val="00CC31B6"/>
    <w:rsid w:val="00CC31BE"/>
    <w:rsid w:val="00CC3216"/>
    <w:rsid w:val="00CC32E7"/>
    <w:rsid w:val="00CC330A"/>
    <w:rsid w:val="00CC3358"/>
    <w:rsid w:val="00CC33D1"/>
    <w:rsid w:val="00CC3419"/>
    <w:rsid w:val="00CC360D"/>
    <w:rsid w:val="00CC3654"/>
    <w:rsid w:val="00CC37A9"/>
    <w:rsid w:val="00CC3A3A"/>
    <w:rsid w:val="00CC3A6D"/>
    <w:rsid w:val="00CC3A8C"/>
    <w:rsid w:val="00CC3B10"/>
    <w:rsid w:val="00CC3C93"/>
    <w:rsid w:val="00CC3CAC"/>
    <w:rsid w:val="00CC3D58"/>
    <w:rsid w:val="00CC3EF5"/>
    <w:rsid w:val="00CC3F2E"/>
    <w:rsid w:val="00CC3F4E"/>
    <w:rsid w:val="00CC3F56"/>
    <w:rsid w:val="00CC3FC4"/>
    <w:rsid w:val="00CC4049"/>
    <w:rsid w:val="00CC415D"/>
    <w:rsid w:val="00CC41AA"/>
    <w:rsid w:val="00CC4334"/>
    <w:rsid w:val="00CC43B3"/>
    <w:rsid w:val="00CC4458"/>
    <w:rsid w:val="00CC449C"/>
    <w:rsid w:val="00CC4554"/>
    <w:rsid w:val="00CC4589"/>
    <w:rsid w:val="00CC45ED"/>
    <w:rsid w:val="00CC45F1"/>
    <w:rsid w:val="00CC4608"/>
    <w:rsid w:val="00CC461D"/>
    <w:rsid w:val="00CC46DE"/>
    <w:rsid w:val="00CC46EE"/>
    <w:rsid w:val="00CC46F3"/>
    <w:rsid w:val="00CC4875"/>
    <w:rsid w:val="00CC498D"/>
    <w:rsid w:val="00CC4AB9"/>
    <w:rsid w:val="00CC4B4F"/>
    <w:rsid w:val="00CC4B83"/>
    <w:rsid w:val="00CC4BBA"/>
    <w:rsid w:val="00CC4C14"/>
    <w:rsid w:val="00CC4C26"/>
    <w:rsid w:val="00CC4CA9"/>
    <w:rsid w:val="00CC4DCF"/>
    <w:rsid w:val="00CC4F64"/>
    <w:rsid w:val="00CC4F81"/>
    <w:rsid w:val="00CC4F88"/>
    <w:rsid w:val="00CC4FD7"/>
    <w:rsid w:val="00CC502A"/>
    <w:rsid w:val="00CC50E1"/>
    <w:rsid w:val="00CC51D1"/>
    <w:rsid w:val="00CC53A1"/>
    <w:rsid w:val="00CC53B0"/>
    <w:rsid w:val="00CC5513"/>
    <w:rsid w:val="00CC560C"/>
    <w:rsid w:val="00CC56AC"/>
    <w:rsid w:val="00CC56B2"/>
    <w:rsid w:val="00CC57C8"/>
    <w:rsid w:val="00CC5835"/>
    <w:rsid w:val="00CC5950"/>
    <w:rsid w:val="00CC5AA4"/>
    <w:rsid w:val="00CC5BA9"/>
    <w:rsid w:val="00CC5C8B"/>
    <w:rsid w:val="00CC5D75"/>
    <w:rsid w:val="00CC5D92"/>
    <w:rsid w:val="00CC5DAD"/>
    <w:rsid w:val="00CC5F4E"/>
    <w:rsid w:val="00CC600E"/>
    <w:rsid w:val="00CC608E"/>
    <w:rsid w:val="00CC6092"/>
    <w:rsid w:val="00CC60C1"/>
    <w:rsid w:val="00CC62A6"/>
    <w:rsid w:val="00CC6385"/>
    <w:rsid w:val="00CC63D3"/>
    <w:rsid w:val="00CC6412"/>
    <w:rsid w:val="00CC641F"/>
    <w:rsid w:val="00CC6485"/>
    <w:rsid w:val="00CC65A0"/>
    <w:rsid w:val="00CC663E"/>
    <w:rsid w:val="00CC6667"/>
    <w:rsid w:val="00CC667A"/>
    <w:rsid w:val="00CC6705"/>
    <w:rsid w:val="00CC67BB"/>
    <w:rsid w:val="00CC6BCB"/>
    <w:rsid w:val="00CC6C2B"/>
    <w:rsid w:val="00CC6CBF"/>
    <w:rsid w:val="00CC6DBC"/>
    <w:rsid w:val="00CC6DF1"/>
    <w:rsid w:val="00CC6EC1"/>
    <w:rsid w:val="00CC6FFF"/>
    <w:rsid w:val="00CC72FE"/>
    <w:rsid w:val="00CC7342"/>
    <w:rsid w:val="00CC7435"/>
    <w:rsid w:val="00CC75F6"/>
    <w:rsid w:val="00CC76D0"/>
    <w:rsid w:val="00CC777F"/>
    <w:rsid w:val="00CC77B0"/>
    <w:rsid w:val="00CC77FA"/>
    <w:rsid w:val="00CC7815"/>
    <w:rsid w:val="00CC7870"/>
    <w:rsid w:val="00CC7908"/>
    <w:rsid w:val="00CC790C"/>
    <w:rsid w:val="00CC7A84"/>
    <w:rsid w:val="00CC7AAC"/>
    <w:rsid w:val="00CC7B40"/>
    <w:rsid w:val="00CC7C2C"/>
    <w:rsid w:val="00CC7D5E"/>
    <w:rsid w:val="00CC7E54"/>
    <w:rsid w:val="00CC7E85"/>
    <w:rsid w:val="00CC7E92"/>
    <w:rsid w:val="00CC7F7B"/>
    <w:rsid w:val="00CD0023"/>
    <w:rsid w:val="00CD0041"/>
    <w:rsid w:val="00CD0134"/>
    <w:rsid w:val="00CD0136"/>
    <w:rsid w:val="00CD01E3"/>
    <w:rsid w:val="00CD0256"/>
    <w:rsid w:val="00CD0265"/>
    <w:rsid w:val="00CD02D6"/>
    <w:rsid w:val="00CD0300"/>
    <w:rsid w:val="00CD034F"/>
    <w:rsid w:val="00CD037D"/>
    <w:rsid w:val="00CD046E"/>
    <w:rsid w:val="00CD047E"/>
    <w:rsid w:val="00CD05B0"/>
    <w:rsid w:val="00CD06C3"/>
    <w:rsid w:val="00CD0772"/>
    <w:rsid w:val="00CD08A7"/>
    <w:rsid w:val="00CD0972"/>
    <w:rsid w:val="00CD0A47"/>
    <w:rsid w:val="00CD0BBF"/>
    <w:rsid w:val="00CD0BD3"/>
    <w:rsid w:val="00CD0E9D"/>
    <w:rsid w:val="00CD0FF0"/>
    <w:rsid w:val="00CD1013"/>
    <w:rsid w:val="00CD10D1"/>
    <w:rsid w:val="00CD1116"/>
    <w:rsid w:val="00CD133A"/>
    <w:rsid w:val="00CD1356"/>
    <w:rsid w:val="00CD1394"/>
    <w:rsid w:val="00CD13A8"/>
    <w:rsid w:val="00CD13AD"/>
    <w:rsid w:val="00CD1414"/>
    <w:rsid w:val="00CD1438"/>
    <w:rsid w:val="00CD148F"/>
    <w:rsid w:val="00CD1562"/>
    <w:rsid w:val="00CD161A"/>
    <w:rsid w:val="00CD1634"/>
    <w:rsid w:val="00CD16FF"/>
    <w:rsid w:val="00CD174D"/>
    <w:rsid w:val="00CD185F"/>
    <w:rsid w:val="00CD1893"/>
    <w:rsid w:val="00CD1A90"/>
    <w:rsid w:val="00CD1B10"/>
    <w:rsid w:val="00CD1B1B"/>
    <w:rsid w:val="00CD1B4E"/>
    <w:rsid w:val="00CD1C0E"/>
    <w:rsid w:val="00CD1C53"/>
    <w:rsid w:val="00CD1DE6"/>
    <w:rsid w:val="00CD1E26"/>
    <w:rsid w:val="00CD1E2B"/>
    <w:rsid w:val="00CD1FE6"/>
    <w:rsid w:val="00CD2028"/>
    <w:rsid w:val="00CD2045"/>
    <w:rsid w:val="00CD2054"/>
    <w:rsid w:val="00CD209B"/>
    <w:rsid w:val="00CD20AB"/>
    <w:rsid w:val="00CD2316"/>
    <w:rsid w:val="00CD23FC"/>
    <w:rsid w:val="00CD24BE"/>
    <w:rsid w:val="00CD253E"/>
    <w:rsid w:val="00CD25B6"/>
    <w:rsid w:val="00CD2636"/>
    <w:rsid w:val="00CD26EE"/>
    <w:rsid w:val="00CD277E"/>
    <w:rsid w:val="00CD27C0"/>
    <w:rsid w:val="00CD286C"/>
    <w:rsid w:val="00CD2910"/>
    <w:rsid w:val="00CD2A52"/>
    <w:rsid w:val="00CD2A5C"/>
    <w:rsid w:val="00CD2AA8"/>
    <w:rsid w:val="00CD2B05"/>
    <w:rsid w:val="00CD2B0C"/>
    <w:rsid w:val="00CD2BC5"/>
    <w:rsid w:val="00CD2CBD"/>
    <w:rsid w:val="00CD2CDC"/>
    <w:rsid w:val="00CD2D03"/>
    <w:rsid w:val="00CD2D1F"/>
    <w:rsid w:val="00CD2D67"/>
    <w:rsid w:val="00CD2E3B"/>
    <w:rsid w:val="00CD2F50"/>
    <w:rsid w:val="00CD2F5F"/>
    <w:rsid w:val="00CD3009"/>
    <w:rsid w:val="00CD302A"/>
    <w:rsid w:val="00CD30C9"/>
    <w:rsid w:val="00CD3106"/>
    <w:rsid w:val="00CD313C"/>
    <w:rsid w:val="00CD313D"/>
    <w:rsid w:val="00CD3173"/>
    <w:rsid w:val="00CD3182"/>
    <w:rsid w:val="00CD31FB"/>
    <w:rsid w:val="00CD3234"/>
    <w:rsid w:val="00CD32A3"/>
    <w:rsid w:val="00CD32F1"/>
    <w:rsid w:val="00CD3433"/>
    <w:rsid w:val="00CD34B6"/>
    <w:rsid w:val="00CD36DF"/>
    <w:rsid w:val="00CD38D8"/>
    <w:rsid w:val="00CD3952"/>
    <w:rsid w:val="00CD3A0E"/>
    <w:rsid w:val="00CD3A21"/>
    <w:rsid w:val="00CD3AB3"/>
    <w:rsid w:val="00CD3B1B"/>
    <w:rsid w:val="00CD3B22"/>
    <w:rsid w:val="00CD3B2E"/>
    <w:rsid w:val="00CD3B35"/>
    <w:rsid w:val="00CD3B86"/>
    <w:rsid w:val="00CD3BBC"/>
    <w:rsid w:val="00CD3BE4"/>
    <w:rsid w:val="00CD3C55"/>
    <w:rsid w:val="00CD3C57"/>
    <w:rsid w:val="00CD3D8C"/>
    <w:rsid w:val="00CD3DA1"/>
    <w:rsid w:val="00CD3E1E"/>
    <w:rsid w:val="00CD3E97"/>
    <w:rsid w:val="00CD3F7D"/>
    <w:rsid w:val="00CD43F5"/>
    <w:rsid w:val="00CD4453"/>
    <w:rsid w:val="00CD4549"/>
    <w:rsid w:val="00CD466A"/>
    <w:rsid w:val="00CD4687"/>
    <w:rsid w:val="00CD472C"/>
    <w:rsid w:val="00CD4796"/>
    <w:rsid w:val="00CD481D"/>
    <w:rsid w:val="00CD4871"/>
    <w:rsid w:val="00CD48C8"/>
    <w:rsid w:val="00CD4BBD"/>
    <w:rsid w:val="00CD4C5A"/>
    <w:rsid w:val="00CD4D3B"/>
    <w:rsid w:val="00CD4D59"/>
    <w:rsid w:val="00CD4D68"/>
    <w:rsid w:val="00CD4D85"/>
    <w:rsid w:val="00CD4EDA"/>
    <w:rsid w:val="00CD4EE5"/>
    <w:rsid w:val="00CD4F77"/>
    <w:rsid w:val="00CD5061"/>
    <w:rsid w:val="00CD50AF"/>
    <w:rsid w:val="00CD5173"/>
    <w:rsid w:val="00CD5198"/>
    <w:rsid w:val="00CD51F0"/>
    <w:rsid w:val="00CD52A1"/>
    <w:rsid w:val="00CD535F"/>
    <w:rsid w:val="00CD53A6"/>
    <w:rsid w:val="00CD54B2"/>
    <w:rsid w:val="00CD54C4"/>
    <w:rsid w:val="00CD54DE"/>
    <w:rsid w:val="00CD5568"/>
    <w:rsid w:val="00CD560E"/>
    <w:rsid w:val="00CD5753"/>
    <w:rsid w:val="00CD5758"/>
    <w:rsid w:val="00CD57C3"/>
    <w:rsid w:val="00CD57E6"/>
    <w:rsid w:val="00CD586A"/>
    <w:rsid w:val="00CD588E"/>
    <w:rsid w:val="00CD5897"/>
    <w:rsid w:val="00CD5AFC"/>
    <w:rsid w:val="00CD5B09"/>
    <w:rsid w:val="00CD5B0B"/>
    <w:rsid w:val="00CD5B33"/>
    <w:rsid w:val="00CD5B77"/>
    <w:rsid w:val="00CD5BEE"/>
    <w:rsid w:val="00CD5C70"/>
    <w:rsid w:val="00CD5C73"/>
    <w:rsid w:val="00CD5C83"/>
    <w:rsid w:val="00CD5CBC"/>
    <w:rsid w:val="00CD5D41"/>
    <w:rsid w:val="00CD5D7F"/>
    <w:rsid w:val="00CD5F84"/>
    <w:rsid w:val="00CD5FFF"/>
    <w:rsid w:val="00CD60AF"/>
    <w:rsid w:val="00CD60F3"/>
    <w:rsid w:val="00CD613E"/>
    <w:rsid w:val="00CD6148"/>
    <w:rsid w:val="00CD6166"/>
    <w:rsid w:val="00CD61A1"/>
    <w:rsid w:val="00CD61AC"/>
    <w:rsid w:val="00CD623D"/>
    <w:rsid w:val="00CD636C"/>
    <w:rsid w:val="00CD638F"/>
    <w:rsid w:val="00CD63AC"/>
    <w:rsid w:val="00CD6467"/>
    <w:rsid w:val="00CD6484"/>
    <w:rsid w:val="00CD64FC"/>
    <w:rsid w:val="00CD6533"/>
    <w:rsid w:val="00CD6547"/>
    <w:rsid w:val="00CD670A"/>
    <w:rsid w:val="00CD674E"/>
    <w:rsid w:val="00CD6793"/>
    <w:rsid w:val="00CD679E"/>
    <w:rsid w:val="00CD67C5"/>
    <w:rsid w:val="00CD68BA"/>
    <w:rsid w:val="00CD68F7"/>
    <w:rsid w:val="00CD692F"/>
    <w:rsid w:val="00CD6975"/>
    <w:rsid w:val="00CD6B1D"/>
    <w:rsid w:val="00CD6B8B"/>
    <w:rsid w:val="00CD6D1B"/>
    <w:rsid w:val="00CD6D4E"/>
    <w:rsid w:val="00CD6EA4"/>
    <w:rsid w:val="00CD6EC8"/>
    <w:rsid w:val="00CD6ECB"/>
    <w:rsid w:val="00CD70AB"/>
    <w:rsid w:val="00CD71AF"/>
    <w:rsid w:val="00CD71E8"/>
    <w:rsid w:val="00CD7243"/>
    <w:rsid w:val="00CD752A"/>
    <w:rsid w:val="00CD759B"/>
    <w:rsid w:val="00CD75AB"/>
    <w:rsid w:val="00CD75C6"/>
    <w:rsid w:val="00CD7804"/>
    <w:rsid w:val="00CD7828"/>
    <w:rsid w:val="00CD786F"/>
    <w:rsid w:val="00CD7938"/>
    <w:rsid w:val="00CD79F0"/>
    <w:rsid w:val="00CD7A11"/>
    <w:rsid w:val="00CD7A19"/>
    <w:rsid w:val="00CD7A3B"/>
    <w:rsid w:val="00CD7AAC"/>
    <w:rsid w:val="00CD7B00"/>
    <w:rsid w:val="00CD7BD6"/>
    <w:rsid w:val="00CD7C74"/>
    <w:rsid w:val="00CD7CFB"/>
    <w:rsid w:val="00CD7E08"/>
    <w:rsid w:val="00CD7E80"/>
    <w:rsid w:val="00CE0109"/>
    <w:rsid w:val="00CE016F"/>
    <w:rsid w:val="00CE0186"/>
    <w:rsid w:val="00CE0288"/>
    <w:rsid w:val="00CE0329"/>
    <w:rsid w:val="00CE05B3"/>
    <w:rsid w:val="00CE0630"/>
    <w:rsid w:val="00CE0636"/>
    <w:rsid w:val="00CE07C9"/>
    <w:rsid w:val="00CE0897"/>
    <w:rsid w:val="00CE08ED"/>
    <w:rsid w:val="00CE08FD"/>
    <w:rsid w:val="00CE092C"/>
    <w:rsid w:val="00CE0951"/>
    <w:rsid w:val="00CE09B2"/>
    <w:rsid w:val="00CE0A74"/>
    <w:rsid w:val="00CE0B10"/>
    <w:rsid w:val="00CE0B91"/>
    <w:rsid w:val="00CE0BBB"/>
    <w:rsid w:val="00CE0BFA"/>
    <w:rsid w:val="00CE0C0D"/>
    <w:rsid w:val="00CE0C77"/>
    <w:rsid w:val="00CE0CDC"/>
    <w:rsid w:val="00CE0D08"/>
    <w:rsid w:val="00CE0D18"/>
    <w:rsid w:val="00CE0D40"/>
    <w:rsid w:val="00CE0D9D"/>
    <w:rsid w:val="00CE0DC9"/>
    <w:rsid w:val="00CE0DD6"/>
    <w:rsid w:val="00CE0E29"/>
    <w:rsid w:val="00CE0F82"/>
    <w:rsid w:val="00CE0F8C"/>
    <w:rsid w:val="00CE109A"/>
    <w:rsid w:val="00CE1124"/>
    <w:rsid w:val="00CE1157"/>
    <w:rsid w:val="00CE1177"/>
    <w:rsid w:val="00CE121D"/>
    <w:rsid w:val="00CE1318"/>
    <w:rsid w:val="00CE1414"/>
    <w:rsid w:val="00CE145A"/>
    <w:rsid w:val="00CE14A1"/>
    <w:rsid w:val="00CE14BD"/>
    <w:rsid w:val="00CE14D5"/>
    <w:rsid w:val="00CE16B0"/>
    <w:rsid w:val="00CE16FD"/>
    <w:rsid w:val="00CE1722"/>
    <w:rsid w:val="00CE17C3"/>
    <w:rsid w:val="00CE17D6"/>
    <w:rsid w:val="00CE1834"/>
    <w:rsid w:val="00CE18C4"/>
    <w:rsid w:val="00CE1914"/>
    <w:rsid w:val="00CE1920"/>
    <w:rsid w:val="00CE1937"/>
    <w:rsid w:val="00CE1A86"/>
    <w:rsid w:val="00CE1AEB"/>
    <w:rsid w:val="00CE1C85"/>
    <w:rsid w:val="00CE1C89"/>
    <w:rsid w:val="00CE1CEC"/>
    <w:rsid w:val="00CE1E63"/>
    <w:rsid w:val="00CE1E67"/>
    <w:rsid w:val="00CE1F3B"/>
    <w:rsid w:val="00CE1F3E"/>
    <w:rsid w:val="00CE1FCC"/>
    <w:rsid w:val="00CE2078"/>
    <w:rsid w:val="00CE222C"/>
    <w:rsid w:val="00CE2249"/>
    <w:rsid w:val="00CE2386"/>
    <w:rsid w:val="00CE2405"/>
    <w:rsid w:val="00CE247A"/>
    <w:rsid w:val="00CE24D8"/>
    <w:rsid w:val="00CE250B"/>
    <w:rsid w:val="00CE2531"/>
    <w:rsid w:val="00CE2792"/>
    <w:rsid w:val="00CE27E2"/>
    <w:rsid w:val="00CE287D"/>
    <w:rsid w:val="00CE2993"/>
    <w:rsid w:val="00CE2AE4"/>
    <w:rsid w:val="00CE2C3B"/>
    <w:rsid w:val="00CE2C9F"/>
    <w:rsid w:val="00CE2D05"/>
    <w:rsid w:val="00CE2E22"/>
    <w:rsid w:val="00CE2F37"/>
    <w:rsid w:val="00CE2F42"/>
    <w:rsid w:val="00CE2F83"/>
    <w:rsid w:val="00CE308F"/>
    <w:rsid w:val="00CE30AD"/>
    <w:rsid w:val="00CE30C3"/>
    <w:rsid w:val="00CE3150"/>
    <w:rsid w:val="00CE3234"/>
    <w:rsid w:val="00CE327D"/>
    <w:rsid w:val="00CE3317"/>
    <w:rsid w:val="00CE3330"/>
    <w:rsid w:val="00CE3377"/>
    <w:rsid w:val="00CE3384"/>
    <w:rsid w:val="00CE3436"/>
    <w:rsid w:val="00CE357C"/>
    <w:rsid w:val="00CE35F9"/>
    <w:rsid w:val="00CE3900"/>
    <w:rsid w:val="00CE3ACA"/>
    <w:rsid w:val="00CE3BCA"/>
    <w:rsid w:val="00CE3BCE"/>
    <w:rsid w:val="00CE3BD1"/>
    <w:rsid w:val="00CE3C00"/>
    <w:rsid w:val="00CE3D67"/>
    <w:rsid w:val="00CE3DCC"/>
    <w:rsid w:val="00CE3F7B"/>
    <w:rsid w:val="00CE40EE"/>
    <w:rsid w:val="00CE41DC"/>
    <w:rsid w:val="00CE4207"/>
    <w:rsid w:val="00CE4274"/>
    <w:rsid w:val="00CE42B0"/>
    <w:rsid w:val="00CE438F"/>
    <w:rsid w:val="00CE4409"/>
    <w:rsid w:val="00CE46BB"/>
    <w:rsid w:val="00CE4730"/>
    <w:rsid w:val="00CE48B0"/>
    <w:rsid w:val="00CE48EF"/>
    <w:rsid w:val="00CE4941"/>
    <w:rsid w:val="00CE495C"/>
    <w:rsid w:val="00CE49C5"/>
    <w:rsid w:val="00CE49E1"/>
    <w:rsid w:val="00CE4B0E"/>
    <w:rsid w:val="00CE4C7F"/>
    <w:rsid w:val="00CE4CCB"/>
    <w:rsid w:val="00CE4CD6"/>
    <w:rsid w:val="00CE4D2D"/>
    <w:rsid w:val="00CE4DA5"/>
    <w:rsid w:val="00CE4E16"/>
    <w:rsid w:val="00CE4E3F"/>
    <w:rsid w:val="00CE4EA3"/>
    <w:rsid w:val="00CE4EC7"/>
    <w:rsid w:val="00CE4F60"/>
    <w:rsid w:val="00CE50C6"/>
    <w:rsid w:val="00CE523C"/>
    <w:rsid w:val="00CE5398"/>
    <w:rsid w:val="00CE53CE"/>
    <w:rsid w:val="00CE54C7"/>
    <w:rsid w:val="00CE5512"/>
    <w:rsid w:val="00CE552F"/>
    <w:rsid w:val="00CE55D7"/>
    <w:rsid w:val="00CE56B5"/>
    <w:rsid w:val="00CE56D1"/>
    <w:rsid w:val="00CE56F1"/>
    <w:rsid w:val="00CE5747"/>
    <w:rsid w:val="00CE5870"/>
    <w:rsid w:val="00CE5888"/>
    <w:rsid w:val="00CE58AA"/>
    <w:rsid w:val="00CE5983"/>
    <w:rsid w:val="00CE5A15"/>
    <w:rsid w:val="00CE5A25"/>
    <w:rsid w:val="00CE5A57"/>
    <w:rsid w:val="00CE5B93"/>
    <w:rsid w:val="00CE5B9E"/>
    <w:rsid w:val="00CE5C7A"/>
    <w:rsid w:val="00CE5E28"/>
    <w:rsid w:val="00CE5E2E"/>
    <w:rsid w:val="00CE5E67"/>
    <w:rsid w:val="00CE5E8A"/>
    <w:rsid w:val="00CE5EAF"/>
    <w:rsid w:val="00CE5F67"/>
    <w:rsid w:val="00CE5FBF"/>
    <w:rsid w:val="00CE5FEB"/>
    <w:rsid w:val="00CE600B"/>
    <w:rsid w:val="00CE6093"/>
    <w:rsid w:val="00CE60E7"/>
    <w:rsid w:val="00CE60FD"/>
    <w:rsid w:val="00CE6173"/>
    <w:rsid w:val="00CE6180"/>
    <w:rsid w:val="00CE61CE"/>
    <w:rsid w:val="00CE620E"/>
    <w:rsid w:val="00CE6271"/>
    <w:rsid w:val="00CE62FA"/>
    <w:rsid w:val="00CE63E8"/>
    <w:rsid w:val="00CE646D"/>
    <w:rsid w:val="00CE64BF"/>
    <w:rsid w:val="00CE64CF"/>
    <w:rsid w:val="00CE64F4"/>
    <w:rsid w:val="00CE6612"/>
    <w:rsid w:val="00CE6764"/>
    <w:rsid w:val="00CE677A"/>
    <w:rsid w:val="00CE677D"/>
    <w:rsid w:val="00CE67EB"/>
    <w:rsid w:val="00CE68CD"/>
    <w:rsid w:val="00CE691C"/>
    <w:rsid w:val="00CE6A2D"/>
    <w:rsid w:val="00CE6AC7"/>
    <w:rsid w:val="00CE6B5F"/>
    <w:rsid w:val="00CE6B6F"/>
    <w:rsid w:val="00CE6B8F"/>
    <w:rsid w:val="00CE6CD8"/>
    <w:rsid w:val="00CE6D32"/>
    <w:rsid w:val="00CE6D45"/>
    <w:rsid w:val="00CE6F87"/>
    <w:rsid w:val="00CE703D"/>
    <w:rsid w:val="00CE7062"/>
    <w:rsid w:val="00CE7096"/>
    <w:rsid w:val="00CE73A9"/>
    <w:rsid w:val="00CE75E7"/>
    <w:rsid w:val="00CE763B"/>
    <w:rsid w:val="00CE7642"/>
    <w:rsid w:val="00CE779C"/>
    <w:rsid w:val="00CE7801"/>
    <w:rsid w:val="00CE7816"/>
    <w:rsid w:val="00CE789E"/>
    <w:rsid w:val="00CE79A1"/>
    <w:rsid w:val="00CE7A2F"/>
    <w:rsid w:val="00CE7ACA"/>
    <w:rsid w:val="00CE7B6D"/>
    <w:rsid w:val="00CE7B70"/>
    <w:rsid w:val="00CE7B7E"/>
    <w:rsid w:val="00CE7BE8"/>
    <w:rsid w:val="00CE7C11"/>
    <w:rsid w:val="00CE7C80"/>
    <w:rsid w:val="00CE7D82"/>
    <w:rsid w:val="00CE7D92"/>
    <w:rsid w:val="00CF009F"/>
    <w:rsid w:val="00CF00B3"/>
    <w:rsid w:val="00CF0164"/>
    <w:rsid w:val="00CF0248"/>
    <w:rsid w:val="00CF02C0"/>
    <w:rsid w:val="00CF035E"/>
    <w:rsid w:val="00CF03B2"/>
    <w:rsid w:val="00CF0439"/>
    <w:rsid w:val="00CF0456"/>
    <w:rsid w:val="00CF046B"/>
    <w:rsid w:val="00CF0538"/>
    <w:rsid w:val="00CF0588"/>
    <w:rsid w:val="00CF07BB"/>
    <w:rsid w:val="00CF0921"/>
    <w:rsid w:val="00CF09BB"/>
    <w:rsid w:val="00CF0AB9"/>
    <w:rsid w:val="00CF0BB2"/>
    <w:rsid w:val="00CF0D94"/>
    <w:rsid w:val="00CF0E56"/>
    <w:rsid w:val="00CF0ED1"/>
    <w:rsid w:val="00CF0ED7"/>
    <w:rsid w:val="00CF0F11"/>
    <w:rsid w:val="00CF1100"/>
    <w:rsid w:val="00CF1127"/>
    <w:rsid w:val="00CF11A5"/>
    <w:rsid w:val="00CF11BE"/>
    <w:rsid w:val="00CF11EA"/>
    <w:rsid w:val="00CF123D"/>
    <w:rsid w:val="00CF12CF"/>
    <w:rsid w:val="00CF13F9"/>
    <w:rsid w:val="00CF1509"/>
    <w:rsid w:val="00CF1523"/>
    <w:rsid w:val="00CF154F"/>
    <w:rsid w:val="00CF1572"/>
    <w:rsid w:val="00CF1599"/>
    <w:rsid w:val="00CF1602"/>
    <w:rsid w:val="00CF163B"/>
    <w:rsid w:val="00CF16F4"/>
    <w:rsid w:val="00CF1803"/>
    <w:rsid w:val="00CF1895"/>
    <w:rsid w:val="00CF1959"/>
    <w:rsid w:val="00CF1A6B"/>
    <w:rsid w:val="00CF1A9C"/>
    <w:rsid w:val="00CF1C20"/>
    <w:rsid w:val="00CF1DBB"/>
    <w:rsid w:val="00CF1DC2"/>
    <w:rsid w:val="00CF1F17"/>
    <w:rsid w:val="00CF20FD"/>
    <w:rsid w:val="00CF2162"/>
    <w:rsid w:val="00CF2226"/>
    <w:rsid w:val="00CF2241"/>
    <w:rsid w:val="00CF22DD"/>
    <w:rsid w:val="00CF240E"/>
    <w:rsid w:val="00CF2492"/>
    <w:rsid w:val="00CF24C3"/>
    <w:rsid w:val="00CF278C"/>
    <w:rsid w:val="00CF2C30"/>
    <w:rsid w:val="00CF2D0D"/>
    <w:rsid w:val="00CF2E3D"/>
    <w:rsid w:val="00CF2E45"/>
    <w:rsid w:val="00CF2F62"/>
    <w:rsid w:val="00CF2FCE"/>
    <w:rsid w:val="00CF304E"/>
    <w:rsid w:val="00CF30AE"/>
    <w:rsid w:val="00CF30B8"/>
    <w:rsid w:val="00CF30EF"/>
    <w:rsid w:val="00CF30F4"/>
    <w:rsid w:val="00CF310E"/>
    <w:rsid w:val="00CF318A"/>
    <w:rsid w:val="00CF32CF"/>
    <w:rsid w:val="00CF33B6"/>
    <w:rsid w:val="00CF3598"/>
    <w:rsid w:val="00CF35ED"/>
    <w:rsid w:val="00CF360D"/>
    <w:rsid w:val="00CF366A"/>
    <w:rsid w:val="00CF36F4"/>
    <w:rsid w:val="00CF378B"/>
    <w:rsid w:val="00CF37FC"/>
    <w:rsid w:val="00CF38CB"/>
    <w:rsid w:val="00CF3978"/>
    <w:rsid w:val="00CF397E"/>
    <w:rsid w:val="00CF39A5"/>
    <w:rsid w:val="00CF3B87"/>
    <w:rsid w:val="00CF3BE9"/>
    <w:rsid w:val="00CF3CF6"/>
    <w:rsid w:val="00CF3DAF"/>
    <w:rsid w:val="00CF3F2F"/>
    <w:rsid w:val="00CF4112"/>
    <w:rsid w:val="00CF4123"/>
    <w:rsid w:val="00CF41B4"/>
    <w:rsid w:val="00CF41E6"/>
    <w:rsid w:val="00CF4360"/>
    <w:rsid w:val="00CF43E0"/>
    <w:rsid w:val="00CF443C"/>
    <w:rsid w:val="00CF4445"/>
    <w:rsid w:val="00CF44EB"/>
    <w:rsid w:val="00CF4552"/>
    <w:rsid w:val="00CF45A4"/>
    <w:rsid w:val="00CF468B"/>
    <w:rsid w:val="00CF4734"/>
    <w:rsid w:val="00CF47B8"/>
    <w:rsid w:val="00CF48FC"/>
    <w:rsid w:val="00CF491B"/>
    <w:rsid w:val="00CF495E"/>
    <w:rsid w:val="00CF4A65"/>
    <w:rsid w:val="00CF4AE4"/>
    <w:rsid w:val="00CF4B40"/>
    <w:rsid w:val="00CF4D14"/>
    <w:rsid w:val="00CF4D18"/>
    <w:rsid w:val="00CF4ED6"/>
    <w:rsid w:val="00CF4F11"/>
    <w:rsid w:val="00CF4F4F"/>
    <w:rsid w:val="00CF50AE"/>
    <w:rsid w:val="00CF5121"/>
    <w:rsid w:val="00CF51A3"/>
    <w:rsid w:val="00CF51C0"/>
    <w:rsid w:val="00CF5206"/>
    <w:rsid w:val="00CF535D"/>
    <w:rsid w:val="00CF5395"/>
    <w:rsid w:val="00CF53DD"/>
    <w:rsid w:val="00CF542C"/>
    <w:rsid w:val="00CF544B"/>
    <w:rsid w:val="00CF550E"/>
    <w:rsid w:val="00CF555C"/>
    <w:rsid w:val="00CF5643"/>
    <w:rsid w:val="00CF5686"/>
    <w:rsid w:val="00CF56F0"/>
    <w:rsid w:val="00CF5766"/>
    <w:rsid w:val="00CF5820"/>
    <w:rsid w:val="00CF5879"/>
    <w:rsid w:val="00CF587A"/>
    <w:rsid w:val="00CF58C4"/>
    <w:rsid w:val="00CF5930"/>
    <w:rsid w:val="00CF5A0C"/>
    <w:rsid w:val="00CF5ACB"/>
    <w:rsid w:val="00CF5B80"/>
    <w:rsid w:val="00CF5C7C"/>
    <w:rsid w:val="00CF5C87"/>
    <w:rsid w:val="00CF5D0A"/>
    <w:rsid w:val="00CF5D3F"/>
    <w:rsid w:val="00CF5D4B"/>
    <w:rsid w:val="00CF5D62"/>
    <w:rsid w:val="00CF5E65"/>
    <w:rsid w:val="00CF5ECD"/>
    <w:rsid w:val="00CF5ECE"/>
    <w:rsid w:val="00CF5FF1"/>
    <w:rsid w:val="00CF601F"/>
    <w:rsid w:val="00CF60F8"/>
    <w:rsid w:val="00CF613A"/>
    <w:rsid w:val="00CF6173"/>
    <w:rsid w:val="00CF61C0"/>
    <w:rsid w:val="00CF6240"/>
    <w:rsid w:val="00CF626F"/>
    <w:rsid w:val="00CF62BD"/>
    <w:rsid w:val="00CF6404"/>
    <w:rsid w:val="00CF6513"/>
    <w:rsid w:val="00CF655B"/>
    <w:rsid w:val="00CF657F"/>
    <w:rsid w:val="00CF671E"/>
    <w:rsid w:val="00CF67A0"/>
    <w:rsid w:val="00CF69B3"/>
    <w:rsid w:val="00CF6B81"/>
    <w:rsid w:val="00CF6C39"/>
    <w:rsid w:val="00CF6CB2"/>
    <w:rsid w:val="00CF6D4E"/>
    <w:rsid w:val="00CF6D7F"/>
    <w:rsid w:val="00CF6DB2"/>
    <w:rsid w:val="00CF6E2B"/>
    <w:rsid w:val="00CF6FA9"/>
    <w:rsid w:val="00CF6FBD"/>
    <w:rsid w:val="00CF701B"/>
    <w:rsid w:val="00CF70FB"/>
    <w:rsid w:val="00CF7185"/>
    <w:rsid w:val="00CF71F6"/>
    <w:rsid w:val="00CF7316"/>
    <w:rsid w:val="00CF7328"/>
    <w:rsid w:val="00CF732C"/>
    <w:rsid w:val="00CF73E4"/>
    <w:rsid w:val="00CF7472"/>
    <w:rsid w:val="00CF7507"/>
    <w:rsid w:val="00CF7540"/>
    <w:rsid w:val="00CF75F0"/>
    <w:rsid w:val="00CF7756"/>
    <w:rsid w:val="00CF779C"/>
    <w:rsid w:val="00CF788F"/>
    <w:rsid w:val="00CF794C"/>
    <w:rsid w:val="00CF79CF"/>
    <w:rsid w:val="00CF79F4"/>
    <w:rsid w:val="00CF7A7C"/>
    <w:rsid w:val="00CF7DCC"/>
    <w:rsid w:val="00CF7DCF"/>
    <w:rsid w:val="00CF7E12"/>
    <w:rsid w:val="00CF7E87"/>
    <w:rsid w:val="00CF7EC5"/>
    <w:rsid w:val="00CF7F14"/>
    <w:rsid w:val="00D00096"/>
    <w:rsid w:val="00D00186"/>
    <w:rsid w:val="00D001A8"/>
    <w:rsid w:val="00D00335"/>
    <w:rsid w:val="00D00342"/>
    <w:rsid w:val="00D00371"/>
    <w:rsid w:val="00D0037A"/>
    <w:rsid w:val="00D00447"/>
    <w:rsid w:val="00D00494"/>
    <w:rsid w:val="00D004F9"/>
    <w:rsid w:val="00D0053B"/>
    <w:rsid w:val="00D00609"/>
    <w:rsid w:val="00D00716"/>
    <w:rsid w:val="00D0082E"/>
    <w:rsid w:val="00D00873"/>
    <w:rsid w:val="00D008E1"/>
    <w:rsid w:val="00D00944"/>
    <w:rsid w:val="00D00985"/>
    <w:rsid w:val="00D009FB"/>
    <w:rsid w:val="00D00A0A"/>
    <w:rsid w:val="00D00A33"/>
    <w:rsid w:val="00D00A92"/>
    <w:rsid w:val="00D00ABE"/>
    <w:rsid w:val="00D00B71"/>
    <w:rsid w:val="00D00C6F"/>
    <w:rsid w:val="00D00DBA"/>
    <w:rsid w:val="00D00EF0"/>
    <w:rsid w:val="00D00F98"/>
    <w:rsid w:val="00D00FBE"/>
    <w:rsid w:val="00D01072"/>
    <w:rsid w:val="00D010CA"/>
    <w:rsid w:val="00D011B2"/>
    <w:rsid w:val="00D011DB"/>
    <w:rsid w:val="00D01288"/>
    <w:rsid w:val="00D012CF"/>
    <w:rsid w:val="00D0141F"/>
    <w:rsid w:val="00D01469"/>
    <w:rsid w:val="00D014BD"/>
    <w:rsid w:val="00D01559"/>
    <w:rsid w:val="00D0163F"/>
    <w:rsid w:val="00D016DA"/>
    <w:rsid w:val="00D01740"/>
    <w:rsid w:val="00D018A4"/>
    <w:rsid w:val="00D01956"/>
    <w:rsid w:val="00D01957"/>
    <w:rsid w:val="00D0198E"/>
    <w:rsid w:val="00D01A5D"/>
    <w:rsid w:val="00D01B4D"/>
    <w:rsid w:val="00D01B72"/>
    <w:rsid w:val="00D01B78"/>
    <w:rsid w:val="00D01CA8"/>
    <w:rsid w:val="00D01D04"/>
    <w:rsid w:val="00D01DDD"/>
    <w:rsid w:val="00D01EE1"/>
    <w:rsid w:val="00D01FEB"/>
    <w:rsid w:val="00D020AB"/>
    <w:rsid w:val="00D0215B"/>
    <w:rsid w:val="00D02240"/>
    <w:rsid w:val="00D022AD"/>
    <w:rsid w:val="00D022FD"/>
    <w:rsid w:val="00D0234B"/>
    <w:rsid w:val="00D0236D"/>
    <w:rsid w:val="00D0238C"/>
    <w:rsid w:val="00D02567"/>
    <w:rsid w:val="00D0259D"/>
    <w:rsid w:val="00D025C3"/>
    <w:rsid w:val="00D0267B"/>
    <w:rsid w:val="00D02684"/>
    <w:rsid w:val="00D027AC"/>
    <w:rsid w:val="00D027F1"/>
    <w:rsid w:val="00D0284D"/>
    <w:rsid w:val="00D028B8"/>
    <w:rsid w:val="00D029AE"/>
    <w:rsid w:val="00D02A69"/>
    <w:rsid w:val="00D02B3A"/>
    <w:rsid w:val="00D02C0B"/>
    <w:rsid w:val="00D02C39"/>
    <w:rsid w:val="00D02C3D"/>
    <w:rsid w:val="00D02D98"/>
    <w:rsid w:val="00D02E07"/>
    <w:rsid w:val="00D02E1C"/>
    <w:rsid w:val="00D02E29"/>
    <w:rsid w:val="00D02ED7"/>
    <w:rsid w:val="00D02F39"/>
    <w:rsid w:val="00D030E1"/>
    <w:rsid w:val="00D0314E"/>
    <w:rsid w:val="00D03194"/>
    <w:rsid w:val="00D031A4"/>
    <w:rsid w:val="00D0324A"/>
    <w:rsid w:val="00D0326C"/>
    <w:rsid w:val="00D032B0"/>
    <w:rsid w:val="00D035FD"/>
    <w:rsid w:val="00D03692"/>
    <w:rsid w:val="00D0369C"/>
    <w:rsid w:val="00D0381F"/>
    <w:rsid w:val="00D03841"/>
    <w:rsid w:val="00D03860"/>
    <w:rsid w:val="00D03A22"/>
    <w:rsid w:val="00D03A42"/>
    <w:rsid w:val="00D03A44"/>
    <w:rsid w:val="00D03A6C"/>
    <w:rsid w:val="00D03AA6"/>
    <w:rsid w:val="00D03AD0"/>
    <w:rsid w:val="00D03B50"/>
    <w:rsid w:val="00D03B71"/>
    <w:rsid w:val="00D03BB4"/>
    <w:rsid w:val="00D03BDA"/>
    <w:rsid w:val="00D03BFC"/>
    <w:rsid w:val="00D03C83"/>
    <w:rsid w:val="00D03CE1"/>
    <w:rsid w:val="00D03ECC"/>
    <w:rsid w:val="00D03F02"/>
    <w:rsid w:val="00D03FBA"/>
    <w:rsid w:val="00D03FC4"/>
    <w:rsid w:val="00D03FE1"/>
    <w:rsid w:val="00D04046"/>
    <w:rsid w:val="00D040C1"/>
    <w:rsid w:val="00D04185"/>
    <w:rsid w:val="00D041BE"/>
    <w:rsid w:val="00D041FE"/>
    <w:rsid w:val="00D04203"/>
    <w:rsid w:val="00D042CC"/>
    <w:rsid w:val="00D0435B"/>
    <w:rsid w:val="00D04391"/>
    <w:rsid w:val="00D04477"/>
    <w:rsid w:val="00D044CD"/>
    <w:rsid w:val="00D04501"/>
    <w:rsid w:val="00D04529"/>
    <w:rsid w:val="00D045D6"/>
    <w:rsid w:val="00D045E2"/>
    <w:rsid w:val="00D0470C"/>
    <w:rsid w:val="00D0486B"/>
    <w:rsid w:val="00D048BA"/>
    <w:rsid w:val="00D04A7E"/>
    <w:rsid w:val="00D04A8B"/>
    <w:rsid w:val="00D04BD2"/>
    <w:rsid w:val="00D04D5F"/>
    <w:rsid w:val="00D04E24"/>
    <w:rsid w:val="00D04E6B"/>
    <w:rsid w:val="00D04F63"/>
    <w:rsid w:val="00D04FA5"/>
    <w:rsid w:val="00D050B9"/>
    <w:rsid w:val="00D05155"/>
    <w:rsid w:val="00D0515F"/>
    <w:rsid w:val="00D051D4"/>
    <w:rsid w:val="00D05293"/>
    <w:rsid w:val="00D052E4"/>
    <w:rsid w:val="00D05379"/>
    <w:rsid w:val="00D053BC"/>
    <w:rsid w:val="00D05468"/>
    <w:rsid w:val="00D05605"/>
    <w:rsid w:val="00D05645"/>
    <w:rsid w:val="00D0564C"/>
    <w:rsid w:val="00D057B8"/>
    <w:rsid w:val="00D0581C"/>
    <w:rsid w:val="00D0582E"/>
    <w:rsid w:val="00D058B7"/>
    <w:rsid w:val="00D05A41"/>
    <w:rsid w:val="00D05ADF"/>
    <w:rsid w:val="00D05CC6"/>
    <w:rsid w:val="00D05EF9"/>
    <w:rsid w:val="00D05F12"/>
    <w:rsid w:val="00D05F20"/>
    <w:rsid w:val="00D05F66"/>
    <w:rsid w:val="00D06247"/>
    <w:rsid w:val="00D0624D"/>
    <w:rsid w:val="00D062C6"/>
    <w:rsid w:val="00D06311"/>
    <w:rsid w:val="00D0652E"/>
    <w:rsid w:val="00D0654E"/>
    <w:rsid w:val="00D06551"/>
    <w:rsid w:val="00D06658"/>
    <w:rsid w:val="00D06666"/>
    <w:rsid w:val="00D066BA"/>
    <w:rsid w:val="00D0671A"/>
    <w:rsid w:val="00D0686F"/>
    <w:rsid w:val="00D06922"/>
    <w:rsid w:val="00D0692E"/>
    <w:rsid w:val="00D06A58"/>
    <w:rsid w:val="00D06AD0"/>
    <w:rsid w:val="00D06B4E"/>
    <w:rsid w:val="00D06B96"/>
    <w:rsid w:val="00D06C43"/>
    <w:rsid w:val="00D06F54"/>
    <w:rsid w:val="00D070F5"/>
    <w:rsid w:val="00D0732C"/>
    <w:rsid w:val="00D07338"/>
    <w:rsid w:val="00D07379"/>
    <w:rsid w:val="00D073D8"/>
    <w:rsid w:val="00D073DC"/>
    <w:rsid w:val="00D07426"/>
    <w:rsid w:val="00D0752B"/>
    <w:rsid w:val="00D076DA"/>
    <w:rsid w:val="00D078E6"/>
    <w:rsid w:val="00D0799A"/>
    <w:rsid w:val="00D07A10"/>
    <w:rsid w:val="00D07A14"/>
    <w:rsid w:val="00D07A60"/>
    <w:rsid w:val="00D07B33"/>
    <w:rsid w:val="00D07B91"/>
    <w:rsid w:val="00D07C48"/>
    <w:rsid w:val="00D07E0E"/>
    <w:rsid w:val="00D07E9E"/>
    <w:rsid w:val="00D07F05"/>
    <w:rsid w:val="00D07F90"/>
    <w:rsid w:val="00D1006F"/>
    <w:rsid w:val="00D1008A"/>
    <w:rsid w:val="00D1018F"/>
    <w:rsid w:val="00D102AF"/>
    <w:rsid w:val="00D10341"/>
    <w:rsid w:val="00D10367"/>
    <w:rsid w:val="00D1036C"/>
    <w:rsid w:val="00D10527"/>
    <w:rsid w:val="00D10571"/>
    <w:rsid w:val="00D10582"/>
    <w:rsid w:val="00D10669"/>
    <w:rsid w:val="00D1066A"/>
    <w:rsid w:val="00D106AE"/>
    <w:rsid w:val="00D106DC"/>
    <w:rsid w:val="00D107A5"/>
    <w:rsid w:val="00D108F0"/>
    <w:rsid w:val="00D108F6"/>
    <w:rsid w:val="00D108FE"/>
    <w:rsid w:val="00D10A9B"/>
    <w:rsid w:val="00D10B2B"/>
    <w:rsid w:val="00D10B2E"/>
    <w:rsid w:val="00D10C4C"/>
    <w:rsid w:val="00D10CB9"/>
    <w:rsid w:val="00D10D4B"/>
    <w:rsid w:val="00D10EFD"/>
    <w:rsid w:val="00D10F6B"/>
    <w:rsid w:val="00D10FBD"/>
    <w:rsid w:val="00D110EF"/>
    <w:rsid w:val="00D110F8"/>
    <w:rsid w:val="00D1113A"/>
    <w:rsid w:val="00D112CE"/>
    <w:rsid w:val="00D1136B"/>
    <w:rsid w:val="00D11393"/>
    <w:rsid w:val="00D113D3"/>
    <w:rsid w:val="00D11438"/>
    <w:rsid w:val="00D11491"/>
    <w:rsid w:val="00D114B3"/>
    <w:rsid w:val="00D1166C"/>
    <w:rsid w:val="00D1167A"/>
    <w:rsid w:val="00D11710"/>
    <w:rsid w:val="00D1173D"/>
    <w:rsid w:val="00D117D3"/>
    <w:rsid w:val="00D1182B"/>
    <w:rsid w:val="00D11838"/>
    <w:rsid w:val="00D1186A"/>
    <w:rsid w:val="00D1186C"/>
    <w:rsid w:val="00D11983"/>
    <w:rsid w:val="00D119F0"/>
    <w:rsid w:val="00D11A43"/>
    <w:rsid w:val="00D11B62"/>
    <w:rsid w:val="00D11B75"/>
    <w:rsid w:val="00D11BFE"/>
    <w:rsid w:val="00D11C43"/>
    <w:rsid w:val="00D11C44"/>
    <w:rsid w:val="00D11E78"/>
    <w:rsid w:val="00D11EA7"/>
    <w:rsid w:val="00D11EC9"/>
    <w:rsid w:val="00D11F83"/>
    <w:rsid w:val="00D12018"/>
    <w:rsid w:val="00D12080"/>
    <w:rsid w:val="00D120B1"/>
    <w:rsid w:val="00D12125"/>
    <w:rsid w:val="00D121AF"/>
    <w:rsid w:val="00D12223"/>
    <w:rsid w:val="00D12230"/>
    <w:rsid w:val="00D122E6"/>
    <w:rsid w:val="00D12309"/>
    <w:rsid w:val="00D1235F"/>
    <w:rsid w:val="00D12363"/>
    <w:rsid w:val="00D12403"/>
    <w:rsid w:val="00D12475"/>
    <w:rsid w:val="00D125CA"/>
    <w:rsid w:val="00D126E6"/>
    <w:rsid w:val="00D127F9"/>
    <w:rsid w:val="00D128EF"/>
    <w:rsid w:val="00D1299E"/>
    <w:rsid w:val="00D12C63"/>
    <w:rsid w:val="00D12C9A"/>
    <w:rsid w:val="00D12CAE"/>
    <w:rsid w:val="00D12DF9"/>
    <w:rsid w:val="00D12EFC"/>
    <w:rsid w:val="00D12F7A"/>
    <w:rsid w:val="00D12FE2"/>
    <w:rsid w:val="00D12FF3"/>
    <w:rsid w:val="00D13008"/>
    <w:rsid w:val="00D130EE"/>
    <w:rsid w:val="00D13112"/>
    <w:rsid w:val="00D131C7"/>
    <w:rsid w:val="00D132A4"/>
    <w:rsid w:val="00D13374"/>
    <w:rsid w:val="00D133A0"/>
    <w:rsid w:val="00D134EB"/>
    <w:rsid w:val="00D134FE"/>
    <w:rsid w:val="00D135D0"/>
    <w:rsid w:val="00D1379C"/>
    <w:rsid w:val="00D137AA"/>
    <w:rsid w:val="00D13816"/>
    <w:rsid w:val="00D138A7"/>
    <w:rsid w:val="00D13920"/>
    <w:rsid w:val="00D1397F"/>
    <w:rsid w:val="00D13AB4"/>
    <w:rsid w:val="00D13C01"/>
    <w:rsid w:val="00D13C32"/>
    <w:rsid w:val="00D13DF2"/>
    <w:rsid w:val="00D13EA3"/>
    <w:rsid w:val="00D13EDF"/>
    <w:rsid w:val="00D1407B"/>
    <w:rsid w:val="00D140A8"/>
    <w:rsid w:val="00D1412E"/>
    <w:rsid w:val="00D14199"/>
    <w:rsid w:val="00D1420B"/>
    <w:rsid w:val="00D142F1"/>
    <w:rsid w:val="00D14361"/>
    <w:rsid w:val="00D14389"/>
    <w:rsid w:val="00D14587"/>
    <w:rsid w:val="00D1459D"/>
    <w:rsid w:val="00D14612"/>
    <w:rsid w:val="00D1469B"/>
    <w:rsid w:val="00D146C3"/>
    <w:rsid w:val="00D147CE"/>
    <w:rsid w:val="00D148EE"/>
    <w:rsid w:val="00D14A00"/>
    <w:rsid w:val="00D14A9C"/>
    <w:rsid w:val="00D14BB0"/>
    <w:rsid w:val="00D14C4B"/>
    <w:rsid w:val="00D14C66"/>
    <w:rsid w:val="00D14DB7"/>
    <w:rsid w:val="00D14E14"/>
    <w:rsid w:val="00D14E17"/>
    <w:rsid w:val="00D14EA9"/>
    <w:rsid w:val="00D14EB4"/>
    <w:rsid w:val="00D14F48"/>
    <w:rsid w:val="00D14F79"/>
    <w:rsid w:val="00D15076"/>
    <w:rsid w:val="00D150E8"/>
    <w:rsid w:val="00D15290"/>
    <w:rsid w:val="00D152E5"/>
    <w:rsid w:val="00D154B3"/>
    <w:rsid w:val="00D15506"/>
    <w:rsid w:val="00D1558B"/>
    <w:rsid w:val="00D15656"/>
    <w:rsid w:val="00D157AE"/>
    <w:rsid w:val="00D157CF"/>
    <w:rsid w:val="00D1582B"/>
    <w:rsid w:val="00D15907"/>
    <w:rsid w:val="00D1594E"/>
    <w:rsid w:val="00D1595D"/>
    <w:rsid w:val="00D1599B"/>
    <w:rsid w:val="00D159D1"/>
    <w:rsid w:val="00D15A25"/>
    <w:rsid w:val="00D15A51"/>
    <w:rsid w:val="00D15A5E"/>
    <w:rsid w:val="00D15B93"/>
    <w:rsid w:val="00D15B9F"/>
    <w:rsid w:val="00D15C38"/>
    <w:rsid w:val="00D15D99"/>
    <w:rsid w:val="00D15DC5"/>
    <w:rsid w:val="00D15DE2"/>
    <w:rsid w:val="00D15E1B"/>
    <w:rsid w:val="00D15F0E"/>
    <w:rsid w:val="00D160AA"/>
    <w:rsid w:val="00D1615D"/>
    <w:rsid w:val="00D1617A"/>
    <w:rsid w:val="00D1623C"/>
    <w:rsid w:val="00D162E4"/>
    <w:rsid w:val="00D162F7"/>
    <w:rsid w:val="00D16338"/>
    <w:rsid w:val="00D163AD"/>
    <w:rsid w:val="00D1651A"/>
    <w:rsid w:val="00D16608"/>
    <w:rsid w:val="00D1660E"/>
    <w:rsid w:val="00D166A3"/>
    <w:rsid w:val="00D166E9"/>
    <w:rsid w:val="00D16798"/>
    <w:rsid w:val="00D16831"/>
    <w:rsid w:val="00D1685C"/>
    <w:rsid w:val="00D16A88"/>
    <w:rsid w:val="00D16A9F"/>
    <w:rsid w:val="00D16B78"/>
    <w:rsid w:val="00D16CF8"/>
    <w:rsid w:val="00D16D54"/>
    <w:rsid w:val="00D16EA7"/>
    <w:rsid w:val="00D16EFC"/>
    <w:rsid w:val="00D16F2B"/>
    <w:rsid w:val="00D1702B"/>
    <w:rsid w:val="00D17044"/>
    <w:rsid w:val="00D171C6"/>
    <w:rsid w:val="00D171D7"/>
    <w:rsid w:val="00D171F1"/>
    <w:rsid w:val="00D1722C"/>
    <w:rsid w:val="00D172CB"/>
    <w:rsid w:val="00D172E9"/>
    <w:rsid w:val="00D17414"/>
    <w:rsid w:val="00D1741B"/>
    <w:rsid w:val="00D1741D"/>
    <w:rsid w:val="00D17459"/>
    <w:rsid w:val="00D174B8"/>
    <w:rsid w:val="00D1751F"/>
    <w:rsid w:val="00D1755B"/>
    <w:rsid w:val="00D17564"/>
    <w:rsid w:val="00D17683"/>
    <w:rsid w:val="00D17893"/>
    <w:rsid w:val="00D17974"/>
    <w:rsid w:val="00D179E5"/>
    <w:rsid w:val="00D17A08"/>
    <w:rsid w:val="00D17A16"/>
    <w:rsid w:val="00D17A17"/>
    <w:rsid w:val="00D17A37"/>
    <w:rsid w:val="00D17AF3"/>
    <w:rsid w:val="00D17BA1"/>
    <w:rsid w:val="00D17CB8"/>
    <w:rsid w:val="00D17D04"/>
    <w:rsid w:val="00D17D05"/>
    <w:rsid w:val="00D17D5C"/>
    <w:rsid w:val="00D17DA5"/>
    <w:rsid w:val="00D17E2A"/>
    <w:rsid w:val="00D17E2B"/>
    <w:rsid w:val="00D17F97"/>
    <w:rsid w:val="00D20055"/>
    <w:rsid w:val="00D2005A"/>
    <w:rsid w:val="00D201EA"/>
    <w:rsid w:val="00D201FF"/>
    <w:rsid w:val="00D20207"/>
    <w:rsid w:val="00D20278"/>
    <w:rsid w:val="00D20284"/>
    <w:rsid w:val="00D2044A"/>
    <w:rsid w:val="00D20456"/>
    <w:rsid w:val="00D2046B"/>
    <w:rsid w:val="00D204F1"/>
    <w:rsid w:val="00D2052F"/>
    <w:rsid w:val="00D20596"/>
    <w:rsid w:val="00D206E7"/>
    <w:rsid w:val="00D206EC"/>
    <w:rsid w:val="00D208F5"/>
    <w:rsid w:val="00D20B01"/>
    <w:rsid w:val="00D20B95"/>
    <w:rsid w:val="00D20D4F"/>
    <w:rsid w:val="00D20D67"/>
    <w:rsid w:val="00D20E2B"/>
    <w:rsid w:val="00D20E75"/>
    <w:rsid w:val="00D210ED"/>
    <w:rsid w:val="00D2117A"/>
    <w:rsid w:val="00D212FE"/>
    <w:rsid w:val="00D21359"/>
    <w:rsid w:val="00D21426"/>
    <w:rsid w:val="00D21483"/>
    <w:rsid w:val="00D215FB"/>
    <w:rsid w:val="00D21603"/>
    <w:rsid w:val="00D21677"/>
    <w:rsid w:val="00D2167F"/>
    <w:rsid w:val="00D21760"/>
    <w:rsid w:val="00D21773"/>
    <w:rsid w:val="00D217EA"/>
    <w:rsid w:val="00D21832"/>
    <w:rsid w:val="00D219E5"/>
    <w:rsid w:val="00D21CF7"/>
    <w:rsid w:val="00D21D0A"/>
    <w:rsid w:val="00D21D8B"/>
    <w:rsid w:val="00D21F6C"/>
    <w:rsid w:val="00D2204F"/>
    <w:rsid w:val="00D2210B"/>
    <w:rsid w:val="00D2214C"/>
    <w:rsid w:val="00D22150"/>
    <w:rsid w:val="00D2216A"/>
    <w:rsid w:val="00D221EB"/>
    <w:rsid w:val="00D22212"/>
    <w:rsid w:val="00D2223F"/>
    <w:rsid w:val="00D22331"/>
    <w:rsid w:val="00D22334"/>
    <w:rsid w:val="00D22378"/>
    <w:rsid w:val="00D22379"/>
    <w:rsid w:val="00D223F5"/>
    <w:rsid w:val="00D22411"/>
    <w:rsid w:val="00D224BD"/>
    <w:rsid w:val="00D22565"/>
    <w:rsid w:val="00D22654"/>
    <w:rsid w:val="00D22658"/>
    <w:rsid w:val="00D22704"/>
    <w:rsid w:val="00D2270B"/>
    <w:rsid w:val="00D22744"/>
    <w:rsid w:val="00D22812"/>
    <w:rsid w:val="00D2282D"/>
    <w:rsid w:val="00D22880"/>
    <w:rsid w:val="00D228CE"/>
    <w:rsid w:val="00D228E3"/>
    <w:rsid w:val="00D22A86"/>
    <w:rsid w:val="00D22AA5"/>
    <w:rsid w:val="00D22B3D"/>
    <w:rsid w:val="00D22B9F"/>
    <w:rsid w:val="00D22BDA"/>
    <w:rsid w:val="00D22D34"/>
    <w:rsid w:val="00D22D5E"/>
    <w:rsid w:val="00D22F04"/>
    <w:rsid w:val="00D2303A"/>
    <w:rsid w:val="00D23065"/>
    <w:rsid w:val="00D23077"/>
    <w:rsid w:val="00D2322E"/>
    <w:rsid w:val="00D2328F"/>
    <w:rsid w:val="00D232E6"/>
    <w:rsid w:val="00D23409"/>
    <w:rsid w:val="00D23705"/>
    <w:rsid w:val="00D23724"/>
    <w:rsid w:val="00D23890"/>
    <w:rsid w:val="00D238DC"/>
    <w:rsid w:val="00D23950"/>
    <w:rsid w:val="00D23A98"/>
    <w:rsid w:val="00D23A9E"/>
    <w:rsid w:val="00D23B3E"/>
    <w:rsid w:val="00D23B42"/>
    <w:rsid w:val="00D23B95"/>
    <w:rsid w:val="00D23BAD"/>
    <w:rsid w:val="00D23C6A"/>
    <w:rsid w:val="00D23D6B"/>
    <w:rsid w:val="00D23DB0"/>
    <w:rsid w:val="00D23E9E"/>
    <w:rsid w:val="00D23EC6"/>
    <w:rsid w:val="00D23EDA"/>
    <w:rsid w:val="00D23F2B"/>
    <w:rsid w:val="00D23F58"/>
    <w:rsid w:val="00D23FAB"/>
    <w:rsid w:val="00D23FF8"/>
    <w:rsid w:val="00D24014"/>
    <w:rsid w:val="00D24068"/>
    <w:rsid w:val="00D24081"/>
    <w:rsid w:val="00D2408A"/>
    <w:rsid w:val="00D2412D"/>
    <w:rsid w:val="00D2419E"/>
    <w:rsid w:val="00D24276"/>
    <w:rsid w:val="00D2430B"/>
    <w:rsid w:val="00D24378"/>
    <w:rsid w:val="00D24384"/>
    <w:rsid w:val="00D243BF"/>
    <w:rsid w:val="00D24435"/>
    <w:rsid w:val="00D24515"/>
    <w:rsid w:val="00D2468B"/>
    <w:rsid w:val="00D246C9"/>
    <w:rsid w:val="00D24751"/>
    <w:rsid w:val="00D248D5"/>
    <w:rsid w:val="00D24918"/>
    <w:rsid w:val="00D249BD"/>
    <w:rsid w:val="00D24A45"/>
    <w:rsid w:val="00D24A7F"/>
    <w:rsid w:val="00D24AB4"/>
    <w:rsid w:val="00D24AB9"/>
    <w:rsid w:val="00D24B9E"/>
    <w:rsid w:val="00D24BE2"/>
    <w:rsid w:val="00D24C75"/>
    <w:rsid w:val="00D24CC7"/>
    <w:rsid w:val="00D24DA2"/>
    <w:rsid w:val="00D24F57"/>
    <w:rsid w:val="00D24FC9"/>
    <w:rsid w:val="00D24FDA"/>
    <w:rsid w:val="00D24FEE"/>
    <w:rsid w:val="00D2507A"/>
    <w:rsid w:val="00D25096"/>
    <w:rsid w:val="00D2512A"/>
    <w:rsid w:val="00D25153"/>
    <w:rsid w:val="00D25163"/>
    <w:rsid w:val="00D251AD"/>
    <w:rsid w:val="00D251F7"/>
    <w:rsid w:val="00D25206"/>
    <w:rsid w:val="00D25238"/>
    <w:rsid w:val="00D25269"/>
    <w:rsid w:val="00D2532B"/>
    <w:rsid w:val="00D253F6"/>
    <w:rsid w:val="00D25542"/>
    <w:rsid w:val="00D25571"/>
    <w:rsid w:val="00D255C8"/>
    <w:rsid w:val="00D255E5"/>
    <w:rsid w:val="00D25706"/>
    <w:rsid w:val="00D2571A"/>
    <w:rsid w:val="00D25737"/>
    <w:rsid w:val="00D257BE"/>
    <w:rsid w:val="00D25804"/>
    <w:rsid w:val="00D25843"/>
    <w:rsid w:val="00D2592E"/>
    <w:rsid w:val="00D25930"/>
    <w:rsid w:val="00D25981"/>
    <w:rsid w:val="00D259E9"/>
    <w:rsid w:val="00D25A26"/>
    <w:rsid w:val="00D25A27"/>
    <w:rsid w:val="00D25A32"/>
    <w:rsid w:val="00D25A6E"/>
    <w:rsid w:val="00D25C46"/>
    <w:rsid w:val="00D25C78"/>
    <w:rsid w:val="00D25CAD"/>
    <w:rsid w:val="00D25D7F"/>
    <w:rsid w:val="00D25E9B"/>
    <w:rsid w:val="00D25EBE"/>
    <w:rsid w:val="00D25EC0"/>
    <w:rsid w:val="00D25ECE"/>
    <w:rsid w:val="00D25F1D"/>
    <w:rsid w:val="00D25F4B"/>
    <w:rsid w:val="00D25FB2"/>
    <w:rsid w:val="00D25FF4"/>
    <w:rsid w:val="00D260BE"/>
    <w:rsid w:val="00D26187"/>
    <w:rsid w:val="00D2645B"/>
    <w:rsid w:val="00D26500"/>
    <w:rsid w:val="00D26590"/>
    <w:rsid w:val="00D265D5"/>
    <w:rsid w:val="00D26742"/>
    <w:rsid w:val="00D268EA"/>
    <w:rsid w:val="00D26B65"/>
    <w:rsid w:val="00D26B83"/>
    <w:rsid w:val="00D26BD9"/>
    <w:rsid w:val="00D26C49"/>
    <w:rsid w:val="00D26D11"/>
    <w:rsid w:val="00D26D1D"/>
    <w:rsid w:val="00D26D22"/>
    <w:rsid w:val="00D26D69"/>
    <w:rsid w:val="00D26E34"/>
    <w:rsid w:val="00D26E95"/>
    <w:rsid w:val="00D26ED3"/>
    <w:rsid w:val="00D26FCF"/>
    <w:rsid w:val="00D26FE6"/>
    <w:rsid w:val="00D2700C"/>
    <w:rsid w:val="00D270B6"/>
    <w:rsid w:val="00D270CF"/>
    <w:rsid w:val="00D27201"/>
    <w:rsid w:val="00D27291"/>
    <w:rsid w:val="00D272AF"/>
    <w:rsid w:val="00D272C9"/>
    <w:rsid w:val="00D27368"/>
    <w:rsid w:val="00D273CA"/>
    <w:rsid w:val="00D2740C"/>
    <w:rsid w:val="00D2745E"/>
    <w:rsid w:val="00D274D3"/>
    <w:rsid w:val="00D275B7"/>
    <w:rsid w:val="00D2777F"/>
    <w:rsid w:val="00D278B2"/>
    <w:rsid w:val="00D27921"/>
    <w:rsid w:val="00D2795F"/>
    <w:rsid w:val="00D27A75"/>
    <w:rsid w:val="00D27AAB"/>
    <w:rsid w:val="00D27B39"/>
    <w:rsid w:val="00D27BDE"/>
    <w:rsid w:val="00D27BE4"/>
    <w:rsid w:val="00D27C43"/>
    <w:rsid w:val="00D27D16"/>
    <w:rsid w:val="00D27D59"/>
    <w:rsid w:val="00D27E27"/>
    <w:rsid w:val="00D27E45"/>
    <w:rsid w:val="00D27E64"/>
    <w:rsid w:val="00D27E80"/>
    <w:rsid w:val="00D27F75"/>
    <w:rsid w:val="00D30023"/>
    <w:rsid w:val="00D3015F"/>
    <w:rsid w:val="00D3031D"/>
    <w:rsid w:val="00D303BC"/>
    <w:rsid w:val="00D303F2"/>
    <w:rsid w:val="00D3047D"/>
    <w:rsid w:val="00D3055B"/>
    <w:rsid w:val="00D305F2"/>
    <w:rsid w:val="00D30652"/>
    <w:rsid w:val="00D30840"/>
    <w:rsid w:val="00D308D1"/>
    <w:rsid w:val="00D309B0"/>
    <w:rsid w:val="00D30ADB"/>
    <w:rsid w:val="00D30CE0"/>
    <w:rsid w:val="00D30D61"/>
    <w:rsid w:val="00D30DD7"/>
    <w:rsid w:val="00D30DE9"/>
    <w:rsid w:val="00D30F08"/>
    <w:rsid w:val="00D30FAC"/>
    <w:rsid w:val="00D30FB3"/>
    <w:rsid w:val="00D310AD"/>
    <w:rsid w:val="00D3116B"/>
    <w:rsid w:val="00D3125B"/>
    <w:rsid w:val="00D312A4"/>
    <w:rsid w:val="00D31315"/>
    <w:rsid w:val="00D3135E"/>
    <w:rsid w:val="00D31452"/>
    <w:rsid w:val="00D31464"/>
    <w:rsid w:val="00D31543"/>
    <w:rsid w:val="00D3164A"/>
    <w:rsid w:val="00D31669"/>
    <w:rsid w:val="00D3172F"/>
    <w:rsid w:val="00D3176D"/>
    <w:rsid w:val="00D31888"/>
    <w:rsid w:val="00D31891"/>
    <w:rsid w:val="00D31948"/>
    <w:rsid w:val="00D319BB"/>
    <w:rsid w:val="00D31B67"/>
    <w:rsid w:val="00D31B9D"/>
    <w:rsid w:val="00D31C94"/>
    <w:rsid w:val="00D31CBE"/>
    <w:rsid w:val="00D31D18"/>
    <w:rsid w:val="00D31DFE"/>
    <w:rsid w:val="00D31E1F"/>
    <w:rsid w:val="00D31E31"/>
    <w:rsid w:val="00D31F18"/>
    <w:rsid w:val="00D32007"/>
    <w:rsid w:val="00D32119"/>
    <w:rsid w:val="00D3213C"/>
    <w:rsid w:val="00D321A0"/>
    <w:rsid w:val="00D32210"/>
    <w:rsid w:val="00D322E7"/>
    <w:rsid w:val="00D3235D"/>
    <w:rsid w:val="00D323C3"/>
    <w:rsid w:val="00D32466"/>
    <w:rsid w:val="00D3255D"/>
    <w:rsid w:val="00D32565"/>
    <w:rsid w:val="00D325B8"/>
    <w:rsid w:val="00D32602"/>
    <w:rsid w:val="00D32619"/>
    <w:rsid w:val="00D3264C"/>
    <w:rsid w:val="00D326A5"/>
    <w:rsid w:val="00D326BB"/>
    <w:rsid w:val="00D327E8"/>
    <w:rsid w:val="00D327EF"/>
    <w:rsid w:val="00D32971"/>
    <w:rsid w:val="00D32981"/>
    <w:rsid w:val="00D32990"/>
    <w:rsid w:val="00D32992"/>
    <w:rsid w:val="00D329BB"/>
    <w:rsid w:val="00D32B9D"/>
    <w:rsid w:val="00D32BA6"/>
    <w:rsid w:val="00D32BED"/>
    <w:rsid w:val="00D32C2E"/>
    <w:rsid w:val="00D32C41"/>
    <w:rsid w:val="00D32D6B"/>
    <w:rsid w:val="00D32E35"/>
    <w:rsid w:val="00D32EFB"/>
    <w:rsid w:val="00D33006"/>
    <w:rsid w:val="00D33024"/>
    <w:rsid w:val="00D330E0"/>
    <w:rsid w:val="00D33122"/>
    <w:rsid w:val="00D33146"/>
    <w:rsid w:val="00D33162"/>
    <w:rsid w:val="00D331C2"/>
    <w:rsid w:val="00D332A8"/>
    <w:rsid w:val="00D333DC"/>
    <w:rsid w:val="00D333F6"/>
    <w:rsid w:val="00D334F8"/>
    <w:rsid w:val="00D3355D"/>
    <w:rsid w:val="00D3358A"/>
    <w:rsid w:val="00D33677"/>
    <w:rsid w:val="00D33736"/>
    <w:rsid w:val="00D337F0"/>
    <w:rsid w:val="00D33882"/>
    <w:rsid w:val="00D338F8"/>
    <w:rsid w:val="00D3396F"/>
    <w:rsid w:val="00D33971"/>
    <w:rsid w:val="00D33AA0"/>
    <w:rsid w:val="00D33B1E"/>
    <w:rsid w:val="00D33B27"/>
    <w:rsid w:val="00D33C28"/>
    <w:rsid w:val="00D33CAA"/>
    <w:rsid w:val="00D33DA2"/>
    <w:rsid w:val="00D33F7A"/>
    <w:rsid w:val="00D34018"/>
    <w:rsid w:val="00D3402A"/>
    <w:rsid w:val="00D341CC"/>
    <w:rsid w:val="00D341E2"/>
    <w:rsid w:val="00D34282"/>
    <w:rsid w:val="00D342C9"/>
    <w:rsid w:val="00D342F4"/>
    <w:rsid w:val="00D3432A"/>
    <w:rsid w:val="00D34412"/>
    <w:rsid w:val="00D34489"/>
    <w:rsid w:val="00D344A8"/>
    <w:rsid w:val="00D34580"/>
    <w:rsid w:val="00D345AB"/>
    <w:rsid w:val="00D345DE"/>
    <w:rsid w:val="00D345F0"/>
    <w:rsid w:val="00D3465B"/>
    <w:rsid w:val="00D34740"/>
    <w:rsid w:val="00D34776"/>
    <w:rsid w:val="00D348A2"/>
    <w:rsid w:val="00D3496C"/>
    <w:rsid w:val="00D34A4D"/>
    <w:rsid w:val="00D34AE7"/>
    <w:rsid w:val="00D34B19"/>
    <w:rsid w:val="00D34B58"/>
    <w:rsid w:val="00D34B6C"/>
    <w:rsid w:val="00D34C2C"/>
    <w:rsid w:val="00D34CBF"/>
    <w:rsid w:val="00D34DB6"/>
    <w:rsid w:val="00D351F6"/>
    <w:rsid w:val="00D3524E"/>
    <w:rsid w:val="00D3532B"/>
    <w:rsid w:val="00D35511"/>
    <w:rsid w:val="00D3558D"/>
    <w:rsid w:val="00D356A5"/>
    <w:rsid w:val="00D3570C"/>
    <w:rsid w:val="00D35738"/>
    <w:rsid w:val="00D35772"/>
    <w:rsid w:val="00D358A3"/>
    <w:rsid w:val="00D358B0"/>
    <w:rsid w:val="00D3592D"/>
    <w:rsid w:val="00D359A0"/>
    <w:rsid w:val="00D35A01"/>
    <w:rsid w:val="00D35A2A"/>
    <w:rsid w:val="00D35A98"/>
    <w:rsid w:val="00D35AD8"/>
    <w:rsid w:val="00D35C6F"/>
    <w:rsid w:val="00D35E05"/>
    <w:rsid w:val="00D35E43"/>
    <w:rsid w:val="00D35E8A"/>
    <w:rsid w:val="00D35F95"/>
    <w:rsid w:val="00D35FDE"/>
    <w:rsid w:val="00D35FED"/>
    <w:rsid w:val="00D36011"/>
    <w:rsid w:val="00D360CE"/>
    <w:rsid w:val="00D360F1"/>
    <w:rsid w:val="00D36121"/>
    <w:rsid w:val="00D36202"/>
    <w:rsid w:val="00D3625A"/>
    <w:rsid w:val="00D36285"/>
    <w:rsid w:val="00D362B7"/>
    <w:rsid w:val="00D3636E"/>
    <w:rsid w:val="00D36395"/>
    <w:rsid w:val="00D363E8"/>
    <w:rsid w:val="00D3641E"/>
    <w:rsid w:val="00D36521"/>
    <w:rsid w:val="00D365B7"/>
    <w:rsid w:val="00D366E1"/>
    <w:rsid w:val="00D36724"/>
    <w:rsid w:val="00D3673E"/>
    <w:rsid w:val="00D3684A"/>
    <w:rsid w:val="00D36897"/>
    <w:rsid w:val="00D368D3"/>
    <w:rsid w:val="00D368D8"/>
    <w:rsid w:val="00D368EA"/>
    <w:rsid w:val="00D369DC"/>
    <w:rsid w:val="00D36A6E"/>
    <w:rsid w:val="00D36AB0"/>
    <w:rsid w:val="00D36B66"/>
    <w:rsid w:val="00D36BC6"/>
    <w:rsid w:val="00D36DC7"/>
    <w:rsid w:val="00D36FB8"/>
    <w:rsid w:val="00D37031"/>
    <w:rsid w:val="00D37056"/>
    <w:rsid w:val="00D3706E"/>
    <w:rsid w:val="00D370DD"/>
    <w:rsid w:val="00D3712D"/>
    <w:rsid w:val="00D3723D"/>
    <w:rsid w:val="00D37279"/>
    <w:rsid w:val="00D37331"/>
    <w:rsid w:val="00D37373"/>
    <w:rsid w:val="00D373F0"/>
    <w:rsid w:val="00D3740C"/>
    <w:rsid w:val="00D374B2"/>
    <w:rsid w:val="00D374EE"/>
    <w:rsid w:val="00D377BC"/>
    <w:rsid w:val="00D37844"/>
    <w:rsid w:val="00D378F2"/>
    <w:rsid w:val="00D37A79"/>
    <w:rsid w:val="00D37B58"/>
    <w:rsid w:val="00D37B61"/>
    <w:rsid w:val="00D37B8F"/>
    <w:rsid w:val="00D37B92"/>
    <w:rsid w:val="00D37CB1"/>
    <w:rsid w:val="00D37CE0"/>
    <w:rsid w:val="00D37EA1"/>
    <w:rsid w:val="00D37F51"/>
    <w:rsid w:val="00D37FD7"/>
    <w:rsid w:val="00D400D3"/>
    <w:rsid w:val="00D40211"/>
    <w:rsid w:val="00D4024F"/>
    <w:rsid w:val="00D40280"/>
    <w:rsid w:val="00D4028A"/>
    <w:rsid w:val="00D403A8"/>
    <w:rsid w:val="00D403B8"/>
    <w:rsid w:val="00D40485"/>
    <w:rsid w:val="00D40673"/>
    <w:rsid w:val="00D406E2"/>
    <w:rsid w:val="00D40701"/>
    <w:rsid w:val="00D407C3"/>
    <w:rsid w:val="00D4080F"/>
    <w:rsid w:val="00D4087C"/>
    <w:rsid w:val="00D4090F"/>
    <w:rsid w:val="00D409DD"/>
    <w:rsid w:val="00D40B56"/>
    <w:rsid w:val="00D40B9F"/>
    <w:rsid w:val="00D40C19"/>
    <w:rsid w:val="00D40CE9"/>
    <w:rsid w:val="00D40D06"/>
    <w:rsid w:val="00D40D35"/>
    <w:rsid w:val="00D40D71"/>
    <w:rsid w:val="00D40D8F"/>
    <w:rsid w:val="00D40DA5"/>
    <w:rsid w:val="00D40E94"/>
    <w:rsid w:val="00D40F0F"/>
    <w:rsid w:val="00D40FED"/>
    <w:rsid w:val="00D41040"/>
    <w:rsid w:val="00D410E6"/>
    <w:rsid w:val="00D41136"/>
    <w:rsid w:val="00D4118D"/>
    <w:rsid w:val="00D41217"/>
    <w:rsid w:val="00D412DA"/>
    <w:rsid w:val="00D41412"/>
    <w:rsid w:val="00D41486"/>
    <w:rsid w:val="00D414A0"/>
    <w:rsid w:val="00D414D6"/>
    <w:rsid w:val="00D416A4"/>
    <w:rsid w:val="00D41724"/>
    <w:rsid w:val="00D41857"/>
    <w:rsid w:val="00D41B01"/>
    <w:rsid w:val="00D41C60"/>
    <w:rsid w:val="00D41D7D"/>
    <w:rsid w:val="00D41D9D"/>
    <w:rsid w:val="00D41DF1"/>
    <w:rsid w:val="00D41E14"/>
    <w:rsid w:val="00D41FD2"/>
    <w:rsid w:val="00D41FFA"/>
    <w:rsid w:val="00D42061"/>
    <w:rsid w:val="00D420CE"/>
    <w:rsid w:val="00D421B5"/>
    <w:rsid w:val="00D421D1"/>
    <w:rsid w:val="00D42211"/>
    <w:rsid w:val="00D423BE"/>
    <w:rsid w:val="00D423F8"/>
    <w:rsid w:val="00D42431"/>
    <w:rsid w:val="00D4247E"/>
    <w:rsid w:val="00D42720"/>
    <w:rsid w:val="00D42791"/>
    <w:rsid w:val="00D42919"/>
    <w:rsid w:val="00D42967"/>
    <w:rsid w:val="00D42981"/>
    <w:rsid w:val="00D42992"/>
    <w:rsid w:val="00D42A07"/>
    <w:rsid w:val="00D42A27"/>
    <w:rsid w:val="00D42A92"/>
    <w:rsid w:val="00D42CA0"/>
    <w:rsid w:val="00D42D6F"/>
    <w:rsid w:val="00D42DF1"/>
    <w:rsid w:val="00D42EA5"/>
    <w:rsid w:val="00D42EBC"/>
    <w:rsid w:val="00D42F72"/>
    <w:rsid w:val="00D42F7A"/>
    <w:rsid w:val="00D42FEB"/>
    <w:rsid w:val="00D4301E"/>
    <w:rsid w:val="00D43137"/>
    <w:rsid w:val="00D432C1"/>
    <w:rsid w:val="00D432C4"/>
    <w:rsid w:val="00D43372"/>
    <w:rsid w:val="00D433AC"/>
    <w:rsid w:val="00D43419"/>
    <w:rsid w:val="00D435C5"/>
    <w:rsid w:val="00D436A8"/>
    <w:rsid w:val="00D43730"/>
    <w:rsid w:val="00D43825"/>
    <w:rsid w:val="00D43840"/>
    <w:rsid w:val="00D438A9"/>
    <w:rsid w:val="00D438CC"/>
    <w:rsid w:val="00D43A31"/>
    <w:rsid w:val="00D43B88"/>
    <w:rsid w:val="00D43BAA"/>
    <w:rsid w:val="00D43BD3"/>
    <w:rsid w:val="00D43C47"/>
    <w:rsid w:val="00D43D82"/>
    <w:rsid w:val="00D43D86"/>
    <w:rsid w:val="00D44033"/>
    <w:rsid w:val="00D4404F"/>
    <w:rsid w:val="00D4411B"/>
    <w:rsid w:val="00D44196"/>
    <w:rsid w:val="00D441BB"/>
    <w:rsid w:val="00D44225"/>
    <w:rsid w:val="00D44260"/>
    <w:rsid w:val="00D4427C"/>
    <w:rsid w:val="00D44307"/>
    <w:rsid w:val="00D44339"/>
    <w:rsid w:val="00D443AB"/>
    <w:rsid w:val="00D444B7"/>
    <w:rsid w:val="00D4468F"/>
    <w:rsid w:val="00D446FA"/>
    <w:rsid w:val="00D44719"/>
    <w:rsid w:val="00D447AF"/>
    <w:rsid w:val="00D4486C"/>
    <w:rsid w:val="00D448E7"/>
    <w:rsid w:val="00D4493C"/>
    <w:rsid w:val="00D449E7"/>
    <w:rsid w:val="00D44A90"/>
    <w:rsid w:val="00D44BB6"/>
    <w:rsid w:val="00D44DF4"/>
    <w:rsid w:val="00D44EAE"/>
    <w:rsid w:val="00D44EBA"/>
    <w:rsid w:val="00D44EF1"/>
    <w:rsid w:val="00D44F11"/>
    <w:rsid w:val="00D45096"/>
    <w:rsid w:val="00D45165"/>
    <w:rsid w:val="00D45254"/>
    <w:rsid w:val="00D4526A"/>
    <w:rsid w:val="00D45293"/>
    <w:rsid w:val="00D452CA"/>
    <w:rsid w:val="00D454B0"/>
    <w:rsid w:val="00D455F8"/>
    <w:rsid w:val="00D4560F"/>
    <w:rsid w:val="00D4565D"/>
    <w:rsid w:val="00D456D2"/>
    <w:rsid w:val="00D45704"/>
    <w:rsid w:val="00D45989"/>
    <w:rsid w:val="00D459A3"/>
    <w:rsid w:val="00D459B1"/>
    <w:rsid w:val="00D459C3"/>
    <w:rsid w:val="00D459F8"/>
    <w:rsid w:val="00D45A3E"/>
    <w:rsid w:val="00D45AAB"/>
    <w:rsid w:val="00D45AFA"/>
    <w:rsid w:val="00D45DF0"/>
    <w:rsid w:val="00D4617B"/>
    <w:rsid w:val="00D463A0"/>
    <w:rsid w:val="00D464E4"/>
    <w:rsid w:val="00D46663"/>
    <w:rsid w:val="00D4666C"/>
    <w:rsid w:val="00D46A46"/>
    <w:rsid w:val="00D46CE4"/>
    <w:rsid w:val="00D46D88"/>
    <w:rsid w:val="00D46E0E"/>
    <w:rsid w:val="00D46E41"/>
    <w:rsid w:val="00D46E94"/>
    <w:rsid w:val="00D46ECF"/>
    <w:rsid w:val="00D46EE7"/>
    <w:rsid w:val="00D46FB6"/>
    <w:rsid w:val="00D47018"/>
    <w:rsid w:val="00D4717A"/>
    <w:rsid w:val="00D4719D"/>
    <w:rsid w:val="00D472AA"/>
    <w:rsid w:val="00D47305"/>
    <w:rsid w:val="00D47464"/>
    <w:rsid w:val="00D474BD"/>
    <w:rsid w:val="00D47608"/>
    <w:rsid w:val="00D476CC"/>
    <w:rsid w:val="00D476DE"/>
    <w:rsid w:val="00D4776B"/>
    <w:rsid w:val="00D4776D"/>
    <w:rsid w:val="00D47779"/>
    <w:rsid w:val="00D477E4"/>
    <w:rsid w:val="00D47821"/>
    <w:rsid w:val="00D47843"/>
    <w:rsid w:val="00D47848"/>
    <w:rsid w:val="00D47866"/>
    <w:rsid w:val="00D47870"/>
    <w:rsid w:val="00D4789D"/>
    <w:rsid w:val="00D478FD"/>
    <w:rsid w:val="00D47936"/>
    <w:rsid w:val="00D47979"/>
    <w:rsid w:val="00D479AE"/>
    <w:rsid w:val="00D479FC"/>
    <w:rsid w:val="00D47A7A"/>
    <w:rsid w:val="00D47A98"/>
    <w:rsid w:val="00D47D36"/>
    <w:rsid w:val="00D47E07"/>
    <w:rsid w:val="00D47E20"/>
    <w:rsid w:val="00D47F54"/>
    <w:rsid w:val="00D50002"/>
    <w:rsid w:val="00D50018"/>
    <w:rsid w:val="00D501F5"/>
    <w:rsid w:val="00D5022E"/>
    <w:rsid w:val="00D502C7"/>
    <w:rsid w:val="00D502F2"/>
    <w:rsid w:val="00D5037B"/>
    <w:rsid w:val="00D50460"/>
    <w:rsid w:val="00D50538"/>
    <w:rsid w:val="00D505A6"/>
    <w:rsid w:val="00D5066C"/>
    <w:rsid w:val="00D506FB"/>
    <w:rsid w:val="00D507A8"/>
    <w:rsid w:val="00D50819"/>
    <w:rsid w:val="00D509CA"/>
    <w:rsid w:val="00D50A3E"/>
    <w:rsid w:val="00D50A57"/>
    <w:rsid w:val="00D50B1B"/>
    <w:rsid w:val="00D50C18"/>
    <w:rsid w:val="00D50C55"/>
    <w:rsid w:val="00D50CCC"/>
    <w:rsid w:val="00D50CFA"/>
    <w:rsid w:val="00D50E47"/>
    <w:rsid w:val="00D50E48"/>
    <w:rsid w:val="00D50E70"/>
    <w:rsid w:val="00D50E7B"/>
    <w:rsid w:val="00D50F3F"/>
    <w:rsid w:val="00D50FF9"/>
    <w:rsid w:val="00D510B3"/>
    <w:rsid w:val="00D510ED"/>
    <w:rsid w:val="00D51163"/>
    <w:rsid w:val="00D511AD"/>
    <w:rsid w:val="00D511F0"/>
    <w:rsid w:val="00D51227"/>
    <w:rsid w:val="00D51240"/>
    <w:rsid w:val="00D5134A"/>
    <w:rsid w:val="00D51410"/>
    <w:rsid w:val="00D51481"/>
    <w:rsid w:val="00D51494"/>
    <w:rsid w:val="00D515B4"/>
    <w:rsid w:val="00D515C3"/>
    <w:rsid w:val="00D516B7"/>
    <w:rsid w:val="00D517BE"/>
    <w:rsid w:val="00D517CC"/>
    <w:rsid w:val="00D5184E"/>
    <w:rsid w:val="00D5197F"/>
    <w:rsid w:val="00D51A5F"/>
    <w:rsid w:val="00D51AE4"/>
    <w:rsid w:val="00D51B84"/>
    <w:rsid w:val="00D51D4E"/>
    <w:rsid w:val="00D51E31"/>
    <w:rsid w:val="00D51E4F"/>
    <w:rsid w:val="00D51E9D"/>
    <w:rsid w:val="00D51EA8"/>
    <w:rsid w:val="00D51F1C"/>
    <w:rsid w:val="00D51FD8"/>
    <w:rsid w:val="00D521AB"/>
    <w:rsid w:val="00D521B1"/>
    <w:rsid w:val="00D521CC"/>
    <w:rsid w:val="00D52284"/>
    <w:rsid w:val="00D52309"/>
    <w:rsid w:val="00D52363"/>
    <w:rsid w:val="00D5242A"/>
    <w:rsid w:val="00D525C5"/>
    <w:rsid w:val="00D52688"/>
    <w:rsid w:val="00D5269E"/>
    <w:rsid w:val="00D52843"/>
    <w:rsid w:val="00D52868"/>
    <w:rsid w:val="00D52A86"/>
    <w:rsid w:val="00D52B61"/>
    <w:rsid w:val="00D52C29"/>
    <w:rsid w:val="00D52C54"/>
    <w:rsid w:val="00D52C7A"/>
    <w:rsid w:val="00D52CE4"/>
    <w:rsid w:val="00D52CFF"/>
    <w:rsid w:val="00D52D42"/>
    <w:rsid w:val="00D52E1E"/>
    <w:rsid w:val="00D52EF6"/>
    <w:rsid w:val="00D52F5D"/>
    <w:rsid w:val="00D53043"/>
    <w:rsid w:val="00D530C4"/>
    <w:rsid w:val="00D53129"/>
    <w:rsid w:val="00D53254"/>
    <w:rsid w:val="00D533EA"/>
    <w:rsid w:val="00D5367C"/>
    <w:rsid w:val="00D53726"/>
    <w:rsid w:val="00D537B7"/>
    <w:rsid w:val="00D537F3"/>
    <w:rsid w:val="00D53808"/>
    <w:rsid w:val="00D53809"/>
    <w:rsid w:val="00D53970"/>
    <w:rsid w:val="00D53A05"/>
    <w:rsid w:val="00D53AEC"/>
    <w:rsid w:val="00D53B84"/>
    <w:rsid w:val="00D53C61"/>
    <w:rsid w:val="00D53D05"/>
    <w:rsid w:val="00D53D78"/>
    <w:rsid w:val="00D53DE5"/>
    <w:rsid w:val="00D53F86"/>
    <w:rsid w:val="00D5401E"/>
    <w:rsid w:val="00D540B4"/>
    <w:rsid w:val="00D540BB"/>
    <w:rsid w:val="00D540E9"/>
    <w:rsid w:val="00D540FC"/>
    <w:rsid w:val="00D541B5"/>
    <w:rsid w:val="00D54271"/>
    <w:rsid w:val="00D542EA"/>
    <w:rsid w:val="00D543C2"/>
    <w:rsid w:val="00D54515"/>
    <w:rsid w:val="00D54623"/>
    <w:rsid w:val="00D546B3"/>
    <w:rsid w:val="00D546E2"/>
    <w:rsid w:val="00D54767"/>
    <w:rsid w:val="00D547F3"/>
    <w:rsid w:val="00D54974"/>
    <w:rsid w:val="00D549F6"/>
    <w:rsid w:val="00D54A4E"/>
    <w:rsid w:val="00D54C4C"/>
    <w:rsid w:val="00D54C5C"/>
    <w:rsid w:val="00D54D5F"/>
    <w:rsid w:val="00D54D60"/>
    <w:rsid w:val="00D54DD1"/>
    <w:rsid w:val="00D54E4B"/>
    <w:rsid w:val="00D54EEA"/>
    <w:rsid w:val="00D55199"/>
    <w:rsid w:val="00D55293"/>
    <w:rsid w:val="00D552BD"/>
    <w:rsid w:val="00D5538F"/>
    <w:rsid w:val="00D55473"/>
    <w:rsid w:val="00D555C1"/>
    <w:rsid w:val="00D555CB"/>
    <w:rsid w:val="00D557A1"/>
    <w:rsid w:val="00D5590A"/>
    <w:rsid w:val="00D559D7"/>
    <w:rsid w:val="00D559ED"/>
    <w:rsid w:val="00D55B59"/>
    <w:rsid w:val="00D55BC2"/>
    <w:rsid w:val="00D55C10"/>
    <w:rsid w:val="00D55C83"/>
    <w:rsid w:val="00D55D66"/>
    <w:rsid w:val="00D55EA5"/>
    <w:rsid w:val="00D55F01"/>
    <w:rsid w:val="00D55FBC"/>
    <w:rsid w:val="00D55FD6"/>
    <w:rsid w:val="00D56046"/>
    <w:rsid w:val="00D56081"/>
    <w:rsid w:val="00D5611C"/>
    <w:rsid w:val="00D5627B"/>
    <w:rsid w:val="00D56291"/>
    <w:rsid w:val="00D562E6"/>
    <w:rsid w:val="00D56327"/>
    <w:rsid w:val="00D5638B"/>
    <w:rsid w:val="00D565FD"/>
    <w:rsid w:val="00D567CF"/>
    <w:rsid w:val="00D5686C"/>
    <w:rsid w:val="00D56996"/>
    <w:rsid w:val="00D569D2"/>
    <w:rsid w:val="00D56A9F"/>
    <w:rsid w:val="00D56B57"/>
    <w:rsid w:val="00D56B92"/>
    <w:rsid w:val="00D56BAF"/>
    <w:rsid w:val="00D56C40"/>
    <w:rsid w:val="00D56ED0"/>
    <w:rsid w:val="00D56FD2"/>
    <w:rsid w:val="00D5708A"/>
    <w:rsid w:val="00D57168"/>
    <w:rsid w:val="00D57331"/>
    <w:rsid w:val="00D57372"/>
    <w:rsid w:val="00D57561"/>
    <w:rsid w:val="00D575A9"/>
    <w:rsid w:val="00D5767D"/>
    <w:rsid w:val="00D576EE"/>
    <w:rsid w:val="00D57773"/>
    <w:rsid w:val="00D577A2"/>
    <w:rsid w:val="00D577F9"/>
    <w:rsid w:val="00D577FF"/>
    <w:rsid w:val="00D57927"/>
    <w:rsid w:val="00D57A3B"/>
    <w:rsid w:val="00D57A57"/>
    <w:rsid w:val="00D57A89"/>
    <w:rsid w:val="00D57B19"/>
    <w:rsid w:val="00D57B23"/>
    <w:rsid w:val="00D57CBD"/>
    <w:rsid w:val="00D57CD7"/>
    <w:rsid w:val="00D57D2B"/>
    <w:rsid w:val="00D57D2F"/>
    <w:rsid w:val="00D57D4B"/>
    <w:rsid w:val="00D57E89"/>
    <w:rsid w:val="00D57EA7"/>
    <w:rsid w:val="00D57F23"/>
    <w:rsid w:val="00D57FE5"/>
    <w:rsid w:val="00D60028"/>
    <w:rsid w:val="00D60066"/>
    <w:rsid w:val="00D60073"/>
    <w:rsid w:val="00D600A0"/>
    <w:rsid w:val="00D6014E"/>
    <w:rsid w:val="00D601F7"/>
    <w:rsid w:val="00D60293"/>
    <w:rsid w:val="00D60495"/>
    <w:rsid w:val="00D604AD"/>
    <w:rsid w:val="00D60501"/>
    <w:rsid w:val="00D6059D"/>
    <w:rsid w:val="00D605BD"/>
    <w:rsid w:val="00D60604"/>
    <w:rsid w:val="00D6068F"/>
    <w:rsid w:val="00D60781"/>
    <w:rsid w:val="00D607F2"/>
    <w:rsid w:val="00D60864"/>
    <w:rsid w:val="00D60918"/>
    <w:rsid w:val="00D60981"/>
    <w:rsid w:val="00D609A8"/>
    <w:rsid w:val="00D60A75"/>
    <w:rsid w:val="00D60AC5"/>
    <w:rsid w:val="00D60BA8"/>
    <w:rsid w:val="00D60C29"/>
    <w:rsid w:val="00D60C2D"/>
    <w:rsid w:val="00D60C79"/>
    <w:rsid w:val="00D60C92"/>
    <w:rsid w:val="00D60D1A"/>
    <w:rsid w:val="00D60DBA"/>
    <w:rsid w:val="00D60EA0"/>
    <w:rsid w:val="00D60EE0"/>
    <w:rsid w:val="00D60F68"/>
    <w:rsid w:val="00D60FDE"/>
    <w:rsid w:val="00D60FE7"/>
    <w:rsid w:val="00D6101D"/>
    <w:rsid w:val="00D610CD"/>
    <w:rsid w:val="00D6113A"/>
    <w:rsid w:val="00D611CF"/>
    <w:rsid w:val="00D611DC"/>
    <w:rsid w:val="00D6135A"/>
    <w:rsid w:val="00D61382"/>
    <w:rsid w:val="00D613A8"/>
    <w:rsid w:val="00D61431"/>
    <w:rsid w:val="00D6156A"/>
    <w:rsid w:val="00D61583"/>
    <w:rsid w:val="00D615BA"/>
    <w:rsid w:val="00D61696"/>
    <w:rsid w:val="00D617C5"/>
    <w:rsid w:val="00D61867"/>
    <w:rsid w:val="00D6189C"/>
    <w:rsid w:val="00D619D6"/>
    <w:rsid w:val="00D619E7"/>
    <w:rsid w:val="00D61A15"/>
    <w:rsid w:val="00D61A4A"/>
    <w:rsid w:val="00D61A4D"/>
    <w:rsid w:val="00D61A5F"/>
    <w:rsid w:val="00D61BE2"/>
    <w:rsid w:val="00D61D48"/>
    <w:rsid w:val="00D61DB9"/>
    <w:rsid w:val="00D61DE5"/>
    <w:rsid w:val="00D61EBA"/>
    <w:rsid w:val="00D61EE3"/>
    <w:rsid w:val="00D620C4"/>
    <w:rsid w:val="00D6214E"/>
    <w:rsid w:val="00D62154"/>
    <w:rsid w:val="00D6227E"/>
    <w:rsid w:val="00D623E1"/>
    <w:rsid w:val="00D62401"/>
    <w:rsid w:val="00D62438"/>
    <w:rsid w:val="00D624B3"/>
    <w:rsid w:val="00D62661"/>
    <w:rsid w:val="00D6268A"/>
    <w:rsid w:val="00D6279D"/>
    <w:rsid w:val="00D627DD"/>
    <w:rsid w:val="00D628BE"/>
    <w:rsid w:val="00D628EF"/>
    <w:rsid w:val="00D6294F"/>
    <w:rsid w:val="00D6296C"/>
    <w:rsid w:val="00D629BE"/>
    <w:rsid w:val="00D629F4"/>
    <w:rsid w:val="00D62A0D"/>
    <w:rsid w:val="00D62AFE"/>
    <w:rsid w:val="00D62B27"/>
    <w:rsid w:val="00D62B4F"/>
    <w:rsid w:val="00D62BD1"/>
    <w:rsid w:val="00D62C54"/>
    <w:rsid w:val="00D62D01"/>
    <w:rsid w:val="00D62D51"/>
    <w:rsid w:val="00D62DD4"/>
    <w:rsid w:val="00D62E0E"/>
    <w:rsid w:val="00D62F4F"/>
    <w:rsid w:val="00D63100"/>
    <w:rsid w:val="00D6315D"/>
    <w:rsid w:val="00D631F9"/>
    <w:rsid w:val="00D63301"/>
    <w:rsid w:val="00D63328"/>
    <w:rsid w:val="00D6333C"/>
    <w:rsid w:val="00D63362"/>
    <w:rsid w:val="00D63404"/>
    <w:rsid w:val="00D6340F"/>
    <w:rsid w:val="00D63461"/>
    <w:rsid w:val="00D63549"/>
    <w:rsid w:val="00D635BD"/>
    <w:rsid w:val="00D635E7"/>
    <w:rsid w:val="00D63605"/>
    <w:rsid w:val="00D6367C"/>
    <w:rsid w:val="00D6367F"/>
    <w:rsid w:val="00D636C1"/>
    <w:rsid w:val="00D636CA"/>
    <w:rsid w:val="00D6387E"/>
    <w:rsid w:val="00D63899"/>
    <w:rsid w:val="00D638C5"/>
    <w:rsid w:val="00D63931"/>
    <w:rsid w:val="00D63AED"/>
    <w:rsid w:val="00D63BA2"/>
    <w:rsid w:val="00D63D08"/>
    <w:rsid w:val="00D63DCD"/>
    <w:rsid w:val="00D63E0C"/>
    <w:rsid w:val="00D63E30"/>
    <w:rsid w:val="00D63E88"/>
    <w:rsid w:val="00D63ECE"/>
    <w:rsid w:val="00D640EE"/>
    <w:rsid w:val="00D6423E"/>
    <w:rsid w:val="00D644EF"/>
    <w:rsid w:val="00D645D6"/>
    <w:rsid w:val="00D646E9"/>
    <w:rsid w:val="00D64872"/>
    <w:rsid w:val="00D64891"/>
    <w:rsid w:val="00D64A51"/>
    <w:rsid w:val="00D64BFC"/>
    <w:rsid w:val="00D64C6C"/>
    <w:rsid w:val="00D64C76"/>
    <w:rsid w:val="00D64CF8"/>
    <w:rsid w:val="00D64D41"/>
    <w:rsid w:val="00D64DC5"/>
    <w:rsid w:val="00D64EA3"/>
    <w:rsid w:val="00D64ED4"/>
    <w:rsid w:val="00D64EF8"/>
    <w:rsid w:val="00D64F4E"/>
    <w:rsid w:val="00D6501D"/>
    <w:rsid w:val="00D650FB"/>
    <w:rsid w:val="00D6512A"/>
    <w:rsid w:val="00D651EB"/>
    <w:rsid w:val="00D65239"/>
    <w:rsid w:val="00D6527E"/>
    <w:rsid w:val="00D652AD"/>
    <w:rsid w:val="00D65359"/>
    <w:rsid w:val="00D653D1"/>
    <w:rsid w:val="00D65421"/>
    <w:rsid w:val="00D65449"/>
    <w:rsid w:val="00D655C9"/>
    <w:rsid w:val="00D6560D"/>
    <w:rsid w:val="00D6569E"/>
    <w:rsid w:val="00D65735"/>
    <w:rsid w:val="00D65755"/>
    <w:rsid w:val="00D65763"/>
    <w:rsid w:val="00D657D4"/>
    <w:rsid w:val="00D657E4"/>
    <w:rsid w:val="00D65901"/>
    <w:rsid w:val="00D65927"/>
    <w:rsid w:val="00D65995"/>
    <w:rsid w:val="00D65A15"/>
    <w:rsid w:val="00D65A35"/>
    <w:rsid w:val="00D65C5C"/>
    <w:rsid w:val="00D65DD4"/>
    <w:rsid w:val="00D65E6E"/>
    <w:rsid w:val="00D65F40"/>
    <w:rsid w:val="00D6605F"/>
    <w:rsid w:val="00D66075"/>
    <w:rsid w:val="00D6617F"/>
    <w:rsid w:val="00D661CA"/>
    <w:rsid w:val="00D66296"/>
    <w:rsid w:val="00D662C6"/>
    <w:rsid w:val="00D662DC"/>
    <w:rsid w:val="00D6634A"/>
    <w:rsid w:val="00D66353"/>
    <w:rsid w:val="00D6643D"/>
    <w:rsid w:val="00D6647B"/>
    <w:rsid w:val="00D66657"/>
    <w:rsid w:val="00D666C7"/>
    <w:rsid w:val="00D66702"/>
    <w:rsid w:val="00D668CA"/>
    <w:rsid w:val="00D66951"/>
    <w:rsid w:val="00D6698F"/>
    <w:rsid w:val="00D66A2E"/>
    <w:rsid w:val="00D66A88"/>
    <w:rsid w:val="00D66AB3"/>
    <w:rsid w:val="00D66AE7"/>
    <w:rsid w:val="00D66AF7"/>
    <w:rsid w:val="00D66BCD"/>
    <w:rsid w:val="00D66C50"/>
    <w:rsid w:val="00D66CEE"/>
    <w:rsid w:val="00D66E48"/>
    <w:rsid w:val="00D66F55"/>
    <w:rsid w:val="00D66F56"/>
    <w:rsid w:val="00D66FA5"/>
    <w:rsid w:val="00D67088"/>
    <w:rsid w:val="00D67122"/>
    <w:rsid w:val="00D671DF"/>
    <w:rsid w:val="00D67213"/>
    <w:rsid w:val="00D672DE"/>
    <w:rsid w:val="00D67355"/>
    <w:rsid w:val="00D6740A"/>
    <w:rsid w:val="00D674D4"/>
    <w:rsid w:val="00D674EE"/>
    <w:rsid w:val="00D6751A"/>
    <w:rsid w:val="00D675C3"/>
    <w:rsid w:val="00D67625"/>
    <w:rsid w:val="00D6768D"/>
    <w:rsid w:val="00D676B0"/>
    <w:rsid w:val="00D676BE"/>
    <w:rsid w:val="00D67865"/>
    <w:rsid w:val="00D67878"/>
    <w:rsid w:val="00D678F0"/>
    <w:rsid w:val="00D67A77"/>
    <w:rsid w:val="00D67B28"/>
    <w:rsid w:val="00D67D2C"/>
    <w:rsid w:val="00D67E2D"/>
    <w:rsid w:val="00D67F2D"/>
    <w:rsid w:val="00D7002F"/>
    <w:rsid w:val="00D7006E"/>
    <w:rsid w:val="00D7015D"/>
    <w:rsid w:val="00D702AA"/>
    <w:rsid w:val="00D702CD"/>
    <w:rsid w:val="00D702E5"/>
    <w:rsid w:val="00D7032C"/>
    <w:rsid w:val="00D70394"/>
    <w:rsid w:val="00D703D6"/>
    <w:rsid w:val="00D7053D"/>
    <w:rsid w:val="00D705AA"/>
    <w:rsid w:val="00D70677"/>
    <w:rsid w:val="00D70726"/>
    <w:rsid w:val="00D70924"/>
    <w:rsid w:val="00D70991"/>
    <w:rsid w:val="00D709A3"/>
    <w:rsid w:val="00D70A31"/>
    <w:rsid w:val="00D70C28"/>
    <w:rsid w:val="00D70C58"/>
    <w:rsid w:val="00D70D9C"/>
    <w:rsid w:val="00D70DB2"/>
    <w:rsid w:val="00D70E14"/>
    <w:rsid w:val="00D70E2B"/>
    <w:rsid w:val="00D71126"/>
    <w:rsid w:val="00D71128"/>
    <w:rsid w:val="00D71165"/>
    <w:rsid w:val="00D7137F"/>
    <w:rsid w:val="00D713DB"/>
    <w:rsid w:val="00D71414"/>
    <w:rsid w:val="00D714A0"/>
    <w:rsid w:val="00D7157F"/>
    <w:rsid w:val="00D715F4"/>
    <w:rsid w:val="00D71662"/>
    <w:rsid w:val="00D71751"/>
    <w:rsid w:val="00D7179B"/>
    <w:rsid w:val="00D717AC"/>
    <w:rsid w:val="00D7186B"/>
    <w:rsid w:val="00D719B5"/>
    <w:rsid w:val="00D71A97"/>
    <w:rsid w:val="00D71C57"/>
    <w:rsid w:val="00D71DAA"/>
    <w:rsid w:val="00D71E76"/>
    <w:rsid w:val="00D71E79"/>
    <w:rsid w:val="00D71E93"/>
    <w:rsid w:val="00D71ED8"/>
    <w:rsid w:val="00D72017"/>
    <w:rsid w:val="00D7212E"/>
    <w:rsid w:val="00D721BE"/>
    <w:rsid w:val="00D7220E"/>
    <w:rsid w:val="00D722AF"/>
    <w:rsid w:val="00D72364"/>
    <w:rsid w:val="00D723ED"/>
    <w:rsid w:val="00D72497"/>
    <w:rsid w:val="00D724DD"/>
    <w:rsid w:val="00D727E6"/>
    <w:rsid w:val="00D72805"/>
    <w:rsid w:val="00D7282E"/>
    <w:rsid w:val="00D72846"/>
    <w:rsid w:val="00D7294F"/>
    <w:rsid w:val="00D729DF"/>
    <w:rsid w:val="00D72B47"/>
    <w:rsid w:val="00D72C10"/>
    <w:rsid w:val="00D72CD5"/>
    <w:rsid w:val="00D72E95"/>
    <w:rsid w:val="00D72F43"/>
    <w:rsid w:val="00D72FAB"/>
    <w:rsid w:val="00D72FBC"/>
    <w:rsid w:val="00D73017"/>
    <w:rsid w:val="00D731EC"/>
    <w:rsid w:val="00D732A0"/>
    <w:rsid w:val="00D732BA"/>
    <w:rsid w:val="00D734B8"/>
    <w:rsid w:val="00D735F9"/>
    <w:rsid w:val="00D736AA"/>
    <w:rsid w:val="00D737C0"/>
    <w:rsid w:val="00D739AD"/>
    <w:rsid w:val="00D73B13"/>
    <w:rsid w:val="00D73E14"/>
    <w:rsid w:val="00D7400C"/>
    <w:rsid w:val="00D74017"/>
    <w:rsid w:val="00D7405C"/>
    <w:rsid w:val="00D74129"/>
    <w:rsid w:val="00D742CC"/>
    <w:rsid w:val="00D74324"/>
    <w:rsid w:val="00D743F5"/>
    <w:rsid w:val="00D7455D"/>
    <w:rsid w:val="00D745B7"/>
    <w:rsid w:val="00D74625"/>
    <w:rsid w:val="00D746DF"/>
    <w:rsid w:val="00D7472F"/>
    <w:rsid w:val="00D747A9"/>
    <w:rsid w:val="00D747EC"/>
    <w:rsid w:val="00D74846"/>
    <w:rsid w:val="00D748A1"/>
    <w:rsid w:val="00D74927"/>
    <w:rsid w:val="00D74929"/>
    <w:rsid w:val="00D74967"/>
    <w:rsid w:val="00D74971"/>
    <w:rsid w:val="00D7498E"/>
    <w:rsid w:val="00D74A4A"/>
    <w:rsid w:val="00D74AB1"/>
    <w:rsid w:val="00D74AB3"/>
    <w:rsid w:val="00D74AB4"/>
    <w:rsid w:val="00D74B18"/>
    <w:rsid w:val="00D74B53"/>
    <w:rsid w:val="00D74C12"/>
    <w:rsid w:val="00D74CA2"/>
    <w:rsid w:val="00D74CEB"/>
    <w:rsid w:val="00D74D63"/>
    <w:rsid w:val="00D74D90"/>
    <w:rsid w:val="00D7500B"/>
    <w:rsid w:val="00D7504B"/>
    <w:rsid w:val="00D7515C"/>
    <w:rsid w:val="00D7526C"/>
    <w:rsid w:val="00D752E5"/>
    <w:rsid w:val="00D754A6"/>
    <w:rsid w:val="00D755A6"/>
    <w:rsid w:val="00D755BF"/>
    <w:rsid w:val="00D75677"/>
    <w:rsid w:val="00D75781"/>
    <w:rsid w:val="00D75834"/>
    <w:rsid w:val="00D7584A"/>
    <w:rsid w:val="00D7590D"/>
    <w:rsid w:val="00D7591B"/>
    <w:rsid w:val="00D7595B"/>
    <w:rsid w:val="00D759E5"/>
    <w:rsid w:val="00D75A4B"/>
    <w:rsid w:val="00D75C1C"/>
    <w:rsid w:val="00D75CD5"/>
    <w:rsid w:val="00D75D32"/>
    <w:rsid w:val="00D75D57"/>
    <w:rsid w:val="00D75D5D"/>
    <w:rsid w:val="00D75E09"/>
    <w:rsid w:val="00D75F00"/>
    <w:rsid w:val="00D75F3B"/>
    <w:rsid w:val="00D75F85"/>
    <w:rsid w:val="00D75FDC"/>
    <w:rsid w:val="00D76021"/>
    <w:rsid w:val="00D76113"/>
    <w:rsid w:val="00D761B6"/>
    <w:rsid w:val="00D7622E"/>
    <w:rsid w:val="00D7636B"/>
    <w:rsid w:val="00D763FD"/>
    <w:rsid w:val="00D76447"/>
    <w:rsid w:val="00D7644A"/>
    <w:rsid w:val="00D764A8"/>
    <w:rsid w:val="00D766FD"/>
    <w:rsid w:val="00D7670E"/>
    <w:rsid w:val="00D76765"/>
    <w:rsid w:val="00D7686D"/>
    <w:rsid w:val="00D768A2"/>
    <w:rsid w:val="00D76A8A"/>
    <w:rsid w:val="00D76B12"/>
    <w:rsid w:val="00D76B17"/>
    <w:rsid w:val="00D76B3A"/>
    <w:rsid w:val="00D76E09"/>
    <w:rsid w:val="00D76E10"/>
    <w:rsid w:val="00D76E17"/>
    <w:rsid w:val="00D76EED"/>
    <w:rsid w:val="00D76FD9"/>
    <w:rsid w:val="00D77010"/>
    <w:rsid w:val="00D7702B"/>
    <w:rsid w:val="00D770B6"/>
    <w:rsid w:val="00D77125"/>
    <w:rsid w:val="00D771B8"/>
    <w:rsid w:val="00D772FF"/>
    <w:rsid w:val="00D7740F"/>
    <w:rsid w:val="00D77444"/>
    <w:rsid w:val="00D774CB"/>
    <w:rsid w:val="00D7759F"/>
    <w:rsid w:val="00D77619"/>
    <w:rsid w:val="00D77693"/>
    <w:rsid w:val="00D77698"/>
    <w:rsid w:val="00D77933"/>
    <w:rsid w:val="00D7793E"/>
    <w:rsid w:val="00D77951"/>
    <w:rsid w:val="00D77A0E"/>
    <w:rsid w:val="00D77A6C"/>
    <w:rsid w:val="00D77A75"/>
    <w:rsid w:val="00D77ADE"/>
    <w:rsid w:val="00D77AF5"/>
    <w:rsid w:val="00D77B09"/>
    <w:rsid w:val="00D77E51"/>
    <w:rsid w:val="00D77F2C"/>
    <w:rsid w:val="00D801F6"/>
    <w:rsid w:val="00D8026F"/>
    <w:rsid w:val="00D802E9"/>
    <w:rsid w:val="00D8032F"/>
    <w:rsid w:val="00D8034D"/>
    <w:rsid w:val="00D803E3"/>
    <w:rsid w:val="00D805ED"/>
    <w:rsid w:val="00D80601"/>
    <w:rsid w:val="00D8067C"/>
    <w:rsid w:val="00D80824"/>
    <w:rsid w:val="00D809D0"/>
    <w:rsid w:val="00D80A4F"/>
    <w:rsid w:val="00D80B03"/>
    <w:rsid w:val="00D80B1C"/>
    <w:rsid w:val="00D80B91"/>
    <w:rsid w:val="00D80B9F"/>
    <w:rsid w:val="00D80BDE"/>
    <w:rsid w:val="00D80D4D"/>
    <w:rsid w:val="00D80DC5"/>
    <w:rsid w:val="00D80E4B"/>
    <w:rsid w:val="00D80F7B"/>
    <w:rsid w:val="00D80FBC"/>
    <w:rsid w:val="00D80FD9"/>
    <w:rsid w:val="00D810C6"/>
    <w:rsid w:val="00D811B7"/>
    <w:rsid w:val="00D811D1"/>
    <w:rsid w:val="00D8131E"/>
    <w:rsid w:val="00D8135E"/>
    <w:rsid w:val="00D81382"/>
    <w:rsid w:val="00D8141B"/>
    <w:rsid w:val="00D81470"/>
    <w:rsid w:val="00D8152C"/>
    <w:rsid w:val="00D81668"/>
    <w:rsid w:val="00D81694"/>
    <w:rsid w:val="00D8169A"/>
    <w:rsid w:val="00D816A7"/>
    <w:rsid w:val="00D8172B"/>
    <w:rsid w:val="00D817A6"/>
    <w:rsid w:val="00D817BA"/>
    <w:rsid w:val="00D817C9"/>
    <w:rsid w:val="00D8184B"/>
    <w:rsid w:val="00D818A2"/>
    <w:rsid w:val="00D818CB"/>
    <w:rsid w:val="00D818F7"/>
    <w:rsid w:val="00D81951"/>
    <w:rsid w:val="00D819E9"/>
    <w:rsid w:val="00D81A2F"/>
    <w:rsid w:val="00D81B17"/>
    <w:rsid w:val="00D81B1D"/>
    <w:rsid w:val="00D81BDF"/>
    <w:rsid w:val="00D81BF3"/>
    <w:rsid w:val="00D81CAD"/>
    <w:rsid w:val="00D81D8B"/>
    <w:rsid w:val="00D81D90"/>
    <w:rsid w:val="00D82050"/>
    <w:rsid w:val="00D82143"/>
    <w:rsid w:val="00D821A3"/>
    <w:rsid w:val="00D8220C"/>
    <w:rsid w:val="00D822DF"/>
    <w:rsid w:val="00D8237D"/>
    <w:rsid w:val="00D82404"/>
    <w:rsid w:val="00D82438"/>
    <w:rsid w:val="00D8244A"/>
    <w:rsid w:val="00D82577"/>
    <w:rsid w:val="00D82589"/>
    <w:rsid w:val="00D82627"/>
    <w:rsid w:val="00D8265E"/>
    <w:rsid w:val="00D826D2"/>
    <w:rsid w:val="00D82786"/>
    <w:rsid w:val="00D827AC"/>
    <w:rsid w:val="00D829F7"/>
    <w:rsid w:val="00D82A0C"/>
    <w:rsid w:val="00D82A1A"/>
    <w:rsid w:val="00D82B69"/>
    <w:rsid w:val="00D82BBE"/>
    <w:rsid w:val="00D82CAF"/>
    <w:rsid w:val="00D82D02"/>
    <w:rsid w:val="00D82D38"/>
    <w:rsid w:val="00D82E8A"/>
    <w:rsid w:val="00D82EDD"/>
    <w:rsid w:val="00D83046"/>
    <w:rsid w:val="00D830DB"/>
    <w:rsid w:val="00D83193"/>
    <w:rsid w:val="00D833B9"/>
    <w:rsid w:val="00D833F2"/>
    <w:rsid w:val="00D835EF"/>
    <w:rsid w:val="00D835FB"/>
    <w:rsid w:val="00D83604"/>
    <w:rsid w:val="00D836E3"/>
    <w:rsid w:val="00D8375E"/>
    <w:rsid w:val="00D837FE"/>
    <w:rsid w:val="00D83835"/>
    <w:rsid w:val="00D8397E"/>
    <w:rsid w:val="00D83A26"/>
    <w:rsid w:val="00D83A9F"/>
    <w:rsid w:val="00D83AA9"/>
    <w:rsid w:val="00D83AED"/>
    <w:rsid w:val="00D83E43"/>
    <w:rsid w:val="00D83E7D"/>
    <w:rsid w:val="00D83F04"/>
    <w:rsid w:val="00D83F22"/>
    <w:rsid w:val="00D83F9B"/>
    <w:rsid w:val="00D84035"/>
    <w:rsid w:val="00D84163"/>
    <w:rsid w:val="00D8419C"/>
    <w:rsid w:val="00D842EA"/>
    <w:rsid w:val="00D84313"/>
    <w:rsid w:val="00D8432B"/>
    <w:rsid w:val="00D843A8"/>
    <w:rsid w:val="00D843D3"/>
    <w:rsid w:val="00D843ED"/>
    <w:rsid w:val="00D8449D"/>
    <w:rsid w:val="00D844DA"/>
    <w:rsid w:val="00D84658"/>
    <w:rsid w:val="00D846E4"/>
    <w:rsid w:val="00D846F5"/>
    <w:rsid w:val="00D8472C"/>
    <w:rsid w:val="00D8476C"/>
    <w:rsid w:val="00D847BF"/>
    <w:rsid w:val="00D847C8"/>
    <w:rsid w:val="00D84976"/>
    <w:rsid w:val="00D849EB"/>
    <w:rsid w:val="00D849FA"/>
    <w:rsid w:val="00D84AEF"/>
    <w:rsid w:val="00D84BC2"/>
    <w:rsid w:val="00D84CAB"/>
    <w:rsid w:val="00D84CF6"/>
    <w:rsid w:val="00D84EC1"/>
    <w:rsid w:val="00D84F6C"/>
    <w:rsid w:val="00D84FF2"/>
    <w:rsid w:val="00D84FF6"/>
    <w:rsid w:val="00D84FF9"/>
    <w:rsid w:val="00D85001"/>
    <w:rsid w:val="00D85116"/>
    <w:rsid w:val="00D85185"/>
    <w:rsid w:val="00D8519F"/>
    <w:rsid w:val="00D851D3"/>
    <w:rsid w:val="00D851E5"/>
    <w:rsid w:val="00D8521F"/>
    <w:rsid w:val="00D85222"/>
    <w:rsid w:val="00D852AC"/>
    <w:rsid w:val="00D8538E"/>
    <w:rsid w:val="00D853F5"/>
    <w:rsid w:val="00D85488"/>
    <w:rsid w:val="00D854BA"/>
    <w:rsid w:val="00D85586"/>
    <w:rsid w:val="00D855FD"/>
    <w:rsid w:val="00D8568F"/>
    <w:rsid w:val="00D856AE"/>
    <w:rsid w:val="00D85705"/>
    <w:rsid w:val="00D857A9"/>
    <w:rsid w:val="00D8583B"/>
    <w:rsid w:val="00D85979"/>
    <w:rsid w:val="00D85A37"/>
    <w:rsid w:val="00D85A92"/>
    <w:rsid w:val="00D85AF9"/>
    <w:rsid w:val="00D85B2D"/>
    <w:rsid w:val="00D85D4A"/>
    <w:rsid w:val="00D85DCD"/>
    <w:rsid w:val="00D85DD7"/>
    <w:rsid w:val="00D85ED9"/>
    <w:rsid w:val="00D85F89"/>
    <w:rsid w:val="00D860D7"/>
    <w:rsid w:val="00D861DA"/>
    <w:rsid w:val="00D8626F"/>
    <w:rsid w:val="00D862B9"/>
    <w:rsid w:val="00D862D4"/>
    <w:rsid w:val="00D8641B"/>
    <w:rsid w:val="00D8643E"/>
    <w:rsid w:val="00D864E8"/>
    <w:rsid w:val="00D864E9"/>
    <w:rsid w:val="00D86503"/>
    <w:rsid w:val="00D8654B"/>
    <w:rsid w:val="00D865C2"/>
    <w:rsid w:val="00D86601"/>
    <w:rsid w:val="00D86637"/>
    <w:rsid w:val="00D86681"/>
    <w:rsid w:val="00D866BA"/>
    <w:rsid w:val="00D86750"/>
    <w:rsid w:val="00D86793"/>
    <w:rsid w:val="00D868A6"/>
    <w:rsid w:val="00D868FF"/>
    <w:rsid w:val="00D8693D"/>
    <w:rsid w:val="00D8695D"/>
    <w:rsid w:val="00D8698B"/>
    <w:rsid w:val="00D8699D"/>
    <w:rsid w:val="00D869AE"/>
    <w:rsid w:val="00D869D4"/>
    <w:rsid w:val="00D86AE1"/>
    <w:rsid w:val="00D86BBC"/>
    <w:rsid w:val="00D86BCC"/>
    <w:rsid w:val="00D86C0B"/>
    <w:rsid w:val="00D86C40"/>
    <w:rsid w:val="00D86CC4"/>
    <w:rsid w:val="00D86E8F"/>
    <w:rsid w:val="00D86EAD"/>
    <w:rsid w:val="00D86F0C"/>
    <w:rsid w:val="00D8702E"/>
    <w:rsid w:val="00D870CE"/>
    <w:rsid w:val="00D870F8"/>
    <w:rsid w:val="00D87101"/>
    <w:rsid w:val="00D871EA"/>
    <w:rsid w:val="00D87252"/>
    <w:rsid w:val="00D872C2"/>
    <w:rsid w:val="00D872D3"/>
    <w:rsid w:val="00D872F5"/>
    <w:rsid w:val="00D8731B"/>
    <w:rsid w:val="00D87351"/>
    <w:rsid w:val="00D87397"/>
    <w:rsid w:val="00D873FC"/>
    <w:rsid w:val="00D87406"/>
    <w:rsid w:val="00D874FB"/>
    <w:rsid w:val="00D8757E"/>
    <w:rsid w:val="00D87613"/>
    <w:rsid w:val="00D876AC"/>
    <w:rsid w:val="00D877AB"/>
    <w:rsid w:val="00D878CE"/>
    <w:rsid w:val="00D87B14"/>
    <w:rsid w:val="00D87B61"/>
    <w:rsid w:val="00D87BC6"/>
    <w:rsid w:val="00D87C21"/>
    <w:rsid w:val="00D87C41"/>
    <w:rsid w:val="00D87C61"/>
    <w:rsid w:val="00D87C78"/>
    <w:rsid w:val="00D87D87"/>
    <w:rsid w:val="00D87E5B"/>
    <w:rsid w:val="00D90054"/>
    <w:rsid w:val="00D90145"/>
    <w:rsid w:val="00D901F0"/>
    <w:rsid w:val="00D90295"/>
    <w:rsid w:val="00D90377"/>
    <w:rsid w:val="00D903DC"/>
    <w:rsid w:val="00D9049C"/>
    <w:rsid w:val="00D904B9"/>
    <w:rsid w:val="00D904CB"/>
    <w:rsid w:val="00D90552"/>
    <w:rsid w:val="00D905E3"/>
    <w:rsid w:val="00D9061C"/>
    <w:rsid w:val="00D90787"/>
    <w:rsid w:val="00D90791"/>
    <w:rsid w:val="00D90807"/>
    <w:rsid w:val="00D9091C"/>
    <w:rsid w:val="00D90963"/>
    <w:rsid w:val="00D9096E"/>
    <w:rsid w:val="00D909FC"/>
    <w:rsid w:val="00D90A09"/>
    <w:rsid w:val="00D90A39"/>
    <w:rsid w:val="00D90AFE"/>
    <w:rsid w:val="00D90C3B"/>
    <w:rsid w:val="00D90C65"/>
    <w:rsid w:val="00D90C6B"/>
    <w:rsid w:val="00D90C9A"/>
    <w:rsid w:val="00D90CC7"/>
    <w:rsid w:val="00D90DB4"/>
    <w:rsid w:val="00D90E25"/>
    <w:rsid w:val="00D90E86"/>
    <w:rsid w:val="00D91010"/>
    <w:rsid w:val="00D9114B"/>
    <w:rsid w:val="00D91178"/>
    <w:rsid w:val="00D91295"/>
    <w:rsid w:val="00D91367"/>
    <w:rsid w:val="00D913E3"/>
    <w:rsid w:val="00D91482"/>
    <w:rsid w:val="00D9148B"/>
    <w:rsid w:val="00D914A8"/>
    <w:rsid w:val="00D915AB"/>
    <w:rsid w:val="00D91707"/>
    <w:rsid w:val="00D91757"/>
    <w:rsid w:val="00D917DD"/>
    <w:rsid w:val="00D918ED"/>
    <w:rsid w:val="00D91959"/>
    <w:rsid w:val="00D9196B"/>
    <w:rsid w:val="00D9198B"/>
    <w:rsid w:val="00D91B1E"/>
    <w:rsid w:val="00D91B86"/>
    <w:rsid w:val="00D91C8B"/>
    <w:rsid w:val="00D91D99"/>
    <w:rsid w:val="00D91E09"/>
    <w:rsid w:val="00D91E8E"/>
    <w:rsid w:val="00D91F87"/>
    <w:rsid w:val="00D92115"/>
    <w:rsid w:val="00D9215F"/>
    <w:rsid w:val="00D921F6"/>
    <w:rsid w:val="00D922F6"/>
    <w:rsid w:val="00D925C6"/>
    <w:rsid w:val="00D926BA"/>
    <w:rsid w:val="00D926F8"/>
    <w:rsid w:val="00D92720"/>
    <w:rsid w:val="00D92725"/>
    <w:rsid w:val="00D927D8"/>
    <w:rsid w:val="00D92845"/>
    <w:rsid w:val="00D928A9"/>
    <w:rsid w:val="00D92900"/>
    <w:rsid w:val="00D92937"/>
    <w:rsid w:val="00D92998"/>
    <w:rsid w:val="00D929BE"/>
    <w:rsid w:val="00D929F2"/>
    <w:rsid w:val="00D92A3E"/>
    <w:rsid w:val="00D92AA2"/>
    <w:rsid w:val="00D92ABD"/>
    <w:rsid w:val="00D92BBB"/>
    <w:rsid w:val="00D92C8E"/>
    <w:rsid w:val="00D92E14"/>
    <w:rsid w:val="00D92EC7"/>
    <w:rsid w:val="00D92ED8"/>
    <w:rsid w:val="00D93056"/>
    <w:rsid w:val="00D9312D"/>
    <w:rsid w:val="00D933A1"/>
    <w:rsid w:val="00D93605"/>
    <w:rsid w:val="00D9362B"/>
    <w:rsid w:val="00D936FE"/>
    <w:rsid w:val="00D93865"/>
    <w:rsid w:val="00D93924"/>
    <w:rsid w:val="00D93A3D"/>
    <w:rsid w:val="00D93A41"/>
    <w:rsid w:val="00D93C18"/>
    <w:rsid w:val="00D93C22"/>
    <w:rsid w:val="00D93C3B"/>
    <w:rsid w:val="00D93D11"/>
    <w:rsid w:val="00D93D92"/>
    <w:rsid w:val="00D93F3E"/>
    <w:rsid w:val="00D93FD8"/>
    <w:rsid w:val="00D9402C"/>
    <w:rsid w:val="00D9404F"/>
    <w:rsid w:val="00D9413C"/>
    <w:rsid w:val="00D94163"/>
    <w:rsid w:val="00D941E3"/>
    <w:rsid w:val="00D941F5"/>
    <w:rsid w:val="00D942FD"/>
    <w:rsid w:val="00D94377"/>
    <w:rsid w:val="00D943C0"/>
    <w:rsid w:val="00D943E4"/>
    <w:rsid w:val="00D944D9"/>
    <w:rsid w:val="00D944FD"/>
    <w:rsid w:val="00D94516"/>
    <w:rsid w:val="00D946B7"/>
    <w:rsid w:val="00D9472D"/>
    <w:rsid w:val="00D94987"/>
    <w:rsid w:val="00D949FF"/>
    <w:rsid w:val="00D94A22"/>
    <w:rsid w:val="00D94ACB"/>
    <w:rsid w:val="00D94BA1"/>
    <w:rsid w:val="00D94C4F"/>
    <w:rsid w:val="00D94CE2"/>
    <w:rsid w:val="00D94DA4"/>
    <w:rsid w:val="00D94EB4"/>
    <w:rsid w:val="00D94FE5"/>
    <w:rsid w:val="00D9501C"/>
    <w:rsid w:val="00D95135"/>
    <w:rsid w:val="00D951E3"/>
    <w:rsid w:val="00D95292"/>
    <w:rsid w:val="00D9543B"/>
    <w:rsid w:val="00D9555F"/>
    <w:rsid w:val="00D955D8"/>
    <w:rsid w:val="00D95646"/>
    <w:rsid w:val="00D956D5"/>
    <w:rsid w:val="00D9573B"/>
    <w:rsid w:val="00D9574E"/>
    <w:rsid w:val="00D9579E"/>
    <w:rsid w:val="00D958E0"/>
    <w:rsid w:val="00D95940"/>
    <w:rsid w:val="00D959B0"/>
    <w:rsid w:val="00D95A05"/>
    <w:rsid w:val="00D95B70"/>
    <w:rsid w:val="00D95B7A"/>
    <w:rsid w:val="00D95BBE"/>
    <w:rsid w:val="00D95BF5"/>
    <w:rsid w:val="00D95C00"/>
    <w:rsid w:val="00D95C62"/>
    <w:rsid w:val="00D95C7C"/>
    <w:rsid w:val="00D95D77"/>
    <w:rsid w:val="00D95D91"/>
    <w:rsid w:val="00D95E13"/>
    <w:rsid w:val="00D95EBA"/>
    <w:rsid w:val="00D95EEF"/>
    <w:rsid w:val="00D95F35"/>
    <w:rsid w:val="00D960E9"/>
    <w:rsid w:val="00D960EB"/>
    <w:rsid w:val="00D96107"/>
    <w:rsid w:val="00D9618E"/>
    <w:rsid w:val="00D9620D"/>
    <w:rsid w:val="00D96264"/>
    <w:rsid w:val="00D962CF"/>
    <w:rsid w:val="00D962DA"/>
    <w:rsid w:val="00D9631C"/>
    <w:rsid w:val="00D9634F"/>
    <w:rsid w:val="00D96361"/>
    <w:rsid w:val="00D96398"/>
    <w:rsid w:val="00D96491"/>
    <w:rsid w:val="00D964AA"/>
    <w:rsid w:val="00D9656C"/>
    <w:rsid w:val="00D96652"/>
    <w:rsid w:val="00D966EB"/>
    <w:rsid w:val="00D966EC"/>
    <w:rsid w:val="00D9672F"/>
    <w:rsid w:val="00D96741"/>
    <w:rsid w:val="00D96755"/>
    <w:rsid w:val="00D96757"/>
    <w:rsid w:val="00D967FD"/>
    <w:rsid w:val="00D96883"/>
    <w:rsid w:val="00D9698E"/>
    <w:rsid w:val="00D969F9"/>
    <w:rsid w:val="00D96AC9"/>
    <w:rsid w:val="00D96ACF"/>
    <w:rsid w:val="00D96AD9"/>
    <w:rsid w:val="00D96AF7"/>
    <w:rsid w:val="00D96BFE"/>
    <w:rsid w:val="00D96C1D"/>
    <w:rsid w:val="00D96CBA"/>
    <w:rsid w:val="00D96DFC"/>
    <w:rsid w:val="00D96E1E"/>
    <w:rsid w:val="00D96E30"/>
    <w:rsid w:val="00D96FA0"/>
    <w:rsid w:val="00D9700F"/>
    <w:rsid w:val="00D97086"/>
    <w:rsid w:val="00D97193"/>
    <w:rsid w:val="00D972D1"/>
    <w:rsid w:val="00D97345"/>
    <w:rsid w:val="00D97370"/>
    <w:rsid w:val="00D97394"/>
    <w:rsid w:val="00D973EC"/>
    <w:rsid w:val="00D9752B"/>
    <w:rsid w:val="00D9756A"/>
    <w:rsid w:val="00D9760E"/>
    <w:rsid w:val="00D97625"/>
    <w:rsid w:val="00D9777A"/>
    <w:rsid w:val="00D977F4"/>
    <w:rsid w:val="00D9781D"/>
    <w:rsid w:val="00D97887"/>
    <w:rsid w:val="00D97926"/>
    <w:rsid w:val="00D9796B"/>
    <w:rsid w:val="00D97A7F"/>
    <w:rsid w:val="00D97AB3"/>
    <w:rsid w:val="00D97B47"/>
    <w:rsid w:val="00D97C59"/>
    <w:rsid w:val="00D97D17"/>
    <w:rsid w:val="00D97D81"/>
    <w:rsid w:val="00D97E24"/>
    <w:rsid w:val="00D97EB0"/>
    <w:rsid w:val="00D97ECD"/>
    <w:rsid w:val="00D97F3F"/>
    <w:rsid w:val="00DA0154"/>
    <w:rsid w:val="00DA0212"/>
    <w:rsid w:val="00DA06CD"/>
    <w:rsid w:val="00DA06D2"/>
    <w:rsid w:val="00DA083E"/>
    <w:rsid w:val="00DA08DD"/>
    <w:rsid w:val="00DA0B1B"/>
    <w:rsid w:val="00DA0B6E"/>
    <w:rsid w:val="00DA0C33"/>
    <w:rsid w:val="00DA0CAB"/>
    <w:rsid w:val="00DA0D1E"/>
    <w:rsid w:val="00DA0E06"/>
    <w:rsid w:val="00DA0FD7"/>
    <w:rsid w:val="00DA11E6"/>
    <w:rsid w:val="00DA1296"/>
    <w:rsid w:val="00DA12C3"/>
    <w:rsid w:val="00DA1464"/>
    <w:rsid w:val="00DA1595"/>
    <w:rsid w:val="00DA161F"/>
    <w:rsid w:val="00DA1689"/>
    <w:rsid w:val="00DA16BF"/>
    <w:rsid w:val="00DA16C8"/>
    <w:rsid w:val="00DA1702"/>
    <w:rsid w:val="00DA18B0"/>
    <w:rsid w:val="00DA195D"/>
    <w:rsid w:val="00DA1C49"/>
    <w:rsid w:val="00DA1CD3"/>
    <w:rsid w:val="00DA1D8C"/>
    <w:rsid w:val="00DA1E68"/>
    <w:rsid w:val="00DA1EC0"/>
    <w:rsid w:val="00DA1F4D"/>
    <w:rsid w:val="00DA1F71"/>
    <w:rsid w:val="00DA2158"/>
    <w:rsid w:val="00DA22A2"/>
    <w:rsid w:val="00DA230F"/>
    <w:rsid w:val="00DA234E"/>
    <w:rsid w:val="00DA238D"/>
    <w:rsid w:val="00DA24AE"/>
    <w:rsid w:val="00DA258B"/>
    <w:rsid w:val="00DA2655"/>
    <w:rsid w:val="00DA2672"/>
    <w:rsid w:val="00DA2774"/>
    <w:rsid w:val="00DA280E"/>
    <w:rsid w:val="00DA2860"/>
    <w:rsid w:val="00DA288E"/>
    <w:rsid w:val="00DA29A5"/>
    <w:rsid w:val="00DA29CA"/>
    <w:rsid w:val="00DA29D6"/>
    <w:rsid w:val="00DA29F7"/>
    <w:rsid w:val="00DA2B06"/>
    <w:rsid w:val="00DA2B9C"/>
    <w:rsid w:val="00DA2C1E"/>
    <w:rsid w:val="00DA2D1A"/>
    <w:rsid w:val="00DA2D3A"/>
    <w:rsid w:val="00DA2DBB"/>
    <w:rsid w:val="00DA2DC5"/>
    <w:rsid w:val="00DA2E00"/>
    <w:rsid w:val="00DA2E3E"/>
    <w:rsid w:val="00DA2E62"/>
    <w:rsid w:val="00DA2F27"/>
    <w:rsid w:val="00DA3077"/>
    <w:rsid w:val="00DA3171"/>
    <w:rsid w:val="00DA3205"/>
    <w:rsid w:val="00DA3359"/>
    <w:rsid w:val="00DA3371"/>
    <w:rsid w:val="00DA3558"/>
    <w:rsid w:val="00DA356F"/>
    <w:rsid w:val="00DA3645"/>
    <w:rsid w:val="00DA373D"/>
    <w:rsid w:val="00DA377E"/>
    <w:rsid w:val="00DA3874"/>
    <w:rsid w:val="00DA38AA"/>
    <w:rsid w:val="00DA38BC"/>
    <w:rsid w:val="00DA3956"/>
    <w:rsid w:val="00DA3963"/>
    <w:rsid w:val="00DA39B1"/>
    <w:rsid w:val="00DA39DC"/>
    <w:rsid w:val="00DA39E2"/>
    <w:rsid w:val="00DA3A8D"/>
    <w:rsid w:val="00DA3AF9"/>
    <w:rsid w:val="00DA3BD1"/>
    <w:rsid w:val="00DA3BF9"/>
    <w:rsid w:val="00DA3E1A"/>
    <w:rsid w:val="00DA3E5C"/>
    <w:rsid w:val="00DA4021"/>
    <w:rsid w:val="00DA40EC"/>
    <w:rsid w:val="00DA4147"/>
    <w:rsid w:val="00DA4188"/>
    <w:rsid w:val="00DA41A0"/>
    <w:rsid w:val="00DA41E4"/>
    <w:rsid w:val="00DA41F1"/>
    <w:rsid w:val="00DA4370"/>
    <w:rsid w:val="00DA43C6"/>
    <w:rsid w:val="00DA441C"/>
    <w:rsid w:val="00DA4485"/>
    <w:rsid w:val="00DA4491"/>
    <w:rsid w:val="00DA44BC"/>
    <w:rsid w:val="00DA457D"/>
    <w:rsid w:val="00DA459F"/>
    <w:rsid w:val="00DA461E"/>
    <w:rsid w:val="00DA4717"/>
    <w:rsid w:val="00DA476C"/>
    <w:rsid w:val="00DA4777"/>
    <w:rsid w:val="00DA48A8"/>
    <w:rsid w:val="00DA48B2"/>
    <w:rsid w:val="00DA4984"/>
    <w:rsid w:val="00DA49C1"/>
    <w:rsid w:val="00DA4ABF"/>
    <w:rsid w:val="00DA4AFA"/>
    <w:rsid w:val="00DA4C2F"/>
    <w:rsid w:val="00DA4CCE"/>
    <w:rsid w:val="00DA4D89"/>
    <w:rsid w:val="00DA4E1D"/>
    <w:rsid w:val="00DA4E93"/>
    <w:rsid w:val="00DA4EAB"/>
    <w:rsid w:val="00DA4ECE"/>
    <w:rsid w:val="00DA4F8D"/>
    <w:rsid w:val="00DA4FD3"/>
    <w:rsid w:val="00DA500D"/>
    <w:rsid w:val="00DA50EA"/>
    <w:rsid w:val="00DA50F0"/>
    <w:rsid w:val="00DA5178"/>
    <w:rsid w:val="00DA5369"/>
    <w:rsid w:val="00DA5412"/>
    <w:rsid w:val="00DA54FB"/>
    <w:rsid w:val="00DA5513"/>
    <w:rsid w:val="00DA5517"/>
    <w:rsid w:val="00DA552C"/>
    <w:rsid w:val="00DA5589"/>
    <w:rsid w:val="00DA5679"/>
    <w:rsid w:val="00DA56FA"/>
    <w:rsid w:val="00DA57E5"/>
    <w:rsid w:val="00DA5852"/>
    <w:rsid w:val="00DA58FD"/>
    <w:rsid w:val="00DA5902"/>
    <w:rsid w:val="00DA592C"/>
    <w:rsid w:val="00DA5981"/>
    <w:rsid w:val="00DA5A7F"/>
    <w:rsid w:val="00DA5AB7"/>
    <w:rsid w:val="00DA5B98"/>
    <w:rsid w:val="00DA5C35"/>
    <w:rsid w:val="00DA5D01"/>
    <w:rsid w:val="00DA5DD9"/>
    <w:rsid w:val="00DA5DF1"/>
    <w:rsid w:val="00DA5FA4"/>
    <w:rsid w:val="00DA601C"/>
    <w:rsid w:val="00DA6045"/>
    <w:rsid w:val="00DA60C1"/>
    <w:rsid w:val="00DA60CE"/>
    <w:rsid w:val="00DA60E8"/>
    <w:rsid w:val="00DA61F5"/>
    <w:rsid w:val="00DA6255"/>
    <w:rsid w:val="00DA6294"/>
    <w:rsid w:val="00DA62FB"/>
    <w:rsid w:val="00DA6475"/>
    <w:rsid w:val="00DA6778"/>
    <w:rsid w:val="00DA6786"/>
    <w:rsid w:val="00DA6790"/>
    <w:rsid w:val="00DA6852"/>
    <w:rsid w:val="00DA6AAF"/>
    <w:rsid w:val="00DA6BD1"/>
    <w:rsid w:val="00DA6C7A"/>
    <w:rsid w:val="00DA6CCD"/>
    <w:rsid w:val="00DA6D0F"/>
    <w:rsid w:val="00DA6D5F"/>
    <w:rsid w:val="00DA6E3D"/>
    <w:rsid w:val="00DA6E61"/>
    <w:rsid w:val="00DA6F7E"/>
    <w:rsid w:val="00DA701F"/>
    <w:rsid w:val="00DA7078"/>
    <w:rsid w:val="00DA70B8"/>
    <w:rsid w:val="00DA7115"/>
    <w:rsid w:val="00DA7186"/>
    <w:rsid w:val="00DA71B1"/>
    <w:rsid w:val="00DA71B4"/>
    <w:rsid w:val="00DA72E2"/>
    <w:rsid w:val="00DA7323"/>
    <w:rsid w:val="00DA7327"/>
    <w:rsid w:val="00DA7511"/>
    <w:rsid w:val="00DA75A1"/>
    <w:rsid w:val="00DA75C6"/>
    <w:rsid w:val="00DA7677"/>
    <w:rsid w:val="00DA770B"/>
    <w:rsid w:val="00DA7725"/>
    <w:rsid w:val="00DA7796"/>
    <w:rsid w:val="00DA77C3"/>
    <w:rsid w:val="00DA78A1"/>
    <w:rsid w:val="00DA797A"/>
    <w:rsid w:val="00DA7B25"/>
    <w:rsid w:val="00DA7B48"/>
    <w:rsid w:val="00DA7BB0"/>
    <w:rsid w:val="00DA7CB2"/>
    <w:rsid w:val="00DA7D1E"/>
    <w:rsid w:val="00DA7E84"/>
    <w:rsid w:val="00DA7EA2"/>
    <w:rsid w:val="00DA7EAC"/>
    <w:rsid w:val="00DA7EBE"/>
    <w:rsid w:val="00DA7FB1"/>
    <w:rsid w:val="00DB0003"/>
    <w:rsid w:val="00DB009C"/>
    <w:rsid w:val="00DB00A2"/>
    <w:rsid w:val="00DB00DB"/>
    <w:rsid w:val="00DB01FD"/>
    <w:rsid w:val="00DB0295"/>
    <w:rsid w:val="00DB03D8"/>
    <w:rsid w:val="00DB0436"/>
    <w:rsid w:val="00DB04C9"/>
    <w:rsid w:val="00DB05B2"/>
    <w:rsid w:val="00DB05E4"/>
    <w:rsid w:val="00DB05FC"/>
    <w:rsid w:val="00DB0763"/>
    <w:rsid w:val="00DB07C7"/>
    <w:rsid w:val="00DB080D"/>
    <w:rsid w:val="00DB08B8"/>
    <w:rsid w:val="00DB09B1"/>
    <w:rsid w:val="00DB09BB"/>
    <w:rsid w:val="00DB0A60"/>
    <w:rsid w:val="00DB0AE4"/>
    <w:rsid w:val="00DB0B70"/>
    <w:rsid w:val="00DB0C0B"/>
    <w:rsid w:val="00DB0CD3"/>
    <w:rsid w:val="00DB0D0A"/>
    <w:rsid w:val="00DB0D51"/>
    <w:rsid w:val="00DB0D5E"/>
    <w:rsid w:val="00DB0DBF"/>
    <w:rsid w:val="00DB0F54"/>
    <w:rsid w:val="00DB0FD3"/>
    <w:rsid w:val="00DB102C"/>
    <w:rsid w:val="00DB10C4"/>
    <w:rsid w:val="00DB129C"/>
    <w:rsid w:val="00DB1387"/>
    <w:rsid w:val="00DB1545"/>
    <w:rsid w:val="00DB15D0"/>
    <w:rsid w:val="00DB1677"/>
    <w:rsid w:val="00DB1725"/>
    <w:rsid w:val="00DB1734"/>
    <w:rsid w:val="00DB1862"/>
    <w:rsid w:val="00DB1974"/>
    <w:rsid w:val="00DB19A1"/>
    <w:rsid w:val="00DB1A0C"/>
    <w:rsid w:val="00DB1A92"/>
    <w:rsid w:val="00DB1A9B"/>
    <w:rsid w:val="00DB1B45"/>
    <w:rsid w:val="00DB1B8E"/>
    <w:rsid w:val="00DB1B96"/>
    <w:rsid w:val="00DB1BC3"/>
    <w:rsid w:val="00DB1C0A"/>
    <w:rsid w:val="00DB1E14"/>
    <w:rsid w:val="00DB1E83"/>
    <w:rsid w:val="00DB1F37"/>
    <w:rsid w:val="00DB200E"/>
    <w:rsid w:val="00DB2224"/>
    <w:rsid w:val="00DB2286"/>
    <w:rsid w:val="00DB2335"/>
    <w:rsid w:val="00DB237D"/>
    <w:rsid w:val="00DB2477"/>
    <w:rsid w:val="00DB25BF"/>
    <w:rsid w:val="00DB2680"/>
    <w:rsid w:val="00DB2683"/>
    <w:rsid w:val="00DB2840"/>
    <w:rsid w:val="00DB2904"/>
    <w:rsid w:val="00DB299E"/>
    <w:rsid w:val="00DB29EA"/>
    <w:rsid w:val="00DB2A13"/>
    <w:rsid w:val="00DB2ABC"/>
    <w:rsid w:val="00DB2DA0"/>
    <w:rsid w:val="00DB2DB2"/>
    <w:rsid w:val="00DB2E29"/>
    <w:rsid w:val="00DB2E51"/>
    <w:rsid w:val="00DB2E64"/>
    <w:rsid w:val="00DB3037"/>
    <w:rsid w:val="00DB3048"/>
    <w:rsid w:val="00DB30C2"/>
    <w:rsid w:val="00DB31EF"/>
    <w:rsid w:val="00DB32F4"/>
    <w:rsid w:val="00DB33F7"/>
    <w:rsid w:val="00DB34D8"/>
    <w:rsid w:val="00DB355F"/>
    <w:rsid w:val="00DB357E"/>
    <w:rsid w:val="00DB357F"/>
    <w:rsid w:val="00DB36C3"/>
    <w:rsid w:val="00DB36E7"/>
    <w:rsid w:val="00DB36F3"/>
    <w:rsid w:val="00DB3762"/>
    <w:rsid w:val="00DB380B"/>
    <w:rsid w:val="00DB386F"/>
    <w:rsid w:val="00DB38AF"/>
    <w:rsid w:val="00DB38D9"/>
    <w:rsid w:val="00DB3972"/>
    <w:rsid w:val="00DB3BE2"/>
    <w:rsid w:val="00DB3CEB"/>
    <w:rsid w:val="00DB3D36"/>
    <w:rsid w:val="00DB3DB1"/>
    <w:rsid w:val="00DB3DB7"/>
    <w:rsid w:val="00DB3EA2"/>
    <w:rsid w:val="00DB3FC5"/>
    <w:rsid w:val="00DB4014"/>
    <w:rsid w:val="00DB40BA"/>
    <w:rsid w:val="00DB413E"/>
    <w:rsid w:val="00DB4173"/>
    <w:rsid w:val="00DB435B"/>
    <w:rsid w:val="00DB43AE"/>
    <w:rsid w:val="00DB4448"/>
    <w:rsid w:val="00DB4485"/>
    <w:rsid w:val="00DB45B6"/>
    <w:rsid w:val="00DB45BD"/>
    <w:rsid w:val="00DB45E2"/>
    <w:rsid w:val="00DB46A1"/>
    <w:rsid w:val="00DB4772"/>
    <w:rsid w:val="00DB47B3"/>
    <w:rsid w:val="00DB4927"/>
    <w:rsid w:val="00DB49F0"/>
    <w:rsid w:val="00DB4A53"/>
    <w:rsid w:val="00DB4A8F"/>
    <w:rsid w:val="00DB4ADB"/>
    <w:rsid w:val="00DB4BF3"/>
    <w:rsid w:val="00DB4BF6"/>
    <w:rsid w:val="00DB4D64"/>
    <w:rsid w:val="00DB4D9F"/>
    <w:rsid w:val="00DB4EC0"/>
    <w:rsid w:val="00DB4F09"/>
    <w:rsid w:val="00DB4F19"/>
    <w:rsid w:val="00DB4F41"/>
    <w:rsid w:val="00DB4F76"/>
    <w:rsid w:val="00DB4F9A"/>
    <w:rsid w:val="00DB4FEE"/>
    <w:rsid w:val="00DB509C"/>
    <w:rsid w:val="00DB50AB"/>
    <w:rsid w:val="00DB50EE"/>
    <w:rsid w:val="00DB5102"/>
    <w:rsid w:val="00DB51F8"/>
    <w:rsid w:val="00DB52B9"/>
    <w:rsid w:val="00DB5347"/>
    <w:rsid w:val="00DB53A2"/>
    <w:rsid w:val="00DB5433"/>
    <w:rsid w:val="00DB546E"/>
    <w:rsid w:val="00DB557F"/>
    <w:rsid w:val="00DB559A"/>
    <w:rsid w:val="00DB5606"/>
    <w:rsid w:val="00DB5643"/>
    <w:rsid w:val="00DB5846"/>
    <w:rsid w:val="00DB58AC"/>
    <w:rsid w:val="00DB59BA"/>
    <w:rsid w:val="00DB59F7"/>
    <w:rsid w:val="00DB5AA9"/>
    <w:rsid w:val="00DB5B6E"/>
    <w:rsid w:val="00DB5BD7"/>
    <w:rsid w:val="00DB5BFE"/>
    <w:rsid w:val="00DB5C94"/>
    <w:rsid w:val="00DB5D11"/>
    <w:rsid w:val="00DB5D49"/>
    <w:rsid w:val="00DB5EEC"/>
    <w:rsid w:val="00DB5F21"/>
    <w:rsid w:val="00DB5F3D"/>
    <w:rsid w:val="00DB5F5C"/>
    <w:rsid w:val="00DB6012"/>
    <w:rsid w:val="00DB60D5"/>
    <w:rsid w:val="00DB616B"/>
    <w:rsid w:val="00DB6293"/>
    <w:rsid w:val="00DB630F"/>
    <w:rsid w:val="00DB6366"/>
    <w:rsid w:val="00DB6482"/>
    <w:rsid w:val="00DB65B4"/>
    <w:rsid w:val="00DB6784"/>
    <w:rsid w:val="00DB6830"/>
    <w:rsid w:val="00DB6837"/>
    <w:rsid w:val="00DB683E"/>
    <w:rsid w:val="00DB6951"/>
    <w:rsid w:val="00DB69C0"/>
    <w:rsid w:val="00DB6A1F"/>
    <w:rsid w:val="00DB6AAC"/>
    <w:rsid w:val="00DB6AB0"/>
    <w:rsid w:val="00DB6AD8"/>
    <w:rsid w:val="00DB6C48"/>
    <w:rsid w:val="00DB6CF7"/>
    <w:rsid w:val="00DB6CFA"/>
    <w:rsid w:val="00DB6D61"/>
    <w:rsid w:val="00DB6DA0"/>
    <w:rsid w:val="00DB6DB8"/>
    <w:rsid w:val="00DB7087"/>
    <w:rsid w:val="00DB70A7"/>
    <w:rsid w:val="00DB7101"/>
    <w:rsid w:val="00DB7142"/>
    <w:rsid w:val="00DB7290"/>
    <w:rsid w:val="00DB739C"/>
    <w:rsid w:val="00DB73A3"/>
    <w:rsid w:val="00DB74C6"/>
    <w:rsid w:val="00DB7505"/>
    <w:rsid w:val="00DB756E"/>
    <w:rsid w:val="00DB75FC"/>
    <w:rsid w:val="00DB7624"/>
    <w:rsid w:val="00DB76C5"/>
    <w:rsid w:val="00DB76CE"/>
    <w:rsid w:val="00DB779B"/>
    <w:rsid w:val="00DB77A8"/>
    <w:rsid w:val="00DB782B"/>
    <w:rsid w:val="00DB789B"/>
    <w:rsid w:val="00DB79B1"/>
    <w:rsid w:val="00DB7A3A"/>
    <w:rsid w:val="00DB7A45"/>
    <w:rsid w:val="00DB7AB6"/>
    <w:rsid w:val="00DB7C4B"/>
    <w:rsid w:val="00DB7C8E"/>
    <w:rsid w:val="00DB7CAA"/>
    <w:rsid w:val="00DB7CCC"/>
    <w:rsid w:val="00DB7CCE"/>
    <w:rsid w:val="00DB7D6A"/>
    <w:rsid w:val="00DB7D9D"/>
    <w:rsid w:val="00DB7DF0"/>
    <w:rsid w:val="00DB7DFF"/>
    <w:rsid w:val="00DB7E33"/>
    <w:rsid w:val="00DB7E4F"/>
    <w:rsid w:val="00DB7EDA"/>
    <w:rsid w:val="00DB7F21"/>
    <w:rsid w:val="00DB7F30"/>
    <w:rsid w:val="00DB7F65"/>
    <w:rsid w:val="00DC0078"/>
    <w:rsid w:val="00DC009F"/>
    <w:rsid w:val="00DC01E2"/>
    <w:rsid w:val="00DC02E6"/>
    <w:rsid w:val="00DC032C"/>
    <w:rsid w:val="00DC03FE"/>
    <w:rsid w:val="00DC04A5"/>
    <w:rsid w:val="00DC0878"/>
    <w:rsid w:val="00DC0992"/>
    <w:rsid w:val="00DC099A"/>
    <w:rsid w:val="00DC0B1A"/>
    <w:rsid w:val="00DC0BC8"/>
    <w:rsid w:val="00DC0CA5"/>
    <w:rsid w:val="00DC0D20"/>
    <w:rsid w:val="00DC0D22"/>
    <w:rsid w:val="00DC0D68"/>
    <w:rsid w:val="00DC0E01"/>
    <w:rsid w:val="00DC0E17"/>
    <w:rsid w:val="00DC0E4F"/>
    <w:rsid w:val="00DC0EA8"/>
    <w:rsid w:val="00DC0F42"/>
    <w:rsid w:val="00DC0F79"/>
    <w:rsid w:val="00DC0FE8"/>
    <w:rsid w:val="00DC10CA"/>
    <w:rsid w:val="00DC12F6"/>
    <w:rsid w:val="00DC13BC"/>
    <w:rsid w:val="00DC159A"/>
    <w:rsid w:val="00DC15B7"/>
    <w:rsid w:val="00DC15C6"/>
    <w:rsid w:val="00DC15E5"/>
    <w:rsid w:val="00DC1736"/>
    <w:rsid w:val="00DC1792"/>
    <w:rsid w:val="00DC18C1"/>
    <w:rsid w:val="00DC192C"/>
    <w:rsid w:val="00DC19A5"/>
    <w:rsid w:val="00DC1A6D"/>
    <w:rsid w:val="00DC1B93"/>
    <w:rsid w:val="00DC1BA1"/>
    <w:rsid w:val="00DC1CBE"/>
    <w:rsid w:val="00DC1D75"/>
    <w:rsid w:val="00DC1D9F"/>
    <w:rsid w:val="00DC1F6A"/>
    <w:rsid w:val="00DC1F7A"/>
    <w:rsid w:val="00DC1FBD"/>
    <w:rsid w:val="00DC1FF4"/>
    <w:rsid w:val="00DC2035"/>
    <w:rsid w:val="00DC207C"/>
    <w:rsid w:val="00DC20DD"/>
    <w:rsid w:val="00DC22ED"/>
    <w:rsid w:val="00DC238E"/>
    <w:rsid w:val="00DC2427"/>
    <w:rsid w:val="00DC2429"/>
    <w:rsid w:val="00DC2443"/>
    <w:rsid w:val="00DC25F7"/>
    <w:rsid w:val="00DC26C7"/>
    <w:rsid w:val="00DC26CC"/>
    <w:rsid w:val="00DC2707"/>
    <w:rsid w:val="00DC2742"/>
    <w:rsid w:val="00DC2777"/>
    <w:rsid w:val="00DC27D8"/>
    <w:rsid w:val="00DC2833"/>
    <w:rsid w:val="00DC284F"/>
    <w:rsid w:val="00DC28A8"/>
    <w:rsid w:val="00DC2933"/>
    <w:rsid w:val="00DC2989"/>
    <w:rsid w:val="00DC2999"/>
    <w:rsid w:val="00DC29BA"/>
    <w:rsid w:val="00DC2DE7"/>
    <w:rsid w:val="00DC2E03"/>
    <w:rsid w:val="00DC2EBF"/>
    <w:rsid w:val="00DC2EEE"/>
    <w:rsid w:val="00DC2F0C"/>
    <w:rsid w:val="00DC2F15"/>
    <w:rsid w:val="00DC2F68"/>
    <w:rsid w:val="00DC319B"/>
    <w:rsid w:val="00DC31F8"/>
    <w:rsid w:val="00DC320B"/>
    <w:rsid w:val="00DC3347"/>
    <w:rsid w:val="00DC347F"/>
    <w:rsid w:val="00DC3502"/>
    <w:rsid w:val="00DC3721"/>
    <w:rsid w:val="00DC3741"/>
    <w:rsid w:val="00DC376D"/>
    <w:rsid w:val="00DC384A"/>
    <w:rsid w:val="00DC39C6"/>
    <w:rsid w:val="00DC39DE"/>
    <w:rsid w:val="00DC3A40"/>
    <w:rsid w:val="00DC3A6D"/>
    <w:rsid w:val="00DC3B43"/>
    <w:rsid w:val="00DC3BC2"/>
    <w:rsid w:val="00DC3CFD"/>
    <w:rsid w:val="00DC3D28"/>
    <w:rsid w:val="00DC3D96"/>
    <w:rsid w:val="00DC3D9B"/>
    <w:rsid w:val="00DC3E0B"/>
    <w:rsid w:val="00DC3ECE"/>
    <w:rsid w:val="00DC3F12"/>
    <w:rsid w:val="00DC4008"/>
    <w:rsid w:val="00DC4041"/>
    <w:rsid w:val="00DC4125"/>
    <w:rsid w:val="00DC4168"/>
    <w:rsid w:val="00DC423A"/>
    <w:rsid w:val="00DC425B"/>
    <w:rsid w:val="00DC425E"/>
    <w:rsid w:val="00DC4329"/>
    <w:rsid w:val="00DC432E"/>
    <w:rsid w:val="00DC4382"/>
    <w:rsid w:val="00DC43E2"/>
    <w:rsid w:val="00DC440D"/>
    <w:rsid w:val="00DC4495"/>
    <w:rsid w:val="00DC44B1"/>
    <w:rsid w:val="00DC44F2"/>
    <w:rsid w:val="00DC450D"/>
    <w:rsid w:val="00DC45C6"/>
    <w:rsid w:val="00DC45E1"/>
    <w:rsid w:val="00DC4619"/>
    <w:rsid w:val="00DC46C0"/>
    <w:rsid w:val="00DC478A"/>
    <w:rsid w:val="00DC47D4"/>
    <w:rsid w:val="00DC485D"/>
    <w:rsid w:val="00DC486F"/>
    <w:rsid w:val="00DC48C2"/>
    <w:rsid w:val="00DC493D"/>
    <w:rsid w:val="00DC494A"/>
    <w:rsid w:val="00DC499A"/>
    <w:rsid w:val="00DC499D"/>
    <w:rsid w:val="00DC49C3"/>
    <w:rsid w:val="00DC4A5D"/>
    <w:rsid w:val="00DC4A98"/>
    <w:rsid w:val="00DC4BAD"/>
    <w:rsid w:val="00DC4CC1"/>
    <w:rsid w:val="00DC4E99"/>
    <w:rsid w:val="00DC4F41"/>
    <w:rsid w:val="00DC4F7B"/>
    <w:rsid w:val="00DC5170"/>
    <w:rsid w:val="00DC51C4"/>
    <w:rsid w:val="00DC51E7"/>
    <w:rsid w:val="00DC520F"/>
    <w:rsid w:val="00DC522D"/>
    <w:rsid w:val="00DC52B3"/>
    <w:rsid w:val="00DC530B"/>
    <w:rsid w:val="00DC54A9"/>
    <w:rsid w:val="00DC552A"/>
    <w:rsid w:val="00DC5635"/>
    <w:rsid w:val="00DC56B4"/>
    <w:rsid w:val="00DC5711"/>
    <w:rsid w:val="00DC573A"/>
    <w:rsid w:val="00DC5789"/>
    <w:rsid w:val="00DC57E8"/>
    <w:rsid w:val="00DC57F0"/>
    <w:rsid w:val="00DC584F"/>
    <w:rsid w:val="00DC59EA"/>
    <w:rsid w:val="00DC5B8A"/>
    <w:rsid w:val="00DC5C80"/>
    <w:rsid w:val="00DC5CEB"/>
    <w:rsid w:val="00DC5D02"/>
    <w:rsid w:val="00DC5D7D"/>
    <w:rsid w:val="00DC5E14"/>
    <w:rsid w:val="00DC5E30"/>
    <w:rsid w:val="00DC5E70"/>
    <w:rsid w:val="00DC5F9E"/>
    <w:rsid w:val="00DC5FC6"/>
    <w:rsid w:val="00DC5FCC"/>
    <w:rsid w:val="00DC5FF8"/>
    <w:rsid w:val="00DC60E6"/>
    <w:rsid w:val="00DC6182"/>
    <w:rsid w:val="00DC6224"/>
    <w:rsid w:val="00DC625E"/>
    <w:rsid w:val="00DC62D7"/>
    <w:rsid w:val="00DC63AA"/>
    <w:rsid w:val="00DC6405"/>
    <w:rsid w:val="00DC6423"/>
    <w:rsid w:val="00DC6449"/>
    <w:rsid w:val="00DC65C2"/>
    <w:rsid w:val="00DC6710"/>
    <w:rsid w:val="00DC679B"/>
    <w:rsid w:val="00DC67B0"/>
    <w:rsid w:val="00DC6816"/>
    <w:rsid w:val="00DC6899"/>
    <w:rsid w:val="00DC6938"/>
    <w:rsid w:val="00DC6B86"/>
    <w:rsid w:val="00DC6BE2"/>
    <w:rsid w:val="00DC6BF9"/>
    <w:rsid w:val="00DC6D25"/>
    <w:rsid w:val="00DC6DF4"/>
    <w:rsid w:val="00DC6E05"/>
    <w:rsid w:val="00DC6EF6"/>
    <w:rsid w:val="00DC7194"/>
    <w:rsid w:val="00DC7212"/>
    <w:rsid w:val="00DC7224"/>
    <w:rsid w:val="00DC7230"/>
    <w:rsid w:val="00DC7243"/>
    <w:rsid w:val="00DC727B"/>
    <w:rsid w:val="00DC729A"/>
    <w:rsid w:val="00DC73E2"/>
    <w:rsid w:val="00DC74B7"/>
    <w:rsid w:val="00DC7557"/>
    <w:rsid w:val="00DC757C"/>
    <w:rsid w:val="00DC761F"/>
    <w:rsid w:val="00DC767E"/>
    <w:rsid w:val="00DC7686"/>
    <w:rsid w:val="00DC7722"/>
    <w:rsid w:val="00DC7738"/>
    <w:rsid w:val="00DC7881"/>
    <w:rsid w:val="00DC788A"/>
    <w:rsid w:val="00DC78E2"/>
    <w:rsid w:val="00DC78FF"/>
    <w:rsid w:val="00DC791C"/>
    <w:rsid w:val="00DC793F"/>
    <w:rsid w:val="00DC7951"/>
    <w:rsid w:val="00DC798C"/>
    <w:rsid w:val="00DC7A96"/>
    <w:rsid w:val="00DC7E15"/>
    <w:rsid w:val="00DC7E4F"/>
    <w:rsid w:val="00DC7E6C"/>
    <w:rsid w:val="00DD0026"/>
    <w:rsid w:val="00DD0055"/>
    <w:rsid w:val="00DD00D3"/>
    <w:rsid w:val="00DD0104"/>
    <w:rsid w:val="00DD01DE"/>
    <w:rsid w:val="00DD0251"/>
    <w:rsid w:val="00DD02C4"/>
    <w:rsid w:val="00DD02E3"/>
    <w:rsid w:val="00DD0444"/>
    <w:rsid w:val="00DD04F4"/>
    <w:rsid w:val="00DD04FD"/>
    <w:rsid w:val="00DD05D5"/>
    <w:rsid w:val="00DD065B"/>
    <w:rsid w:val="00DD06B1"/>
    <w:rsid w:val="00DD06FA"/>
    <w:rsid w:val="00DD0919"/>
    <w:rsid w:val="00DD0934"/>
    <w:rsid w:val="00DD09C9"/>
    <w:rsid w:val="00DD0A7D"/>
    <w:rsid w:val="00DD0B24"/>
    <w:rsid w:val="00DD0BF0"/>
    <w:rsid w:val="00DD0C96"/>
    <w:rsid w:val="00DD0C99"/>
    <w:rsid w:val="00DD0D9D"/>
    <w:rsid w:val="00DD0E74"/>
    <w:rsid w:val="00DD0E8B"/>
    <w:rsid w:val="00DD0ECE"/>
    <w:rsid w:val="00DD0F6D"/>
    <w:rsid w:val="00DD0F7F"/>
    <w:rsid w:val="00DD1043"/>
    <w:rsid w:val="00DD108A"/>
    <w:rsid w:val="00DD1090"/>
    <w:rsid w:val="00DD11B2"/>
    <w:rsid w:val="00DD11F5"/>
    <w:rsid w:val="00DD1374"/>
    <w:rsid w:val="00DD14EB"/>
    <w:rsid w:val="00DD1580"/>
    <w:rsid w:val="00DD1624"/>
    <w:rsid w:val="00DD16B8"/>
    <w:rsid w:val="00DD176A"/>
    <w:rsid w:val="00DD17DF"/>
    <w:rsid w:val="00DD1905"/>
    <w:rsid w:val="00DD190D"/>
    <w:rsid w:val="00DD197E"/>
    <w:rsid w:val="00DD1A00"/>
    <w:rsid w:val="00DD1A42"/>
    <w:rsid w:val="00DD1A58"/>
    <w:rsid w:val="00DD1B3D"/>
    <w:rsid w:val="00DD1B93"/>
    <w:rsid w:val="00DD1CE2"/>
    <w:rsid w:val="00DD1D2E"/>
    <w:rsid w:val="00DD1D88"/>
    <w:rsid w:val="00DD1DE2"/>
    <w:rsid w:val="00DD1E2B"/>
    <w:rsid w:val="00DD1F3F"/>
    <w:rsid w:val="00DD1FFD"/>
    <w:rsid w:val="00DD2059"/>
    <w:rsid w:val="00DD20A6"/>
    <w:rsid w:val="00DD210F"/>
    <w:rsid w:val="00DD2185"/>
    <w:rsid w:val="00DD21D5"/>
    <w:rsid w:val="00DD2291"/>
    <w:rsid w:val="00DD2293"/>
    <w:rsid w:val="00DD2393"/>
    <w:rsid w:val="00DD23CF"/>
    <w:rsid w:val="00DD23FE"/>
    <w:rsid w:val="00DD240D"/>
    <w:rsid w:val="00DD2537"/>
    <w:rsid w:val="00DD25D2"/>
    <w:rsid w:val="00DD2666"/>
    <w:rsid w:val="00DD26A9"/>
    <w:rsid w:val="00DD273C"/>
    <w:rsid w:val="00DD2740"/>
    <w:rsid w:val="00DD27A6"/>
    <w:rsid w:val="00DD2810"/>
    <w:rsid w:val="00DD2AC6"/>
    <w:rsid w:val="00DD2B6A"/>
    <w:rsid w:val="00DD2CC6"/>
    <w:rsid w:val="00DD2DBA"/>
    <w:rsid w:val="00DD2DC6"/>
    <w:rsid w:val="00DD2DF7"/>
    <w:rsid w:val="00DD2E76"/>
    <w:rsid w:val="00DD2E79"/>
    <w:rsid w:val="00DD2F9C"/>
    <w:rsid w:val="00DD2FAA"/>
    <w:rsid w:val="00DD2FB7"/>
    <w:rsid w:val="00DD3072"/>
    <w:rsid w:val="00DD31D7"/>
    <w:rsid w:val="00DD325E"/>
    <w:rsid w:val="00DD32AF"/>
    <w:rsid w:val="00DD32E5"/>
    <w:rsid w:val="00DD356B"/>
    <w:rsid w:val="00DD36EB"/>
    <w:rsid w:val="00DD370E"/>
    <w:rsid w:val="00DD3902"/>
    <w:rsid w:val="00DD3918"/>
    <w:rsid w:val="00DD398E"/>
    <w:rsid w:val="00DD3998"/>
    <w:rsid w:val="00DD3A2B"/>
    <w:rsid w:val="00DD3A9E"/>
    <w:rsid w:val="00DD3AAB"/>
    <w:rsid w:val="00DD3B74"/>
    <w:rsid w:val="00DD3B85"/>
    <w:rsid w:val="00DD3C3E"/>
    <w:rsid w:val="00DD3C55"/>
    <w:rsid w:val="00DD3D04"/>
    <w:rsid w:val="00DD3E46"/>
    <w:rsid w:val="00DD3E48"/>
    <w:rsid w:val="00DD40C4"/>
    <w:rsid w:val="00DD4143"/>
    <w:rsid w:val="00DD42C2"/>
    <w:rsid w:val="00DD4327"/>
    <w:rsid w:val="00DD4395"/>
    <w:rsid w:val="00DD445B"/>
    <w:rsid w:val="00DD44D1"/>
    <w:rsid w:val="00DD452C"/>
    <w:rsid w:val="00DD4546"/>
    <w:rsid w:val="00DD45F5"/>
    <w:rsid w:val="00DD4617"/>
    <w:rsid w:val="00DD4637"/>
    <w:rsid w:val="00DD464E"/>
    <w:rsid w:val="00DD4678"/>
    <w:rsid w:val="00DD46E1"/>
    <w:rsid w:val="00DD47E6"/>
    <w:rsid w:val="00DD4880"/>
    <w:rsid w:val="00DD49BA"/>
    <w:rsid w:val="00DD4A29"/>
    <w:rsid w:val="00DD4BD9"/>
    <w:rsid w:val="00DD4CE1"/>
    <w:rsid w:val="00DD4F73"/>
    <w:rsid w:val="00DD5090"/>
    <w:rsid w:val="00DD5206"/>
    <w:rsid w:val="00DD5233"/>
    <w:rsid w:val="00DD5377"/>
    <w:rsid w:val="00DD5399"/>
    <w:rsid w:val="00DD5435"/>
    <w:rsid w:val="00DD54D0"/>
    <w:rsid w:val="00DD558B"/>
    <w:rsid w:val="00DD5680"/>
    <w:rsid w:val="00DD570D"/>
    <w:rsid w:val="00DD5741"/>
    <w:rsid w:val="00DD574A"/>
    <w:rsid w:val="00DD579C"/>
    <w:rsid w:val="00DD580C"/>
    <w:rsid w:val="00DD589C"/>
    <w:rsid w:val="00DD5980"/>
    <w:rsid w:val="00DD5B2D"/>
    <w:rsid w:val="00DD5B40"/>
    <w:rsid w:val="00DD5B71"/>
    <w:rsid w:val="00DD5B8C"/>
    <w:rsid w:val="00DD5BDE"/>
    <w:rsid w:val="00DD5C93"/>
    <w:rsid w:val="00DD5CD8"/>
    <w:rsid w:val="00DD5CD9"/>
    <w:rsid w:val="00DD5D0F"/>
    <w:rsid w:val="00DD5EA8"/>
    <w:rsid w:val="00DD5EB8"/>
    <w:rsid w:val="00DD5EE8"/>
    <w:rsid w:val="00DD602C"/>
    <w:rsid w:val="00DD61A6"/>
    <w:rsid w:val="00DD625E"/>
    <w:rsid w:val="00DD6360"/>
    <w:rsid w:val="00DD6386"/>
    <w:rsid w:val="00DD645A"/>
    <w:rsid w:val="00DD64A7"/>
    <w:rsid w:val="00DD6557"/>
    <w:rsid w:val="00DD65E4"/>
    <w:rsid w:val="00DD660D"/>
    <w:rsid w:val="00DD6674"/>
    <w:rsid w:val="00DD67A0"/>
    <w:rsid w:val="00DD68FD"/>
    <w:rsid w:val="00DD6961"/>
    <w:rsid w:val="00DD6A1A"/>
    <w:rsid w:val="00DD6A52"/>
    <w:rsid w:val="00DD6A9F"/>
    <w:rsid w:val="00DD6B41"/>
    <w:rsid w:val="00DD6BB7"/>
    <w:rsid w:val="00DD6C34"/>
    <w:rsid w:val="00DD6C6D"/>
    <w:rsid w:val="00DD6C8D"/>
    <w:rsid w:val="00DD6CA8"/>
    <w:rsid w:val="00DD6DCF"/>
    <w:rsid w:val="00DD708B"/>
    <w:rsid w:val="00DD70E1"/>
    <w:rsid w:val="00DD70EE"/>
    <w:rsid w:val="00DD7124"/>
    <w:rsid w:val="00DD719A"/>
    <w:rsid w:val="00DD71E7"/>
    <w:rsid w:val="00DD7288"/>
    <w:rsid w:val="00DD72D3"/>
    <w:rsid w:val="00DD73A6"/>
    <w:rsid w:val="00DD7667"/>
    <w:rsid w:val="00DD766E"/>
    <w:rsid w:val="00DD77B7"/>
    <w:rsid w:val="00DD7B5F"/>
    <w:rsid w:val="00DD7BDE"/>
    <w:rsid w:val="00DD7C00"/>
    <w:rsid w:val="00DD7CA9"/>
    <w:rsid w:val="00DD7CD3"/>
    <w:rsid w:val="00DD7DA1"/>
    <w:rsid w:val="00DD7DCA"/>
    <w:rsid w:val="00DD7E0E"/>
    <w:rsid w:val="00DD7E46"/>
    <w:rsid w:val="00DE009F"/>
    <w:rsid w:val="00DE01B2"/>
    <w:rsid w:val="00DE0253"/>
    <w:rsid w:val="00DE0282"/>
    <w:rsid w:val="00DE02D4"/>
    <w:rsid w:val="00DE0357"/>
    <w:rsid w:val="00DE045B"/>
    <w:rsid w:val="00DE049C"/>
    <w:rsid w:val="00DE055E"/>
    <w:rsid w:val="00DE05C7"/>
    <w:rsid w:val="00DE07D5"/>
    <w:rsid w:val="00DE0802"/>
    <w:rsid w:val="00DE085F"/>
    <w:rsid w:val="00DE0879"/>
    <w:rsid w:val="00DE08B5"/>
    <w:rsid w:val="00DE090D"/>
    <w:rsid w:val="00DE0957"/>
    <w:rsid w:val="00DE09E5"/>
    <w:rsid w:val="00DE09ED"/>
    <w:rsid w:val="00DE0AA9"/>
    <w:rsid w:val="00DE0AD9"/>
    <w:rsid w:val="00DE0C73"/>
    <w:rsid w:val="00DE0C8E"/>
    <w:rsid w:val="00DE0D58"/>
    <w:rsid w:val="00DE0D68"/>
    <w:rsid w:val="00DE0DE5"/>
    <w:rsid w:val="00DE0E26"/>
    <w:rsid w:val="00DE0EE6"/>
    <w:rsid w:val="00DE0F0E"/>
    <w:rsid w:val="00DE0F29"/>
    <w:rsid w:val="00DE0FBB"/>
    <w:rsid w:val="00DE11B3"/>
    <w:rsid w:val="00DE128F"/>
    <w:rsid w:val="00DE1375"/>
    <w:rsid w:val="00DE15A6"/>
    <w:rsid w:val="00DE18E1"/>
    <w:rsid w:val="00DE195F"/>
    <w:rsid w:val="00DE19CE"/>
    <w:rsid w:val="00DE19DC"/>
    <w:rsid w:val="00DE1ADB"/>
    <w:rsid w:val="00DE1AE0"/>
    <w:rsid w:val="00DE1C07"/>
    <w:rsid w:val="00DE1D1B"/>
    <w:rsid w:val="00DE1DA6"/>
    <w:rsid w:val="00DE1DCF"/>
    <w:rsid w:val="00DE1F65"/>
    <w:rsid w:val="00DE1FAB"/>
    <w:rsid w:val="00DE2094"/>
    <w:rsid w:val="00DE2105"/>
    <w:rsid w:val="00DE217D"/>
    <w:rsid w:val="00DE2270"/>
    <w:rsid w:val="00DE22D6"/>
    <w:rsid w:val="00DE22F5"/>
    <w:rsid w:val="00DE231B"/>
    <w:rsid w:val="00DE2326"/>
    <w:rsid w:val="00DE239D"/>
    <w:rsid w:val="00DE2460"/>
    <w:rsid w:val="00DE2552"/>
    <w:rsid w:val="00DE2560"/>
    <w:rsid w:val="00DE259F"/>
    <w:rsid w:val="00DE2796"/>
    <w:rsid w:val="00DE2811"/>
    <w:rsid w:val="00DE29AA"/>
    <w:rsid w:val="00DE29B1"/>
    <w:rsid w:val="00DE29C8"/>
    <w:rsid w:val="00DE2B21"/>
    <w:rsid w:val="00DE2BC5"/>
    <w:rsid w:val="00DE2C9A"/>
    <w:rsid w:val="00DE2F95"/>
    <w:rsid w:val="00DE2FD3"/>
    <w:rsid w:val="00DE2FE6"/>
    <w:rsid w:val="00DE301A"/>
    <w:rsid w:val="00DE30CE"/>
    <w:rsid w:val="00DE313D"/>
    <w:rsid w:val="00DE31A2"/>
    <w:rsid w:val="00DE31B4"/>
    <w:rsid w:val="00DE329D"/>
    <w:rsid w:val="00DE33A1"/>
    <w:rsid w:val="00DE345E"/>
    <w:rsid w:val="00DE3562"/>
    <w:rsid w:val="00DE35D7"/>
    <w:rsid w:val="00DE362C"/>
    <w:rsid w:val="00DE3646"/>
    <w:rsid w:val="00DE365C"/>
    <w:rsid w:val="00DE37DA"/>
    <w:rsid w:val="00DE3864"/>
    <w:rsid w:val="00DE388E"/>
    <w:rsid w:val="00DE38F2"/>
    <w:rsid w:val="00DE3908"/>
    <w:rsid w:val="00DE3A0F"/>
    <w:rsid w:val="00DE3B3B"/>
    <w:rsid w:val="00DE3C57"/>
    <w:rsid w:val="00DE3CC0"/>
    <w:rsid w:val="00DE3D45"/>
    <w:rsid w:val="00DE3FC1"/>
    <w:rsid w:val="00DE4017"/>
    <w:rsid w:val="00DE40C6"/>
    <w:rsid w:val="00DE4107"/>
    <w:rsid w:val="00DE41A7"/>
    <w:rsid w:val="00DE41B2"/>
    <w:rsid w:val="00DE41FB"/>
    <w:rsid w:val="00DE42C8"/>
    <w:rsid w:val="00DE42F8"/>
    <w:rsid w:val="00DE43FF"/>
    <w:rsid w:val="00DE460C"/>
    <w:rsid w:val="00DE4661"/>
    <w:rsid w:val="00DE474A"/>
    <w:rsid w:val="00DE47D1"/>
    <w:rsid w:val="00DE4977"/>
    <w:rsid w:val="00DE49C4"/>
    <w:rsid w:val="00DE4A8D"/>
    <w:rsid w:val="00DE4AB2"/>
    <w:rsid w:val="00DE4AD5"/>
    <w:rsid w:val="00DE4B8C"/>
    <w:rsid w:val="00DE4BD3"/>
    <w:rsid w:val="00DE4C41"/>
    <w:rsid w:val="00DE4C43"/>
    <w:rsid w:val="00DE4C9B"/>
    <w:rsid w:val="00DE4CB0"/>
    <w:rsid w:val="00DE4D0C"/>
    <w:rsid w:val="00DE4D32"/>
    <w:rsid w:val="00DE4D3E"/>
    <w:rsid w:val="00DE4DC4"/>
    <w:rsid w:val="00DE4E08"/>
    <w:rsid w:val="00DE4EA5"/>
    <w:rsid w:val="00DE4EEF"/>
    <w:rsid w:val="00DE4FAD"/>
    <w:rsid w:val="00DE51DF"/>
    <w:rsid w:val="00DE51FE"/>
    <w:rsid w:val="00DE530D"/>
    <w:rsid w:val="00DE5313"/>
    <w:rsid w:val="00DE5321"/>
    <w:rsid w:val="00DE5326"/>
    <w:rsid w:val="00DE53D5"/>
    <w:rsid w:val="00DE548F"/>
    <w:rsid w:val="00DE54A5"/>
    <w:rsid w:val="00DE54E6"/>
    <w:rsid w:val="00DE56C5"/>
    <w:rsid w:val="00DE57DC"/>
    <w:rsid w:val="00DE5802"/>
    <w:rsid w:val="00DE59D5"/>
    <w:rsid w:val="00DE59FB"/>
    <w:rsid w:val="00DE5B0C"/>
    <w:rsid w:val="00DE5BDB"/>
    <w:rsid w:val="00DE5C1B"/>
    <w:rsid w:val="00DE5D39"/>
    <w:rsid w:val="00DE5E84"/>
    <w:rsid w:val="00DE5EE3"/>
    <w:rsid w:val="00DE5F08"/>
    <w:rsid w:val="00DE6087"/>
    <w:rsid w:val="00DE60E8"/>
    <w:rsid w:val="00DE6440"/>
    <w:rsid w:val="00DE6442"/>
    <w:rsid w:val="00DE64B9"/>
    <w:rsid w:val="00DE651A"/>
    <w:rsid w:val="00DE65CB"/>
    <w:rsid w:val="00DE665A"/>
    <w:rsid w:val="00DE66AD"/>
    <w:rsid w:val="00DE6722"/>
    <w:rsid w:val="00DE679B"/>
    <w:rsid w:val="00DE6A38"/>
    <w:rsid w:val="00DE6C46"/>
    <w:rsid w:val="00DE6D0A"/>
    <w:rsid w:val="00DE6D89"/>
    <w:rsid w:val="00DE6E22"/>
    <w:rsid w:val="00DE6F50"/>
    <w:rsid w:val="00DE6FDA"/>
    <w:rsid w:val="00DE7021"/>
    <w:rsid w:val="00DE7055"/>
    <w:rsid w:val="00DE70DE"/>
    <w:rsid w:val="00DE70FB"/>
    <w:rsid w:val="00DE711E"/>
    <w:rsid w:val="00DE714F"/>
    <w:rsid w:val="00DE7150"/>
    <w:rsid w:val="00DE7197"/>
    <w:rsid w:val="00DE7239"/>
    <w:rsid w:val="00DE723B"/>
    <w:rsid w:val="00DE724E"/>
    <w:rsid w:val="00DE726E"/>
    <w:rsid w:val="00DE72A1"/>
    <w:rsid w:val="00DE7371"/>
    <w:rsid w:val="00DE73D7"/>
    <w:rsid w:val="00DE7450"/>
    <w:rsid w:val="00DE76D5"/>
    <w:rsid w:val="00DE779C"/>
    <w:rsid w:val="00DE7975"/>
    <w:rsid w:val="00DE7A2E"/>
    <w:rsid w:val="00DE7A6E"/>
    <w:rsid w:val="00DE7A9B"/>
    <w:rsid w:val="00DE7BE4"/>
    <w:rsid w:val="00DE7C39"/>
    <w:rsid w:val="00DE7C4B"/>
    <w:rsid w:val="00DE7CE9"/>
    <w:rsid w:val="00DE7D91"/>
    <w:rsid w:val="00DE7DA0"/>
    <w:rsid w:val="00DE7E38"/>
    <w:rsid w:val="00DF00E2"/>
    <w:rsid w:val="00DF0132"/>
    <w:rsid w:val="00DF03C9"/>
    <w:rsid w:val="00DF03CC"/>
    <w:rsid w:val="00DF0401"/>
    <w:rsid w:val="00DF0670"/>
    <w:rsid w:val="00DF06BF"/>
    <w:rsid w:val="00DF07AA"/>
    <w:rsid w:val="00DF080D"/>
    <w:rsid w:val="00DF0848"/>
    <w:rsid w:val="00DF0871"/>
    <w:rsid w:val="00DF08A8"/>
    <w:rsid w:val="00DF092C"/>
    <w:rsid w:val="00DF09DD"/>
    <w:rsid w:val="00DF0A84"/>
    <w:rsid w:val="00DF0B3A"/>
    <w:rsid w:val="00DF0B9C"/>
    <w:rsid w:val="00DF0BF4"/>
    <w:rsid w:val="00DF0C14"/>
    <w:rsid w:val="00DF0E0B"/>
    <w:rsid w:val="00DF0E14"/>
    <w:rsid w:val="00DF0E63"/>
    <w:rsid w:val="00DF0FDD"/>
    <w:rsid w:val="00DF1163"/>
    <w:rsid w:val="00DF11C6"/>
    <w:rsid w:val="00DF12DB"/>
    <w:rsid w:val="00DF1327"/>
    <w:rsid w:val="00DF136F"/>
    <w:rsid w:val="00DF14E8"/>
    <w:rsid w:val="00DF1575"/>
    <w:rsid w:val="00DF15B8"/>
    <w:rsid w:val="00DF1602"/>
    <w:rsid w:val="00DF161F"/>
    <w:rsid w:val="00DF1662"/>
    <w:rsid w:val="00DF1671"/>
    <w:rsid w:val="00DF1678"/>
    <w:rsid w:val="00DF16B9"/>
    <w:rsid w:val="00DF16FF"/>
    <w:rsid w:val="00DF172B"/>
    <w:rsid w:val="00DF176C"/>
    <w:rsid w:val="00DF17A2"/>
    <w:rsid w:val="00DF1807"/>
    <w:rsid w:val="00DF1854"/>
    <w:rsid w:val="00DF1882"/>
    <w:rsid w:val="00DF18F3"/>
    <w:rsid w:val="00DF1AC6"/>
    <w:rsid w:val="00DF1BDF"/>
    <w:rsid w:val="00DF1CA0"/>
    <w:rsid w:val="00DF1DD2"/>
    <w:rsid w:val="00DF1ECC"/>
    <w:rsid w:val="00DF1EEF"/>
    <w:rsid w:val="00DF200E"/>
    <w:rsid w:val="00DF2030"/>
    <w:rsid w:val="00DF20D0"/>
    <w:rsid w:val="00DF217A"/>
    <w:rsid w:val="00DF21CB"/>
    <w:rsid w:val="00DF227B"/>
    <w:rsid w:val="00DF2310"/>
    <w:rsid w:val="00DF2330"/>
    <w:rsid w:val="00DF2352"/>
    <w:rsid w:val="00DF2415"/>
    <w:rsid w:val="00DF24D1"/>
    <w:rsid w:val="00DF24E5"/>
    <w:rsid w:val="00DF28CF"/>
    <w:rsid w:val="00DF2981"/>
    <w:rsid w:val="00DF29AC"/>
    <w:rsid w:val="00DF2A75"/>
    <w:rsid w:val="00DF2C6F"/>
    <w:rsid w:val="00DF2CB9"/>
    <w:rsid w:val="00DF2DE2"/>
    <w:rsid w:val="00DF2DFC"/>
    <w:rsid w:val="00DF2E92"/>
    <w:rsid w:val="00DF2F25"/>
    <w:rsid w:val="00DF2FEB"/>
    <w:rsid w:val="00DF3040"/>
    <w:rsid w:val="00DF307A"/>
    <w:rsid w:val="00DF3110"/>
    <w:rsid w:val="00DF32E5"/>
    <w:rsid w:val="00DF32F6"/>
    <w:rsid w:val="00DF33F5"/>
    <w:rsid w:val="00DF3460"/>
    <w:rsid w:val="00DF346E"/>
    <w:rsid w:val="00DF34BA"/>
    <w:rsid w:val="00DF35D9"/>
    <w:rsid w:val="00DF35FD"/>
    <w:rsid w:val="00DF3721"/>
    <w:rsid w:val="00DF372C"/>
    <w:rsid w:val="00DF37E9"/>
    <w:rsid w:val="00DF389A"/>
    <w:rsid w:val="00DF38D8"/>
    <w:rsid w:val="00DF3991"/>
    <w:rsid w:val="00DF3B2E"/>
    <w:rsid w:val="00DF3BAC"/>
    <w:rsid w:val="00DF3CA8"/>
    <w:rsid w:val="00DF3D45"/>
    <w:rsid w:val="00DF3DC8"/>
    <w:rsid w:val="00DF3E80"/>
    <w:rsid w:val="00DF3FF9"/>
    <w:rsid w:val="00DF4030"/>
    <w:rsid w:val="00DF40D8"/>
    <w:rsid w:val="00DF4125"/>
    <w:rsid w:val="00DF4161"/>
    <w:rsid w:val="00DF4189"/>
    <w:rsid w:val="00DF41F6"/>
    <w:rsid w:val="00DF41FD"/>
    <w:rsid w:val="00DF4224"/>
    <w:rsid w:val="00DF4256"/>
    <w:rsid w:val="00DF4270"/>
    <w:rsid w:val="00DF4276"/>
    <w:rsid w:val="00DF4471"/>
    <w:rsid w:val="00DF45EE"/>
    <w:rsid w:val="00DF4679"/>
    <w:rsid w:val="00DF46EB"/>
    <w:rsid w:val="00DF4741"/>
    <w:rsid w:val="00DF4768"/>
    <w:rsid w:val="00DF47DA"/>
    <w:rsid w:val="00DF48AA"/>
    <w:rsid w:val="00DF4939"/>
    <w:rsid w:val="00DF4963"/>
    <w:rsid w:val="00DF49CF"/>
    <w:rsid w:val="00DF4AB1"/>
    <w:rsid w:val="00DF4B0B"/>
    <w:rsid w:val="00DF4B1C"/>
    <w:rsid w:val="00DF4BDC"/>
    <w:rsid w:val="00DF4BF1"/>
    <w:rsid w:val="00DF4C21"/>
    <w:rsid w:val="00DF4C3C"/>
    <w:rsid w:val="00DF4C92"/>
    <w:rsid w:val="00DF4CF9"/>
    <w:rsid w:val="00DF4D49"/>
    <w:rsid w:val="00DF4DD7"/>
    <w:rsid w:val="00DF4ED9"/>
    <w:rsid w:val="00DF50DB"/>
    <w:rsid w:val="00DF5104"/>
    <w:rsid w:val="00DF528D"/>
    <w:rsid w:val="00DF52E5"/>
    <w:rsid w:val="00DF537D"/>
    <w:rsid w:val="00DF53AA"/>
    <w:rsid w:val="00DF53C7"/>
    <w:rsid w:val="00DF542F"/>
    <w:rsid w:val="00DF54B5"/>
    <w:rsid w:val="00DF5621"/>
    <w:rsid w:val="00DF5677"/>
    <w:rsid w:val="00DF570B"/>
    <w:rsid w:val="00DF573C"/>
    <w:rsid w:val="00DF5744"/>
    <w:rsid w:val="00DF57A9"/>
    <w:rsid w:val="00DF57AD"/>
    <w:rsid w:val="00DF5812"/>
    <w:rsid w:val="00DF58A2"/>
    <w:rsid w:val="00DF5A2B"/>
    <w:rsid w:val="00DF5A4E"/>
    <w:rsid w:val="00DF5A7A"/>
    <w:rsid w:val="00DF5B8A"/>
    <w:rsid w:val="00DF5BAC"/>
    <w:rsid w:val="00DF5BEE"/>
    <w:rsid w:val="00DF5C32"/>
    <w:rsid w:val="00DF5D82"/>
    <w:rsid w:val="00DF5D83"/>
    <w:rsid w:val="00DF5DF6"/>
    <w:rsid w:val="00DF5E1C"/>
    <w:rsid w:val="00DF5F69"/>
    <w:rsid w:val="00DF6056"/>
    <w:rsid w:val="00DF6073"/>
    <w:rsid w:val="00DF60FD"/>
    <w:rsid w:val="00DF6187"/>
    <w:rsid w:val="00DF618F"/>
    <w:rsid w:val="00DF6221"/>
    <w:rsid w:val="00DF62D0"/>
    <w:rsid w:val="00DF637A"/>
    <w:rsid w:val="00DF64D0"/>
    <w:rsid w:val="00DF6522"/>
    <w:rsid w:val="00DF654F"/>
    <w:rsid w:val="00DF6557"/>
    <w:rsid w:val="00DF6571"/>
    <w:rsid w:val="00DF6688"/>
    <w:rsid w:val="00DF6700"/>
    <w:rsid w:val="00DF6764"/>
    <w:rsid w:val="00DF6891"/>
    <w:rsid w:val="00DF68EC"/>
    <w:rsid w:val="00DF6A43"/>
    <w:rsid w:val="00DF6A6D"/>
    <w:rsid w:val="00DF6A94"/>
    <w:rsid w:val="00DF6B3D"/>
    <w:rsid w:val="00DF6B79"/>
    <w:rsid w:val="00DF6B96"/>
    <w:rsid w:val="00DF6BC4"/>
    <w:rsid w:val="00DF6E69"/>
    <w:rsid w:val="00DF6F51"/>
    <w:rsid w:val="00DF6FBE"/>
    <w:rsid w:val="00DF6FC6"/>
    <w:rsid w:val="00DF7010"/>
    <w:rsid w:val="00DF704A"/>
    <w:rsid w:val="00DF7254"/>
    <w:rsid w:val="00DF7280"/>
    <w:rsid w:val="00DF732B"/>
    <w:rsid w:val="00DF73DF"/>
    <w:rsid w:val="00DF73F9"/>
    <w:rsid w:val="00DF73FD"/>
    <w:rsid w:val="00DF7462"/>
    <w:rsid w:val="00DF74DB"/>
    <w:rsid w:val="00DF7511"/>
    <w:rsid w:val="00DF75DA"/>
    <w:rsid w:val="00DF75DC"/>
    <w:rsid w:val="00DF76EF"/>
    <w:rsid w:val="00DF772C"/>
    <w:rsid w:val="00DF77E1"/>
    <w:rsid w:val="00DF7868"/>
    <w:rsid w:val="00DF78AE"/>
    <w:rsid w:val="00DF7908"/>
    <w:rsid w:val="00DF7929"/>
    <w:rsid w:val="00DF798B"/>
    <w:rsid w:val="00DF79B5"/>
    <w:rsid w:val="00DF79EF"/>
    <w:rsid w:val="00DF7A11"/>
    <w:rsid w:val="00DF7A36"/>
    <w:rsid w:val="00DF7A87"/>
    <w:rsid w:val="00DF7B12"/>
    <w:rsid w:val="00DF7C0D"/>
    <w:rsid w:val="00DF7C83"/>
    <w:rsid w:val="00DF7DAF"/>
    <w:rsid w:val="00DF7EC2"/>
    <w:rsid w:val="00DF7F7C"/>
    <w:rsid w:val="00E0004E"/>
    <w:rsid w:val="00E00061"/>
    <w:rsid w:val="00E000C9"/>
    <w:rsid w:val="00E00101"/>
    <w:rsid w:val="00E00111"/>
    <w:rsid w:val="00E002A3"/>
    <w:rsid w:val="00E00350"/>
    <w:rsid w:val="00E00383"/>
    <w:rsid w:val="00E003E3"/>
    <w:rsid w:val="00E0042B"/>
    <w:rsid w:val="00E00466"/>
    <w:rsid w:val="00E00482"/>
    <w:rsid w:val="00E0063E"/>
    <w:rsid w:val="00E0065B"/>
    <w:rsid w:val="00E0078D"/>
    <w:rsid w:val="00E00852"/>
    <w:rsid w:val="00E008D6"/>
    <w:rsid w:val="00E00940"/>
    <w:rsid w:val="00E00A4D"/>
    <w:rsid w:val="00E00C11"/>
    <w:rsid w:val="00E00C6B"/>
    <w:rsid w:val="00E00D1C"/>
    <w:rsid w:val="00E00D69"/>
    <w:rsid w:val="00E00D8C"/>
    <w:rsid w:val="00E00E03"/>
    <w:rsid w:val="00E00ED6"/>
    <w:rsid w:val="00E00EDC"/>
    <w:rsid w:val="00E01016"/>
    <w:rsid w:val="00E01020"/>
    <w:rsid w:val="00E01059"/>
    <w:rsid w:val="00E0107D"/>
    <w:rsid w:val="00E01163"/>
    <w:rsid w:val="00E011DB"/>
    <w:rsid w:val="00E012E2"/>
    <w:rsid w:val="00E0135A"/>
    <w:rsid w:val="00E0139E"/>
    <w:rsid w:val="00E01450"/>
    <w:rsid w:val="00E0148D"/>
    <w:rsid w:val="00E0152E"/>
    <w:rsid w:val="00E015D5"/>
    <w:rsid w:val="00E0179F"/>
    <w:rsid w:val="00E0180E"/>
    <w:rsid w:val="00E0183B"/>
    <w:rsid w:val="00E01850"/>
    <w:rsid w:val="00E0186D"/>
    <w:rsid w:val="00E01924"/>
    <w:rsid w:val="00E019D6"/>
    <w:rsid w:val="00E019E0"/>
    <w:rsid w:val="00E01C6E"/>
    <w:rsid w:val="00E01CDA"/>
    <w:rsid w:val="00E01E38"/>
    <w:rsid w:val="00E01E81"/>
    <w:rsid w:val="00E01EE7"/>
    <w:rsid w:val="00E01EF3"/>
    <w:rsid w:val="00E01F31"/>
    <w:rsid w:val="00E01F34"/>
    <w:rsid w:val="00E02061"/>
    <w:rsid w:val="00E020DC"/>
    <w:rsid w:val="00E02266"/>
    <w:rsid w:val="00E02286"/>
    <w:rsid w:val="00E022CB"/>
    <w:rsid w:val="00E02364"/>
    <w:rsid w:val="00E02378"/>
    <w:rsid w:val="00E0246D"/>
    <w:rsid w:val="00E024AE"/>
    <w:rsid w:val="00E02637"/>
    <w:rsid w:val="00E0282E"/>
    <w:rsid w:val="00E028A7"/>
    <w:rsid w:val="00E028D3"/>
    <w:rsid w:val="00E02933"/>
    <w:rsid w:val="00E029AA"/>
    <w:rsid w:val="00E029BB"/>
    <w:rsid w:val="00E029F3"/>
    <w:rsid w:val="00E02A1D"/>
    <w:rsid w:val="00E02A3F"/>
    <w:rsid w:val="00E02B5D"/>
    <w:rsid w:val="00E02CE6"/>
    <w:rsid w:val="00E02D73"/>
    <w:rsid w:val="00E02DB6"/>
    <w:rsid w:val="00E02DC7"/>
    <w:rsid w:val="00E02E34"/>
    <w:rsid w:val="00E02ECE"/>
    <w:rsid w:val="00E03056"/>
    <w:rsid w:val="00E030F2"/>
    <w:rsid w:val="00E030F3"/>
    <w:rsid w:val="00E031A3"/>
    <w:rsid w:val="00E031A5"/>
    <w:rsid w:val="00E031E5"/>
    <w:rsid w:val="00E03279"/>
    <w:rsid w:val="00E0329A"/>
    <w:rsid w:val="00E032A3"/>
    <w:rsid w:val="00E032FF"/>
    <w:rsid w:val="00E03314"/>
    <w:rsid w:val="00E03343"/>
    <w:rsid w:val="00E03392"/>
    <w:rsid w:val="00E033B3"/>
    <w:rsid w:val="00E03402"/>
    <w:rsid w:val="00E0340E"/>
    <w:rsid w:val="00E0341F"/>
    <w:rsid w:val="00E03914"/>
    <w:rsid w:val="00E03AE0"/>
    <w:rsid w:val="00E03B6A"/>
    <w:rsid w:val="00E03C75"/>
    <w:rsid w:val="00E03DF2"/>
    <w:rsid w:val="00E03E81"/>
    <w:rsid w:val="00E03EC0"/>
    <w:rsid w:val="00E03F0B"/>
    <w:rsid w:val="00E03FB3"/>
    <w:rsid w:val="00E044C0"/>
    <w:rsid w:val="00E0450C"/>
    <w:rsid w:val="00E045C8"/>
    <w:rsid w:val="00E045D6"/>
    <w:rsid w:val="00E046AC"/>
    <w:rsid w:val="00E047A5"/>
    <w:rsid w:val="00E047E1"/>
    <w:rsid w:val="00E047FA"/>
    <w:rsid w:val="00E0484A"/>
    <w:rsid w:val="00E048A9"/>
    <w:rsid w:val="00E048DD"/>
    <w:rsid w:val="00E048EE"/>
    <w:rsid w:val="00E0499B"/>
    <w:rsid w:val="00E04A65"/>
    <w:rsid w:val="00E04ADC"/>
    <w:rsid w:val="00E04CBC"/>
    <w:rsid w:val="00E04D6A"/>
    <w:rsid w:val="00E04E83"/>
    <w:rsid w:val="00E04EC1"/>
    <w:rsid w:val="00E04ED9"/>
    <w:rsid w:val="00E04EF4"/>
    <w:rsid w:val="00E04FA3"/>
    <w:rsid w:val="00E04FC7"/>
    <w:rsid w:val="00E04FFE"/>
    <w:rsid w:val="00E05010"/>
    <w:rsid w:val="00E051E8"/>
    <w:rsid w:val="00E0525F"/>
    <w:rsid w:val="00E0531B"/>
    <w:rsid w:val="00E0539F"/>
    <w:rsid w:val="00E05483"/>
    <w:rsid w:val="00E0554D"/>
    <w:rsid w:val="00E055FC"/>
    <w:rsid w:val="00E055FD"/>
    <w:rsid w:val="00E05688"/>
    <w:rsid w:val="00E05822"/>
    <w:rsid w:val="00E05B23"/>
    <w:rsid w:val="00E05B39"/>
    <w:rsid w:val="00E05B49"/>
    <w:rsid w:val="00E05B7B"/>
    <w:rsid w:val="00E05BA9"/>
    <w:rsid w:val="00E05C30"/>
    <w:rsid w:val="00E05D22"/>
    <w:rsid w:val="00E05E28"/>
    <w:rsid w:val="00E05E46"/>
    <w:rsid w:val="00E05E7E"/>
    <w:rsid w:val="00E05EF9"/>
    <w:rsid w:val="00E05F28"/>
    <w:rsid w:val="00E05F6D"/>
    <w:rsid w:val="00E060A8"/>
    <w:rsid w:val="00E06121"/>
    <w:rsid w:val="00E0625A"/>
    <w:rsid w:val="00E062FB"/>
    <w:rsid w:val="00E06423"/>
    <w:rsid w:val="00E0656A"/>
    <w:rsid w:val="00E06666"/>
    <w:rsid w:val="00E066B2"/>
    <w:rsid w:val="00E06724"/>
    <w:rsid w:val="00E06789"/>
    <w:rsid w:val="00E06791"/>
    <w:rsid w:val="00E0679F"/>
    <w:rsid w:val="00E06862"/>
    <w:rsid w:val="00E068CB"/>
    <w:rsid w:val="00E06905"/>
    <w:rsid w:val="00E06939"/>
    <w:rsid w:val="00E069D0"/>
    <w:rsid w:val="00E06C74"/>
    <w:rsid w:val="00E06D08"/>
    <w:rsid w:val="00E06D23"/>
    <w:rsid w:val="00E06DE6"/>
    <w:rsid w:val="00E06DE8"/>
    <w:rsid w:val="00E06EA5"/>
    <w:rsid w:val="00E06FC1"/>
    <w:rsid w:val="00E0724E"/>
    <w:rsid w:val="00E07324"/>
    <w:rsid w:val="00E07411"/>
    <w:rsid w:val="00E07420"/>
    <w:rsid w:val="00E074BC"/>
    <w:rsid w:val="00E074DA"/>
    <w:rsid w:val="00E075BB"/>
    <w:rsid w:val="00E07662"/>
    <w:rsid w:val="00E0767B"/>
    <w:rsid w:val="00E076AD"/>
    <w:rsid w:val="00E07877"/>
    <w:rsid w:val="00E078A4"/>
    <w:rsid w:val="00E078AE"/>
    <w:rsid w:val="00E078DA"/>
    <w:rsid w:val="00E078DD"/>
    <w:rsid w:val="00E0798B"/>
    <w:rsid w:val="00E079C4"/>
    <w:rsid w:val="00E07A72"/>
    <w:rsid w:val="00E07AEC"/>
    <w:rsid w:val="00E07C62"/>
    <w:rsid w:val="00E07C68"/>
    <w:rsid w:val="00E07D73"/>
    <w:rsid w:val="00E07DF0"/>
    <w:rsid w:val="00E07E04"/>
    <w:rsid w:val="00E07E05"/>
    <w:rsid w:val="00E07E66"/>
    <w:rsid w:val="00E07E87"/>
    <w:rsid w:val="00E07F35"/>
    <w:rsid w:val="00E07F8B"/>
    <w:rsid w:val="00E07FCD"/>
    <w:rsid w:val="00E10018"/>
    <w:rsid w:val="00E10056"/>
    <w:rsid w:val="00E10087"/>
    <w:rsid w:val="00E10115"/>
    <w:rsid w:val="00E1012F"/>
    <w:rsid w:val="00E101C2"/>
    <w:rsid w:val="00E1020C"/>
    <w:rsid w:val="00E1025D"/>
    <w:rsid w:val="00E10347"/>
    <w:rsid w:val="00E103D4"/>
    <w:rsid w:val="00E105A5"/>
    <w:rsid w:val="00E10608"/>
    <w:rsid w:val="00E10698"/>
    <w:rsid w:val="00E10699"/>
    <w:rsid w:val="00E10929"/>
    <w:rsid w:val="00E1099E"/>
    <w:rsid w:val="00E10A02"/>
    <w:rsid w:val="00E10BAE"/>
    <w:rsid w:val="00E10C11"/>
    <w:rsid w:val="00E10C36"/>
    <w:rsid w:val="00E10C77"/>
    <w:rsid w:val="00E10C89"/>
    <w:rsid w:val="00E10DED"/>
    <w:rsid w:val="00E10F41"/>
    <w:rsid w:val="00E1115E"/>
    <w:rsid w:val="00E1119A"/>
    <w:rsid w:val="00E111A4"/>
    <w:rsid w:val="00E11261"/>
    <w:rsid w:val="00E112B9"/>
    <w:rsid w:val="00E112BE"/>
    <w:rsid w:val="00E1136C"/>
    <w:rsid w:val="00E11457"/>
    <w:rsid w:val="00E11497"/>
    <w:rsid w:val="00E11535"/>
    <w:rsid w:val="00E11573"/>
    <w:rsid w:val="00E11577"/>
    <w:rsid w:val="00E115DB"/>
    <w:rsid w:val="00E11648"/>
    <w:rsid w:val="00E11721"/>
    <w:rsid w:val="00E11B4C"/>
    <w:rsid w:val="00E11C2C"/>
    <w:rsid w:val="00E11C32"/>
    <w:rsid w:val="00E11CFA"/>
    <w:rsid w:val="00E11D06"/>
    <w:rsid w:val="00E11D09"/>
    <w:rsid w:val="00E11D2A"/>
    <w:rsid w:val="00E11D70"/>
    <w:rsid w:val="00E11E56"/>
    <w:rsid w:val="00E11EA3"/>
    <w:rsid w:val="00E11F1D"/>
    <w:rsid w:val="00E1207F"/>
    <w:rsid w:val="00E1225A"/>
    <w:rsid w:val="00E122EB"/>
    <w:rsid w:val="00E12438"/>
    <w:rsid w:val="00E124CA"/>
    <w:rsid w:val="00E1255C"/>
    <w:rsid w:val="00E125D5"/>
    <w:rsid w:val="00E12703"/>
    <w:rsid w:val="00E127FA"/>
    <w:rsid w:val="00E12841"/>
    <w:rsid w:val="00E1294D"/>
    <w:rsid w:val="00E1295B"/>
    <w:rsid w:val="00E12A00"/>
    <w:rsid w:val="00E12A50"/>
    <w:rsid w:val="00E12B48"/>
    <w:rsid w:val="00E12B99"/>
    <w:rsid w:val="00E12C58"/>
    <w:rsid w:val="00E12F42"/>
    <w:rsid w:val="00E13345"/>
    <w:rsid w:val="00E13354"/>
    <w:rsid w:val="00E133C2"/>
    <w:rsid w:val="00E133F7"/>
    <w:rsid w:val="00E134CF"/>
    <w:rsid w:val="00E13508"/>
    <w:rsid w:val="00E13519"/>
    <w:rsid w:val="00E136DA"/>
    <w:rsid w:val="00E13773"/>
    <w:rsid w:val="00E137C9"/>
    <w:rsid w:val="00E137F2"/>
    <w:rsid w:val="00E1388F"/>
    <w:rsid w:val="00E138ED"/>
    <w:rsid w:val="00E1398C"/>
    <w:rsid w:val="00E139F6"/>
    <w:rsid w:val="00E13A36"/>
    <w:rsid w:val="00E13BF2"/>
    <w:rsid w:val="00E13C04"/>
    <w:rsid w:val="00E13C52"/>
    <w:rsid w:val="00E13CC8"/>
    <w:rsid w:val="00E13DEF"/>
    <w:rsid w:val="00E13ED8"/>
    <w:rsid w:val="00E13F12"/>
    <w:rsid w:val="00E13F1D"/>
    <w:rsid w:val="00E13F35"/>
    <w:rsid w:val="00E13FC4"/>
    <w:rsid w:val="00E14008"/>
    <w:rsid w:val="00E140B3"/>
    <w:rsid w:val="00E14188"/>
    <w:rsid w:val="00E14265"/>
    <w:rsid w:val="00E142B9"/>
    <w:rsid w:val="00E142F7"/>
    <w:rsid w:val="00E14377"/>
    <w:rsid w:val="00E144B1"/>
    <w:rsid w:val="00E14542"/>
    <w:rsid w:val="00E146CB"/>
    <w:rsid w:val="00E146F5"/>
    <w:rsid w:val="00E147AA"/>
    <w:rsid w:val="00E14802"/>
    <w:rsid w:val="00E14822"/>
    <w:rsid w:val="00E1488B"/>
    <w:rsid w:val="00E14897"/>
    <w:rsid w:val="00E14916"/>
    <w:rsid w:val="00E149E6"/>
    <w:rsid w:val="00E14AD2"/>
    <w:rsid w:val="00E14BA8"/>
    <w:rsid w:val="00E14E0B"/>
    <w:rsid w:val="00E14E52"/>
    <w:rsid w:val="00E14E5F"/>
    <w:rsid w:val="00E14F00"/>
    <w:rsid w:val="00E14F3A"/>
    <w:rsid w:val="00E14F9F"/>
    <w:rsid w:val="00E1506F"/>
    <w:rsid w:val="00E1509E"/>
    <w:rsid w:val="00E15136"/>
    <w:rsid w:val="00E1516B"/>
    <w:rsid w:val="00E154EB"/>
    <w:rsid w:val="00E15570"/>
    <w:rsid w:val="00E1564F"/>
    <w:rsid w:val="00E156CD"/>
    <w:rsid w:val="00E157C2"/>
    <w:rsid w:val="00E158A9"/>
    <w:rsid w:val="00E158EB"/>
    <w:rsid w:val="00E15942"/>
    <w:rsid w:val="00E1597C"/>
    <w:rsid w:val="00E159BB"/>
    <w:rsid w:val="00E15A13"/>
    <w:rsid w:val="00E15A14"/>
    <w:rsid w:val="00E15A18"/>
    <w:rsid w:val="00E15A91"/>
    <w:rsid w:val="00E15AB9"/>
    <w:rsid w:val="00E15B34"/>
    <w:rsid w:val="00E15B5D"/>
    <w:rsid w:val="00E15BE1"/>
    <w:rsid w:val="00E15BE7"/>
    <w:rsid w:val="00E15C0B"/>
    <w:rsid w:val="00E15C31"/>
    <w:rsid w:val="00E15CA0"/>
    <w:rsid w:val="00E15E19"/>
    <w:rsid w:val="00E15EAE"/>
    <w:rsid w:val="00E15F6F"/>
    <w:rsid w:val="00E15F81"/>
    <w:rsid w:val="00E15FA6"/>
    <w:rsid w:val="00E16088"/>
    <w:rsid w:val="00E1611C"/>
    <w:rsid w:val="00E16139"/>
    <w:rsid w:val="00E16149"/>
    <w:rsid w:val="00E1617C"/>
    <w:rsid w:val="00E161C9"/>
    <w:rsid w:val="00E16249"/>
    <w:rsid w:val="00E16339"/>
    <w:rsid w:val="00E16351"/>
    <w:rsid w:val="00E1638B"/>
    <w:rsid w:val="00E16512"/>
    <w:rsid w:val="00E16559"/>
    <w:rsid w:val="00E165DF"/>
    <w:rsid w:val="00E16611"/>
    <w:rsid w:val="00E16704"/>
    <w:rsid w:val="00E167A3"/>
    <w:rsid w:val="00E167B5"/>
    <w:rsid w:val="00E167C9"/>
    <w:rsid w:val="00E16919"/>
    <w:rsid w:val="00E169EF"/>
    <w:rsid w:val="00E16A0B"/>
    <w:rsid w:val="00E16B4E"/>
    <w:rsid w:val="00E16C03"/>
    <w:rsid w:val="00E16C26"/>
    <w:rsid w:val="00E16C3C"/>
    <w:rsid w:val="00E16F13"/>
    <w:rsid w:val="00E16F1C"/>
    <w:rsid w:val="00E16FBB"/>
    <w:rsid w:val="00E16FD0"/>
    <w:rsid w:val="00E17043"/>
    <w:rsid w:val="00E1709D"/>
    <w:rsid w:val="00E170BB"/>
    <w:rsid w:val="00E17258"/>
    <w:rsid w:val="00E172E7"/>
    <w:rsid w:val="00E1730A"/>
    <w:rsid w:val="00E17549"/>
    <w:rsid w:val="00E175D0"/>
    <w:rsid w:val="00E17670"/>
    <w:rsid w:val="00E1769E"/>
    <w:rsid w:val="00E17911"/>
    <w:rsid w:val="00E17B55"/>
    <w:rsid w:val="00E17D12"/>
    <w:rsid w:val="00E17D3E"/>
    <w:rsid w:val="00E17D62"/>
    <w:rsid w:val="00E17D7B"/>
    <w:rsid w:val="00E17DAB"/>
    <w:rsid w:val="00E17DD4"/>
    <w:rsid w:val="00E17EE0"/>
    <w:rsid w:val="00E17F22"/>
    <w:rsid w:val="00E17F6A"/>
    <w:rsid w:val="00E17FAC"/>
    <w:rsid w:val="00E20092"/>
    <w:rsid w:val="00E20179"/>
    <w:rsid w:val="00E20199"/>
    <w:rsid w:val="00E2019E"/>
    <w:rsid w:val="00E2021C"/>
    <w:rsid w:val="00E2046F"/>
    <w:rsid w:val="00E204BA"/>
    <w:rsid w:val="00E20551"/>
    <w:rsid w:val="00E20685"/>
    <w:rsid w:val="00E206B8"/>
    <w:rsid w:val="00E20738"/>
    <w:rsid w:val="00E2088E"/>
    <w:rsid w:val="00E20915"/>
    <w:rsid w:val="00E20A30"/>
    <w:rsid w:val="00E20B1C"/>
    <w:rsid w:val="00E20C2E"/>
    <w:rsid w:val="00E20CD6"/>
    <w:rsid w:val="00E20D7F"/>
    <w:rsid w:val="00E20EC9"/>
    <w:rsid w:val="00E20FFE"/>
    <w:rsid w:val="00E21095"/>
    <w:rsid w:val="00E21104"/>
    <w:rsid w:val="00E21136"/>
    <w:rsid w:val="00E211A5"/>
    <w:rsid w:val="00E211E3"/>
    <w:rsid w:val="00E212AA"/>
    <w:rsid w:val="00E212F3"/>
    <w:rsid w:val="00E2134F"/>
    <w:rsid w:val="00E213EA"/>
    <w:rsid w:val="00E21479"/>
    <w:rsid w:val="00E214B7"/>
    <w:rsid w:val="00E214D0"/>
    <w:rsid w:val="00E2162B"/>
    <w:rsid w:val="00E216FA"/>
    <w:rsid w:val="00E21893"/>
    <w:rsid w:val="00E218DE"/>
    <w:rsid w:val="00E21A0D"/>
    <w:rsid w:val="00E21B26"/>
    <w:rsid w:val="00E21C2A"/>
    <w:rsid w:val="00E21C83"/>
    <w:rsid w:val="00E21CBB"/>
    <w:rsid w:val="00E21E21"/>
    <w:rsid w:val="00E21FF8"/>
    <w:rsid w:val="00E22002"/>
    <w:rsid w:val="00E22019"/>
    <w:rsid w:val="00E22065"/>
    <w:rsid w:val="00E220DD"/>
    <w:rsid w:val="00E22118"/>
    <w:rsid w:val="00E221EC"/>
    <w:rsid w:val="00E222AC"/>
    <w:rsid w:val="00E222B1"/>
    <w:rsid w:val="00E2235D"/>
    <w:rsid w:val="00E223F0"/>
    <w:rsid w:val="00E22472"/>
    <w:rsid w:val="00E22490"/>
    <w:rsid w:val="00E225A6"/>
    <w:rsid w:val="00E225B4"/>
    <w:rsid w:val="00E22600"/>
    <w:rsid w:val="00E2267A"/>
    <w:rsid w:val="00E22759"/>
    <w:rsid w:val="00E2277D"/>
    <w:rsid w:val="00E227CE"/>
    <w:rsid w:val="00E22804"/>
    <w:rsid w:val="00E22886"/>
    <w:rsid w:val="00E22A79"/>
    <w:rsid w:val="00E22AA2"/>
    <w:rsid w:val="00E22ACC"/>
    <w:rsid w:val="00E22AD0"/>
    <w:rsid w:val="00E22B73"/>
    <w:rsid w:val="00E22C01"/>
    <w:rsid w:val="00E22C63"/>
    <w:rsid w:val="00E22E67"/>
    <w:rsid w:val="00E22EAE"/>
    <w:rsid w:val="00E22EEF"/>
    <w:rsid w:val="00E22F00"/>
    <w:rsid w:val="00E22F21"/>
    <w:rsid w:val="00E22F67"/>
    <w:rsid w:val="00E22F78"/>
    <w:rsid w:val="00E22F9C"/>
    <w:rsid w:val="00E23028"/>
    <w:rsid w:val="00E23112"/>
    <w:rsid w:val="00E23182"/>
    <w:rsid w:val="00E2319C"/>
    <w:rsid w:val="00E23250"/>
    <w:rsid w:val="00E23320"/>
    <w:rsid w:val="00E23373"/>
    <w:rsid w:val="00E233DA"/>
    <w:rsid w:val="00E2341F"/>
    <w:rsid w:val="00E23512"/>
    <w:rsid w:val="00E23544"/>
    <w:rsid w:val="00E23545"/>
    <w:rsid w:val="00E235B8"/>
    <w:rsid w:val="00E235BD"/>
    <w:rsid w:val="00E2366F"/>
    <w:rsid w:val="00E23703"/>
    <w:rsid w:val="00E2395C"/>
    <w:rsid w:val="00E23A8B"/>
    <w:rsid w:val="00E23AA2"/>
    <w:rsid w:val="00E23B4D"/>
    <w:rsid w:val="00E23C53"/>
    <w:rsid w:val="00E23D91"/>
    <w:rsid w:val="00E23EC1"/>
    <w:rsid w:val="00E23EF4"/>
    <w:rsid w:val="00E23F35"/>
    <w:rsid w:val="00E23F80"/>
    <w:rsid w:val="00E23F83"/>
    <w:rsid w:val="00E2402D"/>
    <w:rsid w:val="00E24297"/>
    <w:rsid w:val="00E24577"/>
    <w:rsid w:val="00E2459E"/>
    <w:rsid w:val="00E245A5"/>
    <w:rsid w:val="00E245BD"/>
    <w:rsid w:val="00E245F7"/>
    <w:rsid w:val="00E24672"/>
    <w:rsid w:val="00E24713"/>
    <w:rsid w:val="00E247D2"/>
    <w:rsid w:val="00E2483C"/>
    <w:rsid w:val="00E248C4"/>
    <w:rsid w:val="00E24969"/>
    <w:rsid w:val="00E249C8"/>
    <w:rsid w:val="00E24A14"/>
    <w:rsid w:val="00E24A9C"/>
    <w:rsid w:val="00E24D16"/>
    <w:rsid w:val="00E24F02"/>
    <w:rsid w:val="00E24FE8"/>
    <w:rsid w:val="00E24FEF"/>
    <w:rsid w:val="00E25357"/>
    <w:rsid w:val="00E25389"/>
    <w:rsid w:val="00E2539D"/>
    <w:rsid w:val="00E253FD"/>
    <w:rsid w:val="00E2553F"/>
    <w:rsid w:val="00E255AF"/>
    <w:rsid w:val="00E25678"/>
    <w:rsid w:val="00E2568A"/>
    <w:rsid w:val="00E256BC"/>
    <w:rsid w:val="00E256D4"/>
    <w:rsid w:val="00E25708"/>
    <w:rsid w:val="00E25761"/>
    <w:rsid w:val="00E25795"/>
    <w:rsid w:val="00E2592E"/>
    <w:rsid w:val="00E259AC"/>
    <w:rsid w:val="00E259B7"/>
    <w:rsid w:val="00E259CC"/>
    <w:rsid w:val="00E259FB"/>
    <w:rsid w:val="00E25A39"/>
    <w:rsid w:val="00E25A4E"/>
    <w:rsid w:val="00E25AA4"/>
    <w:rsid w:val="00E25C7A"/>
    <w:rsid w:val="00E25C91"/>
    <w:rsid w:val="00E25CD7"/>
    <w:rsid w:val="00E25D2B"/>
    <w:rsid w:val="00E25D9D"/>
    <w:rsid w:val="00E25DFC"/>
    <w:rsid w:val="00E25FA0"/>
    <w:rsid w:val="00E260E7"/>
    <w:rsid w:val="00E261C8"/>
    <w:rsid w:val="00E261E5"/>
    <w:rsid w:val="00E26222"/>
    <w:rsid w:val="00E26265"/>
    <w:rsid w:val="00E263D4"/>
    <w:rsid w:val="00E2647A"/>
    <w:rsid w:val="00E265A8"/>
    <w:rsid w:val="00E26721"/>
    <w:rsid w:val="00E2672F"/>
    <w:rsid w:val="00E267D1"/>
    <w:rsid w:val="00E26AB3"/>
    <w:rsid w:val="00E26B27"/>
    <w:rsid w:val="00E26B57"/>
    <w:rsid w:val="00E26B85"/>
    <w:rsid w:val="00E26BAB"/>
    <w:rsid w:val="00E26C23"/>
    <w:rsid w:val="00E26C72"/>
    <w:rsid w:val="00E26CE3"/>
    <w:rsid w:val="00E26D0A"/>
    <w:rsid w:val="00E26E3A"/>
    <w:rsid w:val="00E26E85"/>
    <w:rsid w:val="00E27053"/>
    <w:rsid w:val="00E27060"/>
    <w:rsid w:val="00E273FA"/>
    <w:rsid w:val="00E27456"/>
    <w:rsid w:val="00E2748B"/>
    <w:rsid w:val="00E2748C"/>
    <w:rsid w:val="00E274DD"/>
    <w:rsid w:val="00E27548"/>
    <w:rsid w:val="00E275DC"/>
    <w:rsid w:val="00E276DF"/>
    <w:rsid w:val="00E276F1"/>
    <w:rsid w:val="00E277D8"/>
    <w:rsid w:val="00E2787F"/>
    <w:rsid w:val="00E278CC"/>
    <w:rsid w:val="00E2796C"/>
    <w:rsid w:val="00E27A18"/>
    <w:rsid w:val="00E27B36"/>
    <w:rsid w:val="00E27B88"/>
    <w:rsid w:val="00E27BDA"/>
    <w:rsid w:val="00E27CA8"/>
    <w:rsid w:val="00E27DC6"/>
    <w:rsid w:val="00E27EB2"/>
    <w:rsid w:val="00E27EC8"/>
    <w:rsid w:val="00E27F24"/>
    <w:rsid w:val="00E27F4B"/>
    <w:rsid w:val="00E302DE"/>
    <w:rsid w:val="00E30344"/>
    <w:rsid w:val="00E30348"/>
    <w:rsid w:val="00E3037C"/>
    <w:rsid w:val="00E303AD"/>
    <w:rsid w:val="00E30498"/>
    <w:rsid w:val="00E304C8"/>
    <w:rsid w:val="00E306BC"/>
    <w:rsid w:val="00E3072B"/>
    <w:rsid w:val="00E307A2"/>
    <w:rsid w:val="00E308EF"/>
    <w:rsid w:val="00E309FC"/>
    <w:rsid w:val="00E30A24"/>
    <w:rsid w:val="00E30A7F"/>
    <w:rsid w:val="00E30B51"/>
    <w:rsid w:val="00E30B7A"/>
    <w:rsid w:val="00E30C77"/>
    <w:rsid w:val="00E30C7B"/>
    <w:rsid w:val="00E30D45"/>
    <w:rsid w:val="00E30D76"/>
    <w:rsid w:val="00E3105D"/>
    <w:rsid w:val="00E31092"/>
    <w:rsid w:val="00E3111E"/>
    <w:rsid w:val="00E3112B"/>
    <w:rsid w:val="00E3115C"/>
    <w:rsid w:val="00E311A8"/>
    <w:rsid w:val="00E31385"/>
    <w:rsid w:val="00E31653"/>
    <w:rsid w:val="00E31742"/>
    <w:rsid w:val="00E31845"/>
    <w:rsid w:val="00E318B9"/>
    <w:rsid w:val="00E3192D"/>
    <w:rsid w:val="00E31978"/>
    <w:rsid w:val="00E31A4D"/>
    <w:rsid w:val="00E31AD1"/>
    <w:rsid w:val="00E31B7B"/>
    <w:rsid w:val="00E31D12"/>
    <w:rsid w:val="00E31DAE"/>
    <w:rsid w:val="00E31DF0"/>
    <w:rsid w:val="00E31DFE"/>
    <w:rsid w:val="00E31F30"/>
    <w:rsid w:val="00E31F5D"/>
    <w:rsid w:val="00E3202A"/>
    <w:rsid w:val="00E32035"/>
    <w:rsid w:val="00E3203C"/>
    <w:rsid w:val="00E320DA"/>
    <w:rsid w:val="00E321A4"/>
    <w:rsid w:val="00E321E6"/>
    <w:rsid w:val="00E3222A"/>
    <w:rsid w:val="00E323D7"/>
    <w:rsid w:val="00E32537"/>
    <w:rsid w:val="00E325A8"/>
    <w:rsid w:val="00E326CA"/>
    <w:rsid w:val="00E326E9"/>
    <w:rsid w:val="00E32770"/>
    <w:rsid w:val="00E329F6"/>
    <w:rsid w:val="00E32A6F"/>
    <w:rsid w:val="00E32B32"/>
    <w:rsid w:val="00E32B72"/>
    <w:rsid w:val="00E32BDE"/>
    <w:rsid w:val="00E32C55"/>
    <w:rsid w:val="00E32C9D"/>
    <w:rsid w:val="00E32CFC"/>
    <w:rsid w:val="00E32D97"/>
    <w:rsid w:val="00E32ECB"/>
    <w:rsid w:val="00E32F90"/>
    <w:rsid w:val="00E32FA7"/>
    <w:rsid w:val="00E32FB2"/>
    <w:rsid w:val="00E32FFE"/>
    <w:rsid w:val="00E330AD"/>
    <w:rsid w:val="00E3324A"/>
    <w:rsid w:val="00E332AE"/>
    <w:rsid w:val="00E33360"/>
    <w:rsid w:val="00E33363"/>
    <w:rsid w:val="00E3337A"/>
    <w:rsid w:val="00E33386"/>
    <w:rsid w:val="00E335BA"/>
    <w:rsid w:val="00E336D6"/>
    <w:rsid w:val="00E3373A"/>
    <w:rsid w:val="00E33756"/>
    <w:rsid w:val="00E33851"/>
    <w:rsid w:val="00E3391F"/>
    <w:rsid w:val="00E3393C"/>
    <w:rsid w:val="00E33949"/>
    <w:rsid w:val="00E33A0F"/>
    <w:rsid w:val="00E33A4F"/>
    <w:rsid w:val="00E33B26"/>
    <w:rsid w:val="00E33B49"/>
    <w:rsid w:val="00E33BC4"/>
    <w:rsid w:val="00E33C65"/>
    <w:rsid w:val="00E33C68"/>
    <w:rsid w:val="00E33C8D"/>
    <w:rsid w:val="00E33DA8"/>
    <w:rsid w:val="00E33F46"/>
    <w:rsid w:val="00E3404B"/>
    <w:rsid w:val="00E340FC"/>
    <w:rsid w:val="00E341B0"/>
    <w:rsid w:val="00E341EA"/>
    <w:rsid w:val="00E3420C"/>
    <w:rsid w:val="00E342C2"/>
    <w:rsid w:val="00E3438E"/>
    <w:rsid w:val="00E34584"/>
    <w:rsid w:val="00E345FD"/>
    <w:rsid w:val="00E346E9"/>
    <w:rsid w:val="00E347C9"/>
    <w:rsid w:val="00E34A9D"/>
    <w:rsid w:val="00E34C31"/>
    <w:rsid w:val="00E34C53"/>
    <w:rsid w:val="00E34C7E"/>
    <w:rsid w:val="00E34E32"/>
    <w:rsid w:val="00E34E4A"/>
    <w:rsid w:val="00E34E52"/>
    <w:rsid w:val="00E34E5C"/>
    <w:rsid w:val="00E34EDC"/>
    <w:rsid w:val="00E350EA"/>
    <w:rsid w:val="00E3523B"/>
    <w:rsid w:val="00E352AC"/>
    <w:rsid w:val="00E35304"/>
    <w:rsid w:val="00E3530D"/>
    <w:rsid w:val="00E35345"/>
    <w:rsid w:val="00E3537D"/>
    <w:rsid w:val="00E353E1"/>
    <w:rsid w:val="00E3540A"/>
    <w:rsid w:val="00E3542A"/>
    <w:rsid w:val="00E354D1"/>
    <w:rsid w:val="00E356B8"/>
    <w:rsid w:val="00E35A88"/>
    <w:rsid w:val="00E35B95"/>
    <w:rsid w:val="00E35C19"/>
    <w:rsid w:val="00E35C5B"/>
    <w:rsid w:val="00E35CC2"/>
    <w:rsid w:val="00E35D6B"/>
    <w:rsid w:val="00E35D88"/>
    <w:rsid w:val="00E35D9C"/>
    <w:rsid w:val="00E35DFB"/>
    <w:rsid w:val="00E35EAF"/>
    <w:rsid w:val="00E35F57"/>
    <w:rsid w:val="00E36121"/>
    <w:rsid w:val="00E36256"/>
    <w:rsid w:val="00E36378"/>
    <w:rsid w:val="00E3658E"/>
    <w:rsid w:val="00E365C5"/>
    <w:rsid w:val="00E366EF"/>
    <w:rsid w:val="00E367C7"/>
    <w:rsid w:val="00E369B8"/>
    <w:rsid w:val="00E36B20"/>
    <w:rsid w:val="00E36B62"/>
    <w:rsid w:val="00E36CFD"/>
    <w:rsid w:val="00E36DF1"/>
    <w:rsid w:val="00E36E02"/>
    <w:rsid w:val="00E36EB9"/>
    <w:rsid w:val="00E36FDD"/>
    <w:rsid w:val="00E37000"/>
    <w:rsid w:val="00E3700E"/>
    <w:rsid w:val="00E37124"/>
    <w:rsid w:val="00E371E5"/>
    <w:rsid w:val="00E37273"/>
    <w:rsid w:val="00E37383"/>
    <w:rsid w:val="00E373B0"/>
    <w:rsid w:val="00E373E1"/>
    <w:rsid w:val="00E37404"/>
    <w:rsid w:val="00E37432"/>
    <w:rsid w:val="00E37439"/>
    <w:rsid w:val="00E374FA"/>
    <w:rsid w:val="00E3750E"/>
    <w:rsid w:val="00E37543"/>
    <w:rsid w:val="00E37575"/>
    <w:rsid w:val="00E37655"/>
    <w:rsid w:val="00E37694"/>
    <w:rsid w:val="00E37820"/>
    <w:rsid w:val="00E37843"/>
    <w:rsid w:val="00E3785B"/>
    <w:rsid w:val="00E378DA"/>
    <w:rsid w:val="00E379B4"/>
    <w:rsid w:val="00E37A71"/>
    <w:rsid w:val="00E37AAE"/>
    <w:rsid w:val="00E37AC3"/>
    <w:rsid w:val="00E37B32"/>
    <w:rsid w:val="00E37D3E"/>
    <w:rsid w:val="00E37E87"/>
    <w:rsid w:val="00E37ED5"/>
    <w:rsid w:val="00E37EF9"/>
    <w:rsid w:val="00E37F0D"/>
    <w:rsid w:val="00E37F57"/>
    <w:rsid w:val="00E37F68"/>
    <w:rsid w:val="00E37FE0"/>
    <w:rsid w:val="00E400B8"/>
    <w:rsid w:val="00E401D2"/>
    <w:rsid w:val="00E402ED"/>
    <w:rsid w:val="00E4031B"/>
    <w:rsid w:val="00E40463"/>
    <w:rsid w:val="00E404FB"/>
    <w:rsid w:val="00E40589"/>
    <w:rsid w:val="00E40793"/>
    <w:rsid w:val="00E4080D"/>
    <w:rsid w:val="00E40876"/>
    <w:rsid w:val="00E408E3"/>
    <w:rsid w:val="00E40A7E"/>
    <w:rsid w:val="00E40B6B"/>
    <w:rsid w:val="00E40C42"/>
    <w:rsid w:val="00E40C84"/>
    <w:rsid w:val="00E40D7C"/>
    <w:rsid w:val="00E40D88"/>
    <w:rsid w:val="00E40DA1"/>
    <w:rsid w:val="00E40DC4"/>
    <w:rsid w:val="00E40E3A"/>
    <w:rsid w:val="00E40FAA"/>
    <w:rsid w:val="00E41032"/>
    <w:rsid w:val="00E41048"/>
    <w:rsid w:val="00E41073"/>
    <w:rsid w:val="00E41081"/>
    <w:rsid w:val="00E4120C"/>
    <w:rsid w:val="00E41273"/>
    <w:rsid w:val="00E41387"/>
    <w:rsid w:val="00E4142C"/>
    <w:rsid w:val="00E414E0"/>
    <w:rsid w:val="00E415EC"/>
    <w:rsid w:val="00E4162C"/>
    <w:rsid w:val="00E4168D"/>
    <w:rsid w:val="00E41702"/>
    <w:rsid w:val="00E41739"/>
    <w:rsid w:val="00E41766"/>
    <w:rsid w:val="00E4178A"/>
    <w:rsid w:val="00E419BB"/>
    <w:rsid w:val="00E41A66"/>
    <w:rsid w:val="00E41A81"/>
    <w:rsid w:val="00E41A89"/>
    <w:rsid w:val="00E41AC8"/>
    <w:rsid w:val="00E41B5F"/>
    <w:rsid w:val="00E41D31"/>
    <w:rsid w:val="00E41D8E"/>
    <w:rsid w:val="00E41DB3"/>
    <w:rsid w:val="00E41DEB"/>
    <w:rsid w:val="00E41EF3"/>
    <w:rsid w:val="00E41FB7"/>
    <w:rsid w:val="00E4210B"/>
    <w:rsid w:val="00E421E9"/>
    <w:rsid w:val="00E42236"/>
    <w:rsid w:val="00E422D8"/>
    <w:rsid w:val="00E4253A"/>
    <w:rsid w:val="00E42710"/>
    <w:rsid w:val="00E427EB"/>
    <w:rsid w:val="00E428A1"/>
    <w:rsid w:val="00E428A4"/>
    <w:rsid w:val="00E428DD"/>
    <w:rsid w:val="00E428EA"/>
    <w:rsid w:val="00E429AE"/>
    <w:rsid w:val="00E42A89"/>
    <w:rsid w:val="00E42ADD"/>
    <w:rsid w:val="00E42B68"/>
    <w:rsid w:val="00E42B99"/>
    <w:rsid w:val="00E42C3A"/>
    <w:rsid w:val="00E42C94"/>
    <w:rsid w:val="00E42D73"/>
    <w:rsid w:val="00E42D82"/>
    <w:rsid w:val="00E42E6A"/>
    <w:rsid w:val="00E42E7F"/>
    <w:rsid w:val="00E42EFE"/>
    <w:rsid w:val="00E42F1D"/>
    <w:rsid w:val="00E42F77"/>
    <w:rsid w:val="00E42F7B"/>
    <w:rsid w:val="00E42F89"/>
    <w:rsid w:val="00E42FDC"/>
    <w:rsid w:val="00E42FF2"/>
    <w:rsid w:val="00E4304C"/>
    <w:rsid w:val="00E43092"/>
    <w:rsid w:val="00E430F5"/>
    <w:rsid w:val="00E431B4"/>
    <w:rsid w:val="00E4320D"/>
    <w:rsid w:val="00E43245"/>
    <w:rsid w:val="00E43318"/>
    <w:rsid w:val="00E43436"/>
    <w:rsid w:val="00E434DF"/>
    <w:rsid w:val="00E43731"/>
    <w:rsid w:val="00E43971"/>
    <w:rsid w:val="00E43998"/>
    <w:rsid w:val="00E43A39"/>
    <w:rsid w:val="00E43AA5"/>
    <w:rsid w:val="00E43AB6"/>
    <w:rsid w:val="00E43B2E"/>
    <w:rsid w:val="00E43BC3"/>
    <w:rsid w:val="00E43C06"/>
    <w:rsid w:val="00E43E9D"/>
    <w:rsid w:val="00E43EA9"/>
    <w:rsid w:val="00E43FA4"/>
    <w:rsid w:val="00E4407E"/>
    <w:rsid w:val="00E44092"/>
    <w:rsid w:val="00E44141"/>
    <w:rsid w:val="00E44155"/>
    <w:rsid w:val="00E4418B"/>
    <w:rsid w:val="00E4428F"/>
    <w:rsid w:val="00E442CA"/>
    <w:rsid w:val="00E44365"/>
    <w:rsid w:val="00E44368"/>
    <w:rsid w:val="00E44370"/>
    <w:rsid w:val="00E44382"/>
    <w:rsid w:val="00E443D8"/>
    <w:rsid w:val="00E4444A"/>
    <w:rsid w:val="00E4445F"/>
    <w:rsid w:val="00E44545"/>
    <w:rsid w:val="00E445BB"/>
    <w:rsid w:val="00E446A9"/>
    <w:rsid w:val="00E44801"/>
    <w:rsid w:val="00E44863"/>
    <w:rsid w:val="00E44907"/>
    <w:rsid w:val="00E4490B"/>
    <w:rsid w:val="00E4499A"/>
    <w:rsid w:val="00E44B4D"/>
    <w:rsid w:val="00E44BDD"/>
    <w:rsid w:val="00E44DA7"/>
    <w:rsid w:val="00E44ED8"/>
    <w:rsid w:val="00E44F14"/>
    <w:rsid w:val="00E4500E"/>
    <w:rsid w:val="00E45081"/>
    <w:rsid w:val="00E45083"/>
    <w:rsid w:val="00E4510F"/>
    <w:rsid w:val="00E4519B"/>
    <w:rsid w:val="00E451C5"/>
    <w:rsid w:val="00E4522C"/>
    <w:rsid w:val="00E45239"/>
    <w:rsid w:val="00E4528C"/>
    <w:rsid w:val="00E45393"/>
    <w:rsid w:val="00E453CF"/>
    <w:rsid w:val="00E455A2"/>
    <w:rsid w:val="00E455CA"/>
    <w:rsid w:val="00E45735"/>
    <w:rsid w:val="00E45737"/>
    <w:rsid w:val="00E45748"/>
    <w:rsid w:val="00E457CA"/>
    <w:rsid w:val="00E45861"/>
    <w:rsid w:val="00E458A1"/>
    <w:rsid w:val="00E458EE"/>
    <w:rsid w:val="00E4597C"/>
    <w:rsid w:val="00E45A96"/>
    <w:rsid w:val="00E45AE5"/>
    <w:rsid w:val="00E45B09"/>
    <w:rsid w:val="00E45B92"/>
    <w:rsid w:val="00E45B97"/>
    <w:rsid w:val="00E45CCC"/>
    <w:rsid w:val="00E45D74"/>
    <w:rsid w:val="00E45DD4"/>
    <w:rsid w:val="00E45DF2"/>
    <w:rsid w:val="00E45E92"/>
    <w:rsid w:val="00E45EE9"/>
    <w:rsid w:val="00E45EEB"/>
    <w:rsid w:val="00E45F0C"/>
    <w:rsid w:val="00E4600B"/>
    <w:rsid w:val="00E46047"/>
    <w:rsid w:val="00E46064"/>
    <w:rsid w:val="00E46072"/>
    <w:rsid w:val="00E460DD"/>
    <w:rsid w:val="00E46104"/>
    <w:rsid w:val="00E461B3"/>
    <w:rsid w:val="00E46200"/>
    <w:rsid w:val="00E46204"/>
    <w:rsid w:val="00E4637B"/>
    <w:rsid w:val="00E465DA"/>
    <w:rsid w:val="00E4669D"/>
    <w:rsid w:val="00E466BB"/>
    <w:rsid w:val="00E46751"/>
    <w:rsid w:val="00E467E0"/>
    <w:rsid w:val="00E4683D"/>
    <w:rsid w:val="00E4697C"/>
    <w:rsid w:val="00E46A22"/>
    <w:rsid w:val="00E46AEC"/>
    <w:rsid w:val="00E46B86"/>
    <w:rsid w:val="00E46C13"/>
    <w:rsid w:val="00E46C62"/>
    <w:rsid w:val="00E46CA0"/>
    <w:rsid w:val="00E46D3B"/>
    <w:rsid w:val="00E46E05"/>
    <w:rsid w:val="00E46E10"/>
    <w:rsid w:val="00E46E41"/>
    <w:rsid w:val="00E46E8A"/>
    <w:rsid w:val="00E46EB6"/>
    <w:rsid w:val="00E46EC0"/>
    <w:rsid w:val="00E46FD0"/>
    <w:rsid w:val="00E46FDA"/>
    <w:rsid w:val="00E47000"/>
    <w:rsid w:val="00E4706D"/>
    <w:rsid w:val="00E47121"/>
    <w:rsid w:val="00E47263"/>
    <w:rsid w:val="00E47616"/>
    <w:rsid w:val="00E477E8"/>
    <w:rsid w:val="00E477F7"/>
    <w:rsid w:val="00E47842"/>
    <w:rsid w:val="00E47865"/>
    <w:rsid w:val="00E4792D"/>
    <w:rsid w:val="00E47976"/>
    <w:rsid w:val="00E479C4"/>
    <w:rsid w:val="00E47A59"/>
    <w:rsid w:val="00E47B6D"/>
    <w:rsid w:val="00E47DEB"/>
    <w:rsid w:val="00E47F11"/>
    <w:rsid w:val="00E47F32"/>
    <w:rsid w:val="00E47F50"/>
    <w:rsid w:val="00E47F8F"/>
    <w:rsid w:val="00E50004"/>
    <w:rsid w:val="00E500A8"/>
    <w:rsid w:val="00E5018E"/>
    <w:rsid w:val="00E50261"/>
    <w:rsid w:val="00E502CC"/>
    <w:rsid w:val="00E504F4"/>
    <w:rsid w:val="00E50544"/>
    <w:rsid w:val="00E5066C"/>
    <w:rsid w:val="00E5067D"/>
    <w:rsid w:val="00E50688"/>
    <w:rsid w:val="00E5071E"/>
    <w:rsid w:val="00E5072C"/>
    <w:rsid w:val="00E50790"/>
    <w:rsid w:val="00E509C7"/>
    <w:rsid w:val="00E50A1F"/>
    <w:rsid w:val="00E50AB1"/>
    <w:rsid w:val="00E50AFD"/>
    <w:rsid w:val="00E50B7F"/>
    <w:rsid w:val="00E50C2B"/>
    <w:rsid w:val="00E50C3E"/>
    <w:rsid w:val="00E50C8A"/>
    <w:rsid w:val="00E50CAA"/>
    <w:rsid w:val="00E50CDD"/>
    <w:rsid w:val="00E50D0B"/>
    <w:rsid w:val="00E50F13"/>
    <w:rsid w:val="00E50F5E"/>
    <w:rsid w:val="00E50FA6"/>
    <w:rsid w:val="00E50FAF"/>
    <w:rsid w:val="00E5110A"/>
    <w:rsid w:val="00E5114C"/>
    <w:rsid w:val="00E511B9"/>
    <w:rsid w:val="00E51387"/>
    <w:rsid w:val="00E51392"/>
    <w:rsid w:val="00E513AC"/>
    <w:rsid w:val="00E513C1"/>
    <w:rsid w:val="00E513EA"/>
    <w:rsid w:val="00E5153B"/>
    <w:rsid w:val="00E5154A"/>
    <w:rsid w:val="00E51784"/>
    <w:rsid w:val="00E51831"/>
    <w:rsid w:val="00E51839"/>
    <w:rsid w:val="00E518A5"/>
    <w:rsid w:val="00E518E1"/>
    <w:rsid w:val="00E5197F"/>
    <w:rsid w:val="00E51ABC"/>
    <w:rsid w:val="00E51AE4"/>
    <w:rsid w:val="00E51B13"/>
    <w:rsid w:val="00E51B7B"/>
    <w:rsid w:val="00E51BA4"/>
    <w:rsid w:val="00E51BC6"/>
    <w:rsid w:val="00E51DDD"/>
    <w:rsid w:val="00E51E90"/>
    <w:rsid w:val="00E51F06"/>
    <w:rsid w:val="00E51F36"/>
    <w:rsid w:val="00E51FC2"/>
    <w:rsid w:val="00E5202A"/>
    <w:rsid w:val="00E520EE"/>
    <w:rsid w:val="00E521A6"/>
    <w:rsid w:val="00E521AF"/>
    <w:rsid w:val="00E5222D"/>
    <w:rsid w:val="00E5232B"/>
    <w:rsid w:val="00E52356"/>
    <w:rsid w:val="00E52394"/>
    <w:rsid w:val="00E5248E"/>
    <w:rsid w:val="00E524CE"/>
    <w:rsid w:val="00E52568"/>
    <w:rsid w:val="00E525C6"/>
    <w:rsid w:val="00E5266C"/>
    <w:rsid w:val="00E5268E"/>
    <w:rsid w:val="00E5282D"/>
    <w:rsid w:val="00E5290A"/>
    <w:rsid w:val="00E529E6"/>
    <w:rsid w:val="00E52A1D"/>
    <w:rsid w:val="00E52A53"/>
    <w:rsid w:val="00E52AD4"/>
    <w:rsid w:val="00E52BCF"/>
    <w:rsid w:val="00E52C4A"/>
    <w:rsid w:val="00E52C9F"/>
    <w:rsid w:val="00E52DE7"/>
    <w:rsid w:val="00E52DF7"/>
    <w:rsid w:val="00E52F0A"/>
    <w:rsid w:val="00E530EC"/>
    <w:rsid w:val="00E53127"/>
    <w:rsid w:val="00E53185"/>
    <w:rsid w:val="00E5319C"/>
    <w:rsid w:val="00E531C9"/>
    <w:rsid w:val="00E531FA"/>
    <w:rsid w:val="00E5330D"/>
    <w:rsid w:val="00E533A8"/>
    <w:rsid w:val="00E533D1"/>
    <w:rsid w:val="00E5342C"/>
    <w:rsid w:val="00E53466"/>
    <w:rsid w:val="00E534D5"/>
    <w:rsid w:val="00E53646"/>
    <w:rsid w:val="00E536B8"/>
    <w:rsid w:val="00E537B0"/>
    <w:rsid w:val="00E537CF"/>
    <w:rsid w:val="00E538FF"/>
    <w:rsid w:val="00E53B23"/>
    <w:rsid w:val="00E53B78"/>
    <w:rsid w:val="00E53C8D"/>
    <w:rsid w:val="00E53D17"/>
    <w:rsid w:val="00E53E2D"/>
    <w:rsid w:val="00E53E44"/>
    <w:rsid w:val="00E53E69"/>
    <w:rsid w:val="00E53F9B"/>
    <w:rsid w:val="00E53FAD"/>
    <w:rsid w:val="00E53FC5"/>
    <w:rsid w:val="00E54012"/>
    <w:rsid w:val="00E54080"/>
    <w:rsid w:val="00E54112"/>
    <w:rsid w:val="00E541D6"/>
    <w:rsid w:val="00E54228"/>
    <w:rsid w:val="00E542ED"/>
    <w:rsid w:val="00E54345"/>
    <w:rsid w:val="00E5437C"/>
    <w:rsid w:val="00E54421"/>
    <w:rsid w:val="00E54470"/>
    <w:rsid w:val="00E545C8"/>
    <w:rsid w:val="00E545F5"/>
    <w:rsid w:val="00E54667"/>
    <w:rsid w:val="00E54774"/>
    <w:rsid w:val="00E547DD"/>
    <w:rsid w:val="00E547DE"/>
    <w:rsid w:val="00E54830"/>
    <w:rsid w:val="00E549BC"/>
    <w:rsid w:val="00E54AF7"/>
    <w:rsid w:val="00E54AFA"/>
    <w:rsid w:val="00E54B0C"/>
    <w:rsid w:val="00E54BF8"/>
    <w:rsid w:val="00E54C14"/>
    <w:rsid w:val="00E54D23"/>
    <w:rsid w:val="00E54DFF"/>
    <w:rsid w:val="00E54E8E"/>
    <w:rsid w:val="00E54F2F"/>
    <w:rsid w:val="00E54FCC"/>
    <w:rsid w:val="00E54FDF"/>
    <w:rsid w:val="00E5501E"/>
    <w:rsid w:val="00E5515B"/>
    <w:rsid w:val="00E55163"/>
    <w:rsid w:val="00E551D3"/>
    <w:rsid w:val="00E55207"/>
    <w:rsid w:val="00E55258"/>
    <w:rsid w:val="00E55313"/>
    <w:rsid w:val="00E5531C"/>
    <w:rsid w:val="00E55352"/>
    <w:rsid w:val="00E55394"/>
    <w:rsid w:val="00E55398"/>
    <w:rsid w:val="00E553DF"/>
    <w:rsid w:val="00E55415"/>
    <w:rsid w:val="00E554A8"/>
    <w:rsid w:val="00E55544"/>
    <w:rsid w:val="00E5569D"/>
    <w:rsid w:val="00E55714"/>
    <w:rsid w:val="00E5575A"/>
    <w:rsid w:val="00E55888"/>
    <w:rsid w:val="00E55899"/>
    <w:rsid w:val="00E558CF"/>
    <w:rsid w:val="00E558D3"/>
    <w:rsid w:val="00E5591A"/>
    <w:rsid w:val="00E55952"/>
    <w:rsid w:val="00E559EB"/>
    <w:rsid w:val="00E55AEB"/>
    <w:rsid w:val="00E55B08"/>
    <w:rsid w:val="00E55B73"/>
    <w:rsid w:val="00E55B75"/>
    <w:rsid w:val="00E55BA8"/>
    <w:rsid w:val="00E55CA3"/>
    <w:rsid w:val="00E55CB9"/>
    <w:rsid w:val="00E55D2E"/>
    <w:rsid w:val="00E55E66"/>
    <w:rsid w:val="00E55F15"/>
    <w:rsid w:val="00E55F81"/>
    <w:rsid w:val="00E5611B"/>
    <w:rsid w:val="00E5611D"/>
    <w:rsid w:val="00E56147"/>
    <w:rsid w:val="00E56202"/>
    <w:rsid w:val="00E56249"/>
    <w:rsid w:val="00E56320"/>
    <w:rsid w:val="00E56469"/>
    <w:rsid w:val="00E56490"/>
    <w:rsid w:val="00E564EC"/>
    <w:rsid w:val="00E565CB"/>
    <w:rsid w:val="00E5661E"/>
    <w:rsid w:val="00E56737"/>
    <w:rsid w:val="00E567DD"/>
    <w:rsid w:val="00E568B0"/>
    <w:rsid w:val="00E569D5"/>
    <w:rsid w:val="00E56B1B"/>
    <w:rsid w:val="00E56BA6"/>
    <w:rsid w:val="00E56BC1"/>
    <w:rsid w:val="00E56BD9"/>
    <w:rsid w:val="00E56C2F"/>
    <w:rsid w:val="00E56EC2"/>
    <w:rsid w:val="00E56EDE"/>
    <w:rsid w:val="00E56F78"/>
    <w:rsid w:val="00E571B5"/>
    <w:rsid w:val="00E571E0"/>
    <w:rsid w:val="00E572D5"/>
    <w:rsid w:val="00E57388"/>
    <w:rsid w:val="00E573D0"/>
    <w:rsid w:val="00E57461"/>
    <w:rsid w:val="00E5747A"/>
    <w:rsid w:val="00E57519"/>
    <w:rsid w:val="00E5765C"/>
    <w:rsid w:val="00E5778B"/>
    <w:rsid w:val="00E577B3"/>
    <w:rsid w:val="00E577DA"/>
    <w:rsid w:val="00E578A7"/>
    <w:rsid w:val="00E578AA"/>
    <w:rsid w:val="00E57916"/>
    <w:rsid w:val="00E57930"/>
    <w:rsid w:val="00E57A03"/>
    <w:rsid w:val="00E57A15"/>
    <w:rsid w:val="00E57A48"/>
    <w:rsid w:val="00E57D35"/>
    <w:rsid w:val="00E57D9D"/>
    <w:rsid w:val="00E57DB9"/>
    <w:rsid w:val="00E57E1E"/>
    <w:rsid w:val="00E57E83"/>
    <w:rsid w:val="00E57EA1"/>
    <w:rsid w:val="00E60080"/>
    <w:rsid w:val="00E6009D"/>
    <w:rsid w:val="00E60329"/>
    <w:rsid w:val="00E604F9"/>
    <w:rsid w:val="00E605A5"/>
    <w:rsid w:val="00E605DC"/>
    <w:rsid w:val="00E6070D"/>
    <w:rsid w:val="00E6072A"/>
    <w:rsid w:val="00E607F0"/>
    <w:rsid w:val="00E60810"/>
    <w:rsid w:val="00E608EC"/>
    <w:rsid w:val="00E608F3"/>
    <w:rsid w:val="00E60987"/>
    <w:rsid w:val="00E60992"/>
    <w:rsid w:val="00E60C69"/>
    <w:rsid w:val="00E60C79"/>
    <w:rsid w:val="00E60C98"/>
    <w:rsid w:val="00E60E68"/>
    <w:rsid w:val="00E60EEC"/>
    <w:rsid w:val="00E61063"/>
    <w:rsid w:val="00E6109E"/>
    <w:rsid w:val="00E61233"/>
    <w:rsid w:val="00E61325"/>
    <w:rsid w:val="00E613FB"/>
    <w:rsid w:val="00E61404"/>
    <w:rsid w:val="00E6149D"/>
    <w:rsid w:val="00E615DE"/>
    <w:rsid w:val="00E617F6"/>
    <w:rsid w:val="00E61886"/>
    <w:rsid w:val="00E61ABB"/>
    <w:rsid w:val="00E61AE7"/>
    <w:rsid w:val="00E61B0F"/>
    <w:rsid w:val="00E61CEB"/>
    <w:rsid w:val="00E61D43"/>
    <w:rsid w:val="00E61DDD"/>
    <w:rsid w:val="00E621B8"/>
    <w:rsid w:val="00E622B6"/>
    <w:rsid w:val="00E623E3"/>
    <w:rsid w:val="00E623F8"/>
    <w:rsid w:val="00E62483"/>
    <w:rsid w:val="00E6254F"/>
    <w:rsid w:val="00E62564"/>
    <w:rsid w:val="00E6270B"/>
    <w:rsid w:val="00E6277C"/>
    <w:rsid w:val="00E628E6"/>
    <w:rsid w:val="00E62986"/>
    <w:rsid w:val="00E62997"/>
    <w:rsid w:val="00E629FB"/>
    <w:rsid w:val="00E62A19"/>
    <w:rsid w:val="00E62B3D"/>
    <w:rsid w:val="00E62BAD"/>
    <w:rsid w:val="00E62C19"/>
    <w:rsid w:val="00E62C34"/>
    <w:rsid w:val="00E62C71"/>
    <w:rsid w:val="00E62C91"/>
    <w:rsid w:val="00E62CA3"/>
    <w:rsid w:val="00E62CDA"/>
    <w:rsid w:val="00E62D0C"/>
    <w:rsid w:val="00E62DAD"/>
    <w:rsid w:val="00E62DD4"/>
    <w:rsid w:val="00E62E46"/>
    <w:rsid w:val="00E62F16"/>
    <w:rsid w:val="00E6300E"/>
    <w:rsid w:val="00E6312C"/>
    <w:rsid w:val="00E63158"/>
    <w:rsid w:val="00E63170"/>
    <w:rsid w:val="00E632DE"/>
    <w:rsid w:val="00E633DE"/>
    <w:rsid w:val="00E63560"/>
    <w:rsid w:val="00E63605"/>
    <w:rsid w:val="00E63621"/>
    <w:rsid w:val="00E63690"/>
    <w:rsid w:val="00E636E6"/>
    <w:rsid w:val="00E63729"/>
    <w:rsid w:val="00E63761"/>
    <w:rsid w:val="00E63799"/>
    <w:rsid w:val="00E6384B"/>
    <w:rsid w:val="00E63858"/>
    <w:rsid w:val="00E638F5"/>
    <w:rsid w:val="00E63903"/>
    <w:rsid w:val="00E63B27"/>
    <w:rsid w:val="00E63BBE"/>
    <w:rsid w:val="00E63C41"/>
    <w:rsid w:val="00E63C97"/>
    <w:rsid w:val="00E63D4C"/>
    <w:rsid w:val="00E63D5B"/>
    <w:rsid w:val="00E63E06"/>
    <w:rsid w:val="00E63E38"/>
    <w:rsid w:val="00E63EAD"/>
    <w:rsid w:val="00E63FAD"/>
    <w:rsid w:val="00E6405F"/>
    <w:rsid w:val="00E64245"/>
    <w:rsid w:val="00E642AB"/>
    <w:rsid w:val="00E6434A"/>
    <w:rsid w:val="00E6437C"/>
    <w:rsid w:val="00E643CC"/>
    <w:rsid w:val="00E643D2"/>
    <w:rsid w:val="00E644B1"/>
    <w:rsid w:val="00E645F8"/>
    <w:rsid w:val="00E64673"/>
    <w:rsid w:val="00E646D2"/>
    <w:rsid w:val="00E64711"/>
    <w:rsid w:val="00E6478F"/>
    <w:rsid w:val="00E647B0"/>
    <w:rsid w:val="00E647C7"/>
    <w:rsid w:val="00E64A83"/>
    <w:rsid w:val="00E64B09"/>
    <w:rsid w:val="00E64BF8"/>
    <w:rsid w:val="00E64C3D"/>
    <w:rsid w:val="00E64C51"/>
    <w:rsid w:val="00E64C65"/>
    <w:rsid w:val="00E64D39"/>
    <w:rsid w:val="00E64DD8"/>
    <w:rsid w:val="00E64ED2"/>
    <w:rsid w:val="00E64F5E"/>
    <w:rsid w:val="00E650DF"/>
    <w:rsid w:val="00E651D2"/>
    <w:rsid w:val="00E65268"/>
    <w:rsid w:val="00E65271"/>
    <w:rsid w:val="00E652D1"/>
    <w:rsid w:val="00E65366"/>
    <w:rsid w:val="00E653A1"/>
    <w:rsid w:val="00E65402"/>
    <w:rsid w:val="00E6544F"/>
    <w:rsid w:val="00E6546F"/>
    <w:rsid w:val="00E654B6"/>
    <w:rsid w:val="00E6551D"/>
    <w:rsid w:val="00E6558D"/>
    <w:rsid w:val="00E655D3"/>
    <w:rsid w:val="00E65657"/>
    <w:rsid w:val="00E6568C"/>
    <w:rsid w:val="00E656DC"/>
    <w:rsid w:val="00E65795"/>
    <w:rsid w:val="00E657E9"/>
    <w:rsid w:val="00E65827"/>
    <w:rsid w:val="00E658CD"/>
    <w:rsid w:val="00E6593C"/>
    <w:rsid w:val="00E6596E"/>
    <w:rsid w:val="00E659DA"/>
    <w:rsid w:val="00E65AA3"/>
    <w:rsid w:val="00E65B01"/>
    <w:rsid w:val="00E65B03"/>
    <w:rsid w:val="00E65B2D"/>
    <w:rsid w:val="00E65BD1"/>
    <w:rsid w:val="00E65C1E"/>
    <w:rsid w:val="00E65CD1"/>
    <w:rsid w:val="00E65CD8"/>
    <w:rsid w:val="00E65DB5"/>
    <w:rsid w:val="00E65DD3"/>
    <w:rsid w:val="00E65E4D"/>
    <w:rsid w:val="00E65EA1"/>
    <w:rsid w:val="00E65FC4"/>
    <w:rsid w:val="00E660AE"/>
    <w:rsid w:val="00E6616B"/>
    <w:rsid w:val="00E661A6"/>
    <w:rsid w:val="00E661C3"/>
    <w:rsid w:val="00E662C3"/>
    <w:rsid w:val="00E66359"/>
    <w:rsid w:val="00E66382"/>
    <w:rsid w:val="00E663CC"/>
    <w:rsid w:val="00E66423"/>
    <w:rsid w:val="00E66632"/>
    <w:rsid w:val="00E6668B"/>
    <w:rsid w:val="00E666D3"/>
    <w:rsid w:val="00E6672D"/>
    <w:rsid w:val="00E66770"/>
    <w:rsid w:val="00E66828"/>
    <w:rsid w:val="00E66938"/>
    <w:rsid w:val="00E669F2"/>
    <w:rsid w:val="00E66AE7"/>
    <w:rsid w:val="00E66B06"/>
    <w:rsid w:val="00E66B2E"/>
    <w:rsid w:val="00E66B44"/>
    <w:rsid w:val="00E66BF8"/>
    <w:rsid w:val="00E66FDD"/>
    <w:rsid w:val="00E670B0"/>
    <w:rsid w:val="00E670B8"/>
    <w:rsid w:val="00E67105"/>
    <w:rsid w:val="00E6717C"/>
    <w:rsid w:val="00E672A1"/>
    <w:rsid w:val="00E672C6"/>
    <w:rsid w:val="00E672D8"/>
    <w:rsid w:val="00E673F9"/>
    <w:rsid w:val="00E67427"/>
    <w:rsid w:val="00E67446"/>
    <w:rsid w:val="00E674B6"/>
    <w:rsid w:val="00E67547"/>
    <w:rsid w:val="00E67620"/>
    <w:rsid w:val="00E67663"/>
    <w:rsid w:val="00E676DB"/>
    <w:rsid w:val="00E677B6"/>
    <w:rsid w:val="00E6797F"/>
    <w:rsid w:val="00E6799D"/>
    <w:rsid w:val="00E67A84"/>
    <w:rsid w:val="00E67A86"/>
    <w:rsid w:val="00E67BE3"/>
    <w:rsid w:val="00E67C04"/>
    <w:rsid w:val="00E67C76"/>
    <w:rsid w:val="00E67C8F"/>
    <w:rsid w:val="00E67DA6"/>
    <w:rsid w:val="00E67E71"/>
    <w:rsid w:val="00E67EEA"/>
    <w:rsid w:val="00E67F25"/>
    <w:rsid w:val="00E67F95"/>
    <w:rsid w:val="00E70016"/>
    <w:rsid w:val="00E7002D"/>
    <w:rsid w:val="00E700D9"/>
    <w:rsid w:val="00E7011D"/>
    <w:rsid w:val="00E7011E"/>
    <w:rsid w:val="00E70316"/>
    <w:rsid w:val="00E70317"/>
    <w:rsid w:val="00E7032F"/>
    <w:rsid w:val="00E70338"/>
    <w:rsid w:val="00E7037B"/>
    <w:rsid w:val="00E703A3"/>
    <w:rsid w:val="00E70431"/>
    <w:rsid w:val="00E70638"/>
    <w:rsid w:val="00E706E3"/>
    <w:rsid w:val="00E7076D"/>
    <w:rsid w:val="00E707A4"/>
    <w:rsid w:val="00E707E3"/>
    <w:rsid w:val="00E70832"/>
    <w:rsid w:val="00E709C0"/>
    <w:rsid w:val="00E70A0B"/>
    <w:rsid w:val="00E70A28"/>
    <w:rsid w:val="00E70ABC"/>
    <w:rsid w:val="00E70B4F"/>
    <w:rsid w:val="00E70B64"/>
    <w:rsid w:val="00E70CC6"/>
    <w:rsid w:val="00E70D24"/>
    <w:rsid w:val="00E70D5B"/>
    <w:rsid w:val="00E70E71"/>
    <w:rsid w:val="00E70F7F"/>
    <w:rsid w:val="00E70FB8"/>
    <w:rsid w:val="00E70FC7"/>
    <w:rsid w:val="00E71056"/>
    <w:rsid w:val="00E710AD"/>
    <w:rsid w:val="00E710C0"/>
    <w:rsid w:val="00E71108"/>
    <w:rsid w:val="00E7114C"/>
    <w:rsid w:val="00E71176"/>
    <w:rsid w:val="00E711DE"/>
    <w:rsid w:val="00E713C6"/>
    <w:rsid w:val="00E715A7"/>
    <w:rsid w:val="00E71671"/>
    <w:rsid w:val="00E71757"/>
    <w:rsid w:val="00E718A0"/>
    <w:rsid w:val="00E71906"/>
    <w:rsid w:val="00E719CE"/>
    <w:rsid w:val="00E71A36"/>
    <w:rsid w:val="00E71A7C"/>
    <w:rsid w:val="00E71DA9"/>
    <w:rsid w:val="00E71DDB"/>
    <w:rsid w:val="00E71E5C"/>
    <w:rsid w:val="00E71ED9"/>
    <w:rsid w:val="00E71F55"/>
    <w:rsid w:val="00E71F75"/>
    <w:rsid w:val="00E71F88"/>
    <w:rsid w:val="00E720B4"/>
    <w:rsid w:val="00E721E5"/>
    <w:rsid w:val="00E72233"/>
    <w:rsid w:val="00E72269"/>
    <w:rsid w:val="00E72282"/>
    <w:rsid w:val="00E72426"/>
    <w:rsid w:val="00E7246E"/>
    <w:rsid w:val="00E726CB"/>
    <w:rsid w:val="00E7277C"/>
    <w:rsid w:val="00E727EE"/>
    <w:rsid w:val="00E7282A"/>
    <w:rsid w:val="00E729B5"/>
    <w:rsid w:val="00E72B0F"/>
    <w:rsid w:val="00E72B7B"/>
    <w:rsid w:val="00E72CD0"/>
    <w:rsid w:val="00E72E06"/>
    <w:rsid w:val="00E72E62"/>
    <w:rsid w:val="00E72F71"/>
    <w:rsid w:val="00E72F93"/>
    <w:rsid w:val="00E73070"/>
    <w:rsid w:val="00E73083"/>
    <w:rsid w:val="00E730EA"/>
    <w:rsid w:val="00E7324F"/>
    <w:rsid w:val="00E732D6"/>
    <w:rsid w:val="00E7334B"/>
    <w:rsid w:val="00E73551"/>
    <w:rsid w:val="00E7357A"/>
    <w:rsid w:val="00E73597"/>
    <w:rsid w:val="00E735B9"/>
    <w:rsid w:val="00E735DE"/>
    <w:rsid w:val="00E73618"/>
    <w:rsid w:val="00E737AF"/>
    <w:rsid w:val="00E7384C"/>
    <w:rsid w:val="00E7384F"/>
    <w:rsid w:val="00E73AF5"/>
    <w:rsid w:val="00E73B43"/>
    <w:rsid w:val="00E73B81"/>
    <w:rsid w:val="00E73D52"/>
    <w:rsid w:val="00E73D65"/>
    <w:rsid w:val="00E73D6D"/>
    <w:rsid w:val="00E73DA8"/>
    <w:rsid w:val="00E73DC0"/>
    <w:rsid w:val="00E73DDD"/>
    <w:rsid w:val="00E73E56"/>
    <w:rsid w:val="00E73F4F"/>
    <w:rsid w:val="00E73F61"/>
    <w:rsid w:val="00E73FAF"/>
    <w:rsid w:val="00E73FB7"/>
    <w:rsid w:val="00E73FFF"/>
    <w:rsid w:val="00E7405D"/>
    <w:rsid w:val="00E74092"/>
    <w:rsid w:val="00E740AA"/>
    <w:rsid w:val="00E741B0"/>
    <w:rsid w:val="00E741D5"/>
    <w:rsid w:val="00E74391"/>
    <w:rsid w:val="00E74400"/>
    <w:rsid w:val="00E7443D"/>
    <w:rsid w:val="00E746E6"/>
    <w:rsid w:val="00E746FD"/>
    <w:rsid w:val="00E74723"/>
    <w:rsid w:val="00E74813"/>
    <w:rsid w:val="00E74937"/>
    <w:rsid w:val="00E7493F"/>
    <w:rsid w:val="00E74968"/>
    <w:rsid w:val="00E749F0"/>
    <w:rsid w:val="00E74A18"/>
    <w:rsid w:val="00E74A33"/>
    <w:rsid w:val="00E74A50"/>
    <w:rsid w:val="00E74AF2"/>
    <w:rsid w:val="00E74B33"/>
    <w:rsid w:val="00E74B4B"/>
    <w:rsid w:val="00E74BF2"/>
    <w:rsid w:val="00E74C44"/>
    <w:rsid w:val="00E74C4B"/>
    <w:rsid w:val="00E74C78"/>
    <w:rsid w:val="00E74CBC"/>
    <w:rsid w:val="00E74CFB"/>
    <w:rsid w:val="00E74D65"/>
    <w:rsid w:val="00E74DB4"/>
    <w:rsid w:val="00E74E92"/>
    <w:rsid w:val="00E7507B"/>
    <w:rsid w:val="00E7508A"/>
    <w:rsid w:val="00E750C2"/>
    <w:rsid w:val="00E7537E"/>
    <w:rsid w:val="00E754AA"/>
    <w:rsid w:val="00E754D1"/>
    <w:rsid w:val="00E755A1"/>
    <w:rsid w:val="00E75633"/>
    <w:rsid w:val="00E7564A"/>
    <w:rsid w:val="00E75663"/>
    <w:rsid w:val="00E75674"/>
    <w:rsid w:val="00E756FC"/>
    <w:rsid w:val="00E7578C"/>
    <w:rsid w:val="00E757C3"/>
    <w:rsid w:val="00E75850"/>
    <w:rsid w:val="00E75895"/>
    <w:rsid w:val="00E75949"/>
    <w:rsid w:val="00E7594B"/>
    <w:rsid w:val="00E75A5C"/>
    <w:rsid w:val="00E75AF5"/>
    <w:rsid w:val="00E75B7A"/>
    <w:rsid w:val="00E75C48"/>
    <w:rsid w:val="00E75DB1"/>
    <w:rsid w:val="00E75EEA"/>
    <w:rsid w:val="00E75F72"/>
    <w:rsid w:val="00E7601E"/>
    <w:rsid w:val="00E76022"/>
    <w:rsid w:val="00E76031"/>
    <w:rsid w:val="00E76033"/>
    <w:rsid w:val="00E7614D"/>
    <w:rsid w:val="00E7615E"/>
    <w:rsid w:val="00E761A4"/>
    <w:rsid w:val="00E7620C"/>
    <w:rsid w:val="00E76266"/>
    <w:rsid w:val="00E762CD"/>
    <w:rsid w:val="00E7636E"/>
    <w:rsid w:val="00E763DE"/>
    <w:rsid w:val="00E763EB"/>
    <w:rsid w:val="00E76429"/>
    <w:rsid w:val="00E76494"/>
    <w:rsid w:val="00E764B4"/>
    <w:rsid w:val="00E764F4"/>
    <w:rsid w:val="00E7661B"/>
    <w:rsid w:val="00E7665A"/>
    <w:rsid w:val="00E76747"/>
    <w:rsid w:val="00E76828"/>
    <w:rsid w:val="00E768AE"/>
    <w:rsid w:val="00E768B9"/>
    <w:rsid w:val="00E768E6"/>
    <w:rsid w:val="00E7696D"/>
    <w:rsid w:val="00E7698E"/>
    <w:rsid w:val="00E76AED"/>
    <w:rsid w:val="00E76B32"/>
    <w:rsid w:val="00E76C91"/>
    <w:rsid w:val="00E76C9F"/>
    <w:rsid w:val="00E76DD9"/>
    <w:rsid w:val="00E76F4A"/>
    <w:rsid w:val="00E76F5F"/>
    <w:rsid w:val="00E76F6E"/>
    <w:rsid w:val="00E77002"/>
    <w:rsid w:val="00E7702C"/>
    <w:rsid w:val="00E770D0"/>
    <w:rsid w:val="00E771BF"/>
    <w:rsid w:val="00E77248"/>
    <w:rsid w:val="00E7726C"/>
    <w:rsid w:val="00E7732C"/>
    <w:rsid w:val="00E773BD"/>
    <w:rsid w:val="00E77400"/>
    <w:rsid w:val="00E77456"/>
    <w:rsid w:val="00E77466"/>
    <w:rsid w:val="00E774B0"/>
    <w:rsid w:val="00E77543"/>
    <w:rsid w:val="00E775DB"/>
    <w:rsid w:val="00E77627"/>
    <w:rsid w:val="00E77664"/>
    <w:rsid w:val="00E776C2"/>
    <w:rsid w:val="00E776D6"/>
    <w:rsid w:val="00E77858"/>
    <w:rsid w:val="00E77910"/>
    <w:rsid w:val="00E77961"/>
    <w:rsid w:val="00E7797E"/>
    <w:rsid w:val="00E779C0"/>
    <w:rsid w:val="00E77B9C"/>
    <w:rsid w:val="00E77BE6"/>
    <w:rsid w:val="00E77CB5"/>
    <w:rsid w:val="00E77CBD"/>
    <w:rsid w:val="00E77D22"/>
    <w:rsid w:val="00E77D92"/>
    <w:rsid w:val="00E77F83"/>
    <w:rsid w:val="00E77F86"/>
    <w:rsid w:val="00E80084"/>
    <w:rsid w:val="00E8011B"/>
    <w:rsid w:val="00E8013C"/>
    <w:rsid w:val="00E80339"/>
    <w:rsid w:val="00E80378"/>
    <w:rsid w:val="00E8042B"/>
    <w:rsid w:val="00E804D9"/>
    <w:rsid w:val="00E80619"/>
    <w:rsid w:val="00E80654"/>
    <w:rsid w:val="00E806FB"/>
    <w:rsid w:val="00E808C4"/>
    <w:rsid w:val="00E80994"/>
    <w:rsid w:val="00E8099A"/>
    <w:rsid w:val="00E80A7F"/>
    <w:rsid w:val="00E80A8C"/>
    <w:rsid w:val="00E80AFB"/>
    <w:rsid w:val="00E80B2D"/>
    <w:rsid w:val="00E80BC1"/>
    <w:rsid w:val="00E80BCC"/>
    <w:rsid w:val="00E80D1D"/>
    <w:rsid w:val="00E80D62"/>
    <w:rsid w:val="00E80D6D"/>
    <w:rsid w:val="00E80EB5"/>
    <w:rsid w:val="00E811C3"/>
    <w:rsid w:val="00E81207"/>
    <w:rsid w:val="00E812B4"/>
    <w:rsid w:val="00E81315"/>
    <w:rsid w:val="00E8135C"/>
    <w:rsid w:val="00E81386"/>
    <w:rsid w:val="00E814AA"/>
    <w:rsid w:val="00E81569"/>
    <w:rsid w:val="00E81623"/>
    <w:rsid w:val="00E81637"/>
    <w:rsid w:val="00E8172F"/>
    <w:rsid w:val="00E81789"/>
    <w:rsid w:val="00E819A3"/>
    <w:rsid w:val="00E81B11"/>
    <w:rsid w:val="00E81B28"/>
    <w:rsid w:val="00E81B29"/>
    <w:rsid w:val="00E81C32"/>
    <w:rsid w:val="00E81C55"/>
    <w:rsid w:val="00E81D97"/>
    <w:rsid w:val="00E81E25"/>
    <w:rsid w:val="00E81E3C"/>
    <w:rsid w:val="00E81E7E"/>
    <w:rsid w:val="00E81F1F"/>
    <w:rsid w:val="00E81F80"/>
    <w:rsid w:val="00E81FD4"/>
    <w:rsid w:val="00E82043"/>
    <w:rsid w:val="00E8218D"/>
    <w:rsid w:val="00E8224A"/>
    <w:rsid w:val="00E82256"/>
    <w:rsid w:val="00E82315"/>
    <w:rsid w:val="00E82366"/>
    <w:rsid w:val="00E82398"/>
    <w:rsid w:val="00E8241B"/>
    <w:rsid w:val="00E825CB"/>
    <w:rsid w:val="00E82656"/>
    <w:rsid w:val="00E8273E"/>
    <w:rsid w:val="00E8296E"/>
    <w:rsid w:val="00E82BFF"/>
    <w:rsid w:val="00E82C5A"/>
    <w:rsid w:val="00E82C95"/>
    <w:rsid w:val="00E82CE3"/>
    <w:rsid w:val="00E82DF3"/>
    <w:rsid w:val="00E82E7A"/>
    <w:rsid w:val="00E82F82"/>
    <w:rsid w:val="00E83111"/>
    <w:rsid w:val="00E8319B"/>
    <w:rsid w:val="00E831A6"/>
    <w:rsid w:val="00E832E2"/>
    <w:rsid w:val="00E83326"/>
    <w:rsid w:val="00E83433"/>
    <w:rsid w:val="00E8348F"/>
    <w:rsid w:val="00E834C3"/>
    <w:rsid w:val="00E8354A"/>
    <w:rsid w:val="00E835C2"/>
    <w:rsid w:val="00E8363F"/>
    <w:rsid w:val="00E83706"/>
    <w:rsid w:val="00E83735"/>
    <w:rsid w:val="00E83908"/>
    <w:rsid w:val="00E839DA"/>
    <w:rsid w:val="00E83A29"/>
    <w:rsid w:val="00E83A70"/>
    <w:rsid w:val="00E83A94"/>
    <w:rsid w:val="00E83A9E"/>
    <w:rsid w:val="00E83ABC"/>
    <w:rsid w:val="00E83AFD"/>
    <w:rsid w:val="00E83B5E"/>
    <w:rsid w:val="00E83BBB"/>
    <w:rsid w:val="00E83E09"/>
    <w:rsid w:val="00E83E78"/>
    <w:rsid w:val="00E83FF1"/>
    <w:rsid w:val="00E8404E"/>
    <w:rsid w:val="00E84229"/>
    <w:rsid w:val="00E84286"/>
    <w:rsid w:val="00E8442C"/>
    <w:rsid w:val="00E84472"/>
    <w:rsid w:val="00E844AE"/>
    <w:rsid w:val="00E8461B"/>
    <w:rsid w:val="00E846D8"/>
    <w:rsid w:val="00E84773"/>
    <w:rsid w:val="00E8478B"/>
    <w:rsid w:val="00E847BD"/>
    <w:rsid w:val="00E84876"/>
    <w:rsid w:val="00E848E5"/>
    <w:rsid w:val="00E84A43"/>
    <w:rsid w:val="00E84A89"/>
    <w:rsid w:val="00E84B14"/>
    <w:rsid w:val="00E84C28"/>
    <w:rsid w:val="00E84C4E"/>
    <w:rsid w:val="00E84C5A"/>
    <w:rsid w:val="00E84C6B"/>
    <w:rsid w:val="00E84D65"/>
    <w:rsid w:val="00E84D95"/>
    <w:rsid w:val="00E84F38"/>
    <w:rsid w:val="00E8501D"/>
    <w:rsid w:val="00E850FA"/>
    <w:rsid w:val="00E853A6"/>
    <w:rsid w:val="00E853B0"/>
    <w:rsid w:val="00E85489"/>
    <w:rsid w:val="00E854A9"/>
    <w:rsid w:val="00E8553D"/>
    <w:rsid w:val="00E85550"/>
    <w:rsid w:val="00E85551"/>
    <w:rsid w:val="00E85556"/>
    <w:rsid w:val="00E85675"/>
    <w:rsid w:val="00E856B3"/>
    <w:rsid w:val="00E85A36"/>
    <w:rsid w:val="00E85B92"/>
    <w:rsid w:val="00E85C44"/>
    <w:rsid w:val="00E85C51"/>
    <w:rsid w:val="00E85CE5"/>
    <w:rsid w:val="00E85D33"/>
    <w:rsid w:val="00E85D47"/>
    <w:rsid w:val="00E85DCA"/>
    <w:rsid w:val="00E85DEC"/>
    <w:rsid w:val="00E85E2E"/>
    <w:rsid w:val="00E85F9A"/>
    <w:rsid w:val="00E8609D"/>
    <w:rsid w:val="00E860AE"/>
    <w:rsid w:val="00E860B4"/>
    <w:rsid w:val="00E8612C"/>
    <w:rsid w:val="00E8621D"/>
    <w:rsid w:val="00E8632C"/>
    <w:rsid w:val="00E86349"/>
    <w:rsid w:val="00E86354"/>
    <w:rsid w:val="00E8635D"/>
    <w:rsid w:val="00E86363"/>
    <w:rsid w:val="00E863F5"/>
    <w:rsid w:val="00E8640D"/>
    <w:rsid w:val="00E8641C"/>
    <w:rsid w:val="00E86432"/>
    <w:rsid w:val="00E8652F"/>
    <w:rsid w:val="00E86568"/>
    <w:rsid w:val="00E86684"/>
    <w:rsid w:val="00E866E7"/>
    <w:rsid w:val="00E86725"/>
    <w:rsid w:val="00E8681F"/>
    <w:rsid w:val="00E86913"/>
    <w:rsid w:val="00E869CA"/>
    <w:rsid w:val="00E86AD1"/>
    <w:rsid w:val="00E86B55"/>
    <w:rsid w:val="00E86BEE"/>
    <w:rsid w:val="00E86C2F"/>
    <w:rsid w:val="00E86C76"/>
    <w:rsid w:val="00E86CFC"/>
    <w:rsid w:val="00E86D0F"/>
    <w:rsid w:val="00E86D98"/>
    <w:rsid w:val="00E86FB7"/>
    <w:rsid w:val="00E8714C"/>
    <w:rsid w:val="00E871D9"/>
    <w:rsid w:val="00E871DF"/>
    <w:rsid w:val="00E871FD"/>
    <w:rsid w:val="00E8725A"/>
    <w:rsid w:val="00E87367"/>
    <w:rsid w:val="00E873E1"/>
    <w:rsid w:val="00E8755C"/>
    <w:rsid w:val="00E87569"/>
    <w:rsid w:val="00E87625"/>
    <w:rsid w:val="00E87764"/>
    <w:rsid w:val="00E87958"/>
    <w:rsid w:val="00E879F1"/>
    <w:rsid w:val="00E87A76"/>
    <w:rsid w:val="00E87ABE"/>
    <w:rsid w:val="00E87AE0"/>
    <w:rsid w:val="00E87BE2"/>
    <w:rsid w:val="00E87C3D"/>
    <w:rsid w:val="00E87C8B"/>
    <w:rsid w:val="00E87D69"/>
    <w:rsid w:val="00E87EDD"/>
    <w:rsid w:val="00E87F19"/>
    <w:rsid w:val="00E87F3D"/>
    <w:rsid w:val="00E87F75"/>
    <w:rsid w:val="00E900F1"/>
    <w:rsid w:val="00E9016D"/>
    <w:rsid w:val="00E90204"/>
    <w:rsid w:val="00E90255"/>
    <w:rsid w:val="00E90271"/>
    <w:rsid w:val="00E9027A"/>
    <w:rsid w:val="00E902B4"/>
    <w:rsid w:val="00E902DE"/>
    <w:rsid w:val="00E902F4"/>
    <w:rsid w:val="00E903DA"/>
    <w:rsid w:val="00E90451"/>
    <w:rsid w:val="00E904A6"/>
    <w:rsid w:val="00E9062B"/>
    <w:rsid w:val="00E9065A"/>
    <w:rsid w:val="00E90673"/>
    <w:rsid w:val="00E90761"/>
    <w:rsid w:val="00E90765"/>
    <w:rsid w:val="00E90849"/>
    <w:rsid w:val="00E90899"/>
    <w:rsid w:val="00E90952"/>
    <w:rsid w:val="00E909EE"/>
    <w:rsid w:val="00E90A96"/>
    <w:rsid w:val="00E90A99"/>
    <w:rsid w:val="00E90BE3"/>
    <w:rsid w:val="00E90BFB"/>
    <w:rsid w:val="00E90C5F"/>
    <w:rsid w:val="00E90C85"/>
    <w:rsid w:val="00E90C9D"/>
    <w:rsid w:val="00E90D9F"/>
    <w:rsid w:val="00E90DE0"/>
    <w:rsid w:val="00E90E4E"/>
    <w:rsid w:val="00E90E53"/>
    <w:rsid w:val="00E90EA3"/>
    <w:rsid w:val="00E90EAD"/>
    <w:rsid w:val="00E90ECA"/>
    <w:rsid w:val="00E90F99"/>
    <w:rsid w:val="00E9113E"/>
    <w:rsid w:val="00E911A8"/>
    <w:rsid w:val="00E91319"/>
    <w:rsid w:val="00E9131B"/>
    <w:rsid w:val="00E9131C"/>
    <w:rsid w:val="00E91345"/>
    <w:rsid w:val="00E914A7"/>
    <w:rsid w:val="00E91551"/>
    <w:rsid w:val="00E91585"/>
    <w:rsid w:val="00E915C3"/>
    <w:rsid w:val="00E91625"/>
    <w:rsid w:val="00E91645"/>
    <w:rsid w:val="00E91663"/>
    <w:rsid w:val="00E916A9"/>
    <w:rsid w:val="00E916CB"/>
    <w:rsid w:val="00E91865"/>
    <w:rsid w:val="00E91891"/>
    <w:rsid w:val="00E91900"/>
    <w:rsid w:val="00E91988"/>
    <w:rsid w:val="00E91BEC"/>
    <w:rsid w:val="00E91C7C"/>
    <w:rsid w:val="00E91D02"/>
    <w:rsid w:val="00E91DE7"/>
    <w:rsid w:val="00E91E37"/>
    <w:rsid w:val="00E91E8F"/>
    <w:rsid w:val="00E91E9E"/>
    <w:rsid w:val="00E91EFB"/>
    <w:rsid w:val="00E92054"/>
    <w:rsid w:val="00E921F7"/>
    <w:rsid w:val="00E9225C"/>
    <w:rsid w:val="00E922BB"/>
    <w:rsid w:val="00E922E9"/>
    <w:rsid w:val="00E924E3"/>
    <w:rsid w:val="00E9256C"/>
    <w:rsid w:val="00E925CE"/>
    <w:rsid w:val="00E925EA"/>
    <w:rsid w:val="00E92660"/>
    <w:rsid w:val="00E92707"/>
    <w:rsid w:val="00E92708"/>
    <w:rsid w:val="00E927D2"/>
    <w:rsid w:val="00E92802"/>
    <w:rsid w:val="00E92868"/>
    <w:rsid w:val="00E928BF"/>
    <w:rsid w:val="00E92941"/>
    <w:rsid w:val="00E92A35"/>
    <w:rsid w:val="00E92A53"/>
    <w:rsid w:val="00E92AEE"/>
    <w:rsid w:val="00E92B7F"/>
    <w:rsid w:val="00E92D1F"/>
    <w:rsid w:val="00E92D46"/>
    <w:rsid w:val="00E92E5A"/>
    <w:rsid w:val="00E92E7A"/>
    <w:rsid w:val="00E92F0C"/>
    <w:rsid w:val="00E92F20"/>
    <w:rsid w:val="00E92F2E"/>
    <w:rsid w:val="00E92F75"/>
    <w:rsid w:val="00E92F87"/>
    <w:rsid w:val="00E92FFB"/>
    <w:rsid w:val="00E93022"/>
    <w:rsid w:val="00E93100"/>
    <w:rsid w:val="00E93159"/>
    <w:rsid w:val="00E93180"/>
    <w:rsid w:val="00E93242"/>
    <w:rsid w:val="00E932BF"/>
    <w:rsid w:val="00E932E2"/>
    <w:rsid w:val="00E93355"/>
    <w:rsid w:val="00E93368"/>
    <w:rsid w:val="00E9336C"/>
    <w:rsid w:val="00E933C2"/>
    <w:rsid w:val="00E933C6"/>
    <w:rsid w:val="00E93432"/>
    <w:rsid w:val="00E934CF"/>
    <w:rsid w:val="00E93602"/>
    <w:rsid w:val="00E9363E"/>
    <w:rsid w:val="00E936FE"/>
    <w:rsid w:val="00E937BA"/>
    <w:rsid w:val="00E93861"/>
    <w:rsid w:val="00E9388F"/>
    <w:rsid w:val="00E938D1"/>
    <w:rsid w:val="00E93902"/>
    <w:rsid w:val="00E93905"/>
    <w:rsid w:val="00E939C4"/>
    <w:rsid w:val="00E939FB"/>
    <w:rsid w:val="00E93A78"/>
    <w:rsid w:val="00E93ABC"/>
    <w:rsid w:val="00E93B68"/>
    <w:rsid w:val="00E93C43"/>
    <w:rsid w:val="00E93DC2"/>
    <w:rsid w:val="00E93DF6"/>
    <w:rsid w:val="00E93E3C"/>
    <w:rsid w:val="00E93F79"/>
    <w:rsid w:val="00E93FAA"/>
    <w:rsid w:val="00E93FD7"/>
    <w:rsid w:val="00E9408C"/>
    <w:rsid w:val="00E9408E"/>
    <w:rsid w:val="00E940A2"/>
    <w:rsid w:val="00E940F1"/>
    <w:rsid w:val="00E941E9"/>
    <w:rsid w:val="00E94331"/>
    <w:rsid w:val="00E9437C"/>
    <w:rsid w:val="00E944B5"/>
    <w:rsid w:val="00E944C1"/>
    <w:rsid w:val="00E94585"/>
    <w:rsid w:val="00E9459B"/>
    <w:rsid w:val="00E945E9"/>
    <w:rsid w:val="00E94687"/>
    <w:rsid w:val="00E94724"/>
    <w:rsid w:val="00E94737"/>
    <w:rsid w:val="00E94768"/>
    <w:rsid w:val="00E94783"/>
    <w:rsid w:val="00E948ED"/>
    <w:rsid w:val="00E9496D"/>
    <w:rsid w:val="00E9497B"/>
    <w:rsid w:val="00E949A2"/>
    <w:rsid w:val="00E94A54"/>
    <w:rsid w:val="00E94A5E"/>
    <w:rsid w:val="00E94A99"/>
    <w:rsid w:val="00E94C18"/>
    <w:rsid w:val="00E94C3A"/>
    <w:rsid w:val="00E94C82"/>
    <w:rsid w:val="00E94C9D"/>
    <w:rsid w:val="00E94D2A"/>
    <w:rsid w:val="00E94D50"/>
    <w:rsid w:val="00E94DCC"/>
    <w:rsid w:val="00E94DEE"/>
    <w:rsid w:val="00E9505C"/>
    <w:rsid w:val="00E9516D"/>
    <w:rsid w:val="00E95235"/>
    <w:rsid w:val="00E95239"/>
    <w:rsid w:val="00E95269"/>
    <w:rsid w:val="00E9529A"/>
    <w:rsid w:val="00E952E5"/>
    <w:rsid w:val="00E95347"/>
    <w:rsid w:val="00E95375"/>
    <w:rsid w:val="00E9538D"/>
    <w:rsid w:val="00E954E6"/>
    <w:rsid w:val="00E954FA"/>
    <w:rsid w:val="00E9553A"/>
    <w:rsid w:val="00E9557A"/>
    <w:rsid w:val="00E9558C"/>
    <w:rsid w:val="00E955DD"/>
    <w:rsid w:val="00E9562A"/>
    <w:rsid w:val="00E956AE"/>
    <w:rsid w:val="00E956B2"/>
    <w:rsid w:val="00E9578C"/>
    <w:rsid w:val="00E957EB"/>
    <w:rsid w:val="00E957F1"/>
    <w:rsid w:val="00E9592D"/>
    <w:rsid w:val="00E959A3"/>
    <w:rsid w:val="00E95AC2"/>
    <w:rsid w:val="00E95B7C"/>
    <w:rsid w:val="00E95C59"/>
    <w:rsid w:val="00E95C77"/>
    <w:rsid w:val="00E95C7A"/>
    <w:rsid w:val="00E95C87"/>
    <w:rsid w:val="00E95C9F"/>
    <w:rsid w:val="00E95D68"/>
    <w:rsid w:val="00E95D83"/>
    <w:rsid w:val="00E95DB8"/>
    <w:rsid w:val="00E95F49"/>
    <w:rsid w:val="00E95F50"/>
    <w:rsid w:val="00E96068"/>
    <w:rsid w:val="00E96132"/>
    <w:rsid w:val="00E961F6"/>
    <w:rsid w:val="00E962D2"/>
    <w:rsid w:val="00E962FF"/>
    <w:rsid w:val="00E964E3"/>
    <w:rsid w:val="00E965C3"/>
    <w:rsid w:val="00E965D7"/>
    <w:rsid w:val="00E965DF"/>
    <w:rsid w:val="00E9662B"/>
    <w:rsid w:val="00E9664A"/>
    <w:rsid w:val="00E9669A"/>
    <w:rsid w:val="00E966F4"/>
    <w:rsid w:val="00E96779"/>
    <w:rsid w:val="00E96814"/>
    <w:rsid w:val="00E96A7E"/>
    <w:rsid w:val="00E96AFC"/>
    <w:rsid w:val="00E96B2A"/>
    <w:rsid w:val="00E96C5C"/>
    <w:rsid w:val="00E96D15"/>
    <w:rsid w:val="00E96D47"/>
    <w:rsid w:val="00E96DA5"/>
    <w:rsid w:val="00E96E3C"/>
    <w:rsid w:val="00E96F02"/>
    <w:rsid w:val="00E9707A"/>
    <w:rsid w:val="00E97094"/>
    <w:rsid w:val="00E9712F"/>
    <w:rsid w:val="00E97147"/>
    <w:rsid w:val="00E972AD"/>
    <w:rsid w:val="00E972D6"/>
    <w:rsid w:val="00E97313"/>
    <w:rsid w:val="00E973B3"/>
    <w:rsid w:val="00E9745D"/>
    <w:rsid w:val="00E97478"/>
    <w:rsid w:val="00E9762E"/>
    <w:rsid w:val="00E9773C"/>
    <w:rsid w:val="00E9775A"/>
    <w:rsid w:val="00E97767"/>
    <w:rsid w:val="00E97780"/>
    <w:rsid w:val="00E977A5"/>
    <w:rsid w:val="00E97850"/>
    <w:rsid w:val="00E97AAC"/>
    <w:rsid w:val="00E97AE9"/>
    <w:rsid w:val="00E97B02"/>
    <w:rsid w:val="00E97C3B"/>
    <w:rsid w:val="00E97C45"/>
    <w:rsid w:val="00E97D2F"/>
    <w:rsid w:val="00E97E54"/>
    <w:rsid w:val="00E97E70"/>
    <w:rsid w:val="00E97E8A"/>
    <w:rsid w:val="00E97EA3"/>
    <w:rsid w:val="00E97F2C"/>
    <w:rsid w:val="00EA000F"/>
    <w:rsid w:val="00EA004B"/>
    <w:rsid w:val="00EA009B"/>
    <w:rsid w:val="00EA00C9"/>
    <w:rsid w:val="00EA0145"/>
    <w:rsid w:val="00EA01B0"/>
    <w:rsid w:val="00EA01D7"/>
    <w:rsid w:val="00EA031E"/>
    <w:rsid w:val="00EA0323"/>
    <w:rsid w:val="00EA0345"/>
    <w:rsid w:val="00EA0486"/>
    <w:rsid w:val="00EA0616"/>
    <w:rsid w:val="00EA0731"/>
    <w:rsid w:val="00EA073B"/>
    <w:rsid w:val="00EA0792"/>
    <w:rsid w:val="00EA079E"/>
    <w:rsid w:val="00EA07F1"/>
    <w:rsid w:val="00EA084B"/>
    <w:rsid w:val="00EA087F"/>
    <w:rsid w:val="00EA08B2"/>
    <w:rsid w:val="00EA0A3F"/>
    <w:rsid w:val="00EA0A4D"/>
    <w:rsid w:val="00EA0AB1"/>
    <w:rsid w:val="00EA0AE7"/>
    <w:rsid w:val="00EA0DDA"/>
    <w:rsid w:val="00EA0EF1"/>
    <w:rsid w:val="00EA1030"/>
    <w:rsid w:val="00EA104C"/>
    <w:rsid w:val="00EA10E0"/>
    <w:rsid w:val="00EA11F1"/>
    <w:rsid w:val="00EA1206"/>
    <w:rsid w:val="00EA1299"/>
    <w:rsid w:val="00EA157D"/>
    <w:rsid w:val="00EA177E"/>
    <w:rsid w:val="00EA18A7"/>
    <w:rsid w:val="00EA18CA"/>
    <w:rsid w:val="00EA1936"/>
    <w:rsid w:val="00EA1A65"/>
    <w:rsid w:val="00EA1AA6"/>
    <w:rsid w:val="00EA1C6F"/>
    <w:rsid w:val="00EA1D80"/>
    <w:rsid w:val="00EA1D8F"/>
    <w:rsid w:val="00EA1DAE"/>
    <w:rsid w:val="00EA1EC6"/>
    <w:rsid w:val="00EA2293"/>
    <w:rsid w:val="00EA2389"/>
    <w:rsid w:val="00EA23E8"/>
    <w:rsid w:val="00EA2477"/>
    <w:rsid w:val="00EA249A"/>
    <w:rsid w:val="00EA2502"/>
    <w:rsid w:val="00EA251B"/>
    <w:rsid w:val="00EA2523"/>
    <w:rsid w:val="00EA256D"/>
    <w:rsid w:val="00EA2652"/>
    <w:rsid w:val="00EA2751"/>
    <w:rsid w:val="00EA2757"/>
    <w:rsid w:val="00EA27C7"/>
    <w:rsid w:val="00EA281A"/>
    <w:rsid w:val="00EA2907"/>
    <w:rsid w:val="00EA2934"/>
    <w:rsid w:val="00EA2A67"/>
    <w:rsid w:val="00EA2AA6"/>
    <w:rsid w:val="00EA2B49"/>
    <w:rsid w:val="00EA2B63"/>
    <w:rsid w:val="00EA2BCD"/>
    <w:rsid w:val="00EA2C83"/>
    <w:rsid w:val="00EA2ED2"/>
    <w:rsid w:val="00EA301E"/>
    <w:rsid w:val="00EA3068"/>
    <w:rsid w:val="00EA3078"/>
    <w:rsid w:val="00EA31EE"/>
    <w:rsid w:val="00EA3221"/>
    <w:rsid w:val="00EA32BA"/>
    <w:rsid w:val="00EA347B"/>
    <w:rsid w:val="00EA349B"/>
    <w:rsid w:val="00EA388A"/>
    <w:rsid w:val="00EA3944"/>
    <w:rsid w:val="00EA399F"/>
    <w:rsid w:val="00EA3A79"/>
    <w:rsid w:val="00EA3BFE"/>
    <w:rsid w:val="00EA3C0E"/>
    <w:rsid w:val="00EA3C6D"/>
    <w:rsid w:val="00EA3CA5"/>
    <w:rsid w:val="00EA3D7A"/>
    <w:rsid w:val="00EA3DCE"/>
    <w:rsid w:val="00EA3E84"/>
    <w:rsid w:val="00EA3F54"/>
    <w:rsid w:val="00EA4058"/>
    <w:rsid w:val="00EA40C1"/>
    <w:rsid w:val="00EA415D"/>
    <w:rsid w:val="00EA417A"/>
    <w:rsid w:val="00EA41E3"/>
    <w:rsid w:val="00EA42F2"/>
    <w:rsid w:val="00EA4525"/>
    <w:rsid w:val="00EA4539"/>
    <w:rsid w:val="00EA45F2"/>
    <w:rsid w:val="00EA46A1"/>
    <w:rsid w:val="00EA4798"/>
    <w:rsid w:val="00EA47C4"/>
    <w:rsid w:val="00EA481E"/>
    <w:rsid w:val="00EA48C2"/>
    <w:rsid w:val="00EA4912"/>
    <w:rsid w:val="00EA497B"/>
    <w:rsid w:val="00EA4A66"/>
    <w:rsid w:val="00EA4BBC"/>
    <w:rsid w:val="00EA4C90"/>
    <w:rsid w:val="00EA4D15"/>
    <w:rsid w:val="00EA4D37"/>
    <w:rsid w:val="00EA4D40"/>
    <w:rsid w:val="00EA4E03"/>
    <w:rsid w:val="00EA4E05"/>
    <w:rsid w:val="00EA4E20"/>
    <w:rsid w:val="00EA4F90"/>
    <w:rsid w:val="00EA5004"/>
    <w:rsid w:val="00EA5175"/>
    <w:rsid w:val="00EA51FF"/>
    <w:rsid w:val="00EA52E6"/>
    <w:rsid w:val="00EA5322"/>
    <w:rsid w:val="00EA53DA"/>
    <w:rsid w:val="00EA53F9"/>
    <w:rsid w:val="00EA544B"/>
    <w:rsid w:val="00EA54B2"/>
    <w:rsid w:val="00EA54BD"/>
    <w:rsid w:val="00EA5629"/>
    <w:rsid w:val="00EA5742"/>
    <w:rsid w:val="00EA57B2"/>
    <w:rsid w:val="00EA57E9"/>
    <w:rsid w:val="00EA58A9"/>
    <w:rsid w:val="00EA597C"/>
    <w:rsid w:val="00EA5B49"/>
    <w:rsid w:val="00EA5BF5"/>
    <w:rsid w:val="00EA5C51"/>
    <w:rsid w:val="00EA5C6E"/>
    <w:rsid w:val="00EA5C8C"/>
    <w:rsid w:val="00EA5CD6"/>
    <w:rsid w:val="00EA5CE2"/>
    <w:rsid w:val="00EA5D76"/>
    <w:rsid w:val="00EA600C"/>
    <w:rsid w:val="00EA6016"/>
    <w:rsid w:val="00EA606B"/>
    <w:rsid w:val="00EA610D"/>
    <w:rsid w:val="00EA6153"/>
    <w:rsid w:val="00EA61BE"/>
    <w:rsid w:val="00EA6204"/>
    <w:rsid w:val="00EA622B"/>
    <w:rsid w:val="00EA6292"/>
    <w:rsid w:val="00EA62D2"/>
    <w:rsid w:val="00EA6626"/>
    <w:rsid w:val="00EA6733"/>
    <w:rsid w:val="00EA6759"/>
    <w:rsid w:val="00EA67BE"/>
    <w:rsid w:val="00EA6841"/>
    <w:rsid w:val="00EA6884"/>
    <w:rsid w:val="00EA68B2"/>
    <w:rsid w:val="00EA6A18"/>
    <w:rsid w:val="00EA6CD0"/>
    <w:rsid w:val="00EA6CDC"/>
    <w:rsid w:val="00EA6DA6"/>
    <w:rsid w:val="00EA6E66"/>
    <w:rsid w:val="00EA6EC7"/>
    <w:rsid w:val="00EA6F43"/>
    <w:rsid w:val="00EA6F8E"/>
    <w:rsid w:val="00EA6FB2"/>
    <w:rsid w:val="00EA6FC1"/>
    <w:rsid w:val="00EA705B"/>
    <w:rsid w:val="00EA70A4"/>
    <w:rsid w:val="00EA7119"/>
    <w:rsid w:val="00EA7229"/>
    <w:rsid w:val="00EA7323"/>
    <w:rsid w:val="00EA73D0"/>
    <w:rsid w:val="00EA7431"/>
    <w:rsid w:val="00EA7551"/>
    <w:rsid w:val="00EA75B7"/>
    <w:rsid w:val="00EA7630"/>
    <w:rsid w:val="00EA76AC"/>
    <w:rsid w:val="00EA7777"/>
    <w:rsid w:val="00EA777B"/>
    <w:rsid w:val="00EA7851"/>
    <w:rsid w:val="00EA78A0"/>
    <w:rsid w:val="00EA78A7"/>
    <w:rsid w:val="00EA7932"/>
    <w:rsid w:val="00EA7953"/>
    <w:rsid w:val="00EA7B35"/>
    <w:rsid w:val="00EA7C63"/>
    <w:rsid w:val="00EA7C82"/>
    <w:rsid w:val="00EA7CDF"/>
    <w:rsid w:val="00EA7D96"/>
    <w:rsid w:val="00EA7E8B"/>
    <w:rsid w:val="00EA7EC0"/>
    <w:rsid w:val="00EA7F0E"/>
    <w:rsid w:val="00EA7F97"/>
    <w:rsid w:val="00EA7FCC"/>
    <w:rsid w:val="00EB003C"/>
    <w:rsid w:val="00EB0244"/>
    <w:rsid w:val="00EB026C"/>
    <w:rsid w:val="00EB02CF"/>
    <w:rsid w:val="00EB02D5"/>
    <w:rsid w:val="00EB0323"/>
    <w:rsid w:val="00EB0367"/>
    <w:rsid w:val="00EB0374"/>
    <w:rsid w:val="00EB044D"/>
    <w:rsid w:val="00EB0509"/>
    <w:rsid w:val="00EB055A"/>
    <w:rsid w:val="00EB05AF"/>
    <w:rsid w:val="00EB086A"/>
    <w:rsid w:val="00EB0874"/>
    <w:rsid w:val="00EB091E"/>
    <w:rsid w:val="00EB09A5"/>
    <w:rsid w:val="00EB0A3E"/>
    <w:rsid w:val="00EB0A89"/>
    <w:rsid w:val="00EB0B8E"/>
    <w:rsid w:val="00EB0C5B"/>
    <w:rsid w:val="00EB0CE1"/>
    <w:rsid w:val="00EB0D42"/>
    <w:rsid w:val="00EB0DD7"/>
    <w:rsid w:val="00EB0E1D"/>
    <w:rsid w:val="00EB0E30"/>
    <w:rsid w:val="00EB0F91"/>
    <w:rsid w:val="00EB0FAF"/>
    <w:rsid w:val="00EB1017"/>
    <w:rsid w:val="00EB1035"/>
    <w:rsid w:val="00EB1110"/>
    <w:rsid w:val="00EB113A"/>
    <w:rsid w:val="00EB1178"/>
    <w:rsid w:val="00EB120A"/>
    <w:rsid w:val="00EB123E"/>
    <w:rsid w:val="00EB1304"/>
    <w:rsid w:val="00EB133F"/>
    <w:rsid w:val="00EB1384"/>
    <w:rsid w:val="00EB13C4"/>
    <w:rsid w:val="00EB1448"/>
    <w:rsid w:val="00EB1488"/>
    <w:rsid w:val="00EB155B"/>
    <w:rsid w:val="00EB1603"/>
    <w:rsid w:val="00EB186F"/>
    <w:rsid w:val="00EB18D5"/>
    <w:rsid w:val="00EB19FD"/>
    <w:rsid w:val="00EB1A6E"/>
    <w:rsid w:val="00EB1A9A"/>
    <w:rsid w:val="00EB1B65"/>
    <w:rsid w:val="00EB1BF1"/>
    <w:rsid w:val="00EB1C7F"/>
    <w:rsid w:val="00EB1D0B"/>
    <w:rsid w:val="00EB1D29"/>
    <w:rsid w:val="00EB1F00"/>
    <w:rsid w:val="00EB208D"/>
    <w:rsid w:val="00EB21F1"/>
    <w:rsid w:val="00EB2217"/>
    <w:rsid w:val="00EB224D"/>
    <w:rsid w:val="00EB229C"/>
    <w:rsid w:val="00EB2331"/>
    <w:rsid w:val="00EB2332"/>
    <w:rsid w:val="00EB2383"/>
    <w:rsid w:val="00EB2587"/>
    <w:rsid w:val="00EB2716"/>
    <w:rsid w:val="00EB2736"/>
    <w:rsid w:val="00EB2750"/>
    <w:rsid w:val="00EB2822"/>
    <w:rsid w:val="00EB286B"/>
    <w:rsid w:val="00EB2A1F"/>
    <w:rsid w:val="00EB2A65"/>
    <w:rsid w:val="00EB2AC3"/>
    <w:rsid w:val="00EB2B16"/>
    <w:rsid w:val="00EB2B1C"/>
    <w:rsid w:val="00EB2B2A"/>
    <w:rsid w:val="00EB2B5E"/>
    <w:rsid w:val="00EB2C89"/>
    <w:rsid w:val="00EB2D1F"/>
    <w:rsid w:val="00EB2D24"/>
    <w:rsid w:val="00EB2D36"/>
    <w:rsid w:val="00EB2DD5"/>
    <w:rsid w:val="00EB2F48"/>
    <w:rsid w:val="00EB3055"/>
    <w:rsid w:val="00EB3168"/>
    <w:rsid w:val="00EB3207"/>
    <w:rsid w:val="00EB3358"/>
    <w:rsid w:val="00EB3388"/>
    <w:rsid w:val="00EB33A0"/>
    <w:rsid w:val="00EB33BA"/>
    <w:rsid w:val="00EB33C1"/>
    <w:rsid w:val="00EB3448"/>
    <w:rsid w:val="00EB34B7"/>
    <w:rsid w:val="00EB352A"/>
    <w:rsid w:val="00EB3561"/>
    <w:rsid w:val="00EB36CE"/>
    <w:rsid w:val="00EB37E5"/>
    <w:rsid w:val="00EB37EF"/>
    <w:rsid w:val="00EB39CC"/>
    <w:rsid w:val="00EB39F8"/>
    <w:rsid w:val="00EB3ADB"/>
    <w:rsid w:val="00EB3BF9"/>
    <w:rsid w:val="00EB3C4D"/>
    <w:rsid w:val="00EB3CE5"/>
    <w:rsid w:val="00EB3D85"/>
    <w:rsid w:val="00EB3DF7"/>
    <w:rsid w:val="00EB40BD"/>
    <w:rsid w:val="00EB4131"/>
    <w:rsid w:val="00EB422F"/>
    <w:rsid w:val="00EB4247"/>
    <w:rsid w:val="00EB42C0"/>
    <w:rsid w:val="00EB42EB"/>
    <w:rsid w:val="00EB4403"/>
    <w:rsid w:val="00EB445F"/>
    <w:rsid w:val="00EB449E"/>
    <w:rsid w:val="00EB459F"/>
    <w:rsid w:val="00EB4728"/>
    <w:rsid w:val="00EB4808"/>
    <w:rsid w:val="00EB4811"/>
    <w:rsid w:val="00EB482E"/>
    <w:rsid w:val="00EB4848"/>
    <w:rsid w:val="00EB49BF"/>
    <w:rsid w:val="00EB4ABF"/>
    <w:rsid w:val="00EB4ADF"/>
    <w:rsid w:val="00EB4B3D"/>
    <w:rsid w:val="00EB4B45"/>
    <w:rsid w:val="00EB4C2A"/>
    <w:rsid w:val="00EB4F8B"/>
    <w:rsid w:val="00EB5061"/>
    <w:rsid w:val="00EB5137"/>
    <w:rsid w:val="00EB52F2"/>
    <w:rsid w:val="00EB539B"/>
    <w:rsid w:val="00EB5453"/>
    <w:rsid w:val="00EB5499"/>
    <w:rsid w:val="00EB556F"/>
    <w:rsid w:val="00EB5618"/>
    <w:rsid w:val="00EB561D"/>
    <w:rsid w:val="00EB568D"/>
    <w:rsid w:val="00EB573A"/>
    <w:rsid w:val="00EB578D"/>
    <w:rsid w:val="00EB581A"/>
    <w:rsid w:val="00EB5874"/>
    <w:rsid w:val="00EB5899"/>
    <w:rsid w:val="00EB58EE"/>
    <w:rsid w:val="00EB58F1"/>
    <w:rsid w:val="00EB5969"/>
    <w:rsid w:val="00EB5A21"/>
    <w:rsid w:val="00EB5B2E"/>
    <w:rsid w:val="00EB5CE2"/>
    <w:rsid w:val="00EB5DCE"/>
    <w:rsid w:val="00EB5DEA"/>
    <w:rsid w:val="00EB5F07"/>
    <w:rsid w:val="00EB5F2B"/>
    <w:rsid w:val="00EB5F7B"/>
    <w:rsid w:val="00EB5FC5"/>
    <w:rsid w:val="00EB6048"/>
    <w:rsid w:val="00EB606F"/>
    <w:rsid w:val="00EB6162"/>
    <w:rsid w:val="00EB6254"/>
    <w:rsid w:val="00EB62AA"/>
    <w:rsid w:val="00EB62E6"/>
    <w:rsid w:val="00EB631D"/>
    <w:rsid w:val="00EB632D"/>
    <w:rsid w:val="00EB63DA"/>
    <w:rsid w:val="00EB6510"/>
    <w:rsid w:val="00EB6523"/>
    <w:rsid w:val="00EB65C4"/>
    <w:rsid w:val="00EB6726"/>
    <w:rsid w:val="00EB6843"/>
    <w:rsid w:val="00EB69A9"/>
    <w:rsid w:val="00EB6A97"/>
    <w:rsid w:val="00EB6AA2"/>
    <w:rsid w:val="00EB6AAB"/>
    <w:rsid w:val="00EB6B97"/>
    <w:rsid w:val="00EB6C4B"/>
    <w:rsid w:val="00EB6C78"/>
    <w:rsid w:val="00EB6D37"/>
    <w:rsid w:val="00EB6DBD"/>
    <w:rsid w:val="00EB6E23"/>
    <w:rsid w:val="00EB6F5D"/>
    <w:rsid w:val="00EB703B"/>
    <w:rsid w:val="00EB7243"/>
    <w:rsid w:val="00EB7288"/>
    <w:rsid w:val="00EB732C"/>
    <w:rsid w:val="00EB741B"/>
    <w:rsid w:val="00EB7542"/>
    <w:rsid w:val="00EB7568"/>
    <w:rsid w:val="00EB75F0"/>
    <w:rsid w:val="00EB7619"/>
    <w:rsid w:val="00EB7742"/>
    <w:rsid w:val="00EB7796"/>
    <w:rsid w:val="00EB7812"/>
    <w:rsid w:val="00EB7907"/>
    <w:rsid w:val="00EB7933"/>
    <w:rsid w:val="00EB7A0E"/>
    <w:rsid w:val="00EB7A66"/>
    <w:rsid w:val="00EB7A6E"/>
    <w:rsid w:val="00EB7B2C"/>
    <w:rsid w:val="00EB7BE7"/>
    <w:rsid w:val="00EB7BFE"/>
    <w:rsid w:val="00EB7C30"/>
    <w:rsid w:val="00EB7C5A"/>
    <w:rsid w:val="00EB7D07"/>
    <w:rsid w:val="00EB7E59"/>
    <w:rsid w:val="00EB7E9E"/>
    <w:rsid w:val="00EB7FE1"/>
    <w:rsid w:val="00EC00A5"/>
    <w:rsid w:val="00EC01ED"/>
    <w:rsid w:val="00EC02C7"/>
    <w:rsid w:val="00EC030A"/>
    <w:rsid w:val="00EC0470"/>
    <w:rsid w:val="00EC0572"/>
    <w:rsid w:val="00EC0669"/>
    <w:rsid w:val="00EC06B6"/>
    <w:rsid w:val="00EC06E7"/>
    <w:rsid w:val="00EC0724"/>
    <w:rsid w:val="00EC0834"/>
    <w:rsid w:val="00EC08E9"/>
    <w:rsid w:val="00EC0958"/>
    <w:rsid w:val="00EC09DB"/>
    <w:rsid w:val="00EC09DE"/>
    <w:rsid w:val="00EC0AF2"/>
    <w:rsid w:val="00EC0B66"/>
    <w:rsid w:val="00EC0D75"/>
    <w:rsid w:val="00EC0DC5"/>
    <w:rsid w:val="00EC0E17"/>
    <w:rsid w:val="00EC0EB8"/>
    <w:rsid w:val="00EC0EC5"/>
    <w:rsid w:val="00EC0EE0"/>
    <w:rsid w:val="00EC0F5C"/>
    <w:rsid w:val="00EC0FD4"/>
    <w:rsid w:val="00EC0FDF"/>
    <w:rsid w:val="00EC0FF9"/>
    <w:rsid w:val="00EC1162"/>
    <w:rsid w:val="00EC1227"/>
    <w:rsid w:val="00EC1396"/>
    <w:rsid w:val="00EC13D8"/>
    <w:rsid w:val="00EC1442"/>
    <w:rsid w:val="00EC1451"/>
    <w:rsid w:val="00EC1502"/>
    <w:rsid w:val="00EC16C0"/>
    <w:rsid w:val="00EC16FD"/>
    <w:rsid w:val="00EC17F0"/>
    <w:rsid w:val="00EC1923"/>
    <w:rsid w:val="00EC1975"/>
    <w:rsid w:val="00EC1A0B"/>
    <w:rsid w:val="00EC1B61"/>
    <w:rsid w:val="00EC1C16"/>
    <w:rsid w:val="00EC1C2A"/>
    <w:rsid w:val="00EC1CB1"/>
    <w:rsid w:val="00EC1D44"/>
    <w:rsid w:val="00EC1D82"/>
    <w:rsid w:val="00EC1EAF"/>
    <w:rsid w:val="00EC1EF9"/>
    <w:rsid w:val="00EC1F60"/>
    <w:rsid w:val="00EC1FD8"/>
    <w:rsid w:val="00EC20DD"/>
    <w:rsid w:val="00EC2101"/>
    <w:rsid w:val="00EC2113"/>
    <w:rsid w:val="00EC225B"/>
    <w:rsid w:val="00EC23E2"/>
    <w:rsid w:val="00EC23F0"/>
    <w:rsid w:val="00EC23FD"/>
    <w:rsid w:val="00EC242B"/>
    <w:rsid w:val="00EC24BC"/>
    <w:rsid w:val="00EC2698"/>
    <w:rsid w:val="00EC2733"/>
    <w:rsid w:val="00EC278B"/>
    <w:rsid w:val="00EC2807"/>
    <w:rsid w:val="00EC284E"/>
    <w:rsid w:val="00EC288F"/>
    <w:rsid w:val="00EC290E"/>
    <w:rsid w:val="00EC293B"/>
    <w:rsid w:val="00EC2978"/>
    <w:rsid w:val="00EC29A9"/>
    <w:rsid w:val="00EC29CA"/>
    <w:rsid w:val="00EC29E9"/>
    <w:rsid w:val="00EC2A3F"/>
    <w:rsid w:val="00EC2C49"/>
    <w:rsid w:val="00EC2D24"/>
    <w:rsid w:val="00EC2D91"/>
    <w:rsid w:val="00EC2DC6"/>
    <w:rsid w:val="00EC2E64"/>
    <w:rsid w:val="00EC2EEF"/>
    <w:rsid w:val="00EC2F31"/>
    <w:rsid w:val="00EC30DB"/>
    <w:rsid w:val="00EC3106"/>
    <w:rsid w:val="00EC31AE"/>
    <w:rsid w:val="00EC32C6"/>
    <w:rsid w:val="00EC32CF"/>
    <w:rsid w:val="00EC3300"/>
    <w:rsid w:val="00EC3459"/>
    <w:rsid w:val="00EC3485"/>
    <w:rsid w:val="00EC34A9"/>
    <w:rsid w:val="00EC34CC"/>
    <w:rsid w:val="00EC35CE"/>
    <w:rsid w:val="00EC35CF"/>
    <w:rsid w:val="00EC361D"/>
    <w:rsid w:val="00EC36EC"/>
    <w:rsid w:val="00EC37F5"/>
    <w:rsid w:val="00EC3833"/>
    <w:rsid w:val="00EC38A7"/>
    <w:rsid w:val="00EC3A10"/>
    <w:rsid w:val="00EC3A5E"/>
    <w:rsid w:val="00EC3AC5"/>
    <w:rsid w:val="00EC3B98"/>
    <w:rsid w:val="00EC3BCA"/>
    <w:rsid w:val="00EC3C1F"/>
    <w:rsid w:val="00EC3C5B"/>
    <w:rsid w:val="00EC3CD1"/>
    <w:rsid w:val="00EC3EE5"/>
    <w:rsid w:val="00EC3F49"/>
    <w:rsid w:val="00EC4008"/>
    <w:rsid w:val="00EC4014"/>
    <w:rsid w:val="00EC40BB"/>
    <w:rsid w:val="00EC40DC"/>
    <w:rsid w:val="00EC41DB"/>
    <w:rsid w:val="00EC4239"/>
    <w:rsid w:val="00EC42B0"/>
    <w:rsid w:val="00EC42FF"/>
    <w:rsid w:val="00EC43E1"/>
    <w:rsid w:val="00EC4574"/>
    <w:rsid w:val="00EC4656"/>
    <w:rsid w:val="00EC46BF"/>
    <w:rsid w:val="00EC4720"/>
    <w:rsid w:val="00EC4778"/>
    <w:rsid w:val="00EC478B"/>
    <w:rsid w:val="00EC4792"/>
    <w:rsid w:val="00EC4831"/>
    <w:rsid w:val="00EC48D5"/>
    <w:rsid w:val="00EC4926"/>
    <w:rsid w:val="00EC4A6B"/>
    <w:rsid w:val="00EC4AE2"/>
    <w:rsid w:val="00EC4C1C"/>
    <w:rsid w:val="00EC4DB1"/>
    <w:rsid w:val="00EC4F7B"/>
    <w:rsid w:val="00EC5150"/>
    <w:rsid w:val="00EC5249"/>
    <w:rsid w:val="00EC5289"/>
    <w:rsid w:val="00EC52A8"/>
    <w:rsid w:val="00EC5364"/>
    <w:rsid w:val="00EC5396"/>
    <w:rsid w:val="00EC53B6"/>
    <w:rsid w:val="00EC53BA"/>
    <w:rsid w:val="00EC5512"/>
    <w:rsid w:val="00EC5562"/>
    <w:rsid w:val="00EC55CA"/>
    <w:rsid w:val="00EC57F2"/>
    <w:rsid w:val="00EC58A1"/>
    <w:rsid w:val="00EC58EA"/>
    <w:rsid w:val="00EC5930"/>
    <w:rsid w:val="00EC5A35"/>
    <w:rsid w:val="00EC5A53"/>
    <w:rsid w:val="00EC5C21"/>
    <w:rsid w:val="00EC5DA9"/>
    <w:rsid w:val="00EC5DF3"/>
    <w:rsid w:val="00EC5F76"/>
    <w:rsid w:val="00EC6029"/>
    <w:rsid w:val="00EC603C"/>
    <w:rsid w:val="00EC6067"/>
    <w:rsid w:val="00EC6084"/>
    <w:rsid w:val="00EC6085"/>
    <w:rsid w:val="00EC60BB"/>
    <w:rsid w:val="00EC60C0"/>
    <w:rsid w:val="00EC611D"/>
    <w:rsid w:val="00EC6123"/>
    <w:rsid w:val="00EC6141"/>
    <w:rsid w:val="00EC618F"/>
    <w:rsid w:val="00EC62B9"/>
    <w:rsid w:val="00EC632C"/>
    <w:rsid w:val="00EC6349"/>
    <w:rsid w:val="00EC63DD"/>
    <w:rsid w:val="00EC6509"/>
    <w:rsid w:val="00EC663F"/>
    <w:rsid w:val="00EC66DF"/>
    <w:rsid w:val="00EC67BE"/>
    <w:rsid w:val="00EC67D5"/>
    <w:rsid w:val="00EC6852"/>
    <w:rsid w:val="00EC6B2A"/>
    <w:rsid w:val="00EC6C22"/>
    <w:rsid w:val="00EC6CE4"/>
    <w:rsid w:val="00EC6D7F"/>
    <w:rsid w:val="00EC6E3C"/>
    <w:rsid w:val="00EC6E52"/>
    <w:rsid w:val="00EC6FA7"/>
    <w:rsid w:val="00EC6FB5"/>
    <w:rsid w:val="00EC6FBE"/>
    <w:rsid w:val="00EC707B"/>
    <w:rsid w:val="00EC709F"/>
    <w:rsid w:val="00EC723F"/>
    <w:rsid w:val="00EC7279"/>
    <w:rsid w:val="00EC72D0"/>
    <w:rsid w:val="00EC73D9"/>
    <w:rsid w:val="00EC73F2"/>
    <w:rsid w:val="00EC7465"/>
    <w:rsid w:val="00EC7468"/>
    <w:rsid w:val="00EC749C"/>
    <w:rsid w:val="00EC74E8"/>
    <w:rsid w:val="00EC763A"/>
    <w:rsid w:val="00EC76BA"/>
    <w:rsid w:val="00EC773E"/>
    <w:rsid w:val="00EC779B"/>
    <w:rsid w:val="00EC77A8"/>
    <w:rsid w:val="00EC791C"/>
    <w:rsid w:val="00EC796F"/>
    <w:rsid w:val="00EC7AE1"/>
    <w:rsid w:val="00EC7B46"/>
    <w:rsid w:val="00EC7BA7"/>
    <w:rsid w:val="00EC7BC6"/>
    <w:rsid w:val="00EC7C01"/>
    <w:rsid w:val="00EC7C13"/>
    <w:rsid w:val="00EC7C31"/>
    <w:rsid w:val="00EC7D38"/>
    <w:rsid w:val="00EC7D6F"/>
    <w:rsid w:val="00EC7D88"/>
    <w:rsid w:val="00EC7E12"/>
    <w:rsid w:val="00ED009A"/>
    <w:rsid w:val="00ED0122"/>
    <w:rsid w:val="00ED0432"/>
    <w:rsid w:val="00ED0939"/>
    <w:rsid w:val="00ED0A96"/>
    <w:rsid w:val="00ED0B24"/>
    <w:rsid w:val="00ED0B3D"/>
    <w:rsid w:val="00ED0C28"/>
    <w:rsid w:val="00ED0C97"/>
    <w:rsid w:val="00ED0CF9"/>
    <w:rsid w:val="00ED0D29"/>
    <w:rsid w:val="00ED0D73"/>
    <w:rsid w:val="00ED0D87"/>
    <w:rsid w:val="00ED0E26"/>
    <w:rsid w:val="00ED0ED8"/>
    <w:rsid w:val="00ED0F39"/>
    <w:rsid w:val="00ED100F"/>
    <w:rsid w:val="00ED1057"/>
    <w:rsid w:val="00ED1121"/>
    <w:rsid w:val="00ED116F"/>
    <w:rsid w:val="00ED122F"/>
    <w:rsid w:val="00ED12B4"/>
    <w:rsid w:val="00ED13D8"/>
    <w:rsid w:val="00ED1532"/>
    <w:rsid w:val="00ED1554"/>
    <w:rsid w:val="00ED1564"/>
    <w:rsid w:val="00ED1668"/>
    <w:rsid w:val="00ED16E7"/>
    <w:rsid w:val="00ED1740"/>
    <w:rsid w:val="00ED176F"/>
    <w:rsid w:val="00ED1797"/>
    <w:rsid w:val="00ED1862"/>
    <w:rsid w:val="00ED18C6"/>
    <w:rsid w:val="00ED195F"/>
    <w:rsid w:val="00ED1A7C"/>
    <w:rsid w:val="00ED1B5F"/>
    <w:rsid w:val="00ED1C54"/>
    <w:rsid w:val="00ED1C7C"/>
    <w:rsid w:val="00ED1D54"/>
    <w:rsid w:val="00ED1E03"/>
    <w:rsid w:val="00ED1F47"/>
    <w:rsid w:val="00ED1F4C"/>
    <w:rsid w:val="00ED1FF0"/>
    <w:rsid w:val="00ED20B9"/>
    <w:rsid w:val="00ED219E"/>
    <w:rsid w:val="00ED21E6"/>
    <w:rsid w:val="00ED22BE"/>
    <w:rsid w:val="00ED2426"/>
    <w:rsid w:val="00ED249B"/>
    <w:rsid w:val="00ED2569"/>
    <w:rsid w:val="00ED2609"/>
    <w:rsid w:val="00ED265A"/>
    <w:rsid w:val="00ED269D"/>
    <w:rsid w:val="00ED26DF"/>
    <w:rsid w:val="00ED2720"/>
    <w:rsid w:val="00ED2731"/>
    <w:rsid w:val="00ED2865"/>
    <w:rsid w:val="00ED289A"/>
    <w:rsid w:val="00ED2933"/>
    <w:rsid w:val="00ED2939"/>
    <w:rsid w:val="00ED297D"/>
    <w:rsid w:val="00ED29B3"/>
    <w:rsid w:val="00ED29E8"/>
    <w:rsid w:val="00ED2A21"/>
    <w:rsid w:val="00ED2A44"/>
    <w:rsid w:val="00ED2A51"/>
    <w:rsid w:val="00ED2AA1"/>
    <w:rsid w:val="00ED2AF7"/>
    <w:rsid w:val="00ED2B95"/>
    <w:rsid w:val="00ED2CB2"/>
    <w:rsid w:val="00ED2CF8"/>
    <w:rsid w:val="00ED2DA1"/>
    <w:rsid w:val="00ED2E1F"/>
    <w:rsid w:val="00ED2F30"/>
    <w:rsid w:val="00ED2F31"/>
    <w:rsid w:val="00ED2F49"/>
    <w:rsid w:val="00ED2FF7"/>
    <w:rsid w:val="00ED3042"/>
    <w:rsid w:val="00ED30B6"/>
    <w:rsid w:val="00ED30D1"/>
    <w:rsid w:val="00ED31F7"/>
    <w:rsid w:val="00ED324C"/>
    <w:rsid w:val="00ED3483"/>
    <w:rsid w:val="00ED3486"/>
    <w:rsid w:val="00ED34D7"/>
    <w:rsid w:val="00ED363A"/>
    <w:rsid w:val="00ED3681"/>
    <w:rsid w:val="00ED3757"/>
    <w:rsid w:val="00ED380F"/>
    <w:rsid w:val="00ED3875"/>
    <w:rsid w:val="00ED3A34"/>
    <w:rsid w:val="00ED3A90"/>
    <w:rsid w:val="00ED3AB2"/>
    <w:rsid w:val="00ED3B54"/>
    <w:rsid w:val="00ED3DC9"/>
    <w:rsid w:val="00ED3E99"/>
    <w:rsid w:val="00ED3EA3"/>
    <w:rsid w:val="00ED3EC8"/>
    <w:rsid w:val="00ED3F10"/>
    <w:rsid w:val="00ED3F7C"/>
    <w:rsid w:val="00ED3FB7"/>
    <w:rsid w:val="00ED42DA"/>
    <w:rsid w:val="00ED42E1"/>
    <w:rsid w:val="00ED435D"/>
    <w:rsid w:val="00ED45D5"/>
    <w:rsid w:val="00ED4604"/>
    <w:rsid w:val="00ED4621"/>
    <w:rsid w:val="00ED4637"/>
    <w:rsid w:val="00ED474B"/>
    <w:rsid w:val="00ED47E3"/>
    <w:rsid w:val="00ED4823"/>
    <w:rsid w:val="00ED492B"/>
    <w:rsid w:val="00ED497C"/>
    <w:rsid w:val="00ED4A17"/>
    <w:rsid w:val="00ED4B9B"/>
    <w:rsid w:val="00ED4C08"/>
    <w:rsid w:val="00ED4E04"/>
    <w:rsid w:val="00ED4EFE"/>
    <w:rsid w:val="00ED4F92"/>
    <w:rsid w:val="00ED4FB0"/>
    <w:rsid w:val="00ED5016"/>
    <w:rsid w:val="00ED5035"/>
    <w:rsid w:val="00ED50E0"/>
    <w:rsid w:val="00ED515B"/>
    <w:rsid w:val="00ED519F"/>
    <w:rsid w:val="00ED51A8"/>
    <w:rsid w:val="00ED520C"/>
    <w:rsid w:val="00ED541B"/>
    <w:rsid w:val="00ED5451"/>
    <w:rsid w:val="00ED54E5"/>
    <w:rsid w:val="00ED553D"/>
    <w:rsid w:val="00ED5558"/>
    <w:rsid w:val="00ED5595"/>
    <w:rsid w:val="00ED56AB"/>
    <w:rsid w:val="00ED56B1"/>
    <w:rsid w:val="00ED57A2"/>
    <w:rsid w:val="00ED5880"/>
    <w:rsid w:val="00ED5930"/>
    <w:rsid w:val="00ED5949"/>
    <w:rsid w:val="00ED59B5"/>
    <w:rsid w:val="00ED59CC"/>
    <w:rsid w:val="00ED5A6E"/>
    <w:rsid w:val="00ED5A8C"/>
    <w:rsid w:val="00ED5A9B"/>
    <w:rsid w:val="00ED5CFA"/>
    <w:rsid w:val="00ED5D32"/>
    <w:rsid w:val="00ED5F22"/>
    <w:rsid w:val="00ED5F87"/>
    <w:rsid w:val="00ED616A"/>
    <w:rsid w:val="00ED617A"/>
    <w:rsid w:val="00ED61AB"/>
    <w:rsid w:val="00ED62EB"/>
    <w:rsid w:val="00ED637C"/>
    <w:rsid w:val="00ED6399"/>
    <w:rsid w:val="00ED64BB"/>
    <w:rsid w:val="00ED64E8"/>
    <w:rsid w:val="00ED6524"/>
    <w:rsid w:val="00ED6597"/>
    <w:rsid w:val="00ED6663"/>
    <w:rsid w:val="00ED6734"/>
    <w:rsid w:val="00ED6748"/>
    <w:rsid w:val="00ED67A2"/>
    <w:rsid w:val="00ED686A"/>
    <w:rsid w:val="00ED688F"/>
    <w:rsid w:val="00ED68BC"/>
    <w:rsid w:val="00ED68CB"/>
    <w:rsid w:val="00ED6A09"/>
    <w:rsid w:val="00ED6A4B"/>
    <w:rsid w:val="00ED6A62"/>
    <w:rsid w:val="00ED6A86"/>
    <w:rsid w:val="00ED6B91"/>
    <w:rsid w:val="00ED6BC9"/>
    <w:rsid w:val="00ED6C9D"/>
    <w:rsid w:val="00ED6D27"/>
    <w:rsid w:val="00ED6D5C"/>
    <w:rsid w:val="00ED6DBA"/>
    <w:rsid w:val="00ED6DDD"/>
    <w:rsid w:val="00ED6DE6"/>
    <w:rsid w:val="00ED6E99"/>
    <w:rsid w:val="00ED6EA9"/>
    <w:rsid w:val="00ED6F1B"/>
    <w:rsid w:val="00ED6F2C"/>
    <w:rsid w:val="00ED6F52"/>
    <w:rsid w:val="00ED6F90"/>
    <w:rsid w:val="00ED7014"/>
    <w:rsid w:val="00ED71A6"/>
    <w:rsid w:val="00ED7208"/>
    <w:rsid w:val="00ED7231"/>
    <w:rsid w:val="00ED72B8"/>
    <w:rsid w:val="00ED7320"/>
    <w:rsid w:val="00ED73DD"/>
    <w:rsid w:val="00ED7499"/>
    <w:rsid w:val="00ED749F"/>
    <w:rsid w:val="00ED75CC"/>
    <w:rsid w:val="00ED7621"/>
    <w:rsid w:val="00ED7744"/>
    <w:rsid w:val="00ED7749"/>
    <w:rsid w:val="00ED779C"/>
    <w:rsid w:val="00ED77C1"/>
    <w:rsid w:val="00ED784E"/>
    <w:rsid w:val="00ED7926"/>
    <w:rsid w:val="00ED7983"/>
    <w:rsid w:val="00ED7A10"/>
    <w:rsid w:val="00ED7A44"/>
    <w:rsid w:val="00ED7ABB"/>
    <w:rsid w:val="00ED7ADF"/>
    <w:rsid w:val="00ED7CCD"/>
    <w:rsid w:val="00ED7CD0"/>
    <w:rsid w:val="00ED7CDC"/>
    <w:rsid w:val="00ED7D17"/>
    <w:rsid w:val="00ED7D9A"/>
    <w:rsid w:val="00ED7EB2"/>
    <w:rsid w:val="00ED7EB6"/>
    <w:rsid w:val="00ED7F24"/>
    <w:rsid w:val="00ED7F4E"/>
    <w:rsid w:val="00ED7F90"/>
    <w:rsid w:val="00EE0031"/>
    <w:rsid w:val="00EE00BD"/>
    <w:rsid w:val="00EE00CB"/>
    <w:rsid w:val="00EE00D5"/>
    <w:rsid w:val="00EE013A"/>
    <w:rsid w:val="00EE015F"/>
    <w:rsid w:val="00EE0313"/>
    <w:rsid w:val="00EE03E7"/>
    <w:rsid w:val="00EE056D"/>
    <w:rsid w:val="00EE05E0"/>
    <w:rsid w:val="00EE071F"/>
    <w:rsid w:val="00EE079C"/>
    <w:rsid w:val="00EE07A2"/>
    <w:rsid w:val="00EE08AC"/>
    <w:rsid w:val="00EE0900"/>
    <w:rsid w:val="00EE0A22"/>
    <w:rsid w:val="00EE0A50"/>
    <w:rsid w:val="00EE0AD7"/>
    <w:rsid w:val="00EE0ADB"/>
    <w:rsid w:val="00EE0AFF"/>
    <w:rsid w:val="00EE0B52"/>
    <w:rsid w:val="00EE0CAB"/>
    <w:rsid w:val="00EE0CF6"/>
    <w:rsid w:val="00EE0E1E"/>
    <w:rsid w:val="00EE0EEB"/>
    <w:rsid w:val="00EE0F80"/>
    <w:rsid w:val="00EE0F92"/>
    <w:rsid w:val="00EE0FB4"/>
    <w:rsid w:val="00EE1328"/>
    <w:rsid w:val="00EE13EB"/>
    <w:rsid w:val="00EE1417"/>
    <w:rsid w:val="00EE1473"/>
    <w:rsid w:val="00EE14BF"/>
    <w:rsid w:val="00EE1510"/>
    <w:rsid w:val="00EE1544"/>
    <w:rsid w:val="00EE15EF"/>
    <w:rsid w:val="00EE178A"/>
    <w:rsid w:val="00EE17EF"/>
    <w:rsid w:val="00EE1802"/>
    <w:rsid w:val="00EE1845"/>
    <w:rsid w:val="00EE19F8"/>
    <w:rsid w:val="00EE1AA6"/>
    <w:rsid w:val="00EE1C7A"/>
    <w:rsid w:val="00EE1D35"/>
    <w:rsid w:val="00EE1D84"/>
    <w:rsid w:val="00EE1DC3"/>
    <w:rsid w:val="00EE1F9C"/>
    <w:rsid w:val="00EE20A6"/>
    <w:rsid w:val="00EE229B"/>
    <w:rsid w:val="00EE23A8"/>
    <w:rsid w:val="00EE23CD"/>
    <w:rsid w:val="00EE23ED"/>
    <w:rsid w:val="00EE2453"/>
    <w:rsid w:val="00EE260C"/>
    <w:rsid w:val="00EE2617"/>
    <w:rsid w:val="00EE261A"/>
    <w:rsid w:val="00EE2685"/>
    <w:rsid w:val="00EE27E7"/>
    <w:rsid w:val="00EE28E6"/>
    <w:rsid w:val="00EE2A95"/>
    <w:rsid w:val="00EE2AA4"/>
    <w:rsid w:val="00EE2AEA"/>
    <w:rsid w:val="00EE2C03"/>
    <w:rsid w:val="00EE2FF7"/>
    <w:rsid w:val="00EE3001"/>
    <w:rsid w:val="00EE30A6"/>
    <w:rsid w:val="00EE3146"/>
    <w:rsid w:val="00EE319A"/>
    <w:rsid w:val="00EE31F9"/>
    <w:rsid w:val="00EE325A"/>
    <w:rsid w:val="00EE3291"/>
    <w:rsid w:val="00EE32F1"/>
    <w:rsid w:val="00EE334C"/>
    <w:rsid w:val="00EE33B2"/>
    <w:rsid w:val="00EE33D1"/>
    <w:rsid w:val="00EE33FD"/>
    <w:rsid w:val="00EE34DE"/>
    <w:rsid w:val="00EE36D0"/>
    <w:rsid w:val="00EE3759"/>
    <w:rsid w:val="00EE379E"/>
    <w:rsid w:val="00EE37F3"/>
    <w:rsid w:val="00EE3985"/>
    <w:rsid w:val="00EE39B6"/>
    <w:rsid w:val="00EE3A56"/>
    <w:rsid w:val="00EE3A58"/>
    <w:rsid w:val="00EE3CB6"/>
    <w:rsid w:val="00EE3D4E"/>
    <w:rsid w:val="00EE3DB1"/>
    <w:rsid w:val="00EE3E78"/>
    <w:rsid w:val="00EE4127"/>
    <w:rsid w:val="00EE41F4"/>
    <w:rsid w:val="00EE42A3"/>
    <w:rsid w:val="00EE4307"/>
    <w:rsid w:val="00EE4370"/>
    <w:rsid w:val="00EE439D"/>
    <w:rsid w:val="00EE4448"/>
    <w:rsid w:val="00EE4458"/>
    <w:rsid w:val="00EE4558"/>
    <w:rsid w:val="00EE45B0"/>
    <w:rsid w:val="00EE45BC"/>
    <w:rsid w:val="00EE4604"/>
    <w:rsid w:val="00EE4608"/>
    <w:rsid w:val="00EE4630"/>
    <w:rsid w:val="00EE4689"/>
    <w:rsid w:val="00EE46B7"/>
    <w:rsid w:val="00EE46EE"/>
    <w:rsid w:val="00EE481D"/>
    <w:rsid w:val="00EE4913"/>
    <w:rsid w:val="00EE49DB"/>
    <w:rsid w:val="00EE4A31"/>
    <w:rsid w:val="00EE4AFA"/>
    <w:rsid w:val="00EE4BED"/>
    <w:rsid w:val="00EE4C90"/>
    <w:rsid w:val="00EE4CAB"/>
    <w:rsid w:val="00EE4DC3"/>
    <w:rsid w:val="00EE4ED8"/>
    <w:rsid w:val="00EE4EEB"/>
    <w:rsid w:val="00EE4FCF"/>
    <w:rsid w:val="00EE503E"/>
    <w:rsid w:val="00EE505F"/>
    <w:rsid w:val="00EE50E6"/>
    <w:rsid w:val="00EE50E7"/>
    <w:rsid w:val="00EE5108"/>
    <w:rsid w:val="00EE51A0"/>
    <w:rsid w:val="00EE51C3"/>
    <w:rsid w:val="00EE51E8"/>
    <w:rsid w:val="00EE5318"/>
    <w:rsid w:val="00EE5378"/>
    <w:rsid w:val="00EE53A3"/>
    <w:rsid w:val="00EE550B"/>
    <w:rsid w:val="00EE5578"/>
    <w:rsid w:val="00EE5665"/>
    <w:rsid w:val="00EE56C9"/>
    <w:rsid w:val="00EE580E"/>
    <w:rsid w:val="00EE5848"/>
    <w:rsid w:val="00EE5888"/>
    <w:rsid w:val="00EE58AE"/>
    <w:rsid w:val="00EE5941"/>
    <w:rsid w:val="00EE59C5"/>
    <w:rsid w:val="00EE5B89"/>
    <w:rsid w:val="00EE5C52"/>
    <w:rsid w:val="00EE5D76"/>
    <w:rsid w:val="00EE5FB0"/>
    <w:rsid w:val="00EE5FDB"/>
    <w:rsid w:val="00EE6032"/>
    <w:rsid w:val="00EE6053"/>
    <w:rsid w:val="00EE6093"/>
    <w:rsid w:val="00EE621F"/>
    <w:rsid w:val="00EE6450"/>
    <w:rsid w:val="00EE64F9"/>
    <w:rsid w:val="00EE65BC"/>
    <w:rsid w:val="00EE6689"/>
    <w:rsid w:val="00EE6718"/>
    <w:rsid w:val="00EE67E4"/>
    <w:rsid w:val="00EE6859"/>
    <w:rsid w:val="00EE68BC"/>
    <w:rsid w:val="00EE69FA"/>
    <w:rsid w:val="00EE6B81"/>
    <w:rsid w:val="00EE6B9C"/>
    <w:rsid w:val="00EE6C5F"/>
    <w:rsid w:val="00EE6CAA"/>
    <w:rsid w:val="00EE6CF4"/>
    <w:rsid w:val="00EE6D3C"/>
    <w:rsid w:val="00EE6D99"/>
    <w:rsid w:val="00EE6DB2"/>
    <w:rsid w:val="00EE6F01"/>
    <w:rsid w:val="00EE6F9B"/>
    <w:rsid w:val="00EE7025"/>
    <w:rsid w:val="00EE7029"/>
    <w:rsid w:val="00EE7044"/>
    <w:rsid w:val="00EE70D6"/>
    <w:rsid w:val="00EE71E4"/>
    <w:rsid w:val="00EE7269"/>
    <w:rsid w:val="00EE7324"/>
    <w:rsid w:val="00EE738E"/>
    <w:rsid w:val="00EE7556"/>
    <w:rsid w:val="00EE75B4"/>
    <w:rsid w:val="00EE7621"/>
    <w:rsid w:val="00EE76E4"/>
    <w:rsid w:val="00EE76F3"/>
    <w:rsid w:val="00EE7750"/>
    <w:rsid w:val="00EE7774"/>
    <w:rsid w:val="00EE77D7"/>
    <w:rsid w:val="00EE7843"/>
    <w:rsid w:val="00EE785C"/>
    <w:rsid w:val="00EE7994"/>
    <w:rsid w:val="00EE79AE"/>
    <w:rsid w:val="00EE79FE"/>
    <w:rsid w:val="00EE7A1F"/>
    <w:rsid w:val="00EE7A4A"/>
    <w:rsid w:val="00EE7A54"/>
    <w:rsid w:val="00EE7AD6"/>
    <w:rsid w:val="00EE7BB2"/>
    <w:rsid w:val="00EE7C80"/>
    <w:rsid w:val="00EE7CB1"/>
    <w:rsid w:val="00EE7CCD"/>
    <w:rsid w:val="00EE7D59"/>
    <w:rsid w:val="00EE7E37"/>
    <w:rsid w:val="00EE7F59"/>
    <w:rsid w:val="00EF0180"/>
    <w:rsid w:val="00EF02CE"/>
    <w:rsid w:val="00EF037B"/>
    <w:rsid w:val="00EF044C"/>
    <w:rsid w:val="00EF0492"/>
    <w:rsid w:val="00EF04C4"/>
    <w:rsid w:val="00EF07DC"/>
    <w:rsid w:val="00EF08A8"/>
    <w:rsid w:val="00EF0920"/>
    <w:rsid w:val="00EF0A28"/>
    <w:rsid w:val="00EF0B57"/>
    <w:rsid w:val="00EF0C33"/>
    <w:rsid w:val="00EF0E7C"/>
    <w:rsid w:val="00EF0EC9"/>
    <w:rsid w:val="00EF0F7C"/>
    <w:rsid w:val="00EF0FFC"/>
    <w:rsid w:val="00EF10A8"/>
    <w:rsid w:val="00EF1232"/>
    <w:rsid w:val="00EF125A"/>
    <w:rsid w:val="00EF12C3"/>
    <w:rsid w:val="00EF12D4"/>
    <w:rsid w:val="00EF12F5"/>
    <w:rsid w:val="00EF12FE"/>
    <w:rsid w:val="00EF1383"/>
    <w:rsid w:val="00EF13FD"/>
    <w:rsid w:val="00EF16A3"/>
    <w:rsid w:val="00EF16AB"/>
    <w:rsid w:val="00EF16B2"/>
    <w:rsid w:val="00EF17C3"/>
    <w:rsid w:val="00EF184A"/>
    <w:rsid w:val="00EF18CF"/>
    <w:rsid w:val="00EF194C"/>
    <w:rsid w:val="00EF1A7B"/>
    <w:rsid w:val="00EF1B39"/>
    <w:rsid w:val="00EF1BE3"/>
    <w:rsid w:val="00EF1BF0"/>
    <w:rsid w:val="00EF1D90"/>
    <w:rsid w:val="00EF1D98"/>
    <w:rsid w:val="00EF1DD5"/>
    <w:rsid w:val="00EF1F47"/>
    <w:rsid w:val="00EF1F84"/>
    <w:rsid w:val="00EF2027"/>
    <w:rsid w:val="00EF20B1"/>
    <w:rsid w:val="00EF2228"/>
    <w:rsid w:val="00EF22D1"/>
    <w:rsid w:val="00EF24C6"/>
    <w:rsid w:val="00EF24DC"/>
    <w:rsid w:val="00EF25F9"/>
    <w:rsid w:val="00EF2648"/>
    <w:rsid w:val="00EF26EA"/>
    <w:rsid w:val="00EF2746"/>
    <w:rsid w:val="00EF28A4"/>
    <w:rsid w:val="00EF291D"/>
    <w:rsid w:val="00EF2A0D"/>
    <w:rsid w:val="00EF2A94"/>
    <w:rsid w:val="00EF2AC5"/>
    <w:rsid w:val="00EF2B0B"/>
    <w:rsid w:val="00EF2BA1"/>
    <w:rsid w:val="00EF2BC2"/>
    <w:rsid w:val="00EF2EB6"/>
    <w:rsid w:val="00EF2F26"/>
    <w:rsid w:val="00EF3027"/>
    <w:rsid w:val="00EF31D9"/>
    <w:rsid w:val="00EF325A"/>
    <w:rsid w:val="00EF335C"/>
    <w:rsid w:val="00EF33D8"/>
    <w:rsid w:val="00EF3592"/>
    <w:rsid w:val="00EF35ED"/>
    <w:rsid w:val="00EF3647"/>
    <w:rsid w:val="00EF36AE"/>
    <w:rsid w:val="00EF374F"/>
    <w:rsid w:val="00EF37F8"/>
    <w:rsid w:val="00EF3813"/>
    <w:rsid w:val="00EF3855"/>
    <w:rsid w:val="00EF38E8"/>
    <w:rsid w:val="00EF390E"/>
    <w:rsid w:val="00EF3988"/>
    <w:rsid w:val="00EF3A4B"/>
    <w:rsid w:val="00EF3BA8"/>
    <w:rsid w:val="00EF3D4F"/>
    <w:rsid w:val="00EF3D60"/>
    <w:rsid w:val="00EF3DBB"/>
    <w:rsid w:val="00EF3DE6"/>
    <w:rsid w:val="00EF3E5B"/>
    <w:rsid w:val="00EF3EBE"/>
    <w:rsid w:val="00EF3F94"/>
    <w:rsid w:val="00EF401B"/>
    <w:rsid w:val="00EF413A"/>
    <w:rsid w:val="00EF418C"/>
    <w:rsid w:val="00EF41B9"/>
    <w:rsid w:val="00EF423F"/>
    <w:rsid w:val="00EF428D"/>
    <w:rsid w:val="00EF42DD"/>
    <w:rsid w:val="00EF43B2"/>
    <w:rsid w:val="00EF43B8"/>
    <w:rsid w:val="00EF4482"/>
    <w:rsid w:val="00EF455E"/>
    <w:rsid w:val="00EF4685"/>
    <w:rsid w:val="00EF469A"/>
    <w:rsid w:val="00EF46B6"/>
    <w:rsid w:val="00EF4705"/>
    <w:rsid w:val="00EF482E"/>
    <w:rsid w:val="00EF4876"/>
    <w:rsid w:val="00EF48FF"/>
    <w:rsid w:val="00EF4979"/>
    <w:rsid w:val="00EF49A2"/>
    <w:rsid w:val="00EF49B0"/>
    <w:rsid w:val="00EF4A46"/>
    <w:rsid w:val="00EF4A91"/>
    <w:rsid w:val="00EF4B9C"/>
    <w:rsid w:val="00EF4CCF"/>
    <w:rsid w:val="00EF4D5E"/>
    <w:rsid w:val="00EF4F46"/>
    <w:rsid w:val="00EF4FA1"/>
    <w:rsid w:val="00EF5054"/>
    <w:rsid w:val="00EF5086"/>
    <w:rsid w:val="00EF51C3"/>
    <w:rsid w:val="00EF536C"/>
    <w:rsid w:val="00EF53DB"/>
    <w:rsid w:val="00EF5552"/>
    <w:rsid w:val="00EF55A9"/>
    <w:rsid w:val="00EF5642"/>
    <w:rsid w:val="00EF564F"/>
    <w:rsid w:val="00EF572D"/>
    <w:rsid w:val="00EF58CB"/>
    <w:rsid w:val="00EF5938"/>
    <w:rsid w:val="00EF5B40"/>
    <w:rsid w:val="00EF5BC9"/>
    <w:rsid w:val="00EF5C00"/>
    <w:rsid w:val="00EF5DF7"/>
    <w:rsid w:val="00EF5E6A"/>
    <w:rsid w:val="00EF5F5C"/>
    <w:rsid w:val="00EF6368"/>
    <w:rsid w:val="00EF6446"/>
    <w:rsid w:val="00EF64CE"/>
    <w:rsid w:val="00EF654D"/>
    <w:rsid w:val="00EF65D3"/>
    <w:rsid w:val="00EF6623"/>
    <w:rsid w:val="00EF6747"/>
    <w:rsid w:val="00EF675A"/>
    <w:rsid w:val="00EF6807"/>
    <w:rsid w:val="00EF68BF"/>
    <w:rsid w:val="00EF68C9"/>
    <w:rsid w:val="00EF68CC"/>
    <w:rsid w:val="00EF6C48"/>
    <w:rsid w:val="00EF6CAE"/>
    <w:rsid w:val="00EF6D6E"/>
    <w:rsid w:val="00EF6E7D"/>
    <w:rsid w:val="00EF6F0C"/>
    <w:rsid w:val="00EF6FC2"/>
    <w:rsid w:val="00EF702C"/>
    <w:rsid w:val="00EF7147"/>
    <w:rsid w:val="00EF7155"/>
    <w:rsid w:val="00EF7177"/>
    <w:rsid w:val="00EF71E9"/>
    <w:rsid w:val="00EF721A"/>
    <w:rsid w:val="00EF72AA"/>
    <w:rsid w:val="00EF72F8"/>
    <w:rsid w:val="00EF7330"/>
    <w:rsid w:val="00EF7333"/>
    <w:rsid w:val="00EF7377"/>
    <w:rsid w:val="00EF7520"/>
    <w:rsid w:val="00EF755E"/>
    <w:rsid w:val="00EF75A8"/>
    <w:rsid w:val="00EF75FA"/>
    <w:rsid w:val="00EF760E"/>
    <w:rsid w:val="00EF761E"/>
    <w:rsid w:val="00EF7667"/>
    <w:rsid w:val="00EF7686"/>
    <w:rsid w:val="00EF77AE"/>
    <w:rsid w:val="00EF784C"/>
    <w:rsid w:val="00EF7AA8"/>
    <w:rsid w:val="00EF7BBF"/>
    <w:rsid w:val="00EF7C87"/>
    <w:rsid w:val="00EF7CEB"/>
    <w:rsid w:val="00EF7D7E"/>
    <w:rsid w:val="00EF7DDC"/>
    <w:rsid w:val="00EF7E37"/>
    <w:rsid w:val="00EF7EB5"/>
    <w:rsid w:val="00EF7EEF"/>
    <w:rsid w:val="00EF7F06"/>
    <w:rsid w:val="00EF7F10"/>
    <w:rsid w:val="00F0007D"/>
    <w:rsid w:val="00F000B9"/>
    <w:rsid w:val="00F00118"/>
    <w:rsid w:val="00F0012A"/>
    <w:rsid w:val="00F0019D"/>
    <w:rsid w:val="00F00247"/>
    <w:rsid w:val="00F0028F"/>
    <w:rsid w:val="00F003E6"/>
    <w:rsid w:val="00F00433"/>
    <w:rsid w:val="00F00469"/>
    <w:rsid w:val="00F00611"/>
    <w:rsid w:val="00F00660"/>
    <w:rsid w:val="00F0072F"/>
    <w:rsid w:val="00F00732"/>
    <w:rsid w:val="00F0079D"/>
    <w:rsid w:val="00F008E1"/>
    <w:rsid w:val="00F00A51"/>
    <w:rsid w:val="00F00BC4"/>
    <w:rsid w:val="00F00C7D"/>
    <w:rsid w:val="00F00DDA"/>
    <w:rsid w:val="00F00FA3"/>
    <w:rsid w:val="00F0107B"/>
    <w:rsid w:val="00F0109F"/>
    <w:rsid w:val="00F010BE"/>
    <w:rsid w:val="00F01160"/>
    <w:rsid w:val="00F01162"/>
    <w:rsid w:val="00F011E3"/>
    <w:rsid w:val="00F01585"/>
    <w:rsid w:val="00F01607"/>
    <w:rsid w:val="00F01742"/>
    <w:rsid w:val="00F01807"/>
    <w:rsid w:val="00F01905"/>
    <w:rsid w:val="00F0198D"/>
    <w:rsid w:val="00F019A4"/>
    <w:rsid w:val="00F01A25"/>
    <w:rsid w:val="00F01A64"/>
    <w:rsid w:val="00F01B67"/>
    <w:rsid w:val="00F01BA1"/>
    <w:rsid w:val="00F01C3B"/>
    <w:rsid w:val="00F01C40"/>
    <w:rsid w:val="00F01DFC"/>
    <w:rsid w:val="00F01FBF"/>
    <w:rsid w:val="00F021D4"/>
    <w:rsid w:val="00F02545"/>
    <w:rsid w:val="00F02571"/>
    <w:rsid w:val="00F0258D"/>
    <w:rsid w:val="00F025D2"/>
    <w:rsid w:val="00F02700"/>
    <w:rsid w:val="00F0274C"/>
    <w:rsid w:val="00F0277F"/>
    <w:rsid w:val="00F02879"/>
    <w:rsid w:val="00F029C0"/>
    <w:rsid w:val="00F02AB6"/>
    <w:rsid w:val="00F02B26"/>
    <w:rsid w:val="00F02B4C"/>
    <w:rsid w:val="00F02C70"/>
    <w:rsid w:val="00F02D50"/>
    <w:rsid w:val="00F02DE6"/>
    <w:rsid w:val="00F02E17"/>
    <w:rsid w:val="00F02ED6"/>
    <w:rsid w:val="00F03000"/>
    <w:rsid w:val="00F03100"/>
    <w:rsid w:val="00F03238"/>
    <w:rsid w:val="00F0327C"/>
    <w:rsid w:val="00F0333A"/>
    <w:rsid w:val="00F033CD"/>
    <w:rsid w:val="00F033D2"/>
    <w:rsid w:val="00F034A7"/>
    <w:rsid w:val="00F03530"/>
    <w:rsid w:val="00F03537"/>
    <w:rsid w:val="00F03607"/>
    <w:rsid w:val="00F0361C"/>
    <w:rsid w:val="00F03671"/>
    <w:rsid w:val="00F036EC"/>
    <w:rsid w:val="00F03899"/>
    <w:rsid w:val="00F038C1"/>
    <w:rsid w:val="00F03983"/>
    <w:rsid w:val="00F03ABE"/>
    <w:rsid w:val="00F03AD1"/>
    <w:rsid w:val="00F03B27"/>
    <w:rsid w:val="00F03BBB"/>
    <w:rsid w:val="00F03C99"/>
    <w:rsid w:val="00F03D8F"/>
    <w:rsid w:val="00F03DBE"/>
    <w:rsid w:val="00F03F03"/>
    <w:rsid w:val="00F03F45"/>
    <w:rsid w:val="00F04045"/>
    <w:rsid w:val="00F041A8"/>
    <w:rsid w:val="00F041CB"/>
    <w:rsid w:val="00F04264"/>
    <w:rsid w:val="00F042CB"/>
    <w:rsid w:val="00F0436F"/>
    <w:rsid w:val="00F04402"/>
    <w:rsid w:val="00F0449B"/>
    <w:rsid w:val="00F044C9"/>
    <w:rsid w:val="00F044E1"/>
    <w:rsid w:val="00F04583"/>
    <w:rsid w:val="00F04610"/>
    <w:rsid w:val="00F04633"/>
    <w:rsid w:val="00F04675"/>
    <w:rsid w:val="00F04829"/>
    <w:rsid w:val="00F0490D"/>
    <w:rsid w:val="00F04930"/>
    <w:rsid w:val="00F0494B"/>
    <w:rsid w:val="00F04958"/>
    <w:rsid w:val="00F04A83"/>
    <w:rsid w:val="00F04A9B"/>
    <w:rsid w:val="00F04AE7"/>
    <w:rsid w:val="00F04C71"/>
    <w:rsid w:val="00F04D43"/>
    <w:rsid w:val="00F04D4D"/>
    <w:rsid w:val="00F04D5A"/>
    <w:rsid w:val="00F04DF5"/>
    <w:rsid w:val="00F04F7C"/>
    <w:rsid w:val="00F04F89"/>
    <w:rsid w:val="00F05077"/>
    <w:rsid w:val="00F051F6"/>
    <w:rsid w:val="00F05393"/>
    <w:rsid w:val="00F053C0"/>
    <w:rsid w:val="00F053E8"/>
    <w:rsid w:val="00F0558F"/>
    <w:rsid w:val="00F055EA"/>
    <w:rsid w:val="00F05668"/>
    <w:rsid w:val="00F056D8"/>
    <w:rsid w:val="00F057A4"/>
    <w:rsid w:val="00F057C0"/>
    <w:rsid w:val="00F057C6"/>
    <w:rsid w:val="00F05832"/>
    <w:rsid w:val="00F0588A"/>
    <w:rsid w:val="00F058C3"/>
    <w:rsid w:val="00F05902"/>
    <w:rsid w:val="00F05915"/>
    <w:rsid w:val="00F05A12"/>
    <w:rsid w:val="00F05A4C"/>
    <w:rsid w:val="00F05CA4"/>
    <w:rsid w:val="00F05DF9"/>
    <w:rsid w:val="00F05EA0"/>
    <w:rsid w:val="00F05F48"/>
    <w:rsid w:val="00F05FFF"/>
    <w:rsid w:val="00F06120"/>
    <w:rsid w:val="00F061D3"/>
    <w:rsid w:val="00F06229"/>
    <w:rsid w:val="00F062CF"/>
    <w:rsid w:val="00F062F9"/>
    <w:rsid w:val="00F063E0"/>
    <w:rsid w:val="00F0649B"/>
    <w:rsid w:val="00F065C8"/>
    <w:rsid w:val="00F06748"/>
    <w:rsid w:val="00F0674D"/>
    <w:rsid w:val="00F06865"/>
    <w:rsid w:val="00F068A8"/>
    <w:rsid w:val="00F0693B"/>
    <w:rsid w:val="00F06BE2"/>
    <w:rsid w:val="00F06CDE"/>
    <w:rsid w:val="00F06D00"/>
    <w:rsid w:val="00F06DC3"/>
    <w:rsid w:val="00F06E21"/>
    <w:rsid w:val="00F06E99"/>
    <w:rsid w:val="00F06EDF"/>
    <w:rsid w:val="00F06F35"/>
    <w:rsid w:val="00F06F41"/>
    <w:rsid w:val="00F06FA3"/>
    <w:rsid w:val="00F06FA9"/>
    <w:rsid w:val="00F070D0"/>
    <w:rsid w:val="00F070F9"/>
    <w:rsid w:val="00F07140"/>
    <w:rsid w:val="00F07234"/>
    <w:rsid w:val="00F072F4"/>
    <w:rsid w:val="00F0733B"/>
    <w:rsid w:val="00F07346"/>
    <w:rsid w:val="00F0751E"/>
    <w:rsid w:val="00F07529"/>
    <w:rsid w:val="00F07562"/>
    <w:rsid w:val="00F075A1"/>
    <w:rsid w:val="00F07611"/>
    <w:rsid w:val="00F07713"/>
    <w:rsid w:val="00F077C3"/>
    <w:rsid w:val="00F0795A"/>
    <w:rsid w:val="00F07A00"/>
    <w:rsid w:val="00F07A87"/>
    <w:rsid w:val="00F07B2C"/>
    <w:rsid w:val="00F07B38"/>
    <w:rsid w:val="00F07B69"/>
    <w:rsid w:val="00F07BA8"/>
    <w:rsid w:val="00F07BF9"/>
    <w:rsid w:val="00F07CBE"/>
    <w:rsid w:val="00F07DAF"/>
    <w:rsid w:val="00F07E02"/>
    <w:rsid w:val="00F07E6D"/>
    <w:rsid w:val="00F07EC2"/>
    <w:rsid w:val="00F07EDF"/>
    <w:rsid w:val="00F10038"/>
    <w:rsid w:val="00F10057"/>
    <w:rsid w:val="00F100E0"/>
    <w:rsid w:val="00F1013C"/>
    <w:rsid w:val="00F10204"/>
    <w:rsid w:val="00F1039E"/>
    <w:rsid w:val="00F1047C"/>
    <w:rsid w:val="00F1052F"/>
    <w:rsid w:val="00F10543"/>
    <w:rsid w:val="00F10564"/>
    <w:rsid w:val="00F10580"/>
    <w:rsid w:val="00F10713"/>
    <w:rsid w:val="00F1071E"/>
    <w:rsid w:val="00F107C6"/>
    <w:rsid w:val="00F10914"/>
    <w:rsid w:val="00F10A98"/>
    <w:rsid w:val="00F10E89"/>
    <w:rsid w:val="00F10F80"/>
    <w:rsid w:val="00F10FB5"/>
    <w:rsid w:val="00F1101D"/>
    <w:rsid w:val="00F1102C"/>
    <w:rsid w:val="00F110A0"/>
    <w:rsid w:val="00F1110C"/>
    <w:rsid w:val="00F1110D"/>
    <w:rsid w:val="00F111A4"/>
    <w:rsid w:val="00F11254"/>
    <w:rsid w:val="00F11276"/>
    <w:rsid w:val="00F112BA"/>
    <w:rsid w:val="00F1143D"/>
    <w:rsid w:val="00F11474"/>
    <w:rsid w:val="00F11504"/>
    <w:rsid w:val="00F115F0"/>
    <w:rsid w:val="00F11616"/>
    <w:rsid w:val="00F1161B"/>
    <w:rsid w:val="00F1170E"/>
    <w:rsid w:val="00F117A8"/>
    <w:rsid w:val="00F117C6"/>
    <w:rsid w:val="00F11818"/>
    <w:rsid w:val="00F11916"/>
    <w:rsid w:val="00F11949"/>
    <w:rsid w:val="00F11964"/>
    <w:rsid w:val="00F11986"/>
    <w:rsid w:val="00F11A32"/>
    <w:rsid w:val="00F11A38"/>
    <w:rsid w:val="00F11D9C"/>
    <w:rsid w:val="00F11DE0"/>
    <w:rsid w:val="00F11EFF"/>
    <w:rsid w:val="00F12039"/>
    <w:rsid w:val="00F121BD"/>
    <w:rsid w:val="00F122FC"/>
    <w:rsid w:val="00F124C4"/>
    <w:rsid w:val="00F1255F"/>
    <w:rsid w:val="00F12597"/>
    <w:rsid w:val="00F12974"/>
    <w:rsid w:val="00F12B86"/>
    <w:rsid w:val="00F12C76"/>
    <w:rsid w:val="00F12C8D"/>
    <w:rsid w:val="00F12D35"/>
    <w:rsid w:val="00F12DA6"/>
    <w:rsid w:val="00F12E33"/>
    <w:rsid w:val="00F12E53"/>
    <w:rsid w:val="00F1302C"/>
    <w:rsid w:val="00F1316C"/>
    <w:rsid w:val="00F13229"/>
    <w:rsid w:val="00F1334B"/>
    <w:rsid w:val="00F133C3"/>
    <w:rsid w:val="00F133D5"/>
    <w:rsid w:val="00F133FB"/>
    <w:rsid w:val="00F13407"/>
    <w:rsid w:val="00F134E1"/>
    <w:rsid w:val="00F13692"/>
    <w:rsid w:val="00F13714"/>
    <w:rsid w:val="00F13716"/>
    <w:rsid w:val="00F13818"/>
    <w:rsid w:val="00F1387D"/>
    <w:rsid w:val="00F138CD"/>
    <w:rsid w:val="00F138EB"/>
    <w:rsid w:val="00F138F9"/>
    <w:rsid w:val="00F13A15"/>
    <w:rsid w:val="00F13A30"/>
    <w:rsid w:val="00F13A9D"/>
    <w:rsid w:val="00F13B45"/>
    <w:rsid w:val="00F13BF8"/>
    <w:rsid w:val="00F13C2A"/>
    <w:rsid w:val="00F13D75"/>
    <w:rsid w:val="00F13DC4"/>
    <w:rsid w:val="00F13E2F"/>
    <w:rsid w:val="00F13E74"/>
    <w:rsid w:val="00F13FAB"/>
    <w:rsid w:val="00F13FB0"/>
    <w:rsid w:val="00F13FBE"/>
    <w:rsid w:val="00F14029"/>
    <w:rsid w:val="00F141CE"/>
    <w:rsid w:val="00F14211"/>
    <w:rsid w:val="00F14248"/>
    <w:rsid w:val="00F142EA"/>
    <w:rsid w:val="00F14303"/>
    <w:rsid w:val="00F14398"/>
    <w:rsid w:val="00F14492"/>
    <w:rsid w:val="00F145B6"/>
    <w:rsid w:val="00F14659"/>
    <w:rsid w:val="00F1465C"/>
    <w:rsid w:val="00F1474E"/>
    <w:rsid w:val="00F14768"/>
    <w:rsid w:val="00F14892"/>
    <w:rsid w:val="00F14913"/>
    <w:rsid w:val="00F14B1B"/>
    <w:rsid w:val="00F14C15"/>
    <w:rsid w:val="00F14C6A"/>
    <w:rsid w:val="00F14C74"/>
    <w:rsid w:val="00F15001"/>
    <w:rsid w:val="00F15070"/>
    <w:rsid w:val="00F15090"/>
    <w:rsid w:val="00F150EE"/>
    <w:rsid w:val="00F15169"/>
    <w:rsid w:val="00F15180"/>
    <w:rsid w:val="00F151C2"/>
    <w:rsid w:val="00F151F5"/>
    <w:rsid w:val="00F15227"/>
    <w:rsid w:val="00F152EE"/>
    <w:rsid w:val="00F15325"/>
    <w:rsid w:val="00F153C3"/>
    <w:rsid w:val="00F153EA"/>
    <w:rsid w:val="00F153F7"/>
    <w:rsid w:val="00F154C7"/>
    <w:rsid w:val="00F15541"/>
    <w:rsid w:val="00F15542"/>
    <w:rsid w:val="00F1569E"/>
    <w:rsid w:val="00F157DB"/>
    <w:rsid w:val="00F15813"/>
    <w:rsid w:val="00F1585B"/>
    <w:rsid w:val="00F158FE"/>
    <w:rsid w:val="00F159B9"/>
    <w:rsid w:val="00F15A9D"/>
    <w:rsid w:val="00F15AB1"/>
    <w:rsid w:val="00F15AFB"/>
    <w:rsid w:val="00F15B83"/>
    <w:rsid w:val="00F15C01"/>
    <w:rsid w:val="00F15C29"/>
    <w:rsid w:val="00F15DBE"/>
    <w:rsid w:val="00F15E1D"/>
    <w:rsid w:val="00F15FCC"/>
    <w:rsid w:val="00F16042"/>
    <w:rsid w:val="00F1620A"/>
    <w:rsid w:val="00F16475"/>
    <w:rsid w:val="00F164FD"/>
    <w:rsid w:val="00F1651E"/>
    <w:rsid w:val="00F16589"/>
    <w:rsid w:val="00F16768"/>
    <w:rsid w:val="00F16827"/>
    <w:rsid w:val="00F16940"/>
    <w:rsid w:val="00F16985"/>
    <w:rsid w:val="00F16A8B"/>
    <w:rsid w:val="00F16AF6"/>
    <w:rsid w:val="00F16B68"/>
    <w:rsid w:val="00F16B95"/>
    <w:rsid w:val="00F16BB5"/>
    <w:rsid w:val="00F16D99"/>
    <w:rsid w:val="00F16DAD"/>
    <w:rsid w:val="00F16E8E"/>
    <w:rsid w:val="00F16EF7"/>
    <w:rsid w:val="00F16F56"/>
    <w:rsid w:val="00F16FEE"/>
    <w:rsid w:val="00F17026"/>
    <w:rsid w:val="00F17079"/>
    <w:rsid w:val="00F17090"/>
    <w:rsid w:val="00F17106"/>
    <w:rsid w:val="00F17189"/>
    <w:rsid w:val="00F17247"/>
    <w:rsid w:val="00F17272"/>
    <w:rsid w:val="00F17343"/>
    <w:rsid w:val="00F17398"/>
    <w:rsid w:val="00F173C4"/>
    <w:rsid w:val="00F17442"/>
    <w:rsid w:val="00F17472"/>
    <w:rsid w:val="00F17545"/>
    <w:rsid w:val="00F176AA"/>
    <w:rsid w:val="00F176BC"/>
    <w:rsid w:val="00F17781"/>
    <w:rsid w:val="00F17790"/>
    <w:rsid w:val="00F17800"/>
    <w:rsid w:val="00F1789C"/>
    <w:rsid w:val="00F17932"/>
    <w:rsid w:val="00F17968"/>
    <w:rsid w:val="00F179A3"/>
    <w:rsid w:val="00F17A24"/>
    <w:rsid w:val="00F17AC3"/>
    <w:rsid w:val="00F17B59"/>
    <w:rsid w:val="00F17BCC"/>
    <w:rsid w:val="00F17C35"/>
    <w:rsid w:val="00F17C37"/>
    <w:rsid w:val="00F17C7E"/>
    <w:rsid w:val="00F17CF7"/>
    <w:rsid w:val="00F17D23"/>
    <w:rsid w:val="00F17DDB"/>
    <w:rsid w:val="00F17E00"/>
    <w:rsid w:val="00F17ED1"/>
    <w:rsid w:val="00F17EF9"/>
    <w:rsid w:val="00F17FB5"/>
    <w:rsid w:val="00F20068"/>
    <w:rsid w:val="00F200BA"/>
    <w:rsid w:val="00F20157"/>
    <w:rsid w:val="00F2025C"/>
    <w:rsid w:val="00F20284"/>
    <w:rsid w:val="00F202A8"/>
    <w:rsid w:val="00F2033F"/>
    <w:rsid w:val="00F2043E"/>
    <w:rsid w:val="00F20455"/>
    <w:rsid w:val="00F20505"/>
    <w:rsid w:val="00F2054A"/>
    <w:rsid w:val="00F206B3"/>
    <w:rsid w:val="00F206DE"/>
    <w:rsid w:val="00F2092E"/>
    <w:rsid w:val="00F20968"/>
    <w:rsid w:val="00F20984"/>
    <w:rsid w:val="00F2099F"/>
    <w:rsid w:val="00F209C2"/>
    <w:rsid w:val="00F20A4B"/>
    <w:rsid w:val="00F20A62"/>
    <w:rsid w:val="00F20BCC"/>
    <w:rsid w:val="00F20D6C"/>
    <w:rsid w:val="00F20DCE"/>
    <w:rsid w:val="00F20DF1"/>
    <w:rsid w:val="00F21080"/>
    <w:rsid w:val="00F21193"/>
    <w:rsid w:val="00F2126C"/>
    <w:rsid w:val="00F2129C"/>
    <w:rsid w:val="00F21344"/>
    <w:rsid w:val="00F213C9"/>
    <w:rsid w:val="00F213E2"/>
    <w:rsid w:val="00F213EB"/>
    <w:rsid w:val="00F214C4"/>
    <w:rsid w:val="00F216A6"/>
    <w:rsid w:val="00F216FB"/>
    <w:rsid w:val="00F2173F"/>
    <w:rsid w:val="00F21779"/>
    <w:rsid w:val="00F21913"/>
    <w:rsid w:val="00F21AB9"/>
    <w:rsid w:val="00F21ACA"/>
    <w:rsid w:val="00F21C30"/>
    <w:rsid w:val="00F21DC3"/>
    <w:rsid w:val="00F21DD4"/>
    <w:rsid w:val="00F21E2C"/>
    <w:rsid w:val="00F2248C"/>
    <w:rsid w:val="00F224A5"/>
    <w:rsid w:val="00F22638"/>
    <w:rsid w:val="00F22702"/>
    <w:rsid w:val="00F2270A"/>
    <w:rsid w:val="00F22895"/>
    <w:rsid w:val="00F2291E"/>
    <w:rsid w:val="00F2294B"/>
    <w:rsid w:val="00F229CD"/>
    <w:rsid w:val="00F22AB4"/>
    <w:rsid w:val="00F22AFD"/>
    <w:rsid w:val="00F22CB6"/>
    <w:rsid w:val="00F22CB9"/>
    <w:rsid w:val="00F22E61"/>
    <w:rsid w:val="00F22EBE"/>
    <w:rsid w:val="00F22ED3"/>
    <w:rsid w:val="00F22EE0"/>
    <w:rsid w:val="00F22F12"/>
    <w:rsid w:val="00F23126"/>
    <w:rsid w:val="00F23165"/>
    <w:rsid w:val="00F23186"/>
    <w:rsid w:val="00F23207"/>
    <w:rsid w:val="00F23235"/>
    <w:rsid w:val="00F23291"/>
    <w:rsid w:val="00F23386"/>
    <w:rsid w:val="00F233E7"/>
    <w:rsid w:val="00F23434"/>
    <w:rsid w:val="00F23441"/>
    <w:rsid w:val="00F234A7"/>
    <w:rsid w:val="00F2358D"/>
    <w:rsid w:val="00F235FD"/>
    <w:rsid w:val="00F23615"/>
    <w:rsid w:val="00F23627"/>
    <w:rsid w:val="00F23653"/>
    <w:rsid w:val="00F23705"/>
    <w:rsid w:val="00F2375B"/>
    <w:rsid w:val="00F2390C"/>
    <w:rsid w:val="00F239A4"/>
    <w:rsid w:val="00F23B16"/>
    <w:rsid w:val="00F23B1D"/>
    <w:rsid w:val="00F23C39"/>
    <w:rsid w:val="00F23C42"/>
    <w:rsid w:val="00F23C88"/>
    <w:rsid w:val="00F23CB7"/>
    <w:rsid w:val="00F23CC3"/>
    <w:rsid w:val="00F23CF6"/>
    <w:rsid w:val="00F23D54"/>
    <w:rsid w:val="00F23E40"/>
    <w:rsid w:val="00F23F2E"/>
    <w:rsid w:val="00F24105"/>
    <w:rsid w:val="00F241A9"/>
    <w:rsid w:val="00F241BB"/>
    <w:rsid w:val="00F241F0"/>
    <w:rsid w:val="00F242A8"/>
    <w:rsid w:val="00F242E4"/>
    <w:rsid w:val="00F2430F"/>
    <w:rsid w:val="00F2437A"/>
    <w:rsid w:val="00F24421"/>
    <w:rsid w:val="00F2442B"/>
    <w:rsid w:val="00F244AB"/>
    <w:rsid w:val="00F244BC"/>
    <w:rsid w:val="00F245CE"/>
    <w:rsid w:val="00F2460E"/>
    <w:rsid w:val="00F246A5"/>
    <w:rsid w:val="00F246F9"/>
    <w:rsid w:val="00F24711"/>
    <w:rsid w:val="00F24724"/>
    <w:rsid w:val="00F2479E"/>
    <w:rsid w:val="00F248A9"/>
    <w:rsid w:val="00F249AE"/>
    <w:rsid w:val="00F24B01"/>
    <w:rsid w:val="00F24CF4"/>
    <w:rsid w:val="00F24DF4"/>
    <w:rsid w:val="00F24E43"/>
    <w:rsid w:val="00F24F19"/>
    <w:rsid w:val="00F2501F"/>
    <w:rsid w:val="00F25123"/>
    <w:rsid w:val="00F25175"/>
    <w:rsid w:val="00F251A6"/>
    <w:rsid w:val="00F251DB"/>
    <w:rsid w:val="00F2529E"/>
    <w:rsid w:val="00F25466"/>
    <w:rsid w:val="00F254E8"/>
    <w:rsid w:val="00F25534"/>
    <w:rsid w:val="00F2560D"/>
    <w:rsid w:val="00F25645"/>
    <w:rsid w:val="00F25727"/>
    <w:rsid w:val="00F258FD"/>
    <w:rsid w:val="00F2594F"/>
    <w:rsid w:val="00F25B31"/>
    <w:rsid w:val="00F25BFB"/>
    <w:rsid w:val="00F25C74"/>
    <w:rsid w:val="00F25CBC"/>
    <w:rsid w:val="00F25CCB"/>
    <w:rsid w:val="00F25CF2"/>
    <w:rsid w:val="00F25DB8"/>
    <w:rsid w:val="00F25E46"/>
    <w:rsid w:val="00F25EA8"/>
    <w:rsid w:val="00F25F3E"/>
    <w:rsid w:val="00F25F56"/>
    <w:rsid w:val="00F25F66"/>
    <w:rsid w:val="00F25FE3"/>
    <w:rsid w:val="00F26064"/>
    <w:rsid w:val="00F260A1"/>
    <w:rsid w:val="00F260B4"/>
    <w:rsid w:val="00F261B8"/>
    <w:rsid w:val="00F2633D"/>
    <w:rsid w:val="00F26353"/>
    <w:rsid w:val="00F264A5"/>
    <w:rsid w:val="00F2662C"/>
    <w:rsid w:val="00F26672"/>
    <w:rsid w:val="00F26677"/>
    <w:rsid w:val="00F267F8"/>
    <w:rsid w:val="00F268FA"/>
    <w:rsid w:val="00F269A3"/>
    <w:rsid w:val="00F26A21"/>
    <w:rsid w:val="00F26A50"/>
    <w:rsid w:val="00F26A9D"/>
    <w:rsid w:val="00F26AAA"/>
    <w:rsid w:val="00F26AF8"/>
    <w:rsid w:val="00F26B53"/>
    <w:rsid w:val="00F26B7C"/>
    <w:rsid w:val="00F26C7A"/>
    <w:rsid w:val="00F26C9C"/>
    <w:rsid w:val="00F26D2D"/>
    <w:rsid w:val="00F26E41"/>
    <w:rsid w:val="00F26EFB"/>
    <w:rsid w:val="00F26F23"/>
    <w:rsid w:val="00F26F6F"/>
    <w:rsid w:val="00F2701F"/>
    <w:rsid w:val="00F27073"/>
    <w:rsid w:val="00F2712B"/>
    <w:rsid w:val="00F27155"/>
    <w:rsid w:val="00F271E7"/>
    <w:rsid w:val="00F27202"/>
    <w:rsid w:val="00F27306"/>
    <w:rsid w:val="00F275AA"/>
    <w:rsid w:val="00F2766F"/>
    <w:rsid w:val="00F27672"/>
    <w:rsid w:val="00F2781F"/>
    <w:rsid w:val="00F278DE"/>
    <w:rsid w:val="00F278EA"/>
    <w:rsid w:val="00F279E2"/>
    <w:rsid w:val="00F27A2C"/>
    <w:rsid w:val="00F27A4A"/>
    <w:rsid w:val="00F27A7E"/>
    <w:rsid w:val="00F27A80"/>
    <w:rsid w:val="00F27B79"/>
    <w:rsid w:val="00F27C23"/>
    <w:rsid w:val="00F27CC2"/>
    <w:rsid w:val="00F27CC9"/>
    <w:rsid w:val="00F27CFE"/>
    <w:rsid w:val="00F27F68"/>
    <w:rsid w:val="00F27FED"/>
    <w:rsid w:val="00F300C0"/>
    <w:rsid w:val="00F3015E"/>
    <w:rsid w:val="00F301B4"/>
    <w:rsid w:val="00F30212"/>
    <w:rsid w:val="00F30215"/>
    <w:rsid w:val="00F30322"/>
    <w:rsid w:val="00F30554"/>
    <w:rsid w:val="00F3064A"/>
    <w:rsid w:val="00F3064D"/>
    <w:rsid w:val="00F30653"/>
    <w:rsid w:val="00F3078A"/>
    <w:rsid w:val="00F307B6"/>
    <w:rsid w:val="00F3084D"/>
    <w:rsid w:val="00F308E0"/>
    <w:rsid w:val="00F308F0"/>
    <w:rsid w:val="00F30926"/>
    <w:rsid w:val="00F30934"/>
    <w:rsid w:val="00F30951"/>
    <w:rsid w:val="00F3095F"/>
    <w:rsid w:val="00F30BC5"/>
    <w:rsid w:val="00F30BCF"/>
    <w:rsid w:val="00F30CDE"/>
    <w:rsid w:val="00F30D4A"/>
    <w:rsid w:val="00F30EEC"/>
    <w:rsid w:val="00F30F9B"/>
    <w:rsid w:val="00F30FF3"/>
    <w:rsid w:val="00F31064"/>
    <w:rsid w:val="00F310A2"/>
    <w:rsid w:val="00F310AC"/>
    <w:rsid w:val="00F310E8"/>
    <w:rsid w:val="00F311B2"/>
    <w:rsid w:val="00F311FC"/>
    <w:rsid w:val="00F31258"/>
    <w:rsid w:val="00F31298"/>
    <w:rsid w:val="00F31364"/>
    <w:rsid w:val="00F313B0"/>
    <w:rsid w:val="00F313B7"/>
    <w:rsid w:val="00F313C6"/>
    <w:rsid w:val="00F31424"/>
    <w:rsid w:val="00F3149D"/>
    <w:rsid w:val="00F314E6"/>
    <w:rsid w:val="00F3156E"/>
    <w:rsid w:val="00F316C8"/>
    <w:rsid w:val="00F316FD"/>
    <w:rsid w:val="00F3171D"/>
    <w:rsid w:val="00F318C9"/>
    <w:rsid w:val="00F31992"/>
    <w:rsid w:val="00F319CE"/>
    <w:rsid w:val="00F31A32"/>
    <w:rsid w:val="00F31AF6"/>
    <w:rsid w:val="00F31CE3"/>
    <w:rsid w:val="00F31D4D"/>
    <w:rsid w:val="00F320AE"/>
    <w:rsid w:val="00F32120"/>
    <w:rsid w:val="00F3213A"/>
    <w:rsid w:val="00F3215E"/>
    <w:rsid w:val="00F321FF"/>
    <w:rsid w:val="00F322F3"/>
    <w:rsid w:val="00F32337"/>
    <w:rsid w:val="00F3239C"/>
    <w:rsid w:val="00F323FF"/>
    <w:rsid w:val="00F32494"/>
    <w:rsid w:val="00F324A0"/>
    <w:rsid w:val="00F324BF"/>
    <w:rsid w:val="00F325B3"/>
    <w:rsid w:val="00F325D4"/>
    <w:rsid w:val="00F32629"/>
    <w:rsid w:val="00F3265B"/>
    <w:rsid w:val="00F326D7"/>
    <w:rsid w:val="00F327A5"/>
    <w:rsid w:val="00F32843"/>
    <w:rsid w:val="00F32861"/>
    <w:rsid w:val="00F32B7A"/>
    <w:rsid w:val="00F32BBD"/>
    <w:rsid w:val="00F32C90"/>
    <w:rsid w:val="00F32CCE"/>
    <w:rsid w:val="00F32D8B"/>
    <w:rsid w:val="00F32DA7"/>
    <w:rsid w:val="00F32DEA"/>
    <w:rsid w:val="00F32EA8"/>
    <w:rsid w:val="00F32F2A"/>
    <w:rsid w:val="00F32F44"/>
    <w:rsid w:val="00F32F46"/>
    <w:rsid w:val="00F32FAF"/>
    <w:rsid w:val="00F33141"/>
    <w:rsid w:val="00F3314F"/>
    <w:rsid w:val="00F3322E"/>
    <w:rsid w:val="00F33235"/>
    <w:rsid w:val="00F3341F"/>
    <w:rsid w:val="00F334D7"/>
    <w:rsid w:val="00F334D8"/>
    <w:rsid w:val="00F33635"/>
    <w:rsid w:val="00F3376F"/>
    <w:rsid w:val="00F337B7"/>
    <w:rsid w:val="00F33811"/>
    <w:rsid w:val="00F33817"/>
    <w:rsid w:val="00F3383F"/>
    <w:rsid w:val="00F33865"/>
    <w:rsid w:val="00F33899"/>
    <w:rsid w:val="00F33989"/>
    <w:rsid w:val="00F33A0A"/>
    <w:rsid w:val="00F33BBE"/>
    <w:rsid w:val="00F33BCE"/>
    <w:rsid w:val="00F33BFB"/>
    <w:rsid w:val="00F33C82"/>
    <w:rsid w:val="00F33E1C"/>
    <w:rsid w:val="00F33E22"/>
    <w:rsid w:val="00F33E9D"/>
    <w:rsid w:val="00F33EA3"/>
    <w:rsid w:val="00F33EAD"/>
    <w:rsid w:val="00F33F20"/>
    <w:rsid w:val="00F33F39"/>
    <w:rsid w:val="00F33F48"/>
    <w:rsid w:val="00F33F4B"/>
    <w:rsid w:val="00F33FCD"/>
    <w:rsid w:val="00F34056"/>
    <w:rsid w:val="00F340A5"/>
    <w:rsid w:val="00F3412E"/>
    <w:rsid w:val="00F34432"/>
    <w:rsid w:val="00F34485"/>
    <w:rsid w:val="00F3449C"/>
    <w:rsid w:val="00F3450E"/>
    <w:rsid w:val="00F3463A"/>
    <w:rsid w:val="00F3463F"/>
    <w:rsid w:val="00F34706"/>
    <w:rsid w:val="00F3474E"/>
    <w:rsid w:val="00F3475B"/>
    <w:rsid w:val="00F347B6"/>
    <w:rsid w:val="00F347FC"/>
    <w:rsid w:val="00F349DC"/>
    <w:rsid w:val="00F34A71"/>
    <w:rsid w:val="00F34B0E"/>
    <w:rsid w:val="00F34B32"/>
    <w:rsid w:val="00F34B36"/>
    <w:rsid w:val="00F34D9B"/>
    <w:rsid w:val="00F34E2A"/>
    <w:rsid w:val="00F34ED4"/>
    <w:rsid w:val="00F34F96"/>
    <w:rsid w:val="00F35004"/>
    <w:rsid w:val="00F35032"/>
    <w:rsid w:val="00F350A5"/>
    <w:rsid w:val="00F35160"/>
    <w:rsid w:val="00F35204"/>
    <w:rsid w:val="00F35223"/>
    <w:rsid w:val="00F35243"/>
    <w:rsid w:val="00F35257"/>
    <w:rsid w:val="00F35667"/>
    <w:rsid w:val="00F35718"/>
    <w:rsid w:val="00F3575A"/>
    <w:rsid w:val="00F357E4"/>
    <w:rsid w:val="00F3596F"/>
    <w:rsid w:val="00F359DC"/>
    <w:rsid w:val="00F359F0"/>
    <w:rsid w:val="00F35A06"/>
    <w:rsid w:val="00F35A85"/>
    <w:rsid w:val="00F35B06"/>
    <w:rsid w:val="00F35B15"/>
    <w:rsid w:val="00F35C0E"/>
    <w:rsid w:val="00F35C9B"/>
    <w:rsid w:val="00F35CCE"/>
    <w:rsid w:val="00F35DB8"/>
    <w:rsid w:val="00F35DED"/>
    <w:rsid w:val="00F35E22"/>
    <w:rsid w:val="00F35F09"/>
    <w:rsid w:val="00F35F8F"/>
    <w:rsid w:val="00F35FEF"/>
    <w:rsid w:val="00F3606D"/>
    <w:rsid w:val="00F360DE"/>
    <w:rsid w:val="00F36102"/>
    <w:rsid w:val="00F3621E"/>
    <w:rsid w:val="00F3639E"/>
    <w:rsid w:val="00F3642B"/>
    <w:rsid w:val="00F3649D"/>
    <w:rsid w:val="00F364AB"/>
    <w:rsid w:val="00F36521"/>
    <w:rsid w:val="00F36523"/>
    <w:rsid w:val="00F36564"/>
    <w:rsid w:val="00F365FE"/>
    <w:rsid w:val="00F36621"/>
    <w:rsid w:val="00F3668E"/>
    <w:rsid w:val="00F366C7"/>
    <w:rsid w:val="00F367A0"/>
    <w:rsid w:val="00F367D4"/>
    <w:rsid w:val="00F367E8"/>
    <w:rsid w:val="00F36988"/>
    <w:rsid w:val="00F369BC"/>
    <w:rsid w:val="00F369BF"/>
    <w:rsid w:val="00F369FB"/>
    <w:rsid w:val="00F36AF2"/>
    <w:rsid w:val="00F36B42"/>
    <w:rsid w:val="00F36CFA"/>
    <w:rsid w:val="00F36D7D"/>
    <w:rsid w:val="00F36D8E"/>
    <w:rsid w:val="00F36E0F"/>
    <w:rsid w:val="00F36E9F"/>
    <w:rsid w:val="00F36EFC"/>
    <w:rsid w:val="00F36F5D"/>
    <w:rsid w:val="00F36FA3"/>
    <w:rsid w:val="00F36FCF"/>
    <w:rsid w:val="00F370B8"/>
    <w:rsid w:val="00F37136"/>
    <w:rsid w:val="00F371F3"/>
    <w:rsid w:val="00F3721E"/>
    <w:rsid w:val="00F37421"/>
    <w:rsid w:val="00F376CE"/>
    <w:rsid w:val="00F3784C"/>
    <w:rsid w:val="00F3786B"/>
    <w:rsid w:val="00F378A4"/>
    <w:rsid w:val="00F378A5"/>
    <w:rsid w:val="00F378D7"/>
    <w:rsid w:val="00F37A3A"/>
    <w:rsid w:val="00F37B23"/>
    <w:rsid w:val="00F37B5F"/>
    <w:rsid w:val="00F37D00"/>
    <w:rsid w:val="00F37DD9"/>
    <w:rsid w:val="00F37E97"/>
    <w:rsid w:val="00F37ED0"/>
    <w:rsid w:val="00F37F28"/>
    <w:rsid w:val="00F37F3D"/>
    <w:rsid w:val="00F37F60"/>
    <w:rsid w:val="00F37F9A"/>
    <w:rsid w:val="00F400B5"/>
    <w:rsid w:val="00F4010A"/>
    <w:rsid w:val="00F40114"/>
    <w:rsid w:val="00F401F6"/>
    <w:rsid w:val="00F40216"/>
    <w:rsid w:val="00F4023E"/>
    <w:rsid w:val="00F4024F"/>
    <w:rsid w:val="00F4027A"/>
    <w:rsid w:val="00F4035C"/>
    <w:rsid w:val="00F403B3"/>
    <w:rsid w:val="00F403C6"/>
    <w:rsid w:val="00F40464"/>
    <w:rsid w:val="00F405B9"/>
    <w:rsid w:val="00F40655"/>
    <w:rsid w:val="00F406C4"/>
    <w:rsid w:val="00F406C7"/>
    <w:rsid w:val="00F406D3"/>
    <w:rsid w:val="00F40705"/>
    <w:rsid w:val="00F4078C"/>
    <w:rsid w:val="00F40830"/>
    <w:rsid w:val="00F40869"/>
    <w:rsid w:val="00F4088C"/>
    <w:rsid w:val="00F40951"/>
    <w:rsid w:val="00F40965"/>
    <w:rsid w:val="00F409FA"/>
    <w:rsid w:val="00F40BF1"/>
    <w:rsid w:val="00F40D0C"/>
    <w:rsid w:val="00F40DDA"/>
    <w:rsid w:val="00F40DF3"/>
    <w:rsid w:val="00F40EB8"/>
    <w:rsid w:val="00F40EE9"/>
    <w:rsid w:val="00F40F84"/>
    <w:rsid w:val="00F40FF5"/>
    <w:rsid w:val="00F4103F"/>
    <w:rsid w:val="00F410E6"/>
    <w:rsid w:val="00F4116B"/>
    <w:rsid w:val="00F411B0"/>
    <w:rsid w:val="00F41487"/>
    <w:rsid w:val="00F4154F"/>
    <w:rsid w:val="00F415C0"/>
    <w:rsid w:val="00F41739"/>
    <w:rsid w:val="00F4177A"/>
    <w:rsid w:val="00F418EF"/>
    <w:rsid w:val="00F41909"/>
    <w:rsid w:val="00F41A5C"/>
    <w:rsid w:val="00F41B7D"/>
    <w:rsid w:val="00F41C1E"/>
    <w:rsid w:val="00F41C7C"/>
    <w:rsid w:val="00F41CA5"/>
    <w:rsid w:val="00F41D0F"/>
    <w:rsid w:val="00F41E09"/>
    <w:rsid w:val="00F41E17"/>
    <w:rsid w:val="00F41E1F"/>
    <w:rsid w:val="00F41E73"/>
    <w:rsid w:val="00F41FF9"/>
    <w:rsid w:val="00F4200B"/>
    <w:rsid w:val="00F420C6"/>
    <w:rsid w:val="00F42121"/>
    <w:rsid w:val="00F42221"/>
    <w:rsid w:val="00F42273"/>
    <w:rsid w:val="00F422BF"/>
    <w:rsid w:val="00F4232B"/>
    <w:rsid w:val="00F42357"/>
    <w:rsid w:val="00F42392"/>
    <w:rsid w:val="00F423E3"/>
    <w:rsid w:val="00F42407"/>
    <w:rsid w:val="00F42428"/>
    <w:rsid w:val="00F42433"/>
    <w:rsid w:val="00F42456"/>
    <w:rsid w:val="00F426A1"/>
    <w:rsid w:val="00F42738"/>
    <w:rsid w:val="00F4273E"/>
    <w:rsid w:val="00F42742"/>
    <w:rsid w:val="00F42743"/>
    <w:rsid w:val="00F42782"/>
    <w:rsid w:val="00F42887"/>
    <w:rsid w:val="00F4288C"/>
    <w:rsid w:val="00F428F2"/>
    <w:rsid w:val="00F4293D"/>
    <w:rsid w:val="00F429CB"/>
    <w:rsid w:val="00F42B6A"/>
    <w:rsid w:val="00F42B8C"/>
    <w:rsid w:val="00F42B9A"/>
    <w:rsid w:val="00F42CED"/>
    <w:rsid w:val="00F42D36"/>
    <w:rsid w:val="00F42DC0"/>
    <w:rsid w:val="00F42DF1"/>
    <w:rsid w:val="00F42E30"/>
    <w:rsid w:val="00F42E8F"/>
    <w:rsid w:val="00F42F00"/>
    <w:rsid w:val="00F42FE9"/>
    <w:rsid w:val="00F42FEB"/>
    <w:rsid w:val="00F430EC"/>
    <w:rsid w:val="00F432B7"/>
    <w:rsid w:val="00F43373"/>
    <w:rsid w:val="00F433B4"/>
    <w:rsid w:val="00F433CC"/>
    <w:rsid w:val="00F433CF"/>
    <w:rsid w:val="00F434DF"/>
    <w:rsid w:val="00F434E6"/>
    <w:rsid w:val="00F4355B"/>
    <w:rsid w:val="00F4356F"/>
    <w:rsid w:val="00F4362B"/>
    <w:rsid w:val="00F43677"/>
    <w:rsid w:val="00F43797"/>
    <w:rsid w:val="00F43837"/>
    <w:rsid w:val="00F439A0"/>
    <w:rsid w:val="00F43A26"/>
    <w:rsid w:val="00F43A74"/>
    <w:rsid w:val="00F43AC1"/>
    <w:rsid w:val="00F43AD6"/>
    <w:rsid w:val="00F43AEF"/>
    <w:rsid w:val="00F43BDC"/>
    <w:rsid w:val="00F43CFC"/>
    <w:rsid w:val="00F43D49"/>
    <w:rsid w:val="00F43DA3"/>
    <w:rsid w:val="00F43DDB"/>
    <w:rsid w:val="00F43E52"/>
    <w:rsid w:val="00F43E5C"/>
    <w:rsid w:val="00F43EC6"/>
    <w:rsid w:val="00F43F3D"/>
    <w:rsid w:val="00F43FFF"/>
    <w:rsid w:val="00F4406B"/>
    <w:rsid w:val="00F44207"/>
    <w:rsid w:val="00F442B3"/>
    <w:rsid w:val="00F44405"/>
    <w:rsid w:val="00F4443B"/>
    <w:rsid w:val="00F444C1"/>
    <w:rsid w:val="00F44550"/>
    <w:rsid w:val="00F44556"/>
    <w:rsid w:val="00F445FE"/>
    <w:rsid w:val="00F447DB"/>
    <w:rsid w:val="00F447ED"/>
    <w:rsid w:val="00F44822"/>
    <w:rsid w:val="00F44883"/>
    <w:rsid w:val="00F44A96"/>
    <w:rsid w:val="00F44ACA"/>
    <w:rsid w:val="00F44AFE"/>
    <w:rsid w:val="00F44B2F"/>
    <w:rsid w:val="00F44BAA"/>
    <w:rsid w:val="00F44BB4"/>
    <w:rsid w:val="00F44BC9"/>
    <w:rsid w:val="00F44BFB"/>
    <w:rsid w:val="00F44C68"/>
    <w:rsid w:val="00F44DB0"/>
    <w:rsid w:val="00F44EA7"/>
    <w:rsid w:val="00F4507A"/>
    <w:rsid w:val="00F4509C"/>
    <w:rsid w:val="00F4510A"/>
    <w:rsid w:val="00F4521D"/>
    <w:rsid w:val="00F452ED"/>
    <w:rsid w:val="00F453A7"/>
    <w:rsid w:val="00F453FC"/>
    <w:rsid w:val="00F45756"/>
    <w:rsid w:val="00F458B8"/>
    <w:rsid w:val="00F458DB"/>
    <w:rsid w:val="00F459B6"/>
    <w:rsid w:val="00F459DD"/>
    <w:rsid w:val="00F45AAE"/>
    <w:rsid w:val="00F45B88"/>
    <w:rsid w:val="00F45C7E"/>
    <w:rsid w:val="00F45CE2"/>
    <w:rsid w:val="00F45D7C"/>
    <w:rsid w:val="00F45D90"/>
    <w:rsid w:val="00F45DFE"/>
    <w:rsid w:val="00F45E2E"/>
    <w:rsid w:val="00F45E71"/>
    <w:rsid w:val="00F45F8B"/>
    <w:rsid w:val="00F45F99"/>
    <w:rsid w:val="00F46080"/>
    <w:rsid w:val="00F460CB"/>
    <w:rsid w:val="00F460F9"/>
    <w:rsid w:val="00F4610D"/>
    <w:rsid w:val="00F4613D"/>
    <w:rsid w:val="00F4621E"/>
    <w:rsid w:val="00F4625E"/>
    <w:rsid w:val="00F4626C"/>
    <w:rsid w:val="00F462F8"/>
    <w:rsid w:val="00F4650C"/>
    <w:rsid w:val="00F4651F"/>
    <w:rsid w:val="00F46530"/>
    <w:rsid w:val="00F465DB"/>
    <w:rsid w:val="00F4680F"/>
    <w:rsid w:val="00F46870"/>
    <w:rsid w:val="00F468AE"/>
    <w:rsid w:val="00F468F2"/>
    <w:rsid w:val="00F46986"/>
    <w:rsid w:val="00F469DD"/>
    <w:rsid w:val="00F46B09"/>
    <w:rsid w:val="00F46B1F"/>
    <w:rsid w:val="00F46B88"/>
    <w:rsid w:val="00F46BC5"/>
    <w:rsid w:val="00F46DBB"/>
    <w:rsid w:val="00F46E8F"/>
    <w:rsid w:val="00F46F2E"/>
    <w:rsid w:val="00F46FFF"/>
    <w:rsid w:val="00F47017"/>
    <w:rsid w:val="00F470C0"/>
    <w:rsid w:val="00F47121"/>
    <w:rsid w:val="00F471C1"/>
    <w:rsid w:val="00F471C2"/>
    <w:rsid w:val="00F471C9"/>
    <w:rsid w:val="00F47231"/>
    <w:rsid w:val="00F473DB"/>
    <w:rsid w:val="00F473DD"/>
    <w:rsid w:val="00F475B9"/>
    <w:rsid w:val="00F476FD"/>
    <w:rsid w:val="00F4777D"/>
    <w:rsid w:val="00F478A8"/>
    <w:rsid w:val="00F47909"/>
    <w:rsid w:val="00F47935"/>
    <w:rsid w:val="00F47A04"/>
    <w:rsid w:val="00F47A34"/>
    <w:rsid w:val="00F47A76"/>
    <w:rsid w:val="00F47BAF"/>
    <w:rsid w:val="00F47CF5"/>
    <w:rsid w:val="00F47CF7"/>
    <w:rsid w:val="00F47D6A"/>
    <w:rsid w:val="00F47D70"/>
    <w:rsid w:val="00F47F69"/>
    <w:rsid w:val="00F500C7"/>
    <w:rsid w:val="00F500F5"/>
    <w:rsid w:val="00F502AA"/>
    <w:rsid w:val="00F50323"/>
    <w:rsid w:val="00F50382"/>
    <w:rsid w:val="00F50429"/>
    <w:rsid w:val="00F5057A"/>
    <w:rsid w:val="00F5059C"/>
    <w:rsid w:val="00F50747"/>
    <w:rsid w:val="00F5076E"/>
    <w:rsid w:val="00F50796"/>
    <w:rsid w:val="00F507D0"/>
    <w:rsid w:val="00F507E1"/>
    <w:rsid w:val="00F5085C"/>
    <w:rsid w:val="00F50864"/>
    <w:rsid w:val="00F50931"/>
    <w:rsid w:val="00F50A1E"/>
    <w:rsid w:val="00F50A33"/>
    <w:rsid w:val="00F50B5E"/>
    <w:rsid w:val="00F50B62"/>
    <w:rsid w:val="00F50B78"/>
    <w:rsid w:val="00F50BD8"/>
    <w:rsid w:val="00F50C7A"/>
    <w:rsid w:val="00F50CB7"/>
    <w:rsid w:val="00F50E56"/>
    <w:rsid w:val="00F50E84"/>
    <w:rsid w:val="00F50EAF"/>
    <w:rsid w:val="00F50F74"/>
    <w:rsid w:val="00F50F99"/>
    <w:rsid w:val="00F50FD5"/>
    <w:rsid w:val="00F510D0"/>
    <w:rsid w:val="00F51123"/>
    <w:rsid w:val="00F5116D"/>
    <w:rsid w:val="00F511BB"/>
    <w:rsid w:val="00F511DA"/>
    <w:rsid w:val="00F5121B"/>
    <w:rsid w:val="00F512CF"/>
    <w:rsid w:val="00F5134B"/>
    <w:rsid w:val="00F51398"/>
    <w:rsid w:val="00F51444"/>
    <w:rsid w:val="00F51451"/>
    <w:rsid w:val="00F514C5"/>
    <w:rsid w:val="00F51626"/>
    <w:rsid w:val="00F51875"/>
    <w:rsid w:val="00F51908"/>
    <w:rsid w:val="00F51967"/>
    <w:rsid w:val="00F51997"/>
    <w:rsid w:val="00F51BD4"/>
    <w:rsid w:val="00F51BE0"/>
    <w:rsid w:val="00F51BE7"/>
    <w:rsid w:val="00F51C7F"/>
    <w:rsid w:val="00F51C9E"/>
    <w:rsid w:val="00F51CA4"/>
    <w:rsid w:val="00F51D3F"/>
    <w:rsid w:val="00F51EE0"/>
    <w:rsid w:val="00F51F46"/>
    <w:rsid w:val="00F51F5A"/>
    <w:rsid w:val="00F521C3"/>
    <w:rsid w:val="00F5220B"/>
    <w:rsid w:val="00F52261"/>
    <w:rsid w:val="00F5227A"/>
    <w:rsid w:val="00F522AC"/>
    <w:rsid w:val="00F52347"/>
    <w:rsid w:val="00F52422"/>
    <w:rsid w:val="00F524E5"/>
    <w:rsid w:val="00F52539"/>
    <w:rsid w:val="00F52662"/>
    <w:rsid w:val="00F526BC"/>
    <w:rsid w:val="00F526CD"/>
    <w:rsid w:val="00F526D1"/>
    <w:rsid w:val="00F527D1"/>
    <w:rsid w:val="00F528A3"/>
    <w:rsid w:val="00F528C3"/>
    <w:rsid w:val="00F52912"/>
    <w:rsid w:val="00F52A44"/>
    <w:rsid w:val="00F52B5A"/>
    <w:rsid w:val="00F52B98"/>
    <w:rsid w:val="00F52BA0"/>
    <w:rsid w:val="00F52C94"/>
    <w:rsid w:val="00F52DFF"/>
    <w:rsid w:val="00F52E03"/>
    <w:rsid w:val="00F52E4E"/>
    <w:rsid w:val="00F52E59"/>
    <w:rsid w:val="00F52F14"/>
    <w:rsid w:val="00F52FE4"/>
    <w:rsid w:val="00F53021"/>
    <w:rsid w:val="00F5307D"/>
    <w:rsid w:val="00F53094"/>
    <w:rsid w:val="00F53143"/>
    <w:rsid w:val="00F53268"/>
    <w:rsid w:val="00F53277"/>
    <w:rsid w:val="00F53283"/>
    <w:rsid w:val="00F53337"/>
    <w:rsid w:val="00F53413"/>
    <w:rsid w:val="00F53508"/>
    <w:rsid w:val="00F53551"/>
    <w:rsid w:val="00F535AC"/>
    <w:rsid w:val="00F53698"/>
    <w:rsid w:val="00F5369B"/>
    <w:rsid w:val="00F536AD"/>
    <w:rsid w:val="00F53840"/>
    <w:rsid w:val="00F539E6"/>
    <w:rsid w:val="00F53C64"/>
    <w:rsid w:val="00F53DC2"/>
    <w:rsid w:val="00F53E45"/>
    <w:rsid w:val="00F53EA8"/>
    <w:rsid w:val="00F53ED9"/>
    <w:rsid w:val="00F53F7E"/>
    <w:rsid w:val="00F53F9E"/>
    <w:rsid w:val="00F53FF3"/>
    <w:rsid w:val="00F53FFA"/>
    <w:rsid w:val="00F54111"/>
    <w:rsid w:val="00F54141"/>
    <w:rsid w:val="00F5421D"/>
    <w:rsid w:val="00F54231"/>
    <w:rsid w:val="00F5426A"/>
    <w:rsid w:val="00F542F6"/>
    <w:rsid w:val="00F5433A"/>
    <w:rsid w:val="00F54358"/>
    <w:rsid w:val="00F54395"/>
    <w:rsid w:val="00F544AC"/>
    <w:rsid w:val="00F54591"/>
    <w:rsid w:val="00F545ED"/>
    <w:rsid w:val="00F547E5"/>
    <w:rsid w:val="00F54802"/>
    <w:rsid w:val="00F54925"/>
    <w:rsid w:val="00F54955"/>
    <w:rsid w:val="00F549BD"/>
    <w:rsid w:val="00F54AC3"/>
    <w:rsid w:val="00F54B66"/>
    <w:rsid w:val="00F54C64"/>
    <w:rsid w:val="00F54C6A"/>
    <w:rsid w:val="00F54C88"/>
    <w:rsid w:val="00F54E42"/>
    <w:rsid w:val="00F54F8C"/>
    <w:rsid w:val="00F5515F"/>
    <w:rsid w:val="00F55231"/>
    <w:rsid w:val="00F553D0"/>
    <w:rsid w:val="00F553D5"/>
    <w:rsid w:val="00F5552B"/>
    <w:rsid w:val="00F557A7"/>
    <w:rsid w:val="00F557F7"/>
    <w:rsid w:val="00F55881"/>
    <w:rsid w:val="00F55A0C"/>
    <w:rsid w:val="00F55A5F"/>
    <w:rsid w:val="00F55B6F"/>
    <w:rsid w:val="00F55B95"/>
    <w:rsid w:val="00F55C34"/>
    <w:rsid w:val="00F55C53"/>
    <w:rsid w:val="00F55D30"/>
    <w:rsid w:val="00F55D36"/>
    <w:rsid w:val="00F55D92"/>
    <w:rsid w:val="00F55E17"/>
    <w:rsid w:val="00F55E37"/>
    <w:rsid w:val="00F55EB9"/>
    <w:rsid w:val="00F55F14"/>
    <w:rsid w:val="00F55F19"/>
    <w:rsid w:val="00F55F44"/>
    <w:rsid w:val="00F55F9B"/>
    <w:rsid w:val="00F5604A"/>
    <w:rsid w:val="00F56102"/>
    <w:rsid w:val="00F5615D"/>
    <w:rsid w:val="00F56161"/>
    <w:rsid w:val="00F561AE"/>
    <w:rsid w:val="00F561E5"/>
    <w:rsid w:val="00F5625B"/>
    <w:rsid w:val="00F563FB"/>
    <w:rsid w:val="00F56457"/>
    <w:rsid w:val="00F564B9"/>
    <w:rsid w:val="00F56504"/>
    <w:rsid w:val="00F565D5"/>
    <w:rsid w:val="00F56639"/>
    <w:rsid w:val="00F56785"/>
    <w:rsid w:val="00F569CE"/>
    <w:rsid w:val="00F56A5F"/>
    <w:rsid w:val="00F56C27"/>
    <w:rsid w:val="00F56C2D"/>
    <w:rsid w:val="00F56CD8"/>
    <w:rsid w:val="00F56DC6"/>
    <w:rsid w:val="00F56E39"/>
    <w:rsid w:val="00F56F24"/>
    <w:rsid w:val="00F56F95"/>
    <w:rsid w:val="00F56FD0"/>
    <w:rsid w:val="00F5722A"/>
    <w:rsid w:val="00F57286"/>
    <w:rsid w:val="00F57297"/>
    <w:rsid w:val="00F57346"/>
    <w:rsid w:val="00F57358"/>
    <w:rsid w:val="00F573C9"/>
    <w:rsid w:val="00F5742E"/>
    <w:rsid w:val="00F5750D"/>
    <w:rsid w:val="00F57580"/>
    <w:rsid w:val="00F5772E"/>
    <w:rsid w:val="00F577DF"/>
    <w:rsid w:val="00F577F4"/>
    <w:rsid w:val="00F57970"/>
    <w:rsid w:val="00F57A2E"/>
    <w:rsid w:val="00F57A6A"/>
    <w:rsid w:val="00F57AEC"/>
    <w:rsid w:val="00F57B9C"/>
    <w:rsid w:val="00F57BB2"/>
    <w:rsid w:val="00F57BDA"/>
    <w:rsid w:val="00F57C33"/>
    <w:rsid w:val="00F57D28"/>
    <w:rsid w:val="00F57E20"/>
    <w:rsid w:val="00F57E27"/>
    <w:rsid w:val="00F57E45"/>
    <w:rsid w:val="00F57E50"/>
    <w:rsid w:val="00F57E8B"/>
    <w:rsid w:val="00F57EED"/>
    <w:rsid w:val="00F57F2C"/>
    <w:rsid w:val="00F57FB9"/>
    <w:rsid w:val="00F57FED"/>
    <w:rsid w:val="00F6020A"/>
    <w:rsid w:val="00F602DD"/>
    <w:rsid w:val="00F60331"/>
    <w:rsid w:val="00F60334"/>
    <w:rsid w:val="00F60358"/>
    <w:rsid w:val="00F6035C"/>
    <w:rsid w:val="00F603BC"/>
    <w:rsid w:val="00F60456"/>
    <w:rsid w:val="00F604BE"/>
    <w:rsid w:val="00F6059F"/>
    <w:rsid w:val="00F606FB"/>
    <w:rsid w:val="00F60705"/>
    <w:rsid w:val="00F60734"/>
    <w:rsid w:val="00F607F0"/>
    <w:rsid w:val="00F60846"/>
    <w:rsid w:val="00F608AE"/>
    <w:rsid w:val="00F60906"/>
    <w:rsid w:val="00F60925"/>
    <w:rsid w:val="00F60946"/>
    <w:rsid w:val="00F609A2"/>
    <w:rsid w:val="00F609BD"/>
    <w:rsid w:val="00F60A9C"/>
    <w:rsid w:val="00F60AF2"/>
    <w:rsid w:val="00F60BAF"/>
    <w:rsid w:val="00F60BF3"/>
    <w:rsid w:val="00F60CD4"/>
    <w:rsid w:val="00F60CFB"/>
    <w:rsid w:val="00F60D0F"/>
    <w:rsid w:val="00F60D42"/>
    <w:rsid w:val="00F60D5B"/>
    <w:rsid w:val="00F60DE5"/>
    <w:rsid w:val="00F60E1E"/>
    <w:rsid w:val="00F60E8A"/>
    <w:rsid w:val="00F60EA0"/>
    <w:rsid w:val="00F60FD6"/>
    <w:rsid w:val="00F610DB"/>
    <w:rsid w:val="00F61188"/>
    <w:rsid w:val="00F61193"/>
    <w:rsid w:val="00F611FD"/>
    <w:rsid w:val="00F612A4"/>
    <w:rsid w:val="00F6133C"/>
    <w:rsid w:val="00F613E8"/>
    <w:rsid w:val="00F61432"/>
    <w:rsid w:val="00F614B1"/>
    <w:rsid w:val="00F614E8"/>
    <w:rsid w:val="00F61509"/>
    <w:rsid w:val="00F61599"/>
    <w:rsid w:val="00F61612"/>
    <w:rsid w:val="00F616CD"/>
    <w:rsid w:val="00F616F8"/>
    <w:rsid w:val="00F6171E"/>
    <w:rsid w:val="00F617D3"/>
    <w:rsid w:val="00F6199B"/>
    <w:rsid w:val="00F619A0"/>
    <w:rsid w:val="00F61A10"/>
    <w:rsid w:val="00F61A46"/>
    <w:rsid w:val="00F61AB5"/>
    <w:rsid w:val="00F61B8F"/>
    <w:rsid w:val="00F61CF5"/>
    <w:rsid w:val="00F61E0F"/>
    <w:rsid w:val="00F61E97"/>
    <w:rsid w:val="00F61F3D"/>
    <w:rsid w:val="00F61FBB"/>
    <w:rsid w:val="00F620C3"/>
    <w:rsid w:val="00F62159"/>
    <w:rsid w:val="00F62363"/>
    <w:rsid w:val="00F62551"/>
    <w:rsid w:val="00F62570"/>
    <w:rsid w:val="00F62597"/>
    <w:rsid w:val="00F6259C"/>
    <w:rsid w:val="00F62634"/>
    <w:rsid w:val="00F62673"/>
    <w:rsid w:val="00F626D9"/>
    <w:rsid w:val="00F62781"/>
    <w:rsid w:val="00F6288B"/>
    <w:rsid w:val="00F628EF"/>
    <w:rsid w:val="00F629FD"/>
    <w:rsid w:val="00F62A3A"/>
    <w:rsid w:val="00F62A3B"/>
    <w:rsid w:val="00F62B38"/>
    <w:rsid w:val="00F62B7E"/>
    <w:rsid w:val="00F62C53"/>
    <w:rsid w:val="00F62C7C"/>
    <w:rsid w:val="00F62C95"/>
    <w:rsid w:val="00F62C9B"/>
    <w:rsid w:val="00F62DBE"/>
    <w:rsid w:val="00F62E35"/>
    <w:rsid w:val="00F62FF9"/>
    <w:rsid w:val="00F62FFA"/>
    <w:rsid w:val="00F6300A"/>
    <w:rsid w:val="00F63031"/>
    <w:rsid w:val="00F630D1"/>
    <w:rsid w:val="00F630F4"/>
    <w:rsid w:val="00F63124"/>
    <w:rsid w:val="00F6315D"/>
    <w:rsid w:val="00F6321C"/>
    <w:rsid w:val="00F63260"/>
    <w:rsid w:val="00F63351"/>
    <w:rsid w:val="00F6337B"/>
    <w:rsid w:val="00F635A7"/>
    <w:rsid w:val="00F6366B"/>
    <w:rsid w:val="00F636DA"/>
    <w:rsid w:val="00F63714"/>
    <w:rsid w:val="00F6373C"/>
    <w:rsid w:val="00F63A6F"/>
    <w:rsid w:val="00F63B8F"/>
    <w:rsid w:val="00F63C4F"/>
    <w:rsid w:val="00F63C9C"/>
    <w:rsid w:val="00F63CC4"/>
    <w:rsid w:val="00F63D4F"/>
    <w:rsid w:val="00F63E95"/>
    <w:rsid w:val="00F63EBC"/>
    <w:rsid w:val="00F63F45"/>
    <w:rsid w:val="00F63F6F"/>
    <w:rsid w:val="00F63FC3"/>
    <w:rsid w:val="00F6407C"/>
    <w:rsid w:val="00F640DA"/>
    <w:rsid w:val="00F64173"/>
    <w:rsid w:val="00F641F2"/>
    <w:rsid w:val="00F6421A"/>
    <w:rsid w:val="00F64277"/>
    <w:rsid w:val="00F643C0"/>
    <w:rsid w:val="00F643D2"/>
    <w:rsid w:val="00F6446B"/>
    <w:rsid w:val="00F644F5"/>
    <w:rsid w:val="00F6453F"/>
    <w:rsid w:val="00F645EB"/>
    <w:rsid w:val="00F64605"/>
    <w:rsid w:val="00F64613"/>
    <w:rsid w:val="00F64627"/>
    <w:rsid w:val="00F646A0"/>
    <w:rsid w:val="00F646B8"/>
    <w:rsid w:val="00F64812"/>
    <w:rsid w:val="00F64819"/>
    <w:rsid w:val="00F64863"/>
    <w:rsid w:val="00F64925"/>
    <w:rsid w:val="00F64961"/>
    <w:rsid w:val="00F649B9"/>
    <w:rsid w:val="00F649E5"/>
    <w:rsid w:val="00F64ACB"/>
    <w:rsid w:val="00F64B47"/>
    <w:rsid w:val="00F64C70"/>
    <w:rsid w:val="00F64CD6"/>
    <w:rsid w:val="00F64CFF"/>
    <w:rsid w:val="00F64D89"/>
    <w:rsid w:val="00F64E72"/>
    <w:rsid w:val="00F650A9"/>
    <w:rsid w:val="00F65112"/>
    <w:rsid w:val="00F651AC"/>
    <w:rsid w:val="00F651B4"/>
    <w:rsid w:val="00F65236"/>
    <w:rsid w:val="00F6526C"/>
    <w:rsid w:val="00F65377"/>
    <w:rsid w:val="00F65399"/>
    <w:rsid w:val="00F6547F"/>
    <w:rsid w:val="00F65541"/>
    <w:rsid w:val="00F65578"/>
    <w:rsid w:val="00F65634"/>
    <w:rsid w:val="00F656DB"/>
    <w:rsid w:val="00F658A0"/>
    <w:rsid w:val="00F658F0"/>
    <w:rsid w:val="00F6593E"/>
    <w:rsid w:val="00F65989"/>
    <w:rsid w:val="00F65A2F"/>
    <w:rsid w:val="00F65A94"/>
    <w:rsid w:val="00F65AC8"/>
    <w:rsid w:val="00F65B05"/>
    <w:rsid w:val="00F65B67"/>
    <w:rsid w:val="00F65B71"/>
    <w:rsid w:val="00F65C44"/>
    <w:rsid w:val="00F65CDF"/>
    <w:rsid w:val="00F65D14"/>
    <w:rsid w:val="00F65D1A"/>
    <w:rsid w:val="00F65E27"/>
    <w:rsid w:val="00F65EA2"/>
    <w:rsid w:val="00F65EC0"/>
    <w:rsid w:val="00F65EFA"/>
    <w:rsid w:val="00F65F3C"/>
    <w:rsid w:val="00F66089"/>
    <w:rsid w:val="00F66104"/>
    <w:rsid w:val="00F6618B"/>
    <w:rsid w:val="00F661E6"/>
    <w:rsid w:val="00F66212"/>
    <w:rsid w:val="00F66219"/>
    <w:rsid w:val="00F6621B"/>
    <w:rsid w:val="00F6626D"/>
    <w:rsid w:val="00F6627B"/>
    <w:rsid w:val="00F6644B"/>
    <w:rsid w:val="00F6661A"/>
    <w:rsid w:val="00F66662"/>
    <w:rsid w:val="00F66675"/>
    <w:rsid w:val="00F666B1"/>
    <w:rsid w:val="00F666CF"/>
    <w:rsid w:val="00F666DD"/>
    <w:rsid w:val="00F6675E"/>
    <w:rsid w:val="00F66772"/>
    <w:rsid w:val="00F667CA"/>
    <w:rsid w:val="00F667F0"/>
    <w:rsid w:val="00F668A4"/>
    <w:rsid w:val="00F66953"/>
    <w:rsid w:val="00F66955"/>
    <w:rsid w:val="00F66965"/>
    <w:rsid w:val="00F66A03"/>
    <w:rsid w:val="00F66A4E"/>
    <w:rsid w:val="00F66AC2"/>
    <w:rsid w:val="00F66B04"/>
    <w:rsid w:val="00F66BA9"/>
    <w:rsid w:val="00F66C5B"/>
    <w:rsid w:val="00F66D03"/>
    <w:rsid w:val="00F66DF2"/>
    <w:rsid w:val="00F66F9E"/>
    <w:rsid w:val="00F670AB"/>
    <w:rsid w:val="00F670CE"/>
    <w:rsid w:val="00F670E5"/>
    <w:rsid w:val="00F671AC"/>
    <w:rsid w:val="00F67235"/>
    <w:rsid w:val="00F6729A"/>
    <w:rsid w:val="00F672B7"/>
    <w:rsid w:val="00F672EC"/>
    <w:rsid w:val="00F67383"/>
    <w:rsid w:val="00F67435"/>
    <w:rsid w:val="00F678D4"/>
    <w:rsid w:val="00F678FD"/>
    <w:rsid w:val="00F67931"/>
    <w:rsid w:val="00F67944"/>
    <w:rsid w:val="00F6799D"/>
    <w:rsid w:val="00F679B2"/>
    <w:rsid w:val="00F679B5"/>
    <w:rsid w:val="00F679C2"/>
    <w:rsid w:val="00F679ED"/>
    <w:rsid w:val="00F67A9F"/>
    <w:rsid w:val="00F67B38"/>
    <w:rsid w:val="00F67BE2"/>
    <w:rsid w:val="00F67D3E"/>
    <w:rsid w:val="00F67D86"/>
    <w:rsid w:val="00F67E19"/>
    <w:rsid w:val="00F7009A"/>
    <w:rsid w:val="00F700A1"/>
    <w:rsid w:val="00F70196"/>
    <w:rsid w:val="00F701F6"/>
    <w:rsid w:val="00F7022C"/>
    <w:rsid w:val="00F70339"/>
    <w:rsid w:val="00F70387"/>
    <w:rsid w:val="00F703B7"/>
    <w:rsid w:val="00F70451"/>
    <w:rsid w:val="00F70486"/>
    <w:rsid w:val="00F704BA"/>
    <w:rsid w:val="00F704C3"/>
    <w:rsid w:val="00F7056E"/>
    <w:rsid w:val="00F70627"/>
    <w:rsid w:val="00F706AA"/>
    <w:rsid w:val="00F706F6"/>
    <w:rsid w:val="00F7070A"/>
    <w:rsid w:val="00F707AF"/>
    <w:rsid w:val="00F707C1"/>
    <w:rsid w:val="00F708A0"/>
    <w:rsid w:val="00F708BE"/>
    <w:rsid w:val="00F709DE"/>
    <w:rsid w:val="00F709EB"/>
    <w:rsid w:val="00F70BB1"/>
    <w:rsid w:val="00F70BC2"/>
    <w:rsid w:val="00F70C03"/>
    <w:rsid w:val="00F70CB7"/>
    <w:rsid w:val="00F70CDB"/>
    <w:rsid w:val="00F70CF4"/>
    <w:rsid w:val="00F70D51"/>
    <w:rsid w:val="00F70D8B"/>
    <w:rsid w:val="00F70E26"/>
    <w:rsid w:val="00F70E46"/>
    <w:rsid w:val="00F70EA9"/>
    <w:rsid w:val="00F70EEF"/>
    <w:rsid w:val="00F70EF4"/>
    <w:rsid w:val="00F70F8F"/>
    <w:rsid w:val="00F70FB1"/>
    <w:rsid w:val="00F710DA"/>
    <w:rsid w:val="00F7114E"/>
    <w:rsid w:val="00F712A6"/>
    <w:rsid w:val="00F713B6"/>
    <w:rsid w:val="00F713D3"/>
    <w:rsid w:val="00F713D4"/>
    <w:rsid w:val="00F7143E"/>
    <w:rsid w:val="00F71482"/>
    <w:rsid w:val="00F71546"/>
    <w:rsid w:val="00F715A4"/>
    <w:rsid w:val="00F715E9"/>
    <w:rsid w:val="00F71784"/>
    <w:rsid w:val="00F71891"/>
    <w:rsid w:val="00F71943"/>
    <w:rsid w:val="00F71B58"/>
    <w:rsid w:val="00F71BFD"/>
    <w:rsid w:val="00F71C8F"/>
    <w:rsid w:val="00F71CFB"/>
    <w:rsid w:val="00F71D27"/>
    <w:rsid w:val="00F71D35"/>
    <w:rsid w:val="00F71E70"/>
    <w:rsid w:val="00F71E78"/>
    <w:rsid w:val="00F71EB3"/>
    <w:rsid w:val="00F71F60"/>
    <w:rsid w:val="00F71FA2"/>
    <w:rsid w:val="00F72029"/>
    <w:rsid w:val="00F720A5"/>
    <w:rsid w:val="00F720FC"/>
    <w:rsid w:val="00F7216D"/>
    <w:rsid w:val="00F72241"/>
    <w:rsid w:val="00F7225E"/>
    <w:rsid w:val="00F72393"/>
    <w:rsid w:val="00F7247E"/>
    <w:rsid w:val="00F724DA"/>
    <w:rsid w:val="00F724FC"/>
    <w:rsid w:val="00F72611"/>
    <w:rsid w:val="00F7263F"/>
    <w:rsid w:val="00F7264F"/>
    <w:rsid w:val="00F72672"/>
    <w:rsid w:val="00F726BF"/>
    <w:rsid w:val="00F726C8"/>
    <w:rsid w:val="00F72701"/>
    <w:rsid w:val="00F72738"/>
    <w:rsid w:val="00F7276D"/>
    <w:rsid w:val="00F72832"/>
    <w:rsid w:val="00F72859"/>
    <w:rsid w:val="00F728D2"/>
    <w:rsid w:val="00F728EA"/>
    <w:rsid w:val="00F72960"/>
    <w:rsid w:val="00F7299D"/>
    <w:rsid w:val="00F72A2D"/>
    <w:rsid w:val="00F72A3F"/>
    <w:rsid w:val="00F72A44"/>
    <w:rsid w:val="00F72A4F"/>
    <w:rsid w:val="00F72ADC"/>
    <w:rsid w:val="00F72AE5"/>
    <w:rsid w:val="00F72AE9"/>
    <w:rsid w:val="00F72B2D"/>
    <w:rsid w:val="00F72B90"/>
    <w:rsid w:val="00F72BA3"/>
    <w:rsid w:val="00F72CDB"/>
    <w:rsid w:val="00F72FCD"/>
    <w:rsid w:val="00F72FE7"/>
    <w:rsid w:val="00F7300C"/>
    <w:rsid w:val="00F73025"/>
    <w:rsid w:val="00F73073"/>
    <w:rsid w:val="00F73183"/>
    <w:rsid w:val="00F7321C"/>
    <w:rsid w:val="00F73312"/>
    <w:rsid w:val="00F7338D"/>
    <w:rsid w:val="00F733F8"/>
    <w:rsid w:val="00F735CA"/>
    <w:rsid w:val="00F735D5"/>
    <w:rsid w:val="00F73633"/>
    <w:rsid w:val="00F736B1"/>
    <w:rsid w:val="00F736D7"/>
    <w:rsid w:val="00F73700"/>
    <w:rsid w:val="00F737E8"/>
    <w:rsid w:val="00F73802"/>
    <w:rsid w:val="00F73831"/>
    <w:rsid w:val="00F738D0"/>
    <w:rsid w:val="00F73A37"/>
    <w:rsid w:val="00F73D69"/>
    <w:rsid w:val="00F73DB9"/>
    <w:rsid w:val="00F73DC6"/>
    <w:rsid w:val="00F73DFA"/>
    <w:rsid w:val="00F74037"/>
    <w:rsid w:val="00F74088"/>
    <w:rsid w:val="00F742C2"/>
    <w:rsid w:val="00F7440D"/>
    <w:rsid w:val="00F744CC"/>
    <w:rsid w:val="00F744F4"/>
    <w:rsid w:val="00F744FE"/>
    <w:rsid w:val="00F7454B"/>
    <w:rsid w:val="00F74564"/>
    <w:rsid w:val="00F74575"/>
    <w:rsid w:val="00F74581"/>
    <w:rsid w:val="00F745D4"/>
    <w:rsid w:val="00F74614"/>
    <w:rsid w:val="00F7463E"/>
    <w:rsid w:val="00F74679"/>
    <w:rsid w:val="00F74684"/>
    <w:rsid w:val="00F7472C"/>
    <w:rsid w:val="00F74765"/>
    <w:rsid w:val="00F7477F"/>
    <w:rsid w:val="00F7479F"/>
    <w:rsid w:val="00F74879"/>
    <w:rsid w:val="00F748BF"/>
    <w:rsid w:val="00F748D8"/>
    <w:rsid w:val="00F749AB"/>
    <w:rsid w:val="00F749CD"/>
    <w:rsid w:val="00F74D51"/>
    <w:rsid w:val="00F74D7B"/>
    <w:rsid w:val="00F74DB3"/>
    <w:rsid w:val="00F74DB7"/>
    <w:rsid w:val="00F74DCF"/>
    <w:rsid w:val="00F74E86"/>
    <w:rsid w:val="00F74EBB"/>
    <w:rsid w:val="00F75055"/>
    <w:rsid w:val="00F7507F"/>
    <w:rsid w:val="00F75182"/>
    <w:rsid w:val="00F751A9"/>
    <w:rsid w:val="00F75222"/>
    <w:rsid w:val="00F75337"/>
    <w:rsid w:val="00F7535D"/>
    <w:rsid w:val="00F753B8"/>
    <w:rsid w:val="00F753DF"/>
    <w:rsid w:val="00F7544F"/>
    <w:rsid w:val="00F754AF"/>
    <w:rsid w:val="00F756B9"/>
    <w:rsid w:val="00F7573F"/>
    <w:rsid w:val="00F75753"/>
    <w:rsid w:val="00F757C8"/>
    <w:rsid w:val="00F75900"/>
    <w:rsid w:val="00F75963"/>
    <w:rsid w:val="00F75969"/>
    <w:rsid w:val="00F75A5C"/>
    <w:rsid w:val="00F75AB1"/>
    <w:rsid w:val="00F75B41"/>
    <w:rsid w:val="00F75C43"/>
    <w:rsid w:val="00F75C68"/>
    <w:rsid w:val="00F75CA7"/>
    <w:rsid w:val="00F75D28"/>
    <w:rsid w:val="00F75E18"/>
    <w:rsid w:val="00F75EE6"/>
    <w:rsid w:val="00F75F61"/>
    <w:rsid w:val="00F75FD5"/>
    <w:rsid w:val="00F7604C"/>
    <w:rsid w:val="00F7609D"/>
    <w:rsid w:val="00F7627A"/>
    <w:rsid w:val="00F7629F"/>
    <w:rsid w:val="00F76390"/>
    <w:rsid w:val="00F763F9"/>
    <w:rsid w:val="00F76484"/>
    <w:rsid w:val="00F76485"/>
    <w:rsid w:val="00F76534"/>
    <w:rsid w:val="00F7653E"/>
    <w:rsid w:val="00F76549"/>
    <w:rsid w:val="00F7658E"/>
    <w:rsid w:val="00F765ED"/>
    <w:rsid w:val="00F7665D"/>
    <w:rsid w:val="00F766F0"/>
    <w:rsid w:val="00F7685C"/>
    <w:rsid w:val="00F76883"/>
    <w:rsid w:val="00F7688B"/>
    <w:rsid w:val="00F768CD"/>
    <w:rsid w:val="00F7694D"/>
    <w:rsid w:val="00F769C7"/>
    <w:rsid w:val="00F76A6D"/>
    <w:rsid w:val="00F76AEE"/>
    <w:rsid w:val="00F76C2D"/>
    <w:rsid w:val="00F76CBE"/>
    <w:rsid w:val="00F76CD8"/>
    <w:rsid w:val="00F76D0B"/>
    <w:rsid w:val="00F76D4C"/>
    <w:rsid w:val="00F76D71"/>
    <w:rsid w:val="00F76E0C"/>
    <w:rsid w:val="00F76E93"/>
    <w:rsid w:val="00F76F22"/>
    <w:rsid w:val="00F770B9"/>
    <w:rsid w:val="00F770DF"/>
    <w:rsid w:val="00F770EB"/>
    <w:rsid w:val="00F7717E"/>
    <w:rsid w:val="00F771D3"/>
    <w:rsid w:val="00F77276"/>
    <w:rsid w:val="00F7738B"/>
    <w:rsid w:val="00F773F5"/>
    <w:rsid w:val="00F7746D"/>
    <w:rsid w:val="00F77537"/>
    <w:rsid w:val="00F77546"/>
    <w:rsid w:val="00F77689"/>
    <w:rsid w:val="00F7775A"/>
    <w:rsid w:val="00F778A2"/>
    <w:rsid w:val="00F77958"/>
    <w:rsid w:val="00F77963"/>
    <w:rsid w:val="00F779DE"/>
    <w:rsid w:val="00F77A9D"/>
    <w:rsid w:val="00F77B05"/>
    <w:rsid w:val="00F77B61"/>
    <w:rsid w:val="00F77B9F"/>
    <w:rsid w:val="00F77C59"/>
    <w:rsid w:val="00F77CB0"/>
    <w:rsid w:val="00F77D06"/>
    <w:rsid w:val="00F77D60"/>
    <w:rsid w:val="00F77E4C"/>
    <w:rsid w:val="00F77E5A"/>
    <w:rsid w:val="00F77E87"/>
    <w:rsid w:val="00F77EF5"/>
    <w:rsid w:val="00F77F08"/>
    <w:rsid w:val="00F77F3A"/>
    <w:rsid w:val="00F77F41"/>
    <w:rsid w:val="00F77FC3"/>
    <w:rsid w:val="00F80040"/>
    <w:rsid w:val="00F80114"/>
    <w:rsid w:val="00F801A0"/>
    <w:rsid w:val="00F801A9"/>
    <w:rsid w:val="00F801D3"/>
    <w:rsid w:val="00F801FE"/>
    <w:rsid w:val="00F8028E"/>
    <w:rsid w:val="00F80359"/>
    <w:rsid w:val="00F803B1"/>
    <w:rsid w:val="00F8040D"/>
    <w:rsid w:val="00F80505"/>
    <w:rsid w:val="00F805B8"/>
    <w:rsid w:val="00F805C2"/>
    <w:rsid w:val="00F8074D"/>
    <w:rsid w:val="00F807C2"/>
    <w:rsid w:val="00F807D2"/>
    <w:rsid w:val="00F808AA"/>
    <w:rsid w:val="00F80B49"/>
    <w:rsid w:val="00F80BE6"/>
    <w:rsid w:val="00F80BF3"/>
    <w:rsid w:val="00F80C6D"/>
    <w:rsid w:val="00F80CA5"/>
    <w:rsid w:val="00F80D88"/>
    <w:rsid w:val="00F80E4E"/>
    <w:rsid w:val="00F80FA9"/>
    <w:rsid w:val="00F80FCD"/>
    <w:rsid w:val="00F80FE4"/>
    <w:rsid w:val="00F80FE8"/>
    <w:rsid w:val="00F80FF3"/>
    <w:rsid w:val="00F810C1"/>
    <w:rsid w:val="00F810D4"/>
    <w:rsid w:val="00F81101"/>
    <w:rsid w:val="00F81180"/>
    <w:rsid w:val="00F811C8"/>
    <w:rsid w:val="00F811EF"/>
    <w:rsid w:val="00F812D1"/>
    <w:rsid w:val="00F81665"/>
    <w:rsid w:val="00F817DB"/>
    <w:rsid w:val="00F81895"/>
    <w:rsid w:val="00F818B1"/>
    <w:rsid w:val="00F818F6"/>
    <w:rsid w:val="00F81911"/>
    <w:rsid w:val="00F81A3B"/>
    <w:rsid w:val="00F81AF3"/>
    <w:rsid w:val="00F81B07"/>
    <w:rsid w:val="00F81C6A"/>
    <w:rsid w:val="00F81D4F"/>
    <w:rsid w:val="00F81DA7"/>
    <w:rsid w:val="00F81F2B"/>
    <w:rsid w:val="00F81FB0"/>
    <w:rsid w:val="00F820EC"/>
    <w:rsid w:val="00F820F8"/>
    <w:rsid w:val="00F8212B"/>
    <w:rsid w:val="00F821B7"/>
    <w:rsid w:val="00F8222C"/>
    <w:rsid w:val="00F8223F"/>
    <w:rsid w:val="00F82450"/>
    <w:rsid w:val="00F824FF"/>
    <w:rsid w:val="00F82566"/>
    <w:rsid w:val="00F82594"/>
    <w:rsid w:val="00F825B7"/>
    <w:rsid w:val="00F82677"/>
    <w:rsid w:val="00F82687"/>
    <w:rsid w:val="00F8277C"/>
    <w:rsid w:val="00F827C8"/>
    <w:rsid w:val="00F827F3"/>
    <w:rsid w:val="00F828FB"/>
    <w:rsid w:val="00F829A3"/>
    <w:rsid w:val="00F82A15"/>
    <w:rsid w:val="00F82A81"/>
    <w:rsid w:val="00F82AAA"/>
    <w:rsid w:val="00F82B04"/>
    <w:rsid w:val="00F82B19"/>
    <w:rsid w:val="00F82C8B"/>
    <w:rsid w:val="00F82D5C"/>
    <w:rsid w:val="00F82D9D"/>
    <w:rsid w:val="00F82E93"/>
    <w:rsid w:val="00F82FB7"/>
    <w:rsid w:val="00F82FDA"/>
    <w:rsid w:val="00F83017"/>
    <w:rsid w:val="00F831A4"/>
    <w:rsid w:val="00F8328C"/>
    <w:rsid w:val="00F833CF"/>
    <w:rsid w:val="00F833FE"/>
    <w:rsid w:val="00F83489"/>
    <w:rsid w:val="00F834B8"/>
    <w:rsid w:val="00F8352F"/>
    <w:rsid w:val="00F835E0"/>
    <w:rsid w:val="00F836C8"/>
    <w:rsid w:val="00F83818"/>
    <w:rsid w:val="00F838BB"/>
    <w:rsid w:val="00F838DD"/>
    <w:rsid w:val="00F8394E"/>
    <w:rsid w:val="00F83966"/>
    <w:rsid w:val="00F83AB0"/>
    <w:rsid w:val="00F83B1A"/>
    <w:rsid w:val="00F83B28"/>
    <w:rsid w:val="00F83CE0"/>
    <w:rsid w:val="00F83DD4"/>
    <w:rsid w:val="00F83EBB"/>
    <w:rsid w:val="00F83F15"/>
    <w:rsid w:val="00F83F2E"/>
    <w:rsid w:val="00F83F82"/>
    <w:rsid w:val="00F8408C"/>
    <w:rsid w:val="00F840A3"/>
    <w:rsid w:val="00F840E3"/>
    <w:rsid w:val="00F84143"/>
    <w:rsid w:val="00F841A7"/>
    <w:rsid w:val="00F8430E"/>
    <w:rsid w:val="00F84417"/>
    <w:rsid w:val="00F84467"/>
    <w:rsid w:val="00F844E8"/>
    <w:rsid w:val="00F844F8"/>
    <w:rsid w:val="00F845B9"/>
    <w:rsid w:val="00F8460D"/>
    <w:rsid w:val="00F84663"/>
    <w:rsid w:val="00F8485E"/>
    <w:rsid w:val="00F84884"/>
    <w:rsid w:val="00F848B1"/>
    <w:rsid w:val="00F849D8"/>
    <w:rsid w:val="00F84B4B"/>
    <w:rsid w:val="00F84B64"/>
    <w:rsid w:val="00F84B66"/>
    <w:rsid w:val="00F84B7C"/>
    <w:rsid w:val="00F84B96"/>
    <w:rsid w:val="00F84BC1"/>
    <w:rsid w:val="00F84C05"/>
    <w:rsid w:val="00F84C06"/>
    <w:rsid w:val="00F84CD6"/>
    <w:rsid w:val="00F84D0C"/>
    <w:rsid w:val="00F84DC2"/>
    <w:rsid w:val="00F84E5D"/>
    <w:rsid w:val="00F84EA4"/>
    <w:rsid w:val="00F85170"/>
    <w:rsid w:val="00F851EC"/>
    <w:rsid w:val="00F85228"/>
    <w:rsid w:val="00F85272"/>
    <w:rsid w:val="00F85383"/>
    <w:rsid w:val="00F853AB"/>
    <w:rsid w:val="00F854C5"/>
    <w:rsid w:val="00F8558F"/>
    <w:rsid w:val="00F85596"/>
    <w:rsid w:val="00F856AD"/>
    <w:rsid w:val="00F856DF"/>
    <w:rsid w:val="00F857D6"/>
    <w:rsid w:val="00F857EE"/>
    <w:rsid w:val="00F85864"/>
    <w:rsid w:val="00F859B6"/>
    <w:rsid w:val="00F859D6"/>
    <w:rsid w:val="00F85A17"/>
    <w:rsid w:val="00F85AA8"/>
    <w:rsid w:val="00F85B49"/>
    <w:rsid w:val="00F85B74"/>
    <w:rsid w:val="00F85B8E"/>
    <w:rsid w:val="00F85C2B"/>
    <w:rsid w:val="00F85C6A"/>
    <w:rsid w:val="00F85CD4"/>
    <w:rsid w:val="00F85D41"/>
    <w:rsid w:val="00F85D8B"/>
    <w:rsid w:val="00F85DCE"/>
    <w:rsid w:val="00F85DED"/>
    <w:rsid w:val="00F86127"/>
    <w:rsid w:val="00F8615C"/>
    <w:rsid w:val="00F861AA"/>
    <w:rsid w:val="00F86214"/>
    <w:rsid w:val="00F86355"/>
    <w:rsid w:val="00F86368"/>
    <w:rsid w:val="00F86413"/>
    <w:rsid w:val="00F8648D"/>
    <w:rsid w:val="00F864C8"/>
    <w:rsid w:val="00F8653A"/>
    <w:rsid w:val="00F8659F"/>
    <w:rsid w:val="00F86817"/>
    <w:rsid w:val="00F8695D"/>
    <w:rsid w:val="00F86B5C"/>
    <w:rsid w:val="00F86BAF"/>
    <w:rsid w:val="00F86C48"/>
    <w:rsid w:val="00F86C73"/>
    <w:rsid w:val="00F86CD4"/>
    <w:rsid w:val="00F86CF3"/>
    <w:rsid w:val="00F86EE8"/>
    <w:rsid w:val="00F86EF9"/>
    <w:rsid w:val="00F86F09"/>
    <w:rsid w:val="00F872F4"/>
    <w:rsid w:val="00F873E6"/>
    <w:rsid w:val="00F874D2"/>
    <w:rsid w:val="00F874DE"/>
    <w:rsid w:val="00F8750E"/>
    <w:rsid w:val="00F876F3"/>
    <w:rsid w:val="00F87770"/>
    <w:rsid w:val="00F877AE"/>
    <w:rsid w:val="00F87A58"/>
    <w:rsid w:val="00F87ACF"/>
    <w:rsid w:val="00F87B3D"/>
    <w:rsid w:val="00F87BA7"/>
    <w:rsid w:val="00F87C33"/>
    <w:rsid w:val="00F87C57"/>
    <w:rsid w:val="00F87D09"/>
    <w:rsid w:val="00F87E23"/>
    <w:rsid w:val="00F87F0E"/>
    <w:rsid w:val="00F9017D"/>
    <w:rsid w:val="00F9025D"/>
    <w:rsid w:val="00F90268"/>
    <w:rsid w:val="00F9026D"/>
    <w:rsid w:val="00F90279"/>
    <w:rsid w:val="00F90289"/>
    <w:rsid w:val="00F9040D"/>
    <w:rsid w:val="00F9042C"/>
    <w:rsid w:val="00F90566"/>
    <w:rsid w:val="00F9059B"/>
    <w:rsid w:val="00F90648"/>
    <w:rsid w:val="00F906C8"/>
    <w:rsid w:val="00F906D2"/>
    <w:rsid w:val="00F907B0"/>
    <w:rsid w:val="00F90853"/>
    <w:rsid w:val="00F9093D"/>
    <w:rsid w:val="00F90963"/>
    <w:rsid w:val="00F90A99"/>
    <w:rsid w:val="00F90CBB"/>
    <w:rsid w:val="00F90CC2"/>
    <w:rsid w:val="00F90D09"/>
    <w:rsid w:val="00F90DD8"/>
    <w:rsid w:val="00F90E13"/>
    <w:rsid w:val="00F90E28"/>
    <w:rsid w:val="00F90F6B"/>
    <w:rsid w:val="00F91138"/>
    <w:rsid w:val="00F911B3"/>
    <w:rsid w:val="00F911C3"/>
    <w:rsid w:val="00F912DC"/>
    <w:rsid w:val="00F91328"/>
    <w:rsid w:val="00F9136F"/>
    <w:rsid w:val="00F91421"/>
    <w:rsid w:val="00F91532"/>
    <w:rsid w:val="00F91568"/>
    <w:rsid w:val="00F91653"/>
    <w:rsid w:val="00F91657"/>
    <w:rsid w:val="00F9167B"/>
    <w:rsid w:val="00F916E0"/>
    <w:rsid w:val="00F917B3"/>
    <w:rsid w:val="00F9183C"/>
    <w:rsid w:val="00F91865"/>
    <w:rsid w:val="00F918A2"/>
    <w:rsid w:val="00F918ED"/>
    <w:rsid w:val="00F918EF"/>
    <w:rsid w:val="00F91A07"/>
    <w:rsid w:val="00F91A0E"/>
    <w:rsid w:val="00F91A2F"/>
    <w:rsid w:val="00F91AE9"/>
    <w:rsid w:val="00F91B06"/>
    <w:rsid w:val="00F91B0E"/>
    <w:rsid w:val="00F91B48"/>
    <w:rsid w:val="00F91D42"/>
    <w:rsid w:val="00F91E77"/>
    <w:rsid w:val="00F9201C"/>
    <w:rsid w:val="00F9212B"/>
    <w:rsid w:val="00F923CD"/>
    <w:rsid w:val="00F923F1"/>
    <w:rsid w:val="00F9242C"/>
    <w:rsid w:val="00F9247F"/>
    <w:rsid w:val="00F924C0"/>
    <w:rsid w:val="00F92545"/>
    <w:rsid w:val="00F92550"/>
    <w:rsid w:val="00F92587"/>
    <w:rsid w:val="00F92597"/>
    <w:rsid w:val="00F925C4"/>
    <w:rsid w:val="00F92651"/>
    <w:rsid w:val="00F92679"/>
    <w:rsid w:val="00F926C3"/>
    <w:rsid w:val="00F92746"/>
    <w:rsid w:val="00F92790"/>
    <w:rsid w:val="00F927BC"/>
    <w:rsid w:val="00F92838"/>
    <w:rsid w:val="00F928B4"/>
    <w:rsid w:val="00F928B7"/>
    <w:rsid w:val="00F9294C"/>
    <w:rsid w:val="00F92A19"/>
    <w:rsid w:val="00F92A1A"/>
    <w:rsid w:val="00F92C09"/>
    <w:rsid w:val="00F92C80"/>
    <w:rsid w:val="00F92D1B"/>
    <w:rsid w:val="00F92D2F"/>
    <w:rsid w:val="00F92DA8"/>
    <w:rsid w:val="00F92E5D"/>
    <w:rsid w:val="00F92EAE"/>
    <w:rsid w:val="00F92EEB"/>
    <w:rsid w:val="00F92F6B"/>
    <w:rsid w:val="00F92FA2"/>
    <w:rsid w:val="00F92FE6"/>
    <w:rsid w:val="00F92FF0"/>
    <w:rsid w:val="00F9305F"/>
    <w:rsid w:val="00F93099"/>
    <w:rsid w:val="00F9318F"/>
    <w:rsid w:val="00F931A0"/>
    <w:rsid w:val="00F931D2"/>
    <w:rsid w:val="00F931E3"/>
    <w:rsid w:val="00F934C2"/>
    <w:rsid w:val="00F935DE"/>
    <w:rsid w:val="00F936B3"/>
    <w:rsid w:val="00F93710"/>
    <w:rsid w:val="00F9377D"/>
    <w:rsid w:val="00F937E7"/>
    <w:rsid w:val="00F938FA"/>
    <w:rsid w:val="00F93ABE"/>
    <w:rsid w:val="00F93B3E"/>
    <w:rsid w:val="00F93B65"/>
    <w:rsid w:val="00F93B99"/>
    <w:rsid w:val="00F93BBC"/>
    <w:rsid w:val="00F93BE6"/>
    <w:rsid w:val="00F93D38"/>
    <w:rsid w:val="00F93F4B"/>
    <w:rsid w:val="00F93F7B"/>
    <w:rsid w:val="00F93FA3"/>
    <w:rsid w:val="00F940F9"/>
    <w:rsid w:val="00F9411B"/>
    <w:rsid w:val="00F94131"/>
    <w:rsid w:val="00F94152"/>
    <w:rsid w:val="00F941C8"/>
    <w:rsid w:val="00F941D8"/>
    <w:rsid w:val="00F942F7"/>
    <w:rsid w:val="00F9432B"/>
    <w:rsid w:val="00F9437F"/>
    <w:rsid w:val="00F94629"/>
    <w:rsid w:val="00F9471F"/>
    <w:rsid w:val="00F9493F"/>
    <w:rsid w:val="00F94A8A"/>
    <w:rsid w:val="00F94AB9"/>
    <w:rsid w:val="00F94B15"/>
    <w:rsid w:val="00F94B17"/>
    <w:rsid w:val="00F94B6A"/>
    <w:rsid w:val="00F94CFD"/>
    <w:rsid w:val="00F94DC8"/>
    <w:rsid w:val="00F94E30"/>
    <w:rsid w:val="00F94EEF"/>
    <w:rsid w:val="00F94F3C"/>
    <w:rsid w:val="00F95058"/>
    <w:rsid w:val="00F950DD"/>
    <w:rsid w:val="00F950EA"/>
    <w:rsid w:val="00F95150"/>
    <w:rsid w:val="00F951ED"/>
    <w:rsid w:val="00F9528E"/>
    <w:rsid w:val="00F952F2"/>
    <w:rsid w:val="00F95451"/>
    <w:rsid w:val="00F9547A"/>
    <w:rsid w:val="00F954AD"/>
    <w:rsid w:val="00F954BD"/>
    <w:rsid w:val="00F95541"/>
    <w:rsid w:val="00F95552"/>
    <w:rsid w:val="00F9558E"/>
    <w:rsid w:val="00F95596"/>
    <w:rsid w:val="00F956E2"/>
    <w:rsid w:val="00F95796"/>
    <w:rsid w:val="00F957A0"/>
    <w:rsid w:val="00F957C7"/>
    <w:rsid w:val="00F95880"/>
    <w:rsid w:val="00F958BA"/>
    <w:rsid w:val="00F958BC"/>
    <w:rsid w:val="00F95908"/>
    <w:rsid w:val="00F95925"/>
    <w:rsid w:val="00F9596F"/>
    <w:rsid w:val="00F959C5"/>
    <w:rsid w:val="00F95A67"/>
    <w:rsid w:val="00F95A84"/>
    <w:rsid w:val="00F95AE9"/>
    <w:rsid w:val="00F95B78"/>
    <w:rsid w:val="00F95B9D"/>
    <w:rsid w:val="00F95D5D"/>
    <w:rsid w:val="00F95DE7"/>
    <w:rsid w:val="00F95F8B"/>
    <w:rsid w:val="00F96015"/>
    <w:rsid w:val="00F9608B"/>
    <w:rsid w:val="00F961A9"/>
    <w:rsid w:val="00F961ED"/>
    <w:rsid w:val="00F9620B"/>
    <w:rsid w:val="00F96308"/>
    <w:rsid w:val="00F96400"/>
    <w:rsid w:val="00F9645B"/>
    <w:rsid w:val="00F964AF"/>
    <w:rsid w:val="00F96631"/>
    <w:rsid w:val="00F966DE"/>
    <w:rsid w:val="00F96941"/>
    <w:rsid w:val="00F969E4"/>
    <w:rsid w:val="00F96A96"/>
    <w:rsid w:val="00F96AFD"/>
    <w:rsid w:val="00F96B2A"/>
    <w:rsid w:val="00F96BB1"/>
    <w:rsid w:val="00F96E67"/>
    <w:rsid w:val="00F96F4C"/>
    <w:rsid w:val="00F96FE4"/>
    <w:rsid w:val="00F9709F"/>
    <w:rsid w:val="00F97109"/>
    <w:rsid w:val="00F97150"/>
    <w:rsid w:val="00F971C7"/>
    <w:rsid w:val="00F972A1"/>
    <w:rsid w:val="00F97439"/>
    <w:rsid w:val="00F975A4"/>
    <w:rsid w:val="00F975A7"/>
    <w:rsid w:val="00F975B0"/>
    <w:rsid w:val="00F97673"/>
    <w:rsid w:val="00F97758"/>
    <w:rsid w:val="00F97766"/>
    <w:rsid w:val="00F977B2"/>
    <w:rsid w:val="00F977EF"/>
    <w:rsid w:val="00F9780D"/>
    <w:rsid w:val="00F978A6"/>
    <w:rsid w:val="00F9791A"/>
    <w:rsid w:val="00F97A86"/>
    <w:rsid w:val="00F97D15"/>
    <w:rsid w:val="00F97D60"/>
    <w:rsid w:val="00F97D90"/>
    <w:rsid w:val="00F97EA3"/>
    <w:rsid w:val="00F97F46"/>
    <w:rsid w:val="00F97F4A"/>
    <w:rsid w:val="00FA00F8"/>
    <w:rsid w:val="00FA00FA"/>
    <w:rsid w:val="00FA0178"/>
    <w:rsid w:val="00FA017E"/>
    <w:rsid w:val="00FA0223"/>
    <w:rsid w:val="00FA026A"/>
    <w:rsid w:val="00FA02F3"/>
    <w:rsid w:val="00FA0405"/>
    <w:rsid w:val="00FA0409"/>
    <w:rsid w:val="00FA0492"/>
    <w:rsid w:val="00FA04B2"/>
    <w:rsid w:val="00FA0562"/>
    <w:rsid w:val="00FA05B0"/>
    <w:rsid w:val="00FA05C9"/>
    <w:rsid w:val="00FA05DF"/>
    <w:rsid w:val="00FA05FD"/>
    <w:rsid w:val="00FA065D"/>
    <w:rsid w:val="00FA06A2"/>
    <w:rsid w:val="00FA0844"/>
    <w:rsid w:val="00FA0859"/>
    <w:rsid w:val="00FA0863"/>
    <w:rsid w:val="00FA0876"/>
    <w:rsid w:val="00FA0955"/>
    <w:rsid w:val="00FA0BC4"/>
    <w:rsid w:val="00FA0BC8"/>
    <w:rsid w:val="00FA0CFE"/>
    <w:rsid w:val="00FA0E1A"/>
    <w:rsid w:val="00FA0E3D"/>
    <w:rsid w:val="00FA0F46"/>
    <w:rsid w:val="00FA0FC3"/>
    <w:rsid w:val="00FA0FDE"/>
    <w:rsid w:val="00FA0FEE"/>
    <w:rsid w:val="00FA1008"/>
    <w:rsid w:val="00FA106C"/>
    <w:rsid w:val="00FA125B"/>
    <w:rsid w:val="00FA128C"/>
    <w:rsid w:val="00FA12A2"/>
    <w:rsid w:val="00FA130C"/>
    <w:rsid w:val="00FA141B"/>
    <w:rsid w:val="00FA1492"/>
    <w:rsid w:val="00FA1569"/>
    <w:rsid w:val="00FA15A5"/>
    <w:rsid w:val="00FA15AF"/>
    <w:rsid w:val="00FA15D2"/>
    <w:rsid w:val="00FA171C"/>
    <w:rsid w:val="00FA1836"/>
    <w:rsid w:val="00FA1848"/>
    <w:rsid w:val="00FA1931"/>
    <w:rsid w:val="00FA1A1B"/>
    <w:rsid w:val="00FA1AC6"/>
    <w:rsid w:val="00FA1AC9"/>
    <w:rsid w:val="00FA1AD3"/>
    <w:rsid w:val="00FA1AE0"/>
    <w:rsid w:val="00FA1B06"/>
    <w:rsid w:val="00FA1B61"/>
    <w:rsid w:val="00FA1E62"/>
    <w:rsid w:val="00FA1EB5"/>
    <w:rsid w:val="00FA1FE1"/>
    <w:rsid w:val="00FA207E"/>
    <w:rsid w:val="00FA2110"/>
    <w:rsid w:val="00FA227A"/>
    <w:rsid w:val="00FA234F"/>
    <w:rsid w:val="00FA240A"/>
    <w:rsid w:val="00FA24D9"/>
    <w:rsid w:val="00FA24ED"/>
    <w:rsid w:val="00FA2527"/>
    <w:rsid w:val="00FA2545"/>
    <w:rsid w:val="00FA2552"/>
    <w:rsid w:val="00FA255E"/>
    <w:rsid w:val="00FA26E3"/>
    <w:rsid w:val="00FA27A6"/>
    <w:rsid w:val="00FA27C0"/>
    <w:rsid w:val="00FA2899"/>
    <w:rsid w:val="00FA28D8"/>
    <w:rsid w:val="00FA2917"/>
    <w:rsid w:val="00FA2A14"/>
    <w:rsid w:val="00FA2ACD"/>
    <w:rsid w:val="00FA2C6E"/>
    <w:rsid w:val="00FA2D40"/>
    <w:rsid w:val="00FA2DC2"/>
    <w:rsid w:val="00FA2EEC"/>
    <w:rsid w:val="00FA2FF3"/>
    <w:rsid w:val="00FA30E3"/>
    <w:rsid w:val="00FA30FA"/>
    <w:rsid w:val="00FA314A"/>
    <w:rsid w:val="00FA315D"/>
    <w:rsid w:val="00FA319E"/>
    <w:rsid w:val="00FA325B"/>
    <w:rsid w:val="00FA32AB"/>
    <w:rsid w:val="00FA32B5"/>
    <w:rsid w:val="00FA3387"/>
    <w:rsid w:val="00FA3467"/>
    <w:rsid w:val="00FA3480"/>
    <w:rsid w:val="00FA34BB"/>
    <w:rsid w:val="00FA34EE"/>
    <w:rsid w:val="00FA3519"/>
    <w:rsid w:val="00FA3548"/>
    <w:rsid w:val="00FA35F4"/>
    <w:rsid w:val="00FA36EA"/>
    <w:rsid w:val="00FA37DD"/>
    <w:rsid w:val="00FA38DF"/>
    <w:rsid w:val="00FA394E"/>
    <w:rsid w:val="00FA39C2"/>
    <w:rsid w:val="00FA3AED"/>
    <w:rsid w:val="00FA3AFC"/>
    <w:rsid w:val="00FA3B1E"/>
    <w:rsid w:val="00FA3B8C"/>
    <w:rsid w:val="00FA3B9D"/>
    <w:rsid w:val="00FA3CAF"/>
    <w:rsid w:val="00FA3D46"/>
    <w:rsid w:val="00FA3DB1"/>
    <w:rsid w:val="00FA3F56"/>
    <w:rsid w:val="00FA4098"/>
    <w:rsid w:val="00FA40BE"/>
    <w:rsid w:val="00FA412F"/>
    <w:rsid w:val="00FA4268"/>
    <w:rsid w:val="00FA42F4"/>
    <w:rsid w:val="00FA4309"/>
    <w:rsid w:val="00FA435D"/>
    <w:rsid w:val="00FA4424"/>
    <w:rsid w:val="00FA4453"/>
    <w:rsid w:val="00FA452F"/>
    <w:rsid w:val="00FA47BE"/>
    <w:rsid w:val="00FA4840"/>
    <w:rsid w:val="00FA4A1F"/>
    <w:rsid w:val="00FA4AB2"/>
    <w:rsid w:val="00FA4C18"/>
    <w:rsid w:val="00FA4C1D"/>
    <w:rsid w:val="00FA4C36"/>
    <w:rsid w:val="00FA4D61"/>
    <w:rsid w:val="00FA4DC5"/>
    <w:rsid w:val="00FA4E72"/>
    <w:rsid w:val="00FA4EC4"/>
    <w:rsid w:val="00FA4F4E"/>
    <w:rsid w:val="00FA5115"/>
    <w:rsid w:val="00FA5142"/>
    <w:rsid w:val="00FA5339"/>
    <w:rsid w:val="00FA53F8"/>
    <w:rsid w:val="00FA5406"/>
    <w:rsid w:val="00FA546F"/>
    <w:rsid w:val="00FA54F3"/>
    <w:rsid w:val="00FA5563"/>
    <w:rsid w:val="00FA5580"/>
    <w:rsid w:val="00FA55A3"/>
    <w:rsid w:val="00FA5692"/>
    <w:rsid w:val="00FA5730"/>
    <w:rsid w:val="00FA5780"/>
    <w:rsid w:val="00FA57AB"/>
    <w:rsid w:val="00FA57DE"/>
    <w:rsid w:val="00FA5818"/>
    <w:rsid w:val="00FA585B"/>
    <w:rsid w:val="00FA58E5"/>
    <w:rsid w:val="00FA5949"/>
    <w:rsid w:val="00FA5B68"/>
    <w:rsid w:val="00FA5BC4"/>
    <w:rsid w:val="00FA5C6B"/>
    <w:rsid w:val="00FA5CD8"/>
    <w:rsid w:val="00FA5EC6"/>
    <w:rsid w:val="00FA60FB"/>
    <w:rsid w:val="00FA62AB"/>
    <w:rsid w:val="00FA62D0"/>
    <w:rsid w:val="00FA63C3"/>
    <w:rsid w:val="00FA6453"/>
    <w:rsid w:val="00FA64CB"/>
    <w:rsid w:val="00FA6501"/>
    <w:rsid w:val="00FA6551"/>
    <w:rsid w:val="00FA655E"/>
    <w:rsid w:val="00FA656D"/>
    <w:rsid w:val="00FA65D7"/>
    <w:rsid w:val="00FA668F"/>
    <w:rsid w:val="00FA66A2"/>
    <w:rsid w:val="00FA6701"/>
    <w:rsid w:val="00FA6759"/>
    <w:rsid w:val="00FA6892"/>
    <w:rsid w:val="00FA68CD"/>
    <w:rsid w:val="00FA68E9"/>
    <w:rsid w:val="00FA69BA"/>
    <w:rsid w:val="00FA6AE5"/>
    <w:rsid w:val="00FA6CAA"/>
    <w:rsid w:val="00FA6D63"/>
    <w:rsid w:val="00FA6EE2"/>
    <w:rsid w:val="00FA6F46"/>
    <w:rsid w:val="00FA701A"/>
    <w:rsid w:val="00FA7025"/>
    <w:rsid w:val="00FA713F"/>
    <w:rsid w:val="00FA717D"/>
    <w:rsid w:val="00FA7229"/>
    <w:rsid w:val="00FA753B"/>
    <w:rsid w:val="00FA7585"/>
    <w:rsid w:val="00FA7667"/>
    <w:rsid w:val="00FA778D"/>
    <w:rsid w:val="00FA77DB"/>
    <w:rsid w:val="00FA7811"/>
    <w:rsid w:val="00FA7991"/>
    <w:rsid w:val="00FA7A17"/>
    <w:rsid w:val="00FA7A95"/>
    <w:rsid w:val="00FA7B14"/>
    <w:rsid w:val="00FA7B61"/>
    <w:rsid w:val="00FA7CC2"/>
    <w:rsid w:val="00FA7D27"/>
    <w:rsid w:val="00FA7D8D"/>
    <w:rsid w:val="00FA7DC2"/>
    <w:rsid w:val="00FA7E03"/>
    <w:rsid w:val="00FA7E15"/>
    <w:rsid w:val="00FA7E7E"/>
    <w:rsid w:val="00FA7E84"/>
    <w:rsid w:val="00FA7EB8"/>
    <w:rsid w:val="00FA7FC6"/>
    <w:rsid w:val="00FA7FCE"/>
    <w:rsid w:val="00FA7FDB"/>
    <w:rsid w:val="00FA7FED"/>
    <w:rsid w:val="00FB0069"/>
    <w:rsid w:val="00FB0176"/>
    <w:rsid w:val="00FB01C1"/>
    <w:rsid w:val="00FB01FF"/>
    <w:rsid w:val="00FB0343"/>
    <w:rsid w:val="00FB0568"/>
    <w:rsid w:val="00FB056C"/>
    <w:rsid w:val="00FB0806"/>
    <w:rsid w:val="00FB08D5"/>
    <w:rsid w:val="00FB0955"/>
    <w:rsid w:val="00FB0B5D"/>
    <w:rsid w:val="00FB0B66"/>
    <w:rsid w:val="00FB0BB4"/>
    <w:rsid w:val="00FB0C7D"/>
    <w:rsid w:val="00FB0D31"/>
    <w:rsid w:val="00FB0D9E"/>
    <w:rsid w:val="00FB0E10"/>
    <w:rsid w:val="00FB0EE3"/>
    <w:rsid w:val="00FB0F0E"/>
    <w:rsid w:val="00FB0F89"/>
    <w:rsid w:val="00FB0FF3"/>
    <w:rsid w:val="00FB1072"/>
    <w:rsid w:val="00FB10EB"/>
    <w:rsid w:val="00FB10F1"/>
    <w:rsid w:val="00FB1109"/>
    <w:rsid w:val="00FB1162"/>
    <w:rsid w:val="00FB119F"/>
    <w:rsid w:val="00FB137A"/>
    <w:rsid w:val="00FB13BE"/>
    <w:rsid w:val="00FB1454"/>
    <w:rsid w:val="00FB146E"/>
    <w:rsid w:val="00FB14D2"/>
    <w:rsid w:val="00FB1616"/>
    <w:rsid w:val="00FB16DD"/>
    <w:rsid w:val="00FB18F1"/>
    <w:rsid w:val="00FB192F"/>
    <w:rsid w:val="00FB1B5C"/>
    <w:rsid w:val="00FB1C4F"/>
    <w:rsid w:val="00FB1C8A"/>
    <w:rsid w:val="00FB1D43"/>
    <w:rsid w:val="00FB1D7A"/>
    <w:rsid w:val="00FB1DF6"/>
    <w:rsid w:val="00FB1E0E"/>
    <w:rsid w:val="00FB1F21"/>
    <w:rsid w:val="00FB208D"/>
    <w:rsid w:val="00FB20DE"/>
    <w:rsid w:val="00FB2142"/>
    <w:rsid w:val="00FB2161"/>
    <w:rsid w:val="00FB2280"/>
    <w:rsid w:val="00FB2293"/>
    <w:rsid w:val="00FB247B"/>
    <w:rsid w:val="00FB2673"/>
    <w:rsid w:val="00FB2968"/>
    <w:rsid w:val="00FB29CD"/>
    <w:rsid w:val="00FB29E3"/>
    <w:rsid w:val="00FB2AAF"/>
    <w:rsid w:val="00FB2ADA"/>
    <w:rsid w:val="00FB2BAF"/>
    <w:rsid w:val="00FB2BC3"/>
    <w:rsid w:val="00FB2C2B"/>
    <w:rsid w:val="00FB2C49"/>
    <w:rsid w:val="00FB2C95"/>
    <w:rsid w:val="00FB2D1D"/>
    <w:rsid w:val="00FB2D6F"/>
    <w:rsid w:val="00FB2DA3"/>
    <w:rsid w:val="00FB2E23"/>
    <w:rsid w:val="00FB2E24"/>
    <w:rsid w:val="00FB31CE"/>
    <w:rsid w:val="00FB321D"/>
    <w:rsid w:val="00FB3418"/>
    <w:rsid w:val="00FB3450"/>
    <w:rsid w:val="00FB34EE"/>
    <w:rsid w:val="00FB3532"/>
    <w:rsid w:val="00FB354C"/>
    <w:rsid w:val="00FB3580"/>
    <w:rsid w:val="00FB359D"/>
    <w:rsid w:val="00FB35AA"/>
    <w:rsid w:val="00FB35B7"/>
    <w:rsid w:val="00FB35C2"/>
    <w:rsid w:val="00FB35E5"/>
    <w:rsid w:val="00FB3683"/>
    <w:rsid w:val="00FB39AE"/>
    <w:rsid w:val="00FB3A1F"/>
    <w:rsid w:val="00FB3A2A"/>
    <w:rsid w:val="00FB3A46"/>
    <w:rsid w:val="00FB3AB2"/>
    <w:rsid w:val="00FB3AF6"/>
    <w:rsid w:val="00FB3BC1"/>
    <w:rsid w:val="00FB3BD5"/>
    <w:rsid w:val="00FB3EEC"/>
    <w:rsid w:val="00FB4015"/>
    <w:rsid w:val="00FB401E"/>
    <w:rsid w:val="00FB403B"/>
    <w:rsid w:val="00FB413A"/>
    <w:rsid w:val="00FB42DF"/>
    <w:rsid w:val="00FB4460"/>
    <w:rsid w:val="00FB44C9"/>
    <w:rsid w:val="00FB44CC"/>
    <w:rsid w:val="00FB44DF"/>
    <w:rsid w:val="00FB44E6"/>
    <w:rsid w:val="00FB45CA"/>
    <w:rsid w:val="00FB45CF"/>
    <w:rsid w:val="00FB4611"/>
    <w:rsid w:val="00FB461E"/>
    <w:rsid w:val="00FB47C0"/>
    <w:rsid w:val="00FB47CB"/>
    <w:rsid w:val="00FB4801"/>
    <w:rsid w:val="00FB480F"/>
    <w:rsid w:val="00FB4A3A"/>
    <w:rsid w:val="00FB4AE3"/>
    <w:rsid w:val="00FB4AF3"/>
    <w:rsid w:val="00FB4B49"/>
    <w:rsid w:val="00FB4B4C"/>
    <w:rsid w:val="00FB4B50"/>
    <w:rsid w:val="00FB4B5B"/>
    <w:rsid w:val="00FB4C62"/>
    <w:rsid w:val="00FB4D43"/>
    <w:rsid w:val="00FB4DAF"/>
    <w:rsid w:val="00FB4E14"/>
    <w:rsid w:val="00FB4E38"/>
    <w:rsid w:val="00FB4E4A"/>
    <w:rsid w:val="00FB4E8B"/>
    <w:rsid w:val="00FB4EC2"/>
    <w:rsid w:val="00FB4F2A"/>
    <w:rsid w:val="00FB4F79"/>
    <w:rsid w:val="00FB4FB1"/>
    <w:rsid w:val="00FB4FE5"/>
    <w:rsid w:val="00FB518C"/>
    <w:rsid w:val="00FB5243"/>
    <w:rsid w:val="00FB52D9"/>
    <w:rsid w:val="00FB545B"/>
    <w:rsid w:val="00FB5553"/>
    <w:rsid w:val="00FB5620"/>
    <w:rsid w:val="00FB57D6"/>
    <w:rsid w:val="00FB57F5"/>
    <w:rsid w:val="00FB5976"/>
    <w:rsid w:val="00FB5A41"/>
    <w:rsid w:val="00FB5AC8"/>
    <w:rsid w:val="00FB5B08"/>
    <w:rsid w:val="00FB5C00"/>
    <w:rsid w:val="00FB5C54"/>
    <w:rsid w:val="00FB5CA9"/>
    <w:rsid w:val="00FB5E78"/>
    <w:rsid w:val="00FB5F5D"/>
    <w:rsid w:val="00FB603A"/>
    <w:rsid w:val="00FB6072"/>
    <w:rsid w:val="00FB609D"/>
    <w:rsid w:val="00FB60BB"/>
    <w:rsid w:val="00FB6194"/>
    <w:rsid w:val="00FB6271"/>
    <w:rsid w:val="00FB62B0"/>
    <w:rsid w:val="00FB6300"/>
    <w:rsid w:val="00FB630A"/>
    <w:rsid w:val="00FB64A9"/>
    <w:rsid w:val="00FB6584"/>
    <w:rsid w:val="00FB66FA"/>
    <w:rsid w:val="00FB6876"/>
    <w:rsid w:val="00FB68CF"/>
    <w:rsid w:val="00FB6911"/>
    <w:rsid w:val="00FB6971"/>
    <w:rsid w:val="00FB6A81"/>
    <w:rsid w:val="00FB6AA1"/>
    <w:rsid w:val="00FB6B27"/>
    <w:rsid w:val="00FB6B8A"/>
    <w:rsid w:val="00FB6CD7"/>
    <w:rsid w:val="00FB6DDA"/>
    <w:rsid w:val="00FB6E9A"/>
    <w:rsid w:val="00FB708C"/>
    <w:rsid w:val="00FB70A8"/>
    <w:rsid w:val="00FB728F"/>
    <w:rsid w:val="00FB7335"/>
    <w:rsid w:val="00FB737E"/>
    <w:rsid w:val="00FB742B"/>
    <w:rsid w:val="00FB74A7"/>
    <w:rsid w:val="00FB74C2"/>
    <w:rsid w:val="00FB76DF"/>
    <w:rsid w:val="00FB790B"/>
    <w:rsid w:val="00FB7942"/>
    <w:rsid w:val="00FB7947"/>
    <w:rsid w:val="00FB7A2D"/>
    <w:rsid w:val="00FB7A5E"/>
    <w:rsid w:val="00FB7BF5"/>
    <w:rsid w:val="00FB7F4E"/>
    <w:rsid w:val="00FB7FA4"/>
    <w:rsid w:val="00FC0011"/>
    <w:rsid w:val="00FC0072"/>
    <w:rsid w:val="00FC019A"/>
    <w:rsid w:val="00FC01A0"/>
    <w:rsid w:val="00FC01AF"/>
    <w:rsid w:val="00FC0230"/>
    <w:rsid w:val="00FC04B2"/>
    <w:rsid w:val="00FC066E"/>
    <w:rsid w:val="00FC06A5"/>
    <w:rsid w:val="00FC06C1"/>
    <w:rsid w:val="00FC0744"/>
    <w:rsid w:val="00FC07CC"/>
    <w:rsid w:val="00FC0A7A"/>
    <w:rsid w:val="00FC0AB0"/>
    <w:rsid w:val="00FC0B90"/>
    <w:rsid w:val="00FC0BFA"/>
    <w:rsid w:val="00FC0DA0"/>
    <w:rsid w:val="00FC0DDF"/>
    <w:rsid w:val="00FC0E32"/>
    <w:rsid w:val="00FC0E77"/>
    <w:rsid w:val="00FC0E81"/>
    <w:rsid w:val="00FC0F15"/>
    <w:rsid w:val="00FC0FD7"/>
    <w:rsid w:val="00FC1049"/>
    <w:rsid w:val="00FC117C"/>
    <w:rsid w:val="00FC11CD"/>
    <w:rsid w:val="00FC123A"/>
    <w:rsid w:val="00FC1289"/>
    <w:rsid w:val="00FC1371"/>
    <w:rsid w:val="00FC145C"/>
    <w:rsid w:val="00FC146D"/>
    <w:rsid w:val="00FC169A"/>
    <w:rsid w:val="00FC1759"/>
    <w:rsid w:val="00FC177B"/>
    <w:rsid w:val="00FC179D"/>
    <w:rsid w:val="00FC18C4"/>
    <w:rsid w:val="00FC192B"/>
    <w:rsid w:val="00FC1969"/>
    <w:rsid w:val="00FC1BEB"/>
    <w:rsid w:val="00FC1C2B"/>
    <w:rsid w:val="00FC1C6C"/>
    <w:rsid w:val="00FC1D05"/>
    <w:rsid w:val="00FC1D6D"/>
    <w:rsid w:val="00FC1E9B"/>
    <w:rsid w:val="00FC1F3C"/>
    <w:rsid w:val="00FC1FA3"/>
    <w:rsid w:val="00FC1FC9"/>
    <w:rsid w:val="00FC1FE5"/>
    <w:rsid w:val="00FC200F"/>
    <w:rsid w:val="00FC21F3"/>
    <w:rsid w:val="00FC2233"/>
    <w:rsid w:val="00FC2296"/>
    <w:rsid w:val="00FC22BB"/>
    <w:rsid w:val="00FC24FC"/>
    <w:rsid w:val="00FC25A0"/>
    <w:rsid w:val="00FC2823"/>
    <w:rsid w:val="00FC2A81"/>
    <w:rsid w:val="00FC2BAE"/>
    <w:rsid w:val="00FC2E01"/>
    <w:rsid w:val="00FC2E6B"/>
    <w:rsid w:val="00FC2EAD"/>
    <w:rsid w:val="00FC2EAE"/>
    <w:rsid w:val="00FC2FEE"/>
    <w:rsid w:val="00FC3066"/>
    <w:rsid w:val="00FC30D7"/>
    <w:rsid w:val="00FC3137"/>
    <w:rsid w:val="00FC3178"/>
    <w:rsid w:val="00FC31B1"/>
    <w:rsid w:val="00FC3298"/>
    <w:rsid w:val="00FC32A5"/>
    <w:rsid w:val="00FC32A8"/>
    <w:rsid w:val="00FC32DF"/>
    <w:rsid w:val="00FC3378"/>
    <w:rsid w:val="00FC3590"/>
    <w:rsid w:val="00FC3616"/>
    <w:rsid w:val="00FC37E6"/>
    <w:rsid w:val="00FC3805"/>
    <w:rsid w:val="00FC3807"/>
    <w:rsid w:val="00FC3831"/>
    <w:rsid w:val="00FC39DC"/>
    <w:rsid w:val="00FC3A15"/>
    <w:rsid w:val="00FC3A6B"/>
    <w:rsid w:val="00FC3BAB"/>
    <w:rsid w:val="00FC3CBE"/>
    <w:rsid w:val="00FC3CDC"/>
    <w:rsid w:val="00FC3D41"/>
    <w:rsid w:val="00FC3DB8"/>
    <w:rsid w:val="00FC3E34"/>
    <w:rsid w:val="00FC4020"/>
    <w:rsid w:val="00FC402D"/>
    <w:rsid w:val="00FC406F"/>
    <w:rsid w:val="00FC40FB"/>
    <w:rsid w:val="00FC4160"/>
    <w:rsid w:val="00FC4255"/>
    <w:rsid w:val="00FC427D"/>
    <w:rsid w:val="00FC4317"/>
    <w:rsid w:val="00FC43B2"/>
    <w:rsid w:val="00FC43B3"/>
    <w:rsid w:val="00FC4409"/>
    <w:rsid w:val="00FC443D"/>
    <w:rsid w:val="00FC4493"/>
    <w:rsid w:val="00FC44DD"/>
    <w:rsid w:val="00FC4593"/>
    <w:rsid w:val="00FC4603"/>
    <w:rsid w:val="00FC462D"/>
    <w:rsid w:val="00FC463B"/>
    <w:rsid w:val="00FC467A"/>
    <w:rsid w:val="00FC46D6"/>
    <w:rsid w:val="00FC4761"/>
    <w:rsid w:val="00FC47B5"/>
    <w:rsid w:val="00FC48D8"/>
    <w:rsid w:val="00FC4ACC"/>
    <w:rsid w:val="00FC4AF7"/>
    <w:rsid w:val="00FC4B2E"/>
    <w:rsid w:val="00FC4C41"/>
    <w:rsid w:val="00FC4C74"/>
    <w:rsid w:val="00FC4CCF"/>
    <w:rsid w:val="00FC4D58"/>
    <w:rsid w:val="00FC4D69"/>
    <w:rsid w:val="00FC4F16"/>
    <w:rsid w:val="00FC4F20"/>
    <w:rsid w:val="00FC51EF"/>
    <w:rsid w:val="00FC51F8"/>
    <w:rsid w:val="00FC52E1"/>
    <w:rsid w:val="00FC52EC"/>
    <w:rsid w:val="00FC544C"/>
    <w:rsid w:val="00FC55A8"/>
    <w:rsid w:val="00FC570B"/>
    <w:rsid w:val="00FC5729"/>
    <w:rsid w:val="00FC578D"/>
    <w:rsid w:val="00FC57DD"/>
    <w:rsid w:val="00FC5869"/>
    <w:rsid w:val="00FC5A78"/>
    <w:rsid w:val="00FC5BB9"/>
    <w:rsid w:val="00FC5BF1"/>
    <w:rsid w:val="00FC5D1F"/>
    <w:rsid w:val="00FC5D9C"/>
    <w:rsid w:val="00FC5DAF"/>
    <w:rsid w:val="00FC5E07"/>
    <w:rsid w:val="00FC5E68"/>
    <w:rsid w:val="00FC5EC1"/>
    <w:rsid w:val="00FC6052"/>
    <w:rsid w:val="00FC60FC"/>
    <w:rsid w:val="00FC617A"/>
    <w:rsid w:val="00FC61E4"/>
    <w:rsid w:val="00FC61F2"/>
    <w:rsid w:val="00FC6216"/>
    <w:rsid w:val="00FC6318"/>
    <w:rsid w:val="00FC6337"/>
    <w:rsid w:val="00FC6360"/>
    <w:rsid w:val="00FC63EC"/>
    <w:rsid w:val="00FC65E6"/>
    <w:rsid w:val="00FC6620"/>
    <w:rsid w:val="00FC6664"/>
    <w:rsid w:val="00FC667F"/>
    <w:rsid w:val="00FC6693"/>
    <w:rsid w:val="00FC66E4"/>
    <w:rsid w:val="00FC6964"/>
    <w:rsid w:val="00FC69AD"/>
    <w:rsid w:val="00FC6AC6"/>
    <w:rsid w:val="00FC6B05"/>
    <w:rsid w:val="00FC6B50"/>
    <w:rsid w:val="00FC6BA5"/>
    <w:rsid w:val="00FC6BC9"/>
    <w:rsid w:val="00FC6BE0"/>
    <w:rsid w:val="00FC6C93"/>
    <w:rsid w:val="00FC6CCC"/>
    <w:rsid w:val="00FC6E85"/>
    <w:rsid w:val="00FC6F0E"/>
    <w:rsid w:val="00FC6F24"/>
    <w:rsid w:val="00FC6F4F"/>
    <w:rsid w:val="00FC6FE3"/>
    <w:rsid w:val="00FC7053"/>
    <w:rsid w:val="00FC70AB"/>
    <w:rsid w:val="00FC711C"/>
    <w:rsid w:val="00FC7151"/>
    <w:rsid w:val="00FC7170"/>
    <w:rsid w:val="00FC71A3"/>
    <w:rsid w:val="00FC71DF"/>
    <w:rsid w:val="00FC71EE"/>
    <w:rsid w:val="00FC72E2"/>
    <w:rsid w:val="00FC7324"/>
    <w:rsid w:val="00FC73F3"/>
    <w:rsid w:val="00FC7422"/>
    <w:rsid w:val="00FC746F"/>
    <w:rsid w:val="00FC755F"/>
    <w:rsid w:val="00FC75C5"/>
    <w:rsid w:val="00FC7695"/>
    <w:rsid w:val="00FC76F1"/>
    <w:rsid w:val="00FC780F"/>
    <w:rsid w:val="00FC78A8"/>
    <w:rsid w:val="00FC78D2"/>
    <w:rsid w:val="00FC79C1"/>
    <w:rsid w:val="00FC7A24"/>
    <w:rsid w:val="00FC7AC0"/>
    <w:rsid w:val="00FC7B23"/>
    <w:rsid w:val="00FC7B6B"/>
    <w:rsid w:val="00FC7BAB"/>
    <w:rsid w:val="00FC7C73"/>
    <w:rsid w:val="00FC7CB2"/>
    <w:rsid w:val="00FC7D40"/>
    <w:rsid w:val="00FC7D84"/>
    <w:rsid w:val="00FC7D93"/>
    <w:rsid w:val="00FC7DEF"/>
    <w:rsid w:val="00FC7DF3"/>
    <w:rsid w:val="00FC7E42"/>
    <w:rsid w:val="00FC7F0C"/>
    <w:rsid w:val="00FC7F2F"/>
    <w:rsid w:val="00FC7F55"/>
    <w:rsid w:val="00FD004E"/>
    <w:rsid w:val="00FD00A4"/>
    <w:rsid w:val="00FD00C5"/>
    <w:rsid w:val="00FD01C1"/>
    <w:rsid w:val="00FD021F"/>
    <w:rsid w:val="00FD0299"/>
    <w:rsid w:val="00FD02CD"/>
    <w:rsid w:val="00FD0333"/>
    <w:rsid w:val="00FD03E2"/>
    <w:rsid w:val="00FD046B"/>
    <w:rsid w:val="00FD04BD"/>
    <w:rsid w:val="00FD052E"/>
    <w:rsid w:val="00FD056D"/>
    <w:rsid w:val="00FD057F"/>
    <w:rsid w:val="00FD0593"/>
    <w:rsid w:val="00FD05C1"/>
    <w:rsid w:val="00FD067C"/>
    <w:rsid w:val="00FD0728"/>
    <w:rsid w:val="00FD078F"/>
    <w:rsid w:val="00FD0796"/>
    <w:rsid w:val="00FD07C0"/>
    <w:rsid w:val="00FD0822"/>
    <w:rsid w:val="00FD092A"/>
    <w:rsid w:val="00FD0985"/>
    <w:rsid w:val="00FD0BE7"/>
    <w:rsid w:val="00FD0D02"/>
    <w:rsid w:val="00FD0D5B"/>
    <w:rsid w:val="00FD0DF3"/>
    <w:rsid w:val="00FD0EE2"/>
    <w:rsid w:val="00FD0FA1"/>
    <w:rsid w:val="00FD0FD0"/>
    <w:rsid w:val="00FD1005"/>
    <w:rsid w:val="00FD1068"/>
    <w:rsid w:val="00FD117B"/>
    <w:rsid w:val="00FD118D"/>
    <w:rsid w:val="00FD11A6"/>
    <w:rsid w:val="00FD11B8"/>
    <w:rsid w:val="00FD127B"/>
    <w:rsid w:val="00FD12FF"/>
    <w:rsid w:val="00FD13BF"/>
    <w:rsid w:val="00FD13EB"/>
    <w:rsid w:val="00FD1672"/>
    <w:rsid w:val="00FD1709"/>
    <w:rsid w:val="00FD1819"/>
    <w:rsid w:val="00FD18D8"/>
    <w:rsid w:val="00FD18FB"/>
    <w:rsid w:val="00FD190E"/>
    <w:rsid w:val="00FD1917"/>
    <w:rsid w:val="00FD19B3"/>
    <w:rsid w:val="00FD1A25"/>
    <w:rsid w:val="00FD1B51"/>
    <w:rsid w:val="00FD1CAB"/>
    <w:rsid w:val="00FD1E85"/>
    <w:rsid w:val="00FD1F13"/>
    <w:rsid w:val="00FD1F9D"/>
    <w:rsid w:val="00FD207A"/>
    <w:rsid w:val="00FD2111"/>
    <w:rsid w:val="00FD2141"/>
    <w:rsid w:val="00FD2150"/>
    <w:rsid w:val="00FD21CE"/>
    <w:rsid w:val="00FD21D7"/>
    <w:rsid w:val="00FD2266"/>
    <w:rsid w:val="00FD226E"/>
    <w:rsid w:val="00FD22E5"/>
    <w:rsid w:val="00FD2488"/>
    <w:rsid w:val="00FD24CC"/>
    <w:rsid w:val="00FD24E6"/>
    <w:rsid w:val="00FD25A1"/>
    <w:rsid w:val="00FD25BD"/>
    <w:rsid w:val="00FD26EB"/>
    <w:rsid w:val="00FD2787"/>
    <w:rsid w:val="00FD28C1"/>
    <w:rsid w:val="00FD2A5C"/>
    <w:rsid w:val="00FD2C34"/>
    <w:rsid w:val="00FD2C72"/>
    <w:rsid w:val="00FD2C92"/>
    <w:rsid w:val="00FD2D3F"/>
    <w:rsid w:val="00FD2DA1"/>
    <w:rsid w:val="00FD2DDD"/>
    <w:rsid w:val="00FD2E9E"/>
    <w:rsid w:val="00FD2F12"/>
    <w:rsid w:val="00FD2F13"/>
    <w:rsid w:val="00FD2FE5"/>
    <w:rsid w:val="00FD301C"/>
    <w:rsid w:val="00FD30F8"/>
    <w:rsid w:val="00FD31ED"/>
    <w:rsid w:val="00FD32C8"/>
    <w:rsid w:val="00FD3332"/>
    <w:rsid w:val="00FD3371"/>
    <w:rsid w:val="00FD3386"/>
    <w:rsid w:val="00FD33FD"/>
    <w:rsid w:val="00FD3451"/>
    <w:rsid w:val="00FD354C"/>
    <w:rsid w:val="00FD360A"/>
    <w:rsid w:val="00FD36E8"/>
    <w:rsid w:val="00FD3867"/>
    <w:rsid w:val="00FD3988"/>
    <w:rsid w:val="00FD39BE"/>
    <w:rsid w:val="00FD3A48"/>
    <w:rsid w:val="00FD3ADB"/>
    <w:rsid w:val="00FD3AFC"/>
    <w:rsid w:val="00FD3BF6"/>
    <w:rsid w:val="00FD3C27"/>
    <w:rsid w:val="00FD3C31"/>
    <w:rsid w:val="00FD3CD2"/>
    <w:rsid w:val="00FD3CD6"/>
    <w:rsid w:val="00FD3D0B"/>
    <w:rsid w:val="00FD3ECE"/>
    <w:rsid w:val="00FD403B"/>
    <w:rsid w:val="00FD4123"/>
    <w:rsid w:val="00FD413A"/>
    <w:rsid w:val="00FD41EA"/>
    <w:rsid w:val="00FD422A"/>
    <w:rsid w:val="00FD425A"/>
    <w:rsid w:val="00FD4438"/>
    <w:rsid w:val="00FD4546"/>
    <w:rsid w:val="00FD458F"/>
    <w:rsid w:val="00FD45A6"/>
    <w:rsid w:val="00FD46E9"/>
    <w:rsid w:val="00FD478B"/>
    <w:rsid w:val="00FD4793"/>
    <w:rsid w:val="00FD47C4"/>
    <w:rsid w:val="00FD480B"/>
    <w:rsid w:val="00FD4901"/>
    <w:rsid w:val="00FD491C"/>
    <w:rsid w:val="00FD4A24"/>
    <w:rsid w:val="00FD4A91"/>
    <w:rsid w:val="00FD4B2F"/>
    <w:rsid w:val="00FD4B5D"/>
    <w:rsid w:val="00FD4C20"/>
    <w:rsid w:val="00FD4C9B"/>
    <w:rsid w:val="00FD4CA2"/>
    <w:rsid w:val="00FD4CF6"/>
    <w:rsid w:val="00FD4D00"/>
    <w:rsid w:val="00FD4D3A"/>
    <w:rsid w:val="00FD4D3D"/>
    <w:rsid w:val="00FD4DA3"/>
    <w:rsid w:val="00FD4F36"/>
    <w:rsid w:val="00FD4FE3"/>
    <w:rsid w:val="00FD4FF5"/>
    <w:rsid w:val="00FD511C"/>
    <w:rsid w:val="00FD5121"/>
    <w:rsid w:val="00FD512C"/>
    <w:rsid w:val="00FD51ED"/>
    <w:rsid w:val="00FD520B"/>
    <w:rsid w:val="00FD545D"/>
    <w:rsid w:val="00FD5491"/>
    <w:rsid w:val="00FD54A5"/>
    <w:rsid w:val="00FD5506"/>
    <w:rsid w:val="00FD5512"/>
    <w:rsid w:val="00FD5555"/>
    <w:rsid w:val="00FD55F3"/>
    <w:rsid w:val="00FD5677"/>
    <w:rsid w:val="00FD5691"/>
    <w:rsid w:val="00FD59BC"/>
    <w:rsid w:val="00FD59E0"/>
    <w:rsid w:val="00FD5A6B"/>
    <w:rsid w:val="00FD5AD3"/>
    <w:rsid w:val="00FD5BA9"/>
    <w:rsid w:val="00FD5BD2"/>
    <w:rsid w:val="00FD5C08"/>
    <w:rsid w:val="00FD5CD7"/>
    <w:rsid w:val="00FD5CFD"/>
    <w:rsid w:val="00FD5D66"/>
    <w:rsid w:val="00FD5DCD"/>
    <w:rsid w:val="00FD5E24"/>
    <w:rsid w:val="00FD5E32"/>
    <w:rsid w:val="00FD5E53"/>
    <w:rsid w:val="00FD5E9D"/>
    <w:rsid w:val="00FD5F1D"/>
    <w:rsid w:val="00FD6094"/>
    <w:rsid w:val="00FD60D5"/>
    <w:rsid w:val="00FD611E"/>
    <w:rsid w:val="00FD613C"/>
    <w:rsid w:val="00FD6191"/>
    <w:rsid w:val="00FD624B"/>
    <w:rsid w:val="00FD6299"/>
    <w:rsid w:val="00FD634C"/>
    <w:rsid w:val="00FD63ED"/>
    <w:rsid w:val="00FD63F8"/>
    <w:rsid w:val="00FD64B1"/>
    <w:rsid w:val="00FD653E"/>
    <w:rsid w:val="00FD658F"/>
    <w:rsid w:val="00FD6629"/>
    <w:rsid w:val="00FD6661"/>
    <w:rsid w:val="00FD66E7"/>
    <w:rsid w:val="00FD6736"/>
    <w:rsid w:val="00FD688B"/>
    <w:rsid w:val="00FD691A"/>
    <w:rsid w:val="00FD6961"/>
    <w:rsid w:val="00FD6A42"/>
    <w:rsid w:val="00FD6A67"/>
    <w:rsid w:val="00FD6A73"/>
    <w:rsid w:val="00FD6B0A"/>
    <w:rsid w:val="00FD6B5A"/>
    <w:rsid w:val="00FD6E25"/>
    <w:rsid w:val="00FD6E4B"/>
    <w:rsid w:val="00FD6F72"/>
    <w:rsid w:val="00FD7025"/>
    <w:rsid w:val="00FD70B1"/>
    <w:rsid w:val="00FD70B2"/>
    <w:rsid w:val="00FD715D"/>
    <w:rsid w:val="00FD7173"/>
    <w:rsid w:val="00FD7208"/>
    <w:rsid w:val="00FD7240"/>
    <w:rsid w:val="00FD728D"/>
    <w:rsid w:val="00FD729A"/>
    <w:rsid w:val="00FD73F3"/>
    <w:rsid w:val="00FD758D"/>
    <w:rsid w:val="00FD7611"/>
    <w:rsid w:val="00FD762D"/>
    <w:rsid w:val="00FD769E"/>
    <w:rsid w:val="00FD76C3"/>
    <w:rsid w:val="00FD76E6"/>
    <w:rsid w:val="00FD773A"/>
    <w:rsid w:val="00FD7815"/>
    <w:rsid w:val="00FD78BB"/>
    <w:rsid w:val="00FD79CC"/>
    <w:rsid w:val="00FD7A13"/>
    <w:rsid w:val="00FD7B16"/>
    <w:rsid w:val="00FD7B62"/>
    <w:rsid w:val="00FD7C4B"/>
    <w:rsid w:val="00FD7C8D"/>
    <w:rsid w:val="00FD7CB6"/>
    <w:rsid w:val="00FD7CCA"/>
    <w:rsid w:val="00FD7CDA"/>
    <w:rsid w:val="00FD7CEF"/>
    <w:rsid w:val="00FD7D6D"/>
    <w:rsid w:val="00FD7E72"/>
    <w:rsid w:val="00FD7FE5"/>
    <w:rsid w:val="00FD7FE7"/>
    <w:rsid w:val="00FE0103"/>
    <w:rsid w:val="00FE010A"/>
    <w:rsid w:val="00FE0133"/>
    <w:rsid w:val="00FE0326"/>
    <w:rsid w:val="00FE03DA"/>
    <w:rsid w:val="00FE04A7"/>
    <w:rsid w:val="00FE04CA"/>
    <w:rsid w:val="00FE051A"/>
    <w:rsid w:val="00FE0691"/>
    <w:rsid w:val="00FE06A0"/>
    <w:rsid w:val="00FE0704"/>
    <w:rsid w:val="00FE07B7"/>
    <w:rsid w:val="00FE0913"/>
    <w:rsid w:val="00FE0984"/>
    <w:rsid w:val="00FE0985"/>
    <w:rsid w:val="00FE0992"/>
    <w:rsid w:val="00FE09D6"/>
    <w:rsid w:val="00FE0B0A"/>
    <w:rsid w:val="00FE0BC7"/>
    <w:rsid w:val="00FE0C47"/>
    <w:rsid w:val="00FE0CF7"/>
    <w:rsid w:val="00FE0E8C"/>
    <w:rsid w:val="00FE0E90"/>
    <w:rsid w:val="00FE0E9C"/>
    <w:rsid w:val="00FE0F3B"/>
    <w:rsid w:val="00FE1100"/>
    <w:rsid w:val="00FE1194"/>
    <w:rsid w:val="00FE11D7"/>
    <w:rsid w:val="00FE1238"/>
    <w:rsid w:val="00FE1249"/>
    <w:rsid w:val="00FE12D2"/>
    <w:rsid w:val="00FE1489"/>
    <w:rsid w:val="00FE1533"/>
    <w:rsid w:val="00FE159D"/>
    <w:rsid w:val="00FE15A1"/>
    <w:rsid w:val="00FE1626"/>
    <w:rsid w:val="00FE181D"/>
    <w:rsid w:val="00FE18B5"/>
    <w:rsid w:val="00FE191D"/>
    <w:rsid w:val="00FE1992"/>
    <w:rsid w:val="00FE1A0F"/>
    <w:rsid w:val="00FE1A4D"/>
    <w:rsid w:val="00FE1A60"/>
    <w:rsid w:val="00FE1AF3"/>
    <w:rsid w:val="00FE1B8A"/>
    <w:rsid w:val="00FE1C8E"/>
    <w:rsid w:val="00FE1CD5"/>
    <w:rsid w:val="00FE1D1F"/>
    <w:rsid w:val="00FE1D3A"/>
    <w:rsid w:val="00FE1D40"/>
    <w:rsid w:val="00FE1D61"/>
    <w:rsid w:val="00FE1E2B"/>
    <w:rsid w:val="00FE1E2F"/>
    <w:rsid w:val="00FE1E4C"/>
    <w:rsid w:val="00FE1E4F"/>
    <w:rsid w:val="00FE1E61"/>
    <w:rsid w:val="00FE1EC2"/>
    <w:rsid w:val="00FE1FD0"/>
    <w:rsid w:val="00FE211F"/>
    <w:rsid w:val="00FE21B9"/>
    <w:rsid w:val="00FE21E7"/>
    <w:rsid w:val="00FE22E5"/>
    <w:rsid w:val="00FE2324"/>
    <w:rsid w:val="00FE23DA"/>
    <w:rsid w:val="00FE249B"/>
    <w:rsid w:val="00FE24D3"/>
    <w:rsid w:val="00FE24E3"/>
    <w:rsid w:val="00FE2641"/>
    <w:rsid w:val="00FE268C"/>
    <w:rsid w:val="00FE26F3"/>
    <w:rsid w:val="00FE281D"/>
    <w:rsid w:val="00FE2850"/>
    <w:rsid w:val="00FE29B0"/>
    <w:rsid w:val="00FE2A32"/>
    <w:rsid w:val="00FE2A80"/>
    <w:rsid w:val="00FE2A8E"/>
    <w:rsid w:val="00FE2B35"/>
    <w:rsid w:val="00FE2B86"/>
    <w:rsid w:val="00FE2C88"/>
    <w:rsid w:val="00FE2CA7"/>
    <w:rsid w:val="00FE2D0E"/>
    <w:rsid w:val="00FE2DC2"/>
    <w:rsid w:val="00FE2DCD"/>
    <w:rsid w:val="00FE2E00"/>
    <w:rsid w:val="00FE2E63"/>
    <w:rsid w:val="00FE302F"/>
    <w:rsid w:val="00FE3057"/>
    <w:rsid w:val="00FE309C"/>
    <w:rsid w:val="00FE311F"/>
    <w:rsid w:val="00FE3148"/>
    <w:rsid w:val="00FE324C"/>
    <w:rsid w:val="00FE3396"/>
    <w:rsid w:val="00FE349E"/>
    <w:rsid w:val="00FE360E"/>
    <w:rsid w:val="00FE361E"/>
    <w:rsid w:val="00FE3682"/>
    <w:rsid w:val="00FE3684"/>
    <w:rsid w:val="00FE387F"/>
    <w:rsid w:val="00FE3894"/>
    <w:rsid w:val="00FE3971"/>
    <w:rsid w:val="00FE3999"/>
    <w:rsid w:val="00FE39C8"/>
    <w:rsid w:val="00FE3A1D"/>
    <w:rsid w:val="00FE3ADF"/>
    <w:rsid w:val="00FE3B6B"/>
    <w:rsid w:val="00FE3C8D"/>
    <w:rsid w:val="00FE3D23"/>
    <w:rsid w:val="00FE3D89"/>
    <w:rsid w:val="00FE3DC3"/>
    <w:rsid w:val="00FE3EDC"/>
    <w:rsid w:val="00FE3F17"/>
    <w:rsid w:val="00FE402B"/>
    <w:rsid w:val="00FE4082"/>
    <w:rsid w:val="00FE409E"/>
    <w:rsid w:val="00FE40A9"/>
    <w:rsid w:val="00FE40B4"/>
    <w:rsid w:val="00FE41B8"/>
    <w:rsid w:val="00FE4226"/>
    <w:rsid w:val="00FE42FD"/>
    <w:rsid w:val="00FE4409"/>
    <w:rsid w:val="00FE4451"/>
    <w:rsid w:val="00FE4496"/>
    <w:rsid w:val="00FE4535"/>
    <w:rsid w:val="00FE45F4"/>
    <w:rsid w:val="00FE479B"/>
    <w:rsid w:val="00FE4865"/>
    <w:rsid w:val="00FE486F"/>
    <w:rsid w:val="00FE487E"/>
    <w:rsid w:val="00FE48FA"/>
    <w:rsid w:val="00FE49EF"/>
    <w:rsid w:val="00FE4A70"/>
    <w:rsid w:val="00FE4A97"/>
    <w:rsid w:val="00FE4B0A"/>
    <w:rsid w:val="00FE4BAE"/>
    <w:rsid w:val="00FE4BB4"/>
    <w:rsid w:val="00FE4BBA"/>
    <w:rsid w:val="00FE4BF1"/>
    <w:rsid w:val="00FE4CF4"/>
    <w:rsid w:val="00FE4D2B"/>
    <w:rsid w:val="00FE4D82"/>
    <w:rsid w:val="00FE4F88"/>
    <w:rsid w:val="00FE4FA7"/>
    <w:rsid w:val="00FE4FB6"/>
    <w:rsid w:val="00FE5058"/>
    <w:rsid w:val="00FE5092"/>
    <w:rsid w:val="00FE50F7"/>
    <w:rsid w:val="00FE51A3"/>
    <w:rsid w:val="00FE51E3"/>
    <w:rsid w:val="00FE51FF"/>
    <w:rsid w:val="00FE537E"/>
    <w:rsid w:val="00FE53C1"/>
    <w:rsid w:val="00FE548B"/>
    <w:rsid w:val="00FE5526"/>
    <w:rsid w:val="00FE554C"/>
    <w:rsid w:val="00FE55DE"/>
    <w:rsid w:val="00FE5631"/>
    <w:rsid w:val="00FE5683"/>
    <w:rsid w:val="00FE57FE"/>
    <w:rsid w:val="00FE5829"/>
    <w:rsid w:val="00FE58B4"/>
    <w:rsid w:val="00FE58C3"/>
    <w:rsid w:val="00FE592B"/>
    <w:rsid w:val="00FE59CA"/>
    <w:rsid w:val="00FE5B07"/>
    <w:rsid w:val="00FE5B4C"/>
    <w:rsid w:val="00FE5B55"/>
    <w:rsid w:val="00FE5B5C"/>
    <w:rsid w:val="00FE5C25"/>
    <w:rsid w:val="00FE5D28"/>
    <w:rsid w:val="00FE5D46"/>
    <w:rsid w:val="00FE5D82"/>
    <w:rsid w:val="00FE5DC3"/>
    <w:rsid w:val="00FE5E73"/>
    <w:rsid w:val="00FE5FDB"/>
    <w:rsid w:val="00FE62D1"/>
    <w:rsid w:val="00FE62DA"/>
    <w:rsid w:val="00FE6387"/>
    <w:rsid w:val="00FE6518"/>
    <w:rsid w:val="00FE6676"/>
    <w:rsid w:val="00FE672E"/>
    <w:rsid w:val="00FE673F"/>
    <w:rsid w:val="00FE6770"/>
    <w:rsid w:val="00FE67D9"/>
    <w:rsid w:val="00FE689E"/>
    <w:rsid w:val="00FE69C3"/>
    <w:rsid w:val="00FE69CF"/>
    <w:rsid w:val="00FE6B65"/>
    <w:rsid w:val="00FE6BAB"/>
    <w:rsid w:val="00FE6BE6"/>
    <w:rsid w:val="00FE6BF7"/>
    <w:rsid w:val="00FE6C0D"/>
    <w:rsid w:val="00FE6CC3"/>
    <w:rsid w:val="00FE6ECC"/>
    <w:rsid w:val="00FE6FAA"/>
    <w:rsid w:val="00FE6FF5"/>
    <w:rsid w:val="00FE709F"/>
    <w:rsid w:val="00FE714B"/>
    <w:rsid w:val="00FE7202"/>
    <w:rsid w:val="00FE728C"/>
    <w:rsid w:val="00FE731D"/>
    <w:rsid w:val="00FE7364"/>
    <w:rsid w:val="00FE7420"/>
    <w:rsid w:val="00FE7425"/>
    <w:rsid w:val="00FE7439"/>
    <w:rsid w:val="00FE7445"/>
    <w:rsid w:val="00FE7490"/>
    <w:rsid w:val="00FE7493"/>
    <w:rsid w:val="00FE7564"/>
    <w:rsid w:val="00FE7576"/>
    <w:rsid w:val="00FE76CB"/>
    <w:rsid w:val="00FE7756"/>
    <w:rsid w:val="00FE78B0"/>
    <w:rsid w:val="00FE7954"/>
    <w:rsid w:val="00FE7ACB"/>
    <w:rsid w:val="00FE7B25"/>
    <w:rsid w:val="00FE7B46"/>
    <w:rsid w:val="00FE7B4D"/>
    <w:rsid w:val="00FE7BA1"/>
    <w:rsid w:val="00FE7BEA"/>
    <w:rsid w:val="00FE7CD6"/>
    <w:rsid w:val="00FE7D43"/>
    <w:rsid w:val="00FE7DA7"/>
    <w:rsid w:val="00FE7E2F"/>
    <w:rsid w:val="00FE7FF0"/>
    <w:rsid w:val="00FF004E"/>
    <w:rsid w:val="00FF00AE"/>
    <w:rsid w:val="00FF00E0"/>
    <w:rsid w:val="00FF00F3"/>
    <w:rsid w:val="00FF00F9"/>
    <w:rsid w:val="00FF01DE"/>
    <w:rsid w:val="00FF01F7"/>
    <w:rsid w:val="00FF020D"/>
    <w:rsid w:val="00FF036F"/>
    <w:rsid w:val="00FF0448"/>
    <w:rsid w:val="00FF04CD"/>
    <w:rsid w:val="00FF04EF"/>
    <w:rsid w:val="00FF0568"/>
    <w:rsid w:val="00FF059E"/>
    <w:rsid w:val="00FF06E8"/>
    <w:rsid w:val="00FF0705"/>
    <w:rsid w:val="00FF0771"/>
    <w:rsid w:val="00FF0837"/>
    <w:rsid w:val="00FF0D11"/>
    <w:rsid w:val="00FF0D15"/>
    <w:rsid w:val="00FF0D2C"/>
    <w:rsid w:val="00FF0DCC"/>
    <w:rsid w:val="00FF0E34"/>
    <w:rsid w:val="00FF1011"/>
    <w:rsid w:val="00FF10C7"/>
    <w:rsid w:val="00FF110A"/>
    <w:rsid w:val="00FF1167"/>
    <w:rsid w:val="00FF1178"/>
    <w:rsid w:val="00FF11A2"/>
    <w:rsid w:val="00FF11A6"/>
    <w:rsid w:val="00FF11EB"/>
    <w:rsid w:val="00FF1226"/>
    <w:rsid w:val="00FF124F"/>
    <w:rsid w:val="00FF12CB"/>
    <w:rsid w:val="00FF1544"/>
    <w:rsid w:val="00FF15C0"/>
    <w:rsid w:val="00FF1627"/>
    <w:rsid w:val="00FF1654"/>
    <w:rsid w:val="00FF1759"/>
    <w:rsid w:val="00FF1820"/>
    <w:rsid w:val="00FF18BE"/>
    <w:rsid w:val="00FF18E4"/>
    <w:rsid w:val="00FF193F"/>
    <w:rsid w:val="00FF19AB"/>
    <w:rsid w:val="00FF1A19"/>
    <w:rsid w:val="00FF1AB9"/>
    <w:rsid w:val="00FF1ACA"/>
    <w:rsid w:val="00FF1BAF"/>
    <w:rsid w:val="00FF1BF2"/>
    <w:rsid w:val="00FF1D66"/>
    <w:rsid w:val="00FF1E91"/>
    <w:rsid w:val="00FF1F08"/>
    <w:rsid w:val="00FF1F31"/>
    <w:rsid w:val="00FF1F49"/>
    <w:rsid w:val="00FF1FBD"/>
    <w:rsid w:val="00FF2001"/>
    <w:rsid w:val="00FF21EB"/>
    <w:rsid w:val="00FF21EC"/>
    <w:rsid w:val="00FF222D"/>
    <w:rsid w:val="00FF2242"/>
    <w:rsid w:val="00FF224D"/>
    <w:rsid w:val="00FF22C3"/>
    <w:rsid w:val="00FF244A"/>
    <w:rsid w:val="00FF24DD"/>
    <w:rsid w:val="00FF25A3"/>
    <w:rsid w:val="00FF2627"/>
    <w:rsid w:val="00FF2634"/>
    <w:rsid w:val="00FF2753"/>
    <w:rsid w:val="00FF27F9"/>
    <w:rsid w:val="00FF29DB"/>
    <w:rsid w:val="00FF2B72"/>
    <w:rsid w:val="00FF2BD0"/>
    <w:rsid w:val="00FF2D35"/>
    <w:rsid w:val="00FF2DC2"/>
    <w:rsid w:val="00FF2E02"/>
    <w:rsid w:val="00FF2E20"/>
    <w:rsid w:val="00FF2E5E"/>
    <w:rsid w:val="00FF2E8F"/>
    <w:rsid w:val="00FF2E94"/>
    <w:rsid w:val="00FF2F45"/>
    <w:rsid w:val="00FF30DE"/>
    <w:rsid w:val="00FF311F"/>
    <w:rsid w:val="00FF3201"/>
    <w:rsid w:val="00FF3258"/>
    <w:rsid w:val="00FF32E9"/>
    <w:rsid w:val="00FF32F7"/>
    <w:rsid w:val="00FF341B"/>
    <w:rsid w:val="00FF341D"/>
    <w:rsid w:val="00FF3488"/>
    <w:rsid w:val="00FF34A1"/>
    <w:rsid w:val="00FF34CE"/>
    <w:rsid w:val="00FF34F3"/>
    <w:rsid w:val="00FF3693"/>
    <w:rsid w:val="00FF36C2"/>
    <w:rsid w:val="00FF3746"/>
    <w:rsid w:val="00FF376C"/>
    <w:rsid w:val="00FF393F"/>
    <w:rsid w:val="00FF395B"/>
    <w:rsid w:val="00FF3A7F"/>
    <w:rsid w:val="00FF3AFE"/>
    <w:rsid w:val="00FF3BA3"/>
    <w:rsid w:val="00FF3D75"/>
    <w:rsid w:val="00FF3E29"/>
    <w:rsid w:val="00FF3F1E"/>
    <w:rsid w:val="00FF3F81"/>
    <w:rsid w:val="00FF40FA"/>
    <w:rsid w:val="00FF4171"/>
    <w:rsid w:val="00FF41AE"/>
    <w:rsid w:val="00FF4215"/>
    <w:rsid w:val="00FF4225"/>
    <w:rsid w:val="00FF43CE"/>
    <w:rsid w:val="00FF43F8"/>
    <w:rsid w:val="00FF4424"/>
    <w:rsid w:val="00FF4428"/>
    <w:rsid w:val="00FF453E"/>
    <w:rsid w:val="00FF4603"/>
    <w:rsid w:val="00FF4625"/>
    <w:rsid w:val="00FF4644"/>
    <w:rsid w:val="00FF473F"/>
    <w:rsid w:val="00FF4744"/>
    <w:rsid w:val="00FF4780"/>
    <w:rsid w:val="00FF47E1"/>
    <w:rsid w:val="00FF481F"/>
    <w:rsid w:val="00FF4854"/>
    <w:rsid w:val="00FF485B"/>
    <w:rsid w:val="00FF48BB"/>
    <w:rsid w:val="00FF48F3"/>
    <w:rsid w:val="00FF4A02"/>
    <w:rsid w:val="00FF4A07"/>
    <w:rsid w:val="00FF4AD4"/>
    <w:rsid w:val="00FF4AEA"/>
    <w:rsid w:val="00FF4B74"/>
    <w:rsid w:val="00FF4C3D"/>
    <w:rsid w:val="00FF4D2F"/>
    <w:rsid w:val="00FF500D"/>
    <w:rsid w:val="00FF5047"/>
    <w:rsid w:val="00FF50A2"/>
    <w:rsid w:val="00FF50B0"/>
    <w:rsid w:val="00FF520F"/>
    <w:rsid w:val="00FF52BD"/>
    <w:rsid w:val="00FF5348"/>
    <w:rsid w:val="00FF539B"/>
    <w:rsid w:val="00FF53BF"/>
    <w:rsid w:val="00FF5441"/>
    <w:rsid w:val="00FF5487"/>
    <w:rsid w:val="00FF5547"/>
    <w:rsid w:val="00FF5621"/>
    <w:rsid w:val="00FF578F"/>
    <w:rsid w:val="00FF5792"/>
    <w:rsid w:val="00FF57A5"/>
    <w:rsid w:val="00FF57CA"/>
    <w:rsid w:val="00FF5812"/>
    <w:rsid w:val="00FF5819"/>
    <w:rsid w:val="00FF5861"/>
    <w:rsid w:val="00FF58B8"/>
    <w:rsid w:val="00FF590F"/>
    <w:rsid w:val="00FF5934"/>
    <w:rsid w:val="00FF5A0A"/>
    <w:rsid w:val="00FF5A1B"/>
    <w:rsid w:val="00FF5A55"/>
    <w:rsid w:val="00FF5A86"/>
    <w:rsid w:val="00FF5BC2"/>
    <w:rsid w:val="00FF5BE1"/>
    <w:rsid w:val="00FF5C30"/>
    <w:rsid w:val="00FF5D90"/>
    <w:rsid w:val="00FF5E35"/>
    <w:rsid w:val="00FF5EB8"/>
    <w:rsid w:val="00FF5EF8"/>
    <w:rsid w:val="00FF6022"/>
    <w:rsid w:val="00FF6071"/>
    <w:rsid w:val="00FF60A2"/>
    <w:rsid w:val="00FF6222"/>
    <w:rsid w:val="00FF634B"/>
    <w:rsid w:val="00FF6350"/>
    <w:rsid w:val="00FF6650"/>
    <w:rsid w:val="00FF68BD"/>
    <w:rsid w:val="00FF6975"/>
    <w:rsid w:val="00FF697F"/>
    <w:rsid w:val="00FF69BD"/>
    <w:rsid w:val="00FF69DF"/>
    <w:rsid w:val="00FF6A69"/>
    <w:rsid w:val="00FF6AE5"/>
    <w:rsid w:val="00FF6CCB"/>
    <w:rsid w:val="00FF6DB2"/>
    <w:rsid w:val="00FF6DC1"/>
    <w:rsid w:val="00FF6E0F"/>
    <w:rsid w:val="00FF7031"/>
    <w:rsid w:val="00FF7050"/>
    <w:rsid w:val="00FF71E9"/>
    <w:rsid w:val="00FF7219"/>
    <w:rsid w:val="00FF7228"/>
    <w:rsid w:val="00FF7285"/>
    <w:rsid w:val="00FF734E"/>
    <w:rsid w:val="00FF73AD"/>
    <w:rsid w:val="00FF7538"/>
    <w:rsid w:val="00FF75C1"/>
    <w:rsid w:val="00FF75DB"/>
    <w:rsid w:val="00FF762A"/>
    <w:rsid w:val="00FF771E"/>
    <w:rsid w:val="00FF7731"/>
    <w:rsid w:val="00FF77FA"/>
    <w:rsid w:val="00FF782F"/>
    <w:rsid w:val="00FF78B0"/>
    <w:rsid w:val="00FF7910"/>
    <w:rsid w:val="00FF7A34"/>
    <w:rsid w:val="00FF7A82"/>
    <w:rsid w:val="00FF7ADE"/>
    <w:rsid w:val="00FF7CCC"/>
    <w:rsid w:val="00FF7D0B"/>
    <w:rsid w:val="00FF7D26"/>
    <w:rsid w:val="00FF7DCB"/>
    <w:rsid w:val="00FF7DD9"/>
    <w:rsid w:val="00FF7E61"/>
    <w:rsid w:val="00FF7E70"/>
    <w:rsid w:val="00FF7EB7"/>
    <w:rsid w:val="00FF7F83"/>
    <w:rsid w:val="10CD927D"/>
    <w:rsid w:val="2AB9600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8DE93DE"/>
  <w15:chartTrackingRefBased/>
  <w15:docId w15:val="{2A372B92-1933-4B87-91EF-60B339EF60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semiHidden="1" w:uiPriority="39" w:unhideWhenUsed="1"/>
    <w:lsdException w:name="toc 4" w:semiHidden="1" w:uiPriority="39" w:unhideWhenUsed="1"/>
    <w:lsdException w:name="toc 5" w:semiHidden="1" w:uiPriority="5" w:unhideWhenUsed="1"/>
    <w:lsdException w:name="toc 6" w:semiHidden="1" w:uiPriority="5" w:unhideWhenUsed="1"/>
    <w:lsdException w:name="toc 7" w:semiHidden="1" w:uiPriority="5" w:unhideWhenUsed="1"/>
    <w:lsdException w:name="toc 8" w:semiHidden="1" w:uiPriority="5" w:unhideWhenUsed="1"/>
    <w:lsdException w:name="toc 9" w:semiHidden="1" w:uiPriority="5" w:unhideWhenUsed="1"/>
    <w:lsdException w:name="Normal Indent" w:semiHidden="1" w:unhideWhenUsed="1"/>
    <w:lsdException w:name="footnote text" w:semiHidden="1" w:unhideWhenUsed="1"/>
    <w:lsdException w:name="annotation text" w:semiHidden="1"/>
    <w:lsdException w:name="index heading" w:semiHidden="1" w:unhideWhenUsed="1"/>
    <w:lsdException w:name="caption" w:semiHidden="1" w:unhideWhenUsed="1" w:qFormat="1"/>
    <w:lsdException w:name="table of figures" w:semiHidden="1" w:unhideWhenUsed="1"/>
    <w:lsdException w:name="envelope address" w:semiHidden="1"/>
    <w:lsdException w:name="envelope return" w:semiHidden="1"/>
    <w:lsdException w:name="footnote reference" w:semiHidden="1" w:unhideWhenUsed="1" w:qFormat="1"/>
    <w:lsdException w:name="annotation reference" w:semiHidden="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1"/>
    <w:lsdException w:name="List Number" w:uiPriority="9"/>
    <w:lsdException w:name="List 2" w:semiHidden="1" w:unhideWhenUsed="1"/>
    <w:lsdException w:name="List 3" w:semiHidden="1" w:unhideWhenUsed="1"/>
    <w:lsdException w:name="List 4" w:semiHidden="1" w:unhideWhenUsed="1"/>
    <w:lsdException w:name="List 5" w:semiHidden="1" w:unhideWhenUsed="1"/>
    <w:lsdException w:name="List Bullet 2" w:uiPriority="2"/>
    <w:lsdException w:name="List Bullet 3" w:uiPriority="3"/>
    <w:lsdException w:name="List Bullet 4" w:semiHidden="1"/>
    <w:lsdException w:name="List Bullet 5" w:semiHidden="1"/>
    <w:lsdException w:name="List Number 2" w:uiPriority="9"/>
    <w:lsdException w:name="List Number 3" w:uiPriority="9"/>
    <w:lsdException w:name="List Number 4" w:semiHidden="1" w:uiPriority="9"/>
    <w:lsdException w:name="List Number 5" w:semiHidden="1" w:uiPriority="9"/>
    <w:lsdException w:name="Title" w:semiHidden="1" w:qFormat="1"/>
    <w:lsdException w:name="Closing" w:semiHidden="1"/>
    <w:lsdException w:name="Signature" w:semiHidden="1" w:unhideWhenUsed="1"/>
    <w:lsdException w:name="Default Paragraph Font" w:semiHidden="1" w:uiPriority="1" w:unhideWhenUsed="1"/>
    <w:lsdException w:name="Body Text" w:semiHidden="1" w:uiPriority="0" w:unhideWhenUsed="1" w:qFormat="1"/>
    <w:lsdException w:name="Body Text Indent" w:semiHidden="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unhideWhenUsed="1"/>
    <w:lsdException w:name="Date" w:semiHidden="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unhideWhenUsed="1"/>
    <w:lsdException w:name="E-mail Signature" w:semiHidden="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3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qFormat="1"/>
    <w:lsdException w:name="Subtle Reference" w:semiHidden="1" w:qFormat="1"/>
    <w:lsdException w:name="Intense Reference" w:semiHidden="1" w:qFormat="1"/>
    <w:lsdException w:name="Book Title" w:semiHidden="1" w:qFormat="1"/>
    <w:lsdException w:name="Bibliography" w:semiHidden="1" w:unhideWhenUsed="1"/>
    <w:lsdException w:name="TOC Heading" w:semiHidden="1" w:uiPriority="5"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9"/>
    <w:qFormat/>
    <w:rsid w:val="00DF7929"/>
    <w:pPr>
      <w:spacing w:before="120" w:after="60" w:line="240" w:lineRule="auto"/>
    </w:pPr>
    <w:rPr>
      <w:color w:val="000000" w:themeColor="text1"/>
      <w:sz w:val="20"/>
    </w:rPr>
  </w:style>
  <w:style w:type="paragraph" w:styleId="Heading1">
    <w:name w:val="heading 1"/>
    <w:next w:val="BodyText"/>
    <w:link w:val="Heading1Char"/>
    <w:uiPriority w:val="9"/>
    <w:qFormat/>
    <w:rsid w:val="00731939"/>
    <w:pPr>
      <w:keepNext/>
      <w:keepLines/>
      <w:numPr>
        <w:numId w:val="11"/>
      </w:numPr>
      <w:spacing w:after="240" w:line="192" w:lineRule="auto"/>
      <w:outlineLvl w:val="0"/>
    </w:pPr>
    <w:rPr>
      <w:rFonts w:asciiTheme="majorHAnsi" w:eastAsiaTheme="majorEastAsia" w:hAnsiTheme="majorHAnsi" w:cstheme="majorBidi"/>
      <w:b/>
      <w:color w:val="00338D" w:themeColor="text2"/>
      <w:sz w:val="52"/>
      <w:szCs w:val="32"/>
    </w:rPr>
  </w:style>
  <w:style w:type="paragraph" w:styleId="Heading2">
    <w:name w:val="heading 2"/>
    <w:basedOn w:val="Normal"/>
    <w:next w:val="BodyText"/>
    <w:link w:val="Heading2Char"/>
    <w:uiPriority w:val="9"/>
    <w:qFormat/>
    <w:rsid w:val="00C45BDA"/>
    <w:pPr>
      <w:keepNext/>
      <w:keepLines/>
      <w:numPr>
        <w:ilvl w:val="1"/>
        <w:numId w:val="11"/>
      </w:numPr>
      <w:spacing w:before="160" w:after="120" w:line="192" w:lineRule="auto"/>
      <w:outlineLvl w:val="1"/>
    </w:pPr>
    <w:rPr>
      <w:rFonts w:asciiTheme="majorHAnsi" w:eastAsiaTheme="majorEastAsia" w:hAnsiTheme="majorHAnsi" w:cstheme="majorBidi"/>
      <w:b/>
      <w:color w:val="001946" w:themeColor="text2" w:themeShade="80"/>
      <w:sz w:val="28"/>
      <w:szCs w:val="26"/>
    </w:rPr>
  </w:style>
  <w:style w:type="paragraph" w:styleId="Heading3">
    <w:name w:val="heading 3"/>
    <w:next w:val="BodyText"/>
    <w:link w:val="Heading3Char"/>
    <w:uiPriority w:val="9"/>
    <w:qFormat/>
    <w:rsid w:val="00C45BDA"/>
    <w:pPr>
      <w:keepNext/>
      <w:keepLines/>
      <w:numPr>
        <w:ilvl w:val="2"/>
        <w:numId w:val="11"/>
      </w:numPr>
      <w:spacing w:before="120" w:after="60" w:line="240" w:lineRule="auto"/>
      <w:outlineLvl w:val="2"/>
    </w:pPr>
    <w:rPr>
      <w:rFonts w:asciiTheme="majorHAnsi" w:eastAsiaTheme="majorEastAsia" w:hAnsiTheme="majorHAnsi" w:cstheme="majorBidi"/>
      <w:b/>
      <w:color w:val="00338D" w:themeColor="text2"/>
      <w:sz w:val="24"/>
      <w:szCs w:val="24"/>
    </w:rPr>
  </w:style>
  <w:style w:type="paragraph" w:styleId="Heading4">
    <w:name w:val="heading 4"/>
    <w:next w:val="BodyText"/>
    <w:link w:val="Heading4Char"/>
    <w:uiPriority w:val="9"/>
    <w:qFormat/>
    <w:rsid w:val="00356B83"/>
    <w:pPr>
      <w:keepNext/>
      <w:keepLines/>
      <w:spacing w:before="120" w:after="60" w:line="240" w:lineRule="auto"/>
      <w:outlineLvl w:val="3"/>
    </w:pPr>
    <w:rPr>
      <w:rFonts w:eastAsiaTheme="majorEastAsia" w:cstheme="majorBidi"/>
      <w:b/>
      <w:iCs/>
      <w:color w:val="001946" w:themeColor="text2" w:themeShade="80"/>
    </w:rPr>
  </w:style>
  <w:style w:type="paragraph" w:styleId="Heading5">
    <w:name w:val="heading 5"/>
    <w:next w:val="BodyText"/>
    <w:link w:val="Heading5Char"/>
    <w:uiPriority w:val="9"/>
    <w:qFormat/>
    <w:rsid w:val="00FD54A5"/>
    <w:pPr>
      <w:keepNext/>
      <w:keepLines/>
      <w:spacing w:before="240" w:after="120" w:line="240" w:lineRule="auto"/>
      <w:ind w:left="1009" w:hanging="1009"/>
      <w:outlineLvl w:val="4"/>
    </w:pPr>
    <w:rPr>
      <w:rFonts w:eastAsiaTheme="majorEastAsia" w:cstheme="majorBidi"/>
      <w:b/>
      <w:color w:val="00338D" w:themeColor="text2"/>
      <w:sz w:val="20"/>
      <w:szCs w:val="24"/>
    </w:rPr>
  </w:style>
  <w:style w:type="paragraph" w:styleId="Heading6">
    <w:name w:val="heading 6"/>
    <w:next w:val="BodyText"/>
    <w:link w:val="Heading6Char"/>
    <w:uiPriority w:val="9"/>
    <w:qFormat/>
    <w:rsid w:val="007C7914"/>
    <w:pPr>
      <w:keepNext/>
      <w:keepLines/>
      <w:numPr>
        <w:ilvl w:val="5"/>
        <w:numId w:val="11"/>
      </w:numPr>
      <w:spacing w:before="40" w:after="0"/>
      <w:outlineLvl w:val="5"/>
    </w:pPr>
    <w:rPr>
      <w:rFonts w:asciiTheme="majorHAnsi" w:eastAsiaTheme="majorEastAsia" w:hAnsiTheme="majorHAnsi" w:cstheme="majorBidi"/>
      <w:color w:val="0E2370" w:themeColor="accent1" w:themeShade="7F"/>
      <w:sz w:val="20"/>
    </w:rPr>
  </w:style>
  <w:style w:type="paragraph" w:styleId="Heading7">
    <w:name w:val="heading 7"/>
    <w:next w:val="BodyText"/>
    <w:link w:val="Heading7Char"/>
    <w:uiPriority w:val="9"/>
    <w:qFormat/>
    <w:rsid w:val="007C7914"/>
    <w:pPr>
      <w:keepNext/>
      <w:keepLines/>
      <w:numPr>
        <w:ilvl w:val="6"/>
        <w:numId w:val="11"/>
      </w:numPr>
      <w:spacing w:before="40" w:after="0"/>
      <w:outlineLvl w:val="6"/>
    </w:pPr>
    <w:rPr>
      <w:rFonts w:asciiTheme="majorHAnsi" w:eastAsiaTheme="majorEastAsia" w:hAnsiTheme="majorHAnsi" w:cstheme="majorBidi"/>
      <w:i/>
      <w:iCs/>
      <w:color w:val="0E2370" w:themeColor="accent1" w:themeShade="7F"/>
      <w:sz w:val="20"/>
    </w:rPr>
  </w:style>
  <w:style w:type="paragraph" w:styleId="Heading8">
    <w:name w:val="heading 8"/>
    <w:basedOn w:val="Normal"/>
    <w:next w:val="Normal"/>
    <w:link w:val="Heading8Char"/>
    <w:uiPriority w:val="9"/>
    <w:semiHidden/>
    <w:qFormat/>
    <w:rsid w:val="007C7914"/>
    <w:pPr>
      <w:keepNext/>
      <w:keepLines/>
      <w:numPr>
        <w:ilvl w:val="7"/>
        <w:numId w:val="1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qFormat/>
    <w:rsid w:val="007C7914"/>
    <w:pPr>
      <w:keepNext/>
      <w:keepLines/>
      <w:numPr>
        <w:ilvl w:val="8"/>
        <w:numId w:val="1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7C7914"/>
    <w:pPr>
      <w:spacing w:after="120"/>
    </w:pPr>
  </w:style>
  <w:style w:type="character" w:customStyle="1" w:styleId="BodyTextChar">
    <w:name w:val="Body Text Char"/>
    <w:basedOn w:val="DefaultParagraphFont"/>
    <w:link w:val="BodyText"/>
    <w:rsid w:val="007C7914"/>
    <w:rPr>
      <w:color w:val="000000" w:themeColor="text1"/>
      <w:sz w:val="20"/>
    </w:rPr>
  </w:style>
  <w:style w:type="paragraph" w:styleId="ListBullet">
    <w:name w:val="List Bullet"/>
    <w:uiPriority w:val="99"/>
    <w:semiHidden/>
    <w:rsid w:val="007C7914"/>
    <w:pPr>
      <w:numPr>
        <w:numId w:val="19"/>
      </w:numPr>
      <w:spacing w:before="60" w:after="60" w:line="240" w:lineRule="auto"/>
    </w:pPr>
    <w:rPr>
      <w:rFonts w:ascii="Arial" w:hAnsi="Arial"/>
      <w:color w:val="000000" w:themeColor="text1"/>
      <w:sz w:val="20"/>
    </w:rPr>
  </w:style>
  <w:style w:type="paragraph" w:styleId="ListBullet2">
    <w:name w:val="List Bullet 2"/>
    <w:uiPriority w:val="99"/>
    <w:semiHidden/>
    <w:rsid w:val="007C7914"/>
    <w:pPr>
      <w:spacing w:before="60" w:after="60" w:line="240" w:lineRule="auto"/>
    </w:pPr>
    <w:rPr>
      <w:rFonts w:ascii="Arial" w:hAnsi="Arial"/>
      <w:color w:val="000000" w:themeColor="text1"/>
      <w:sz w:val="20"/>
    </w:rPr>
  </w:style>
  <w:style w:type="paragraph" w:styleId="ListBullet3">
    <w:name w:val="List Bullet 3"/>
    <w:uiPriority w:val="99"/>
    <w:semiHidden/>
    <w:rsid w:val="007C7914"/>
    <w:pPr>
      <w:spacing w:before="60" w:after="60" w:line="240" w:lineRule="auto"/>
    </w:pPr>
    <w:rPr>
      <w:rFonts w:ascii="Arial" w:hAnsi="Arial"/>
      <w:color w:val="000000" w:themeColor="text1"/>
      <w:sz w:val="20"/>
    </w:rPr>
  </w:style>
  <w:style w:type="character" w:customStyle="1" w:styleId="Heading1Char">
    <w:name w:val="Heading 1 Char"/>
    <w:basedOn w:val="DefaultParagraphFont"/>
    <w:link w:val="Heading1"/>
    <w:uiPriority w:val="9"/>
    <w:rsid w:val="00731939"/>
    <w:rPr>
      <w:rFonts w:asciiTheme="majorHAnsi" w:eastAsiaTheme="majorEastAsia" w:hAnsiTheme="majorHAnsi" w:cstheme="majorBidi"/>
      <w:b/>
      <w:color w:val="00338D" w:themeColor="text2"/>
      <w:sz w:val="52"/>
      <w:szCs w:val="32"/>
    </w:rPr>
  </w:style>
  <w:style w:type="character" w:customStyle="1" w:styleId="Heading2Char">
    <w:name w:val="Heading 2 Char"/>
    <w:basedOn w:val="DefaultParagraphFont"/>
    <w:link w:val="Heading2"/>
    <w:uiPriority w:val="9"/>
    <w:rsid w:val="00C45BDA"/>
    <w:rPr>
      <w:rFonts w:asciiTheme="majorHAnsi" w:eastAsiaTheme="majorEastAsia" w:hAnsiTheme="majorHAnsi" w:cstheme="majorBidi"/>
      <w:b/>
      <w:color w:val="001946" w:themeColor="text2" w:themeShade="80"/>
      <w:sz w:val="28"/>
      <w:szCs w:val="26"/>
    </w:rPr>
  </w:style>
  <w:style w:type="character" w:customStyle="1" w:styleId="Heading3Char">
    <w:name w:val="Heading 3 Char"/>
    <w:basedOn w:val="DefaultParagraphFont"/>
    <w:link w:val="Heading3"/>
    <w:uiPriority w:val="9"/>
    <w:rsid w:val="00C45BDA"/>
    <w:rPr>
      <w:rFonts w:asciiTheme="majorHAnsi" w:eastAsiaTheme="majorEastAsia" w:hAnsiTheme="majorHAnsi" w:cstheme="majorBidi"/>
      <w:b/>
      <w:color w:val="00338D" w:themeColor="text2"/>
      <w:sz w:val="24"/>
      <w:szCs w:val="24"/>
    </w:rPr>
  </w:style>
  <w:style w:type="character" w:customStyle="1" w:styleId="Heading4Char">
    <w:name w:val="Heading 4 Char"/>
    <w:basedOn w:val="DefaultParagraphFont"/>
    <w:link w:val="Heading4"/>
    <w:uiPriority w:val="9"/>
    <w:rsid w:val="00356B83"/>
    <w:rPr>
      <w:rFonts w:eastAsiaTheme="majorEastAsia" w:cstheme="majorBidi"/>
      <w:b/>
      <w:iCs/>
      <w:color w:val="001946" w:themeColor="text2" w:themeShade="80"/>
    </w:rPr>
  </w:style>
  <w:style w:type="character" w:customStyle="1" w:styleId="Heading5Char">
    <w:name w:val="Heading 5 Char"/>
    <w:basedOn w:val="DefaultParagraphFont"/>
    <w:link w:val="Heading5"/>
    <w:uiPriority w:val="9"/>
    <w:rsid w:val="00FD54A5"/>
    <w:rPr>
      <w:rFonts w:eastAsiaTheme="majorEastAsia" w:cstheme="majorBidi"/>
      <w:b/>
      <w:color w:val="00338D" w:themeColor="text2"/>
      <w:sz w:val="20"/>
      <w:szCs w:val="24"/>
    </w:rPr>
  </w:style>
  <w:style w:type="character" w:customStyle="1" w:styleId="Heading6Char">
    <w:name w:val="Heading 6 Char"/>
    <w:basedOn w:val="DefaultParagraphFont"/>
    <w:link w:val="Heading6"/>
    <w:uiPriority w:val="9"/>
    <w:rsid w:val="007C7914"/>
    <w:rPr>
      <w:rFonts w:asciiTheme="majorHAnsi" w:eastAsiaTheme="majorEastAsia" w:hAnsiTheme="majorHAnsi" w:cstheme="majorBidi"/>
      <w:color w:val="0E2370" w:themeColor="accent1" w:themeShade="7F"/>
      <w:sz w:val="20"/>
    </w:rPr>
  </w:style>
  <w:style w:type="character" w:customStyle="1" w:styleId="Heading7Char">
    <w:name w:val="Heading 7 Char"/>
    <w:basedOn w:val="DefaultParagraphFont"/>
    <w:link w:val="Heading7"/>
    <w:uiPriority w:val="9"/>
    <w:rsid w:val="007C7914"/>
    <w:rPr>
      <w:rFonts w:asciiTheme="majorHAnsi" w:eastAsiaTheme="majorEastAsia" w:hAnsiTheme="majorHAnsi" w:cstheme="majorBidi"/>
      <w:i/>
      <w:iCs/>
      <w:color w:val="0E2370" w:themeColor="accent1" w:themeShade="7F"/>
      <w:sz w:val="20"/>
    </w:rPr>
  </w:style>
  <w:style w:type="paragraph" w:customStyle="1" w:styleId="IntroText">
    <w:name w:val="Intro Text"/>
    <w:next w:val="BodyText"/>
    <w:uiPriority w:val="3"/>
    <w:qFormat/>
    <w:rsid w:val="00414613"/>
    <w:pPr>
      <w:spacing w:before="320" w:after="240" w:line="240" w:lineRule="auto"/>
    </w:pPr>
    <w:rPr>
      <w:color w:val="1E49E2" w:themeColor="accent1"/>
      <w:sz w:val="32"/>
      <w:szCs w:val="32"/>
    </w:rPr>
  </w:style>
  <w:style w:type="paragraph" w:customStyle="1" w:styleId="CoverTitle1">
    <w:name w:val="Cover Title 1"/>
    <w:basedOn w:val="Covertitle2"/>
    <w:next w:val="Covertitle2"/>
    <w:uiPriority w:val="4"/>
    <w:qFormat/>
    <w:rsid w:val="00BB1293"/>
    <w:pPr>
      <w:tabs>
        <w:tab w:val="left" w:pos="2410"/>
        <w:tab w:val="left" w:pos="5387"/>
      </w:tabs>
      <w:spacing w:before="720" w:after="2160" w:line="192" w:lineRule="auto"/>
      <w:ind w:right="4253"/>
    </w:pPr>
    <w:rPr>
      <w:rFonts w:asciiTheme="majorHAnsi" w:hAnsiTheme="majorHAnsi"/>
      <w:sz w:val="56"/>
      <w:szCs w:val="96"/>
    </w:rPr>
  </w:style>
  <w:style w:type="paragraph" w:customStyle="1" w:styleId="Covertitle2">
    <w:name w:val="Cover title 2"/>
    <w:uiPriority w:val="4"/>
    <w:qFormat/>
    <w:rsid w:val="005822FA"/>
    <w:pPr>
      <w:spacing w:before="120" w:after="120" w:line="240" w:lineRule="auto"/>
    </w:pPr>
    <w:rPr>
      <w:b/>
      <w:bCs/>
      <w:color w:val="00338D" w:themeColor="text2"/>
      <w:sz w:val="24"/>
      <w:szCs w:val="24"/>
    </w:rPr>
  </w:style>
  <w:style w:type="paragraph" w:customStyle="1" w:styleId="CoverTitle3White">
    <w:name w:val="Cover Title 3 White"/>
    <w:uiPriority w:val="4"/>
    <w:qFormat/>
    <w:rsid w:val="007C7914"/>
    <w:pPr>
      <w:spacing w:before="120" w:after="120" w:line="240" w:lineRule="auto"/>
    </w:pPr>
    <w:rPr>
      <w:color w:val="FFFFFF" w:themeColor="background1"/>
      <w:sz w:val="32"/>
      <w:szCs w:val="32"/>
    </w:rPr>
  </w:style>
  <w:style w:type="paragraph" w:customStyle="1" w:styleId="CoverTitle4White">
    <w:name w:val="Cover Title 4 White"/>
    <w:basedOn w:val="BodyText"/>
    <w:uiPriority w:val="4"/>
    <w:qFormat/>
    <w:rsid w:val="007C7914"/>
    <w:rPr>
      <w:color w:val="FFFFFF" w:themeColor="background1"/>
      <w:szCs w:val="24"/>
    </w:rPr>
  </w:style>
  <w:style w:type="table" w:styleId="TableGrid">
    <w:name w:val="Table Grid"/>
    <w:basedOn w:val="TableNormal"/>
    <w:uiPriority w:val="39"/>
    <w:rsid w:val="007C79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1Light-Accent1">
    <w:name w:val="List Table 1 Light Accent 1"/>
    <w:basedOn w:val="TableNormal"/>
    <w:uiPriority w:val="46"/>
    <w:rsid w:val="007C7914"/>
    <w:pPr>
      <w:spacing w:after="0" w:line="240" w:lineRule="auto"/>
    </w:pPr>
    <w:tblPr>
      <w:tblStyleRowBandSize w:val="1"/>
      <w:tblStyleColBandSize w:val="1"/>
    </w:tblPr>
    <w:tblStylePr w:type="firstRow">
      <w:rPr>
        <w:b/>
        <w:bCs/>
      </w:rPr>
      <w:tblPr/>
      <w:tcPr>
        <w:tcBorders>
          <w:bottom w:val="single" w:sz="4" w:space="0" w:color="7791ED" w:themeColor="accent1" w:themeTint="99"/>
        </w:tcBorders>
      </w:tcPr>
    </w:tblStylePr>
    <w:tblStylePr w:type="lastRow">
      <w:rPr>
        <w:b/>
        <w:bCs/>
      </w:rPr>
      <w:tblPr/>
      <w:tcPr>
        <w:tcBorders>
          <w:top w:val="single" w:sz="4" w:space="0" w:color="7791ED" w:themeColor="accent1" w:themeTint="99"/>
        </w:tcBorders>
      </w:tcPr>
    </w:tblStylePr>
    <w:tblStylePr w:type="firstCol">
      <w:rPr>
        <w:b/>
        <w:bCs/>
      </w:rPr>
    </w:tblStylePr>
    <w:tblStylePr w:type="lastCol">
      <w:rPr>
        <w:b/>
        <w:bCs/>
      </w:rPr>
    </w:tblStylePr>
    <w:tblStylePr w:type="band1Vert">
      <w:tblPr/>
      <w:tcPr>
        <w:shd w:val="clear" w:color="auto" w:fill="D1DAF9" w:themeFill="accent1" w:themeFillTint="33"/>
      </w:tcPr>
    </w:tblStylePr>
    <w:tblStylePr w:type="band1Horz">
      <w:tblPr/>
      <w:tcPr>
        <w:shd w:val="clear" w:color="auto" w:fill="D1DAF9" w:themeFill="accent1" w:themeFillTint="33"/>
      </w:tcPr>
    </w:tblStylePr>
  </w:style>
  <w:style w:type="table" w:styleId="GridTable3-Accent1">
    <w:name w:val="Grid Table 3 Accent 1"/>
    <w:basedOn w:val="TableNormal"/>
    <w:uiPriority w:val="48"/>
    <w:rsid w:val="007C7914"/>
    <w:pPr>
      <w:spacing w:after="0" w:line="240" w:lineRule="auto"/>
    </w:pPr>
    <w:tblPr>
      <w:tblStyleRowBandSize w:val="1"/>
      <w:tblStyleColBandSize w:val="1"/>
      <w:tblBorders>
        <w:top w:val="single" w:sz="4" w:space="0" w:color="7791ED" w:themeColor="accent1" w:themeTint="99"/>
        <w:left w:val="single" w:sz="4" w:space="0" w:color="7791ED" w:themeColor="accent1" w:themeTint="99"/>
        <w:bottom w:val="single" w:sz="4" w:space="0" w:color="7791ED" w:themeColor="accent1" w:themeTint="99"/>
        <w:right w:val="single" w:sz="4" w:space="0" w:color="7791ED" w:themeColor="accent1" w:themeTint="99"/>
        <w:insideH w:val="single" w:sz="4" w:space="0" w:color="7791ED" w:themeColor="accent1" w:themeTint="99"/>
        <w:insideV w:val="single" w:sz="4" w:space="0" w:color="7791ED"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1DAF9" w:themeFill="accent1" w:themeFillTint="33"/>
      </w:tcPr>
    </w:tblStylePr>
    <w:tblStylePr w:type="band1Horz">
      <w:tblPr/>
      <w:tcPr>
        <w:shd w:val="clear" w:color="auto" w:fill="D1DAF9" w:themeFill="accent1" w:themeFillTint="33"/>
      </w:tcPr>
    </w:tblStylePr>
    <w:tblStylePr w:type="neCell">
      <w:tblPr/>
      <w:tcPr>
        <w:tcBorders>
          <w:bottom w:val="single" w:sz="4" w:space="0" w:color="7791ED" w:themeColor="accent1" w:themeTint="99"/>
        </w:tcBorders>
      </w:tcPr>
    </w:tblStylePr>
    <w:tblStylePr w:type="nwCell">
      <w:tblPr/>
      <w:tcPr>
        <w:tcBorders>
          <w:bottom w:val="single" w:sz="4" w:space="0" w:color="7791ED" w:themeColor="accent1" w:themeTint="99"/>
        </w:tcBorders>
      </w:tcPr>
    </w:tblStylePr>
    <w:tblStylePr w:type="seCell">
      <w:tblPr/>
      <w:tcPr>
        <w:tcBorders>
          <w:top w:val="single" w:sz="4" w:space="0" w:color="7791ED" w:themeColor="accent1" w:themeTint="99"/>
        </w:tcBorders>
      </w:tcPr>
    </w:tblStylePr>
    <w:tblStylePr w:type="swCell">
      <w:tblPr/>
      <w:tcPr>
        <w:tcBorders>
          <w:top w:val="single" w:sz="4" w:space="0" w:color="7791ED" w:themeColor="accent1" w:themeTint="99"/>
        </w:tcBorders>
      </w:tcPr>
    </w:tblStylePr>
  </w:style>
  <w:style w:type="table" w:customStyle="1" w:styleId="KPMGTable">
    <w:name w:val="KPMG Table"/>
    <w:basedOn w:val="TableNormal"/>
    <w:uiPriority w:val="99"/>
    <w:rsid w:val="00057C3B"/>
    <w:pPr>
      <w:spacing w:after="0" w:line="240" w:lineRule="auto"/>
    </w:pPr>
    <w:rPr>
      <w:rFonts w:ascii="Arial" w:hAnsi="Arial"/>
      <w:sz w:val="18"/>
    </w:rPr>
    <w:tblPr>
      <w:tblBorders>
        <w:bottom w:val="single" w:sz="4" w:space="0" w:color="BFBFBF" w:themeColor="background1" w:themeShade="BF"/>
        <w:insideH w:val="single" w:sz="4" w:space="0" w:color="BFBFBF" w:themeColor="background1" w:themeShade="BF"/>
      </w:tblBorders>
    </w:tblPr>
    <w:tblStylePr w:type="firstRow">
      <w:pPr>
        <w:jc w:val="left"/>
      </w:pPr>
      <w:rPr>
        <w:rFonts w:ascii="Arial" w:hAnsi="Arial"/>
        <w:b w:val="0"/>
        <w:i w:val="0"/>
        <w:color w:val="1E49E2" w:themeColor="accent1"/>
      </w:rPr>
      <w:tblPr/>
      <w:tcPr>
        <w:tcBorders>
          <w:bottom w:val="single" w:sz="4" w:space="0" w:color="1E49E2" w:themeColor="accent1"/>
        </w:tcBorders>
        <w:shd w:val="clear" w:color="auto" w:fill="FFFFFF" w:themeFill="background1"/>
      </w:tcPr>
    </w:tblStylePr>
    <w:tblStylePr w:type="lastRow">
      <w:tblPr/>
      <w:tcPr>
        <w:tcBorders>
          <w:bottom w:val="single" w:sz="4" w:space="0" w:color="1E49E2" w:themeColor="accent1"/>
        </w:tcBorders>
      </w:tcPr>
    </w:tblStylePr>
    <w:tblStylePr w:type="firstCol">
      <w:rPr>
        <w:b/>
      </w:rPr>
      <w:tblPr/>
      <w:tcPr>
        <w:shd w:val="clear" w:color="auto" w:fill="F2F2F2" w:themeFill="background1" w:themeFillShade="F2"/>
      </w:tcPr>
    </w:tblStylePr>
  </w:style>
  <w:style w:type="paragraph" w:customStyle="1" w:styleId="TableHeading">
    <w:name w:val="Table Heading"/>
    <w:basedOn w:val="Normal"/>
    <w:uiPriority w:val="6"/>
    <w:qFormat/>
    <w:rsid w:val="00D3740C"/>
    <w:rPr>
      <w:rFonts w:cstheme="minorHAnsi"/>
      <w:b/>
      <w:color w:val="00338D" w:themeColor="text2"/>
      <w:sz w:val="18"/>
    </w:rPr>
  </w:style>
  <w:style w:type="paragraph" w:styleId="TOC1">
    <w:name w:val="toc 1"/>
    <w:basedOn w:val="Normal"/>
    <w:next w:val="Normal"/>
    <w:autoRedefine/>
    <w:uiPriority w:val="39"/>
    <w:rsid w:val="003D1AAC"/>
    <w:pPr>
      <w:tabs>
        <w:tab w:val="right" w:leader="dot" w:pos="9060"/>
      </w:tabs>
      <w:spacing w:before="80" w:after="80"/>
    </w:pPr>
    <w:rPr>
      <w:b/>
      <w:noProof/>
    </w:rPr>
  </w:style>
  <w:style w:type="paragraph" w:styleId="Header">
    <w:name w:val="header"/>
    <w:basedOn w:val="Normal"/>
    <w:link w:val="HeaderChar"/>
    <w:uiPriority w:val="99"/>
    <w:rsid w:val="00DE07D5"/>
    <w:pPr>
      <w:tabs>
        <w:tab w:val="center" w:pos="4513"/>
        <w:tab w:val="right" w:pos="9026"/>
      </w:tabs>
      <w:spacing w:before="0" w:after="0"/>
      <w:jc w:val="right"/>
    </w:pPr>
    <w:rPr>
      <w:rFonts w:cs="Calibri Light"/>
      <w:sz w:val="16"/>
    </w:rPr>
  </w:style>
  <w:style w:type="character" w:customStyle="1" w:styleId="HeaderChar">
    <w:name w:val="Header Char"/>
    <w:basedOn w:val="DefaultParagraphFont"/>
    <w:link w:val="Header"/>
    <w:uiPriority w:val="99"/>
    <w:rsid w:val="00DE07D5"/>
    <w:rPr>
      <w:rFonts w:cs="Calibri Light"/>
      <w:color w:val="000000" w:themeColor="text1"/>
      <w:sz w:val="16"/>
    </w:rPr>
  </w:style>
  <w:style w:type="paragraph" w:styleId="Footer">
    <w:name w:val="footer"/>
    <w:link w:val="FooterChar"/>
    <w:uiPriority w:val="99"/>
    <w:rsid w:val="00FC2EAE"/>
    <w:pPr>
      <w:tabs>
        <w:tab w:val="center" w:pos="4513"/>
        <w:tab w:val="right" w:pos="9026"/>
      </w:tabs>
      <w:spacing w:after="0" w:line="240" w:lineRule="auto"/>
    </w:pPr>
    <w:rPr>
      <w:color w:val="000000" w:themeColor="text1"/>
      <w:sz w:val="14"/>
      <w:szCs w:val="20"/>
    </w:rPr>
  </w:style>
  <w:style w:type="character" w:customStyle="1" w:styleId="FooterChar">
    <w:name w:val="Footer Char"/>
    <w:basedOn w:val="DefaultParagraphFont"/>
    <w:link w:val="Footer"/>
    <w:uiPriority w:val="99"/>
    <w:rsid w:val="00FC2EAE"/>
    <w:rPr>
      <w:color w:val="000000" w:themeColor="text1"/>
      <w:sz w:val="14"/>
      <w:szCs w:val="20"/>
    </w:rPr>
  </w:style>
  <w:style w:type="character" w:styleId="Hyperlink">
    <w:name w:val="Hyperlink"/>
    <w:uiPriority w:val="99"/>
    <w:rsid w:val="007C7914"/>
    <w:rPr>
      <w:color w:val="auto"/>
      <w:u w:val="single"/>
    </w:rPr>
  </w:style>
  <w:style w:type="paragraph" w:styleId="ListNumber">
    <w:name w:val="List Number"/>
    <w:basedOn w:val="Normal"/>
    <w:uiPriority w:val="9"/>
    <w:rsid w:val="007C7914"/>
    <w:pPr>
      <w:numPr>
        <w:numId w:val="23"/>
      </w:numPr>
      <w:spacing w:after="120"/>
    </w:pPr>
  </w:style>
  <w:style w:type="paragraph" w:styleId="ListNumber2">
    <w:name w:val="List Number 2"/>
    <w:basedOn w:val="Normal"/>
    <w:uiPriority w:val="9"/>
    <w:rsid w:val="007C7914"/>
    <w:pPr>
      <w:tabs>
        <w:tab w:val="num" w:pos="567"/>
      </w:tabs>
      <w:spacing w:after="120"/>
      <w:ind w:left="851" w:hanging="567"/>
    </w:pPr>
  </w:style>
  <w:style w:type="paragraph" w:styleId="ListNumber3">
    <w:name w:val="List Number 3"/>
    <w:basedOn w:val="Normal"/>
    <w:uiPriority w:val="9"/>
    <w:rsid w:val="007C7914"/>
    <w:pPr>
      <w:tabs>
        <w:tab w:val="num" w:pos="340"/>
        <w:tab w:val="num" w:pos="1134"/>
      </w:tabs>
      <w:spacing w:after="120"/>
      <w:ind w:left="1418" w:hanging="567"/>
    </w:pPr>
  </w:style>
  <w:style w:type="numbering" w:customStyle="1" w:styleId="Bullets">
    <w:name w:val="Bullets"/>
    <w:uiPriority w:val="99"/>
    <w:rsid w:val="007C7914"/>
    <w:pPr>
      <w:numPr>
        <w:numId w:val="1"/>
      </w:numPr>
    </w:pPr>
  </w:style>
  <w:style w:type="paragraph" w:customStyle="1" w:styleId="CVName">
    <w:name w:val="CV Name"/>
    <w:basedOn w:val="Normal"/>
    <w:uiPriority w:val="10"/>
    <w:qFormat/>
    <w:rsid w:val="007C7914"/>
    <w:pPr>
      <w:spacing w:after="0" w:line="168" w:lineRule="auto"/>
    </w:pPr>
    <w:rPr>
      <w:rFonts w:asciiTheme="majorHAnsi" w:hAnsiTheme="majorHAnsi"/>
      <w:color w:val="1E49E2" w:themeColor="accent1"/>
      <w:sz w:val="72"/>
      <w:szCs w:val="96"/>
    </w:rPr>
  </w:style>
  <w:style w:type="paragraph" w:customStyle="1" w:styleId="CVTitle">
    <w:name w:val="CV Title"/>
    <w:next w:val="BodyText"/>
    <w:uiPriority w:val="11"/>
    <w:qFormat/>
    <w:rsid w:val="007C7914"/>
    <w:pPr>
      <w:spacing w:before="60" w:after="120" w:line="240" w:lineRule="auto"/>
    </w:pPr>
    <w:rPr>
      <w:b/>
      <w:bCs/>
      <w:color w:val="000000" w:themeColor="text1"/>
      <w:sz w:val="20"/>
    </w:rPr>
  </w:style>
  <w:style w:type="paragraph" w:customStyle="1" w:styleId="CVHeading">
    <w:name w:val="CV Heading"/>
    <w:basedOn w:val="BodyText"/>
    <w:uiPriority w:val="12"/>
    <w:qFormat/>
    <w:rsid w:val="007C7914"/>
    <w:rPr>
      <w:b/>
      <w:bCs/>
      <w:color w:val="00338D" w:themeColor="text2"/>
      <w:sz w:val="22"/>
      <w:szCs w:val="28"/>
      <w:lang w:val="en-US" w:eastAsia="en-AU"/>
    </w:rPr>
  </w:style>
  <w:style w:type="paragraph" w:customStyle="1" w:styleId="Heading1TOCNoShow">
    <w:name w:val="Heading 1 TOC No Show"/>
    <w:next w:val="BodyText"/>
    <w:uiPriority w:val="2"/>
    <w:qFormat/>
    <w:rsid w:val="00BB1293"/>
    <w:pPr>
      <w:spacing w:after="240" w:line="192" w:lineRule="auto"/>
      <w:ind w:right="2410"/>
    </w:pPr>
    <w:rPr>
      <w:rFonts w:asciiTheme="majorHAnsi" w:eastAsiaTheme="majorEastAsia" w:hAnsiTheme="majorHAnsi" w:cstheme="majorBidi"/>
      <w:b/>
      <w:bCs/>
      <w:color w:val="00338D" w:themeColor="text2"/>
      <w:sz w:val="48"/>
      <w:szCs w:val="20"/>
    </w:rPr>
  </w:style>
  <w:style w:type="paragraph" w:styleId="TOC2">
    <w:name w:val="toc 2"/>
    <w:basedOn w:val="Normal"/>
    <w:next w:val="Normal"/>
    <w:autoRedefine/>
    <w:uiPriority w:val="39"/>
    <w:rsid w:val="00DE07D5"/>
    <w:pPr>
      <w:tabs>
        <w:tab w:val="right" w:leader="dot" w:pos="9060"/>
      </w:tabs>
      <w:ind w:right="565"/>
    </w:pPr>
    <w:rPr>
      <w:noProof/>
    </w:rPr>
  </w:style>
  <w:style w:type="paragraph" w:customStyle="1" w:styleId="Bullet1stlevel">
    <w:name w:val="Bullet 1st level"/>
    <w:basedOn w:val="BodyText"/>
    <w:link w:val="Bullet1stlevelChar"/>
    <w:qFormat/>
    <w:rsid w:val="00271990"/>
    <w:pPr>
      <w:numPr>
        <w:numId w:val="9"/>
      </w:numPr>
    </w:pPr>
  </w:style>
  <w:style w:type="paragraph" w:customStyle="1" w:styleId="Bullet2ndlevel">
    <w:name w:val="Bullet 2nd level"/>
    <w:basedOn w:val="BodyText"/>
    <w:uiPriority w:val="2"/>
    <w:qFormat/>
    <w:rsid w:val="007C7914"/>
    <w:pPr>
      <w:numPr>
        <w:ilvl w:val="1"/>
        <w:numId w:val="2"/>
      </w:numPr>
      <w:spacing w:before="60" w:after="60"/>
    </w:pPr>
  </w:style>
  <w:style w:type="paragraph" w:customStyle="1" w:styleId="Bullet3rdlevel">
    <w:name w:val="Bullet 3rd level"/>
    <w:basedOn w:val="BodyText"/>
    <w:uiPriority w:val="1"/>
    <w:qFormat/>
    <w:rsid w:val="007C7914"/>
    <w:pPr>
      <w:numPr>
        <w:ilvl w:val="2"/>
        <w:numId w:val="2"/>
      </w:numPr>
      <w:spacing w:before="60" w:after="60"/>
    </w:pPr>
  </w:style>
  <w:style w:type="character" w:styleId="UnresolvedMention">
    <w:name w:val="Unresolved Mention"/>
    <w:basedOn w:val="DefaultParagraphFont"/>
    <w:uiPriority w:val="99"/>
    <w:semiHidden/>
    <w:unhideWhenUsed/>
    <w:rsid w:val="007C7914"/>
    <w:rPr>
      <w:color w:val="605E5C"/>
      <w:shd w:val="clear" w:color="auto" w:fill="E1DFDD"/>
    </w:rPr>
  </w:style>
  <w:style w:type="character" w:styleId="FollowedHyperlink">
    <w:name w:val="FollowedHyperlink"/>
    <w:basedOn w:val="DefaultParagraphFont"/>
    <w:uiPriority w:val="99"/>
    <w:semiHidden/>
    <w:unhideWhenUsed/>
    <w:rsid w:val="007C7914"/>
    <w:rPr>
      <w:color w:val="0091DA" w:themeColor="followedHyperlink"/>
      <w:u w:val="single"/>
    </w:rPr>
  </w:style>
  <w:style w:type="paragraph" w:customStyle="1" w:styleId="CredName">
    <w:name w:val="Cred Name"/>
    <w:basedOn w:val="BodyText"/>
    <w:uiPriority w:val="99"/>
    <w:qFormat/>
    <w:rsid w:val="007C7914"/>
    <w:pPr>
      <w:spacing w:after="0"/>
    </w:pPr>
    <w:rPr>
      <w:b/>
      <w:bCs/>
      <w:color w:val="FFFFFF" w:themeColor="background1"/>
      <w:sz w:val="28"/>
      <w:szCs w:val="28"/>
    </w:rPr>
  </w:style>
  <w:style w:type="paragraph" w:customStyle="1" w:styleId="CredProject">
    <w:name w:val="Cred Project"/>
    <w:basedOn w:val="CredName"/>
    <w:uiPriority w:val="99"/>
    <w:qFormat/>
    <w:rsid w:val="007C7914"/>
    <w:pPr>
      <w:spacing w:before="0"/>
    </w:pPr>
    <w:rPr>
      <w:b w:val="0"/>
      <w:bCs w:val="0"/>
      <w:sz w:val="24"/>
      <w:szCs w:val="24"/>
    </w:rPr>
  </w:style>
  <w:style w:type="paragraph" w:customStyle="1" w:styleId="CredHeading">
    <w:name w:val="Cred Heading"/>
    <w:basedOn w:val="BodyText"/>
    <w:uiPriority w:val="99"/>
    <w:qFormat/>
    <w:rsid w:val="007C7914"/>
    <w:rPr>
      <w:rFonts w:cs="Arial"/>
      <w:b/>
      <w:bCs/>
      <w:color w:val="1E49E2" w:themeColor="accent1"/>
      <w:kern w:val="24"/>
      <w:sz w:val="24"/>
      <w:szCs w:val="24"/>
    </w:rPr>
  </w:style>
  <w:style w:type="paragraph" w:customStyle="1" w:styleId="CVphone-email">
    <w:name w:val="CV phone - email"/>
    <w:basedOn w:val="BodyText"/>
    <w:link w:val="CVphone-emailChar"/>
    <w:uiPriority w:val="99"/>
    <w:qFormat/>
    <w:rsid w:val="007C7914"/>
    <w:pPr>
      <w:spacing w:before="60" w:after="0"/>
    </w:pPr>
  </w:style>
  <w:style w:type="character" w:customStyle="1" w:styleId="CVphone-emailChar">
    <w:name w:val="CV phone - email Char"/>
    <w:basedOn w:val="BodyTextChar"/>
    <w:link w:val="CVphone-email"/>
    <w:uiPriority w:val="99"/>
    <w:rsid w:val="007C7914"/>
    <w:rPr>
      <w:color w:val="000000" w:themeColor="text1"/>
      <w:sz w:val="20"/>
    </w:rPr>
  </w:style>
  <w:style w:type="character" w:styleId="Emphasis">
    <w:name w:val="Emphasis"/>
    <w:basedOn w:val="DefaultParagraphFont"/>
    <w:uiPriority w:val="20"/>
    <w:qFormat/>
    <w:rsid w:val="007C7914"/>
    <w:rPr>
      <w:i/>
      <w:iCs/>
    </w:rPr>
  </w:style>
  <w:style w:type="paragraph" w:styleId="NormalWeb">
    <w:name w:val="Normal (Web)"/>
    <w:basedOn w:val="Normal"/>
    <w:uiPriority w:val="99"/>
    <w:unhideWhenUsed/>
    <w:rsid w:val="007C7914"/>
    <w:pPr>
      <w:spacing w:before="100" w:beforeAutospacing="1" w:after="100" w:afterAutospacing="1"/>
    </w:pPr>
    <w:rPr>
      <w:rFonts w:ascii="Times New Roman" w:eastAsia="Times New Roman" w:hAnsi="Times New Roman" w:cs="Times New Roman"/>
      <w:color w:val="auto"/>
      <w:sz w:val="24"/>
      <w:szCs w:val="24"/>
      <w:lang w:eastAsia="en-AU"/>
    </w:rPr>
  </w:style>
  <w:style w:type="paragraph" w:customStyle="1" w:styleId="BodyTextSingleSpacing">
    <w:name w:val="Body Text Single Spacing"/>
    <w:basedOn w:val="BodyText"/>
    <w:uiPriority w:val="99"/>
    <w:qFormat/>
    <w:rsid w:val="007C7914"/>
    <w:pPr>
      <w:spacing w:after="0"/>
    </w:pPr>
  </w:style>
  <w:style w:type="paragraph" w:customStyle="1" w:styleId="CVSubTitle">
    <w:name w:val="CV Sub Title"/>
    <w:basedOn w:val="CVTitle"/>
    <w:autoRedefine/>
    <w:uiPriority w:val="99"/>
    <w:qFormat/>
    <w:rsid w:val="007C7914"/>
    <w:rPr>
      <w:b w:val="0"/>
      <w:bCs w:val="0"/>
      <w:color w:val="1E49E2" w:themeColor="accent1"/>
    </w:rPr>
  </w:style>
  <w:style w:type="table" w:customStyle="1" w:styleId="TableGrid2">
    <w:name w:val="Table Grid2"/>
    <w:basedOn w:val="TableNormal"/>
    <w:next w:val="TableGrid"/>
    <w:uiPriority w:val="39"/>
    <w:rsid w:val="007C79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PMGTable6">
    <w:name w:val="KPMG Table6"/>
    <w:basedOn w:val="TableNormal"/>
    <w:uiPriority w:val="99"/>
    <w:rsid w:val="007C7914"/>
    <w:pPr>
      <w:spacing w:after="0" w:line="240" w:lineRule="auto"/>
    </w:pPr>
    <w:rPr>
      <w:rFonts w:ascii="Arial" w:hAnsi="Arial"/>
      <w:sz w:val="20"/>
    </w:rPr>
    <w:tblPr>
      <w:tblBorders>
        <w:bottom w:val="single" w:sz="4" w:space="0" w:color="BFBFBF"/>
        <w:insideH w:val="single" w:sz="4" w:space="0" w:color="BFBFBF"/>
      </w:tblBorders>
    </w:tblPr>
    <w:tblStylePr w:type="firstRow">
      <w:pPr>
        <w:jc w:val="left"/>
      </w:pPr>
      <w:rPr>
        <w:rFonts w:ascii="Arial" w:hAnsi="Arial"/>
        <w:b w:val="0"/>
        <w:i w:val="0"/>
        <w:color w:val="1E49E2"/>
      </w:rPr>
      <w:tblPr/>
      <w:tcPr>
        <w:tcBorders>
          <w:bottom w:val="single" w:sz="4" w:space="0" w:color="1E49E2"/>
        </w:tcBorders>
        <w:shd w:val="clear" w:color="auto" w:fill="FFFFFF"/>
      </w:tcPr>
    </w:tblStylePr>
    <w:tblStylePr w:type="lastRow">
      <w:tblPr/>
      <w:tcPr>
        <w:tcBorders>
          <w:bottom w:val="single" w:sz="4" w:space="0" w:color="1E49E2"/>
        </w:tcBorders>
      </w:tcPr>
    </w:tblStylePr>
    <w:tblStylePr w:type="firstCol">
      <w:tblPr/>
      <w:tcPr>
        <w:shd w:val="clear" w:color="auto" w:fill="F2F2F2"/>
      </w:tcPr>
    </w:tblStylePr>
  </w:style>
  <w:style w:type="table" w:customStyle="1" w:styleId="GridTable1Light-Accent32">
    <w:name w:val="Grid Table 1 Light - Accent 32"/>
    <w:basedOn w:val="TableNormal"/>
    <w:next w:val="GridTable1Light-Accent3"/>
    <w:uiPriority w:val="46"/>
    <w:rsid w:val="007C7914"/>
    <w:pPr>
      <w:spacing w:after="0" w:line="240" w:lineRule="auto"/>
    </w:p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paragraph" w:styleId="ListParagraph">
    <w:name w:val="List Paragraph"/>
    <w:basedOn w:val="Normal"/>
    <w:uiPriority w:val="34"/>
    <w:qFormat/>
    <w:rsid w:val="007C7914"/>
    <w:pPr>
      <w:ind w:left="720"/>
      <w:contextualSpacing/>
    </w:pPr>
  </w:style>
  <w:style w:type="table" w:customStyle="1" w:styleId="GridTable1Light-Accent321">
    <w:name w:val="Grid Table 1 Light - Accent 321"/>
    <w:basedOn w:val="TableNormal"/>
    <w:next w:val="GridTable1Light-Accent3"/>
    <w:uiPriority w:val="46"/>
    <w:rsid w:val="007C7914"/>
    <w:pPr>
      <w:spacing w:after="0" w:line="240" w:lineRule="auto"/>
    </w:p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7C7914"/>
    <w:pPr>
      <w:spacing w:after="0" w:line="240" w:lineRule="auto"/>
    </w:pPr>
    <w:tblPr>
      <w:tblStyleRowBandSize w:val="1"/>
      <w:tblStyleColBandSize w:val="1"/>
      <w:tblBorders>
        <w:top w:val="single" w:sz="4" w:space="0" w:color="C69FF7" w:themeColor="accent3" w:themeTint="66"/>
        <w:left w:val="single" w:sz="4" w:space="0" w:color="C69FF7" w:themeColor="accent3" w:themeTint="66"/>
        <w:bottom w:val="single" w:sz="4" w:space="0" w:color="C69FF7" w:themeColor="accent3" w:themeTint="66"/>
        <w:right w:val="single" w:sz="4" w:space="0" w:color="C69FF7" w:themeColor="accent3" w:themeTint="66"/>
        <w:insideH w:val="single" w:sz="4" w:space="0" w:color="C69FF7" w:themeColor="accent3" w:themeTint="66"/>
        <w:insideV w:val="single" w:sz="4" w:space="0" w:color="C69FF7" w:themeColor="accent3" w:themeTint="66"/>
      </w:tblBorders>
    </w:tblPr>
    <w:tblStylePr w:type="firstRow">
      <w:rPr>
        <w:b/>
        <w:bCs/>
      </w:rPr>
      <w:tblPr/>
      <w:tcPr>
        <w:tcBorders>
          <w:bottom w:val="single" w:sz="12" w:space="0" w:color="A970F3" w:themeColor="accent3" w:themeTint="99"/>
        </w:tcBorders>
      </w:tcPr>
    </w:tblStylePr>
    <w:tblStylePr w:type="lastRow">
      <w:rPr>
        <w:b/>
        <w:bCs/>
      </w:rPr>
      <w:tblPr/>
      <w:tcPr>
        <w:tcBorders>
          <w:top w:val="double" w:sz="2" w:space="0" w:color="A970F3" w:themeColor="accent3" w:themeTint="99"/>
        </w:tcBorders>
      </w:tcPr>
    </w:tblStylePr>
    <w:tblStylePr w:type="firstCol">
      <w:rPr>
        <w:b/>
        <w:bCs/>
      </w:rPr>
    </w:tblStylePr>
    <w:tblStylePr w:type="lastCol">
      <w:rPr>
        <w:b/>
        <w:bCs/>
      </w:rPr>
    </w:tblStylePr>
  </w:style>
  <w:style w:type="table" w:customStyle="1" w:styleId="TableGrid1">
    <w:name w:val="Table Grid1"/>
    <w:basedOn w:val="TableNormal"/>
    <w:next w:val="TableGrid"/>
    <w:uiPriority w:val="39"/>
    <w:rsid w:val="007C79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1TOCNoShowWhite">
    <w:name w:val="Heading 1 TOC No Show_White"/>
    <w:basedOn w:val="Heading1TOCNoShow"/>
    <w:uiPriority w:val="99"/>
    <w:qFormat/>
    <w:rsid w:val="00D955D8"/>
    <w:pPr>
      <w:spacing w:before="480" w:after="480"/>
      <w:ind w:left="-567"/>
    </w:pPr>
    <w:rPr>
      <w:color w:val="FFFFFF" w:themeColor="background1"/>
      <w:sz w:val="72"/>
      <w:szCs w:val="72"/>
    </w:rPr>
  </w:style>
  <w:style w:type="character" w:styleId="PlaceholderText">
    <w:name w:val="Placeholder Text"/>
    <w:basedOn w:val="DefaultParagraphFont"/>
    <w:uiPriority w:val="99"/>
    <w:semiHidden/>
    <w:rsid w:val="007C7914"/>
    <w:rPr>
      <w:color w:val="808080"/>
    </w:rPr>
  </w:style>
  <w:style w:type="character" w:customStyle="1" w:styleId="BOLD">
    <w:name w:val="BOLD"/>
    <w:uiPriority w:val="1"/>
    <w:qFormat/>
    <w:rsid w:val="007C7914"/>
    <w:rPr>
      <w:b/>
    </w:rPr>
  </w:style>
  <w:style w:type="paragraph" w:styleId="Caption">
    <w:name w:val="caption"/>
    <w:basedOn w:val="Normal"/>
    <w:next w:val="BodyText"/>
    <w:uiPriority w:val="99"/>
    <w:unhideWhenUsed/>
    <w:qFormat/>
    <w:rsid w:val="00A7334D"/>
    <w:pPr>
      <w:keepNext/>
      <w:spacing w:after="120"/>
    </w:pPr>
    <w:rPr>
      <w:b/>
      <w:iCs/>
      <w:color w:val="00338D" w:themeColor="text2"/>
      <w:sz w:val="18"/>
      <w:szCs w:val="18"/>
    </w:rPr>
  </w:style>
  <w:style w:type="paragraph" w:customStyle="1" w:styleId="DividerHeading">
    <w:name w:val="Divider Heading"/>
    <w:basedOn w:val="Normal"/>
    <w:uiPriority w:val="99"/>
    <w:qFormat/>
    <w:rsid w:val="007C7914"/>
    <w:pPr>
      <w:framePr w:wrap="around" w:hAnchor="text"/>
      <w:tabs>
        <w:tab w:val="left" w:pos="5387"/>
      </w:tabs>
      <w:spacing w:after="1800" w:line="192" w:lineRule="auto"/>
      <w:ind w:right="3969"/>
    </w:pPr>
    <w:rPr>
      <w:rFonts w:asciiTheme="majorHAnsi" w:hAnsiTheme="majorHAnsi"/>
      <w:color w:val="FFFFFF" w:themeColor="background1"/>
      <w:sz w:val="96"/>
      <w:szCs w:val="160"/>
    </w:rPr>
  </w:style>
  <w:style w:type="paragraph" w:customStyle="1" w:styleId="Heading1Nonumbering">
    <w:name w:val="Heading 1 No numbering"/>
    <w:basedOn w:val="Heading1"/>
    <w:uiPriority w:val="99"/>
    <w:qFormat/>
    <w:rsid w:val="007C7914"/>
  </w:style>
  <w:style w:type="paragraph" w:customStyle="1" w:styleId="Heading2NoShow">
    <w:name w:val="Heading 2 No Show"/>
    <w:next w:val="BodyText"/>
    <w:uiPriority w:val="99"/>
    <w:qFormat/>
    <w:rsid w:val="00C45BDA"/>
    <w:pPr>
      <w:spacing w:before="120" w:after="120"/>
    </w:pPr>
    <w:rPr>
      <w:rFonts w:asciiTheme="majorHAnsi" w:eastAsiaTheme="majorEastAsia" w:hAnsiTheme="majorHAnsi" w:cstheme="majorBidi"/>
      <w:b/>
      <w:color w:val="001946" w:themeColor="text2" w:themeShade="80"/>
      <w:sz w:val="28"/>
      <w:szCs w:val="26"/>
    </w:rPr>
  </w:style>
  <w:style w:type="character" w:customStyle="1" w:styleId="Heading8Char">
    <w:name w:val="Heading 8 Char"/>
    <w:basedOn w:val="DefaultParagraphFont"/>
    <w:link w:val="Heading8"/>
    <w:uiPriority w:val="9"/>
    <w:semiHidden/>
    <w:rsid w:val="007C7914"/>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C7914"/>
    <w:rPr>
      <w:rFonts w:asciiTheme="majorHAnsi" w:eastAsiaTheme="majorEastAsia" w:hAnsiTheme="majorHAnsi" w:cstheme="majorBidi"/>
      <w:i/>
      <w:iCs/>
      <w:color w:val="272727" w:themeColor="text1" w:themeTint="D8"/>
      <w:sz w:val="21"/>
      <w:szCs w:val="21"/>
    </w:rPr>
  </w:style>
  <w:style w:type="paragraph" w:customStyle="1" w:styleId="TableBullet1stlevel">
    <w:name w:val="Table Bullet 1st level"/>
    <w:basedOn w:val="BodyText"/>
    <w:uiPriority w:val="99"/>
    <w:qFormat/>
    <w:rsid w:val="00814FDE"/>
    <w:pPr>
      <w:numPr>
        <w:numId w:val="16"/>
      </w:numPr>
      <w:spacing w:before="60" w:after="60"/>
    </w:pPr>
    <w:rPr>
      <w:rFonts w:ascii="Arial" w:hAnsi="Arial"/>
      <w:sz w:val="18"/>
      <w:szCs w:val="18"/>
    </w:rPr>
  </w:style>
  <w:style w:type="paragraph" w:customStyle="1" w:styleId="TableBullet2ndlevel">
    <w:name w:val="Table Bullet 2nd level"/>
    <w:basedOn w:val="Bullet2ndlevel"/>
    <w:uiPriority w:val="99"/>
    <w:qFormat/>
    <w:rsid w:val="007C7914"/>
    <w:pPr>
      <w:ind w:left="568" w:hanging="284"/>
    </w:pPr>
  </w:style>
  <w:style w:type="paragraph" w:customStyle="1" w:styleId="TableBullet3rdlevel">
    <w:name w:val="Table Bullet 3rd level"/>
    <w:basedOn w:val="Bullet3rdlevel"/>
    <w:uiPriority w:val="99"/>
    <w:qFormat/>
    <w:rsid w:val="007C7914"/>
  </w:style>
  <w:style w:type="paragraph" w:customStyle="1" w:styleId="TableText">
    <w:name w:val="Table Text"/>
    <w:basedOn w:val="BodyText"/>
    <w:uiPriority w:val="99"/>
    <w:qFormat/>
    <w:rsid w:val="00BE0A02"/>
    <w:pPr>
      <w:spacing w:before="60" w:after="60"/>
    </w:pPr>
    <w:rPr>
      <w:sz w:val="18"/>
    </w:rPr>
  </w:style>
  <w:style w:type="character" w:customStyle="1" w:styleId="WhiteText">
    <w:name w:val="White Text"/>
    <w:uiPriority w:val="1"/>
    <w:qFormat/>
    <w:rsid w:val="007C7914"/>
    <w:rPr>
      <w:color w:val="FFFFFF" w:themeColor="background1"/>
    </w:rPr>
  </w:style>
  <w:style w:type="paragraph" w:styleId="TOC3">
    <w:name w:val="toc 3"/>
    <w:basedOn w:val="Normal"/>
    <w:next w:val="Normal"/>
    <w:autoRedefine/>
    <w:uiPriority w:val="39"/>
    <w:unhideWhenUsed/>
    <w:rsid w:val="0042039A"/>
    <w:pPr>
      <w:tabs>
        <w:tab w:val="left" w:pos="284"/>
        <w:tab w:val="right" w:leader="dot" w:pos="9060"/>
      </w:tabs>
      <w:spacing w:after="100"/>
      <w:ind w:left="-284"/>
    </w:pPr>
  </w:style>
  <w:style w:type="paragraph" w:styleId="TOC4">
    <w:name w:val="toc 4"/>
    <w:basedOn w:val="Normal"/>
    <w:next w:val="Normal"/>
    <w:autoRedefine/>
    <w:uiPriority w:val="39"/>
    <w:unhideWhenUsed/>
    <w:rsid w:val="00EE14BF"/>
    <w:pPr>
      <w:spacing w:after="100"/>
      <w:ind w:left="600"/>
    </w:pPr>
  </w:style>
  <w:style w:type="paragraph" w:customStyle="1" w:styleId="DividerTitle1White">
    <w:name w:val="Divider Title 1 White"/>
    <w:basedOn w:val="Normal"/>
    <w:uiPriority w:val="99"/>
    <w:qFormat/>
    <w:rsid w:val="00C003EE"/>
    <w:pPr>
      <w:tabs>
        <w:tab w:val="left" w:pos="5387"/>
      </w:tabs>
      <w:spacing w:after="1800" w:line="192" w:lineRule="auto"/>
      <w:ind w:right="3969"/>
    </w:pPr>
    <w:rPr>
      <w:rFonts w:asciiTheme="majorHAnsi" w:hAnsiTheme="majorHAnsi"/>
      <w:color w:val="FFFFFF" w:themeColor="background1"/>
      <w:sz w:val="96"/>
      <w:szCs w:val="160"/>
    </w:rPr>
  </w:style>
  <w:style w:type="paragraph" w:customStyle="1" w:styleId="Heading20">
    <w:name w:val="Heading2"/>
    <w:basedOn w:val="Heading1"/>
    <w:next w:val="Normal"/>
    <w:link w:val="Heading2Char0"/>
    <w:autoRedefine/>
    <w:uiPriority w:val="99"/>
    <w:qFormat/>
    <w:rsid w:val="00777EB0"/>
    <w:pPr>
      <w:numPr>
        <w:numId w:val="0"/>
      </w:numPr>
    </w:pPr>
    <w:rPr>
      <w:sz w:val="40"/>
    </w:rPr>
  </w:style>
  <w:style w:type="paragraph" w:customStyle="1" w:styleId="Bodytext1">
    <w:name w:val="Body text 1"/>
    <w:qFormat/>
    <w:rsid w:val="00EE550B"/>
    <w:pPr>
      <w:spacing w:before="120" w:after="120"/>
    </w:pPr>
    <w:rPr>
      <w:rFonts w:ascii="Arial" w:hAnsi="Arial"/>
      <w:color w:val="000000" w:themeColor="text1"/>
      <w:sz w:val="20"/>
      <w:szCs w:val="20"/>
    </w:rPr>
  </w:style>
  <w:style w:type="character" w:customStyle="1" w:styleId="Heading2Char0">
    <w:name w:val="Heading2 Char"/>
    <w:basedOn w:val="Heading1Char"/>
    <w:link w:val="Heading20"/>
    <w:uiPriority w:val="99"/>
    <w:rsid w:val="00777EB0"/>
    <w:rPr>
      <w:rFonts w:asciiTheme="majorHAnsi" w:eastAsiaTheme="majorEastAsia" w:hAnsiTheme="majorHAnsi" w:cstheme="majorBidi"/>
      <w:b/>
      <w:color w:val="00338D" w:themeColor="text2"/>
      <w:sz w:val="40"/>
      <w:szCs w:val="32"/>
    </w:rPr>
  </w:style>
  <w:style w:type="character" w:customStyle="1" w:styleId="Bullet1stlevelChar">
    <w:name w:val="Bullet 1st level Char"/>
    <w:basedOn w:val="DefaultParagraphFont"/>
    <w:link w:val="Bullet1stlevel"/>
    <w:rsid w:val="00EE550B"/>
    <w:rPr>
      <w:color w:val="000000" w:themeColor="text1"/>
      <w:sz w:val="20"/>
    </w:rPr>
  </w:style>
  <w:style w:type="paragraph" w:styleId="Quote">
    <w:name w:val="Quote"/>
    <w:basedOn w:val="Normal"/>
    <w:next w:val="Normal"/>
    <w:link w:val="QuoteChar"/>
    <w:uiPriority w:val="29"/>
    <w:qFormat/>
    <w:rsid w:val="00C86790"/>
    <w:pPr>
      <w:spacing w:before="0" w:after="0"/>
    </w:pPr>
    <w:rPr>
      <w:rFonts w:ascii="Arial" w:hAnsi="Arial"/>
      <w:i/>
      <w:iCs/>
      <w:color w:val="7030A0" w:themeColor="accent6"/>
    </w:rPr>
  </w:style>
  <w:style w:type="character" w:customStyle="1" w:styleId="QuoteChar">
    <w:name w:val="Quote Char"/>
    <w:basedOn w:val="DefaultParagraphFont"/>
    <w:link w:val="Quote"/>
    <w:uiPriority w:val="29"/>
    <w:rsid w:val="00C86790"/>
    <w:rPr>
      <w:rFonts w:ascii="Arial" w:hAnsi="Arial"/>
      <w:i/>
      <w:iCs/>
      <w:color w:val="7030A0" w:themeColor="accent6"/>
      <w:sz w:val="20"/>
    </w:rPr>
  </w:style>
  <w:style w:type="paragraph" w:customStyle="1" w:styleId="Quotedetail">
    <w:name w:val="Quote detail"/>
    <w:basedOn w:val="Quote"/>
    <w:qFormat/>
    <w:rsid w:val="00C86790"/>
    <w:pPr>
      <w:spacing w:before="120"/>
    </w:pPr>
    <w:rPr>
      <w:b/>
      <w:color w:val="381850" w:themeColor="accent6" w:themeShade="80"/>
    </w:rPr>
  </w:style>
  <w:style w:type="paragraph" w:customStyle="1" w:styleId="TableBullet1">
    <w:name w:val="TableBullet1"/>
    <w:basedOn w:val="ListBullet"/>
    <w:qFormat/>
    <w:rsid w:val="00C86790"/>
    <w:pPr>
      <w:numPr>
        <w:numId w:val="4"/>
      </w:numPr>
      <w:spacing w:before="40" w:after="40"/>
      <w:ind w:left="357" w:hanging="357"/>
      <w:contextualSpacing/>
    </w:pPr>
    <w:rPr>
      <w:color w:val="auto"/>
      <w:sz w:val="18"/>
    </w:rPr>
  </w:style>
  <w:style w:type="paragraph" w:styleId="BalloonText">
    <w:name w:val="Balloon Text"/>
    <w:basedOn w:val="Normal"/>
    <w:link w:val="BalloonTextChar"/>
    <w:uiPriority w:val="99"/>
    <w:semiHidden/>
    <w:rsid w:val="00B76C4F"/>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6C4F"/>
    <w:rPr>
      <w:rFonts w:ascii="Segoe UI" w:hAnsi="Segoe UI" w:cs="Segoe UI"/>
      <w:color w:val="000000" w:themeColor="text1"/>
      <w:sz w:val="18"/>
      <w:szCs w:val="18"/>
    </w:rPr>
  </w:style>
  <w:style w:type="paragraph" w:styleId="Bibliography">
    <w:name w:val="Bibliography"/>
    <w:basedOn w:val="Normal"/>
    <w:next w:val="Normal"/>
    <w:uiPriority w:val="99"/>
    <w:semiHidden/>
    <w:unhideWhenUsed/>
    <w:rsid w:val="00B76C4F"/>
  </w:style>
  <w:style w:type="paragraph" w:styleId="BlockText">
    <w:name w:val="Block Text"/>
    <w:basedOn w:val="Normal"/>
    <w:uiPriority w:val="99"/>
    <w:semiHidden/>
    <w:rsid w:val="00B76C4F"/>
    <w:pPr>
      <w:pBdr>
        <w:top w:val="single" w:sz="2" w:space="10" w:color="1E49E2" w:themeColor="accent1"/>
        <w:left w:val="single" w:sz="2" w:space="10" w:color="1E49E2" w:themeColor="accent1"/>
        <w:bottom w:val="single" w:sz="2" w:space="10" w:color="1E49E2" w:themeColor="accent1"/>
        <w:right w:val="single" w:sz="2" w:space="10" w:color="1E49E2" w:themeColor="accent1"/>
      </w:pBdr>
      <w:ind w:left="1152" w:right="1152"/>
    </w:pPr>
    <w:rPr>
      <w:rFonts w:eastAsiaTheme="minorEastAsia"/>
      <w:i/>
      <w:iCs/>
      <w:color w:val="1E49E2" w:themeColor="accent1"/>
    </w:rPr>
  </w:style>
  <w:style w:type="paragraph" w:styleId="BodyText2">
    <w:name w:val="Body Text 2"/>
    <w:basedOn w:val="Normal"/>
    <w:link w:val="BodyText2Char"/>
    <w:uiPriority w:val="99"/>
    <w:semiHidden/>
    <w:rsid w:val="00B76C4F"/>
    <w:pPr>
      <w:spacing w:after="120" w:line="480" w:lineRule="auto"/>
    </w:pPr>
  </w:style>
  <w:style w:type="character" w:customStyle="1" w:styleId="BodyText2Char">
    <w:name w:val="Body Text 2 Char"/>
    <w:basedOn w:val="DefaultParagraphFont"/>
    <w:link w:val="BodyText2"/>
    <w:uiPriority w:val="99"/>
    <w:semiHidden/>
    <w:rsid w:val="00B76C4F"/>
    <w:rPr>
      <w:color w:val="000000" w:themeColor="text1"/>
      <w:sz w:val="20"/>
    </w:rPr>
  </w:style>
  <w:style w:type="paragraph" w:styleId="BodyText3">
    <w:name w:val="Body Text 3"/>
    <w:basedOn w:val="Normal"/>
    <w:link w:val="BodyText3Char"/>
    <w:uiPriority w:val="99"/>
    <w:semiHidden/>
    <w:rsid w:val="00B76C4F"/>
    <w:pPr>
      <w:spacing w:after="120"/>
    </w:pPr>
    <w:rPr>
      <w:sz w:val="16"/>
      <w:szCs w:val="16"/>
    </w:rPr>
  </w:style>
  <w:style w:type="character" w:customStyle="1" w:styleId="BodyText3Char">
    <w:name w:val="Body Text 3 Char"/>
    <w:basedOn w:val="DefaultParagraphFont"/>
    <w:link w:val="BodyText3"/>
    <w:uiPriority w:val="99"/>
    <w:semiHidden/>
    <w:rsid w:val="00B76C4F"/>
    <w:rPr>
      <w:color w:val="000000" w:themeColor="text1"/>
      <w:sz w:val="16"/>
      <w:szCs w:val="16"/>
    </w:rPr>
  </w:style>
  <w:style w:type="paragraph" w:styleId="BodyTextFirstIndent">
    <w:name w:val="Body Text First Indent"/>
    <w:basedOn w:val="BodyText"/>
    <w:link w:val="BodyTextFirstIndentChar"/>
    <w:uiPriority w:val="99"/>
    <w:semiHidden/>
    <w:rsid w:val="00B76C4F"/>
    <w:pPr>
      <w:spacing w:before="60" w:after="60"/>
      <w:ind w:firstLine="360"/>
    </w:pPr>
  </w:style>
  <w:style w:type="character" w:customStyle="1" w:styleId="BodyTextFirstIndentChar">
    <w:name w:val="Body Text First Indent Char"/>
    <w:basedOn w:val="BodyTextChar"/>
    <w:link w:val="BodyTextFirstIndent"/>
    <w:uiPriority w:val="99"/>
    <w:semiHidden/>
    <w:rsid w:val="00B76C4F"/>
    <w:rPr>
      <w:color w:val="000000" w:themeColor="text1"/>
      <w:sz w:val="20"/>
    </w:rPr>
  </w:style>
  <w:style w:type="paragraph" w:styleId="BodyTextIndent">
    <w:name w:val="Body Text Indent"/>
    <w:basedOn w:val="Normal"/>
    <w:link w:val="BodyTextIndentChar"/>
    <w:uiPriority w:val="99"/>
    <w:semiHidden/>
    <w:rsid w:val="00B76C4F"/>
    <w:pPr>
      <w:spacing w:after="120"/>
      <w:ind w:left="283"/>
    </w:pPr>
  </w:style>
  <w:style w:type="character" w:customStyle="1" w:styleId="BodyTextIndentChar">
    <w:name w:val="Body Text Indent Char"/>
    <w:basedOn w:val="DefaultParagraphFont"/>
    <w:link w:val="BodyTextIndent"/>
    <w:uiPriority w:val="99"/>
    <w:semiHidden/>
    <w:rsid w:val="00B76C4F"/>
    <w:rPr>
      <w:color w:val="000000" w:themeColor="text1"/>
      <w:sz w:val="20"/>
    </w:rPr>
  </w:style>
  <w:style w:type="paragraph" w:styleId="BodyTextFirstIndent2">
    <w:name w:val="Body Text First Indent 2"/>
    <w:basedOn w:val="BodyTextIndent"/>
    <w:link w:val="BodyTextFirstIndent2Char"/>
    <w:uiPriority w:val="99"/>
    <w:semiHidden/>
    <w:rsid w:val="00B76C4F"/>
    <w:pPr>
      <w:spacing w:after="60"/>
      <w:ind w:left="360" w:firstLine="360"/>
    </w:pPr>
  </w:style>
  <w:style w:type="character" w:customStyle="1" w:styleId="BodyTextFirstIndent2Char">
    <w:name w:val="Body Text First Indent 2 Char"/>
    <w:basedOn w:val="BodyTextIndentChar"/>
    <w:link w:val="BodyTextFirstIndent2"/>
    <w:uiPriority w:val="99"/>
    <w:semiHidden/>
    <w:rsid w:val="00B76C4F"/>
    <w:rPr>
      <w:color w:val="000000" w:themeColor="text1"/>
      <w:sz w:val="20"/>
    </w:rPr>
  </w:style>
  <w:style w:type="paragraph" w:styleId="BodyTextIndent2">
    <w:name w:val="Body Text Indent 2"/>
    <w:basedOn w:val="Normal"/>
    <w:link w:val="BodyTextIndent2Char"/>
    <w:uiPriority w:val="99"/>
    <w:semiHidden/>
    <w:rsid w:val="00B76C4F"/>
    <w:pPr>
      <w:spacing w:after="120" w:line="480" w:lineRule="auto"/>
      <w:ind w:left="283"/>
    </w:pPr>
  </w:style>
  <w:style w:type="character" w:customStyle="1" w:styleId="BodyTextIndent2Char">
    <w:name w:val="Body Text Indent 2 Char"/>
    <w:basedOn w:val="DefaultParagraphFont"/>
    <w:link w:val="BodyTextIndent2"/>
    <w:uiPriority w:val="99"/>
    <w:semiHidden/>
    <w:rsid w:val="00B76C4F"/>
    <w:rPr>
      <w:color w:val="000000" w:themeColor="text1"/>
      <w:sz w:val="20"/>
    </w:rPr>
  </w:style>
  <w:style w:type="paragraph" w:styleId="BodyTextIndent3">
    <w:name w:val="Body Text Indent 3"/>
    <w:basedOn w:val="Normal"/>
    <w:link w:val="BodyTextIndent3Char"/>
    <w:uiPriority w:val="99"/>
    <w:semiHidden/>
    <w:rsid w:val="00B76C4F"/>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B76C4F"/>
    <w:rPr>
      <w:color w:val="000000" w:themeColor="text1"/>
      <w:sz w:val="16"/>
      <w:szCs w:val="16"/>
    </w:rPr>
  </w:style>
  <w:style w:type="paragraph" w:styleId="Closing">
    <w:name w:val="Closing"/>
    <w:basedOn w:val="Normal"/>
    <w:link w:val="ClosingChar"/>
    <w:uiPriority w:val="99"/>
    <w:semiHidden/>
    <w:rsid w:val="00B76C4F"/>
    <w:pPr>
      <w:spacing w:before="0" w:after="0"/>
      <w:ind w:left="4252"/>
    </w:pPr>
  </w:style>
  <w:style w:type="character" w:customStyle="1" w:styleId="ClosingChar">
    <w:name w:val="Closing Char"/>
    <w:basedOn w:val="DefaultParagraphFont"/>
    <w:link w:val="Closing"/>
    <w:uiPriority w:val="99"/>
    <w:semiHidden/>
    <w:rsid w:val="00B76C4F"/>
    <w:rPr>
      <w:color w:val="000000" w:themeColor="text1"/>
      <w:sz w:val="20"/>
    </w:rPr>
  </w:style>
  <w:style w:type="paragraph" w:styleId="CommentText">
    <w:name w:val="annotation text"/>
    <w:basedOn w:val="Normal"/>
    <w:link w:val="CommentTextChar"/>
    <w:uiPriority w:val="99"/>
    <w:rsid w:val="00B76C4F"/>
    <w:rPr>
      <w:szCs w:val="20"/>
    </w:rPr>
  </w:style>
  <w:style w:type="character" w:customStyle="1" w:styleId="CommentTextChar">
    <w:name w:val="Comment Text Char"/>
    <w:basedOn w:val="DefaultParagraphFont"/>
    <w:link w:val="CommentText"/>
    <w:uiPriority w:val="99"/>
    <w:rsid w:val="00B76C4F"/>
    <w:rPr>
      <w:color w:val="000000" w:themeColor="text1"/>
      <w:sz w:val="20"/>
      <w:szCs w:val="20"/>
    </w:rPr>
  </w:style>
  <w:style w:type="paragraph" w:styleId="CommentSubject">
    <w:name w:val="annotation subject"/>
    <w:basedOn w:val="CommentText"/>
    <w:next w:val="CommentText"/>
    <w:link w:val="CommentSubjectChar"/>
    <w:uiPriority w:val="99"/>
    <w:semiHidden/>
    <w:rsid w:val="00B76C4F"/>
    <w:rPr>
      <w:b/>
      <w:bCs/>
    </w:rPr>
  </w:style>
  <w:style w:type="character" w:customStyle="1" w:styleId="CommentSubjectChar">
    <w:name w:val="Comment Subject Char"/>
    <w:basedOn w:val="CommentTextChar"/>
    <w:link w:val="CommentSubject"/>
    <w:uiPriority w:val="99"/>
    <w:semiHidden/>
    <w:rsid w:val="00B76C4F"/>
    <w:rPr>
      <w:b/>
      <w:bCs/>
      <w:color w:val="000000" w:themeColor="text1"/>
      <w:sz w:val="20"/>
      <w:szCs w:val="20"/>
    </w:rPr>
  </w:style>
  <w:style w:type="paragraph" w:styleId="Date">
    <w:name w:val="Date"/>
    <w:basedOn w:val="Normal"/>
    <w:next w:val="Normal"/>
    <w:link w:val="DateChar"/>
    <w:uiPriority w:val="99"/>
    <w:semiHidden/>
    <w:rsid w:val="00B76C4F"/>
  </w:style>
  <w:style w:type="character" w:customStyle="1" w:styleId="DateChar">
    <w:name w:val="Date Char"/>
    <w:basedOn w:val="DefaultParagraphFont"/>
    <w:link w:val="Date"/>
    <w:uiPriority w:val="99"/>
    <w:semiHidden/>
    <w:rsid w:val="00B76C4F"/>
    <w:rPr>
      <w:color w:val="000000" w:themeColor="text1"/>
      <w:sz w:val="20"/>
    </w:rPr>
  </w:style>
  <w:style w:type="paragraph" w:styleId="DocumentMap">
    <w:name w:val="Document Map"/>
    <w:basedOn w:val="Normal"/>
    <w:link w:val="DocumentMapChar"/>
    <w:uiPriority w:val="99"/>
    <w:semiHidden/>
    <w:rsid w:val="00B76C4F"/>
    <w:pPr>
      <w:spacing w:before="0" w:after="0"/>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B76C4F"/>
    <w:rPr>
      <w:rFonts w:ascii="Segoe UI" w:hAnsi="Segoe UI" w:cs="Segoe UI"/>
      <w:color w:val="000000" w:themeColor="text1"/>
      <w:sz w:val="16"/>
      <w:szCs w:val="16"/>
    </w:rPr>
  </w:style>
  <w:style w:type="paragraph" w:styleId="EmailSignature">
    <w:name w:val="E-mail Signature"/>
    <w:basedOn w:val="Normal"/>
    <w:link w:val="EmailSignatureChar"/>
    <w:uiPriority w:val="99"/>
    <w:semiHidden/>
    <w:rsid w:val="00B76C4F"/>
    <w:pPr>
      <w:spacing w:before="0" w:after="0"/>
    </w:pPr>
  </w:style>
  <w:style w:type="character" w:customStyle="1" w:styleId="EmailSignatureChar">
    <w:name w:val="Email Signature Char"/>
    <w:basedOn w:val="DefaultParagraphFont"/>
    <w:link w:val="EmailSignature"/>
    <w:uiPriority w:val="99"/>
    <w:semiHidden/>
    <w:rsid w:val="00B76C4F"/>
    <w:rPr>
      <w:color w:val="000000" w:themeColor="text1"/>
      <w:sz w:val="20"/>
    </w:rPr>
  </w:style>
  <w:style w:type="paragraph" w:styleId="EndnoteText">
    <w:name w:val="endnote text"/>
    <w:basedOn w:val="Normal"/>
    <w:link w:val="EndnoteTextChar"/>
    <w:uiPriority w:val="99"/>
    <w:semiHidden/>
    <w:unhideWhenUsed/>
    <w:rsid w:val="00B76C4F"/>
    <w:pPr>
      <w:spacing w:before="0" w:after="0"/>
    </w:pPr>
    <w:rPr>
      <w:szCs w:val="20"/>
    </w:rPr>
  </w:style>
  <w:style w:type="character" w:customStyle="1" w:styleId="EndnoteTextChar">
    <w:name w:val="Endnote Text Char"/>
    <w:basedOn w:val="DefaultParagraphFont"/>
    <w:link w:val="EndnoteText"/>
    <w:uiPriority w:val="99"/>
    <w:semiHidden/>
    <w:rsid w:val="00B76C4F"/>
    <w:rPr>
      <w:color w:val="000000" w:themeColor="text1"/>
      <w:sz w:val="20"/>
      <w:szCs w:val="20"/>
    </w:rPr>
  </w:style>
  <w:style w:type="paragraph" w:styleId="EnvelopeAddress">
    <w:name w:val="envelope address"/>
    <w:basedOn w:val="Normal"/>
    <w:uiPriority w:val="99"/>
    <w:semiHidden/>
    <w:rsid w:val="00B76C4F"/>
    <w:pPr>
      <w:framePr w:w="7920" w:h="1980" w:hRule="exact" w:hSpace="180" w:wrap="auto" w:hAnchor="page" w:xAlign="center" w:yAlign="bottom"/>
      <w:spacing w:before="0" w:after="0"/>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rsid w:val="00B76C4F"/>
    <w:pPr>
      <w:spacing w:before="0" w:after="0"/>
    </w:pPr>
    <w:rPr>
      <w:rFonts w:asciiTheme="majorHAnsi" w:eastAsiaTheme="majorEastAsia" w:hAnsiTheme="majorHAnsi" w:cstheme="majorBidi"/>
      <w:szCs w:val="20"/>
    </w:rPr>
  </w:style>
  <w:style w:type="paragraph" w:styleId="FootnoteText">
    <w:name w:val="footnote text"/>
    <w:basedOn w:val="Normal"/>
    <w:link w:val="FootnoteTextChar"/>
    <w:uiPriority w:val="99"/>
    <w:unhideWhenUsed/>
    <w:rsid w:val="00A266F3"/>
    <w:pPr>
      <w:spacing w:before="0" w:after="0"/>
    </w:pPr>
    <w:rPr>
      <w:sz w:val="16"/>
      <w:szCs w:val="20"/>
    </w:rPr>
  </w:style>
  <w:style w:type="character" w:customStyle="1" w:styleId="FootnoteTextChar">
    <w:name w:val="Footnote Text Char"/>
    <w:basedOn w:val="DefaultParagraphFont"/>
    <w:link w:val="FootnoteText"/>
    <w:uiPriority w:val="99"/>
    <w:rsid w:val="00A266F3"/>
    <w:rPr>
      <w:color w:val="000000" w:themeColor="text1"/>
      <w:sz w:val="16"/>
      <w:szCs w:val="20"/>
    </w:rPr>
  </w:style>
  <w:style w:type="paragraph" w:styleId="HTMLAddress">
    <w:name w:val="HTML Address"/>
    <w:basedOn w:val="Normal"/>
    <w:link w:val="HTMLAddressChar"/>
    <w:uiPriority w:val="99"/>
    <w:semiHidden/>
    <w:unhideWhenUsed/>
    <w:rsid w:val="00B76C4F"/>
    <w:pPr>
      <w:spacing w:before="0" w:after="0"/>
    </w:pPr>
    <w:rPr>
      <w:i/>
      <w:iCs/>
    </w:rPr>
  </w:style>
  <w:style w:type="character" w:customStyle="1" w:styleId="HTMLAddressChar">
    <w:name w:val="HTML Address Char"/>
    <w:basedOn w:val="DefaultParagraphFont"/>
    <w:link w:val="HTMLAddress"/>
    <w:uiPriority w:val="99"/>
    <w:semiHidden/>
    <w:rsid w:val="00B76C4F"/>
    <w:rPr>
      <w:i/>
      <w:iCs/>
      <w:color w:val="000000" w:themeColor="text1"/>
      <w:sz w:val="20"/>
    </w:rPr>
  </w:style>
  <w:style w:type="paragraph" w:styleId="HTMLPreformatted">
    <w:name w:val="HTML Preformatted"/>
    <w:basedOn w:val="Normal"/>
    <w:link w:val="HTMLPreformattedChar"/>
    <w:uiPriority w:val="99"/>
    <w:semiHidden/>
    <w:unhideWhenUsed/>
    <w:rsid w:val="00B76C4F"/>
    <w:pPr>
      <w:spacing w:before="0" w:after="0"/>
    </w:pPr>
    <w:rPr>
      <w:rFonts w:ascii="Consolas" w:hAnsi="Consolas"/>
      <w:szCs w:val="20"/>
    </w:rPr>
  </w:style>
  <w:style w:type="character" w:customStyle="1" w:styleId="HTMLPreformattedChar">
    <w:name w:val="HTML Preformatted Char"/>
    <w:basedOn w:val="DefaultParagraphFont"/>
    <w:link w:val="HTMLPreformatted"/>
    <w:uiPriority w:val="99"/>
    <w:semiHidden/>
    <w:rsid w:val="00B76C4F"/>
    <w:rPr>
      <w:rFonts w:ascii="Consolas" w:hAnsi="Consolas"/>
      <w:color w:val="000000" w:themeColor="text1"/>
      <w:sz w:val="20"/>
      <w:szCs w:val="20"/>
    </w:rPr>
  </w:style>
  <w:style w:type="paragraph" w:styleId="Index1">
    <w:name w:val="index 1"/>
    <w:basedOn w:val="Normal"/>
    <w:next w:val="Normal"/>
    <w:autoRedefine/>
    <w:uiPriority w:val="99"/>
    <w:semiHidden/>
    <w:unhideWhenUsed/>
    <w:rsid w:val="00B76C4F"/>
    <w:pPr>
      <w:spacing w:before="0" w:after="0"/>
      <w:ind w:left="200" w:hanging="200"/>
    </w:pPr>
  </w:style>
  <w:style w:type="paragraph" w:styleId="Index2">
    <w:name w:val="index 2"/>
    <w:basedOn w:val="Normal"/>
    <w:next w:val="Normal"/>
    <w:autoRedefine/>
    <w:uiPriority w:val="99"/>
    <w:semiHidden/>
    <w:unhideWhenUsed/>
    <w:rsid w:val="00B76C4F"/>
    <w:pPr>
      <w:spacing w:before="0" w:after="0"/>
      <w:ind w:left="400" w:hanging="200"/>
    </w:pPr>
  </w:style>
  <w:style w:type="paragraph" w:styleId="Index3">
    <w:name w:val="index 3"/>
    <w:basedOn w:val="Normal"/>
    <w:next w:val="Normal"/>
    <w:autoRedefine/>
    <w:uiPriority w:val="99"/>
    <w:semiHidden/>
    <w:unhideWhenUsed/>
    <w:rsid w:val="00B76C4F"/>
    <w:pPr>
      <w:spacing w:before="0" w:after="0"/>
      <w:ind w:left="600" w:hanging="200"/>
    </w:pPr>
  </w:style>
  <w:style w:type="paragraph" w:styleId="Index4">
    <w:name w:val="index 4"/>
    <w:basedOn w:val="Normal"/>
    <w:next w:val="Normal"/>
    <w:autoRedefine/>
    <w:uiPriority w:val="99"/>
    <w:semiHidden/>
    <w:unhideWhenUsed/>
    <w:rsid w:val="00B76C4F"/>
    <w:pPr>
      <w:spacing w:before="0" w:after="0"/>
      <w:ind w:left="800" w:hanging="200"/>
    </w:pPr>
  </w:style>
  <w:style w:type="paragraph" w:styleId="Index5">
    <w:name w:val="index 5"/>
    <w:basedOn w:val="Normal"/>
    <w:next w:val="Normal"/>
    <w:autoRedefine/>
    <w:uiPriority w:val="99"/>
    <w:semiHidden/>
    <w:unhideWhenUsed/>
    <w:rsid w:val="00B76C4F"/>
    <w:pPr>
      <w:spacing w:before="0" w:after="0"/>
      <w:ind w:left="1000" w:hanging="200"/>
    </w:pPr>
  </w:style>
  <w:style w:type="paragraph" w:styleId="Index6">
    <w:name w:val="index 6"/>
    <w:basedOn w:val="Normal"/>
    <w:next w:val="Normal"/>
    <w:autoRedefine/>
    <w:uiPriority w:val="99"/>
    <w:semiHidden/>
    <w:unhideWhenUsed/>
    <w:rsid w:val="00B76C4F"/>
    <w:pPr>
      <w:spacing w:before="0" w:after="0"/>
      <w:ind w:left="1200" w:hanging="200"/>
    </w:pPr>
  </w:style>
  <w:style w:type="paragraph" w:styleId="Index7">
    <w:name w:val="index 7"/>
    <w:basedOn w:val="Normal"/>
    <w:next w:val="Normal"/>
    <w:autoRedefine/>
    <w:uiPriority w:val="99"/>
    <w:semiHidden/>
    <w:unhideWhenUsed/>
    <w:rsid w:val="00B76C4F"/>
    <w:pPr>
      <w:spacing w:before="0" w:after="0"/>
      <w:ind w:left="1400" w:hanging="200"/>
    </w:pPr>
  </w:style>
  <w:style w:type="paragraph" w:styleId="Index8">
    <w:name w:val="index 8"/>
    <w:basedOn w:val="Normal"/>
    <w:next w:val="Normal"/>
    <w:autoRedefine/>
    <w:uiPriority w:val="99"/>
    <w:semiHidden/>
    <w:unhideWhenUsed/>
    <w:rsid w:val="00B76C4F"/>
    <w:pPr>
      <w:spacing w:before="0" w:after="0"/>
      <w:ind w:left="1600" w:hanging="200"/>
    </w:pPr>
  </w:style>
  <w:style w:type="paragraph" w:styleId="Index9">
    <w:name w:val="index 9"/>
    <w:basedOn w:val="Normal"/>
    <w:next w:val="Normal"/>
    <w:autoRedefine/>
    <w:uiPriority w:val="99"/>
    <w:semiHidden/>
    <w:unhideWhenUsed/>
    <w:rsid w:val="00B76C4F"/>
    <w:pPr>
      <w:spacing w:before="0" w:after="0"/>
      <w:ind w:left="1800" w:hanging="200"/>
    </w:pPr>
  </w:style>
  <w:style w:type="paragraph" w:styleId="IndexHeading">
    <w:name w:val="index heading"/>
    <w:basedOn w:val="Normal"/>
    <w:next w:val="Index1"/>
    <w:uiPriority w:val="99"/>
    <w:semiHidden/>
    <w:unhideWhenUsed/>
    <w:rsid w:val="00B76C4F"/>
    <w:rPr>
      <w:rFonts w:asciiTheme="majorHAnsi" w:eastAsiaTheme="majorEastAsia" w:hAnsiTheme="majorHAnsi" w:cstheme="majorBidi"/>
      <w:b/>
      <w:bCs/>
    </w:rPr>
  </w:style>
  <w:style w:type="paragraph" w:styleId="IntenseQuote">
    <w:name w:val="Intense Quote"/>
    <w:basedOn w:val="Normal"/>
    <w:next w:val="Normal"/>
    <w:link w:val="IntenseQuoteChar"/>
    <w:uiPriority w:val="99"/>
    <w:semiHidden/>
    <w:qFormat/>
    <w:rsid w:val="00B76C4F"/>
    <w:pPr>
      <w:pBdr>
        <w:top w:val="single" w:sz="4" w:space="10" w:color="1E49E2" w:themeColor="accent1"/>
        <w:bottom w:val="single" w:sz="4" w:space="10" w:color="1E49E2" w:themeColor="accent1"/>
      </w:pBdr>
      <w:spacing w:before="360" w:after="360"/>
      <w:ind w:left="864" w:right="864"/>
      <w:jc w:val="center"/>
    </w:pPr>
    <w:rPr>
      <w:i/>
      <w:iCs/>
      <w:color w:val="1E49E2" w:themeColor="accent1"/>
    </w:rPr>
  </w:style>
  <w:style w:type="character" w:customStyle="1" w:styleId="IntenseQuoteChar">
    <w:name w:val="Intense Quote Char"/>
    <w:basedOn w:val="DefaultParagraphFont"/>
    <w:link w:val="IntenseQuote"/>
    <w:uiPriority w:val="99"/>
    <w:semiHidden/>
    <w:rsid w:val="00B76C4F"/>
    <w:rPr>
      <w:i/>
      <w:iCs/>
      <w:color w:val="1E49E2" w:themeColor="accent1"/>
      <w:sz w:val="20"/>
    </w:rPr>
  </w:style>
  <w:style w:type="paragraph" w:styleId="List">
    <w:name w:val="List"/>
    <w:basedOn w:val="Normal"/>
    <w:uiPriority w:val="99"/>
    <w:semiHidden/>
    <w:unhideWhenUsed/>
    <w:rsid w:val="00B76C4F"/>
    <w:pPr>
      <w:ind w:left="283" w:hanging="283"/>
      <w:contextualSpacing/>
    </w:pPr>
  </w:style>
  <w:style w:type="paragraph" w:styleId="List2">
    <w:name w:val="List 2"/>
    <w:basedOn w:val="Normal"/>
    <w:uiPriority w:val="99"/>
    <w:semiHidden/>
    <w:unhideWhenUsed/>
    <w:rsid w:val="00B76C4F"/>
    <w:pPr>
      <w:ind w:left="566" w:hanging="283"/>
      <w:contextualSpacing/>
    </w:pPr>
  </w:style>
  <w:style w:type="paragraph" w:styleId="List3">
    <w:name w:val="List 3"/>
    <w:basedOn w:val="Normal"/>
    <w:uiPriority w:val="99"/>
    <w:semiHidden/>
    <w:unhideWhenUsed/>
    <w:rsid w:val="00B76C4F"/>
    <w:pPr>
      <w:ind w:left="849" w:hanging="283"/>
      <w:contextualSpacing/>
    </w:pPr>
  </w:style>
  <w:style w:type="paragraph" w:styleId="List4">
    <w:name w:val="List 4"/>
    <w:basedOn w:val="Normal"/>
    <w:uiPriority w:val="99"/>
    <w:semiHidden/>
    <w:unhideWhenUsed/>
    <w:rsid w:val="00B76C4F"/>
    <w:pPr>
      <w:ind w:left="1132" w:hanging="283"/>
      <w:contextualSpacing/>
    </w:pPr>
  </w:style>
  <w:style w:type="paragraph" w:styleId="List5">
    <w:name w:val="List 5"/>
    <w:basedOn w:val="Normal"/>
    <w:uiPriority w:val="99"/>
    <w:semiHidden/>
    <w:unhideWhenUsed/>
    <w:rsid w:val="00B76C4F"/>
    <w:pPr>
      <w:ind w:left="1415" w:hanging="283"/>
      <w:contextualSpacing/>
    </w:pPr>
  </w:style>
  <w:style w:type="paragraph" w:styleId="ListBullet4">
    <w:name w:val="List Bullet 4"/>
    <w:basedOn w:val="Normal"/>
    <w:uiPriority w:val="99"/>
    <w:semiHidden/>
    <w:rsid w:val="00B76C4F"/>
    <w:pPr>
      <w:numPr>
        <w:numId w:val="5"/>
      </w:numPr>
      <w:contextualSpacing/>
    </w:pPr>
  </w:style>
  <w:style w:type="paragraph" w:styleId="ListBullet5">
    <w:name w:val="List Bullet 5"/>
    <w:basedOn w:val="Normal"/>
    <w:uiPriority w:val="99"/>
    <w:semiHidden/>
    <w:rsid w:val="00B76C4F"/>
    <w:pPr>
      <w:numPr>
        <w:numId w:val="6"/>
      </w:numPr>
      <w:contextualSpacing/>
    </w:pPr>
  </w:style>
  <w:style w:type="paragraph" w:styleId="ListContinue">
    <w:name w:val="List Continue"/>
    <w:basedOn w:val="Normal"/>
    <w:uiPriority w:val="99"/>
    <w:semiHidden/>
    <w:unhideWhenUsed/>
    <w:rsid w:val="00B76C4F"/>
    <w:pPr>
      <w:spacing w:after="120"/>
      <w:ind w:left="283"/>
      <w:contextualSpacing/>
    </w:pPr>
  </w:style>
  <w:style w:type="paragraph" w:styleId="ListContinue2">
    <w:name w:val="List Continue 2"/>
    <w:basedOn w:val="Normal"/>
    <w:uiPriority w:val="99"/>
    <w:semiHidden/>
    <w:unhideWhenUsed/>
    <w:rsid w:val="00B76C4F"/>
    <w:pPr>
      <w:spacing w:after="120"/>
      <w:ind w:left="566"/>
      <w:contextualSpacing/>
    </w:pPr>
  </w:style>
  <w:style w:type="paragraph" w:styleId="ListContinue3">
    <w:name w:val="List Continue 3"/>
    <w:basedOn w:val="Normal"/>
    <w:uiPriority w:val="99"/>
    <w:semiHidden/>
    <w:unhideWhenUsed/>
    <w:rsid w:val="00B76C4F"/>
    <w:pPr>
      <w:spacing w:after="120"/>
      <w:ind w:left="849"/>
      <w:contextualSpacing/>
    </w:pPr>
  </w:style>
  <w:style w:type="paragraph" w:styleId="ListContinue4">
    <w:name w:val="List Continue 4"/>
    <w:basedOn w:val="Normal"/>
    <w:uiPriority w:val="99"/>
    <w:semiHidden/>
    <w:unhideWhenUsed/>
    <w:rsid w:val="00B76C4F"/>
    <w:pPr>
      <w:spacing w:after="120"/>
      <w:ind w:left="1132"/>
      <w:contextualSpacing/>
    </w:pPr>
  </w:style>
  <w:style w:type="paragraph" w:styleId="ListContinue5">
    <w:name w:val="List Continue 5"/>
    <w:basedOn w:val="Normal"/>
    <w:uiPriority w:val="99"/>
    <w:semiHidden/>
    <w:unhideWhenUsed/>
    <w:rsid w:val="00B76C4F"/>
    <w:pPr>
      <w:spacing w:after="120"/>
      <w:ind w:left="1415"/>
      <w:contextualSpacing/>
    </w:pPr>
  </w:style>
  <w:style w:type="paragraph" w:styleId="ListNumber4">
    <w:name w:val="List Number 4"/>
    <w:basedOn w:val="Normal"/>
    <w:uiPriority w:val="9"/>
    <w:semiHidden/>
    <w:rsid w:val="00B76C4F"/>
    <w:pPr>
      <w:numPr>
        <w:numId w:val="7"/>
      </w:numPr>
      <w:contextualSpacing/>
    </w:pPr>
  </w:style>
  <w:style w:type="paragraph" w:styleId="ListNumber5">
    <w:name w:val="List Number 5"/>
    <w:basedOn w:val="Normal"/>
    <w:uiPriority w:val="9"/>
    <w:semiHidden/>
    <w:rsid w:val="00B76C4F"/>
    <w:pPr>
      <w:numPr>
        <w:numId w:val="8"/>
      </w:numPr>
      <w:contextualSpacing/>
    </w:pPr>
  </w:style>
  <w:style w:type="paragraph" w:styleId="MacroText">
    <w:name w:val="macro"/>
    <w:link w:val="MacroTextChar"/>
    <w:uiPriority w:val="99"/>
    <w:semiHidden/>
    <w:unhideWhenUsed/>
    <w:rsid w:val="00B76C4F"/>
    <w:pPr>
      <w:tabs>
        <w:tab w:val="left" w:pos="480"/>
        <w:tab w:val="left" w:pos="960"/>
        <w:tab w:val="left" w:pos="1440"/>
        <w:tab w:val="left" w:pos="1920"/>
        <w:tab w:val="left" w:pos="2400"/>
        <w:tab w:val="left" w:pos="2880"/>
        <w:tab w:val="left" w:pos="3360"/>
        <w:tab w:val="left" w:pos="3840"/>
        <w:tab w:val="left" w:pos="4320"/>
      </w:tabs>
      <w:spacing w:before="60" w:after="0" w:line="240" w:lineRule="auto"/>
    </w:pPr>
    <w:rPr>
      <w:rFonts w:ascii="Consolas" w:hAnsi="Consolas"/>
      <w:color w:val="000000" w:themeColor="text1"/>
      <w:sz w:val="20"/>
      <w:szCs w:val="20"/>
    </w:rPr>
  </w:style>
  <w:style w:type="character" w:customStyle="1" w:styleId="MacroTextChar">
    <w:name w:val="Macro Text Char"/>
    <w:basedOn w:val="DefaultParagraphFont"/>
    <w:link w:val="MacroText"/>
    <w:uiPriority w:val="99"/>
    <w:semiHidden/>
    <w:rsid w:val="00B76C4F"/>
    <w:rPr>
      <w:rFonts w:ascii="Consolas" w:hAnsi="Consolas"/>
      <w:color w:val="000000" w:themeColor="text1"/>
      <w:sz w:val="20"/>
      <w:szCs w:val="20"/>
    </w:rPr>
  </w:style>
  <w:style w:type="paragraph" w:styleId="MessageHeader">
    <w:name w:val="Message Header"/>
    <w:basedOn w:val="Normal"/>
    <w:link w:val="MessageHeaderChar"/>
    <w:uiPriority w:val="99"/>
    <w:semiHidden/>
    <w:unhideWhenUsed/>
    <w:rsid w:val="00B76C4F"/>
    <w:pPr>
      <w:pBdr>
        <w:top w:val="single" w:sz="6" w:space="1" w:color="auto"/>
        <w:left w:val="single" w:sz="6" w:space="1" w:color="auto"/>
        <w:bottom w:val="single" w:sz="6" w:space="1" w:color="auto"/>
        <w:right w:val="single" w:sz="6" w:space="1" w:color="auto"/>
      </w:pBdr>
      <w:shd w:val="pct20" w:color="auto" w:fill="auto"/>
      <w:spacing w:before="0"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B76C4F"/>
    <w:rPr>
      <w:rFonts w:asciiTheme="majorHAnsi" w:eastAsiaTheme="majorEastAsia" w:hAnsiTheme="majorHAnsi" w:cstheme="majorBidi"/>
      <w:color w:val="000000" w:themeColor="text1"/>
      <w:sz w:val="24"/>
      <w:szCs w:val="24"/>
      <w:shd w:val="pct20" w:color="auto" w:fill="auto"/>
    </w:rPr>
  </w:style>
  <w:style w:type="paragraph" w:styleId="NoSpacing">
    <w:name w:val="No Spacing"/>
    <w:uiPriority w:val="99"/>
    <w:semiHidden/>
    <w:qFormat/>
    <w:rsid w:val="00B76C4F"/>
    <w:pPr>
      <w:spacing w:after="0" w:line="240" w:lineRule="auto"/>
    </w:pPr>
    <w:rPr>
      <w:color w:val="000000" w:themeColor="text1"/>
      <w:sz w:val="20"/>
    </w:rPr>
  </w:style>
  <w:style w:type="paragraph" w:styleId="NormalIndent">
    <w:name w:val="Normal Indent"/>
    <w:basedOn w:val="Normal"/>
    <w:uiPriority w:val="99"/>
    <w:semiHidden/>
    <w:unhideWhenUsed/>
    <w:rsid w:val="00B76C4F"/>
    <w:pPr>
      <w:ind w:left="720"/>
    </w:pPr>
  </w:style>
  <w:style w:type="paragraph" w:styleId="NoteHeading">
    <w:name w:val="Note Heading"/>
    <w:basedOn w:val="Normal"/>
    <w:next w:val="Normal"/>
    <w:link w:val="NoteHeadingChar"/>
    <w:uiPriority w:val="99"/>
    <w:semiHidden/>
    <w:unhideWhenUsed/>
    <w:rsid w:val="00B76C4F"/>
    <w:pPr>
      <w:spacing w:before="0" w:after="0"/>
    </w:pPr>
  </w:style>
  <w:style w:type="character" w:customStyle="1" w:styleId="NoteHeadingChar">
    <w:name w:val="Note Heading Char"/>
    <w:basedOn w:val="DefaultParagraphFont"/>
    <w:link w:val="NoteHeading"/>
    <w:uiPriority w:val="99"/>
    <w:semiHidden/>
    <w:rsid w:val="00B76C4F"/>
    <w:rPr>
      <w:color w:val="000000" w:themeColor="text1"/>
      <w:sz w:val="20"/>
    </w:rPr>
  </w:style>
  <w:style w:type="paragraph" w:styleId="PlainText">
    <w:name w:val="Plain Text"/>
    <w:basedOn w:val="Normal"/>
    <w:link w:val="PlainTextChar"/>
    <w:uiPriority w:val="99"/>
    <w:semiHidden/>
    <w:unhideWhenUsed/>
    <w:rsid w:val="00B76C4F"/>
    <w:pPr>
      <w:spacing w:before="0" w:after="0"/>
    </w:pPr>
    <w:rPr>
      <w:rFonts w:ascii="Consolas" w:hAnsi="Consolas"/>
      <w:sz w:val="21"/>
      <w:szCs w:val="21"/>
    </w:rPr>
  </w:style>
  <w:style w:type="character" w:customStyle="1" w:styleId="PlainTextChar">
    <w:name w:val="Plain Text Char"/>
    <w:basedOn w:val="DefaultParagraphFont"/>
    <w:link w:val="PlainText"/>
    <w:uiPriority w:val="99"/>
    <w:semiHidden/>
    <w:rsid w:val="00B76C4F"/>
    <w:rPr>
      <w:rFonts w:ascii="Consolas" w:hAnsi="Consolas"/>
      <w:color w:val="000000" w:themeColor="text1"/>
      <w:sz w:val="21"/>
      <w:szCs w:val="21"/>
    </w:rPr>
  </w:style>
  <w:style w:type="paragraph" w:styleId="Salutation">
    <w:name w:val="Salutation"/>
    <w:basedOn w:val="Normal"/>
    <w:next w:val="Normal"/>
    <w:link w:val="SalutationChar"/>
    <w:uiPriority w:val="99"/>
    <w:semiHidden/>
    <w:unhideWhenUsed/>
    <w:rsid w:val="00B76C4F"/>
  </w:style>
  <w:style w:type="character" w:customStyle="1" w:styleId="SalutationChar">
    <w:name w:val="Salutation Char"/>
    <w:basedOn w:val="DefaultParagraphFont"/>
    <w:link w:val="Salutation"/>
    <w:uiPriority w:val="99"/>
    <w:semiHidden/>
    <w:rsid w:val="00B76C4F"/>
    <w:rPr>
      <w:color w:val="000000" w:themeColor="text1"/>
      <w:sz w:val="20"/>
    </w:rPr>
  </w:style>
  <w:style w:type="paragraph" w:styleId="Signature">
    <w:name w:val="Signature"/>
    <w:basedOn w:val="Normal"/>
    <w:link w:val="SignatureChar"/>
    <w:uiPriority w:val="99"/>
    <w:semiHidden/>
    <w:unhideWhenUsed/>
    <w:rsid w:val="00B76C4F"/>
    <w:pPr>
      <w:spacing w:before="0" w:after="0"/>
      <w:ind w:left="4252"/>
    </w:pPr>
  </w:style>
  <w:style w:type="character" w:customStyle="1" w:styleId="SignatureChar">
    <w:name w:val="Signature Char"/>
    <w:basedOn w:val="DefaultParagraphFont"/>
    <w:link w:val="Signature"/>
    <w:uiPriority w:val="99"/>
    <w:semiHidden/>
    <w:rsid w:val="00B76C4F"/>
    <w:rPr>
      <w:color w:val="000000" w:themeColor="text1"/>
      <w:sz w:val="20"/>
    </w:rPr>
  </w:style>
  <w:style w:type="paragraph" w:styleId="Subtitle">
    <w:name w:val="Subtitle"/>
    <w:basedOn w:val="Normal"/>
    <w:next w:val="Normal"/>
    <w:link w:val="SubtitleChar"/>
    <w:uiPriority w:val="99"/>
    <w:semiHidden/>
    <w:qFormat/>
    <w:rsid w:val="00B76C4F"/>
    <w:pPr>
      <w:numPr>
        <w:ilvl w:val="1"/>
      </w:numPr>
      <w:spacing w:after="160"/>
    </w:pPr>
    <w:rPr>
      <w:rFonts w:eastAsiaTheme="minorEastAsia"/>
      <w:color w:val="5A5A5A" w:themeColor="text1" w:themeTint="A5"/>
      <w:spacing w:val="15"/>
      <w:sz w:val="22"/>
    </w:rPr>
  </w:style>
  <w:style w:type="character" w:customStyle="1" w:styleId="SubtitleChar">
    <w:name w:val="Subtitle Char"/>
    <w:basedOn w:val="DefaultParagraphFont"/>
    <w:link w:val="Subtitle"/>
    <w:uiPriority w:val="99"/>
    <w:semiHidden/>
    <w:rsid w:val="00B76C4F"/>
    <w:rPr>
      <w:rFonts w:eastAsiaTheme="minorEastAsia"/>
      <w:color w:val="5A5A5A" w:themeColor="text1" w:themeTint="A5"/>
      <w:spacing w:val="15"/>
    </w:rPr>
  </w:style>
  <w:style w:type="paragraph" w:styleId="TableofAuthorities">
    <w:name w:val="table of authorities"/>
    <w:basedOn w:val="Normal"/>
    <w:next w:val="Normal"/>
    <w:uiPriority w:val="99"/>
    <w:semiHidden/>
    <w:unhideWhenUsed/>
    <w:rsid w:val="00B76C4F"/>
    <w:pPr>
      <w:spacing w:after="0"/>
      <w:ind w:left="200" w:hanging="200"/>
    </w:pPr>
  </w:style>
  <w:style w:type="paragraph" w:styleId="TableofFigures">
    <w:name w:val="table of figures"/>
    <w:basedOn w:val="Normal"/>
    <w:next w:val="Normal"/>
    <w:uiPriority w:val="99"/>
    <w:unhideWhenUsed/>
    <w:rsid w:val="00326544"/>
    <w:pPr>
      <w:tabs>
        <w:tab w:val="right" w:leader="dot" w:pos="10065"/>
      </w:tabs>
      <w:spacing w:before="40" w:after="40"/>
      <w:ind w:right="57"/>
    </w:pPr>
    <w:rPr>
      <w:rFonts w:ascii="Arial" w:hAnsi="Arial"/>
      <w:noProof/>
      <w:sz w:val="18"/>
    </w:rPr>
  </w:style>
  <w:style w:type="paragraph" w:styleId="Title">
    <w:name w:val="Title"/>
    <w:basedOn w:val="Normal"/>
    <w:next w:val="Normal"/>
    <w:link w:val="TitleChar"/>
    <w:uiPriority w:val="99"/>
    <w:semiHidden/>
    <w:qFormat/>
    <w:rsid w:val="00B76C4F"/>
    <w:pPr>
      <w:spacing w:before="0" w:after="0"/>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99"/>
    <w:semiHidden/>
    <w:rsid w:val="00B76C4F"/>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B76C4F"/>
    <w:rPr>
      <w:rFonts w:asciiTheme="majorHAnsi" w:eastAsiaTheme="majorEastAsia" w:hAnsiTheme="majorHAnsi" w:cstheme="majorBidi"/>
      <w:b/>
      <w:bCs/>
      <w:sz w:val="24"/>
      <w:szCs w:val="24"/>
    </w:rPr>
  </w:style>
  <w:style w:type="paragraph" w:styleId="TOC5">
    <w:name w:val="toc 5"/>
    <w:basedOn w:val="Normal"/>
    <w:next w:val="Normal"/>
    <w:autoRedefine/>
    <w:uiPriority w:val="5"/>
    <w:semiHidden/>
    <w:unhideWhenUsed/>
    <w:rsid w:val="00B76C4F"/>
    <w:pPr>
      <w:spacing w:after="100"/>
      <w:ind w:left="800"/>
    </w:pPr>
  </w:style>
  <w:style w:type="paragraph" w:styleId="TOC6">
    <w:name w:val="toc 6"/>
    <w:basedOn w:val="Normal"/>
    <w:next w:val="Normal"/>
    <w:autoRedefine/>
    <w:uiPriority w:val="5"/>
    <w:semiHidden/>
    <w:unhideWhenUsed/>
    <w:rsid w:val="00B76C4F"/>
    <w:pPr>
      <w:spacing w:after="100"/>
      <w:ind w:left="1000"/>
    </w:pPr>
  </w:style>
  <w:style w:type="paragraph" w:styleId="TOC7">
    <w:name w:val="toc 7"/>
    <w:basedOn w:val="Normal"/>
    <w:next w:val="Normal"/>
    <w:autoRedefine/>
    <w:uiPriority w:val="5"/>
    <w:semiHidden/>
    <w:unhideWhenUsed/>
    <w:rsid w:val="00B76C4F"/>
    <w:pPr>
      <w:spacing w:after="100"/>
      <w:ind w:left="1200"/>
    </w:pPr>
  </w:style>
  <w:style w:type="paragraph" w:styleId="TOC8">
    <w:name w:val="toc 8"/>
    <w:basedOn w:val="Normal"/>
    <w:next w:val="Normal"/>
    <w:autoRedefine/>
    <w:uiPriority w:val="5"/>
    <w:semiHidden/>
    <w:unhideWhenUsed/>
    <w:rsid w:val="00B76C4F"/>
    <w:pPr>
      <w:spacing w:after="100"/>
      <w:ind w:left="1400"/>
    </w:pPr>
  </w:style>
  <w:style w:type="paragraph" w:styleId="TOC9">
    <w:name w:val="toc 9"/>
    <w:basedOn w:val="Normal"/>
    <w:next w:val="Normal"/>
    <w:autoRedefine/>
    <w:uiPriority w:val="5"/>
    <w:semiHidden/>
    <w:unhideWhenUsed/>
    <w:rsid w:val="00B76C4F"/>
    <w:pPr>
      <w:spacing w:after="100"/>
      <w:ind w:left="1600"/>
    </w:pPr>
  </w:style>
  <w:style w:type="paragraph" w:styleId="TOCHeading">
    <w:name w:val="TOC Heading"/>
    <w:basedOn w:val="Heading1"/>
    <w:next w:val="Normal"/>
    <w:uiPriority w:val="5"/>
    <w:semiHidden/>
    <w:unhideWhenUsed/>
    <w:qFormat/>
    <w:rsid w:val="00B76C4F"/>
    <w:pPr>
      <w:numPr>
        <w:numId w:val="0"/>
      </w:numPr>
      <w:spacing w:before="240" w:after="0" w:line="240" w:lineRule="auto"/>
      <w:outlineLvl w:val="9"/>
    </w:pPr>
    <w:rPr>
      <w:color w:val="1635A9" w:themeColor="accent1" w:themeShade="BF"/>
      <w:sz w:val="32"/>
    </w:rPr>
  </w:style>
  <w:style w:type="character" w:styleId="FootnoteReference">
    <w:name w:val="footnote reference"/>
    <w:aliases w:val="fr,Footnote ReferenceW,Style 13,Style 49,fr + (Latin) Arial,(Asian) Arial,Black,Black + (Latin) Arial,TP Footnote Reference,Footnote Reference + (拉丁) Book Antiqua,(中文) 標楷體,(符號) 標楷體,Aggie각주번호,FC,Black + 10 pt,o,Style 18,fr1,fr2,fr3"/>
    <w:basedOn w:val="DefaultParagraphFont"/>
    <w:uiPriority w:val="99"/>
    <w:unhideWhenUsed/>
    <w:qFormat/>
    <w:rsid w:val="00982792"/>
    <w:rPr>
      <w:vertAlign w:val="superscript"/>
    </w:rPr>
  </w:style>
  <w:style w:type="paragraph" w:customStyle="1" w:styleId="BodyTextkeepwithnext">
    <w:name w:val="BodyTextkeepwithnext"/>
    <w:basedOn w:val="BodyText"/>
    <w:qFormat/>
    <w:rsid w:val="00875654"/>
    <w:pPr>
      <w:keepNext/>
      <w:jc w:val="both"/>
    </w:pPr>
    <w:rPr>
      <w:rFonts w:ascii="Arial" w:hAnsi="Arial"/>
      <w:color w:val="auto"/>
    </w:rPr>
  </w:style>
  <w:style w:type="character" w:styleId="CommentReference">
    <w:name w:val="annotation reference"/>
    <w:basedOn w:val="DefaultParagraphFont"/>
    <w:uiPriority w:val="99"/>
    <w:semiHidden/>
    <w:rsid w:val="009851DC"/>
    <w:rPr>
      <w:sz w:val="16"/>
      <w:szCs w:val="16"/>
    </w:rPr>
  </w:style>
  <w:style w:type="paragraph" w:styleId="Revision">
    <w:name w:val="Revision"/>
    <w:hidden/>
    <w:uiPriority w:val="99"/>
    <w:semiHidden/>
    <w:rsid w:val="000A2DF4"/>
    <w:pPr>
      <w:spacing w:after="0" w:line="240" w:lineRule="auto"/>
    </w:pPr>
    <w:rPr>
      <w:color w:val="000000" w:themeColor="text1"/>
      <w:sz w:val="20"/>
    </w:rPr>
  </w:style>
  <w:style w:type="character" w:styleId="EndnoteReference">
    <w:name w:val="endnote reference"/>
    <w:basedOn w:val="DefaultParagraphFont"/>
    <w:uiPriority w:val="99"/>
    <w:semiHidden/>
    <w:unhideWhenUsed/>
    <w:rsid w:val="00100253"/>
    <w:rPr>
      <w:vertAlign w:val="superscript"/>
    </w:rPr>
  </w:style>
  <w:style w:type="paragraph" w:customStyle="1" w:styleId="pf0">
    <w:name w:val="pf0"/>
    <w:basedOn w:val="Normal"/>
    <w:rsid w:val="002F4B47"/>
    <w:pPr>
      <w:spacing w:before="100" w:beforeAutospacing="1" w:after="100" w:afterAutospacing="1"/>
    </w:pPr>
    <w:rPr>
      <w:rFonts w:ascii="Arial" w:eastAsia="Times New Roman" w:hAnsi="Arial" w:cs="Times New Roman"/>
      <w:color w:val="auto"/>
      <w:sz w:val="22"/>
      <w:szCs w:val="24"/>
      <w:lang w:eastAsia="en-AU"/>
    </w:rPr>
  </w:style>
  <w:style w:type="character" w:customStyle="1" w:styleId="cf01">
    <w:name w:val="cf01"/>
    <w:basedOn w:val="DefaultParagraphFont"/>
    <w:rsid w:val="002F4B47"/>
    <w:rPr>
      <w:rFonts w:ascii="Arial" w:hAnsi="Arial" w:cs="Segoe UI" w:hint="default"/>
      <w:sz w:val="20"/>
      <w:szCs w:val="18"/>
    </w:rPr>
  </w:style>
  <w:style w:type="character" w:customStyle="1" w:styleId="cf11">
    <w:name w:val="cf11"/>
    <w:basedOn w:val="DefaultParagraphFont"/>
    <w:rsid w:val="00CE0DC9"/>
    <w:rPr>
      <w:rFonts w:ascii="Segoe UI" w:hAnsi="Segoe UI" w:cs="Segoe UI" w:hint="default"/>
      <w:i/>
      <w:iCs/>
      <w:sz w:val="18"/>
      <w:szCs w:val="18"/>
    </w:rPr>
  </w:style>
  <w:style w:type="paragraph" w:customStyle="1" w:styleId="CommentText1">
    <w:name w:val="Comment Text1"/>
    <w:basedOn w:val="Normal"/>
    <w:next w:val="CommentText"/>
    <w:uiPriority w:val="99"/>
    <w:semiHidden/>
    <w:rsid w:val="001E25A3"/>
    <w:rPr>
      <w:color w:val="000000"/>
      <w:szCs w:val="20"/>
    </w:rPr>
  </w:style>
  <w:style w:type="character" w:styleId="Mention">
    <w:name w:val="Mention"/>
    <w:basedOn w:val="DefaultParagraphFont"/>
    <w:uiPriority w:val="99"/>
    <w:unhideWhenUsed/>
    <w:rsid w:val="000D70A0"/>
    <w:rPr>
      <w:color w:val="2B579A"/>
      <w:shd w:val="clear" w:color="auto" w:fill="E1DFDD"/>
    </w:rPr>
  </w:style>
  <w:style w:type="paragraph" w:customStyle="1" w:styleId="BodyTextwhite">
    <w:name w:val="Body Textwhite"/>
    <w:basedOn w:val="BodyText"/>
    <w:uiPriority w:val="99"/>
    <w:qFormat/>
    <w:rsid w:val="00AF5800"/>
    <w:pPr>
      <w:jc w:val="both"/>
    </w:pPr>
    <w:rPr>
      <w:color w:val="FFFFFF" w:themeColor="background1"/>
    </w:rPr>
  </w:style>
  <w:style w:type="paragraph" w:customStyle="1" w:styleId="Siyrce">
    <w:name w:val="Siyrce"/>
    <w:basedOn w:val="BodyText"/>
    <w:uiPriority w:val="99"/>
    <w:qFormat/>
    <w:rsid w:val="00446807"/>
    <w:pPr>
      <w:spacing w:after="240"/>
    </w:pPr>
    <w:rPr>
      <w:i/>
      <w:iCs/>
      <w:sz w:val="18"/>
      <w:szCs w:val="20"/>
    </w:rPr>
  </w:style>
  <w:style w:type="paragraph" w:customStyle="1" w:styleId="Appendixheading">
    <w:name w:val="Appendix heading"/>
    <w:next w:val="Normal"/>
    <w:uiPriority w:val="2"/>
    <w:qFormat/>
    <w:rsid w:val="00F92550"/>
    <w:pPr>
      <w:keepNext/>
      <w:keepLines/>
      <w:pageBreakBefore/>
      <w:numPr>
        <w:numId w:val="10"/>
      </w:numPr>
      <w:spacing w:before="240" w:after="240" w:line="192" w:lineRule="auto"/>
      <w:outlineLvl w:val="0"/>
    </w:pPr>
    <w:rPr>
      <w:rFonts w:asciiTheme="majorHAnsi" w:eastAsia="Times New Roman" w:hAnsiTheme="majorHAnsi" w:cs="Times New Roman"/>
      <w:b/>
      <w:color w:val="00338D"/>
      <w:sz w:val="52"/>
      <w:szCs w:val="72"/>
    </w:rPr>
  </w:style>
  <w:style w:type="paragraph" w:customStyle="1" w:styleId="AppendixHeading2">
    <w:name w:val="Appendix Heading 2"/>
    <w:basedOn w:val="Heading2"/>
    <w:next w:val="BodyText"/>
    <w:rsid w:val="009F4A8F"/>
    <w:pPr>
      <w:keepLines w:val="0"/>
      <w:numPr>
        <w:numId w:val="10"/>
      </w:numPr>
      <w:tabs>
        <w:tab w:val="left" w:pos="964"/>
      </w:tabs>
      <w:jc w:val="both"/>
    </w:pPr>
    <w:rPr>
      <w:rFonts w:asciiTheme="minorHAnsi" w:eastAsia="Times New Roman" w:hAnsiTheme="minorHAnsi" w:cs="Times New Roman"/>
      <w:szCs w:val="20"/>
    </w:rPr>
  </w:style>
  <w:style w:type="paragraph" w:customStyle="1" w:styleId="AppendixHeading3">
    <w:name w:val="Appendix Heading 3"/>
    <w:basedOn w:val="Heading3"/>
    <w:next w:val="BodyText"/>
    <w:rsid w:val="00D130EE"/>
    <w:pPr>
      <w:keepLines w:val="0"/>
      <w:numPr>
        <w:numId w:val="10"/>
      </w:numPr>
      <w:tabs>
        <w:tab w:val="left" w:pos="357"/>
      </w:tabs>
      <w:ind w:left="680" w:hanging="680"/>
      <w:jc w:val="both"/>
    </w:pPr>
    <w:rPr>
      <w:rFonts w:ascii="Arial" w:eastAsia="Times New Roman" w:hAnsi="Arial" w:cs="Times New Roman"/>
      <w:color w:val="00338D"/>
      <w:szCs w:val="20"/>
    </w:rPr>
  </w:style>
  <w:style w:type="paragraph" w:customStyle="1" w:styleId="AppendixHeading4">
    <w:name w:val="Appendix Heading 4"/>
    <w:basedOn w:val="Heading4"/>
    <w:next w:val="BodyText"/>
    <w:rsid w:val="008E7CE8"/>
    <w:pPr>
      <w:keepLines w:val="0"/>
      <w:numPr>
        <w:ilvl w:val="3"/>
        <w:numId w:val="10"/>
      </w:numPr>
      <w:tabs>
        <w:tab w:val="left" w:pos="964"/>
      </w:tabs>
      <w:spacing w:before="240"/>
      <w:jc w:val="both"/>
    </w:pPr>
    <w:rPr>
      <w:rFonts w:ascii="Arial" w:eastAsia="Times New Roman" w:hAnsi="Arial" w:cs="Times New Roman"/>
      <w:iCs w:val="0"/>
      <w:color w:val="00338D"/>
      <w:szCs w:val="20"/>
    </w:rPr>
  </w:style>
  <w:style w:type="paragraph" w:customStyle="1" w:styleId="HeadingLevel1NoNumber">
    <w:name w:val="HeadingLevel1NoNumber"/>
    <w:basedOn w:val="Heading1"/>
    <w:next w:val="BodyText"/>
    <w:uiPriority w:val="99"/>
    <w:qFormat/>
    <w:rsid w:val="008E7CE8"/>
    <w:pPr>
      <w:numPr>
        <w:numId w:val="0"/>
      </w:numPr>
    </w:pPr>
  </w:style>
  <w:style w:type="paragraph" w:customStyle="1" w:styleId="Source">
    <w:name w:val="Source"/>
    <w:basedOn w:val="BodyText"/>
    <w:uiPriority w:val="99"/>
    <w:qFormat/>
    <w:rsid w:val="00A72F52"/>
    <w:rPr>
      <w:i/>
      <w:iCs/>
      <w:sz w:val="18"/>
      <w:szCs w:val="20"/>
    </w:rPr>
  </w:style>
  <w:style w:type="paragraph" w:customStyle="1" w:styleId="Bullet1KeyFinding">
    <w:name w:val="Bullet1 Key Finding"/>
    <w:basedOn w:val="BodyText"/>
    <w:uiPriority w:val="99"/>
    <w:qFormat/>
    <w:rsid w:val="00DD708B"/>
    <w:pPr>
      <w:numPr>
        <w:numId w:val="3"/>
      </w:numPr>
    </w:pPr>
    <w:rPr>
      <w:rFonts w:ascii="Arial" w:hAnsi="Arial"/>
    </w:rPr>
  </w:style>
  <w:style w:type="paragraph" w:customStyle="1" w:styleId="Bullet2keyfinding">
    <w:name w:val="Bullet 2 key finding"/>
    <w:basedOn w:val="BodyText"/>
    <w:uiPriority w:val="99"/>
    <w:qFormat/>
    <w:rsid w:val="00913B79"/>
    <w:rPr>
      <w:rFonts w:ascii="Arial" w:hAnsi="Arial"/>
    </w:rPr>
  </w:style>
  <w:style w:type="paragraph" w:customStyle="1" w:styleId="BodyText10">
    <w:name w:val="Body Text1"/>
    <w:link w:val="BodyText1Char"/>
    <w:qFormat/>
    <w:rsid w:val="009A33D8"/>
    <w:pPr>
      <w:spacing w:before="120" w:after="120" w:line="240" w:lineRule="auto"/>
    </w:pPr>
    <w:rPr>
      <w:rFonts w:ascii="Arial" w:hAnsi="Arial"/>
      <w:sz w:val="20"/>
    </w:rPr>
  </w:style>
  <w:style w:type="paragraph" w:customStyle="1" w:styleId="Bodytextquote2strong">
    <w:name w:val="Body text quote 2 (strong)"/>
    <w:basedOn w:val="Bodytext-quote2"/>
    <w:link w:val="Bodytextquote2strongChar"/>
    <w:uiPriority w:val="99"/>
    <w:qFormat/>
    <w:rsid w:val="00E276F1"/>
    <w:rPr>
      <w:b/>
    </w:rPr>
  </w:style>
  <w:style w:type="paragraph" w:customStyle="1" w:styleId="Figuretextheading">
    <w:name w:val="Figure text heading"/>
    <w:basedOn w:val="BodyText"/>
    <w:uiPriority w:val="99"/>
    <w:rsid w:val="005269E3"/>
    <w:pPr>
      <w:spacing w:before="180"/>
    </w:pPr>
    <w:rPr>
      <w:rFonts w:ascii="Arial" w:hAnsi="Arial"/>
      <w:i/>
      <w:color w:val="auto"/>
    </w:rPr>
  </w:style>
  <w:style w:type="character" w:customStyle="1" w:styleId="BodyText1Char">
    <w:name w:val="Body Text1 Char"/>
    <w:link w:val="BodyText10"/>
    <w:rsid w:val="0029466D"/>
    <w:rPr>
      <w:rFonts w:ascii="Arial" w:hAnsi="Arial"/>
      <w:sz w:val="20"/>
    </w:rPr>
  </w:style>
  <w:style w:type="character" w:styleId="Strong">
    <w:name w:val="Strong"/>
    <w:basedOn w:val="DefaultParagraphFont"/>
    <w:uiPriority w:val="22"/>
    <w:qFormat/>
    <w:rsid w:val="00522A03"/>
    <w:rPr>
      <w:b/>
      <w:bCs/>
    </w:rPr>
  </w:style>
  <w:style w:type="character" w:customStyle="1" w:styleId="Bodytext-quote2Char">
    <w:name w:val="Body text - quote 2 Char"/>
    <w:basedOn w:val="DefaultParagraphFont"/>
    <w:link w:val="Bodytext-quote2"/>
    <w:uiPriority w:val="99"/>
    <w:rsid w:val="00DF7929"/>
    <w:rPr>
      <w:color w:val="00338D" w:themeColor="text2"/>
      <w:sz w:val="20"/>
      <w:szCs w:val="24"/>
      <w:shd w:val="clear" w:color="auto" w:fill="E5F9FF"/>
    </w:rPr>
  </w:style>
  <w:style w:type="paragraph" w:customStyle="1" w:styleId="AoCtext">
    <w:name w:val="AoC text"/>
    <w:basedOn w:val="Normal"/>
    <w:uiPriority w:val="99"/>
    <w:qFormat/>
    <w:rsid w:val="006E6752"/>
    <w:pPr>
      <w:spacing w:before="480" w:after="240" w:line="264" w:lineRule="auto"/>
      <w:ind w:left="2977" w:right="142"/>
    </w:pPr>
    <w:rPr>
      <w:rFonts w:ascii="Arial" w:hAnsi="Arial"/>
      <w:b/>
      <w:noProof/>
      <w:color w:val="00338D" w:themeColor="text2"/>
      <w:szCs w:val="20"/>
    </w:rPr>
  </w:style>
  <w:style w:type="paragraph" w:customStyle="1" w:styleId="Summarytext">
    <w:name w:val="Summary text"/>
    <w:basedOn w:val="IntroText"/>
    <w:uiPriority w:val="99"/>
    <w:qFormat/>
    <w:rsid w:val="00034E0A"/>
    <w:pPr>
      <w:pBdr>
        <w:left w:val="single" w:sz="12" w:space="4" w:color="auto"/>
      </w:pBdr>
      <w:shd w:val="clear" w:color="auto" w:fill="F0E6FD" w:themeFill="accent3" w:themeFillTint="1A"/>
      <w:spacing w:before="120" w:after="120" w:line="288" w:lineRule="auto"/>
      <w:ind w:left="113"/>
    </w:pPr>
    <w:rPr>
      <w:rFonts w:ascii="Arial" w:hAnsi="Arial"/>
      <w:b/>
      <w:color w:val="000000" w:themeColor="text1"/>
      <w:sz w:val="22"/>
    </w:rPr>
  </w:style>
  <w:style w:type="paragraph" w:customStyle="1" w:styleId="Heading1AoCNoShow">
    <w:name w:val="Heading 1 AoC No Show"/>
    <w:basedOn w:val="Heading1TOCNoShow"/>
    <w:uiPriority w:val="99"/>
    <w:qFormat/>
    <w:rsid w:val="00BB1293"/>
    <w:pPr>
      <w:ind w:left="2977" w:right="1274"/>
    </w:pPr>
    <w:rPr>
      <w:szCs w:val="48"/>
    </w:rPr>
  </w:style>
  <w:style w:type="paragraph" w:customStyle="1" w:styleId="Caption-Source">
    <w:name w:val="Caption - Source"/>
    <w:basedOn w:val="Caption"/>
    <w:uiPriority w:val="99"/>
    <w:qFormat/>
    <w:rsid w:val="002878E5"/>
    <w:pPr>
      <w:keepNext w:val="0"/>
      <w:spacing w:before="0"/>
    </w:pPr>
    <w:rPr>
      <w:b w:val="0"/>
    </w:rPr>
  </w:style>
  <w:style w:type="paragraph" w:customStyle="1" w:styleId="Bodytext-introduction">
    <w:name w:val="Body text - introduction"/>
    <w:basedOn w:val="BodyText"/>
    <w:uiPriority w:val="99"/>
    <w:qFormat/>
    <w:rsid w:val="0067627A"/>
    <w:pPr>
      <w:pBdr>
        <w:top w:val="single" w:sz="4" w:space="6" w:color="EAEEFC"/>
        <w:left w:val="single" w:sz="4" w:space="4" w:color="EAEEFC"/>
        <w:bottom w:val="single" w:sz="4" w:space="6" w:color="EAEEFC"/>
        <w:right w:val="single" w:sz="4" w:space="4" w:color="EAEEFC"/>
      </w:pBdr>
      <w:shd w:val="clear" w:color="auto" w:fill="E5F9FF"/>
      <w:spacing w:before="240" w:after="240" w:line="300" w:lineRule="auto"/>
      <w:ind w:left="57" w:right="57"/>
    </w:pPr>
    <w:rPr>
      <w:b/>
      <w:bCs/>
      <w:color w:val="00338D" w:themeColor="text2"/>
    </w:rPr>
  </w:style>
  <w:style w:type="paragraph" w:customStyle="1" w:styleId="Heading2nonumber">
    <w:name w:val="Heading 2 no number"/>
    <w:basedOn w:val="Heading2"/>
    <w:uiPriority w:val="99"/>
    <w:qFormat/>
    <w:rsid w:val="00C45BDA"/>
    <w:pPr>
      <w:numPr>
        <w:ilvl w:val="0"/>
        <w:numId w:val="0"/>
      </w:numPr>
      <w:spacing w:after="160"/>
      <w:ind w:left="720" w:hanging="720"/>
    </w:pPr>
  </w:style>
  <w:style w:type="paragraph" w:customStyle="1" w:styleId="HEading3nonumber">
    <w:name w:val="HEading 3 no number"/>
    <w:basedOn w:val="Heading3"/>
    <w:uiPriority w:val="99"/>
    <w:qFormat/>
    <w:rsid w:val="00731939"/>
    <w:pPr>
      <w:numPr>
        <w:ilvl w:val="0"/>
        <w:numId w:val="0"/>
      </w:numPr>
      <w:spacing w:line="192" w:lineRule="auto"/>
    </w:pPr>
    <w:rPr>
      <w:szCs w:val="22"/>
    </w:rPr>
  </w:style>
  <w:style w:type="paragraph" w:customStyle="1" w:styleId="Tabletextbold">
    <w:name w:val="Table text bold"/>
    <w:basedOn w:val="TableText"/>
    <w:uiPriority w:val="99"/>
    <w:qFormat/>
    <w:rsid w:val="00BE0A02"/>
    <w:rPr>
      <w:rFonts w:ascii="Arial" w:hAnsi="Arial"/>
      <w:b/>
    </w:rPr>
  </w:style>
  <w:style w:type="paragraph" w:customStyle="1" w:styleId="Callout-KEQsbulletpoints">
    <w:name w:val="Call out - KEQs bullet points"/>
    <w:basedOn w:val="Bullet1stlevel"/>
    <w:uiPriority w:val="99"/>
    <w:qFormat/>
    <w:rsid w:val="00170627"/>
    <w:pPr>
      <w:numPr>
        <w:numId w:val="0"/>
      </w:numPr>
      <w:pBdr>
        <w:top w:val="single" w:sz="4" w:space="4" w:color="1E49E2" w:themeColor="accent1"/>
        <w:left w:val="single" w:sz="4" w:space="4" w:color="1E49E2" w:themeColor="accent1"/>
        <w:bottom w:val="single" w:sz="4" w:space="4" w:color="1E49E2" w:themeColor="accent1"/>
        <w:right w:val="single" w:sz="4" w:space="4" w:color="1E49E2" w:themeColor="accent1"/>
      </w:pBdr>
      <w:shd w:val="clear" w:color="auto" w:fill="EAEEFC"/>
      <w:tabs>
        <w:tab w:val="num" w:pos="7020"/>
      </w:tabs>
      <w:ind w:left="357" w:hanging="357"/>
    </w:pPr>
  </w:style>
  <w:style w:type="paragraph" w:customStyle="1" w:styleId="Heading2Summaryofkeyfindings">
    <w:name w:val="Heading 2 Summary of key findings"/>
    <w:basedOn w:val="Heading2NoShow"/>
    <w:uiPriority w:val="99"/>
    <w:qFormat/>
    <w:rsid w:val="001C0CFB"/>
    <w:pPr>
      <w:pBdr>
        <w:top w:val="single" w:sz="4" w:space="4" w:color="1E49E2" w:themeColor="accent1"/>
        <w:left w:val="single" w:sz="4" w:space="6" w:color="1E49E2" w:themeColor="accent1"/>
        <w:bottom w:val="single" w:sz="18" w:space="4" w:color="1E49E2" w:themeColor="accent1"/>
        <w:right w:val="single" w:sz="4" w:space="6" w:color="1E49E2" w:themeColor="accent1"/>
      </w:pBdr>
      <w:shd w:val="clear" w:color="auto" w:fill="E5F9FF"/>
    </w:pPr>
    <w:rPr>
      <w:color w:val="00338D" w:themeColor="text2"/>
      <w:sz w:val="24"/>
      <w:lang w:eastAsia="en-AU"/>
    </w:rPr>
  </w:style>
  <w:style w:type="paragraph" w:customStyle="1" w:styleId="Callout-Summaryofkeyfindingbullet">
    <w:name w:val="Call out - Summary of key finding bullet"/>
    <w:basedOn w:val="Bullet1stlevel"/>
    <w:uiPriority w:val="99"/>
    <w:qFormat/>
    <w:rsid w:val="00170627"/>
    <w:pPr>
      <w:pBdr>
        <w:top w:val="single" w:sz="4" w:space="4" w:color="1E49E2" w:themeColor="accent1"/>
        <w:left w:val="single" w:sz="4" w:space="6" w:color="1E49E2" w:themeColor="accent1"/>
        <w:bottom w:val="single" w:sz="18" w:space="4" w:color="1E49E2" w:themeColor="accent1"/>
        <w:right w:val="single" w:sz="4" w:space="6" w:color="1E49E2" w:themeColor="accent1"/>
      </w:pBdr>
      <w:shd w:val="clear" w:color="auto" w:fill="E5F9FF"/>
      <w:spacing w:before="60" w:after="60"/>
      <w:ind w:left="357" w:hanging="357"/>
    </w:pPr>
    <w:rPr>
      <w:rFonts w:eastAsia="Times New Roman" w:cs="Arial"/>
      <w:lang w:eastAsia="en-AU"/>
    </w:rPr>
  </w:style>
  <w:style w:type="character" w:styleId="BookTitle">
    <w:name w:val="Book Title"/>
    <w:basedOn w:val="DefaultParagraphFont"/>
    <w:uiPriority w:val="99"/>
    <w:semiHidden/>
    <w:qFormat/>
    <w:rsid w:val="00FF48F3"/>
    <w:rPr>
      <w:b/>
      <w:bCs/>
      <w:i/>
      <w:iCs/>
      <w:spacing w:val="5"/>
    </w:rPr>
  </w:style>
  <w:style w:type="paragraph" w:customStyle="1" w:styleId="Bodytext-quote2">
    <w:name w:val="Body text - quote 2"/>
    <w:basedOn w:val="Normal"/>
    <w:link w:val="Bodytext-quote2Char"/>
    <w:uiPriority w:val="99"/>
    <w:qFormat/>
    <w:rsid w:val="00DF7929"/>
    <w:pPr>
      <w:pBdr>
        <w:top w:val="single" w:sz="2" w:space="4" w:color="FFFFFF" w:themeColor="background1"/>
        <w:left w:val="single" w:sz="2" w:space="4" w:color="FFFFFF" w:themeColor="background1"/>
        <w:bottom w:val="single" w:sz="2" w:space="4" w:color="FFFFFF" w:themeColor="background1"/>
        <w:right w:val="single" w:sz="2" w:space="4" w:color="FFFFFF" w:themeColor="background1"/>
      </w:pBdr>
      <w:shd w:val="clear" w:color="auto" w:fill="E5F9FF"/>
      <w:tabs>
        <w:tab w:val="left" w:pos="8931"/>
      </w:tabs>
      <w:spacing w:before="240" w:after="0"/>
      <w:ind w:left="142" w:right="284"/>
    </w:pPr>
    <w:rPr>
      <w:color w:val="00338D" w:themeColor="text2"/>
      <w:sz w:val="22"/>
      <w:szCs w:val="24"/>
    </w:rPr>
  </w:style>
  <w:style w:type="paragraph" w:customStyle="1" w:styleId="Bodytext-quote-source2">
    <w:name w:val="Body text - quote - source 2"/>
    <w:basedOn w:val="Bodytext-quote2"/>
    <w:uiPriority w:val="99"/>
    <w:qFormat/>
    <w:rsid w:val="00677ED1"/>
    <w:pPr>
      <w:pBdr>
        <w:bottom w:val="single" w:sz="2" w:space="5" w:color="FFFFFF" w:themeColor="background1"/>
      </w:pBdr>
      <w:spacing w:before="0" w:after="120"/>
    </w:pPr>
    <w:rPr>
      <w:b/>
      <w:bCs/>
    </w:rPr>
  </w:style>
  <w:style w:type="paragraph" w:customStyle="1" w:styleId="Calloutbodytext">
    <w:name w:val="Call out body text"/>
    <w:basedOn w:val="Normal"/>
    <w:uiPriority w:val="99"/>
    <w:qFormat/>
    <w:rsid w:val="00170627"/>
    <w:pPr>
      <w:pBdr>
        <w:top w:val="single" w:sz="4" w:space="4" w:color="1E49E2" w:themeColor="accent1"/>
        <w:left w:val="single" w:sz="4" w:space="6" w:color="1E49E2" w:themeColor="accent1"/>
        <w:bottom w:val="single" w:sz="18" w:space="4" w:color="1E49E2" w:themeColor="accent1"/>
        <w:right w:val="single" w:sz="4" w:space="6" w:color="1E49E2" w:themeColor="accent1"/>
      </w:pBdr>
      <w:shd w:val="clear" w:color="auto" w:fill="E5F9FF"/>
      <w:spacing w:after="120"/>
    </w:pPr>
    <w:rPr>
      <w:rFonts w:eastAsia="Times New Roman" w:cs="Arial"/>
      <w:bCs/>
      <w:noProof/>
      <w:lang w:eastAsia="en-AU"/>
    </w:rPr>
  </w:style>
  <w:style w:type="paragraph" w:customStyle="1" w:styleId="appendixh3nonumber">
    <w:name w:val="appendix h3 no number"/>
    <w:basedOn w:val="AppendixHeading3"/>
    <w:uiPriority w:val="99"/>
    <w:qFormat/>
    <w:rsid w:val="003B4825"/>
    <w:pPr>
      <w:numPr>
        <w:ilvl w:val="0"/>
        <w:numId w:val="0"/>
      </w:numPr>
    </w:pPr>
  </w:style>
  <w:style w:type="character" w:customStyle="1" w:styleId="Bodytextquote2strongChar">
    <w:name w:val="Body text quote 2 (strong) Char"/>
    <w:basedOn w:val="Bodytext-quote2Char"/>
    <w:link w:val="Bodytextquote2strong"/>
    <w:uiPriority w:val="99"/>
    <w:rsid w:val="00E276F1"/>
    <w:rPr>
      <w:b/>
      <w:color w:val="00338D" w:themeColor="text2"/>
      <w:sz w:val="20"/>
      <w:szCs w:val="24"/>
      <w:shd w:val="clear" w:color="auto" w:fill="E5F9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079714">
      <w:bodyDiv w:val="1"/>
      <w:marLeft w:val="0"/>
      <w:marRight w:val="0"/>
      <w:marTop w:val="0"/>
      <w:marBottom w:val="0"/>
      <w:divBdr>
        <w:top w:val="none" w:sz="0" w:space="0" w:color="auto"/>
        <w:left w:val="none" w:sz="0" w:space="0" w:color="auto"/>
        <w:bottom w:val="none" w:sz="0" w:space="0" w:color="auto"/>
        <w:right w:val="none" w:sz="0" w:space="0" w:color="auto"/>
      </w:divBdr>
    </w:div>
    <w:div w:id="14967521">
      <w:bodyDiv w:val="1"/>
      <w:marLeft w:val="0"/>
      <w:marRight w:val="0"/>
      <w:marTop w:val="0"/>
      <w:marBottom w:val="0"/>
      <w:divBdr>
        <w:top w:val="none" w:sz="0" w:space="0" w:color="auto"/>
        <w:left w:val="none" w:sz="0" w:space="0" w:color="auto"/>
        <w:bottom w:val="none" w:sz="0" w:space="0" w:color="auto"/>
        <w:right w:val="none" w:sz="0" w:space="0" w:color="auto"/>
      </w:divBdr>
      <w:divsChild>
        <w:div w:id="2012828514">
          <w:marLeft w:val="274"/>
          <w:marRight w:val="0"/>
          <w:marTop w:val="120"/>
          <w:marBottom w:val="120"/>
          <w:divBdr>
            <w:top w:val="none" w:sz="0" w:space="0" w:color="auto"/>
            <w:left w:val="none" w:sz="0" w:space="0" w:color="auto"/>
            <w:bottom w:val="none" w:sz="0" w:space="0" w:color="auto"/>
            <w:right w:val="none" w:sz="0" w:space="0" w:color="auto"/>
          </w:divBdr>
        </w:div>
      </w:divsChild>
    </w:div>
    <w:div w:id="19746985">
      <w:bodyDiv w:val="1"/>
      <w:marLeft w:val="0"/>
      <w:marRight w:val="0"/>
      <w:marTop w:val="0"/>
      <w:marBottom w:val="0"/>
      <w:divBdr>
        <w:top w:val="none" w:sz="0" w:space="0" w:color="auto"/>
        <w:left w:val="none" w:sz="0" w:space="0" w:color="auto"/>
        <w:bottom w:val="none" w:sz="0" w:space="0" w:color="auto"/>
        <w:right w:val="none" w:sz="0" w:space="0" w:color="auto"/>
      </w:divBdr>
    </w:div>
    <w:div w:id="20595696">
      <w:bodyDiv w:val="1"/>
      <w:marLeft w:val="0"/>
      <w:marRight w:val="0"/>
      <w:marTop w:val="0"/>
      <w:marBottom w:val="0"/>
      <w:divBdr>
        <w:top w:val="none" w:sz="0" w:space="0" w:color="auto"/>
        <w:left w:val="none" w:sz="0" w:space="0" w:color="auto"/>
        <w:bottom w:val="none" w:sz="0" w:space="0" w:color="auto"/>
        <w:right w:val="none" w:sz="0" w:space="0" w:color="auto"/>
      </w:divBdr>
    </w:div>
    <w:div w:id="22051787">
      <w:bodyDiv w:val="1"/>
      <w:marLeft w:val="0"/>
      <w:marRight w:val="0"/>
      <w:marTop w:val="0"/>
      <w:marBottom w:val="0"/>
      <w:divBdr>
        <w:top w:val="none" w:sz="0" w:space="0" w:color="auto"/>
        <w:left w:val="none" w:sz="0" w:space="0" w:color="auto"/>
        <w:bottom w:val="none" w:sz="0" w:space="0" w:color="auto"/>
        <w:right w:val="none" w:sz="0" w:space="0" w:color="auto"/>
      </w:divBdr>
    </w:div>
    <w:div w:id="24529872">
      <w:bodyDiv w:val="1"/>
      <w:marLeft w:val="0"/>
      <w:marRight w:val="0"/>
      <w:marTop w:val="0"/>
      <w:marBottom w:val="0"/>
      <w:divBdr>
        <w:top w:val="none" w:sz="0" w:space="0" w:color="auto"/>
        <w:left w:val="none" w:sz="0" w:space="0" w:color="auto"/>
        <w:bottom w:val="none" w:sz="0" w:space="0" w:color="auto"/>
        <w:right w:val="none" w:sz="0" w:space="0" w:color="auto"/>
      </w:divBdr>
      <w:divsChild>
        <w:div w:id="152112152">
          <w:marLeft w:val="274"/>
          <w:marRight w:val="0"/>
          <w:marTop w:val="0"/>
          <w:marBottom w:val="60"/>
          <w:divBdr>
            <w:top w:val="none" w:sz="0" w:space="0" w:color="auto"/>
            <w:left w:val="none" w:sz="0" w:space="0" w:color="auto"/>
            <w:bottom w:val="none" w:sz="0" w:space="0" w:color="auto"/>
            <w:right w:val="none" w:sz="0" w:space="0" w:color="auto"/>
          </w:divBdr>
        </w:div>
        <w:div w:id="443351794">
          <w:marLeft w:val="274"/>
          <w:marRight w:val="0"/>
          <w:marTop w:val="0"/>
          <w:marBottom w:val="60"/>
          <w:divBdr>
            <w:top w:val="none" w:sz="0" w:space="0" w:color="auto"/>
            <w:left w:val="none" w:sz="0" w:space="0" w:color="auto"/>
            <w:bottom w:val="none" w:sz="0" w:space="0" w:color="auto"/>
            <w:right w:val="none" w:sz="0" w:space="0" w:color="auto"/>
          </w:divBdr>
        </w:div>
        <w:div w:id="615866255">
          <w:marLeft w:val="274"/>
          <w:marRight w:val="0"/>
          <w:marTop w:val="0"/>
          <w:marBottom w:val="60"/>
          <w:divBdr>
            <w:top w:val="none" w:sz="0" w:space="0" w:color="auto"/>
            <w:left w:val="none" w:sz="0" w:space="0" w:color="auto"/>
            <w:bottom w:val="none" w:sz="0" w:space="0" w:color="auto"/>
            <w:right w:val="none" w:sz="0" w:space="0" w:color="auto"/>
          </w:divBdr>
        </w:div>
        <w:div w:id="1701276279">
          <w:marLeft w:val="274"/>
          <w:marRight w:val="0"/>
          <w:marTop w:val="0"/>
          <w:marBottom w:val="60"/>
          <w:divBdr>
            <w:top w:val="none" w:sz="0" w:space="0" w:color="auto"/>
            <w:left w:val="none" w:sz="0" w:space="0" w:color="auto"/>
            <w:bottom w:val="none" w:sz="0" w:space="0" w:color="auto"/>
            <w:right w:val="none" w:sz="0" w:space="0" w:color="auto"/>
          </w:divBdr>
        </w:div>
      </w:divsChild>
    </w:div>
    <w:div w:id="31391826">
      <w:bodyDiv w:val="1"/>
      <w:marLeft w:val="0"/>
      <w:marRight w:val="0"/>
      <w:marTop w:val="0"/>
      <w:marBottom w:val="0"/>
      <w:divBdr>
        <w:top w:val="none" w:sz="0" w:space="0" w:color="auto"/>
        <w:left w:val="none" w:sz="0" w:space="0" w:color="auto"/>
        <w:bottom w:val="none" w:sz="0" w:space="0" w:color="auto"/>
        <w:right w:val="none" w:sz="0" w:space="0" w:color="auto"/>
      </w:divBdr>
    </w:div>
    <w:div w:id="36979168">
      <w:bodyDiv w:val="1"/>
      <w:marLeft w:val="0"/>
      <w:marRight w:val="0"/>
      <w:marTop w:val="0"/>
      <w:marBottom w:val="0"/>
      <w:divBdr>
        <w:top w:val="none" w:sz="0" w:space="0" w:color="auto"/>
        <w:left w:val="none" w:sz="0" w:space="0" w:color="auto"/>
        <w:bottom w:val="none" w:sz="0" w:space="0" w:color="auto"/>
        <w:right w:val="none" w:sz="0" w:space="0" w:color="auto"/>
      </w:divBdr>
    </w:div>
    <w:div w:id="39021069">
      <w:bodyDiv w:val="1"/>
      <w:marLeft w:val="0"/>
      <w:marRight w:val="0"/>
      <w:marTop w:val="0"/>
      <w:marBottom w:val="0"/>
      <w:divBdr>
        <w:top w:val="none" w:sz="0" w:space="0" w:color="auto"/>
        <w:left w:val="none" w:sz="0" w:space="0" w:color="auto"/>
        <w:bottom w:val="none" w:sz="0" w:space="0" w:color="auto"/>
        <w:right w:val="none" w:sz="0" w:space="0" w:color="auto"/>
      </w:divBdr>
    </w:div>
    <w:div w:id="39060271">
      <w:bodyDiv w:val="1"/>
      <w:marLeft w:val="0"/>
      <w:marRight w:val="0"/>
      <w:marTop w:val="0"/>
      <w:marBottom w:val="0"/>
      <w:divBdr>
        <w:top w:val="none" w:sz="0" w:space="0" w:color="auto"/>
        <w:left w:val="none" w:sz="0" w:space="0" w:color="auto"/>
        <w:bottom w:val="none" w:sz="0" w:space="0" w:color="auto"/>
        <w:right w:val="none" w:sz="0" w:space="0" w:color="auto"/>
      </w:divBdr>
    </w:div>
    <w:div w:id="43218959">
      <w:bodyDiv w:val="1"/>
      <w:marLeft w:val="0"/>
      <w:marRight w:val="0"/>
      <w:marTop w:val="0"/>
      <w:marBottom w:val="0"/>
      <w:divBdr>
        <w:top w:val="none" w:sz="0" w:space="0" w:color="auto"/>
        <w:left w:val="none" w:sz="0" w:space="0" w:color="auto"/>
        <w:bottom w:val="none" w:sz="0" w:space="0" w:color="auto"/>
        <w:right w:val="none" w:sz="0" w:space="0" w:color="auto"/>
      </w:divBdr>
      <w:divsChild>
        <w:div w:id="261492108">
          <w:marLeft w:val="274"/>
          <w:marRight w:val="0"/>
          <w:marTop w:val="0"/>
          <w:marBottom w:val="60"/>
          <w:divBdr>
            <w:top w:val="none" w:sz="0" w:space="0" w:color="auto"/>
            <w:left w:val="none" w:sz="0" w:space="0" w:color="auto"/>
            <w:bottom w:val="none" w:sz="0" w:space="0" w:color="auto"/>
            <w:right w:val="none" w:sz="0" w:space="0" w:color="auto"/>
          </w:divBdr>
        </w:div>
        <w:div w:id="577328904">
          <w:marLeft w:val="274"/>
          <w:marRight w:val="0"/>
          <w:marTop w:val="0"/>
          <w:marBottom w:val="60"/>
          <w:divBdr>
            <w:top w:val="none" w:sz="0" w:space="0" w:color="auto"/>
            <w:left w:val="none" w:sz="0" w:space="0" w:color="auto"/>
            <w:bottom w:val="none" w:sz="0" w:space="0" w:color="auto"/>
            <w:right w:val="none" w:sz="0" w:space="0" w:color="auto"/>
          </w:divBdr>
        </w:div>
        <w:div w:id="1566647070">
          <w:marLeft w:val="274"/>
          <w:marRight w:val="0"/>
          <w:marTop w:val="0"/>
          <w:marBottom w:val="60"/>
          <w:divBdr>
            <w:top w:val="none" w:sz="0" w:space="0" w:color="auto"/>
            <w:left w:val="none" w:sz="0" w:space="0" w:color="auto"/>
            <w:bottom w:val="none" w:sz="0" w:space="0" w:color="auto"/>
            <w:right w:val="none" w:sz="0" w:space="0" w:color="auto"/>
          </w:divBdr>
        </w:div>
      </w:divsChild>
    </w:div>
    <w:div w:id="44107493">
      <w:bodyDiv w:val="1"/>
      <w:marLeft w:val="0"/>
      <w:marRight w:val="0"/>
      <w:marTop w:val="0"/>
      <w:marBottom w:val="0"/>
      <w:divBdr>
        <w:top w:val="none" w:sz="0" w:space="0" w:color="auto"/>
        <w:left w:val="none" w:sz="0" w:space="0" w:color="auto"/>
        <w:bottom w:val="none" w:sz="0" w:space="0" w:color="auto"/>
        <w:right w:val="none" w:sz="0" w:space="0" w:color="auto"/>
      </w:divBdr>
      <w:divsChild>
        <w:div w:id="2085369509">
          <w:marLeft w:val="0"/>
          <w:marRight w:val="0"/>
          <w:marTop w:val="0"/>
          <w:marBottom w:val="0"/>
          <w:divBdr>
            <w:top w:val="none" w:sz="0" w:space="0" w:color="auto"/>
            <w:left w:val="none" w:sz="0" w:space="0" w:color="auto"/>
            <w:bottom w:val="none" w:sz="0" w:space="0" w:color="auto"/>
            <w:right w:val="none" w:sz="0" w:space="0" w:color="auto"/>
          </w:divBdr>
          <w:divsChild>
            <w:div w:id="1757283295">
              <w:marLeft w:val="0"/>
              <w:marRight w:val="0"/>
              <w:marTop w:val="0"/>
              <w:marBottom w:val="0"/>
              <w:divBdr>
                <w:top w:val="none" w:sz="0" w:space="0" w:color="auto"/>
                <w:left w:val="none" w:sz="0" w:space="0" w:color="auto"/>
                <w:bottom w:val="none" w:sz="0" w:space="0" w:color="auto"/>
                <w:right w:val="none" w:sz="0" w:space="0" w:color="auto"/>
              </w:divBdr>
              <w:divsChild>
                <w:div w:id="1768188898">
                  <w:marLeft w:val="0"/>
                  <w:marRight w:val="0"/>
                  <w:marTop w:val="0"/>
                  <w:marBottom w:val="0"/>
                  <w:divBdr>
                    <w:top w:val="none" w:sz="0" w:space="0" w:color="auto"/>
                    <w:left w:val="none" w:sz="0" w:space="0" w:color="auto"/>
                    <w:bottom w:val="none" w:sz="0" w:space="0" w:color="auto"/>
                    <w:right w:val="none" w:sz="0" w:space="0" w:color="auto"/>
                  </w:divBdr>
                  <w:divsChild>
                    <w:div w:id="1497530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688060">
      <w:bodyDiv w:val="1"/>
      <w:marLeft w:val="0"/>
      <w:marRight w:val="0"/>
      <w:marTop w:val="0"/>
      <w:marBottom w:val="0"/>
      <w:divBdr>
        <w:top w:val="none" w:sz="0" w:space="0" w:color="auto"/>
        <w:left w:val="none" w:sz="0" w:space="0" w:color="auto"/>
        <w:bottom w:val="none" w:sz="0" w:space="0" w:color="auto"/>
        <w:right w:val="none" w:sz="0" w:space="0" w:color="auto"/>
      </w:divBdr>
      <w:divsChild>
        <w:div w:id="1424717856">
          <w:marLeft w:val="0"/>
          <w:marRight w:val="0"/>
          <w:marTop w:val="0"/>
          <w:marBottom w:val="0"/>
          <w:divBdr>
            <w:top w:val="none" w:sz="0" w:space="0" w:color="auto"/>
            <w:left w:val="none" w:sz="0" w:space="0" w:color="auto"/>
            <w:bottom w:val="none" w:sz="0" w:space="0" w:color="auto"/>
            <w:right w:val="none" w:sz="0" w:space="0" w:color="auto"/>
          </w:divBdr>
          <w:divsChild>
            <w:div w:id="1486967399">
              <w:marLeft w:val="0"/>
              <w:marRight w:val="0"/>
              <w:marTop w:val="0"/>
              <w:marBottom w:val="0"/>
              <w:divBdr>
                <w:top w:val="none" w:sz="0" w:space="0" w:color="auto"/>
                <w:left w:val="none" w:sz="0" w:space="0" w:color="auto"/>
                <w:bottom w:val="none" w:sz="0" w:space="0" w:color="auto"/>
                <w:right w:val="none" w:sz="0" w:space="0" w:color="auto"/>
              </w:divBdr>
              <w:divsChild>
                <w:div w:id="319309724">
                  <w:marLeft w:val="0"/>
                  <w:marRight w:val="0"/>
                  <w:marTop w:val="0"/>
                  <w:marBottom w:val="0"/>
                  <w:divBdr>
                    <w:top w:val="none" w:sz="0" w:space="0" w:color="auto"/>
                    <w:left w:val="none" w:sz="0" w:space="0" w:color="auto"/>
                    <w:bottom w:val="none" w:sz="0" w:space="0" w:color="auto"/>
                    <w:right w:val="none" w:sz="0" w:space="0" w:color="auto"/>
                  </w:divBdr>
                  <w:divsChild>
                    <w:div w:id="1661881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535557">
      <w:bodyDiv w:val="1"/>
      <w:marLeft w:val="0"/>
      <w:marRight w:val="0"/>
      <w:marTop w:val="0"/>
      <w:marBottom w:val="0"/>
      <w:divBdr>
        <w:top w:val="none" w:sz="0" w:space="0" w:color="auto"/>
        <w:left w:val="none" w:sz="0" w:space="0" w:color="auto"/>
        <w:bottom w:val="none" w:sz="0" w:space="0" w:color="auto"/>
        <w:right w:val="none" w:sz="0" w:space="0" w:color="auto"/>
      </w:divBdr>
    </w:div>
    <w:div w:id="52393663">
      <w:bodyDiv w:val="1"/>
      <w:marLeft w:val="0"/>
      <w:marRight w:val="0"/>
      <w:marTop w:val="0"/>
      <w:marBottom w:val="0"/>
      <w:divBdr>
        <w:top w:val="none" w:sz="0" w:space="0" w:color="auto"/>
        <w:left w:val="none" w:sz="0" w:space="0" w:color="auto"/>
        <w:bottom w:val="none" w:sz="0" w:space="0" w:color="auto"/>
        <w:right w:val="none" w:sz="0" w:space="0" w:color="auto"/>
      </w:divBdr>
    </w:div>
    <w:div w:id="53697625">
      <w:bodyDiv w:val="1"/>
      <w:marLeft w:val="0"/>
      <w:marRight w:val="0"/>
      <w:marTop w:val="0"/>
      <w:marBottom w:val="0"/>
      <w:divBdr>
        <w:top w:val="none" w:sz="0" w:space="0" w:color="auto"/>
        <w:left w:val="none" w:sz="0" w:space="0" w:color="auto"/>
        <w:bottom w:val="none" w:sz="0" w:space="0" w:color="auto"/>
        <w:right w:val="none" w:sz="0" w:space="0" w:color="auto"/>
      </w:divBdr>
    </w:div>
    <w:div w:id="59253764">
      <w:bodyDiv w:val="1"/>
      <w:marLeft w:val="0"/>
      <w:marRight w:val="0"/>
      <w:marTop w:val="0"/>
      <w:marBottom w:val="0"/>
      <w:divBdr>
        <w:top w:val="none" w:sz="0" w:space="0" w:color="auto"/>
        <w:left w:val="none" w:sz="0" w:space="0" w:color="auto"/>
        <w:bottom w:val="none" w:sz="0" w:space="0" w:color="auto"/>
        <w:right w:val="none" w:sz="0" w:space="0" w:color="auto"/>
      </w:divBdr>
    </w:div>
    <w:div w:id="60032104">
      <w:bodyDiv w:val="1"/>
      <w:marLeft w:val="0"/>
      <w:marRight w:val="0"/>
      <w:marTop w:val="0"/>
      <w:marBottom w:val="0"/>
      <w:divBdr>
        <w:top w:val="none" w:sz="0" w:space="0" w:color="auto"/>
        <w:left w:val="none" w:sz="0" w:space="0" w:color="auto"/>
        <w:bottom w:val="none" w:sz="0" w:space="0" w:color="auto"/>
        <w:right w:val="none" w:sz="0" w:space="0" w:color="auto"/>
      </w:divBdr>
      <w:divsChild>
        <w:div w:id="53771770">
          <w:marLeft w:val="274"/>
          <w:marRight w:val="0"/>
          <w:marTop w:val="40"/>
          <w:marBottom w:val="40"/>
          <w:divBdr>
            <w:top w:val="none" w:sz="0" w:space="0" w:color="auto"/>
            <w:left w:val="none" w:sz="0" w:space="0" w:color="auto"/>
            <w:bottom w:val="none" w:sz="0" w:space="0" w:color="auto"/>
            <w:right w:val="none" w:sz="0" w:space="0" w:color="auto"/>
          </w:divBdr>
        </w:div>
        <w:div w:id="91248460">
          <w:marLeft w:val="274"/>
          <w:marRight w:val="0"/>
          <w:marTop w:val="40"/>
          <w:marBottom w:val="40"/>
          <w:divBdr>
            <w:top w:val="none" w:sz="0" w:space="0" w:color="auto"/>
            <w:left w:val="none" w:sz="0" w:space="0" w:color="auto"/>
            <w:bottom w:val="none" w:sz="0" w:space="0" w:color="auto"/>
            <w:right w:val="none" w:sz="0" w:space="0" w:color="auto"/>
          </w:divBdr>
        </w:div>
        <w:div w:id="248776772">
          <w:marLeft w:val="274"/>
          <w:marRight w:val="0"/>
          <w:marTop w:val="40"/>
          <w:marBottom w:val="40"/>
          <w:divBdr>
            <w:top w:val="none" w:sz="0" w:space="0" w:color="auto"/>
            <w:left w:val="none" w:sz="0" w:space="0" w:color="auto"/>
            <w:bottom w:val="none" w:sz="0" w:space="0" w:color="auto"/>
            <w:right w:val="none" w:sz="0" w:space="0" w:color="auto"/>
          </w:divBdr>
        </w:div>
        <w:div w:id="1300696018">
          <w:marLeft w:val="274"/>
          <w:marRight w:val="0"/>
          <w:marTop w:val="40"/>
          <w:marBottom w:val="40"/>
          <w:divBdr>
            <w:top w:val="none" w:sz="0" w:space="0" w:color="auto"/>
            <w:left w:val="none" w:sz="0" w:space="0" w:color="auto"/>
            <w:bottom w:val="none" w:sz="0" w:space="0" w:color="auto"/>
            <w:right w:val="none" w:sz="0" w:space="0" w:color="auto"/>
          </w:divBdr>
        </w:div>
        <w:div w:id="1401516371">
          <w:marLeft w:val="274"/>
          <w:marRight w:val="0"/>
          <w:marTop w:val="40"/>
          <w:marBottom w:val="40"/>
          <w:divBdr>
            <w:top w:val="none" w:sz="0" w:space="0" w:color="auto"/>
            <w:left w:val="none" w:sz="0" w:space="0" w:color="auto"/>
            <w:bottom w:val="none" w:sz="0" w:space="0" w:color="auto"/>
            <w:right w:val="none" w:sz="0" w:space="0" w:color="auto"/>
          </w:divBdr>
        </w:div>
        <w:div w:id="1544749143">
          <w:marLeft w:val="274"/>
          <w:marRight w:val="0"/>
          <w:marTop w:val="40"/>
          <w:marBottom w:val="40"/>
          <w:divBdr>
            <w:top w:val="none" w:sz="0" w:space="0" w:color="auto"/>
            <w:left w:val="none" w:sz="0" w:space="0" w:color="auto"/>
            <w:bottom w:val="none" w:sz="0" w:space="0" w:color="auto"/>
            <w:right w:val="none" w:sz="0" w:space="0" w:color="auto"/>
          </w:divBdr>
        </w:div>
        <w:div w:id="1870873589">
          <w:marLeft w:val="274"/>
          <w:marRight w:val="0"/>
          <w:marTop w:val="40"/>
          <w:marBottom w:val="40"/>
          <w:divBdr>
            <w:top w:val="none" w:sz="0" w:space="0" w:color="auto"/>
            <w:left w:val="none" w:sz="0" w:space="0" w:color="auto"/>
            <w:bottom w:val="none" w:sz="0" w:space="0" w:color="auto"/>
            <w:right w:val="none" w:sz="0" w:space="0" w:color="auto"/>
          </w:divBdr>
        </w:div>
      </w:divsChild>
    </w:div>
    <w:div w:id="61102742">
      <w:bodyDiv w:val="1"/>
      <w:marLeft w:val="0"/>
      <w:marRight w:val="0"/>
      <w:marTop w:val="0"/>
      <w:marBottom w:val="0"/>
      <w:divBdr>
        <w:top w:val="none" w:sz="0" w:space="0" w:color="auto"/>
        <w:left w:val="none" w:sz="0" w:space="0" w:color="auto"/>
        <w:bottom w:val="none" w:sz="0" w:space="0" w:color="auto"/>
        <w:right w:val="none" w:sz="0" w:space="0" w:color="auto"/>
      </w:divBdr>
    </w:div>
    <w:div w:id="61950097">
      <w:bodyDiv w:val="1"/>
      <w:marLeft w:val="0"/>
      <w:marRight w:val="0"/>
      <w:marTop w:val="0"/>
      <w:marBottom w:val="0"/>
      <w:divBdr>
        <w:top w:val="none" w:sz="0" w:space="0" w:color="auto"/>
        <w:left w:val="none" w:sz="0" w:space="0" w:color="auto"/>
        <w:bottom w:val="none" w:sz="0" w:space="0" w:color="auto"/>
        <w:right w:val="none" w:sz="0" w:space="0" w:color="auto"/>
      </w:divBdr>
    </w:div>
    <w:div w:id="69548241">
      <w:bodyDiv w:val="1"/>
      <w:marLeft w:val="0"/>
      <w:marRight w:val="0"/>
      <w:marTop w:val="0"/>
      <w:marBottom w:val="0"/>
      <w:divBdr>
        <w:top w:val="none" w:sz="0" w:space="0" w:color="auto"/>
        <w:left w:val="none" w:sz="0" w:space="0" w:color="auto"/>
        <w:bottom w:val="none" w:sz="0" w:space="0" w:color="auto"/>
        <w:right w:val="none" w:sz="0" w:space="0" w:color="auto"/>
      </w:divBdr>
    </w:div>
    <w:div w:id="70733726">
      <w:bodyDiv w:val="1"/>
      <w:marLeft w:val="0"/>
      <w:marRight w:val="0"/>
      <w:marTop w:val="0"/>
      <w:marBottom w:val="0"/>
      <w:divBdr>
        <w:top w:val="none" w:sz="0" w:space="0" w:color="auto"/>
        <w:left w:val="none" w:sz="0" w:space="0" w:color="auto"/>
        <w:bottom w:val="none" w:sz="0" w:space="0" w:color="auto"/>
        <w:right w:val="none" w:sz="0" w:space="0" w:color="auto"/>
      </w:divBdr>
      <w:divsChild>
        <w:div w:id="1660376823">
          <w:marLeft w:val="274"/>
          <w:marRight w:val="0"/>
          <w:marTop w:val="0"/>
          <w:marBottom w:val="160"/>
          <w:divBdr>
            <w:top w:val="none" w:sz="0" w:space="0" w:color="auto"/>
            <w:left w:val="none" w:sz="0" w:space="0" w:color="auto"/>
            <w:bottom w:val="none" w:sz="0" w:space="0" w:color="auto"/>
            <w:right w:val="none" w:sz="0" w:space="0" w:color="auto"/>
          </w:divBdr>
        </w:div>
        <w:div w:id="1867714674">
          <w:marLeft w:val="274"/>
          <w:marRight w:val="0"/>
          <w:marTop w:val="0"/>
          <w:marBottom w:val="160"/>
          <w:divBdr>
            <w:top w:val="none" w:sz="0" w:space="0" w:color="auto"/>
            <w:left w:val="none" w:sz="0" w:space="0" w:color="auto"/>
            <w:bottom w:val="none" w:sz="0" w:space="0" w:color="auto"/>
            <w:right w:val="none" w:sz="0" w:space="0" w:color="auto"/>
          </w:divBdr>
        </w:div>
        <w:div w:id="2114670505">
          <w:marLeft w:val="274"/>
          <w:marRight w:val="0"/>
          <w:marTop w:val="0"/>
          <w:marBottom w:val="160"/>
          <w:divBdr>
            <w:top w:val="none" w:sz="0" w:space="0" w:color="auto"/>
            <w:left w:val="none" w:sz="0" w:space="0" w:color="auto"/>
            <w:bottom w:val="none" w:sz="0" w:space="0" w:color="auto"/>
            <w:right w:val="none" w:sz="0" w:space="0" w:color="auto"/>
          </w:divBdr>
        </w:div>
      </w:divsChild>
    </w:div>
    <w:div w:id="82654781">
      <w:bodyDiv w:val="1"/>
      <w:marLeft w:val="0"/>
      <w:marRight w:val="0"/>
      <w:marTop w:val="0"/>
      <w:marBottom w:val="0"/>
      <w:divBdr>
        <w:top w:val="none" w:sz="0" w:space="0" w:color="auto"/>
        <w:left w:val="none" w:sz="0" w:space="0" w:color="auto"/>
        <w:bottom w:val="none" w:sz="0" w:space="0" w:color="auto"/>
        <w:right w:val="none" w:sz="0" w:space="0" w:color="auto"/>
      </w:divBdr>
    </w:div>
    <w:div w:id="82847357">
      <w:bodyDiv w:val="1"/>
      <w:marLeft w:val="0"/>
      <w:marRight w:val="0"/>
      <w:marTop w:val="0"/>
      <w:marBottom w:val="0"/>
      <w:divBdr>
        <w:top w:val="none" w:sz="0" w:space="0" w:color="auto"/>
        <w:left w:val="none" w:sz="0" w:space="0" w:color="auto"/>
        <w:bottom w:val="none" w:sz="0" w:space="0" w:color="auto"/>
        <w:right w:val="none" w:sz="0" w:space="0" w:color="auto"/>
      </w:divBdr>
      <w:divsChild>
        <w:div w:id="13920438">
          <w:marLeft w:val="490"/>
          <w:marRight w:val="0"/>
          <w:marTop w:val="0"/>
          <w:marBottom w:val="40"/>
          <w:divBdr>
            <w:top w:val="none" w:sz="0" w:space="0" w:color="auto"/>
            <w:left w:val="none" w:sz="0" w:space="0" w:color="auto"/>
            <w:bottom w:val="none" w:sz="0" w:space="0" w:color="auto"/>
            <w:right w:val="none" w:sz="0" w:space="0" w:color="auto"/>
          </w:divBdr>
        </w:div>
        <w:div w:id="364991493">
          <w:marLeft w:val="490"/>
          <w:marRight w:val="0"/>
          <w:marTop w:val="0"/>
          <w:marBottom w:val="40"/>
          <w:divBdr>
            <w:top w:val="none" w:sz="0" w:space="0" w:color="auto"/>
            <w:left w:val="none" w:sz="0" w:space="0" w:color="auto"/>
            <w:bottom w:val="none" w:sz="0" w:space="0" w:color="auto"/>
            <w:right w:val="none" w:sz="0" w:space="0" w:color="auto"/>
          </w:divBdr>
        </w:div>
        <w:div w:id="521824428">
          <w:marLeft w:val="490"/>
          <w:marRight w:val="0"/>
          <w:marTop w:val="0"/>
          <w:marBottom w:val="40"/>
          <w:divBdr>
            <w:top w:val="none" w:sz="0" w:space="0" w:color="auto"/>
            <w:left w:val="none" w:sz="0" w:space="0" w:color="auto"/>
            <w:bottom w:val="none" w:sz="0" w:space="0" w:color="auto"/>
            <w:right w:val="none" w:sz="0" w:space="0" w:color="auto"/>
          </w:divBdr>
        </w:div>
        <w:div w:id="635373121">
          <w:marLeft w:val="274"/>
          <w:marRight w:val="0"/>
          <w:marTop w:val="0"/>
          <w:marBottom w:val="40"/>
          <w:divBdr>
            <w:top w:val="none" w:sz="0" w:space="0" w:color="auto"/>
            <w:left w:val="none" w:sz="0" w:space="0" w:color="auto"/>
            <w:bottom w:val="none" w:sz="0" w:space="0" w:color="auto"/>
            <w:right w:val="none" w:sz="0" w:space="0" w:color="auto"/>
          </w:divBdr>
        </w:div>
        <w:div w:id="669913831">
          <w:marLeft w:val="490"/>
          <w:marRight w:val="0"/>
          <w:marTop w:val="0"/>
          <w:marBottom w:val="40"/>
          <w:divBdr>
            <w:top w:val="none" w:sz="0" w:space="0" w:color="auto"/>
            <w:left w:val="none" w:sz="0" w:space="0" w:color="auto"/>
            <w:bottom w:val="none" w:sz="0" w:space="0" w:color="auto"/>
            <w:right w:val="none" w:sz="0" w:space="0" w:color="auto"/>
          </w:divBdr>
        </w:div>
        <w:div w:id="694161098">
          <w:marLeft w:val="490"/>
          <w:marRight w:val="0"/>
          <w:marTop w:val="0"/>
          <w:marBottom w:val="40"/>
          <w:divBdr>
            <w:top w:val="none" w:sz="0" w:space="0" w:color="auto"/>
            <w:left w:val="none" w:sz="0" w:space="0" w:color="auto"/>
            <w:bottom w:val="none" w:sz="0" w:space="0" w:color="auto"/>
            <w:right w:val="none" w:sz="0" w:space="0" w:color="auto"/>
          </w:divBdr>
        </w:div>
        <w:div w:id="723408881">
          <w:marLeft w:val="490"/>
          <w:marRight w:val="0"/>
          <w:marTop w:val="0"/>
          <w:marBottom w:val="40"/>
          <w:divBdr>
            <w:top w:val="none" w:sz="0" w:space="0" w:color="auto"/>
            <w:left w:val="none" w:sz="0" w:space="0" w:color="auto"/>
            <w:bottom w:val="none" w:sz="0" w:space="0" w:color="auto"/>
            <w:right w:val="none" w:sz="0" w:space="0" w:color="auto"/>
          </w:divBdr>
        </w:div>
        <w:div w:id="805315266">
          <w:marLeft w:val="490"/>
          <w:marRight w:val="0"/>
          <w:marTop w:val="0"/>
          <w:marBottom w:val="40"/>
          <w:divBdr>
            <w:top w:val="none" w:sz="0" w:space="0" w:color="auto"/>
            <w:left w:val="none" w:sz="0" w:space="0" w:color="auto"/>
            <w:bottom w:val="none" w:sz="0" w:space="0" w:color="auto"/>
            <w:right w:val="none" w:sz="0" w:space="0" w:color="auto"/>
          </w:divBdr>
        </w:div>
        <w:div w:id="1248072580">
          <w:marLeft w:val="274"/>
          <w:marRight w:val="0"/>
          <w:marTop w:val="0"/>
          <w:marBottom w:val="40"/>
          <w:divBdr>
            <w:top w:val="none" w:sz="0" w:space="0" w:color="auto"/>
            <w:left w:val="none" w:sz="0" w:space="0" w:color="auto"/>
            <w:bottom w:val="none" w:sz="0" w:space="0" w:color="auto"/>
            <w:right w:val="none" w:sz="0" w:space="0" w:color="auto"/>
          </w:divBdr>
        </w:div>
        <w:div w:id="1255555524">
          <w:marLeft w:val="274"/>
          <w:marRight w:val="0"/>
          <w:marTop w:val="0"/>
          <w:marBottom w:val="40"/>
          <w:divBdr>
            <w:top w:val="none" w:sz="0" w:space="0" w:color="auto"/>
            <w:left w:val="none" w:sz="0" w:space="0" w:color="auto"/>
            <w:bottom w:val="none" w:sz="0" w:space="0" w:color="auto"/>
            <w:right w:val="none" w:sz="0" w:space="0" w:color="auto"/>
          </w:divBdr>
        </w:div>
        <w:div w:id="1545945525">
          <w:marLeft w:val="490"/>
          <w:marRight w:val="0"/>
          <w:marTop w:val="0"/>
          <w:marBottom w:val="40"/>
          <w:divBdr>
            <w:top w:val="none" w:sz="0" w:space="0" w:color="auto"/>
            <w:left w:val="none" w:sz="0" w:space="0" w:color="auto"/>
            <w:bottom w:val="none" w:sz="0" w:space="0" w:color="auto"/>
            <w:right w:val="none" w:sz="0" w:space="0" w:color="auto"/>
          </w:divBdr>
        </w:div>
        <w:div w:id="1630746664">
          <w:marLeft w:val="490"/>
          <w:marRight w:val="0"/>
          <w:marTop w:val="0"/>
          <w:marBottom w:val="40"/>
          <w:divBdr>
            <w:top w:val="none" w:sz="0" w:space="0" w:color="auto"/>
            <w:left w:val="none" w:sz="0" w:space="0" w:color="auto"/>
            <w:bottom w:val="none" w:sz="0" w:space="0" w:color="auto"/>
            <w:right w:val="none" w:sz="0" w:space="0" w:color="auto"/>
          </w:divBdr>
        </w:div>
        <w:div w:id="1663191492">
          <w:marLeft w:val="274"/>
          <w:marRight w:val="0"/>
          <w:marTop w:val="0"/>
          <w:marBottom w:val="40"/>
          <w:divBdr>
            <w:top w:val="none" w:sz="0" w:space="0" w:color="auto"/>
            <w:left w:val="none" w:sz="0" w:space="0" w:color="auto"/>
            <w:bottom w:val="none" w:sz="0" w:space="0" w:color="auto"/>
            <w:right w:val="none" w:sz="0" w:space="0" w:color="auto"/>
          </w:divBdr>
        </w:div>
        <w:div w:id="2048294832">
          <w:marLeft w:val="490"/>
          <w:marRight w:val="0"/>
          <w:marTop w:val="0"/>
          <w:marBottom w:val="40"/>
          <w:divBdr>
            <w:top w:val="none" w:sz="0" w:space="0" w:color="auto"/>
            <w:left w:val="none" w:sz="0" w:space="0" w:color="auto"/>
            <w:bottom w:val="none" w:sz="0" w:space="0" w:color="auto"/>
            <w:right w:val="none" w:sz="0" w:space="0" w:color="auto"/>
          </w:divBdr>
        </w:div>
      </w:divsChild>
    </w:div>
    <w:div w:id="84767100">
      <w:bodyDiv w:val="1"/>
      <w:marLeft w:val="0"/>
      <w:marRight w:val="0"/>
      <w:marTop w:val="0"/>
      <w:marBottom w:val="0"/>
      <w:divBdr>
        <w:top w:val="none" w:sz="0" w:space="0" w:color="auto"/>
        <w:left w:val="none" w:sz="0" w:space="0" w:color="auto"/>
        <w:bottom w:val="none" w:sz="0" w:space="0" w:color="auto"/>
        <w:right w:val="none" w:sz="0" w:space="0" w:color="auto"/>
      </w:divBdr>
    </w:div>
    <w:div w:id="91170530">
      <w:bodyDiv w:val="1"/>
      <w:marLeft w:val="0"/>
      <w:marRight w:val="0"/>
      <w:marTop w:val="0"/>
      <w:marBottom w:val="0"/>
      <w:divBdr>
        <w:top w:val="none" w:sz="0" w:space="0" w:color="auto"/>
        <w:left w:val="none" w:sz="0" w:space="0" w:color="auto"/>
        <w:bottom w:val="none" w:sz="0" w:space="0" w:color="auto"/>
        <w:right w:val="none" w:sz="0" w:space="0" w:color="auto"/>
      </w:divBdr>
    </w:div>
    <w:div w:id="93792069">
      <w:bodyDiv w:val="1"/>
      <w:marLeft w:val="0"/>
      <w:marRight w:val="0"/>
      <w:marTop w:val="0"/>
      <w:marBottom w:val="0"/>
      <w:divBdr>
        <w:top w:val="none" w:sz="0" w:space="0" w:color="auto"/>
        <w:left w:val="none" w:sz="0" w:space="0" w:color="auto"/>
        <w:bottom w:val="none" w:sz="0" w:space="0" w:color="auto"/>
        <w:right w:val="none" w:sz="0" w:space="0" w:color="auto"/>
      </w:divBdr>
    </w:div>
    <w:div w:id="95365627">
      <w:bodyDiv w:val="1"/>
      <w:marLeft w:val="0"/>
      <w:marRight w:val="0"/>
      <w:marTop w:val="0"/>
      <w:marBottom w:val="0"/>
      <w:divBdr>
        <w:top w:val="none" w:sz="0" w:space="0" w:color="auto"/>
        <w:left w:val="none" w:sz="0" w:space="0" w:color="auto"/>
        <w:bottom w:val="none" w:sz="0" w:space="0" w:color="auto"/>
        <w:right w:val="none" w:sz="0" w:space="0" w:color="auto"/>
      </w:divBdr>
    </w:div>
    <w:div w:id="95715109">
      <w:bodyDiv w:val="1"/>
      <w:marLeft w:val="0"/>
      <w:marRight w:val="0"/>
      <w:marTop w:val="0"/>
      <w:marBottom w:val="0"/>
      <w:divBdr>
        <w:top w:val="none" w:sz="0" w:space="0" w:color="auto"/>
        <w:left w:val="none" w:sz="0" w:space="0" w:color="auto"/>
        <w:bottom w:val="none" w:sz="0" w:space="0" w:color="auto"/>
        <w:right w:val="none" w:sz="0" w:space="0" w:color="auto"/>
      </w:divBdr>
      <w:divsChild>
        <w:div w:id="1020934091">
          <w:marLeft w:val="274"/>
          <w:marRight w:val="0"/>
          <w:marTop w:val="0"/>
          <w:marBottom w:val="0"/>
          <w:divBdr>
            <w:top w:val="none" w:sz="0" w:space="0" w:color="auto"/>
            <w:left w:val="none" w:sz="0" w:space="0" w:color="auto"/>
            <w:bottom w:val="none" w:sz="0" w:space="0" w:color="auto"/>
            <w:right w:val="none" w:sz="0" w:space="0" w:color="auto"/>
          </w:divBdr>
        </w:div>
      </w:divsChild>
    </w:div>
    <w:div w:id="109323184">
      <w:bodyDiv w:val="1"/>
      <w:marLeft w:val="0"/>
      <w:marRight w:val="0"/>
      <w:marTop w:val="0"/>
      <w:marBottom w:val="0"/>
      <w:divBdr>
        <w:top w:val="none" w:sz="0" w:space="0" w:color="auto"/>
        <w:left w:val="none" w:sz="0" w:space="0" w:color="auto"/>
        <w:bottom w:val="none" w:sz="0" w:space="0" w:color="auto"/>
        <w:right w:val="none" w:sz="0" w:space="0" w:color="auto"/>
      </w:divBdr>
    </w:div>
    <w:div w:id="113595850">
      <w:bodyDiv w:val="1"/>
      <w:marLeft w:val="0"/>
      <w:marRight w:val="0"/>
      <w:marTop w:val="0"/>
      <w:marBottom w:val="0"/>
      <w:divBdr>
        <w:top w:val="none" w:sz="0" w:space="0" w:color="auto"/>
        <w:left w:val="none" w:sz="0" w:space="0" w:color="auto"/>
        <w:bottom w:val="none" w:sz="0" w:space="0" w:color="auto"/>
        <w:right w:val="none" w:sz="0" w:space="0" w:color="auto"/>
      </w:divBdr>
    </w:div>
    <w:div w:id="115223558">
      <w:bodyDiv w:val="1"/>
      <w:marLeft w:val="0"/>
      <w:marRight w:val="0"/>
      <w:marTop w:val="0"/>
      <w:marBottom w:val="0"/>
      <w:divBdr>
        <w:top w:val="none" w:sz="0" w:space="0" w:color="auto"/>
        <w:left w:val="none" w:sz="0" w:space="0" w:color="auto"/>
        <w:bottom w:val="none" w:sz="0" w:space="0" w:color="auto"/>
        <w:right w:val="none" w:sz="0" w:space="0" w:color="auto"/>
      </w:divBdr>
    </w:div>
    <w:div w:id="121777955">
      <w:bodyDiv w:val="1"/>
      <w:marLeft w:val="0"/>
      <w:marRight w:val="0"/>
      <w:marTop w:val="0"/>
      <w:marBottom w:val="0"/>
      <w:divBdr>
        <w:top w:val="none" w:sz="0" w:space="0" w:color="auto"/>
        <w:left w:val="none" w:sz="0" w:space="0" w:color="auto"/>
        <w:bottom w:val="none" w:sz="0" w:space="0" w:color="auto"/>
        <w:right w:val="none" w:sz="0" w:space="0" w:color="auto"/>
      </w:divBdr>
      <w:divsChild>
        <w:div w:id="667903033">
          <w:marLeft w:val="274"/>
          <w:marRight w:val="0"/>
          <w:marTop w:val="0"/>
          <w:marBottom w:val="0"/>
          <w:divBdr>
            <w:top w:val="none" w:sz="0" w:space="0" w:color="auto"/>
            <w:left w:val="none" w:sz="0" w:space="0" w:color="auto"/>
            <w:bottom w:val="none" w:sz="0" w:space="0" w:color="auto"/>
            <w:right w:val="none" w:sz="0" w:space="0" w:color="auto"/>
          </w:divBdr>
        </w:div>
        <w:div w:id="1918396236">
          <w:marLeft w:val="274"/>
          <w:marRight w:val="0"/>
          <w:marTop w:val="0"/>
          <w:marBottom w:val="0"/>
          <w:divBdr>
            <w:top w:val="none" w:sz="0" w:space="0" w:color="auto"/>
            <w:left w:val="none" w:sz="0" w:space="0" w:color="auto"/>
            <w:bottom w:val="none" w:sz="0" w:space="0" w:color="auto"/>
            <w:right w:val="none" w:sz="0" w:space="0" w:color="auto"/>
          </w:divBdr>
        </w:div>
      </w:divsChild>
    </w:div>
    <w:div w:id="127476267">
      <w:bodyDiv w:val="1"/>
      <w:marLeft w:val="0"/>
      <w:marRight w:val="0"/>
      <w:marTop w:val="0"/>
      <w:marBottom w:val="0"/>
      <w:divBdr>
        <w:top w:val="none" w:sz="0" w:space="0" w:color="auto"/>
        <w:left w:val="none" w:sz="0" w:space="0" w:color="auto"/>
        <w:bottom w:val="none" w:sz="0" w:space="0" w:color="auto"/>
        <w:right w:val="none" w:sz="0" w:space="0" w:color="auto"/>
      </w:divBdr>
    </w:div>
    <w:div w:id="133062841">
      <w:bodyDiv w:val="1"/>
      <w:marLeft w:val="0"/>
      <w:marRight w:val="0"/>
      <w:marTop w:val="0"/>
      <w:marBottom w:val="0"/>
      <w:divBdr>
        <w:top w:val="none" w:sz="0" w:space="0" w:color="auto"/>
        <w:left w:val="none" w:sz="0" w:space="0" w:color="auto"/>
        <w:bottom w:val="none" w:sz="0" w:space="0" w:color="auto"/>
        <w:right w:val="none" w:sz="0" w:space="0" w:color="auto"/>
      </w:divBdr>
    </w:div>
    <w:div w:id="135491531">
      <w:bodyDiv w:val="1"/>
      <w:marLeft w:val="0"/>
      <w:marRight w:val="0"/>
      <w:marTop w:val="0"/>
      <w:marBottom w:val="0"/>
      <w:divBdr>
        <w:top w:val="none" w:sz="0" w:space="0" w:color="auto"/>
        <w:left w:val="none" w:sz="0" w:space="0" w:color="auto"/>
        <w:bottom w:val="none" w:sz="0" w:space="0" w:color="auto"/>
        <w:right w:val="none" w:sz="0" w:space="0" w:color="auto"/>
      </w:divBdr>
    </w:div>
    <w:div w:id="136723278">
      <w:bodyDiv w:val="1"/>
      <w:marLeft w:val="0"/>
      <w:marRight w:val="0"/>
      <w:marTop w:val="0"/>
      <w:marBottom w:val="0"/>
      <w:divBdr>
        <w:top w:val="none" w:sz="0" w:space="0" w:color="auto"/>
        <w:left w:val="none" w:sz="0" w:space="0" w:color="auto"/>
        <w:bottom w:val="none" w:sz="0" w:space="0" w:color="auto"/>
        <w:right w:val="none" w:sz="0" w:space="0" w:color="auto"/>
      </w:divBdr>
    </w:div>
    <w:div w:id="139732484">
      <w:bodyDiv w:val="1"/>
      <w:marLeft w:val="0"/>
      <w:marRight w:val="0"/>
      <w:marTop w:val="0"/>
      <w:marBottom w:val="0"/>
      <w:divBdr>
        <w:top w:val="none" w:sz="0" w:space="0" w:color="auto"/>
        <w:left w:val="none" w:sz="0" w:space="0" w:color="auto"/>
        <w:bottom w:val="none" w:sz="0" w:space="0" w:color="auto"/>
        <w:right w:val="none" w:sz="0" w:space="0" w:color="auto"/>
      </w:divBdr>
    </w:div>
    <w:div w:id="154146203">
      <w:bodyDiv w:val="1"/>
      <w:marLeft w:val="0"/>
      <w:marRight w:val="0"/>
      <w:marTop w:val="0"/>
      <w:marBottom w:val="0"/>
      <w:divBdr>
        <w:top w:val="none" w:sz="0" w:space="0" w:color="auto"/>
        <w:left w:val="none" w:sz="0" w:space="0" w:color="auto"/>
        <w:bottom w:val="none" w:sz="0" w:space="0" w:color="auto"/>
        <w:right w:val="none" w:sz="0" w:space="0" w:color="auto"/>
      </w:divBdr>
    </w:div>
    <w:div w:id="154345142">
      <w:bodyDiv w:val="1"/>
      <w:marLeft w:val="0"/>
      <w:marRight w:val="0"/>
      <w:marTop w:val="0"/>
      <w:marBottom w:val="0"/>
      <w:divBdr>
        <w:top w:val="none" w:sz="0" w:space="0" w:color="auto"/>
        <w:left w:val="none" w:sz="0" w:space="0" w:color="auto"/>
        <w:bottom w:val="none" w:sz="0" w:space="0" w:color="auto"/>
        <w:right w:val="none" w:sz="0" w:space="0" w:color="auto"/>
      </w:divBdr>
    </w:div>
    <w:div w:id="156314100">
      <w:bodyDiv w:val="1"/>
      <w:marLeft w:val="0"/>
      <w:marRight w:val="0"/>
      <w:marTop w:val="0"/>
      <w:marBottom w:val="0"/>
      <w:divBdr>
        <w:top w:val="none" w:sz="0" w:space="0" w:color="auto"/>
        <w:left w:val="none" w:sz="0" w:space="0" w:color="auto"/>
        <w:bottom w:val="none" w:sz="0" w:space="0" w:color="auto"/>
        <w:right w:val="none" w:sz="0" w:space="0" w:color="auto"/>
      </w:divBdr>
    </w:div>
    <w:div w:id="157308813">
      <w:bodyDiv w:val="1"/>
      <w:marLeft w:val="0"/>
      <w:marRight w:val="0"/>
      <w:marTop w:val="0"/>
      <w:marBottom w:val="0"/>
      <w:divBdr>
        <w:top w:val="none" w:sz="0" w:space="0" w:color="auto"/>
        <w:left w:val="none" w:sz="0" w:space="0" w:color="auto"/>
        <w:bottom w:val="none" w:sz="0" w:space="0" w:color="auto"/>
        <w:right w:val="none" w:sz="0" w:space="0" w:color="auto"/>
      </w:divBdr>
    </w:div>
    <w:div w:id="158617420">
      <w:bodyDiv w:val="1"/>
      <w:marLeft w:val="0"/>
      <w:marRight w:val="0"/>
      <w:marTop w:val="0"/>
      <w:marBottom w:val="0"/>
      <w:divBdr>
        <w:top w:val="none" w:sz="0" w:space="0" w:color="auto"/>
        <w:left w:val="none" w:sz="0" w:space="0" w:color="auto"/>
        <w:bottom w:val="none" w:sz="0" w:space="0" w:color="auto"/>
        <w:right w:val="none" w:sz="0" w:space="0" w:color="auto"/>
      </w:divBdr>
    </w:div>
    <w:div w:id="164785496">
      <w:bodyDiv w:val="1"/>
      <w:marLeft w:val="0"/>
      <w:marRight w:val="0"/>
      <w:marTop w:val="0"/>
      <w:marBottom w:val="0"/>
      <w:divBdr>
        <w:top w:val="none" w:sz="0" w:space="0" w:color="auto"/>
        <w:left w:val="none" w:sz="0" w:space="0" w:color="auto"/>
        <w:bottom w:val="none" w:sz="0" w:space="0" w:color="auto"/>
        <w:right w:val="none" w:sz="0" w:space="0" w:color="auto"/>
      </w:divBdr>
    </w:div>
    <w:div w:id="166024855">
      <w:bodyDiv w:val="1"/>
      <w:marLeft w:val="0"/>
      <w:marRight w:val="0"/>
      <w:marTop w:val="0"/>
      <w:marBottom w:val="0"/>
      <w:divBdr>
        <w:top w:val="none" w:sz="0" w:space="0" w:color="auto"/>
        <w:left w:val="none" w:sz="0" w:space="0" w:color="auto"/>
        <w:bottom w:val="none" w:sz="0" w:space="0" w:color="auto"/>
        <w:right w:val="none" w:sz="0" w:space="0" w:color="auto"/>
      </w:divBdr>
    </w:div>
    <w:div w:id="176239578">
      <w:bodyDiv w:val="1"/>
      <w:marLeft w:val="0"/>
      <w:marRight w:val="0"/>
      <w:marTop w:val="0"/>
      <w:marBottom w:val="0"/>
      <w:divBdr>
        <w:top w:val="none" w:sz="0" w:space="0" w:color="auto"/>
        <w:left w:val="none" w:sz="0" w:space="0" w:color="auto"/>
        <w:bottom w:val="none" w:sz="0" w:space="0" w:color="auto"/>
        <w:right w:val="none" w:sz="0" w:space="0" w:color="auto"/>
      </w:divBdr>
      <w:divsChild>
        <w:div w:id="807091576">
          <w:marLeft w:val="274"/>
          <w:marRight w:val="0"/>
          <w:marTop w:val="0"/>
          <w:marBottom w:val="40"/>
          <w:divBdr>
            <w:top w:val="none" w:sz="0" w:space="0" w:color="auto"/>
            <w:left w:val="none" w:sz="0" w:space="0" w:color="auto"/>
            <w:bottom w:val="none" w:sz="0" w:space="0" w:color="auto"/>
            <w:right w:val="none" w:sz="0" w:space="0" w:color="auto"/>
          </w:divBdr>
        </w:div>
        <w:div w:id="1444693097">
          <w:marLeft w:val="274"/>
          <w:marRight w:val="0"/>
          <w:marTop w:val="0"/>
          <w:marBottom w:val="40"/>
          <w:divBdr>
            <w:top w:val="none" w:sz="0" w:space="0" w:color="auto"/>
            <w:left w:val="none" w:sz="0" w:space="0" w:color="auto"/>
            <w:bottom w:val="none" w:sz="0" w:space="0" w:color="auto"/>
            <w:right w:val="none" w:sz="0" w:space="0" w:color="auto"/>
          </w:divBdr>
        </w:div>
        <w:div w:id="1840728780">
          <w:marLeft w:val="274"/>
          <w:marRight w:val="0"/>
          <w:marTop w:val="0"/>
          <w:marBottom w:val="40"/>
          <w:divBdr>
            <w:top w:val="none" w:sz="0" w:space="0" w:color="auto"/>
            <w:left w:val="none" w:sz="0" w:space="0" w:color="auto"/>
            <w:bottom w:val="none" w:sz="0" w:space="0" w:color="auto"/>
            <w:right w:val="none" w:sz="0" w:space="0" w:color="auto"/>
          </w:divBdr>
        </w:div>
        <w:div w:id="2125726510">
          <w:marLeft w:val="274"/>
          <w:marRight w:val="0"/>
          <w:marTop w:val="0"/>
          <w:marBottom w:val="40"/>
          <w:divBdr>
            <w:top w:val="none" w:sz="0" w:space="0" w:color="auto"/>
            <w:left w:val="none" w:sz="0" w:space="0" w:color="auto"/>
            <w:bottom w:val="none" w:sz="0" w:space="0" w:color="auto"/>
            <w:right w:val="none" w:sz="0" w:space="0" w:color="auto"/>
          </w:divBdr>
        </w:div>
      </w:divsChild>
    </w:div>
    <w:div w:id="176896643">
      <w:bodyDiv w:val="1"/>
      <w:marLeft w:val="0"/>
      <w:marRight w:val="0"/>
      <w:marTop w:val="0"/>
      <w:marBottom w:val="0"/>
      <w:divBdr>
        <w:top w:val="none" w:sz="0" w:space="0" w:color="auto"/>
        <w:left w:val="none" w:sz="0" w:space="0" w:color="auto"/>
        <w:bottom w:val="none" w:sz="0" w:space="0" w:color="auto"/>
        <w:right w:val="none" w:sz="0" w:space="0" w:color="auto"/>
      </w:divBdr>
    </w:div>
    <w:div w:id="181209199">
      <w:bodyDiv w:val="1"/>
      <w:marLeft w:val="0"/>
      <w:marRight w:val="0"/>
      <w:marTop w:val="0"/>
      <w:marBottom w:val="0"/>
      <w:divBdr>
        <w:top w:val="none" w:sz="0" w:space="0" w:color="auto"/>
        <w:left w:val="none" w:sz="0" w:space="0" w:color="auto"/>
        <w:bottom w:val="none" w:sz="0" w:space="0" w:color="auto"/>
        <w:right w:val="none" w:sz="0" w:space="0" w:color="auto"/>
      </w:divBdr>
      <w:divsChild>
        <w:div w:id="2121534959">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98133095">
      <w:bodyDiv w:val="1"/>
      <w:marLeft w:val="0"/>
      <w:marRight w:val="0"/>
      <w:marTop w:val="0"/>
      <w:marBottom w:val="0"/>
      <w:divBdr>
        <w:top w:val="none" w:sz="0" w:space="0" w:color="auto"/>
        <w:left w:val="none" w:sz="0" w:space="0" w:color="auto"/>
        <w:bottom w:val="none" w:sz="0" w:space="0" w:color="auto"/>
        <w:right w:val="none" w:sz="0" w:space="0" w:color="auto"/>
      </w:divBdr>
    </w:div>
    <w:div w:id="202252491">
      <w:bodyDiv w:val="1"/>
      <w:marLeft w:val="0"/>
      <w:marRight w:val="0"/>
      <w:marTop w:val="0"/>
      <w:marBottom w:val="0"/>
      <w:divBdr>
        <w:top w:val="none" w:sz="0" w:space="0" w:color="auto"/>
        <w:left w:val="none" w:sz="0" w:space="0" w:color="auto"/>
        <w:bottom w:val="none" w:sz="0" w:space="0" w:color="auto"/>
        <w:right w:val="none" w:sz="0" w:space="0" w:color="auto"/>
      </w:divBdr>
    </w:div>
    <w:div w:id="203061512">
      <w:bodyDiv w:val="1"/>
      <w:marLeft w:val="0"/>
      <w:marRight w:val="0"/>
      <w:marTop w:val="0"/>
      <w:marBottom w:val="0"/>
      <w:divBdr>
        <w:top w:val="none" w:sz="0" w:space="0" w:color="auto"/>
        <w:left w:val="none" w:sz="0" w:space="0" w:color="auto"/>
        <w:bottom w:val="none" w:sz="0" w:space="0" w:color="auto"/>
        <w:right w:val="none" w:sz="0" w:space="0" w:color="auto"/>
      </w:divBdr>
    </w:div>
    <w:div w:id="203374563">
      <w:bodyDiv w:val="1"/>
      <w:marLeft w:val="0"/>
      <w:marRight w:val="0"/>
      <w:marTop w:val="0"/>
      <w:marBottom w:val="0"/>
      <w:divBdr>
        <w:top w:val="none" w:sz="0" w:space="0" w:color="auto"/>
        <w:left w:val="none" w:sz="0" w:space="0" w:color="auto"/>
        <w:bottom w:val="none" w:sz="0" w:space="0" w:color="auto"/>
        <w:right w:val="none" w:sz="0" w:space="0" w:color="auto"/>
      </w:divBdr>
    </w:div>
    <w:div w:id="207108300">
      <w:bodyDiv w:val="1"/>
      <w:marLeft w:val="0"/>
      <w:marRight w:val="0"/>
      <w:marTop w:val="0"/>
      <w:marBottom w:val="0"/>
      <w:divBdr>
        <w:top w:val="none" w:sz="0" w:space="0" w:color="auto"/>
        <w:left w:val="none" w:sz="0" w:space="0" w:color="auto"/>
        <w:bottom w:val="none" w:sz="0" w:space="0" w:color="auto"/>
        <w:right w:val="none" w:sz="0" w:space="0" w:color="auto"/>
      </w:divBdr>
    </w:div>
    <w:div w:id="213858699">
      <w:bodyDiv w:val="1"/>
      <w:marLeft w:val="0"/>
      <w:marRight w:val="0"/>
      <w:marTop w:val="0"/>
      <w:marBottom w:val="0"/>
      <w:divBdr>
        <w:top w:val="none" w:sz="0" w:space="0" w:color="auto"/>
        <w:left w:val="none" w:sz="0" w:space="0" w:color="auto"/>
        <w:bottom w:val="none" w:sz="0" w:space="0" w:color="auto"/>
        <w:right w:val="none" w:sz="0" w:space="0" w:color="auto"/>
      </w:divBdr>
      <w:divsChild>
        <w:div w:id="367950773">
          <w:marLeft w:val="0"/>
          <w:marRight w:val="0"/>
          <w:marTop w:val="0"/>
          <w:marBottom w:val="0"/>
          <w:divBdr>
            <w:top w:val="none" w:sz="0" w:space="0" w:color="auto"/>
            <w:left w:val="none" w:sz="0" w:space="0" w:color="auto"/>
            <w:bottom w:val="none" w:sz="0" w:space="0" w:color="auto"/>
            <w:right w:val="none" w:sz="0" w:space="0" w:color="auto"/>
          </w:divBdr>
          <w:divsChild>
            <w:div w:id="1732655619">
              <w:marLeft w:val="0"/>
              <w:marRight w:val="0"/>
              <w:marTop w:val="0"/>
              <w:marBottom w:val="0"/>
              <w:divBdr>
                <w:top w:val="none" w:sz="0" w:space="0" w:color="auto"/>
                <w:left w:val="none" w:sz="0" w:space="0" w:color="auto"/>
                <w:bottom w:val="none" w:sz="0" w:space="0" w:color="auto"/>
                <w:right w:val="none" w:sz="0" w:space="0" w:color="auto"/>
              </w:divBdr>
              <w:divsChild>
                <w:div w:id="353575277">
                  <w:marLeft w:val="0"/>
                  <w:marRight w:val="0"/>
                  <w:marTop w:val="0"/>
                  <w:marBottom w:val="0"/>
                  <w:divBdr>
                    <w:top w:val="none" w:sz="0" w:space="0" w:color="auto"/>
                    <w:left w:val="none" w:sz="0" w:space="0" w:color="auto"/>
                    <w:bottom w:val="none" w:sz="0" w:space="0" w:color="auto"/>
                    <w:right w:val="none" w:sz="0" w:space="0" w:color="auto"/>
                  </w:divBdr>
                  <w:divsChild>
                    <w:div w:id="1671978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5162491">
      <w:bodyDiv w:val="1"/>
      <w:marLeft w:val="0"/>
      <w:marRight w:val="0"/>
      <w:marTop w:val="0"/>
      <w:marBottom w:val="0"/>
      <w:divBdr>
        <w:top w:val="none" w:sz="0" w:space="0" w:color="auto"/>
        <w:left w:val="none" w:sz="0" w:space="0" w:color="auto"/>
        <w:bottom w:val="none" w:sz="0" w:space="0" w:color="auto"/>
        <w:right w:val="none" w:sz="0" w:space="0" w:color="auto"/>
      </w:divBdr>
      <w:divsChild>
        <w:div w:id="375206966">
          <w:marLeft w:val="0"/>
          <w:marRight w:val="0"/>
          <w:marTop w:val="0"/>
          <w:marBottom w:val="0"/>
          <w:divBdr>
            <w:top w:val="none" w:sz="0" w:space="0" w:color="auto"/>
            <w:left w:val="none" w:sz="0" w:space="0" w:color="auto"/>
            <w:bottom w:val="none" w:sz="0" w:space="0" w:color="auto"/>
            <w:right w:val="none" w:sz="0" w:space="0" w:color="auto"/>
          </w:divBdr>
          <w:divsChild>
            <w:div w:id="1219896643">
              <w:marLeft w:val="0"/>
              <w:marRight w:val="0"/>
              <w:marTop w:val="0"/>
              <w:marBottom w:val="0"/>
              <w:divBdr>
                <w:top w:val="none" w:sz="0" w:space="0" w:color="auto"/>
                <w:left w:val="none" w:sz="0" w:space="0" w:color="auto"/>
                <w:bottom w:val="none" w:sz="0" w:space="0" w:color="auto"/>
                <w:right w:val="none" w:sz="0" w:space="0" w:color="auto"/>
              </w:divBdr>
              <w:divsChild>
                <w:div w:id="66273957">
                  <w:marLeft w:val="0"/>
                  <w:marRight w:val="0"/>
                  <w:marTop w:val="0"/>
                  <w:marBottom w:val="0"/>
                  <w:divBdr>
                    <w:top w:val="none" w:sz="0" w:space="0" w:color="auto"/>
                    <w:left w:val="none" w:sz="0" w:space="0" w:color="auto"/>
                    <w:bottom w:val="none" w:sz="0" w:space="0" w:color="auto"/>
                    <w:right w:val="none" w:sz="0" w:space="0" w:color="auto"/>
                  </w:divBdr>
                  <w:divsChild>
                    <w:div w:id="1836994275">
                      <w:marLeft w:val="0"/>
                      <w:marRight w:val="0"/>
                      <w:marTop w:val="0"/>
                      <w:marBottom w:val="0"/>
                      <w:divBdr>
                        <w:top w:val="none" w:sz="0" w:space="0" w:color="auto"/>
                        <w:left w:val="none" w:sz="0" w:space="0" w:color="auto"/>
                        <w:bottom w:val="none" w:sz="0" w:space="0" w:color="auto"/>
                        <w:right w:val="none" w:sz="0" w:space="0" w:color="auto"/>
                      </w:divBdr>
                      <w:divsChild>
                        <w:div w:id="1488403193">
                          <w:marLeft w:val="0"/>
                          <w:marRight w:val="0"/>
                          <w:marTop w:val="0"/>
                          <w:marBottom w:val="0"/>
                          <w:divBdr>
                            <w:top w:val="none" w:sz="0" w:space="0" w:color="auto"/>
                            <w:left w:val="none" w:sz="0" w:space="0" w:color="auto"/>
                            <w:bottom w:val="none" w:sz="0" w:space="0" w:color="auto"/>
                            <w:right w:val="none" w:sz="0" w:space="0" w:color="auto"/>
                          </w:divBdr>
                          <w:divsChild>
                            <w:div w:id="2028024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7909281">
      <w:bodyDiv w:val="1"/>
      <w:marLeft w:val="0"/>
      <w:marRight w:val="0"/>
      <w:marTop w:val="0"/>
      <w:marBottom w:val="0"/>
      <w:divBdr>
        <w:top w:val="none" w:sz="0" w:space="0" w:color="auto"/>
        <w:left w:val="none" w:sz="0" w:space="0" w:color="auto"/>
        <w:bottom w:val="none" w:sz="0" w:space="0" w:color="auto"/>
        <w:right w:val="none" w:sz="0" w:space="0" w:color="auto"/>
      </w:divBdr>
    </w:div>
    <w:div w:id="224805626">
      <w:bodyDiv w:val="1"/>
      <w:marLeft w:val="0"/>
      <w:marRight w:val="0"/>
      <w:marTop w:val="0"/>
      <w:marBottom w:val="0"/>
      <w:divBdr>
        <w:top w:val="none" w:sz="0" w:space="0" w:color="auto"/>
        <w:left w:val="none" w:sz="0" w:space="0" w:color="auto"/>
        <w:bottom w:val="none" w:sz="0" w:space="0" w:color="auto"/>
        <w:right w:val="none" w:sz="0" w:space="0" w:color="auto"/>
      </w:divBdr>
    </w:div>
    <w:div w:id="226038182">
      <w:bodyDiv w:val="1"/>
      <w:marLeft w:val="0"/>
      <w:marRight w:val="0"/>
      <w:marTop w:val="0"/>
      <w:marBottom w:val="0"/>
      <w:divBdr>
        <w:top w:val="none" w:sz="0" w:space="0" w:color="auto"/>
        <w:left w:val="none" w:sz="0" w:space="0" w:color="auto"/>
        <w:bottom w:val="none" w:sz="0" w:space="0" w:color="auto"/>
        <w:right w:val="none" w:sz="0" w:space="0" w:color="auto"/>
      </w:divBdr>
    </w:div>
    <w:div w:id="226573883">
      <w:bodyDiv w:val="1"/>
      <w:marLeft w:val="0"/>
      <w:marRight w:val="0"/>
      <w:marTop w:val="0"/>
      <w:marBottom w:val="0"/>
      <w:divBdr>
        <w:top w:val="none" w:sz="0" w:space="0" w:color="auto"/>
        <w:left w:val="none" w:sz="0" w:space="0" w:color="auto"/>
        <w:bottom w:val="none" w:sz="0" w:space="0" w:color="auto"/>
        <w:right w:val="none" w:sz="0" w:space="0" w:color="auto"/>
      </w:divBdr>
    </w:div>
    <w:div w:id="229853476">
      <w:bodyDiv w:val="1"/>
      <w:marLeft w:val="0"/>
      <w:marRight w:val="0"/>
      <w:marTop w:val="0"/>
      <w:marBottom w:val="0"/>
      <w:divBdr>
        <w:top w:val="none" w:sz="0" w:space="0" w:color="auto"/>
        <w:left w:val="none" w:sz="0" w:space="0" w:color="auto"/>
        <w:bottom w:val="none" w:sz="0" w:space="0" w:color="auto"/>
        <w:right w:val="none" w:sz="0" w:space="0" w:color="auto"/>
      </w:divBdr>
    </w:div>
    <w:div w:id="230166077">
      <w:bodyDiv w:val="1"/>
      <w:marLeft w:val="0"/>
      <w:marRight w:val="0"/>
      <w:marTop w:val="0"/>
      <w:marBottom w:val="0"/>
      <w:divBdr>
        <w:top w:val="none" w:sz="0" w:space="0" w:color="auto"/>
        <w:left w:val="none" w:sz="0" w:space="0" w:color="auto"/>
        <w:bottom w:val="none" w:sz="0" w:space="0" w:color="auto"/>
        <w:right w:val="none" w:sz="0" w:space="0" w:color="auto"/>
      </w:divBdr>
    </w:div>
    <w:div w:id="230626959">
      <w:bodyDiv w:val="1"/>
      <w:marLeft w:val="0"/>
      <w:marRight w:val="0"/>
      <w:marTop w:val="0"/>
      <w:marBottom w:val="0"/>
      <w:divBdr>
        <w:top w:val="none" w:sz="0" w:space="0" w:color="auto"/>
        <w:left w:val="none" w:sz="0" w:space="0" w:color="auto"/>
        <w:bottom w:val="none" w:sz="0" w:space="0" w:color="auto"/>
        <w:right w:val="none" w:sz="0" w:space="0" w:color="auto"/>
      </w:divBdr>
    </w:div>
    <w:div w:id="235239627">
      <w:bodyDiv w:val="1"/>
      <w:marLeft w:val="0"/>
      <w:marRight w:val="0"/>
      <w:marTop w:val="0"/>
      <w:marBottom w:val="0"/>
      <w:divBdr>
        <w:top w:val="none" w:sz="0" w:space="0" w:color="auto"/>
        <w:left w:val="none" w:sz="0" w:space="0" w:color="auto"/>
        <w:bottom w:val="none" w:sz="0" w:space="0" w:color="auto"/>
        <w:right w:val="none" w:sz="0" w:space="0" w:color="auto"/>
      </w:divBdr>
      <w:divsChild>
        <w:div w:id="1352532976">
          <w:marLeft w:val="0"/>
          <w:marRight w:val="0"/>
          <w:marTop w:val="0"/>
          <w:marBottom w:val="0"/>
          <w:divBdr>
            <w:top w:val="none" w:sz="0" w:space="0" w:color="auto"/>
            <w:left w:val="none" w:sz="0" w:space="0" w:color="auto"/>
            <w:bottom w:val="none" w:sz="0" w:space="0" w:color="auto"/>
            <w:right w:val="none" w:sz="0" w:space="0" w:color="auto"/>
          </w:divBdr>
          <w:divsChild>
            <w:div w:id="909191096">
              <w:marLeft w:val="0"/>
              <w:marRight w:val="0"/>
              <w:marTop w:val="0"/>
              <w:marBottom w:val="0"/>
              <w:divBdr>
                <w:top w:val="none" w:sz="0" w:space="0" w:color="auto"/>
                <w:left w:val="none" w:sz="0" w:space="0" w:color="auto"/>
                <w:bottom w:val="none" w:sz="0" w:space="0" w:color="auto"/>
                <w:right w:val="none" w:sz="0" w:space="0" w:color="auto"/>
              </w:divBdr>
              <w:divsChild>
                <w:div w:id="593172423">
                  <w:marLeft w:val="0"/>
                  <w:marRight w:val="0"/>
                  <w:marTop w:val="0"/>
                  <w:marBottom w:val="0"/>
                  <w:divBdr>
                    <w:top w:val="none" w:sz="0" w:space="0" w:color="auto"/>
                    <w:left w:val="none" w:sz="0" w:space="0" w:color="auto"/>
                    <w:bottom w:val="none" w:sz="0" w:space="0" w:color="auto"/>
                    <w:right w:val="none" w:sz="0" w:space="0" w:color="auto"/>
                  </w:divBdr>
                  <w:divsChild>
                    <w:div w:id="1717197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7176063">
      <w:bodyDiv w:val="1"/>
      <w:marLeft w:val="0"/>
      <w:marRight w:val="0"/>
      <w:marTop w:val="0"/>
      <w:marBottom w:val="0"/>
      <w:divBdr>
        <w:top w:val="none" w:sz="0" w:space="0" w:color="auto"/>
        <w:left w:val="none" w:sz="0" w:space="0" w:color="auto"/>
        <w:bottom w:val="none" w:sz="0" w:space="0" w:color="auto"/>
        <w:right w:val="none" w:sz="0" w:space="0" w:color="auto"/>
      </w:divBdr>
    </w:div>
    <w:div w:id="238491260">
      <w:bodyDiv w:val="1"/>
      <w:marLeft w:val="0"/>
      <w:marRight w:val="0"/>
      <w:marTop w:val="0"/>
      <w:marBottom w:val="0"/>
      <w:divBdr>
        <w:top w:val="none" w:sz="0" w:space="0" w:color="auto"/>
        <w:left w:val="none" w:sz="0" w:space="0" w:color="auto"/>
        <w:bottom w:val="none" w:sz="0" w:space="0" w:color="auto"/>
        <w:right w:val="none" w:sz="0" w:space="0" w:color="auto"/>
      </w:divBdr>
    </w:div>
    <w:div w:id="257644179">
      <w:bodyDiv w:val="1"/>
      <w:marLeft w:val="0"/>
      <w:marRight w:val="0"/>
      <w:marTop w:val="0"/>
      <w:marBottom w:val="0"/>
      <w:divBdr>
        <w:top w:val="none" w:sz="0" w:space="0" w:color="auto"/>
        <w:left w:val="none" w:sz="0" w:space="0" w:color="auto"/>
        <w:bottom w:val="none" w:sz="0" w:space="0" w:color="auto"/>
        <w:right w:val="none" w:sz="0" w:space="0" w:color="auto"/>
      </w:divBdr>
    </w:div>
    <w:div w:id="260335624">
      <w:bodyDiv w:val="1"/>
      <w:marLeft w:val="0"/>
      <w:marRight w:val="0"/>
      <w:marTop w:val="0"/>
      <w:marBottom w:val="0"/>
      <w:divBdr>
        <w:top w:val="none" w:sz="0" w:space="0" w:color="auto"/>
        <w:left w:val="none" w:sz="0" w:space="0" w:color="auto"/>
        <w:bottom w:val="none" w:sz="0" w:space="0" w:color="auto"/>
        <w:right w:val="none" w:sz="0" w:space="0" w:color="auto"/>
      </w:divBdr>
    </w:div>
    <w:div w:id="264504062">
      <w:bodyDiv w:val="1"/>
      <w:marLeft w:val="0"/>
      <w:marRight w:val="0"/>
      <w:marTop w:val="0"/>
      <w:marBottom w:val="0"/>
      <w:divBdr>
        <w:top w:val="none" w:sz="0" w:space="0" w:color="auto"/>
        <w:left w:val="none" w:sz="0" w:space="0" w:color="auto"/>
        <w:bottom w:val="none" w:sz="0" w:space="0" w:color="auto"/>
        <w:right w:val="none" w:sz="0" w:space="0" w:color="auto"/>
      </w:divBdr>
    </w:div>
    <w:div w:id="272320894">
      <w:bodyDiv w:val="1"/>
      <w:marLeft w:val="0"/>
      <w:marRight w:val="0"/>
      <w:marTop w:val="0"/>
      <w:marBottom w:val="0"/>
      <w:divBdr>
        <w:top w:val="none" w:sz="0" w:space="0" w:color="auto"/>
        <w:left w:val="none" w:sz="0" w:space="0" w:color="auto"/>
        <w:bottom w:val="none" w:sz="0" w:space="0" w:color="auto"/>
        <w:right w:val="none" w:sz="0" w:space="0" w:color="auto"/>
      </w:divBdr>
    </w:div>
    <w:div w:id="280309469">
      <w:bodyDiv w:val="1"/>
      <w:marLeft w:val="0"/>
      <w:marRight w:val="0"/>
      <w:marTop w:val="0"/>
      <w:marBottom w:val="0"/>
      <w:divBdr>
        <w:top w:val="none" w:sz="0" w:space="0" w:color="auto"/>
        <w:left w:val="none" w:sz="0" w:space="0" w:color="auto"/>
        <w:bottom w:val="none" w:sz="0" w:space="0" w:color="auto"/>
        <w:right w:val="none" w:sz="0" w:space="0" w:color="auto"/>
      </w:divBdr>
      <w:divsChild>
        <w:div w:id="1446541211">
          <w:marLeft w:val="0"/>
          <w:marRight w:val="0"/>
          <w:marTop w:val="0"/>
          <w:marBottom w:val="0"/>
          <w:divBdr>
            <w:top w:val="none" w:sz="0" w:space="0" w:color="auto"/>
            <w:left w:val="none" w:sz="0" w:space="0" w:color="auto"/>
            <w:bottom w:val="none" w:sz="0" w:space="0" w:color="auto"/>
            <w:right w:val="none" w:sz="0" w:space="0" w:color="auto"/>
          </w:divBdr>
          <w:divsChild>
            <w:div w:id="879779355">
              <w:marLeft w:val="0"/>
              <w:marRight w:val="0"/>
              <w:marTop w:val="0"/>
              <w:marBottom w:val="0"/>
              <w:divBdr>
                <w:top w:val="none" w:sz="0" w:space="0" w:color="auto"/>
                <w:left w:val="none" w:sz="0" w:space="0" w:color="auto"/>
                <w:bottom w:val="none" w:sz="0" w:space="0" w:color="auto"/>
                <w:right w:val="none" w:sz="0" w:space="0" w:color="auto"/>
              </w:divBdr>
              <w:divsChild>
                <w:div w:id="72167515">
                  <w:marLeft w:val="0"/>
                  <w:marRight w:val="0"/>
                  <w:marTop w:val="0"/>
                  <w:marBottom w:val="0"/>
                  <w:divBdr>
                    <w:top w:val="none" w:sz="0" w:space="0" w:color="auto"/>
                    <w:left w:val="none" w:sz="0" w:space="0" w:color="auto"/>
                    <w:bottom w:val="none" w:sz="0" w:space="0" w:color="auto"/>
                    <w:right w:val="none" w:sz="0" w:space="0" w:color="auto"/>
                  </w:divBdr>
                  <w:divsChild>
                    <w:div w:id="1414354933">
                      <w:marLeft w:val="0"/>
                      <w:marRight w:val="0"/>
                      <w:marTop w:val="0"/>
                      <w:marBottom w:val="0"/>
                      <w:divBdr>
                        <w:top w:val="none" w:sz="0" w:space="0" w:color="auto"/>
                        <w:left w:val="none" w:sz="0" w:space="0" w:color="auto"/>
                        <w:bottom w:val="none" w:sz="0" w:space="0" w:color="auto"/>
                        <w:right w:val="none" w:sz="0" w:space="0" w:color="auto"/>
                      </w:divBdr>
                      <w:divsChild>
                        <w:div w:id="782964099">
                          <w:marLeft w:val="0"/>
                          <w:marRight w:val="0"/>
                          <w:marTop w:val="0"/>
                          <w:marBottom w:val="0"/>
                          <w:divBdr>
                            <w:top w:val="none" w:sz="0" w:space="0" w:color="auto"/>
                            <w:left w:val="none" w:sz="0" w:space="0" w:color="auto"/>
                            <w:bottom w:val="none" w:sz="0" w:space="0" w:color="auto"/>
                            <w:right w:val="none" w:sz="0" w:space="0" w:color="auto"/>
                          </w:divBdr>
                          <w:divsChild>
                            <w:div w:id="832793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1227589">
      <w:bodyDiv w:val="1"/>
      <w:marLeft w:val="0"/>
      <w:marRight w:val="0"/>
      <w:marTop w:val="0"/>
      <w:marBottom w:val="0"/>
      <w:divBdr>
        <w:top w:val="none" w:sz="0" w:space="0" w:color="auto"/>
        <w:left w:val="none" w:sz="0" w:space="0" w:color="auto"/>
        <w:bottom w:val="none" w:sz="0" w:space="0" w:color="auto"/>
        <w:right w:val="none" w:sz="0" w:space="0" w:color="auto"/>
      </w:divBdr>
      <w:divsChild>
        <w:div w:id="884440430">
          <w:marLeft w:val="0"/>
          <w:marRight w:val="0"/>
          <w:marTop w:val="0"/>
          <w:marBottom w:val="0"/>
          <w:divBdr>
            <w:top w:val="none" w:sz="0" w:space="0" w:color="auto"/>
            <w:left w:val="none" w:sz="0" w:space="0" w:color="auto"/>
            <w:bottom w:val="none" w:sz="0" w:space="0" w:color="auto"/>
            <w:right w:val="none" w:sz="0" w:space="0" w:color="auto"/>
          </w:divBdr>
          <w:divsChild>
            <w:div w:id="1863741005">
              <w:marLeft w:val="0"/>
              <w:marRight w:val="0"/>
              <w:marTop w:val="0"/>
              <w:marBottom w:val="0"/>
              <w:divBdr>
                <w:top w:val="none" w:sz="0" w:space="0" w:color="auto"/>
                <w:left w:val="none" w:sz="0" w:space="0" w:color="auto"/>
                <w:bottom w:val="none" w:sz="0" w:space="0" w:color="auto"/>
                <w:right w:val="none" w:sz="0" w:space="0" w:color="auto"/>
              </w:divBdr>
              <w:divsChild>
                <w:div w:id="1313757316">
                  <w:marLeft w:val="0"/>
                  <w:marRight w:val="0"/>
                  <w:marTop w:val="0"/>
                  <w:marBottom w:val="0"/>
                  <w:divBdr>
                    <w:top w:val="none" w:sz="0" w:space="0" w:color="auto"/>
                    <w:left w:val="none" w:sz="0" w:space="0" w:color="auto"/>
                    <w:bottom w:val="none" w:sz="0" w:space="0" w:color="auto"/>
                    <w:right w:val="none" w:sz="0" w:space="0" w:color="auto"/>
                  </w:divBdr>
                  <w:divsChild>
                    <w:div w:id="583148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4586554">
      <w:bodyDiv w:val="1"/>
      <w:marLeft w:val="0"/>
      <w:marRight w:val="0"/>
      <w:marTop w:val="0"/>
      <w:marBottom w:val="0"/>
      <w:divBdr>
        <w:top w:val="none" w:sz="0" w:space="0" w:color="auto"/>
        <w:left w:val="none" w:sz="0" w:space="0" w:color="auto"/>
        <w:bottom w:val="none" w:sz="0" w:space="0" w:color="auto"/>
        <w:right w:val="none" w:sz="0" w:space="0" w:color="auto"/>
      </w:divBdr>
    </w:div>
    <w:div w:id="286858299">
      <w:bodyDiv w:val="1"/>
      <w:marLeft w:val="0"/>
      <w:marRight w:val="0"/>
      <w:marTop w:val="0"/>
      <w:marBottom w:val="0"/>
      <w:divBdr>
        <w:top w:val="none" w:sz="0" w:space="0" w:color="auto"/>
        <w:left w:val="none" w:sz="0" w:space="0" w:color="auto"/>
        <w:bottom w:val="none" w:sz="0" w:space="0" w:color="auto"/>
        <w:right w:val="none" w:sz="0" w:space="0" w:color="auto"/>
      </w:divBdr>
      <w:divsChild>
        <w:div w:id="906502527">
          <w:marLeft w:val="274"/>
          <w:marRight w:val="0"/>
          <w:marTop w:val="0"/>
          <w:marBottom w:val="0"/>
          <w:divBdr>
            <w:top w:val="none" w:sz="0" w:space="0" w:color="auto"/>
            <w:left w:val="none" w:sz="0" w:space="0" w:color="auto"/>
            <w:bottom w:val="none" w:sz="0" w:space="0" w:color="auto"/>
            <w:right w:val="none" w:sz="0" w:space="0" w:color="auto"/>
          </w:divBdr>
        </w:div>
      </w:divsChild>
    </w:div>
    <w:div w:id="289438715">
      <w:bodyDiv w:val="1"/>
      <w:marLeft w:val="0"/>
      <w:marRight w:val="0"/>
      <w:marTop w:val="0"/>
      <w:marBottom w:val="0"/>
      <w:divBdr>
        <w:top w:val="none" w:sz="0" w:space="0" w:color="auto"/>
        <w:left w:val="none" w:sz="0" w:space="0" w:color="auto"/>
        <w:bottom w:val="none" w:sz="0" w:space="0" w:color="auto"/>
        <w:right w:val="none" w:sz="0" w:space="0" w:color="auto"/>
      </w:divBdr>
    </w:div>
    <w:div w:id="293759864">
      <w:bodyDiv w:val="1"/>
      <w:marLeft w:val="0"/>
      <w:marRight w:val="0"/>
      <w:marTop w:val="0"/>
      <w:marBottom w:val="0"/>
      <w:divBdr>
        <w:top w:val="none" w:sz="0" w:space="0" w:color="auto"/>
        <w:left w:val="none" w:sz="0" w:space="0" w:color="auto"/>
        <w:bottom w:val="none" w:sz="0" w:space="0" w:color="auto"/>
        <w:right w:val="none" w:sz="0" w:space="0" w:color="auto"/>
      </w:divBdr>
    </w:div>
    <w:div w:id="300503997">
      <w:bodyDiv w:val="1"/>
      <w:marLeft w:val="0"/>
      <w:marRight w:val="0"/>
      <w:marTop w:val="0"/>
      <w:marBottom w:val="0"/>
      <w:divBdr>
        <w:top w:val="none" w:sz="0" w:space="0" w:color="auto"/>
        <w:left w:val="none" w:sz="0" w:space="0" w:color="auto"/>
        <w:bottom w:val="none" w:sz="0" w:space="0" w:color="auto"/>
        <w:right w:val="none" w:sz="0" w:space="0" w:color="auto"/>
      </w:divBdr>
      <w:divsChild>
        <w:div w:id="281035704">
          <w:marLeft w:val="274"/>
          <w:marRight w:val="0"/>
          <w:marTop w:val="0"/>
          <w:marBottom w:val="0"/>
          <w:divBdr>
            <w:top w:val="none" w:sz="0" w:space="0" w:color="auto"/>
            <w:left w:val="none" w:sz="0" w:space="0" w:color="auto"/>
            <w:bottom w:val="none" w:sz="0" w:space="0" w:color="auto"/>
            <w:right w:val="none" w:sz="0" w:space="0" w:color="auto"/>
          </w:divBdr>
        </w:div>
        <w:div w:id="1051080011">
          <w:marLeft w:val="274"/>
          <w:marRight w:val="0"/>
          <w:marTop w:val="0"/>
          <w:marBottom w:val="0"/>
          <w:divBdr>
            <w:top w:val="none" w:sz="0" w:space="0" w:color="auto"/>
            <w:left w:val="none" w:sz="0" w:space="0" w:color="auto"/>
            <w:bottom w:val="none" w:sz="0" w:space="0" w:color="auto"/>
            <w:right w:val="none" w:sz="0" w:space="0" w:color="auto"/>
          </w:divBdr>
        </w:div>
      </w:divsChild>
    </w:div>
    <w:div w:id="314383443">
      <w:bodyDiv w:val="1"/>
      <w:marLeft w:val="0"/>
      <w:marRight w:val="0"/>
      <w:marTop w:val="0"/>
      <w:marBottom w:val="0"/>
      <w:divBdr>
        <w:top w:val="none" w:sz="0" w:space="0" w:color="auto"/>
        <w:left w:val="none" w:sz="0" w:space="0" w:color="auto"/>
        <w:bottom w:val="none" w:sz="0" w:space="0" w:color="auto"/>
        <w:right w:val="none" w:sz="0" w:space="0" w:color="auto"/>
      </w:divBdr>
      <w:divsChild>
        <w:div w:id="644433772">
          <w:marLeft w:val="274"/>
          <w:marRight w:val="0"/>
          <w:marTop w:val="0"/>
          <w:marBottom w:val="60"/>
          <w:divBdr>
            <w:top w:val="none" w:sz="0" w:space="0" w:color="auto"/>
            <w:left w:val="none" w:sz="0" w:space="0" w:color="auto"/>
            <w:bottom w:val="none" w:sz="0" w:space="0" w:color="auto"/>
            <w:right w:val="none" w:sz="0" w:space="0" w:color="auto"/>
          </w:divBdr>
        </w:div>
        <w:div w:id="1269197251">
          <w:marLeft w:val="274"/>
          <w:marRight w:val="0"/>
          <w:marTop w:val="0"/>
          <w:marBottom w:val="60"/>
          <w:divBdr>
            <w:top w:val="none" w:sz="0" w:space="0" w:color="auto"/>
            <w:left w:val="none" w:sz="0" w:space="0" w:color="auto"/>
            <w:bottom w:val="none" w:sz="0" w:space="0" w:color="auto"/>
            <w:right w:val="none" w:sz="0" w:space="0" w:color="auto"/>
          </w:divBdr>
        </w:div>
        <w:div w:id="1312254557">
          <w:marLeft w:val="274"/>
          <w:marRight w:val="0"/>
          <w:marTop w:val="0"/>
          <w:marBottom w:val="60"/>
          <w:divBdr>
            <w:top w:val="none" w:sz="0" w:space="0" w:color="auto"/>
            <w:left w:val="none" w:sz="0" w:space="0" w:color="auto"/>
            <w:bottom w:val="none" w:sz="0" w:space="0" w:color="auto"/>
            <w:right w:val="none" w:sz="0" w:space="0" w:color="auto"/>
          </w:divBdr>
        </w:div>
      </w:divsChild>
    </w:div>
    <w:div w:id="316423578">
      <w:bodyDiv w:val="1"/>
      <w:marLeft w:val="0"/>
      <w:marRight w:val="0"/>
      <w:marTop w:val="0"/>
      <w:marBottom w:val="0"/>
      <w:divBdr>
        <w:top w:val="none" w:sz="0" w:space="0" w:color="auto"/>
        <w:left w:val="none" w:sz="0" w:space="0" w:color="auto"/>
        <w:bottom w:val="none" w:sz="0" w:space="0" w:color="auto"/>
        <w:right w:val="none" w:sz="0" w:space="0" w:color="auto"/>
      </w:divBdr>
    </w:div>
    <w:div w:id="326370420">
      <w:bodyDiv w:val="1"/>
      <w:marLeft w:val="0"/>
      <w:marRight w:val="0"/>
      <w:marTop w:val="0"/>
      <w:marBottom w:val="0"/>
      <w:divBdr>
        <w:top w:val="none" w:sz="0" w:space="0" w:color="auto"/>
        <w:left w:val="none" w:sz="0" w:space="0" w:color="auto"/>
        <w:bottom w:val="none" w:sz="0" w:space="0" w:color="auto"/>
        <w:right w:val="none" w:sz="0" w:space="0" w:color="auto"/>
      </w:divBdr>
    </w:div>
    <w:div w:id="331760552">
      <w:bodyDiv w:val="1"/>
      <w:marLeft w:val="0"/>
      <w:marRight w:val="0"/>
      <w:marTop w:val="0"/>
      <w:marBottom w:val="0"/>
      <w:divBdr>
        <w:top w:val="none" w:sz="0" w:space="0" w:color="auto"/>
        <w:left w:val="none" w:sz="0" w:space="0" w:color="auto"/>
        <w:bottom w:val="none" w:sz="0" w:space="0" w:color="auto"/>
        <w:right w:val="none" w:sz="0" w:space="0" w:color="auto"/>
      </w:divBdr>
    </w:div>
    <w:div w:id="335959683">
      <w:bodyDiv w:val="1"/>
      <w:marLeft w:val="0"/>
      <w:marRight w:val="0"/>
      <w:marTop w:val="0"/>
      <w:marBottom w:val="0"/>
      <w:divBdr>
        <w:top w:val="none" w:sz="0" w:space="0" w:color="auto"/>
        <w:left w:val="none" w:sz="0" w:space="0" w:color="auto"/>
        <w:bottom w:val="none" w:sz="0" w:space="0" w:color="auto"/>
        <w:right w:val="none" w:sz="0" w:space="0" w:color="auto"/>
      </w:divBdr>
    </w:div>
    <w:div w:id="343168982">
      <w:bodyDiv w:val="1"/>
      <w:marLeft w:val="0"/>
      <w:marRight w:val="0"/>
      <w:marTop w:val="0"/>
      <w:marBottom w:val="0"/>
      <w:divBdr>
        <w:top w:val="none" w:sz="0" w:space="0" w:color="auto"/>
        <w:left w:val="none" w:sz="0" w:space="0" w:color="auto"/>
        <w:bottom w:val="none" w:sz="0" w:space="0" w:color="auto"/>
        <w:right w:val="none" w:sz="0" w:space="0" w:color="auto"/>
      </w:divBdr>
    </w:div>
    <w:div w:id="349722503">
      <w:bodyDiv w:val="1"/>
      <w:marLeft w:val="0"/>
      <w:marRight w:val="0"/>
      <w:marTop w:val="0"/>
      <w:marBottom w:val="0"/>
      <w:divBdr>
        <w:top w:val="none" w:sz="0" w:space="0" w:color="auto"/>
        <w:left w:val="none" w:sz="0" w:space="0" w:color="auto"/>
        <w:bottom w:val="none" w:sz="0" w:space="0" w:color="auto"/>
        <w:right w:val="none" w:sz="0" w:space="0" w:color="auto"/>
      </w:divBdr>
    </w:div>
    <w:div w:id="359089828">
      <w:bodyDiv w:val="1"/>
      <w:marLeft w:val="0"/>
      <w:marRight w:val="0"/>
      <w:marTop w:val="0"/>
      <w:marBottom w:val="0"/>
      <w:divBdr>
        <w:top w:val="none" w:sz="0" w:space="0" w:color="auto"/>
        <w:left w:val="none" w:sz="0" w:space="0" w:color="auto"/>
        <w:bottom w:val="none" w:sz="0" w:space="0" w:color="auto"/>
        <w:right w:val="none" w:sz="0" w:space="0" w:color="auto"/>
      </w:divBdr>
    </w:div>
    <w:div w:id="359359899">
      <w:bodyDiv w:val="1"/>
      <w:marLeft w:val="0"/>
      <w:marRight w:val="0"/>
      <w:marTop w:val="0"/>
      <w:marBottom w:val="0"/>
      <w:divBdr>
        <w:top w:val="none" w:sz="0" w:space="0" w:color="auto"/>
        <w:left w:val="none" w:sz="0" w:space="0" w:color="auto"/>
        <w:bottom w:val="none" w:sz="0" w:space="0" w:color="auto"/>
        <w:right w:val="none" w:sz="0" w:space="0" w:color="auto"/>
      </w:divBdr>
      <w:divsChild>
        <w:div w:id="947010830">
          <w:marLeft w:val="274"/>
          <w:marRight w:val="0"/>
          <w:marTop w:val="60"/>
          <w:marBottom w:val="0"/>
          <w:divBdr>
            <w:top w:val="none" w:sz="0" w:space="0" w:color="auto"/>
            <w:left w:val="none" w:sz="0" w:space="0" w:color="auto"/>
            <w:bottom w:val="none" w:sz="0" w:space="0" w:color="auto"/>
            <w:right w:val="none" w:sz="0" w:space="0" w:color="auto"/>
          </w:divBdr>
        </w:div>
        <w:div w:id="1246720191">
          <w:marLeft w:val="274"/>
          <w:marRight w:val="0"/>
          <w:marTop w:val="60"/>
          <w:marBottom w:val="0"/>
          <w:divBdr>
            <w:top w:val="none" w:sz="0" w:space="0" w:color="auto"/>
            <w:left w:val="none" w:sz="0" w:space="0" w:color="auto"/>
            <w:bottom w:val="none" w:sz="0" w:space="0" w:color="auto"/>
            <w:right w:val="none" w:sz="0" w:space="0" w:color="auto"/>
          </w:divBdr>
        </w:div>
        <w:div w:id="1352805416">
          <w:marLeft w:val="274"/>
          <w:marRight w:val="0"/>
          <w:marTop w:val="60"/>
          <w:marBottom w:val="0"/>
          <w:divBdr>
            <w:top w:val="none" w:sz="0" w:space="0" w:color="auto"/>
            <w:left w:val="none" w:sz="0" w:space="0" w:color="auto"/>
            <w:bottom w:val="none" w:sz="0" w:space="0" w:color="auto"/>
            <w:right w:val="none" w:sz="0" w:space="0" w:color="auto"/>
          </w:divBdr>
        </w:div>
        <w:div w:id="2079748511">
          <w:marLeft w:val="274"/>
          <w:marRight w:val="0"/>
          <w:marTop w:val="60"/>
          <w:marBottom w:val="0"/>
          <w:divBdr>
            <w:top w:val="none" w:sz="0" w:space="0" w:color="auto"/>
            <w:left w:val="none" w:sz="0" w:space="0" w:color="auto"/>
            <w:bottom w:val="none" w:sz="0" w:space="0" w:color="auto"/>
            <w:right w:val="none" w:sz="0" w:space="0" w:color="auto"/>
          </w:divBdr>
        </w:div>
      </w:divsChild>
    </w:div>
    <w:div w:id="362247254">
      <w:bodyDiv w:val="1"/>
      <w:marLeft w:val="0"/>
      <w:marRight w:val="0"/>
      <w:marTop w:val="0"/>
      <w:marBottom w:val="0"/>
      <w:divBdr>
        <w:top w:val="none" w:sz="0" w:space="0" w:color="auto"/>
        <w:left w:val="none" w:sz="0" w:space="0" w:color="auto"/>
        <w:bottom w:val="none" w:sz="0" w:space="0" w:color="auto"/>
        <w:right w:val="none" w:sz="0" w:space="0" w:color="auto"/>
      </w:divBdr>
    </w:div>
    <w:div w:id="364258487">
      <w:bodyDiv w:val="1"/>
      <w:marLeft w:val="0"/>
      <w:marRight w:val="0"/>
      <w:marTop w:val="0"/>
      <w:marBottom w:val="0"/>
      <w:divBdr>
        <w:top w:val="none" w:sz="0" w:space="0" w:color="auto"/>
        <w:left w:val="none" w:sz="0" w:space="0" w:color="auto"/>
        <w:bottom w:val="none" w:sz="0" w:space="0" w:color="auto"/>
        <w:right w:val="none" w:sz="0" w:space="0" w:color="auto"/>
      </w:divBdr>
    </w:div>
    <w:div w:id="370032374">
      <w:bodyDiv w:val="1"/>
      <w:marLeft w:val="0"/>
      <w:marRight w:val="0"/>
      <w:marTop w:val="0"/>
      <w:marBottom w:val="0"/>
      <w:divBdr>
        <w:top w:val="none" w:sz="0" w:space="0" w:color="auto"/>
        <w:left w:val="none" w:sz="0" w:space="0" w:color="auto"/>
        <w:bottom w:val="none" w:sz="0" w:space="0" w:color="auto"/>
        <w:right w:val="none" w:sz="0" w:space="0" w:color="auto"/>
      </w:divBdr>
    </w:div>
    <w:div w:id="370302607">
      <w:bodyDiv w:val="1"/>
      <w:marLeft w:val="0"/>
      <w:marRight w:val="0"/>
      <w:marTop w:val="0"/>
      <w:marBottom w:val="0"/>
      <w:divBdr>
        <w:top w:val="none" w:sz="0" w:space="0" w:color="auto"/>
        <w:left w:val="none" w:sz="0" w:space="0" w:color="auto"/>
        <w:bottom w:val="none" w:sz="0" w:space="0" w:color="auto"/>
        <w:right w:val="none" w:sz="0" w:space="0" w:color="auto"/>
      </w:divBdr>
    </w:div>
    <w:div w:id="377050175">
      <w:bodyDiv w:val="1"/>
      <w:marLeft w:val="0"/>
      <w:marRight w:val="0"/>
      <w:marTop w:val="0"/>
      <w:marBottom w:val="0"/>
      <w:divBdr>
        <w:top w:val="none" w:sz="0" w:space="0" w:color="auto"/>
        <w:left w:val="none" w:sz="0" w:space="0" w:color="auto"/>
        <w:bottom w:val="none" w:sz="0" w:space="0" w:color="auto"/>
        <w:right w:val="none" w:sz="0" w:space="0" w:color="auto"/>
      </w:divBdr>
    </w:div>
    <w:div w:id="380515480">
      <w:bodyDiv w:val="1"/>
      <w:marLeft w:val="0"/>
      <w:marRight w:val="0"/>
      <w:marTop w:val="0"/>
      <w:marBottom w:val="0"/>
      <w:divBdr>
        <w:top w:val="none" w:sz="0" w:space="0" w:color="auto"/>
        <w:left w:val="none" w:sz="0" w:space="0" w:color="auto"/>
        <w:bottom w:val="none" w:sz="0" w:space="0" w:color="auto"/>
        <w:right w:val="none" w:sz="0" w:space="0" w:color="auto"/>
      </w:divBdr>
    </w:div>
    <w:div w:id="380641969">
      <w:bodyDiv w:val="1"/>
      <w:marLeft w:val="0"/>
      <w:marRight w:val="0"/>
      <w:marTop w:val="0"/>
      <w:marBottom w:val="0"/>
      <w:divBdr>
        <w:top w:val="none" w:sz="0" w:space="0" w:color="auto"/>
        <w:left w:val="none" w:sz="0" w:space="0" w:color="auto"/>
        <w:bottom w:val="none" w:sz="0" w:space="0" w:color="auto"/>
        <w:right w:val="none" w:sz="0" w:space="0" w:color="auto"/>
      </w:divBdr>
    </w:div>
    <w:div w:id="384838899">
      <w:bodyDiv w:val="1"/>
      <w:marLeft w:val="0"/>
      <w:marRight w:val="0"/>
      <w:marTop w:val="0"/>
      <w:marBottom w:val="0"/>
      <w:divBdr>
        <w:top w:val="none" w:sz="0" w:space="0" w:color="auto"/>
        <w:left w:val="none" w:sz="0" w:space="0" w:color="auto"/>
        <w:bottom w:val="none" w:sz="0" w:space="0" w:color="auto"/>
        <w:right w:val="none" w:sz="0" w:space="0" w:color="auto"/>
      </w:divBdr>
    </w:div>
    <w:div w:id="385689804">
      <w:bodyDiv w:val="1"/>
      <w:marLeft w:val="0"/>
      <w:marRight w:val="0"/>
      <w:marTop w:val="0"/>
      <w:marBottom w:val="0"/>
      <w:divBdr>
        <w:top w:val="none" w:sz="0" w:space="0" w:color="auto"/>
        <w:left w:val="none" w:sz="0" w:space="0" w:color="auto"/>
        <w:bottom w:val="none" w:sz="0" w:space="0" w:color="auto"/>
        <w:right w:val="none" w:sz="0" w:space="0" w:color="auto"/>
      </w:divBdr>
    </w:div>
    <w:div w:id="386301005">
      <w:bodyDiv w:val="1"/>
      <w:marLeft w:val="0"/>
      <w:marRight w:val="0"/>
      <w:marTop w:val="0"/>
      <w:marBottom w:val="0"/>
      <w:divBdr>
        <w:top w:val="none" w:sz="0" w:space="0" w:color="auto"/>
        <w:left w:val="none" w:sz="0" w:space="0" w:color="auto"/>
        <w:bottom w:val="none" w:sz="0" w:space="0" w:color="auto"/>
        <w:right w:val="none" w:sz="0" w:space="0" w:color="auto"/>
      </w:divBdr>
      <w:divsChild>
        <w:div w:id="1637485559">
          <w:marLeft w:val="0"/>
          <w:marRight w:val="0"/>
          <w:marTop w:val="0"/>
          <w:marBottom w:val="0"/>
          <w:divBdr>
            <w:top w:val="none" w:sz="0" w:space="0" w:color="auto"/>
            <w:left w:val="none" w:sz="0" w:space="0" w:color="auto"/>
            <w:bottom w:val="none" w:sz="0" w:space="0" w:color="auto"/>
            <w:right w:val="none" w:sz="0" w:space="0" w:color="auto"/>
          </w:divBdr>
          <w:divsChild>
            <w:div w:id="666632998">
              <w:marLeft w:val="0"/>
              <w:marRight w:val="0"/>
              <w:marTop w:val="0"/>
              <w:marBottom w:val="0"/>
              <w:divBdr>
                <w:top w:val="none" w:sz="0" w:space="0" w:color="auto"/>
                <w:left w:val="none" w:sz="0" w:space="0" w:color="auto"/>
                <w:bottom w:val="none" w:sz="0" w:space="0" w:color="auto"/>
                <w:right w:val="none" w:sz="0" w:space="0" w:color="auto"/>
              </w:divBdr>
              <w:divsChild>
                <w:div w:id="1399013401">
                  <w:marLeft w:val="0"/>
                  <w:marRight w:val="0"/>
                  <w:marTop w:val="0"/>
                  <w:marBottom w:val="0"/>
                  <w:divBdr>
                    <w:top w:val="none" w:sz="0" w:space="0" w:color="auto"/>
                    <w:left w:val="none" w:sz="0" w:space="0" w:color="auto"/>
                    <w:bottom w:val="none" w:sz="0" w:space="0" w:color="auto"/>
                    <w:right w:val="none" w:sz="0" w:space="0" w:color="auto"/>
                  </w:divBdr>
                  <w:divsChild>
                    <w:div w:id="981353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7266273">
      <w:bodyDiv w:val="1"/>
      <w:marLeft w:val="0"/>
      <w:marRight w:val="0"/>
      <w:marTop w:val="0"/>
      <w:marBottom w:val="0"/>
      <w:divBdr>
        <w:top w:val="none" w:sz="0" w:space="0" w:color="auto"/>
        <w:left w:val="none" w:sz="0" w:space="0" w:color="auto"/>
        <w:bottom w:val="none" w:sz="0" w:space="0" w:color="auto"/>
        <w:right w:val="none" w:sz="0" w:space="0" w:color="auto"/>
      </w:divBdr>
      <w:divsChild>
        <w:div w:id="2095394062">
          <w:marLeft w:val="446"/>
          <w:marRight w:val="0"/>
          <w:marTop w:val="120"/>
          <w:marBottom w:val="120"/>
          <w:divBdr>
            <w:top w:val="none" w:sz="0" w:space="0" w:color="auto"/>
            <w:left w:val="none" w:sz="0" w:space="0" w:color="auto"/>
            <w:bottom w:val="none" w:sz="0" w:space="0" w:color="auto"/>
            <w:right w:val="none" w:sz="0" w:space="0" w:color="auto"/>
          </w:divBdr>
        </w:div>
      </w:divsChild>
    </w:div>
    <w:div w:id="396321945">
      <w:bodyDiv w:val="1"/>
      <w:marLeft w:val="0"/>
      <w:marRight w:val="0"/>
      <w:marTop w:val="0"/>
      <w:marBottom w:val="0"/>
      <w:divBdr>
        <w:top w:val="none" w:sz="0" w:space="0" w:color="auto"/>
        <w:left w:val="none" w:sz="0" w:space="0" w:color="auto"/>
        <w:bottom w:val="none" w:sz="0" w:space="0" w:color="auto"/>
        <w:right w:val="none" w:sz="0" w:space="0" w:color="auto"/>
      </w:divBdr>
    </w:div>
    <w:div w:id="396786242">
      <w:bodyDiv w:val="1"/>
      <w:marLeft w:val="0"/>
      <w:marRight w:val="0"/>
      <w:marTop w:val="0"/>
      <w:marBottom w:val="0"/>
      <w:divBdr>
        <w:top w:val="none" w:sz="0" w:space="0" w:color="auto"/>
        <w:left w:val="none" w:sz="0" w:space="0" w:color="auto"/>
        <w:bottom w:val="none" w:sz="0" w:space="0" w:color="auto"/>
        <w:right w:val="none" w:sz="0" w:space="0" w:color="auto"/>
      </w:divBdr>
    </w:div>
    <w:div w:id="397901097">
      <w:bodyDiv w:val="1"/>
      <w:marLeft w:val="0"/>
      <w:marRight w:val="0"/>
      <w:marTop w:val="0"/>
      <w:marBottom w:val="0"/>
      <w:divBdr>
        <w:top w:val="none" w:sz="0" w:space="0" w:color="auto"/>
        <w:left w:val="none" w:sz="0" w:space="0" w:color="auto"/>
        <w:bottom w:val="none" w:sz="0" w:space="0" w:color="auto"/>
        <w:right w:val="none" w:sz="0" w:space="0" w:color="auto"/>
      </w:divBdr>
      <w:divsChild>
        <w:div w:id="543368205">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399913928">
      <w:bodyDiv w:val="1"/>
      <w:marLeft w:val="0"/>
      <w:marRight w:val="0"/>
      <w:marTop w:val="0"/>
      <w:marBottom w:val="0"/>
      <w:divBdr>
        <w:top w:val="none" w:sz="0" w:space="0" w:color="auto"/>
        <w:left w:val="none" w:sz="0" w:space="0" w:color="auto"/>
        <w:bottom w:val="none" w:sz="0" w:space="0" w:color="auto"/>
        <w:right w:val="none" w:sz="0" w:space="0" w:color="auto"/>
      </w:divBdr>
    </w:div>
    <w:div w:id="402216272">
      <w:bodyDiv w:val="1"/>
      <w:marLeft w:val="0"/>
      <w:marRight w:val="0"/>
      <w:marTop w:val="0"/>
      <w:marBottom w:val="0"/>
      <w:divBdr>
        <w:top w:val="none" w:sz="0" w:space="0" w:color="auto"/>
        <w:left w:val="none" w:sz="0" w:space="0" w:color="auto"/>
        <w:bottom w:val="none" w:sz="0" w:space="0" w:color="auto"/>
        <w:right w:val="none" w:sz="0" w:space="0" w:color="auto"/>
      </w:divBdr>
      <w:divsChild>
        <w:div w:id="653990582">
          <w:marLeft w:val="173"/>
          <w:marRight w:val="0"/>
          <w:marTop w:val="0"/>
          <w:marBottom w:val="60"/>
          <w:divBdr>
            <w:top w:val="none" w:sz="0" w:space="0" w:color="auto"/>
            <w:left w:val="none" w:sz="0" w:space="0" w:color="auto"/>
            <w:bottom w:val="none" w:sz="0" w:space="0" w:color="auto"/>
            <w:right w:val="none" w:sz="0" w:space="0" w:color="auto"/>
          </w:divBdr>
        </w:div>
        <w:div w:id="1157527922">
          <w:marLeft w:val="173"/>
          <w:marRight w:val="0"/>
          <w:marTop w:val="0"/>
          <w:marBottom w:val="60"/>
          <w:divBdr>
            <w:top w:val="none" w:sz="0" w:space="0" w:color="auto"/>
            <w:left w:val="none" w:sz="0" w:space="0" w:color="auto"/>
            <w:bottom w:val="none" w:sz="0" w:space="0" w:color="auto"/>
            <w:right w:val="none" w:sz="0" w:space="0" w:color="auto"/>
          </w:divBdr>
        </w:div>
        <w:div w:id="1343125897">
          <w:marLeft w:val="173"/>
          <w:marRight w:val="0"/>
          <w:marTop w:val="0"/>
          <w:marBottom w:val="60"/>
          <w:divBdr>
            <w:top w:val="none" w:sz="0" w:space="0" w:color="auto"/>
            <w:left w:val="none" w:sz="0" w:space="0" w:color="auto"/>
            <w:bottom w:val="none" w:sz="0" w:space="0" w:color="auto"/>
            <w:right w:val="none" w:sz="0" w:space="0" w:color="auto"/>
          </w:divBdr>
        </w:div>
        <w:div w:id="1658000589">
          <w:marLeft w:val="173"/>
          <w:marRight w:val="0"/>
          <w:marTop w:val="0"/>
          <w:marBottom w:val="60"/>
          <w:divBdr>
            <w:top w:val="none" w:sz="0" w:space="0" w:color="auto"/>
            <w:left w:val="none" w:sz="0" w:space="0" w:color="auto"/>
            <w:bottom w:val="none" w:sz="0" w:space="0" w:color="auto"/>
            <w:right w:val="none" w:sz="0" w:space="0" w:color="auto"/>
          </w:divBdr>
        </w:div>
        <w:div w:id="1719620337">
          <w:marLeft w:val="173"/>
          <w:marRight w:val="0"/>
          <w:marTop w:val="0"/>
          <w:marBottom w:val="60"/>
          <w:divBdr>
            <w:top w:val="none" w:sz="0" w:space="0" w:color="auto"/>
            <w:left w:val="none" w:sz="0" w:space="0" w:color="auto"/>
            <w:bottom w:val="none" w:sz="0" w:space="0" w:color="auto"/>
            <w:right w:val="none" w:sz="0" w:space="0" w:color="auto"/>
          </w:divBdr>
        </w:div>
        <w:div w:id="1920402176">
          <w:marLeft w:val="173"/>
          <w:marRight w:val="0"/>
          <w:marTop w:val="0"/>
          <w:marBottom w:val="60"/>
          <w:divBdr>
            <w:top w:val="none" w:sz="0" w:space="0" w:color="auto"/>
            <w:left w:val="none" w:sz="0" w:space="0" w:color="auto"/>
            <w:bottom w:val="none" w:sz="0" w:space="0" w:color="auto"/>
            <w:right w:val="none" w:sz="0" w:space="0" w:color="auto"/>
          </w:divBdr>
        </w:div>
        <w:div w:id="1931304267">
          <w:marLeft w:val="173"/>
          <w:marRight w:val="0"/>
          <w:marTop w:val="0"/>
          <w:marBottom w:val="60"/>
          <w:divBdr>
            <w:top w:val="none" w:sz="0" w:space="0" w:color="auto"/>
            <w:left w:val="none" w:sz="0" w:space="0" w:color="auto"/>
            <w:bottom w:val="none" w:sz="0" w:space="0" w:color="auto"/>
            <w:right w:val="none" w:sz="0" w:space="0" w:color="auto"/>
          </w:divBdr>
        </w:div>
      </w:divsChild>
    </w:div>
    <w:div w:id="402921318">
      <w:bodyDiv w:val="1"/>
      <w:marLeft w:val="0"/>
      <w:marRight w:val="0"/>
      <w:marTop w:val="0"/>
      <w:marBottom w:val="0"/>
      <w:divBdr>
        <w:top w:val="none" w:sz="0" w:space="0" w:color="auto"/>
        <w:left w:val="none" w:sz="0" w:space="0" w:color="auto"/>
        <w:bottom w:val="none" w:sz="0" w:space="0" w:color="auto"/>
        <w:right w:val="none" w:sz="0" w:space="0" w:color="auto"/>
      </w:divBdr>
      <w:divsChild>
        <w:div w:id="900793295">
          <w:marLeft w:val="274"/>
          <w:marRight w:val="0"/>
          <w:marTop w:val="0"/>
          <w:marBottom w:val="0"/>
          <w:divBdr>
            <w:top w:val="none" w:sz="0" w:space="0" w:color="auto"/>
            <w:left w:val="none" w:sz="0" w:space="0" w:color="auto"/>
            <w:bottom w:val="none" w:sz="0" w:space="0" w:color="auto"/>
            <w:right w:val="none" w:sz="0" w:space="0" w:color="auto"/>
          </w:divBdr>
        </w:div>
        <w:div w:id="1356274128">
          <w:marLeft w:val="274"/>
          <w:marRight w:val="0"/>
          <w:marTop w:val="0"/>
          <w:marBottom w:val="0"/>
          <w:divBdr>
            <w:top w:val="none" w:sz="0" w:space="0" w:color="auto"/>
            <w:left w:val="none" w:sz="0" w:space="0" w:color="auto"/>
            <w:bottom w:val="none" w:sz="0" w:space="0" w:color="auto"/>
            <w:right w:val="none" w:sz="0" w:space="0" w:color="auto"/>
          </w:divBdr>
        </w:div>
        <w:div w:id="1459299705">
          <w:marLeft w:val="274"/>
          <w:marRight w:val="0"/>
          <w:marTop w:val="0"/>
          <w:marBottom w:val="0"/>
          <w:divBdr>
            <w:top w:val="none" w:sz="0" w:space="0" w:color="auto"/>
            <w:left w:val="none" w:sz="0" w:space="0" w:color="auto"/>
            <w:bottom w:val="none" w:sz="0" w:space="0" w:color="auto"/>
            <w:right w:val="none" w:sz="0" w:space="0" w:color="auto"/>
          </w:divBdr>
        </w:div>
      </w:divsChild>
    </w:div>
    <w:div w:id="405032952">
      <w:bodyDiv w:val="1"/>
      <w:marLeft w:val="0"/>
      <w:marRight w:val="0"/>
      <w:marTop w:val="0"/>
      <w:marBottom w:val="0"/>
      <w:divBdr>
        <w:top w:val="none" w:sz="0" w:space="0" w:color="auto"/>
        <w:left w:val="none" w:sz="0" w:space="0" w:color="auto"/>
        <w:bottom w:val="none" w:sz="0" w:space="0" w:color="auto"/>
        <w:right w:val="none" w:sz="0" w:space="0" w:color="auto"/>
      </w:divBdr>
    </w:div>
    <w:div w:id="405762258">
      <w:bodyDiv w:val="1"/>
      <w:marLeft w:val="0"/>
      <w:marRight w:val="0"/>
      <w:marTop w:val="0"/>
      <w:marBottom w:val="0"/>
      <w:divBdr>
        <w:top w:val="none" w:sz="0" w:space="0" w:color="auto"/>
        <w:left w:val="none" w:sz="0" w:space="0" w:color="auto"/>
        <w:bottom w:val="none" w:sz="0" w:space="0" w:color="auto"/>
        <w:right w:val="none" w:sz="0" w:space="0" w:color="auto"/>
      </w:divBdr>
    </w:div>
    <w:div w:id="418407292">
      <w:bodyDiv w:val="1"/>
      <w:marLeft w:val="0"/>
      <w:marRight w:val="0"/>
      <w:marTop w:val="0"/>
      <w:marBottom w:val="0"/>
      <w:divBdr>
        <w:top w:val="none" w:sz="0" w:space="0" w:color="auto"/>
        <w:left w:val="none" w:sz="0" w:space="0" w:color="auto"/>
        <w:bottom w:val="none" w:sz="0" w:space="0" w:color="auto"/>
        <w:right w:val="none" w:sz="0" w:space="0" w:color="auto"/>
      </w:divBdr>
    </w:div>
    <w:div w:id="421679970">
      <w:bodyDiv w:val="1"/>
      <w:marLeft w:val="0"/>
      <w:marRight w:val="0"/>
      <w:marTop w:val="0"/>
      <w:marBottom w:val="0"/>
      <w:divBdr>
        <w:top w:val="none" w:sz="0" w:space="0" w:color="auto"/>
        <w:left w:val="none" w:sz="0" w:space="0" w:color="auto"/>
        <w:bottom w:val="none" w:sz="0" w:space="0" w:color="auto"/>
        <w:right w:val="none" w:sz="0" w:space="0" w:color="auto"/>
      </w:divBdr>
      <w:divsChild>
        <w:div w:id="23362295">
          <w:marLeft w:val="446"/>
          <w:marRight w:val="0"/>
          <w:marTop w:val="120"/>
          <w:marBottom w:val="120"/>
          <w:divBdr>
            <w:top w:val="none" w:sz="0" w:space="0" w:color="auto"/>
            <w:left w:val="none" w:sz="0" w:space="0" w:color="auto"/>
            <w:bottom w:val="none" w:sz="0" w:space="0" w:color="auto"/>
            <w:right w:val="none" w:sz="0" w:space="0" w:color="auto"/>
          </w:divBdr>
        </w:div>
        <w:div w:id="284191969">
          <w:marLeft w:val="446"/>
          <w:marRight w:val="0"/>
          <w:marTop w:val="120"/>
          <w:marBottom w:val="120"/>
          <w:divBdr>
            <w:top w:val="none" w:sz="0" w:space="0" w:color="auto"/>
            <w:left w:val="none" w:sz="0" w:space="0" w:color="auto"/>
            <w:bottom w:val="none" w:sz="0" w:space="0" w:color="auto"/>
            <w:right w:val="none" w:sz="0" w:space="0" w:color="auto"/>
          </w:divBdr>
        </w:div>
      </w:divsChild>
    </w:div>
    <w:div w:id="429277441">
      <w:bodyDiv w:val="1"/>
      <w:marLeft w:val="0"/>
      <w:marRight w:val="0"/>
      <w:marTop w:val="0"/>
      <w:marBottom w:val="0"/>
      <w:divBdr>
        <w:top w:val="none" w:sz="0" w:space="0" w:color="auto"/>
        <w:left w:val="none" w:sz="0" w:space="0" w:color="auto"/>
        <w:bottom w:val="none" w:sz="0" w:space="0" w:color="auto"/>
        <w:right w:val="none" w:sz="0" w:space="0" w:color="auto"/>
      </w:divBdr>
      <w:divsChild>
        <w:div w:id="2001081489">
          <w:marLeft w:val="0"/>
          <w:marRight w:val="0"/>
          <w:marTop w:val="0"/>
          <w:marBottom w:val="0"/>
          <w:divBdr>
            <w:top w:val="none" w:sz="0" w:space="0" w:color="auto"/>
            <w:left w:val="none" w:sz="0" w:space="0" w:color="auto"/>
            <w:bottom w:val="none" w:sz="0" w:space="0" w:color="auto"/>
            <w:right w:val="none" w:sz="0" w:space="0" w:color="auto"/>
          </w:divBdr>
          <w:divsChild>
            <w:div w:id="108353355">
              <w:marLeft w:val="0"/>
              <w:marRight w:val="0"/>
              <w:marTop w:val="0"/>
              <w:marBottom w:val="0"/>
              <w:divBdr>
                <w:top w:val="none" w:sz="0" w:space="0" w:color="auto"/>
                <w:left w:val="none" w:sz="0" w:space="0" w:color="auto"/>
                <w:bottom w:val="none" w:sz="0" w:space="0" w:color="auto"/>
                <w:right w:val="none" w:sz="0" w:space="0" w:color="auto"/>
              </w:divBdr>
              <w:divsChild>
                <w:div w:id="354692763">
                  <w:marLeft w:val="0"/>
                  <w:marRight w:val="0"/>
                  <w:marTop w:val="0"/>
                  <w:marBottom w:val="0"/>
                  <w:divBdr>
                    <w:top w:val="none" w:sz="0" w:space="0" w:color="auto"/>
                    <w:left w:val="none" w:sz="0" w:space="0" w:color="auto"/>
                    <w:bottom w:val="none" w:sz="0" w:space="0" w:color="auto"/>
                    <w:right w:val="none" w:sz="0" w:space="0" w:color="auto"/>
                  </w:divBdr>
                  <w:divsChild>
                    <w:div w:id="378478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6408822">
      <w:bodyDiv w:val="1"/>
      <w:marLeft w:val="0"/>
      <w:marRight w:val="0"/>
      <w:marTop w:val="0"/>
      <w:marBottom w:val="0"/>
      <w:divBdr>
        <w:top w:val="none" w:sz="0" w:space="0" w:color="auto"/>
        <w:left w:val="none" w:sz="0" w:space="0" w:color="auto"/>
        <w:bottom w:val="none" w:sz="0" w:space="0" w:color="auto"/>
        <w:right w:val="none" w:sz="0" w:space="0" w:color="auto"/>
      </w:divBdr>
    </w:div>
    <w:div w:id="442572868">
      <w:bodyDiv w:val="1"/>
      <w:marLeft w:val="0"/>
      <w:marRight w:val="0"/>
      <w:marTop w:val="0"/>
      <w:marBottom w:val="0"/>
      <w:divBdr>
        <w:top w:val="none" w:sz="0" w:space="0" w:color="auto"/>
        <w:left w:val="none" w:sz="0" w:space="0" w:color="auto"/>
        <w:bottom w:val="none" w:sz="0" w:space="0" w:color="auto"/>
        <w:right w:val="none" w:sz="0" w:space="0" w:color="auto"/>
      </w:divBdr>
    </w:div>
    <w:div w:id="443311199">
      <w:bodyDiv w:val="1"/>
      <w:marLeft w:val="0"/>
      <w:marRight w:val="0"/>
      <w:marTop w:val="0"/>
      <w:marBottom w:val="0"/>
      <w:divBdr>
        <w:top w:val="none" w:sz="0" w:space="0" w:color="auto"/>
        <w:left w:val="none" w:sz="0" w:space="0" w:color="auto"/>
        <w:bottom w:val="none" w:sz="0" w:space="0" w:color="auto"/>
        <w:right w:val="none" w:sz="0" w:space="0" w:color="auto"/>
      </w:divBdr>
    </w:div>
    <w:div w:id="445658230">
      <w:bodyDiv w:val="1"/>
      <w:marLeft w:val="0"/>
      <w:marRight w:val="0"/>
      <w:marTop w:val="0"/>
      <w:marBottom w:val="0"/>
      <w:divBdr>
        <w:top w:val="none" w:sz="0" w:space="0" w:color="auto"/>
        <w:left w:val="none" w:sz="0" w:space="0" w:color="auto"/>
        <w:bottom w:val="none" w:sz="0" w:space="0" w:color="auto"/>
        <w:right w:val="none" w:sz="0" w:space="0" w:color="auto"/>
      </w:divBdr>
    </w:div>
    <w:div w:id="448089522">
      <w:bodyDiv w:val="1"/>
      <w:marLeft w:val="0"/>
      <w:marRight w:val="0"/>
      <w:marTop w:val="0"/>
      <w:marBottom w:val="0"/>
      <w:divBdr>
        <w:top w:val="none" w:sz="0" w:space="0" w:color="auto"/>
        <w:left w:val="none" w:sz="0" w:space="0" w:color="auto"/>
        <w:bottom w:val="none" w:sz="0" w:space="0" w:color="auto"/>
        <w:right w:val="none" w:sz="0" w:space="0" w:color="auto"/>
      </w:divBdr>
    </w:div>
    <w:div w:id="456412842">
      <w:bodyDiv w:val="1"/>
      <w:marLeft w:val="0"/>
      <w:marRight w:val="0"/>
      <w:marTop w:val="0"/>
      <w:marBottom w:val="0"/>
      <w:divBdr>
        <w:top w:val="none" w:sz="0" w:space="0" w:color="auto"/>
        <w:left w:val="none" w:sz="0" w:space="0" w:color="auto"/>
        <w:bottom w:val="none" w:sz="0" w:space="0" w:color="auto"/>
        <w:right w:val="none" w:sz="0" w:space="0" w:color="auto"/>
      </w:divBdr>
    </w:div>
    <w:div w:id="460225724">
      <w:bodyDiv w:val="1"/>
      <w:marLeft w:val="0"/>
      <w:marRight w:val="0"/>
      <w:marTop w:val="0"/>
      <w:marBottom w:val="0"/>
      <w:divBdr>
        <w:top w:val="none" w:sz="0" w:space="0" w:color="auto"/>
        <w:left w:val="none" w:sz="0" w:space="0" w:color="auto"/>
        <w:bottom w:val="none" w:sz="0" w:space="0" w:color="auto"/>
        <w:right w:val="none" w:sz="0" w:space="0" w:color="auto"/>
      </w:divBdr>
    </w:div>
    <w:div w:id="461582812">
      <w:bodyDiv w:val="1"/>
      <w:marLeft w:val="0"/>
      <w:marRight w:val="0"/>
      <w:marTop w:val="0"/>
      <w:marBottom w:val="0"/>
      <w:divBdr>
        <w:top w:val="none" w:sz="0" w:space="0" w:color="auto"/>
        <w:left w:val="none" w:sz="0" w:space="0" w:color="auto"/>
        <w:bottom w:val="none" w:sz="0" w:space="0" w:color="auto"/>
        <w:right w:val="none" w:sz="0" w:space="0" w:color="auto"/>
      </w:divBdr>
    </w:div>
    <w:div w:id="466168769">
      <w:bodyDiv w:val="1"/>
      <w:marLeft w:val="0"/>
      <w:marRight w:val="0"/>
      <w:marTop w:val="0"/>
      <w:marBottom w:val="0"/>
      <w:divBdr>
        <w:top w:val="none" w:sz="0" w:space="0" w:color="auto"/>
        <w:left w:val="none" w:sz="0" w:space="0" w:color="auto"/>
        <w:bottom w:val="none" w:sz="0" w:space="0" w:color="auto"/>
        <w:right w:val="none" w:sz="0" w:space="0" w:color="auto"/>
      </w:divBdr>
    </w:div>
    <w:div w:id="466313015">
      <w:bodyDiv w:val="1"/>
      <w:marLeft w:val="0"/>
      <w:marRight w:val="0"/>
      <w:marTop w:val="0"/>
      <w:marBottom w:val="0"/>
      <w:divBdr>
        <w:top w:val="none" w:sz="0" w:space="0" w:color="auto"/>
        <w:left w:val="none" w:sz="0" w:space="0" w:color="auto"/>
        <w:bottom w:val="none" w:sz="0" w:space="0" w:color="auto"/>
        <w:right w:val="none" w:sz="0" w:space="0" w:color="auto"/>
      </w:divBdr>
    </w:div>
    <w:div w:id="466822864">
      <w:bodyDiv w:val="1"/>
      <w:marLeft w:val="0"/>
      <w:marRight w:val="0"/>
      <w:marTop w:val="0"/>
      <w:marBottom w:val="0"/>
      <w:divBdr>
        <w:top w:val="none" w:sz="0" w:space="0" w:color="auto"/>
        <w:left w:val="none" w:sz="0" w:space="0" w:color="auto"/>
        <w:bottom w:val="none" w:sz="0" w:space="0" w:color="auto"/>
        <w:right w:val="none" w:sz="0" w:space="0" w:color="auto"/>
      </w:divBdr>
      <w:divsChild>
        <w:div w:id="1009404243">
          <w:marLeft w:val="274"/>
          <w:marRight w:val="0"/>
          <w:marTop w:val="0"/>
          <w:marBottom w:val="0"/>
          <w:divBdr>
            <w:top w:val="none" w:sz="0" w:space="0" w:color="auto"/>
            <w:left w:val="none" w:sz="0" w:space="0" w:color="auto"/>
            <w:bottom w:val="none" w:sz="0" w:space="0" w:color="auto"/>
            <w:right w:val="none" w:sz="0" w:space="0" w:color="auto"/>
          </w:divBdr>
        </w:div>
        <w:div w:id="1423801170">
          <w:marLeft w:val="274"/>
          <w:marRight w:val="0"/>
          <w:marTop w:val="0"/>
          <w:marBottom w:val="0"/>
          <w:divBdr>
            <w:top w:val="none" w:sz="0" w:space="0" w:color="auto"/>
            <w:left w:val="none" w:sz="0" w:space="0" w:color="auto"/>
            <w:bottom w:val="none" w:sz="0" w:space="0" w:color="auto"/>
            <w:right w:val="none" w:sz="0" w:space="0" w:color="auto"/>
          </w:divBdr>
        </w:div>
        <w:div w:id="1437095318">
          <w:marLeft w:val="274"/>
          <w:marRight w:val="0"/>
          <w:marTop w:val="0"/>
          <w:marBottom w:val="0"/>
          <w:divBdr>
            <w:top w:val="none" w:sz="0" w:space="0" w:color="auto"/>
            <w:left w:val="none" w:sz="0" w:space="0" w:color="auto"/>
            <w:bottom w:val="none" w:sz="0" w:space="0" w:color="auto"/>
            <w:right w:val="none" w:sz="0" w:space="0" w:color="auto"/>
          </w:divBdr>
        </w:div>
        <w:div w:id="1747072039">
          <w:marLeft w:val="274"/>
          <w:marRight w:val="0"/>
          <w:marTop w:val="0"/>
          <w:marBottom w:val="0"/>
          <w:divBdr>
            <w:top w:val="none" w:sz="0" w:space="0" w:color="auto"/>
            <w:left w:val="none" w:sz="0" w:space="0" w:color="auto"/>
            <w:bottom w:val="none" w:sz="0" w:space="0" w:color="auto"/>
            <w:right w:val="none" w:sz="0" w:space="0" w:color="auto"/>
          </w:divBdr>
        </w:div>
        <w:div w:id="1923831916">
          <w:marLeft w:val="274"/>
          <w:marRight w:val="0"/>
          <w:marTop w:val="0"/>
          <w:marBottom w:val="0"/>
          <w:divBdr>
            <w:top w:val="none" w:sz="0" w:space="0" w:color="auto"/>
            <w:left w:val="none" w:sz="0" w:space="0" w:color="auto"/>
            <w:bottom w:val="none" w:sz="0" w:space="0" w:color="auto"/>
            <w:right w:val="none" w:sz="0" w:space="0" w:color="auto"/>
          </w:divBdr>
        </w:div>
        <w:div w:id="2072337793">
          <w:marLeft w:val="274"/>
          <w:marRight w:val="0"/>
          <w:marTop w:val="0"/>
          <w:marBottom w:val="0"/>
          <w:divBdr>
            <w:top w:val="none" w:sz="0" w:space="0" w:color="auto"/>
            <w:left w:val="none" w:sz="0" w:space="0" w:color="auto"/>
            <w:bottom w:val="none" w:sz="0" w:space="0" w:color="auto"/>
            <w:right w:val="none" w:sz="0" w:space="0" w:color="auto"/>
          </w:divBdr>
        </w:div>
        <w:div w:id="2118718281">
          <w:marLeft w:val="274"/>
          <w:marRight w:val="0"/>
          <w:marTop w:val="0"/>
          <w:marBottom w:val="0"/>
          <w:divBdr>
            <w:top w:val="none" w:sz="0" w:space="0" w:color="auto"/>
            <w:left w:val="none" w:sz="0" w:space="0" w:color="auto"/>
            <w:bottom w:val="none" w:sz="0" w:space="0" w:color="auto"/>
            <w:right w:val="none" w:sz="0" w:space="0" w:color="auto"/>
          </w:divBdr>
        </w:div>
      </w:divsChild>
    </w:div>
    <w:div w:id="468287332">
      <w:bodyDiv w:val="1"/>
      <w:marLeft w:val="0"/>
      <w:marRight w:val="0"/>
      <w:marTop w:val="0"/>
      <w:marBottom w:val="0"/>
      <w:divBdr>
        <w:top w:val="none" w:sz="0" w:space="0" w:color="auto"/>
        <w:left w:val="none" w:sz="0" w:space="0" w:color="auto"/>
        <w:bottom w:val="none" w:sz="0" w:space="0" w:color="auto"/>
        <w:right w:val="none" w:sz="0" w:space="0" w:color="auto"/>
      </w:divBdr>
      <w:divsChild>
        <w:div w:id="809785259">
          <w:marLeft w:val="274"/>
          <w:marRight w:val="0"/>
          <w:marTop w:val="0"/>
          <w:marBottom w:val="160"/>
          <w:divBdr>
            <w:top w:val="none" w:sz="0" w:space="0" w:color="auto"/>
            <w:left w:val="none" w:sz="0" w:space="0" w:color="auto"/>
            <w:bottom w:val="none" w:sz="0" w:space="0" w:color="auto"/>
            <w:right w:val="none" w:sz="0" w:space="0" w:color="auto"/>
          </w:divBdr>
        </w:div>
        <w:div w:id="2014870721">
          <w:marLeft w:val="274"/>
          <w:marRight w:val="0"/>
          <w:marTop w:val="0"/>
          <w:marBottom w:val="160"/>
          <w:divBdr>
            <w:top w:val="none" w:sz="0" w:space="0" w:color="auto"/>
            <w:left w:val="none" w:sz="0" w:space="0" w:color="auto"/>
            <w:bottom w:val="none" w:sz="0" w:space="0" w:color="auto"/>
            <w:right w:val="none" w:sz="0" w:space="0" w:color="auto"/>
          </w:divBdr>
        </w:div>
        <w:div w:id="2063291514">
          <w:marLeft w:val="274"/>
          <w:marRight w:val="0"/>
          <w:marTop w:val="0"/>
          <w:marBottom w:val="160"/>
          <w:divBdr>
            <w:top w:val="none" w:sz="0" w:space="0" w:color="auto"/>
            <w:left w:val="none" w:sz="0" w:space="0" w:color="auto"/>
            <w:bottom w:val="none" w:sz="0" w:space="0" w:color="auto"/>
            <w:right w:val="none" w:sz="0" w:space="0" w:color="auto"/>
          </w:divBdr>
        </w:div>
      </w:divsChild>
    </w:div>
    <w:div w:id="476337566">
      <w:bodyDiv w:val="1"/>
      <w:marLeft w:val="0"/>
      <w:marRight w:val="0"/>
      <w:marTop w:val="0"/>
      <w:marBottom w:val="0"/>
      <w:divBdr>
        <w:top w:val="none" w:sz="0" w:space="0" w:color="auto"/>
        <w:left w:val="none" w:sz="0" w:space="0" w:color="auto"/>
        <w:bottom w:val="none" w:sz="0" w:space="0" w:color="auto"/>
        <w:right w:val="none" w:sz="0" w:space="0" w:color="auto"/>
      </w:divBdr>
    </w:div>
    <w:div w:id="480005837">
      <w:bodyDiv w:val="1"/>
      <w:marLeft w:val="0"/>
      <w:marRight w:val="0"/>
      <w:marTop w:val="0"/>
      <w:marBottom w:val="0"/>
      <w:divBdr>
        <w:top w:val="none" w:sz="0" w:space="0" w:color="auto"/>
        <w:left w:val="none" w:sz="0" w:space="0" w:color="auto"/>
        <w:bottom w:val="none" w:sz="0" w:space="0" w:color="auto"/>
        <w:right w:val="none" w:sz="0" w:space="0" w:color="auto"/>
      </w:divBdr>
    </w:div>
    <w:div w:id="482770460">
      <w:bodyDiv w:val="1"/>
      <w:marLeft w:val="0"/>
      <w:marRight w:val="0"/>
      <w:marTop w:val="0"/>
      <w:marBottom w:val="0"/>
      <w:divBdr>
        <w:top w:val="none" w:sz="0" w:space="0" w:color="auto"/>
        <w:left w:val="none" w:sz="0" w:space="0" w:color="auto"/>
        <w:bottom w:val="none" w:sz="0" w:space="0" w:color="auto"/>
        <w:right w:val="none" w:sz="0" w:space="0" w:color="auto"/>
      </w:divBdr>
    </w:div>
    <w:div w:id="485587821">
      <w:bodyDiv w:val="1"/>
      <w:marLeft w:val="0"/>
      <w:marRight w:val="0"/>
      <w:marTop w:val="0"/>
      <w:marBottom w:val="0"/>
      <w:divBdr>
        <w:top w:val="none" w:sz="0" w:space="0" w:color="auto"/>
        <w:left w:val="none" w:sz="0" w:space="0" w:color="auto"/>
        <w:bottom w:val="none" w:sz="0" w:space="0" w:color="auto"/>
        <w:right w:val="none" w:sz="0" w:space="0" w:color="auto"/>
      </w:divBdr>
      <w:divsChild>
        <w:div w:id="1988390917">
          <w:marLeft w:val="274"/>
          <w:marRight w:val="0"/>
          <w:marTop w:val="0"/>
          <w:marBottom w:val="0"/>
          <w:divBdr>
            <w:top w:val="none" w:sz="0" w:space="0" w:color="auto"/>
            <w:left w:val="none" w:sz="0" w:space="0" w:color="auto"/>
            <w:bottom w:val="none" w:sz="0" w:space="0" w:color="auto"/>
            <w:right w:val="none" w:sz="0" w:space="0" w:color="auto"/>
          </w:divBdr>
        </w:div>
      </w:divsChild>
    </w:div>
    <w:div w:id="490148037">
      <w:bodyDiv w:val="1"/>
      <w:marLeft w:val="0"/>
      <w:marRight w:val="0"/>
      <w:marTop w:val="0"/>
      <w:marBottom w:val="0"/>
      <w:divBdr>
        <w:top w:val="none" w:sz="0" w:space="0" w:color="auto"/>
        <w:left w:val="none" w:sz="0" w:space="0" w:color="auto"/>
        <w:bottom w:val="none" w:sz="0" w:space="0" w:color="auto"/>
        <w:right w:val="none" w:sz="0" w:space="0" w:color="auto"/>
      </w:divBdr>
    </w:div>
    <w:div w:id="504515254">
      <w:bodyDiv w:val="1"/>
      <w:marLeft w:val="0"/>
      <w:marRight w:val="0"/>
      <w:marTop w:val="0"/>
      <w:marBottom w:val="0"/>
      <w:divBdr>
        <w:top w:val="none" w:sz="0" w:space="0" w:color="auto"/>
        <w:left w:val="none" w:sz="0" w:space="0" w:color="auto"/>
        <w:bottom w:val="none" w:sz="0" w:space="0" w:color="auto"/>
        <w:right w:val="none" w:sz="0" w:space="0" w:color="auto"/>
      </w:divBdr>
    </w:div>
    <w:div w:id="505362346">
      <w:bodyDiv w:val="1"/>
      <w:marLeft w:val="0"/>
      <w:marRight w:val="0"/>
      <w:marTop w:val="0"/>
      <w:marBottom w:val="0"/>
      <w:divBdr>
        <w:top w:val="none" w:sz="0" w:space="0" w:color="auto"/>
        <w:left w:val="none" w:sz="0" w:space="0" w:color="auto"/>
        <w:bottom w:val="none" w:sz="0" w:space="0" w:color="auto"/>
        <w:right w:val="none" w:sz="0" w:space="0" w:color="auto"/>
      </w:divBdr>
    </w:div>
    <w:div w:id="513107154">
      <w:bodyDiv w:val="1"/>
      <w:marLeft w:val="0"/>
      <w:marRight w:val="0"/>
      <w:marTop w:val="0"/>
      <w:marBottom w:val="0"/>
      <w:divBdr>
        <w:top w:val="none" w:sz="0" w:space="0" w:color="auto"/>
        <w:left w:val="none" w:sz="0" w:space="0" w:color="auto"/>
        <w:bottom w:val="none" w:sz="0" w:space="0" w:color="auto"/>
        <w:right w:val="none" w:sz="0" w:space="0" w:color="auto"/>
      </w:divBdr>
    </w:div>
    <w:div w:id="513879990">
      <w:bodyDiv w:val="1"/>
      <w:marLeft w:val="0"/>
      <w:marRight w:val="0"/>
      <w:marTop w:val="0"/>
      <w:marBottom w:val="0"/>
      <w:divBdr>
        <w:top w:val="none" w:sz="0" w:space="0" w:color="auto"/>
        <w:left w:val="none" w:sz="0" w:space="0" w:color="auto"/>
        <w:bottom w:val="none" w:sz="0" w:space="0" w:color="auto"/>
        <w:right w:val="none" w:sz="0" w:space="0" w:color="auto"/>
      </w:divBdr>
    </w:div>
    <w:div w:id="515115937">
      <w:bodyDiv w:val="1"/>
      <w:marLeft w:val="0"/>
      <w:marRight w:val="0"/>
      <w:marTop w:val="0"/>
      <w:marBottom w:val="0"/>
      <w:divBdr>
        <w:top w:val="none" w:sz="0" w:space="0" w:color="auto"/>
        <w:left w:val="none" w:sz="0" w:space="0" w:color="auto"/>
        <w:bottom w:val="none" w:sz="0" w:space="0" w:color="auto"/>
        <w:right w:val="none" w:sz="0" w:space="0" w:color="auto"/>
      </w:divBdr>
    </w:div>
    <w:div w:id="518352352">
      <w:bodyDiv w:val="1"/>
      <w:marLeft w:val="0"/>
      <w:marRight w:val="0"/>
      <w:marTop w:val="0"/>
      <w:marBottom w:val="0"/>
      <w:divBdr>
        <w:top w:val="none" w:sz="0" w:space="0" w:color="auto"/>
        <w:left w:val="none" w:sz="0" w:space="0" w:color="auto"/>
        <w:bottom w:val="none" w:sz="0" w:space="0" w:color="auto"/>
        <w:right w:val="none" w:sz="0" w:space="0" w:color="auto"/>
      </w:divBdr>
    </w:div>
    <w:div w:id="520552918">
      <w:bodyDiv w:val="1"/>
      <w:marLeft w:val="0"/>
      <w:marRight w:val="0"/>
      <w:marTop w:val="0"/>
      <w:marBottom w:val="0"/>
      <w:divBdr>
        <w:top w:val="none" w:sz="0" w:space="0" w:color="auto"/>
        <w:left w:val="none" w:sz="0" w:space="0" w:color="auto"/>
        <w:bottom w:val="none" w:sz="0" w:space="0" w:color="auto"/>
        <w:right w:val="none" w:sz="0" w:space="0" w:color="auto"/>
      </w:divBdr>
      <w:divsChild>
        <w:div w:id="1600798271">
          <w:marLeft w:val="274"/>
          <w:marRight w:val="0"/>
          <w:marTop w:val="120"/>
          <w:marBottom w:val="120"/>
          <w:divBdr>
            <w:top w:val="none" w:sz="0" w:space="0" w:color="auto"/>
            <w:left w:val="none" w:sz="0" w:space="0" w:color="auto"/>
            <w:bottom w:val="none" w:sz="0" w:space="0" w:color="auto"/>
            <w:right w:val="none" w:sz="0" w:space="0" w:color="auto"/>
          </w:divBdr>
        </w:div>
        <w:div w:id="1797916921">
          <w:marLeft w:val="274"/>
          <w:marRight w:val="0"/>
          <w:marTop w:val="120"/>
          <w:marBottom w:val="120"/>
          <w:divBdr>
            <w:top w:val="none" w:sz="0" w:space="0" w:color="auto"/>
            <w:left w:val="none" w:sz="0" w:space="0" w:color="auto"/>
            <w:bottom w:val="none" w:sz="0" w:space="0" w:color="auto"/>
            <w:right w:val="none" w:sz="0" w:space="0" w:color="auto"/>
          </w:divBdr>
        </w:div>
      </w:divsChild>
    </w:div>
    <w:div w:id="520897846">
      <w:bodyDiv w:val="1"/>
      <w:marLeft w:val="0"/>
      <w:marRight w:val="0"/>
      <w:marTop w:val="0"/>
      <w:marBottom w:val="0"/>
      <w:divBdr>
        <w:top w:val="none" w:sz="0" w:space="0" w:color="auto"/>
        <w:left w:val="none" w:sz="0" w:space="0" w:color="auto"/>
        <w:bottom w:val="none" w:sz="0" w:space="0" w:color="auto"/>
        <w:right w:val="none" w:sz="0" w:space="0" w:color="auto"/>
      </w:divBdr>
    </w:div>
    <w:div w:id="524179100">
      <w:bodyDiv w:val="1"/>
      <w:marLeft w:val="0"/>
      <w:marRight w:val="0"/>
      <w:marTop w:val="0"/>
      <w:marBottom w:val="0"/>
      <w:divBdr>
        <w:top w:val="none" w:sz="0" w:space="0" w:color="auto"/>
        <w:left w:val="none" w:sz="0" w:space="0" w:color="auto"/>
        <w:bottom w:val="none" w:sz="0" w:space="0" w:color="auto"/>
        <w:right w:val="none" w:sz="0" w:space="0" w:color="auto"/>
      </w:divBdr>
    </w:div>
    <w:div w:id="524441891">
      <w:bodyDiv w:val="1"/>
      <w:marLeft w:val="0"/>
      <w:marRight w:val="0"/>
      <w:marTop w:val="0"/>
      <w:marBottom w:val="0"/>
      <w:divBdr>
        <w:top w:val="none" w:sz="0" w:space="0" w:color="auto"/>
        <w:left w:val="none" w:sz="0" w:space="0" w:color="auto"/>
        <w:bottom w:val="none" w:sz="0" w:space="0" w:color="auto"/>
        <w:right w:val="none" w:sz="0" w:space="0" w:color="auto"/>
      </w:divBdr>
    </w:div>
    <w:div w:id="525413663">
      <w:bodyDiv w:val="1"/>
      <w:marLeft w:val="0"/>
      <w:marRight w:val="0"/>
      <w:marTop w:val="0"/>
      <w:marBottom w:val="0"/>
      <w:divBdr>
        <w:top w:val="none" w:sz="0" w:space="0" w:color="auto"/>
        <w:left w:val="none" w:sz="0" w:space="0" w:color="auto"/>
        <w:bottom w:val="none" w:sz="0" w:space="0" w:color="auto"/>
        <w:right w:val="none" w:sz="0" w:space="0" w:color="auto"/>
      </w:divBdr>
      <w:divsChild>
        <w:div w:id="286277911">
          <w:marLeft w:val="979"/>
          <w:marRight w:val="0"/>
          <w:marTop w:val="0"/>
          <w:marBottom w:val="120"/>
          <w:divBdr>
            <w:top w:val="none" w:sz="0" w:space="0" w:color="auto"/>
            <w:left w:val="none" w:sz="0" w:space="0" w:color="auto"/>
            <w:bottom w:val="none" w:sz="0" w:space="0" w:color="auto"/>
            <w:right w:val="none" w:sz="0" w:space="0" w:color="auto"/>
          </w:divBdr>
        </w:div>
        <w:div w:id="487481889">
          <w:marLeft w:val="446"/>
          <w:marRight w:val="0"/>
          <w:marTop w:val="0"/>
          <w:marBottom w:val="120"/>
          <w:divBdr>
            <w:top w:val="none" w:sz="0" w:space="0" w:color="auto"/>
            <w:left w:val="none" w:sz="0" w:space="0" w:color="auto"/>
            <w:bottom w:val="none" w:sz="0" w:space="0" w:color="auto"/>
            <w:right w:val="none" w:sz="0" w:space="0" w:color="auto"/>
          </w:divBdr>
        </w:div>
        <w:div w:id="894588128">
          <w:marLeft w:val="446"/>
          <w:marRight w:val="0"/>
          <w:marTop w:val="0"/>
          <w:marBottom w:val="120"/>
          <w:divBdr>
            <w:top w:val="none" w:sz="0" w:space="0" w:color="auto"/>
            <w:left w:val="none" w:sz="0" w:space="0" w:color="auto"/>
            <w:bottom w:val="none" w:sz="0" w:space="0" w:color="auto"/>
            <w:right w:val="none" w:sz="0" w:space="0" w:color="auto"/>
          </w:divBdr>
        </w:div>
        <w:div w:id="1076784772">
          <w:marLeft w:val="446"/>
          <w:marRight w:val="0"/>
          <w:marTop w:val="0"/>
          <w:marBottom w:val="120"/>
          <w:divBdr>
            <w:top w:val="none" w:sz="0" w:space="0" w:color="auto"/>
            <w:left w:val="none" w:sz="0" w:space="0" w:color="auto"/>
            <w:bottom w:val="none" w:sz="0" w:space="0" w:color="auto"/>
            <w:right w:val="none" w:sz="0" w:space="0" w:color="auto"/>
          </w:divBdr>
        </w:div>
        <w:div w:id="1492022087">
          <w:marLeft w:val="979"/>
          <w:marRight w:val="0"/>
          <w:marTop w:val="0"/>
          <w:marBottom w:val="120"/>
          <w:divBdr>
            <w:top w:val="none" w:sz="0" w:space="0" w:color="auto"/>
            <w:left w:val="none" w:sz="0" w:space="0" w:color="auto"/>
            <w:bottom w:val="none" w:sz="0" w:space="0" w:color="auto"/>
            <w:right w:val="none" w:sz="0" w:space="0" w:color="auto"/>
          </w:divBdr>
        </w:div>
        <w:div w:id="2002004855">
          <w:marLeft w:val="979"/>
          <w:marRight w:val="0"/>
          <w:marTop w:val="0"/>
          <w:marBottom w:val="120"/>
          <w:divBdr>
            <w:top w:val="none" w:sz="0" w:space="0" w:color="auto"/>
            <w:left w:val="none" w:sz="0" w:space="0" w:color="auto"/>
            <w:bottom w:val="none" w:sz="0" w:space="0" w:color="auto"/>
            <w:right w:val="none" w:sz="0" w:space="0" w:color="auto"/>
          </w:divBdr>
        </w:div>
      </w:divsChild>
    </w:div>
    <w:div w:id="528956345">
      <w:bodyDiv w:val="1"/>
      <w:marLeft w:val="0"/>
      <w:marRight w:val="0"/>
      <w:marTop w:val="0"/>
      <w:marBottom w:val="0"/>
      <w:divBdr>
        <w:top w:val="none" w:sz="0" w:space="0" w:color="auto"/>
        <w:left w:val="none" w:sz="0" w:space="0" w:color="auto"/>
        <w:bottom w:val="none" w:sz="0" w:space="0" w:color="auto"/>
        <w:right w:val="none" w:sz="0" w:space="0" w:color="auto"/>
      </w:divBdr>
    </w:div>
    <w:div w:id="532307174">
      <w:bodyDiv w:val="1"/>
      <w:marLeft w:val="0"/>
      <w:marRight w:val="0"/>
      <w:marTop w:val="0"/>
      <w:marBottom w:val="0"/>
      <w:divBdr>
        <w:top w:val="none" w:sz="0" w:space="0" w:color="auto"/>
        <w:left w:val="none" w:sz="0" w:space="0" w:color="auto"/>
        <w:bottom w:val="none" w:sz="0" w:space="0" w:color="auto"/>
        <w:right w:val="none" w:sz="0" w:space="0" w:color="auto"/>
      </w:divBdr>
    </w:div>
    <w:div w:id="534345477">
      <w:bodyDiv w:val="1"/>
      <w:marLeft w:val="0"/>
      <w:marRight w:val="0"/>
      <w:marTop w:val="0"/>
      <w:marBottom w:val="0"/>
      <w:divBdr>
        <w:top w:val="none" w:sz="0" w:space="0" w:color="auto"/>
        <w:left w:val="none" w:sz="0" w:space="0" w:color="auto"/>
        <w:bottom w:val="none" w:sz="0" w:space="0" w:color="auto"/>
        <w:right w:val="none" w:sz="0" w:space="0" w:color="auto"/>
      </w:divBdr>
      <w:divsChild>
        <w:div w:id="82803612">
          <w:marLeft w:val="274"/>
          <w:marRight w:val="0"/>
          <w:marTop w:val="60"/>
          <w:marBottom w:val="0"/>
          <w:divBdr>
            <w:top w:val="none" w:sz="0" w:space="0" w:color="auto"/>
            <w:left w:val="none" w:sz="0" w:space="0" w:color="auto"/>
            <w:bottom w:val="none" w:sz="0" w:space="0" w:color="auto"/>
            <w:right w:val="none" w:sz="0" w:space="0" w:color="auto"/>
          </w:divBdr>
        </w:div>
        <w:div w:id="984547895">
          <w:marLeft w:val="274"/>
          <w:marRight w:val="0"/>
          <w:marTop w:val="60"/>
          <w:marBottom w:val="0"/>
          <w:divBdr>
            <w:top w:val="none" w:sz="0" w:space="0" w:color="auto"/>
            <w:left w:val="none" w:sz="0" w:space="0" w:color="auto"/>
            <w:bottom w:val="none" w:sz="0" w:space="0" w:color="auto"/>
            <w:right w:val="none" w:sz="0" w:space="0" w:color="auto"/>
          </w:divBdr>
        </w:div>
        <w:div w:id="1918400359">
          <w:marLeft w:val="274"/>
          <w:marRight w:val="0"/>
          <w:marTop w:val="60"/>
          <w:marBottom w:val="0"/>
          <w:divBdr>
            <w:top w:val="none" w:sz="0" w:space="0" w:color="auto"/>
            <w:left w:val="none" w:sz="0" w:space="0" w:color="auto"/>
            <w:bottom w:val="none" w:sz="0" w:space="0" w:color="auto"/>
            <w:right w:val="none" w:sz="0" w:space="0" w:color="auto"/>
          </w:divBdr>
        </w:div>
        <w:div w:id="2032755505">
          <w:marLeft w:val="274"/>
          <w:marRight w:val="0"/>
          <w:marTop w:val="60"/>
          <w:marBottom w:val="0"/>
          <w:divBdr>
            <w:top w:val="none" w:sz="0" w:space="0" w:color="auto"/>
            <w:left w:val="none" w:sz="0" w:space="0" w:color="auto"/>
            <w:bottom w:val="none" w:sz="0" w:space="0" w:color="auto"/>
            <w:right w:val="none" w:sz="0" w:space="0" w:color="auto"/>
          </w:divBdr>
        </w:div>
        <w:div w:id="2109348036">
          <w:marLeft w:val="274"/>
          <w:marRight w:val="0"/>
          <w:marTop w:val="60"/>
          <w:marBottom w:val="0"/>
          <w:divBdr>
            <w:top w:val="none" w:sz="0" w:space="0" w:color="auto"/>
            <w:left w:val="none" w:sz="0" w:space="0" w:color="auto"/>
            <w:bottom w:val="none" w:sz="0" w:space="0" w:color="auto"/>
            <w:right w:val="none" w:sz="0" w:space="0" w:color="auto"/>
          </w:divBdr>
        </w:div>
      </w:divsChild>
    </w:div>
    <w:div w:id="538011584">
      <w:bodyDiv w:val="1"/>
      <w:marLeft w:val="0"/>
      <w:marRight w:val="0"/>
      <w:marTop w:val="0"/>
      <w:marBottom w:val="0"/>
      <w:divBdr>
        <w:top w:val="none" w:sz="0" w:space="0" w:color="auto"/>
        <w:left w:val="none" w:sz="0" w:space="0" w:color="auto"/>
        <w:bottom w:val="none" w:sz="0" w:space="0" w:color="auto"/>
        <w:right w:val="none" w:sz="0" w:space="0" w:color="auto"/>
      </w:divBdr>
    </w:div>
    <w:div w:id="538710738">
      <w:bodyDiv w:val="1"/>
      <w:marLeft w:val="0"/>
      <w:marRight w:val="0"/>
      <w:marTop w:val="0"/>
      <w:marBottom w:val="0"/>
      <w:divBdr>
        <w:top w:val="none" w:sz="0" w:space="0" w:color="auto"/>
        <w:left w:val="none" w:sz="0" w:space="0" w:color="auto"/>
        <w:bottom w:val="none" w:sz="0" w:space="0" w:color="auto"/>
        <w:right w:val="none" w:sz="0" w:space="0" w:color="auto"/>
      </w:divBdr>
    </w:div>
    <w:div w:id="553588074">
      <w:bodyDiv w:val="1"/>
      <w:marLeft w:val="0"/>
      <w:marRight w:val="0"/>
      <w:marTop w:val="0"/>
      <w:marBottom w:val="0"/>
      <w:divBdr>
        <w:top w:val="none" w:sz="0" w:space="0" w:color="auto"/>
        <w:left w:val="none" w:sz="0" w:space="0" w:color="auto"/>
        <w:bottom w:val="none" w:sz="0" w:space="0" w:color="auto"/>
        <w:right w:val="none" w:sz="0" w:space="0" w:color="auto"/>
      </w:divBdr>
    </w:div>
    <w:div w:id="555820161">
      <w:bodyDiv w:val="1"/>
      <w:marLeft w:val="0"/>
      <w:marRight w:val="0"/>
      <w:marTop w:val="0"/>
      <w:marBottom w:val="0"/>
      <w:divBdr>
        <w:top w:val="none" w:sz="0" w:space="0" w:color="auto"/>
        <w:left w:val="none" w:sz="0" w:space="0" w:color="auto"/>
        <w:bottom w:val="none" w:sz="0" w:space="0" w:color="auto"/>
        <w:right w:val="none" w:sz="0" w:space="0" w:color="auto"/>
      </w:divBdr>
    </w:div>
    <w:div w:id="557009522">
      <w:bodyDiv w:val="1"/>
      <w:marLeft w:val="0"/>
      <w:marRight w:val="0"/>
      <w:marTop w:val="0"/>
      <w:marBottom w:val="0"/>
      <w:divBdr>
        <w:top w:val="none" w:sz="0" w:space="0" w:color="auto"/>
        <w:left w:val="none" w:sz="0" w:space="0" w:color="auto"/>
        <w:bottom w:val="none" w:sz="0" w:space="0" w:color="auto"/>
        <w:right w:val="none" w:sz="0" w:space="0" w:color="auto"/>
      </w:divBdr>
    </w:div>
    <w:div w:id="565649872">
      <w:bodyDiv w:val="1"/>
      <w:marLeft w:val="0"/>
      <w:marRight w:val="0"/>
      <w:marTop w:val="0"/>
      <w:marBottom w:val="0"/>
      <w:divBdr>
        <w:top w:val="none" w:sz="0" w:space="0" w:color="auto"/>
        <w:left w:val="none" w:sz="0" w:space="0" w:color="auto"/>
        <w:bottom w:val="none" w:sz="0" w:space="0" w:color="auto"/>
        <w:right w:val="none" w:sz="0" w:space="0" w:color="auto"/>
      </w:divBdr>
      <w:divsChild>
        <w:div w:id="381372518">
          <w:marLeft w:val="446"/>
          <w:marRight w:val="0"/>
          <w:marTop w:val="0"/>
          <w:marBottom w:val="120"/>
          <w:divBdr>
            <w:top w:val="none" w:sz="0" w:space="0" w:color="auto"/>
            <w:left w:val="none" w:sz="0" w:space="0" w:color="auto"/>
            <w:bottom w:val="none" w:sz="0" w:space="0" w:color="auto"/>
            <w:right w:val="none" w:sz="0" w:space="0" w:color="auto"/>
          </w:divBdr>
        </w:div>
      </w:divsChild>
    </w:div>
    <w:div w:id="569120595">
      <w:bodyDiv w:val="1"/>
      <w:marLeft w:val="0"/>
      <w:marRight w:val="0"/>
      <w:marTop w:val="0"/>
      <w:marBottom w:val="0"/>
      <w:divBdr>
        <w:top w:val="none" w:sz="0" w:space="0" w:color="auto"/>
        <w:left w:val="none" w:sz="0" w:space="0" w:color="auto"/>
        <w:bottom w:val="none" w:sz="0" w:space="0" w:color="auto"/>
        <w:right w:val="none" w:sz="0" w:space="0" w:color="auto"/>
      </w:divBdr>
    </w:div>
    <w:div w:id="573005335">
      <w:bodyDiv w:val="1"/>
      <w:marLeft w:val="0"/>
      <w:marRight w:val="0"/>
      <w:marTop w:val="0"/>
      <w:marBottom w:val="0"/>
      <w:divBdr>
        <w:top w:val="none" w:sz="0" w:space="0" w:color="auto"/>
        <w:left w:val="none" w:sz="0" w:space="0" w:color="auto"/>
        <w:bottom w:val="none" w:sz="0" w:space="0" w:color="auto"/>
        <w:right w:val="none" w:sz="0" w:space="0" w:color="auto"/>
      </w:divBdr>
    </w:div>
    <w:div w:id="573591493">
      <w:bodyDiv w:val="1"/>
      <w:marLeft w:val="0"/>
      <w:marRight w:val="0"/>
      <w:marTop w:val="0"/>
      <w:marBottom w:val="0"/>
      <w:divBdr>
        <w:top w:val="none" w:sz="0" w:space="0" w:color="auto"/>
        <w:left w:val="none" w:sz="0" w:space="0" w:color="auto"/>
        <w:bottom w:val="none" w:sz="0" w:space="0" w:color="auto"/>
        <w:right w:val="none" w:sz="0" w:space="0" w:color="auto"/>
      </w:divBdr>
      <w:divsChild>
        <w:div w:id="8681214">
          <w:marLeft w:val="274"/>
          <w:marRight w:val="0"/>
          <w:marTop w:val="0"/>
          <w:marBottom w:val="120"/>
          <w:divBdr>
            <w:top w:val="none" w:sz="0" w:space="0" w:color="auto"/>
            <w:left w:val="none" w:sz="0" w:space="0" w:color="auto"/>
            <w:bottom w:val="none" w:sz="0" w:space="0" w:color="auto"/>
            <w:right w:val="none" w:sz="0" w:space="0" w:color="auto"/>
          </w:divBdr>
        </w:div>
        <w:div w:id="412436598">
          <w:marLeft w:val="274"/>
          <w:marRight w:val="0"/>
          <w:marTop w:val="0"/>
          <w:marBottom w:val="120"/>
          <w:divBdr>
            <w:top w:val="none" w:sz="0" w:space="0" w:color="auto"/>
            <w:left w:val="none" w:sz="0" w:space="0" w:color="auto"/>
            <w:bottom w:val="none" w:sz="0" w:space="0" w:color="auto"/>
            <w:right w:val="none" w:sz="0" w:space="0" w:color="auto"/>
          </w:divBdr>
        </w:div>
        <w:div w:id="1141460637">
          <w:marLeft w:val="274"/>
          <w:marRight w:val="0"/>
          <w:marTop w:val="0"/>
          <w:marBottom w:val="120"/>
          <w:divBdr>
            <w:top w:val="none" w:sz="0" w:space="0" w:color="auto"/>
            <w:left w:val="none" w:sz="0" w:space="0" w:color="auto"/>
            <w:bottom w:val="none" w:sz="0" w:space="0" w:color="auto"/>
            <w:right w:val="none" w:sz="0" w:space="0" w:color="auto"/>
          </w:divBdr>
        </w:div>
      </w:divsChild>
    </w:div>
    <w:div w:id="578710839">
      <w:bodyDiv w:val="1"/>
      <w:marLeft w:val="0"/>
      <w:marRight w:val="0"/>
      <w:marTop w:val="0"/>
      <w:marBottom w:val="0"/>
      <w:divBdr>
        <w:top w:val="none" w:sz="0" w:space="0" w:color="auto"/>
        <w:left w:val="none" w:sz="0" w:space="0" w:color="auto"/>
        <w:bottom w:val="none" w:sz="0" w:space="0" w:color="auto"/>
        <w:right w:val="none" w:sz="0" w:space="0" w:color="auto"/>
      </w:divBdr>
    </w:div>
    <w:div w:id="583687598">
      <w:bodyDiv w:val="1"/>
      <w:marLeft w:val="0"/>
      <w:marRight w:val="0"/>
      <w:marTop w:val="0"/>
      <w:marBottom w:val="0"/>
      <w:divBdr>
        <w:top w:val="none" w:sz="0" w:space="0" w:color="auto"/>
        <w:left w:val="none" w:sz="0" w:space="0" w:color="auto"/>
        <w:bottom w:val="none" w:sz="0" w:space="0" w:color="auto"/>
        <w:right w:val="none" w:sz="0" w:space="0" w:color="auto"/>
      </w:divBdr>
    </w:div>
    <w:div w:id="596253940">
      <w:bodyDiv w:val="1"/>
      <w:marLeft w:val="0"/>
      <w:marRight w:val="0"/>
      <w:marTop w:val="0"/>
      <w:marBottom w:val="0"/>
      <w:divBdr>
        <w:top w:val="none" w:sz="0" w:space="0" w:color="auto"/>
        <w:left w:val="none" w:sz="0" w:space="0" w:color="auto"/>
        <w:bottom w:val="none" w:sz="0" w:space="0" w:color="auto"/>
        <w:right w:val="none" w:sz="0" w:space="0" w:color="auto"/>
      </w:divBdr>
      <w:divsChild>
        <w:div w:id="142696899">
          <w:marLeft w:val="274"/>
          <w:marRight w:val="0"/>
          <w:marTop w:val="40"/>
          <w:marBottom w:val="40"/>
          <w:divBdr>
            <w:top w:val="none" w:sz="0" w:space="0" w:color="auto"/>
            <w:left w:val="none" w:sz="0" w:space="0" w:color="auto"/>
            <w:bottom w:val="none" w:sz="0" w:space="0" w:color="auto"/>
            <w:right w:val="none" w:sz="0" w:space="0" w:color="auto"/>
          </w:divBdr>
        </w:div>
        <w:div w:id="1340041339">
          <w:marLeft w:val="274"/>
          <w:marRight w:val="0"/>
          <w:marTop w:val="40"/>
          <w:marBottom w:val="40"/>
          <w:divBdr>
            <w:top w:val="none" w:sz="0" w:space="0" w:color="auto"/>
            <w:left w:val="none" w:sz="0" w:space="0" w:color="auto"/>
            <w:bottom w:val="none" w:sz="0" w:space="0" w:color="auto"/>
            <w:right w:val="none" w:sz="0" w:space="0" w:color="auto"/>
          </w:divBdr>
        </w:div>
        <w:div w:id="1972974149">
          <w:marLeft w:val="274"/>
          <w:marRight w:val="0"/>
          <w:marTop w:val="40"/>
          <w:marBottom w:val="40"/>
          <w:divBdr>
            <w:top w:val="none" w:sz="0" w:space="0" w:color="auto"/>
            <w:left w:val="none" w:sz="0" w:space="0" w:color="auto"/>
            <w:bottom w:val="none" w:sz="0" w:space="0" w:color="auto"/>
            <w:right w:val="none" w:sz="0" w:space="0" w:color="auto"/>
          </w:divBdr>
        </w:div>
      </w:divsChild>
    </w:div>
    <w:div w:id="596913531">
      <w:bodyDiv w:val="1"/>
      <w:marLeft w:val="0"/>
      <w:marRight w:val="0"/>
      <w:marTop w:val="0"/>
      <w:marBottom w:val="0"/>
      <w:divBdr>
        <w:top w:val="none" w:sz="0" w:space="0" w:color="auto"/>
        <w:left w:val="none" w:sz="0" w:space="0" w:color="auto"/>
        <w:bottom w:val="none" w:sz="0" w:space="0" w:color="auto"/>
        <w:right w:val="none" w:sz="0" w:space="0" w:color="auto"/>
      </w:divBdr>
    </w:div>
    <w:div w:id="597718229">
      <w:bodyDiv w:val="1"/>
      <w:marLeft w:val="0"/>
      <w:marRight w:val="0"/>
      <w:marTop w:val="0"/>
      <w:marBottom w:val="0"/>
      <w:divBdr>
        <w:top w:val="none" w:sz="0" w:space="0" w:color="auto"/>
        <w:left w:val="none" w:sz="0" w:space="0" w:color="auto"/>
        <w:bottom w:val="none" w:sz="0" w:space="0" w:color="auto"/>
        <w:right w:val="none" w:sz="0" w:space="0" w:color="auto"/>
      </w:divBdr>
      <w:divsChild>
        <w:div w:id="1804805163">
          <w:marLeft w:val="274"/>
          <w:marRight w:val="0"/>
          <w:marTop w:val="0"/>
          <w:marBottom w:val="0"/>
          <w:divBdr>
            <w:top w:val="none" w:sz="0" w:space="0" w:color="auto"/>
            <w:left w:val="none" w:sz="0" w:space="0" w:color="auto"/>
            <w:bottom w:val="none" w:sz="0" w:space="0" w:color="auto"/>
            <w:right w:val="none" w:sz="0" w:space="0" w:color="auto"/>
          </w:divBdr>
        </w:div>
      </w:divsChild>
    </w:div>
    <w:div w:id="604269175">
      <w:bodyDiv w:val="1"/>
      <w:marLeft w:val="0"/>
      <w:marRight w:val="0"/>
      <w:marTop w:val="0"/>
      <w:marBottom w:val="0"/>
      <w:divBdr>
        <w:top w:val="none" w:sz="0" w:space="0" w:color="auto"/>
        <w:left w:val="none" w:sz="0" w:space="0" w:color="auto"/>
        <w:bottom w:val="none" w:sz="0" w:space="0" w:color="auto"/>
        <w:right w:val="none" w:sz="0" w:space="0" w:color="auto"/>
      </w:divBdr>
    </w:div>
    <w:div w:id="605356454">
      <w:bodyDiv w:val="1"/>
      <w:marLeft w:val="0"/>
      <w:marRight w:val="0"/>
      <w:marTop w:val="0"/>
      <w:marBottom w:val="0"/>
      <w:divBdr>
        <w:top w:val="none" w:sz="0" w:space="0" w:color="auto"/>
        <w:left w:val="none" w:sz="0" w:space="0" w:color="auto"/>
        <w:bottom w:val="none" w:sz="0" w:space="0" w:color="auto"/>
        <w:right w:val="none" w:sz="0" w:space="0" w:color="auto"/>
      </w:divBdr>
      <w:divsChild>
        <w:div w:id="691419280">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608120515">
      <w:bodyDiv w:val="1"/>
      <w:marLeft w:val="0"/>
      <w:marRight w:val="0"/>
      <w:marTop w:val="0"/>
      <w:marBottom w:val="0"/>
      <w:divBdr>
        <w:top w:val="none" w:sz="0" w:space="0" w:color="auto"/>
        <w:left w:val="none" w:sz="0" w:space="0" w:color="auto"/>
        <w:bottom w:val="none" w:sz="0" w:space="0" w:color="auto"/>
        <w:right w:val="none" w:sz="0" w:space="0" w:color="auto"/>
      </w:divBdr>
    </w:div>
    <w:div w:id="615530465">
      <w:bodyDiv w:val="1"/>
      <w:marLeft w:val="0"/>
      <w:marRight w:val="0"/>
      <w:marTop w:val="0"/>
      <w:marBottom w:val="0"/>
      <w:divBdr>
        <w:top w:val="none" w:sz="0" w:space="0" w:color="auto"/>
        <w:left w:val="none" w:sz="0" w:space="0" w:color="auto"/>
        <w:bottom w:val="none" w:sz="0" w:space="0" w:color="auto"/>
        <w:right w:val="none" w:sz="0" w:space="0" w:color="auto"/>
      </w:divBdr>
    </w:div>
    <w:div w:id="623803601">
      <w:bodyDiv w:val="1"/>
      <w:marLeft w:val="0"/>
      <w:marRight w:val="0"/>
      <w:marTop w:val="0"/>
      <w:marBottom w:val="0"/>
      <w:divBdr>
        <w:top w:val="none" w:sz="0" w:space="0" w:color="auto"/>
        <w:left w:val="none" w:sz="0" w:space="0" w:color="auto"/>
        <w:bottom w:val="none" w:sz="0" w:space="0" w:color="auto"/>
        <w:right w:val="none" w:sz="0" w:space="0" w:color="auto"/>
      </w:divBdr>
    </w:div>
    <w:div w:id="632563847">
      <w:bodyDiv w:val="1"/>
      <w:marLeft w:val="0"/>
      <w:marRight w:val="0"/>
      <w:marTop w:val="0"/>
      <w:marBottom w:val="0"/>
      <w:divBdr>
        <w:top w:val="none" w:sz="0" w:space="0" w:color="auto"/>
        <w:left w:val="none" w:sz="0" w:space="0" w:color="auto"/>
        <w:bottom w:val="none" w:sz="0" w:space="0" w:color="auto"/>
        <w:right w:val="none" w:sz="0" w:space="0" w:color="auto"/>
      </w:divBdr>
    </w:div>
    <w:div w:id="633603915">
      <w:bodyDiv w:val="1"/>
      <w:marLeft w:val="0"/>
      <w:marRight w:val="0"/>
      <w:marTop w:val="0"/>
      <w:marBottom w:val="0"/>
      <w:divBdr>
        <w:top w:val="none" w:sz="0" w:space="0" w:color="auto"/>
        <w:left w:val="none" w:sz="0" w:space="0" w:color="auto"/>
        <w:bottom w:val="none" w:sz="0" w:space="0" w:color="auto"/>
        <w:right w:val="none" w:sz="0" w:space="0" w:color="auto"/>
      </w:divBdr>
      <w:divsChild>
        <w:div w:id="110320024">
          <w:marLeft w:val="274"/>
          <w:marRight w:val="0"/>
          <w:marTop w:val="0"/>
          <w:marBottom w:val="60"/>
          <w:divBdr>
            <w:top w:val="none" w:sz="0" w:space="0" w:color="auto"/>
            <w:left w:val="none" w:sz="0" w:space="0" w:color="auto"/>
            <w:bottom w:val="none" w:sz="0" w:space="0" w:color="auto"/>
            <w:right w:val="none" w:sz="0" w:space="0" w:color="auto"/>
          </w:divBdr>
        </w:div>
        <w:div w:id="280456477">
          <w:marLeft w:val="274"/>
          <w:marRight w:val="0"/>
          <w:marTop w:val="0"/>
          <w:marBottom w:val="60"/>
          <w:divBdr>
            <w:top w:val="none" w:sz="0" w:space="0" w:color="auto"/>
            <w:left w:val="none" w:sz="0" w:space="0" w:color="auto"/>
            <w:bottom w:val="none" w:sz="0" w:space="0" w:color="auto"/>
            <w:right w:val="none" w:sz="0" w:space="0" w:color="auto"/>
          </w:divBdr>
        </w:div>
        <w:div w:id="668486130">
          <w:marLeft w:val="274"/>
          <w:marRight w:val="0"/>
          <w:marTop w:val="0"/>
          <w:marBottom w:val="60"/>
          <w:divBdr>
            <w:top w:val="none" w:sz="0" w:space="0" w:color="auto"/>
            <w:left w:val="none" w:sz="0" w:space="0" w:color="auto"/>
            <w:bottom w:val="none" w:sz="0" w:space="0" w:color="auto"/>
            <w:right w:val="none" w:sz="0" w:space="0" w:color="auto"/>
          </w:divBdr>
        </w:div>
        <w:div w:id="739714226">
          <w:marLeft w:val="274"/>
          <w:marRight w:val="0"/>
          <w:marTop w:val="0"/>
          <w:marBottom w:val="60"/>
          <w:divBdr>
            <w:top w:val="none" w:sz="0" w:space="0" w:color="auto"/>
            <w:left w:val="none" w:sz="0" w:space="0" w:color="auto"/>
            <w:bottom w:val="none" w:sz="0" w:space="0" w:color="auto"/>
            <w:right w:val="none" w:sz="0" w:space="0" w:color="auto"/>
          </w:divBdr>
        </w:div>
      </w:divsChild>
    </w:div>
    <w:div w:id="644119931">
      <w:bodyDiv w:val="1"/>
      <w:marLeft w:val="0"/>
      <w:marRight w:val="0"/>
      <w:marTop w:val="0"/>
      <w:marBottom w:val="0"/>
      <w:divBdr>
        <w:top w:val="none" w:sz="0" w:space="0" w:color="auto"/>
        <w:left w:val="none" w:sz="0" w:space="0" w:color="auto"/>
        <w:bottom w:val="none" w:sz="0" w:space="0" w:color="auto"/>
        <w:right w:val="none" w:sz="0" w:space="0" w:color="auto"/>
      </w:divBdr>
      <w:divsChild>
        <w:div w:id="1474906642">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648438691">
      <w:bodyDiv w:val="1"/>
      <w:marLeft w:val="0"/>
      <w:marRight w:val="0"/>
      <w:marTop w:val="0"/>
      <w:marBottom w:val="0"/>
      <w:divBdr>
        <w:top w:val="none" w:sz="0" w:space="0" w:color="auto"/>
        <w:left w:val="none" w:sz="0" w:space="0" w:color="auto"/>
        <w:bottom w:val="none" w:sz="0" w:space="0" w:color="auto"/>
        <w:right w:val="none" w:sz="0" w:space="0" w:color="auto"/>
      </w:divBdr>
    </w:div>
    <w:div w:id="650788615">
      <w:bodyDiv w:val="1"/>
      <w:marLeft w:val="0"/>
      <w:marRight w:val="0"/>
      <w:marTop w:val="0"/>
      <w:marBottom w:val="0"/>
      <w:divBdr>
        <w:top w:val="none" w:sz="0" w:space="0" w:color="auto"/>
        <w:left w:val="none" w:sz="0" w:space="0" w:color="auto"/>
        <w:bottom w:val="none" w:sz="0" w:space="0" w:color="auto"/>
        <w:right w:val="none" w:sz="0" w:space="0" w:color="auto"/>
      </w:divBdr>
      <w:divsChild>
        <w:div w:id="1236431184">
          <w:marLeft w:val="274"/>
          <w:marRight w:val="0"/>
          <w:marTop w:val="0"/>
          <w:marBottom w:val="0"/>
          <w:divBdr>
            <w:top w:val="none" w:sz="0" w:space="0" w:color="auto"/>
            <w:left w:val="none" w:sz="0" w:space="0" w:color="auto"/>
            <w:bottom w:val="none" w:sz="0" w:space="0" w:color="auto"/>
            <w:right w:val="none" w:sz="0" w:space="0" w:color="auto"/>
          </w:divBdr>
        </w:div>
        <w:div w:id="1350645955">
          <w:marLeft w:val="274"/>
          <w:marRight w:val="0"/>
          <w:marTop w:val="0"/>
          <w:marBottom w:val="0"/>
          <w:divBdr>
            <w:top w:val="none" w:sz="0" w:space="0" w:color="auto"/>
            <w:left w:val="none" w:sz="0" w:space="0" w:color="auto"/>
            <w:bottom w:val="none" w:sz="0" w:space="0" w:color="auto"/>
            <w:right w:val="none" w:sz="0" w:space="0" w:color="auto"/>
          </w:divBdr>
        </w:div>
        <w:div w:id="1951349940">
          <w:marLeft w:val="274"/>
          <w:marRight w:val="0"/>
          <w:marTop w:val="0"/>
          <w:marBottom w:val="0"/>
          <w:divBdr>
            <w:top w:val="none" w:sz="0" w:space="0" w:color="auto"/>
            <w:left w:val="none" w:sz="0" w:space="0" w:color="auto"/>
            <w:bottom w:val="none" w:sz="0" w:space="0" w:color="auto"/>
            <w:right w:val="none" w:sz="0" w:space="0" w:color="auto"/>
          </w:divBdr>
        </w:div>
      </w:divsChild>
    </w:div>
    <w:div w:id="653950097">
      <w:bodyDiv w:val="1"/>
      <w:marLeft w:val="0"/>
      <w:marRight w:val="0"/>
      <w:marTop w:val="0"/>
      <w:marBottom w:val="0"/>
      <w:divBdr>
        <w:top w:val="none" w:sz="0" w:space="0" w:color="auto"/>
        <w:left w:val="none" w:sz="0" w:space="0" w:color="auto"/>
        <w:bottom w:val="none" w:sz="0" w:space="0" w:color="auto"/>
        <w:right w:val="none" w:sz="0" w:space="0" w:color="auto"/>
      </w:divBdr>
      <w:divsChild>
        <w:div w:id="1365248120">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656961292">
      <w:bodyDiv w:val="1"/>
      <w:marLeft w:val="0"/>
      <w:marRight w:val="0"/>
      <w:marTop w:val="0"/>
      <w:marBottom w:val="0"/>
      <w:divBdr>
        <w:top w:val="none" w:sz="0" w:space="0" w:color="auto"/>
        <w:left w:val="none" w:sz="0" w:space="0" w:color="auto"/>
        <w:bottom w:val="none" w:sz="0" w:space="0" w:color="auto"/>
        <w:right w:val="none" w:sz="0" w:space="0" w:color="auto"/>
      </w:divBdr>
      <w:divsChild>
        <w:div w:id="544414978">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658922093">
      <w:bodyDiv w:val="1"/>
      <w:marLeft w:val="0"/>
      <w:marRight w:val="0"/>
      <w:marTop w:val="0"/>
      <w:marBottom w:val="0"/>
      <w:divBdr>
        <w:top w:val="none" w:sz="0" w:space="0" w:color="auto"/>
        <w:left w:val="none" w:sz="0" w:space="0" w:color="auto"/>
        <w:bottom w:val="none" w:sz="0" w:space="0" w:color="auto"/>
        <w:right w:val="none" w:sz="0" w:space="0" w:color="auto"/>
      </w:divBdr>
    </w:div>
    <w:div w:id="674957058">
      <w:bodyDiv w:val="1"/>
      <w:marLeft w:val="0"/>
      <w:marRight w:val="0"/>
      <w:marTop w:val="0"/>
      <w:marBottom w:val="0"/>
      <w:divBdr>
        <w:top w:val="none" w:sz="0" w:space="0" w:color="auto"/>
        <w:left w:val="none" w:sz="0" w:space="0" w:color="auto"/>
        <w:bottom w:val="none" w:sz="0" w:space="0" w:color="auto"/>
        <w:right w:val="none" w:sz="0" w:space="0" w:color="auto"/>
      </w:divBdr>
    </w:div>
    <w:div w:id="675155162">
      <w:bodyDiv w:val="1"/>
      <w:marLeft w:val="0"/>
      <w:marRight w:val="0"/>
      <w:marTop w:val="0"/>
      <w:marBottom w:val="0"/>
      <w:divBdr>
        <w:top w:val="none" w:sz="0" w:space="0" w:color="auto"/>
        <w:left w:val="none" w:sz="0" w:space="0" w:color="auto"/>
        <w:bottom w:val="none" w:sz="0" w:space="0" w:color="auto"/>
        <w:right w:val="none" w:sz="0" w:space="0" w:color="auto"/>
      </w:divBdr>
      <w:divsChild>
        <w:div w:id="872499026">
          <w:marLeft w:val="0"/>
          <w:marRight w:val="0"/>
          <w:marTop w:val="0"/>
          <w:marBottom w:val="0"/>
          <w:divBdr>
            <w:top w:val="none" w:sz="0" w:space="0" w:color="auto"/>
            <w:left w:val="none" w:sz="0" w:space="0" w:color="auto"/>
            <w:bottom w:val="none" w:sz="0" w:space="0" w:color="auto"/>
            <w:right w:val="none" w:sz="0" w:space="0" w:color="auto"/>
          </w:divBdr>
          <w:divsChild>
            <w:div w:id="1696954728">
              <w:marLeft w:val="0"/>
              <w:marRight w:val="0"/>
              <w:marTop w:val="0"/>
              <w:marBottom w:val="0"/>
              <w:divBdr>
                <w:top w:val="none" w:sz="0" w:space="0" w:color="auto"/>
                <w:left w:val="none" w:sz="0" w:space="0" w:color="auto"/>
                <w:bottom w:val="none" w:sz="0" w:space="0" w:color="auto"/>
                <w:right w:val="none" w:sz="0" w:space="0" w:color="auto"/>
              </w:divBdr>
              <w:divsChild>
                <w:div w:id="715081084">
                  <w:marLeft w:val="0"/>
                  <w:marRight w:val="0"/>
                  <w:marTop w:val="60"/>
                  <w:marBottom w:val="60"/>
                  <w:divBdr>
                    <w:top w:val="none" w:sz="0" w:space="0" w:color="auto"/>
                    <w:left w:val="none" w:sz="0" w:space="0" w:color="auto"/>
                    <w:bottom w:val="none" w:sz="0" w:space="0" w:color="auto"/>
                    <w:right w:val="none" w:sz="0" w:space="0" w:color="auto"/>
                  </w:divBdr>
                  <w:divsChild>
                    <w:div w:id="736175134">
                      <w:marLeft w:val="0"/>
                      <w:marRight w:val="0"/>
                      <w:marTop w:val="0"/>
                      <w:marBottom w:val="0"/>
                      <w:divBdr>
                        <w:top w:val="none" w:sz="0" w:space="0" w:color="auto"/>
                        <w:left w:val="none" w:sz="0" w:space="0" w:color="auto"/>
                        <w:bottom w:val="none" w:sz="0" w:space="0" w:color="auto"/>
                        <w:right w:val="none" w:sz="0" w:space="0" w:color="auto"/>
                      </w:divBdr>
                      <w:divsChild>
                        <w:div w:id="1307322015">
                          <w:marLeft w:val="0"/>
                          <w:marRight w:val="0"/>
                          <w:marTop w:val="0"/>
                          <w:marBottom w:val="0"/>
                          <w:divBdr>
                            <w:top w:val="single" w:sz="6" w:space="15" w:color="D7D8D8"/>
                            <w:left w:val="single" w:sz="6" w:space="8" w:color="D7D8D8"/>
                            <w:bottom w:val="single" w:sz="6" w:space="15" w:color="D7D8D8"/>
                            <w:right w:val="single" w:sz="6" w:space="26" w:color="D7D8D8"/>
                          </w:divBdr>
                        </w:div>
                      </w:divsChild>
                    </w:div>
                  </w:divsChild>
                </w:div>
                <w:div w:id="858473556">
                  <w:marLeft w:val="0"/>
                  <w:marRight w:val="0"/>
                  <w:marTop w:val="60"/>
                  <w:marBottom w:val="60"/>
                  <w:divBdr>
                    <w:top w:val="none" w:sz="0" w:space="0" w:color="auto"/>
                    <w:left w:val="none" w:sz="0" w:space="0" w:color="auto"/>
                    <w:bottom w:val="none" w:sz="0" w:space="0" w:color="auto"/>
                    <w:right w:val="none" w:sz="0" w:space="0" w:color="auto"/>
                  </w:divBdr>
                  <w:divsChild>
                    <w:div w:id="479271003">
                      <w:marLeft w:val="0"/>
                      <w:marRight w:val="0"/>
                      <w:marTop w:val="0"/>
                      <w:marBottom w:val="0"/>
                      <w:divBdr>
                        <w:top w:val="none" w:sz="0" w:space="0" w:color="auto"/>
                        <w:left w:val="none" w:sz="0" w:space="0" w:color="auto"/>
                        <w:bottom w:val="none" w:sz="0" w:space="0" w:color="auto"/>
                        <w:right w:val="none" w:sz="0" w:space="0" w:color="auto"/>
                      </w:divBdr>
                      <w:divsChild>
                        <w:div w:id="1321081662">
                          <w:marLeft w:val="0"/>
                          <w:marRight w:val="0"/>
                          <w:marTop w:val="0"/>
                          <w:marBottom w:val="0"/>
                          <w:divBdr>
                            <w:top w:val="single" w:sz="6" w:space="15" w:color="D7D8D8"/>
                            <w:left w:val="single" w:sz="6" w:space="8" w:color="D7D8D8"/>
                            <w:bottom w:val="single" w:sz="6" w:space="15" w:color="D7D8D8"/>
                            <w:right w:val="single" w:sz="6" w:space="26" w:color="D7D8D8"/>
                          </w:divBdr>
                        </w:div>
                      </w:divsChild>
                    </w:div>
                    <w:div w:id="996883875">
                      <w:marLeft w:val="0"/>
                      <w:marRight w:val="0"/>
                      <w:marTop w:val="0"/>
                      <w:marBottom w:val="0"/>
                      <w:divBdr>
                        <w:top w:val="none" w:sz="0" w:space="0" w:color="auto"/>
                        <w:left w:val="none" w:sz="0" w:space="0" w:color="auto"/>
                        <w:bottom w:val="none" w:sz="0" w:space="0" w:color="auto"/>
                        <w:right w:val="none" w:sz="0" w:space="0" w:color="auto"/>
                      </w:divBdr>
                      <w:divsChild>
                        <w:div w:id="124273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5810640">
      <w:bodyDiv w:val="1"/>
      <w:marLeft w:val="0"/>
      <w:marRight w:val="0"/>
      <w:marTop w:val="0"/>
      <w:marBottom w:val="0"/>
      <w:divBdr>
        <w:top w:val="none" w:sz="0" w:space="0" w:color="auto"/>
        <w:left w:val="none" w:sz="0" w:space="0" w:color="auto"/>
        <w:bottom w:val="none" w:sz="0" w:space="0" w:color="auto"/>
        <w:right w:val="none" w:sz="0" w:space="0" w:color="auto"/>
      </w:divBdr>
      <w:divsChild>
        <w:div w:id="135223637">
          <w:marLeft w:val="274"/>
          <w:marRight w:val="0"/>
          <w:marTop w:val="0"/>
          <w:marBottom w:val="0"/>
          <w:divBdr>
            <w:top w:val="none" w:sz="0" w:space="0" w:color="auto"/>
            <w:left w:val="none" w:sz="0" w:space="0" w:color="auto"/>
            <w:bottom w:val="none" w:sz="0" w:space="0" w:color="auto"/>
            <w:right w:val="none" w:sz="0" w:space="0" w:color="auto"/>
          </w:divBdr>
        </w:div>
        <w:div w:id="613751070">
          <w:marLeft w:val="274"/>
          <w:marRight w:val="0"/>
          <w:marTop w:val="0"/>
          <w:marBottom w:val="60"/>
          <w:divBdr>
            <w:top w:val="none" w:sz="0" w:space="0" w:color="auto"/>
            <w:left w:val="none" w:sz="0" w:space="0" w:color="auto"/>
            <w:bottom w:val="none" w:sz="0" w:space="0" w:color="auto"/>
            <w:right w:val="none" w:sz="0" w:space="0" w:color="auto"/>
          </w:divBdr>
        </w:div>
        <w:div w:id="681471256">
          <w:marLeft w:val="274"/>
          <w:marRight w:val="0"/>
          <w:marTop w:val="0"/>
          <w:marBottom w:val="60"/>
          <w:divBdr>
            <w:top w:val="none" w:sz="0" w:space="0" w:color="auto"/>
            <w:left w:val="none" w:sz="0" w:space="0" w:color="auto"/>
            <w:bottom w:val="none" w:sz="0" w:space="0" w:color="auto"/>
            <w:right w:val="none" w:sz="0" w:space="0" w:color="auto"/>
          </w:divBdr>
        </w:div>
        <w:div w:id="1348630695">
          <w:marLeft w:val="274"/>
          <w:marRight w:val="0"/>
          <w:marTop w:val="0"/>
          <w:marBottom w:val="0"/>
          <w:divBdr>
            <w:top w:val="none" w:sz="0" w:space="0" w:color="auto"/>
            <w:left w:val="none" w:sz="0" w:space="0" w:color="auto"/>
            <w:bottom w:val="none" w:sz="0" w:space="0" w:color="auto"/>
            <w:right w:val="none" w:sz="0" w:space="0" w:color="auto"/>
          </w:divBdr>
        </w:div>
        <w:div w:id="1746565504">
          <w:marLeft w:val="274"/>
          <w:marRight w:val="0"/>
          <w:marTop w:val="0"/>
          <w:marBottom w:val="0"/>
          <w:divBdr>
            <w:top w:val="none" w:sz="0" w:space="0" w:color="auto"/>
            <w:left w:val="none" w:sz="0" w:space="0" w:color="auto"/>
            <w:bottom w:val="none" w:sz="0" w:space="0" w:color="auto"/>
            <w:right w:val="none" w:sz="0" w:space="0" w:color="auto"/>
          </w:divBdr>
        </w:div>
        <w:div w:id="1842811386">
          <w:marLeft w:val="274"/>
          <w:marRight w:val="0"/>
          <w:marTop w:val="0"/>
          <w:marBottom w:val="0"/>
          <w:divBdr>
            <w:top w:val="none" w:sz="0" w:space="0" w:color="auto"/>
            <w:left w:val="none" w:sz="0" w:space="0" w:color="auto"/>
            <w:bottom w:val="none" w:sz="0" w:space="0" w:color="auto"/>
            <w:right w:val="none" w:sz="0" w:space="0" w:color="auto"/>
          </w:divBdr>
        </w:div>
        <w:div w:id="1871531307">
          <w:marLeft w:val="360"/>
          <w:marRight w:val="0"/>
          <w:marTop w:val="0"/>
          <w:marBottom w:val="0"/>
          <w:divBdr>
            <w:top w:val="none" w:sz="0" w:space="0" w:color="auto"/>
            <w:left w:val="none" w:sz="0" w:space="0" w:color="auto"/>
            <w:bottom w:val="none" w:sz="0" w:space="0" w:color="auto"/>
            <w:right w:val="none" w:sz="0" w:space="0" w:color="auto"/>
          </w:divBdr>
        </w:div>
      </w:divsChild>
    </w:div>
    <w:div w:id="687172230">
      <w:bodyDiv w:val="1"/>
      <w:marLeft w:val="0"/>
      <w:marRight w:val="0"/>
      <w:marTop w:val="0"/>
      <w:marBottom w:val="0"/>
      <w:divBdr>
        <w:top w:val="none" w:sz="0" w:space="0" w:color="auto"/>
        <w:left w:val="none" w:sz="0" w:space="0" w:color="auto"/>
        <w:bottom w:val="none" w:sz="0" w:space="0" w:color="auto"/>
        <w:right w:val="none" w:sz="0" w:space="0" w:color="auto"/>
      </w:divBdr>
    </w:div>
    <w:div w:id="692925878">
      <w:bodyDiv w:val="1"/>
      <w:marLeft w:val="0"/>
      <w:marRight w:val="0"/>
      <w:marTop w:val="0"/>
      <w:marBottom w:val="0"/>
      <w:divBdr>
        <w:top w:val="none" w:sz="0" w:space="0" w:color="auto"/>
        <w:left w:val="none" w:sz="0" w:space="0" w:color="auto"/>
        <w:bottom w:val="none" w:sz="0" w:space="0" w:color="auto"/>
        <w:right w:val="none" w:sz="0" w:space="0" w:color="auto"/>
      </w:divBdr>
    </w:div>
    <w:div w:id="693920879">
      <w:bodyDiv w:val="1"/>
      <w:marLeft w:val="0"/>
      <w:marRight w:val="0"/>
      <w:marTop w:val="0"/>
      <w:marBottom w:val="0"/>
      <w:divBdr>
        <w:top w:val="none" w:sz="0" w:space="0" w:color="auto"/>
        <w:left w:val="none" w:sz="0" w:space="0" w:color="auto"/>
        <w:bottom w:val="none" w:sz="0" w:space="0" w:color="auto"/>
        <w:right w:val="none" w:sz="0" w:space="0" w:color="auto"/>
      </w:divBdr>
    </w:div>
    <w:div w:id="707946486">
      <w:bodyDiv w:val="1"/>
      <w:marLeft w:val="0"/>
      <w:marRight w:val="0"/>
      <w:marTop w:val="0"/>
      <w:marBottom w:val="0"/>
      <w:divBdr>
        <w:top w:val="none" w:sz="0" w:space="0" w:color="auto"/>
        <w:left w:val="none" w:sz="0" w:space="0" w:color="auto"/>
        <w:bottom w:val="none" w:sz="0" w:space="0" w:color="auto"/>
        <w:right w:val="none" w:sz="0" w:space="0" w:color="auto"/>
      </w:divBdr>
    </w:div>
    <w:div w:id="708803087">
      <w:bodyDiv w:val="1"/>
      <w:marLeft w:val="0"/>
      <w:marRight w:val="0"/>
      <w:marTop w:val="0"/>
      <w:marBottom w:val="0"/>
      <w:divBdr>
        <w:top w:val="none" w:sz="0" w:space="0" w:color="auto"/>
        <w:left w:val="none" w:sz="0" w:space="0" w:color="auto"/>
        <w:bottom w:val="none" w:sz="0" w:space="0" w:color="auto"/>
        <w:right w:val="none" w:sz="0" w:space="0" w:color="auto"/>
      </w:divBdr>
    </w:div>
    <w:div w:id="714080866">
      <w:bodyDiv w:val="1"/>
      <w:marLeft w:val="0"/>
      <w:marRight w:val="0"/>
      <w:marTop w:val="0"/>
      <w:marBottom w:val="0"/>
      <w:divBdr>
        <w:top w:val="none" w:sz="0" w:space="0" w:color="auto"/>
        <w:left w:val="none" w:sz="0" w:space="0" w:color="auto"/>
        <w:bottom w:val="none" w:sz="0" w:space="0" w:color="auto"/>
        <w:right w:val="none" w:sz="0" w:space="0" w:color="auto"/>
      </w:divBdr>
      <w:divsChild>
        <w:div w:id="1593859266">
          <w:marLeft w:val="0"/>
          <w:marRight w:val="0"/>
          <w:marTop w:val="0"/>
          <w:marBottom w:val="0"/>
          <w:divBdr>
            <w:top w:val="none" w:sz="0" w:space="0" w:color="auto"/>
            <w:left w:val="none" w:sz="0" w:space="0" w:color="auto"/>
            <w:bottom w:val="none" w:sz="0" w:space="0" w:color="auto"/>
            <w:right w:val="none" w:sz="0" w:space="0" w:color="auto"/>
          </w:divBdr>
          <w:divsChild>
            <w:div w:id="58600660">
              <w:marLeft w:val="0"/>
              <w:marRight w:val="0"/>
              <w:marTop w:val="0"/>
              <w:marBottom w:val="0"/>
              <w:divBdr>
                <w:top w:val="none" w:sz="0" w:space="0" w:color="auto"/>
                <w:left w:val="none" w:sz="0" w:space="0" w:color="auto"/>
                <w:bottom w:val="none" w:sz="0" w:space="0" w:color="auto"/>
                <w:right w:val="none" w:sz="0" w:space="0" w:color="auto"/>
              </w:divBdr>
              <w:divsChild>
                <w:div w:id="47648849">
                  <w:marLeft w:val="0"/>
                  <w:marRight w:val="0"/>
                  <w:marTop w:val="0"/>
                  <w:marBottom w:val="0"/>
                  <w:divBdr>
                    <w:top w:val="none" w:sz="0" w:space="0" w:color="auto"/>
                    <w:left w:val="none" w:sz="0" w:space="0" w:color="auto"/>
                    <w:bottom w:val="none" w:sz="0" w:space="0" w:color="auto"/>
                    <w:right w:val="none" w:sz="0" w:space="0" w:color="auto"/>
                  </w:divBdr>
                  <w:divsChild>
                    <w:div w:id="870996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7362738">
      <w:bodyDiv w:val="1"/>
      <w:marLeft w:val="0"/>
      <w:marRight w:val="0"/>
      <w:marTop w:val="0"/>
      <w:marBottom w:val="0"/>
      <w:divBdr>
        <w:top w:val="none" w:sz="0" w:space="0" w:color="auto"/>
        <w:left w:val="none" w:sz="0" w:space="0" w:color="auto"/>
        <w:bottom w:val="none" w:sz="0" w:space="0" w:color="auto"/>
        <w:right w:val="none" w:sz="0" w:space="0" w:color="auto"/>
      </w:divBdr>
    </w:div>
    <w:div w:id="718018528">
      <w:bodyDiv w:val="1"/>
      <w:marLeft w:val="0"/>
      <w:marRight w:val="0"/>
      <w:marTop w:val="0"/>
      <w:marBottom w:val="0"/>
      <w:divBdr>
        <w:top w:val="none" w:sz="0" w:space="0" w:color="auto"/>
        <w:left w:val="none" w:sz="0" w:space="0" w:color="auto"/>
        <w:bottom w:val="none" w:sz="0" w:space="0" w:color="auto"/>
        <w:right w:val="none" w:sz="0" w:space="0" w:color="auto"/>
      </w:divBdr>
    </w:div>
    <w:div w:id="723523024">
      <w:bodyDiv w:val="1"/>
      <w:marLeft w:val="0"/>
      <w:marRight w:val="0"/>
      <w:marTop w:val="0"/>
      <w:marBottom w:val="0"/>
      <w:divBdr>
        <w:top w:val="none" w:sz="0" w:space="0" w:color="auto"/>
        <w:left w:val="none" w:sz="0" w:space="0" w:color="auto"/>
        <w:bottom w:val="none" w:sz="0" w:space="0" w:color="auto"/>
        <w:right w:val="none" w:sz="0" w:space="0" w:color="auto"/>
      </w:divBdr>
    </w:div>
    <w:div w:id="724988095">
      <w:bodyDiv w:val="1"/>
      <w:marLeft w:val="0"/>
      <w:marRight w:val="0"/>
      <w:marTop w:val="0"/>
      <w:marBottom w:val="0"/>
      <w:divBdr>
        <w:top w:val="none" w:sz="0" w:space="0" w:color="auto"/>
        <w:left w:val="none" w:sz="0" w:space="0" w:color="auto"/>
        <w:bottom w:val="none" w:sz="0" w:space="0" w:color="auto"/>
        <w:right w:val="none" w:sz="0" w:space="0" w:color="auto"/>
      </w:divBdr>
    </w:div>
    <w:div w:id="725760033">
      <w:bodyDiv w:val="1"/>
      <w:marLeft w:val="0"/>
      <w:marRight w:val="0"/>
      <w:marTop w:val="0"/>
      <w:marBottom w:val="0"/>
      <w:divBdr>
        <w:top w:val="none" w:sz="0" w:space="0" w:color="auto"/>
        <w:left w:val="none" w:sz="0" w:space="0" w:color="auto"/>
        <w:bottom w:val="none" w:sz="0" w:space="0" w:color="auto"/>
        <w:right w:val="none" w:sz="0" w:space="0" w:color="auto"/>
      </w:divBdr>
    </w:div>
    <w:div w:id="731542896">
      <w:bodyDiv w:val="1"/>
      <w:marLeft w:val="0"/>
      <w:marRight w:val="0"/>
      <w:marTop w:val="0"/>
      <w:marBottom w:val="0"/>
      <w:divBdr>
        <w:top w:val="none" w:sz="0" w:space="0" w:color="auto"/>
        <w:left w:val="none" w:sz="0" w:space="0" w:color="auto"/>
        <w:bottom w:val="none" w:sz="0" w:space="0" w:color="auto"/>
        <w:right w:val="none" w:sz="0" w:space="0" w:color="auto"/>
      </w:divBdr>
    </w:div>
    <w:div w:id="733814922">
      <w:bodyDiv w:val="1"/>
      <w:marLeft w:val="0"/>
      <w:marRight w:val="0"/>
      <w:marTop w:val="0"/>
      <w:marBottom w:val="0"/>
      <w:divBdr>
        <w:top w:val="none" w:sz="0" w:space="0" w:color="auto"/>
        <w:left w:val="none" w:sz="0" w:space="0" w:color="auto"/>
        <w:bottom w:val="none" w:sz="0" w:space="0" w:color="auto"/>
        <w:right w:val="none" w:sz="0" w:space="0" w:color="auto"/>
      </w:divBdr>
    </w:div>
    <w:div w:id="737243367">
      <w:bodyDiv w:val="1"/>
      <w:marLeft w:val="0"/>
      <w:marRight w:val="0"/>
      <w:marTop w:val="0"/>
      <w:marBottom w:val="0"/>
      <w:divBdr>
        <w:top w:val="none" w:sz="0" w:space="0" w:color="auto"/>
        <w:left w:val="none" w:sz="0" w:space="0" w:color="auto"/>
        <w:bottom w:val="none" w:sz="0" w:space="0" w:color="auto"/>
        <w:right w:val="none" w:sz="0" w:space="0" w:color="auto"/>
      </w:divBdr>
    </w:div>
    <w:div w:id="738285230">
      <w:bodyDiv w:val="1"/>
      <w:marLeft w:val="0"/>
      <w:marRight w:val="0"/>
      <w:marTop w:val="0"/>
      <w:marBottom w:val="0"/>
      <w:divBdr>
        <w:top w:val="none" w:sz="0" w:space="0" w:color="auto"/>
        <w:left w:val="none" w:sz="0" w:space="0" w:color="auto"/>
        <w:bottom w:val="none" w:sz="0" w:space="0" w:color="auto"/>
        <w:right w:val="none" w:sz="0" w:space="0" w:color="auto"/>
      </w:divBdr>
    </w:div>
    <w:div w:id="753867319">
      <w:bodyDiv w:val="1"/>
      <w:marLeft w:val="0"/>
      <w:marRight w:val="0"/>
      <w:marTop w:val="0"/>
      <w:marBottom w:val="0"/>
      <w:divBdr>
        <w:top w:val="none" w:sz="0" w:space="0" w:color="auto"/>
        <w:left w:val="none" w:sz="0" w:space="0" w:color="auto"/>
        <w:bottom w:val="none" w:sz="0" w:space="0" w:color="auto"/>
        <w:right w:val="none" w:sz="0" w:space="0" w:color="auto"/>
      </w:divBdr>
    </w:div>
    <w:div w:id="758912777">
      <w:bodyDiv w:val="1"/>
      <w:marLeft w:val="0"/>
      <w:marRight w:val="0"/>
      <w:marTop w:val="0"/>
      <w:marBottom w:val="0"/>
      <w:divBdr>
        <w:top w:val="none" w:sz="0" w:space="0" w:color="auto"/>
        <w:left w:val="none" w:sz="0" w:space="0" w:color="auto"/>
        <w:bottom w:val="none" w:sz="0" w:space="0" w:color="auto"/>
        <w:right w:val="none" w:sz="0" w:space="0" w:color="auto"/>
      </w:divBdr>
    </w:div>
    <w:div w:id="761533640">
      <w:bodyDiv w:val="1"/>
      <w:marLeft w:val="0"/>
      <w:marRight w:val="0"/>
      <w:marTop w:val="0"/>
      <w:marBottom w:val="0"/>
      <w:divBdr>
        <w:top w:val="none" w:sz="0" w:space="0" w:color="auto"/>
        <w:left w:val="none" w:sz="0" w:space="0" w:color="auto"/>
        <w:bottom w:val="none" w:sz="0" w:space="0" w:color="auto"/>
        <w:right w:val="none" w:sz="0" w:space="0" w:color="auto"/>
      </w:divBdr>
      <w:divsChild>
        <w:div w:id="186911440">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764880012">
      <w:bodyDiv w:val="1"/>
      <w:marLeft w:val="0"/>
      <w:marRight w:val="0"/>
      <w:marTop w:val="0"/>
      <w:marBottom w:val="0"/>
      <w:divBdr>
        <w:top w:val="none" w:sz="0" w:space="0" w:color="auto"/>
        <w:left w:val="none" w:sz="0" w:space="0" w:color="auto"/>
        <w:bottom w:val="none" w:sz="0" w:space="0" w:color="auto"/>
        <w:right w:val="none" w:sz="0" w:space="0" w:color="auto"/>
      </w:divBdr>
    </w:div>
    <w:div w:id="766775067">
      <w:bodyDiv w:val="1"/>
      <w:marLeft w:val="0"/>
      <w:marRight w:val="0"/>
      <w:marTop w:val="0"/>
      <w:marBottom w:val="0"/>
      <w:divBdr>
        <w:top w:val="none" w:sz="0" w:space="0" w:color="auto"/>
        <w:left w:val="none" w:sz="0" w:space="0" w:color="auto"/>
        <w:bottom w:val="none" w:sz="0" w:space="0" w:color="auto"/>
        <w:right w:val="none" w:sz="0" w:space="0" w:color="auto"/>
      </w:divBdr>
    </w:div>
    <w:div w:id="770396338">
      <w:bodyDiv w:val="1"/>
      <w:marLeft w:val="0"/>
      <w:marRight w:val="0"/>
      <w:marTop w:val="0"/>
      <w:marBottom w:val="0"/>
      <w:divBdr>
        <w:top w:val="none" w:sz="0" w:space="0" w:color="auto"/>
        <w:left w:val="none" w:sz="0" w:space="0" w:color="auto"/>
        <w:bottom w:val="none" w:sz="0" w:space="0" w:color="auto"/>
        <w:right w:val="none" w:sz="0" w:space="0" w:color="auto"/>
      </w:divBdr>
    </w:div>
    <w:div w:id="778186358">
      <w:bodyDiv w:val="1"/>
      <w:marLeft w:val="0"/>
      <w:marRight w:val="0"/>
      <w:marTop w:val="0"/>
      <w:marBottom w:val="0"/>
      <w:divBdr>
        <w:top w:val="none" w:sz="0" w:space="0" w:color="auto"/>
        <w:left w:val="none" w:sz="0" w:space="0" w:color="auto"/>
        <w:bottom w:val="none" w:sz="0" w:space="0" w:color="auto"/>
        <w:right w:val="none" w:sz="0" w:space="0" w:color="auto"/>
      </w:divBdr>
    </w:div>
    <w:div w:id="778186379">
      <w:bodyDiv w:val="1"/>
      <w:marLeft w:val="0"/>
      <w:marRight w:val="0"/>
      <w:marTop w:val="0"/>
      <w:marBottom w:val="0"/>
      <w:divBdr>
        <w:top w:val="none" w:sz="0" w:space="0" w:color="auto"/>
        <w:left w:val="none" w:sz="0" w:space="0" w:color="auto"/>
        <w:bottom w:val="none" w:sz="0" w:space="0" w:color="auto"/>
        <w:right w:val="none" w:sz="0" w:space="0" w:color="auto"/>
      </w:divBdr>
      <w:divsChild>
        <w:div w:id="22094224">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778917576">
      <w:bodyDiv w:val="1"/>
      <w:marLeft w:val="0"/>
      <w:marRight w:val="0"/>
      <w:marTop w:val="0"/>
      <w:marBottom w:val="0"/>
      <w:divBdr>
        <w:top w:val="none" w:sz="0" w:space="0" w:color="auto"/>
        <w:left w:val="none" w:sz="0" w:space="0" w:color="auto"/>
        <w:bottom w:val="none" w:sz="0" w:space="0" w:color="auto"/>
        <w:right w:val="none" w:sz="0" w:space="0" w:color="auto"/>
      </w:divBdr>
    </w:div>
    <w:div w:id="778993549">
      <w:bodyDiv w:val="1"/>
      <w:marLeft w:val="0"/>
      <w:marRight w:val="0"/>
      <w:marTop w:val="0"/>
      <w:marBottom w:val="0"/>
      <w:divBdr>
        <w:top w:val="none" w:sz="0" w:space="0" w:color="auto"/>
        <w:left w:val="none" w:sz="0" w:space="0" w:color="auto"/>
        <w:bottom w:val="none" w:sz="0" w:space="0" w:color="auto"/>
        <w:right w:val="none" w:sz="0" w:space="0" w:color="auto"/>
      </w:divBdr>
    </w:div>
    <w:div w:id="795685726">
      <w:bodyDiv w:val="1"/>
      <w:marLeft w:val="0"/>
      <w:marRight w:val="0"/>
      <w:marTop w:val="0"/>
      <w:marBottom w:val="0"/>
      <w:divBdr>
        <w:top w:val="none" w:sz="0" w:space="0" w:color="auto"/>
        <w:left w:val="none" w:sz="0" w:space="0" w:color="auto"/>
        <w:bottom w:val="none" w:sz="0" w:space="0" w:color="auto"/>
        <w:right w:val="none" w:sz="0" w:space="0" w:color="auto"/>
      </w:divBdr>
    </w:div>
    <w:div w:id="804274051">
      <w:bodyDiv w:val="1"/>
      <w:marLeft w:val="0"/>
      <w:marRight w:val="0"/>
      <w:marTop w:val="0"/>
      <w:marBottom w:val="0"/>
      <w:divBdr>
        <w:top w:val="none" w:sz="0" w:space="0" w:color="auto"/>
        <w:left w:val="none" w:sz="0" w:space="0" w:color="auto"/>
        <w:bottom w:val="none" w:sz="0" w:space="0" w:color="auto"/>
        <w:right w:val="none" w:sz="0" w:space="0" w:color="auto"/>
      </w:divBdr>
    </w:div>
    <w:div w:id="811561393">
      <w:bodyDiv w:val="1"/>
      <w:marLeft w:val="0"/>
      <w:marRight w:val="0"/>
      <w:marTop w:val="0"/>
      <w:marBottom w:val="0"/>
      <w:divBdr>
        <w:top w:val="none" w:sz="0" w:space="0" w:color="auto"/>
        <w:left w:val="none" w:sz="0" w:space="0" w:color="auto"/>
        <w:bottom w:val="none" w:sz="0" w:space="0" w:color="auto"/>
        <w:right w:val="none" w:sz="0" w:space="0" w:color="auto"/>
      </w:divBdr>
    </w:div>
    <w:div w:id="818499478">
      <w:bodyDiv w:val="1"/>
      <w:marLeft w:val="0"/>
      <w:marRight w:val="0"/>
      <w:marTop w:val="0"/>
      <w:marBottom w:val="0"/>
      <w:divBdr>
        <w:top w:val="none" w:sz="0" w:space="0" w:color="auto"/>
        <w:left w:val="none" w:sz="0" w:space="0" w:color="auto"/>
        <w:bottom w:val="none" w:sz="0" w:space="0" w:color="auto"/>
        <w:right w:val="none" w:sz="0" w:space="0" w:color="auto"/>
      </w:divBdr>
    </w:div>
    <w:div w:id="822354041">
      <w:bodyDiv w:val="1"/>
      <w:marLeft w:val="0"/>
      <w:marRight w:val="0"/>
      <w:marTop w:val="0"/>
      <w:marBottom w:val="0"/>
      <w:divBdr>
        <w:top w:val="none" w:sz="0" w:space="0" w:color="auto"/>
        <w:left w:val="none" w:sz="0" w:space="0" w:color="auto"/>
        <w:bottom w:val="none" w:sz="0" w:space="0" w:color="auto"/>
        <w:right w:val="none" w:sz="0" w:space="0" w:color="auto"/>
      </w:divBdr>
      <w:divsChild>
        <w:div w:id="625744680">
          <w:marLeft w:val="274"/>
          <w:marRight w:val="0"/>
          <w:marTop w:val="0"/>
          <w:marBottom w:val="60"/>
          <w:divBdr>
            <w:top w:val="none" w:sz="0" w:space="0" w:color="auto"/>
            <w:left w:val="none" w:sz="0" w:space="0" w:color="auto"/>
            <w:bottom w:val="none" w:sz="0" w:space="0" w:color="auto"/>
            <w:right w:val="none" w:sz="0" w:space="0" w:color="auto"/>
          </w:divBdr>
        </w:div>
        <w:div w:id="671027849">
          <w:marLeft w:val="274"/>
          <w:marRight w:val="0"/>
          <w:marTop w:val="0"/>
          <w:marBottom w:val="60"/>
          <w:divBdr>
            <w:top w:val="none" w:sz="0" w:space="0" w:color="auto"/>
            <w:left w:val="none" w:sz="0" w:space="0" w:color="auto"/>
            <w:bottom w:val="none" w:sz="0" w:space="0" w:color="auto"/>
            <w:right w:val="none" w:sz="0" w:space="0" w:color="auto"/>
          </w:divBdr>
        </w:div>
        <w:div w:id="1021513065">
          <w:marLeft w:val="274"/>
          <w:marRight w:val="0"/>
          <w:marTop w:val="0"/>
          <w:marBottom w:val="60"/>
          <w:divBdr>
            <w:top w:val="none" w:sz="0" w:space="0" w:color="auto"/>
            <w:left w:val="none" w:sz="0" w:space="0" w:color="auto"/>
            <w:bottom w:val="none" w:sz="0" w:space="0" w:color="auto"/>
            <w:right w:val="none" w:sz="0" w:space="0" w:color="auto"/>
          </w:divBdr>
        </w:div>
      </w:divsChild>
    </w:div>
    <w:div w:id="828986666">
      <w:bodyDiv w:val="1"/>
      <w:marLeft w:val="0"/>
      <w:marRight w:val="0"/>
      <w:marTop w:val="0"/>
      <w:marBottom w:val="0"/>
      <w:divBdr>
        <w:top w:val="none" w:sz="0" w:space="0" w:color="auto"/>
        <w:left w:val="none" w:sz="0" w:space="0" w:color="auto"/>
        <w:bottom w:val="none" w:sz="0" w:space="0" w:color="auto"/>
        <w:right w:val="none" w:sz="0" w:space="0" w:color="auto"/>
      </w:divBdr>
    </w:div>
    <w:div w:id="832725528">
      <w:bodyDiv w:val="1"/>
      <w:marLeft w:val="0"/>
      <w:marRight w:val="0"/>
      <w:marTop w:val="0"/>
      <w:marBottom w:val="0"/>
      <w:divBdr>
        <w:top w:val="none" w:sz="0" w:space="0" w:color="auto"/>
        <w:left w:val="none" w:sz="0" w:space="0" w:color="auto"/>
        <w:bottom w:val="none" w:sz="0" w:space="0" w:color="auto"/>
        <w:right w:val="none" w:sz="0" w:space="0" w:color="auto"/>
      </w:divBdr>
    </w:div>
    <w:div w:id="837236343">
      <w:bodyDiv w:val="1"/>
      <w:marLeft w:val="0"/>
      <w:marRight w:val="0"/>
      <w:marTop w:val="0"/>
      <w:marBottom w:val="0"/>
      <w:divBdr>
        <w:top w:val="none" w:sz="0" w:space="0" w:color="auto"/>
        <w:left w:val="none" w:sz="0" w:space="0" w:color="auto"/>
        <w:bottom w:val="none" w:sz="0" w:space="0" w:color="auto"/>
        <w:right w:val="none" w:sz="0" w:space="0" w:color="auto"/>
      </w:divBdr>
    </w:div>
    <w:div w:id="845484253">
      <w:bodyDiv w:val="1"/>
      <w:marLeft w:val="0"/>
      <w:marRight w:val="0"/>
      <w:marTop w:val="0"/>
      <w:marBottom w:val="0"/>
      <w:divBdr>
        <w:top w:val="none" w:sz="0" w:space="0" w:color="auto"/>
        <w:left w:val="none" w:sz="0" w:space="0" w:color="auto"/>
        <w:bottom w:val="none" w:sz="0" w:space="0" w:color="auto"/>
        <w:right w:val="none" w:sz="0" w:space="0" w:color="auto"/>
      </w:divBdr>
    </w:div>
    <w:div w:id="848718130">
      <w:bodyDiv w:val="1"/>
      <w:marLeft w:val="0"/>
      <w:marRight w:val="0"/>
      <w:marTop w:val="0"/>
      <w:marBottom w:val="0"/>
      <w:divBdr>
        <w:top w:val="none" w:sz="0" w:space="0" w:color="auto"/>
        <w:left w:val="none" w:sz="0" w:space="0" w:color="auto"/>
        <w:bottom w:val="none" w:sz="0" w:space="0" w:color="auto"/>
        <w:right w:val="none" w:sz="0" w:space="0" w:color="auto"/>
      </w:divBdr>
    </w:div>
    <w:div w:id="851334649">
      <w:bodyDiv w:val="1"/>
      <w:marLeft w:val="0"/>
      <w:marRight w:val="0"/>
      <w:marTop w:val="0"/>
      <w:marBottom w:val="0"/>
      <w:divBdr>
        <w:top w:val="none" w:sz="0" w:space="0" w:color="auto"/>
        <w:left w:val="none" w:sz="0" w:space="0" w:color="auto"/>
        <w:bottom w:val="none" w:sz="0" w:space="0" w:color="auto"/>
        <w:right w:val="none" w:sz="0" w:space="0" w:color="auto"/>
      </w:divBdr>
    </w:div>
    <w:div w:id="866407507">
      <w:bodyDiv w:val="1"/>
      <w:marLeft w:val="0"/>
      <w:marRight w:val="0"/>
      <w:marTop w:val="0"/>
      <w:marBottom w:val="0"/>
      <w:divBdr>
        <w:top w:val="none" w:sz="0" w:space="0" w:color="auto"/>
        <w:left w:val="none" w:sz="0" w:space="0" w:color="auto"/>
        <w:bottom w:val="none" w:sz="0" w:space="0" w:color="auto"/>
        <w:right w:val="none" w:sz="0" w:space="0" w:color="auto"/>
      </w:divBdr>
      <w:divsChild>
        <w:div w:id="612517596">
          <w:marLeft w:val="274"/>
          <w:marRight w:val="0"/>
          <w:marTop w:val="0"/>
          <w:marBottom w:val="60"/>
          <w:divBdr>
            <w:top w:val="none" w:sz="0" w:space="0" w:color="auto"/>
            <w:left w:val="none" w:sz="0" w:space="0" w:color="auto"/>
            <w:bottom w:val="none" w:sz="0" w:space="0" w:color="auto"/>
            <w:right w:val="none" w:sz="0" w:space="0" w:color="auto"/>
          </w:divBdr>
        </w:div>
        <w:div w:id="816652393">
          <w:marLeft w:val="274"/>
          <w:marRight w:val="0"/>
          <w:marTop w:val="0"/>
          <w:marBottom w:val="60"/>
          <w:divBdr>
            <w:top w:val="none" w:sz="0" w:space="0" w:color="auto"/>
            <w:left w:val="none" w:sz="0" w:space="0" w:color="auto"/>
            <w:bottom w:val="none" w:sz="0" w:space="0" w:color="auto"/>
            <w:right w:val="none" w:sz="0" w:space="0" w:color="auto"/>
          </w:divBdr>
        </w:div>
        <w:div w:id="1528103311">
          <w:marLeft w:val="274"/>
          <w:marRight w:val="0"/>
          <w:marTop w:val="0"/>
          <w:marBottom w:val="60"/>
          <w:divBdr>
            <w:top w:val="none" w:sz="0" w:space="0" w:color="auto"/>
            <w:left w:val="none" w:sz="0" w:space="0" w:color="auto"/>
            <w:bottom w:val="none" w:sz="0" w:space="0" w:color="auto"/>
            <w:right w:val="none" w:sz="0" w:space="0" w:color="auto"/>
          </w:divBdr>
        </w:div>
        <w:div w:id="1550653516">
          <w:marLeft w:val="274"/>
          <w:marRight w:val="0"/>
          <w:marTop w:val="0"/>
          <w:marBottom w:val="60"/>
          <w:divBdr>
            <w:top w:val="none" w:sz="0" w:space="0" w:color="auto"/>
            <w:left w:val="none" w:sz="0" w:space="0" w:color="auto"/>
            <w:bottom w:val="none" w:sz="0" w:space="0" w:color="auto"/>
            <w:right w:val="none" w:sz="0" w:space="0" w:color="auto"/>
          </w:divBdr>
        </w:div>
      </w:divsChild>
    </w:div>
    <w:div w:id="868032053">
      <w:bodyDiv w:val="1"/>
      <w:marLeft w:val="0"/>
      <w:marRight w:val="0"/>
      <w:marTop w:val="0"/>
      <w:marBottom w:val="0"/>
      <w:divBdr>
        <w:top w:val="none" w:sz="0" w:space="0" w:color="auto"/>
        <w:left w:val="none" w:sz="0" w:space="0" w:color="auto"/>
        <w:bottom w:val="none" w:sz="0" w:space="0" w:color="auto"/>
        <w:right w:val="none" w:sz="0" w:space="0" w:color="auto"/>
      </w:divBdr>
      <w:divsChild>
        <w:div w:id="176118161">
          <w:marLeft w:val="173"/>
          <w:marRight w:val="0"/>
          <w:marTop w:val="0"/>
          <w:marBottom w:val="0"/>
          <w:divBdr>
            <w:top w:val="none" w:sz="0" w:space="0" w:color="auto"/>
            <w:left w:val="none" w:sz="0" w:space="0" w:color="auto"/>
            <w:bottom w:val="none" w:sz="0" w:space="0" w:color="auto"/>
            <w:right w:val="none" w:sz="0" w:space="0" w:color="auto"/>
          </w:divBdr>
        </w:div>
        <w:div w:id="345181991">
          <w:marLeft w:val="173"/>
          <w:marRight w:val="0"/>
          <w:marTop w:val="0"/>
          <w:marBottom w:val="0"/>
          <w:divBdr>
            <w:top w:val="none" w:sz="0" w:space="0" w:color="auto"/>
            <w:left w:val="none" w:sz="0" w:space="0" w:color="auto"/>
            <w:bottom w:val="none" w:sz="0" w:space="0" w:color="auto"/>
            <w:right w:val="none" w:sz="0" w:space="0" w:color="auto"/>
          </w:divBdr>
        </w:div>
        <w:div w:id="383064705">
          <w:marLeft w:val="173"/>
          <w:marRight w:val="0"/>
          <w:marTop w:val="0"/>
          <w:marBottom w:val="0"/>
          <w:divBdr>
            <w:top w:val="none" w:sz="0" w:space="0" w:color="auto"/>
            <w:left w:val="none" w:sz="0" w:space="0" w:color="auto"/>
            <w:bottom w:val="none" w:sz="0" w:space="0" w:color="auto"/>
            <w:right w:val="none" w:sz="0" w:space="0" w:color="auto"/>
          </w:divBdr>
        </w:div>
        <w:div w:id="644626534">
          <w:marLeft w:val="173"/>
          <w:marRight w:val="0"/>
          <w:marTop w:val="0"/>
          <w:marBottom w:val="0"/>
          <w:divBdr>
            <w:top w:val="none" w:sz="0" w:space="0" w:color="auto"/>
            <w:left w:val="none" w:sz="0" w:space="0" w:color="auto"/>
            <w:bottom w:val="none" w:sz="0" w:space="0" w:color="auto"/>
            <w:right w:val="none" w:sz="0" w:space="0" w:color="auto"/>
          </w:divBdr>
        </w:div>
        <w:div w:id="923957488">
          <w:marLeft w:val="173"/>
          <w:marRight w:val="0"/>
          <w:marTop w:val="0"/>
          <w:marBottom w:val="0"/>
          <w:divBdr>
            <w:top w:val="none" w:sz="0" w:space="0" w:color="auto"/>
            <w:left w:val="none" w:sz="0" w:space="0" w:color="auto"/>
            <w:bottom w:val="none" w:sz="0" w:space="0" w:color="auto"/>
            <w:right w:val="none" w:sz="0" w:space="0" w:color="auto"/>
          </w:divBdr>
        </w:div>
        <w:div w:id="931012161">
          <w:marLeft w:val="173"/>
          <w:marRight w:val="0"/>
          <w:marTop w:val="0"/>
          <w:marBottom w:val="0"/>
          <w:divBdr>
            <w:top w:val="none" w:sz="0" w:space="0" w:color="auto"/>
            <w:left w:val="none" w:sz="0" w:space="0" w:color="auto"/>
            <w:bottom w:val="none" w:sz="0" w:space="0" w:color="auto"/>
            <w:right w:val="none" w:sz="0" w:space="0" w:color="auto"/>
          </w:divBdr>
        </w:div>
        <w:div w:id="934169646">
          <w:marLeft w:val="173"/>
          <w:marRight w:val="0"/>
          <w:marTop w:val="0"/>
          <w:marBottom w:val="0"/>
          <w:divBdr>
            <w:top w:val="none" w:sz="0" w:space="0" w:color="auto"/>
            <w:left w:val="none" w:sz="0" w:space="0" w:color="auto"/>
            <w:bottom w:val="none" w:sz="0" w:space="0" w:color="auto"/>
            <w:right w:val="none" w:sz="0" w:space="0" w:color="auto"/>
          </w:divBdr>
        </w:div>
        <w:div w:id="1387290244">
          <w:marLeft w:val="173"/>
          <w:marRight w:val="0"/>
          <w:marTop w:val="0"/>
          <w:marBottom w:val="0"/>
          <w:divBdr>
            <w:top w:val="none" w:sz="0" w:space="0" w:color="auto"/>
            <w:left w:val="none" w:sz="0" w:space="0" w:color="auto"/>
            <w:bottom w:val="none" w:sz="0" w:space="0" w:color="auto"/>
            <w:right w:val="none" w:sz="0" w:space="0" w:color="auto"/>
          </w:divBdr>
        </w:div>
        <w:div w:id="1417703299">
          <w:marLeft w:val="173"/>
          <w:marRight w:val="0"/>
          <w:marTop w:val="0"/>
          <w:marBottom w:val="0"/>
          <w:divBdr>
            <w:top w:val="none" w:sz="0" w:space="0" w:color="auto"/>
            <w:left w:val="none" w:sz="0" w:space="0" w:color="auto"/>
            <w:bottom w:val="none" w:sz="0" w:space="0" w:color="auto"/>
            <w:right w:val="none" w:sz="0" w:space="0" w:color="auto"/>
          </w:divBdr>
        </w:div>
        <w:div w:id="1508521660">
          <w:marLeft w:val="173"/>
          <w:marRight w:val="0"/>
          <w:marTop w:val="0"/>
          <w:marBottom w:val="0"/>
          <w:divBdr>
            <w:top w:val="none" w:sz="0" w:space="0" w:color="auto"/>
            <w:left w:val="none" w:sz="0" w:space="0" w:color="auto"/>
            <w:bottom w:val="none" w:sz="0" w:space="0" w:color="auto"/>
            <w:right w:val="none" w:sz="0" w:space="0" w:color="auto"/>
          </w:divBdr>
        </w:div>
      </w:divsChild>
    </w:div>
    <w:div w:id="879391563">
      <w:bodyDiv w:val="1"/>
      <w:marLeft w:val="0"/>
      <w:marRight w:val="0"/>
      <w:marTop w:val="0"/>
      <w:marBottom w:val="0"/>
      <w:divBdr>
        <w:top w:val="none" w:sz="0" w:space="0" w:color="auto"/>
        <w:left w:val="none" w:sz="0" w:space="0" w:color="auto"/>
        <w:bottom w:val="none" w:sz="0" w:space="0" w:color="auto"/>
        <w:right w:val="none" w:sz="0" w:space="0" w:color="auto"/>
      </w:divBdr>
    </w:div>
    <w:div w:id="881333491">
      <w:bodyDiv w:val="1"/>
      <w:marLeft w:val="0"/>
      <w:marRight w:val="0"/>
      <w:marTop w:val="0"/>
      <w:marBottom w:val="0"/>
      <w:divBdr>
        <w:top w:val="none" w:sz="0" w:space="0" w:color="auto"/>
        <w:left w:val="none" w:sz="0" w:space="0" w:color="auto"/>
        <w:bottom w:val="none" w:sz="0" w:space="0" w:color="auto"/>
        <w:right w:val="none" w:sz="0" w:space="0" w:color="auto"/>
      </w:divBdr>
    </w:div>
    <w:div w:id="890265755">
      <w:bodyDiv w:val="1"/>
      <w:marLeft w:val="0"/>
      <w:marRight w:val="0"/>
      <w:marTop w:val="0"/>
      <w:marBottom w:val="0"/>
      <w:divBdr>
        <w:top w:val="none" w:sz="0" w:space="0" w:color="auto"/>
        <w:left w:val="none" w:sz="0" w:space="0" w:color="auto"/>
        <w:bottom w:val="none" w:sz="0" w:space="0" w:color="auto"/>
        <w:right w:val="none" w:sz="0" w:space="0" w:color="auto"/>
      </w:divBdr>
      <w:divsChild>
        <w:div w:id="1748452208">
          <w:marLeft w:val="0"/>
          <w:marRight w:val="0"/>
          <w:marTop w:val="0"/>
          <w:marBottom w:val="0"/>
          <w:divBdr>
            <w:top w:val="none" w:sz="0" w:space="0" w:color="auto"/>
            <w:left w:val="none" w:sz="0" w:space="0" w:color="auto"/>
            <w:bottom w:val="none" w:sz="0" w:space="0" w:color="auto"/>
            <w:right w:val="none" w:sz="0" w:space="0" w:color="auto"/>
          </w:divBdr>
          <w:divsChild>
            <w:div w:id="1605646726">
              <w:marLeft w:val="0"/>
              <w:marRight w:val="0"/>
              <w:marTop w:val="0"/>
              <w:marBottom w:val="0"/>
              <w:divBdr>
                <w:top w:val="none" w:sz="0" w:space="0" w:color="auto"/>
                <w:left w:val="none" w:sz="0" w:space="0" w:color="auto"/>
                <w:bottom w:val="none" w:sz="0" w:space="0" w:color="auto"/>
                <w:right w:val="none" w:sz="0" w:space="0" w:color="auto"/>
              </w:divBdr>
              <w:divsChild>
                <w:div w:id="504441221">
                  <w:marLeft w:val="0"/>
                  <w:marRight w:val="0"/>
                  <w:marTop w:val="0"/>
                  <w:marBottom w:val="0"/>
                  <w:divBdr>
                    <w:top w:val="none" w:sz="0" w:space="0" w:color="auto"/>
                    <w:left w:val="none" w:sz="0" w:space="0" w:color="auto"/>
                    <w:bottom w:val="none" w:sz="0" w:space="0" w:color="auto"/>
                    <w:right w:val="none" w:sz="0" w:space="0" w:color="auto"/>
                  </w:divBdr>
                  <w:divsChild>
                    <w:div w:id="751466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5553996">
      <w:bodyDiv w:val="1"/>
      <w:marLeft w:val="0"/>
      <w:marRight w:val="0"/>
      <w:marTop w:val="0"/>
      <w:marBottom w:val="0"/>
      <w:divBdr>
        <w:top w:val="none" w:sz="0" w:space="0" w:color="auto"/>
        <w:left w:val="none" w:sz="0" w:space="0" w:color="auto"/>
        <w:bottom w:val="none" w:sz="0" w:space="0" w:color="auto"/>
        <w:right w:val="none" w:sz="0" w:space="0" w:color="auto"/>
      </w:divBdr>
      <w:divsChild>
        <w:div w:id="203636820">
          <w:marLeft w:val="0"/>
          <w:marRight w:val="0"/>
          <w:marTop w:val="0"/>
          <w:marBottom w:val="60"/>
          <w:divBdr>
            <w:top w:val="none" w:sz="0" w:space="0" w:color="auto"/>
            <w:left w:val="none" w:sz="0" w:space="0" w:color="auto"/>
            <w:bottom w:val="none" w:sz="0" w:space="0" w:color="auto"/>
            <w:right w:val="none" w:sz="0" w:space="0" w:color="auto"/>
          </w:divBdr>
          <w:divsChild>
            <w:div w:id="190847175">
              <w:marLeft w:val="0"/>
              <w:marRight w:val="0"/>
              <w:marTop w:val="0"/>
              <w:marBottom w:val="0"/>
              <w:divBdr>
                <w:top w:val="none" w:sz="0" w:space="0" w:color="auto"/>
                <w:left w:val="none" w:sz="0" w:space="0" w:color="auto"/>
                <w:bottom w:val="none" w:sz="0" w:space="0" w:color="auto"/>
                <w:right w:val="none" w:sz="0" w:space="0" w:color="auto"/>
              </w:divBdr>
              <w:divsChild>
                <w:div w:id="1318070622">
                  <w:marLeft w:val="0"/>
                  <w:marRight w:val="0"/>
                  <w:marTop w:val="0"/>
                  <w:marBottom w:val="0"/>
                  <w:divBdr>
                    <w:top w:val="none" w:sz="0" w:space="0" w:color="auto"/>
                    <w:left w:val="none" w:sz="0" w:space="0" w:color="auto"/>
                    <w:bottom w:val="none" w:sz="0" w:space="0" w:color="auto"/>
                    <w:right w:val="none" w:sz="0" w:space="0" w:color="auto"/>
                  </w:divBdr>
                  <w:divsChild>
                    <w:div w:id="84232040">
                      <w:marLeft w:val="0"/>
                      <w:marRight w:val="150"/>
                      <w:marTop w:val="30"/>
                      <w:marBottom w:val="0"/>
                      <w:divBdr>
                        <w:top w:val="none" w:sz="0" w:space="0" w:color="auto"/>
                        <w:left w:val="none" w:sz="0" w:space="0" w:color="auto"/>
                        <w:bottom w:val="none" w:sz="0" w:space="0" w:color="auto"/>
                        <w:right w:val="none" w:sz="0" w:space="0" w:color="auto"/>
                      </w:divBdr>
                      <w:divsChild>
                        <w:div w:id="32464019">
                          <w:marLeft w:val="0"/>
                          <w:marRight w:val="0"/>
                          <w:marTop w:val="0"/>
                          <w:marBottom w:val="0"/>
                          <w:divBdr>
                            <w:top w:val="none" w:sz="0" w:space="0" w:color="auto"/>
                            <w:left w:val="none" w:sz="0" w:space="0" w:color="auto"/>
                            <w:bottom w:val="none" w:sz="0" w:space="0" w:color="auto"/>
                            <w:right w:val="none" w:sz="0" w:space="0" w:color="auto"/>
                          </w:divBdr>
                        </w:div>
                      </w:divsChild>
                    </w:div>
                    <w:div w:id="377629067">
                      <w:marLeft w:val="0"/>
                      <w:marRight w:val="0"/>
                      <w:marTop w:val="0"/>
                      <w:marBottom w:val="0"/>
                      <w:divBdr>
                        <w:top w:val="none" w:sz="0" w:space="0" w:color="auto"/>
                        <w:left w:val="none" w:sz="0" w:space="0" w:color="auto"/>
                        <w:bottom w:val="none" w:sz="0" w:space="0" w:color="auto"/>
                        <w:right w:val="none" w:sz="0" w:space="0" w:color="auto"/>
                      </w:divBdr>
                      <w:divsChild>
                        <w:div w:id="1331055622">
                          <w:marLeft w:val="0"/>
                          <w:marRight w:val="0"/>
                          <w:marTop w:val="0"/>
                          <w:marBottom w:val="0"/>
                          <w:divBdr>
                            <w:top w:val="none" w:sz="0" w:space="0" w:color="auto"/>
                            <w:left w:val="none" w:sz="0" w:space="0" w:color="auto"/>
                            <w:bottom w:val="none" w:sz="0" w:space="0" w:color="auto"/>
                            <w:right w:val="none" w:sz="0" w:space="0" w:color="auto"/>
                          </w:divBdr>
                        </w:div>
                      </w:divsChild>
                    </w:div>
                    <w:div w:id="517743901">
                      <w:marLeft w:val="0"/>
                      <w:marRight w:val="150"/>
                      <w:marTop w:val="30"/>
                      <w:marBottom w:val="0"/>
                      <w:divBdr>
                        <w:top w:val="none" w:sz="0" w:space="0" w:color="auto"/>
                        <w:left w:val="none" w:sz="0" w:space="0" w:color="auto"/>
                        <w:bottom w:val="none" w:sz="0" w:space="0" w:color="auto"/>
                        <w:right w:val="none" w:sz="0" w:space="0" w:color="auto"/>
                      </w:divBdr>
                      <w:divsChild>
                        <w:div w:id="1658727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2857788">
      <w:bodyDiv w:val="1"/>
      <w:marLeft w:val="0"/>
      <w:marRight w:val="0"/>
      <w:marTop w:val="0"/>
      <w:marBottom w:val="0"/>
      <w:divBdr>
        <w:top w:val="none" w:sz="0" w:space="0" w:color="auto"/>
        <w:left w:val="none" w:sz="0" w:space="0" w:color="auto"/>
        <w:bottom w:val="none" w:sz="0" w:space="0" w:color="auto"/>
        <w:right w:val="none" w:sz="0" w:space="0" w:color="auto"/>
      </w:divBdr>
      <w:divsChild>
        <w:div w:id="1885749157">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916746408">
      <w:bodyDiv w:val="1"/>
      <w:marLeft w:val="0"/>
      <w:marRight w:val="0"/>
      <w:marTop w:val="0"/>
      <w:marBottom w:val="0"/>
      <w:divBdr>
        <w:top w:val="none" w:sz="0" w:space="0" w:color="auto"/>
        <w:left w:val="none" w:sz="0" w:space="0" w:color="auto"/>
        <w:bottom w:val="none" w:sz="0" w:space="0" w:color="auto"/>
        <w:right w:val="none" w:sz="0" w:space="0" w:color="auto"/>
      </w:divBdr>
    </w:div>
    <w:div w:id="923802047">
      <w:bodyDiv w:val="1"/>
      <w:marLeft w:val="0"/>
      <w:marRight w:val="0"/>
      <w:marTop w:val="0"/>
      <w:marBottom w:val="0"/>
      <w:divBdr>
        <w:top w:val="none" w:sz="0" w:space="0" w:color="auto"/>
        <w:left w:val="none" w:sz="0" w:space="0" w:color="auto"/>
        <w:bottom w:val="none" w:sz="0" w:space="0" w:color="auto"/>
        <w:right w:val="none" w:sz="0" w:space="0" w:color="auto"/>
      </w:divBdr>
    </w:div>
    <w:div w:id="924613249">
      <w:bodyDiv w:val="1"/>
      <w:marLeft w:val="0"/>
      <w:marRight w:val="0"/>
      <w:marTop w:val="0"/>
      <w:marBottom w:val="0"/>
      <w:divBdr>
        <w:top w:val="none" w:sz="0" w:space="0" w:color="auto"/>
        <w:left w:val="none" w:sz="0" w:space="0" w:color="auto"/>
        <w:bottom w:val="none" w:sz="0" w:space="0" w:color="auto"/>
        <w:right w:val="none" w:sz="0" w:space="0" w:color="auto"/>
      </w:divBdr>
    </w:div>
    <w:div w:id="931012059">
      <w:bodyDiv w:val="1"/>
      <w:marLeft w:val="0"/>
      <w:marRight w:val="0"/>
      <w:marTop w:val="0"/>
      <w:marBottom w:val="0"/>
      <w:divBdr>
        <w:top w:val="none" w:sz="0" w:space="0" w:color="auto"/>
        <w:left w:val="none" w:sz="0" w:space="0" w:color="auto"/>
        <w:bottom w:val="none" w:sz="0" w:space="0" w:color="auto"/>
        <w:right w:val="none" w:sz="0" w:space="0" w:color="auto"/>
      </w:divBdr>
    </w:div>
    <w:div w:id="937564779">
      <w:bodyDiv w:val="1"/>
      <w:marLeft w:val="0"/>
      <w:marRight w:val="0"/>
      <w:marTop w:val="0"/>
      <w:marBottom w:val="0"/>
      <w:divBdr>
        <w:top w:val="none" w:sz="0" w:space="0" w:color="auto"/>
        <w:left w:val="none" w:sz="0" w:space="0" w:color="auto"/>
        <w:bottom w:val="none" w:sz="0" w:space="0" w:color="auto"/>
        <w:right w:val="none" w:sz="0" w:space="0" w:color="auto"/>
      </w:divBdr>
      <w:divsChild>
        <w:div w:id="179394030">
          <w:marLeft w:val="0"/>
          <w:marRight w:val="0"/>
          <w:marTop w:val="0"/>
          <w:marBottom w:val="0"/>
          <w:divBdr>
            <w:top w:val="none" w:sz="0" w:space="0" w:color="auto"/>
            <w:left w:val="none" w:sz="0" w:space="0" w:color="auto"/>
            <w:bottom w:val="none" w:sz="0" w:space="0" w:color="auto"/>
            <w:right w:val="none" w:sz="0" w:space="0" w:color="auto"/>
          </w:divBdr>
          <w:divsChild>
            <w:div w:id="1196194154">
              <w:marLeft w:val="0"/>
              <w:marRight w:val="0"/>
              <w:marTop w:val="0"/>
              <w:marBottom w:val="0"/>
              <w:divBdr>
                <w:top w:val="none" w:sz="0" w:space="0" w:color="auto"/>
                <w:left w:val="none" w:sz="0" w:space="0" w:color="auto"/>
                <w:bottom w:val="none" w:sz="0" w:space="0" w:color="auto"/>
                <w:right w:val="none" w:sz="0" w:space="0" w:color="auto"/>
              </w:divBdr>
              <w:divsChild>
                <w:div w:id="1099526894">
                  <w:marLeft w:val="0"/>
                  <w:marRight w:val="0"/>
                  <w:marTop w:val="0"/>
                  <w:marBottom w:val="0"/>
                  <w:divBdr>
                    <w:top w:val="none" w:sz="0" w:space="0" w:color="auto"/>
                    <w:left w:val="none" w:sz="0" w:space="0" w:color="auto"/>
                    <w:bottom w:val="none" w:sz="0" w:space="0" w:color="auto"/>
                    <w:right w:val="none" w:sz="0" w:space="0" w:color="auto"/>
                  </w:divBdr>
                  <w:divsChild>
                    <w:div w:id="1992562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833164">
      <w:bodyDiv w:val="1"/>
      <w:marLeft w:val="0"/>
      <w:marRight w:val="0"/>
      <w:marTop w:val="0"/>
      <w:marBottom w:val="0"/>
      <w:divBdr>
        <w:top w:val="none" w:sz="0" w:space="0" w:color="auto"/>
        <w:left w:val="none" w:sz="0" w:space="0" w:color="auto"/>
        <w:bottom w:val="none" w:sz="0" w:space="0" w:color="auto"/>
        <w:right w:val="none" w:sz="0" w:space="0" w:color="auto"/>
      </w:divBdr>
    </w:div>
    <w:div w:id="944918203">
      <w:bodyDiv w:val="1"/>
      <w:marLeft w:val="0"/>
      <w:marRight w:val="0"/>
      <w:marTop w:val="0"/>
      <w:marBottom w:val="0"/>
      <w:divBdr>
        <w:top w:val="none" w:sz="0" w:space="0" w:color="auto"/>
        <w:left w:val="none" w:sz="0" w:space="0" w:color="auto"/>
        <w:bottom w:val="none" w:sz="0" w:space="0" w:color="auto"/>
        <w:right w:val="none" w:sz="0" w:space="0" w:color="auto"/>
      </w:divBdr>
      <w:divsChild>
        <w:div w:id="1049919161">
          <w:marLeft w:val="274"/>
          <w:marRight w:val="0"/>
          <w:marTop w:val="120"/>
          <w:marBottom w:val="120"/>
          <w:divBdr>
            <w:top w:val="none" w:sz="0" w:space="0" w:color="auto"/>
            <w:left w:val="none" w:sz="0" w:space="0" w:color="auto"/>
            <w:bottom w:val="none" w:sz="0" w:space="0" w:color="auto"/>
            <w:right w:val="none" w:sz="0" w:space="0" w:color="auto"/>
          </w:divBdr>
        </w:div>
      </w:divsChild>
    </w:div>
    <w:div w:id="951857405">
      <w:bodyDiv w:val="1"/>
      <w:marLeft w:val="0"/>
      <w:marRight w:val="0"/>
      <w:marTop w:val="0"/>
      <w:marBottom w:val="0"/>
      <w:divBdr>
        <w:top w:val="none" w:sz="0" w:space="0" w:color="auto"/>
        <w:left w:val="none" w:sz="0" w:space="0" w:color="auto"/>
        <w:bottom w:val="none" w:sz="0" w:space="0" w:color="auto"/>
        <w:right w:val="none" w:sz="0" w:space="0" w:color="auto"/>
      </w:divBdr>
    </w:div>
    <w:div w:id="967392845">
      <w:bodyDiv w:val="1"/>
      <w:marLeft w:val="0"/>
      <w:marRight w:val="0"/>
      <w:marTop w:val="0"/>
      <w:marBottom w:val="0"/>
      <w:divBdr>
        <w:top w:val="none" w:sz="0" w:space="0" w:color="auto"/>
        <w:left w:val="none" w:sz="0" w:space="0" w:color="auto"/>
        <w:bottom w:val="none" w:sz="0" w:space="0" w:color="auto"/>
        <w:right w:val="none" w:sz="0" w:space="0" w:color="auto"/>
      </w:divBdr>
    </w:div>
    <w:div w:id="978611071">
      <w:bodyDiv w:val="1"/>
      <w:marLeft w:val="0"/>
      <w:marRight w:val="0"/>
      <w:marTop w:val="0"/>
      <w:marBottom w:val="0"/>
      <w:divBdr>
        <w:top w:val="none" w:sz="0" w:space="0" w:color="auto"/>
        <w:left w:val="none" w:sz="0" w:space="0" w:color="auto"/>
        <w:bottom w:val="none" w:sz="0" w:space="0" w:color="auto"/>
        <w:right w:val="none" w:sz="0" w:space="0" w:color="auto"/>
      </w:divBdr>
    </w:div>
    <w:div w:id="982736337">
      <w:bodyDiv w:val="1"/>
      <w:marLeft w:val="0"/>
      <w:marRight w:val="0"/>
      <w:marTop w:val="0"/>
      <w:marBottom w:val="0"/>
      <w:divBdr>
        <w:top w:val="none" w:sz="0" w:space="0" w:color="auto"/>
        <w:left w:val="none" w:sz="0" w:space="0" w:color="auto"/>
        <w:bottom w:val="none" w:sz="0" w:space="0" w:color="auto"/>
        <w:right w:val="none" w:sz="0" w:space="0" w:color="auto"/>
      </w:divBdr>
      <w:divsChild>
        <w:div w:id="1883974360">
          <w:marLeft w:val="0"/>
          <w:marRight w:val="0"/>
          <w:marTop w:val="0"/>
          <w:marBottom w:val="0"/>
          <w:divBdr>
            <w:top w:val="none" w:sz="0" w:space="0" w:color="auto"/>
            <w:left w:val="none" w:sz="0" w:space="0" w:color="auto"/>
            <w:bottom w:val="none" w:sz="0" w:space="0" w:color="auto"/>
            <w:right w:val="none" w:sz="0" w:space="0" w:color="auto"/>
          </w:divBdr>
          <w:divsChild>
            <w:div w:id="604071352">
              <w:marLeft w:val="0"/>
              <w:marRight w:val="0"/>
              <w:marTop w:val="0"/>
              <w:marBottom w:val="0"/>
              <w:divBdr>
                <w:top w:val="none" w:sz="0" w:space="0" w:color="auto"/>
                <w:left w:val="none" w:sz="0" w:space="0" w:color="auto"/>
                <w:bottom w:val="none" w:sz="0" w:space="0" w:color="auto"/>
                <w:right w:val="none" w:sz="0" w:space="0" w:color="auto"/>
              </w:divBdr>
              <w:divsChild>
                <w:div w:id="480659162">
                  <w:marLeft w:val="0"/>
                  <w:marRight w:val="0"/>
                  <w:marTop w:val="60"/>
                  <w:marBottom w:val="60"/>
                  <w:divBdr>
                    <w:top w:val="none" w:sz="0" w:space="0" w:color="auto"/>
                    <w:left w:val="none" w:sz="0" w:space="0" w:color="auto"/>
                    <w:bottom w:val="none" w:sz="0" w:space="0" w:color="auto"/>
                    <w:right w:val="none" w:sz="0" w:space="0" w:color="auto"/>
                  </w:divBdr>
                  <w:divsChild>
                    <w:div w:id="1188182704">
                      <w:marLeft w:val="0"/>
                      <w:marRight w:val="0"/>
                      <w:marTop w:val="0"/>
                      <w:marBottom w:val="0"/>
                      <w:divBdr>
                        <w:top w:val="none" w:sz="0" w:space="0" w:color="auto"/>
                        <w:left w:val="none" w:sz="0" w:space="0" w:color="auto"/>
                        <w:bottom w:val="none" w:sz="0" w:space="0" w:color="auto"/>
                        <w:right w:val="none" w:sz="0" w:space="0" w:color="auto"/>
                      </w:divBdr>
                      <w:divsChild>
                        <w:div w:id="169180127">
                          <w:marLeft w:val="0"/>
                          <w:marRight w:val="0"/>
                          <w:marTop w:val="0"/>
                          <w:marBottom w:val="0"/>
                          <w:divBdr>
                            <w:top w:val="single" w:sz="6" w:space="15" w:color="D7D8D8"/>
                            <w:left w:val="single" w:sz="6" w:space="8" w:color="D7D8D8"/>
                            <w:bottom w:val="single" w:sz="6" w:space="15" w:color="D7D8D8"/>
                            <w:right w:val="single" w:sz="6" w:space="26" w:color="D7D8D8"/>
                          </w:divBdr>
                        </w:div>
                      </w:divsChild>
                    </w:div>
                  </w:divsChild>
                </w:div>
                <w:div w:id="1670517649">
                  <w:marLeft w:val="0"/>
                  <w:marRight w:val="0"/>
                  <w:marTop w:val="60"/>
                  <w:marBottom w:val="60"/>
                  <w:divBdr>
                    <w:top w:val="none" w:sz="0" w:space="0" w:color="auto"/>
                    <w:left w:val="none" w:sz="0" w:space="0" w:color="auto"/>
                    <w:bottom w:val="none" w:sz="0" w:space="0" w:color="auto"/>
                    <w:right w:val="none" w:sz="0" w:space="0" w:color="auto"/>
                  </w:divBdr>
                  <w:divsChild>
                    <w:div w:id="819200138">
                      <w:marLeft w:val="0"/>
                      <w:marRight w:val="0"/>
                      <w:marTop w:val="0"/>
                      <w:marBottom w:val="0"/>
                      <w:divBdr>
                        <w:top w:val="none" w:sz="0" w:space="0" w:color="auto"/>
                        <w:left w:val="none" w:sz="0" w:space="0" w:color="auto"/>
                        <w:bottom w:val="none" w:sz="0" w:space="0" w:color="auto"/>
                        <w:right w:val="none" w:sz="0" w:space="0" w:color="auto"/>
                      </w:divBdr>
                      <w:divsChild>
                        <w:div w:id="590549158">
                          <w:marLeft w:val="0"/>
                          <w:marRight w:val="0"/>
                          <w:marTop w:val="0"/>
                          <w:marBottom w:val="0"/>
                          <w:divBdr>
                            <w:top w:val="single" w:sz="6" w:space="15" w:color="D7D8D8"/>
                            <w:left w:val="single" w:sz="6" w:space="8" w:color="D7D8D8"/>
                            <w:bottom w:val="single" w:sz="6" w:space="15" w:color="D7D8D8"/>
                            <w:right w:val="single" w:sz="6" w:space="26" w:color="D7D8D8"/>
                          </w:divBdr>
                        </w:div>
                      </w:divsChild>
                    </w:div>
                    <w:div w:id="1253322988">
                      <w:marLeft w:val="0"/>
                      <w:marRight w:val="0"/>
                      <w:marTop w:val="0"/>
                      <w:marBottom w:val="0"/>
                      <w:divBdr>
                        <w:top w:val="none" w:sz="0" w:space="0" w:color="auto"/>
                        <w:left w:val="none" w:sz="0" w:space="0" w:color="auto"/>
                        <w:bottom w:val="none" w:sz="0" w:space="0" w:color="auto"/>
                        <w:right w:val="none" w:sz="0" w:space="0" w:color="auto"/>
                      </w:divBdr>
                      <w:divsChild>
                        <w:div w:id="510527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8944835">
      <w:bodyDiv w:val="1"/>
      <w:marLeft w:val="0"/>
      <w:marRight w:val="0"/>
      <w:marTop w:val="0"/>
      <w:marBottom w:val="0"/>
      <w:divBdr>
        <w:top w:val="none" w:sz="0" w:space="0" w:color="auto"/>
        <w:left w:val="none" w:sz="0" w:space="0" w:color="auto"/>
        <w:bottom w:val="none" w:sz="0" w:space="0" w:color="auto"/>
        <w:right w:val="none" w:sz="0" w:space="0" w:color="auto"/>
      </w:divBdr>
    </w:div>
    <w:div w:id="992490682">
      <w:bodyDiv w:val="1"/>
      <w:marLeft w:val="0"/>
      <w:marRight w:val="0"/>
      <w:marTop w:val="0"/>
      <w:marBottom w:val="0"/>
      <w:divBdr>
        <w:top w:val="none" w:sz="0" w:space="0" w:color="auto"/>
        <w:left w:val="none" w:sz="0" w:space="0" w:color="auto"/>
        <w:bottom w:val="none" w:sz="0" w:space="0" w:color="auto"/>
        <w:right w:val="none" w:sz="0" w:space="0" w:color="auto"/>
      </w:divBdr>
    </w:div>
    <w:div w:id="1009453122">
      <w:bodyDiv w:val="1"/>
      <w:marLeft w:val="0"/>
      <w:marRight w:val="0"/>
      <w:marTop w:val="0"/>
      <w:marBottom w:val="0"/>
      <w:divBdr>
        <w:top w:val="none" w:sz="0" w:space="0" w:color="auto"/>
        <w:left w:val="none" w:sz="0" w:space="0" w:color="auto"/>
        <w:bottom w:val="none" w:sz="0" w:space="0" w:color="auto"/>
        <w:right w:val="none" w:sz="0" w:space="0" w:color="auto"/>
      </w:divBdr>
    </w:div>
    <w:div w:id="1013188123">
      <w:bodyDiv w:val="1"/>
      <w:marLeft w:val="0"/>
      <w:marRight w:val="0"/>
      <w:marTop w:val="0"/>
      <w:marBottom w:val="0"/>
      <w:divBdr>
        <w:top w:val="none" w:sz="0" w:space="0" w:color="auto"/>
        <w:left w:val="none" w:sz="0" w:space="0" w:color="auto"/>
        <w:bottom w:val="none" w:sz="0" w:space="0" w:color="auto"/>
        <w:right w:val="none" w:sz="0" w:space="0" w:color="auto"/>
      </w:divBdr>
    </w:div>
    <w:div w:id="1028991637">
      <w:bodyDiv w:val="1"/>
      <w:marLeft w:val="0"/>
      <w:marRight w:val="0"/>
      <w:marTop w:val="0"/>
      <w:marBottom w:val="0"/>
      <w:divBdr>
        <w:top w:val="none" w:sz="0" w:space="0" w:color="auto"/>
        <w:left w:val="none" w:sz="0" w:space="0" w:color="auto"/>
        <w:bottom w:val="none" w:sz="0" w:space="0" w:color="auto"/>
        <w:right w:val="none" w:sz="0" w:space="0" w:color="auto"/>
      </w:divBdr>
      <w:divsChild>
        <w:div w:id="385954007">
          <w:marLeft w:val="274"/>
          <w:marRight w:val="0"/>
          <w:marTop w:val="0"/>
          <w:marBottom w:val="0"/>
          <w:divBdr>
            <w:top w:val="none" w:sz="0" w:space="0" w:color="auto"/>
            <w:left w:val="none" w:sz="0" w:space="0" w:color="auto"/>
            <w:bottom w:val="none" w:sz="0" w:space="0" w:color="auto"/>
            <w:right w:val="none" w:sz="0" w:space="0" w:color="auto"/>
          </w:divBdr>
        </w:div>
        <w:div w:id="386343099">
          <w:marLeft w:val="274"/>
          <w:marRight w:val="0"/>
          <w:marTop w:val="0"/>
          <w:marBottom w:val="0"/>
          <w:divBdr>
            <w:top w:val="none" w:sz="0" w:space="0" w:color="auto"/>
            <w:left w:val="none" w:sz="0" w:space="0" w:color="auto"/>
            <w:bottom w:val="none" w:sz="0" w:space="0" w:color="auto"/>
            <w:right w:val="none" w:sz="0" w:space="0" w:color="auto"/>
          </w:divBdr>
        </w:div>
        <w:div w:id="686443862">
          <w:marLeft w:val="274"/>
          <w:marRight w:val="0"/>
          <w:marTop w:val="0"/>
          <w:marBottom w:val="0"/>
          <w:divBdr>
            <w:top w:val="none" w:sz="0" w:space="0" w:color="auto"/>
            <w:left w:val="none" w:sz="0" w:space="0" w:color="auto"/>
            <w:bottom w:val="none" w:sz="0" w:space="0" w:color="auto"/>
            <w:right w:val="none" w:sz="0" w:space="0" w:color="auto"/>
          </w:divBdr>
        </w:div>
        <w:div w:id="875119129">
          <w:marLeft w:val="274"/>
          <w:marRight w:val="0"/>
          <w:marTop w:val="0"/>
          <w:marBottom w:val="0"/>
          <w:divBdr>
            <w:top w:val="none" w:sz="0" w:space="0" w:color="auto"/>
            <w:left w:val="none" w:sz="0" w:space="0" w:color="auto"/>
            <w:bottom w:val="none" w:sz="0" w:space="0" w:color="auto"/>
            <w:right w:val="none" w:sz="0" w:space="0" w:color="auto"/>
          </w:divBdr>
        </w:div>
        <w:div w:id="1400130323">
          <w:marLeft w:val="274"/>
          <w:marRight w:val="0"/>
          <w:marTop w:val="0"/>
          <w:marBottom w:val="0"/>
          <w:divBdr>
            <w:top w:val="none" w:sz="0" w:space="0" w:color="auto"/>
            <w:left w:val="none" w:sz="0" w:space="0" w:color="auto"/>
            <w:bottom w:val="none" w:sz="0" w:space="0" w:color="auto"/>
            <w:right w:val="none" w:sz="0" w:space="0" w:color="auto"/>
          </w:divBdr>
        </w:div>
      </w:divsChild>
    </w:div>
    <w:div w:id="1036736474">
      <w:bodyDiv w:val="1"/>
      <w:marLeft w:val="0"/>
      <w:marRight w:val="0"/>
      <w:marTop w:val="0"/>
      <w:marBottom w:val="0"/>
      <w:divBdr>
        <w:top w:val="none" w:sz="0" w:space="0" w:color="auto"/>
        <w:left w:val="none" w:sz="0" w:space="0" w:color="auto"/>
        <w:bottom w:val="none" w:sz="0" w:space="0" w:color="auto"/>
        <w:right w:val="none" w:sz="0" w:space="0" w:color="auto"/>
      </w:divBdr>
    </w:div>
    <w:div w:id="1044519131">
      <w:bodyDiv w:val="1"/>
      <w:marLeft w:val="0"/>
      <w:marRight w:val="0"/>
      <w:marTop w:val="0"/>
      <w:marBottom w:val="0"/>
      <w:divBdr>
        <w:top w:val="none" w:sz="0" w:space="0" w:color="auto"/>
        <w:left w:val="none" w:sz="0" w:space="0" w:color="auto"/>
        <w:bottom w:val="none" w:sz="0" w:space="0" w:color="auto"/>
        <w:right w:val="none" w:sz="0" w:space="0" w:color="auto"/>
      </w:divBdr>
    </w:div>
    <w:div w:id="1050496980">
      <w:bodyDiv w:val="1"/>
      <w:marLeft w:val="0"/>
      <w:marRight w:val="0"/>
      <w:marTop w:val="0"/>
      <w:marBottom w:val="0"/>
      <w:divBdr>
        <w:top w:val="none" w:sz="0" w:space="0" w:color="auto"/>
        <w:left w:val="none" w:sz="0" w:space="0" w:color="auto"/>
        <w:bottom w:val="none" w:sz="0" w:space="0" w:color="auto"/>
        <w:right w:val="none" w:sz="0" w:space="0" w:color="auto"/>
      </w:divBdr>
    </w:div>
    <w:div w:id="1052004388">
      <w:bodyDiv w:val="1"/>
      <w:marLeft w:val="0"/>
      <w:marRight w:val="0"/>
      <w:marTop w:val="0"/>
      <w:marBottom w:val="0"/>
      <w:divBdr>
        <w:top w:val="none" w:sz="0" w:space="0" w:color="auto"/>
        <w:left w:val="none" w:sz="0" w:space="0" w:color="auto"/>
        <w:bottom w:val="none" w:sz="0" w:space="0" w:color="auto"/>
        <w:right w:val="none" w:sz="0" w:space="0" w:color="auto"/>
      </w:divBdr>
      <w:divsChild>
        <w:div w:id="1257906263">
          <w:marLeft w:val="274"/>
          <w:marRight w:val="0"/>
          <w:marTop w:val="0"/>
          <w:marBottom w:val="120"/>
          <w:divBdr>
            <w:top w:val="none" w:sz="0" w:space="0" w:color="auto"/>
            <w:left w:val="none" w:sz="0" w:space="0" w:color="auto"/>
            <w:bottom w:val="none" w:sz="0" w:space="0" w:color="auto"/>
            <w:right w:val="none" w:sz="0" w:space="0" w:color="auto"/>
          </w:divBdr>
        </w:div>
        <w:div w:id="1500658709">
          <w:marLeft w:val="274"/>
          <w:marRight w:val="0"/>
          <w:marTop w:val="0"/>
          <w:marBottom w:val="120"/>
          <w:divBdr>
            <w:top w:val="none" w:sz="0" w:space="0" w:color="auto"/>
            <w:left w:val="none" w:sz="0" w:space="0" w:color="auto"/>
            <w:bottom w:val="none" w:sz="0" w:space="0" w:color="auto"/>
            <w:right w:val="none" w:sz="0" w:space="0" w:color="auto"/>
          </w:divBdr>
        </w:div>
      </w:divsChild>
    </w:div>
    <w:div w:id="1059982217">
      <w:bodyDiv w:val="1"/>
      <w:marLeft w:val="0"/>
      <w:marRight w:val="0"/>
      <w:marTop w:val="0"/>
      <w:marBottom w:val="0"/>
      <w:divBdr>
        <w:top w:val="none" w:sz="0" w:space="0" w:color="auto"/>
        <w:left w:val="none" w:sz="0" w:space="0" w:color="auto"/>
        <w:bottom w:val="none" w:sz="0" w:space="0" w:color="auto"/>
        <w:right w:val="none" w:sz="0" w:space="0" w:color="auto"/>
      </w:divBdr>
    </w:div>
    <w:div w:id="1064987004">
      <w:bodyDiv w:val="1"/>
      <w:marLeft w:val="0"/>
      <w:marRight w:val="0"/>
      <w:marTop w:val="0"/>
      <w:marBottom w:val="0"/>
      <w:divBdr>
        <w:top w:val="none" w:sz="0" w:space="0" w:color="auto"/>
        <w:left w:val="none" w:sz="0" w:space="0" w:color="auto"/>
        <w:bottom w:val="none" w:sz="0" w:space="0" w:color="auto"/>
        <w:right w:val="none" w:sz="0" w:space="0" w:color="auto"/>
      </w:divBdr>
      <w:divsChild>
        <w:div w:id="77335444">
          <w:marLeft w:val="274"/>
          <w:marRight w:val="0"/>
          <w:marTop w:val="0"/>
          <w:marBottom w:val="0"/>
          <w:divBdr>
            <w:top w:val="none" w:sz="0" w:space="0" w:color="auto"/>
            <w:left w:val="none" w:sz="0" w:space="0" w:color="auto"/>
            <w:bottom w:val="none" w:sz="0" w:space="0" w:color="auto"/>
            <w:right w:val="none" w:sz="0" w:space="0" w:color="auto"/>
          </w:divBdr>
        </w:div>
      </w:divsChild>
    </w:div>
    <w:div w:id="1065375994">
      <w:bodyDiv w:val="1"/>
      <w:marLeft w:val="0"/>
      <w:marRight w:val="0"/>
      <w:marTop w:val="0"/>
      <w:marBottom w:val="0"/>
      <w:divBdr>
        <w:top w:val="none" w:sz="0" w:space="0" w:color="auto"/>
        <w:left w:val="none" w:sz="0" w:space="0" w:color="auto"/>
        <w:bottom w:val="none" w:sz="0" w:space="0" w:color="auto"/>
        <w:right w:val="none" w:sz="0" w:space="0" w:color="auto"/>
      </w:divBdr>
    </w:div>
    <w:div w:id="1070692236">
      <w:bodyDiv w:val="1"/>
      <w:marLeft w:val="0"/>
      <w:marRight w:val="0"/>
      <w:marTop w:val="0"/>
      <w:marBottom w:val="0"/>
      <w:divBdr>
        <w:top w:val="none" w:sz="0" w:space="0" w:color="auto"/>
        <w:left w:val="none" w:sz="0" w:space="0" w:color="auto"/>
        <w:bottom w:val="none" w:sz="0" w:space="0" w:color="auto"/>
        <w:right w:val="none" w:sz="0" w:space="0" w:color="auto"/>
      </w:divBdr>
    </w:div>
    <w:div w:id="1075861925">
      <w:bodyDiv w:val="1"/>
      <w:marLeft w:val="0"/>
      <w:marRight w:val="0"/>
      <w:marTop w:val="0"/>
      <w:marBottom w:val="0"/>
      <w:divBdr>
        <w:top w:val="none" w:sz="0" w:space="0" w:color="auto"/>
        <w:left w:val="none" w:sz="0" w:space="0" w:color="auto"/>
        <w:bottom w:val="none" w:sz="0" w:space="0" w:color="auto"/>
        <w:right w:val="none" w:sz="0" w:space="0" w:color="auto"/>
      </w:divBdr>
      <w:divsChild>
        <w:div w:id="1068575068">
          <w:marLeft w:val="274"/>
          <w:marRight w:val="0"/>
          <w:marTop w:val="0"/>
          <w:marBottom w:val="60"/>
          <w:divBdr>
            <w:top w:val="none" w:sz="0" w:space="0" w:color="auto"/>
            <w:left w:val="none" w:sz="0" w:space="0" w:color="auto"/>
            <w:bottom w:val="none" w:sz="0" w:space="0" w:color="auto"/>
            <w:right w:val="none" w:sz="0" w:space="0" w:color="auto"/>
          </w:divBdr>
        </w:div>
      </w:divsChild>
    </w:div>
    <w:div w:id="1076131330">
      <w:bodyDiv w:val="1"/>
      <w:marLeft w:val="0"/>
      <w:marRight w:val="0"/>
      <w:marTop w:val="0"/>
      <w:marBottom w:val="0"/>
      <w:divBdr>
        <w:top w:val="none" w:sz="0" w:space="0" w:color="auto"/>
        <w:left w:val="none" w:sz="0" w:space="0" w:color="auto"/>
        <w:bottom w:val="none" w:sz="0" w:space="0" w:color="auto"/>
        <w:right w:val="none" w:sz="0" w:space="0" w:color="auto"/>
      </w:divBdr>
    </w:div>
    <w:div w:id="1082993361">
      <w:bodyDiv w:val="1"/>
      <w:marLeft w:val="0"/>
      <w:marRight w:val="0"/>
      <w:marTop w:val="0"/>
      <w:marBottom w:val="0"/>
      <w:divBdr>
        <w:top w:val="none" w:sz="0" w:space="0" w:color="auto"/>
        <w:left w:val="none" w:sz="0" w:space="0" w:color="auto"/>
        <w:bottom w:val="none" w:sz="0" w:space="0" w:color="auto"/>
        <w:right w:val="none" w:sz="0" w:space="0" w:color="auto"/>
      </w:divBdr>
    </w:div>
    <w:div w:id="1091852112">
      <w:bodyDiv w:val="1"/>
      <w:marLeft w:val="0"/>
      <w:marRight w:val="0"/>
      <w:marTop w:val="0"/>
      <w:marBottom w:val="0"/>
      <w:divBdr>
        <w:top w:val="none" w:sz="0" w:space="0" w:color="auto"/>
        <w:left w:val="none" w:sz="0" w:space="0" w:color="auto"/>
        <w:bottom w:val="none" w:sz="0" w:space="0" w:color="auto"/>
        <w:right w:val="none" w:sz="0" w:space="0" w:color="auto"/>
      </w:divBdr>
    </w:div>
    <w:div w:id="1097091352">
      <w:bodyDiv w:val="1"/>
      <w:marLeft w:val="0"/>
      <w:marRight w:val="0"/>
      <w:marTop w:val="0"/>
      <w:marBottom w:val="0"/>
      <w:divBdr>
        <w:top w:val="none" w:sz="0" w:space="0" w:color="auto"/>
        <w:left w:val="none" w:sz="0" w:space="0" w:color="auto"/>
        <w:bottom w:val="none" w:sz="0" w:space="0" w:color="auto"/>
        <w:right w:val="none" w:sz="0" w:space="0" w:color="auto"/>
      </w:divBdr>
    </w:div>
    <w:div w:id="1100685191">
      <w:bodyDiv w:val="1"/>
      <w:marLeft w:val="0"/>
      <w:marRight w:val="0"/>
      <w:marTop w:val="0"/>
      <w:marBottom w:val="0"/>
      <w:divBdr>
        <w:top w:val="none" w:sz="0" w:space="0" w:color="auto"/>
        <w:left w:val="none" w:sz="0" w:space="0" w:color="auto"/>
        <w:bottom w:val="none" w:sz="0" w:space="0" w:color="auto"/>
        <w:right w:val="none" w:sz="0" w:space="0" w:color="auto"/>
      </w:divBdr>
    </w:div>
    <w:div w:id="1102451361">
      <w:bodyDiv w:val="1"/>
      <w:marLeft w:val="0"/>
      <w:marRight w:val="0"/>
      <w:marTop w:val="0"/>
      <w:marBottom w:val="0"/>
      <w:divBdr>
        <w:top w:val="none" w:sz="0" w:space="0" w:color="auto"/>
        <w:left w:val="none" w:sz="0" w:space="0" w:color="auto"/>
        <w:bottom w:val="none" w:sz="0" w:space="0" w:color="auto"/>
        <w:right w:val="none" w:sz="0" w:space="0" w:color="auto"/>
      </w:divBdr>
    </w:div>
    <w:div w:id="1102652985">
      <w:bodyDiv w:val="1"/>
      <w:marLeft w:val="0"/>
      <w:marRight w:val="0"/>
      <w:marTop w:val="0"/>
      <w:marBottom w:val="0"/>
      <w:divBdr>
        <w:top w:val="none" w:sz="0" w:space="0" w:color="auto"/>
        <w:left w:val="none" w:sz="0" w:space="0" w:color="auto"/>
        <w:bottom w:val="none" w:sz="0" w:space="0" w:color="auto"/>
        <w:right w:val="none" w:sz="0" w:space="0" w:color="auto"/>
      </w:divBdr>
    </w:div>
    <w:div w:id="1103651218">
      <w:bodyDiv w:val="1"/>
      <w:marLeft w:val="0"/>
      <w:marRight w:val="0"/>
      <w:marTop w:val="0"/>
      <w:marBottom w:val="0"/>
      <w:divBdr>
        <w:top w:val="none" w:sz="0" w:space="0" w:color="auto"/>
        <w:left w:val="none" w:sz="0" w:space="0" w:color="auto"/>
        <w:bottom w:val="none" w:sz="0" w:space="0" w:color="auto"/>
        <w:right w:val="none" w:sz="0" w:space="0" w:color="auto"/>
      </w:divBdr>
    </w:div>
    <w:div w:id="1104031298">
      <w:bodyDiv w:val="1"/>
      <w:marLeft w:val="0"/>
      <w:marRight w:val="0"/>
      <w:marTop w:val="0"/>
      <w:marBottom w:val="0"/>
      <w:divBdr>
        <w:top w:val="none" w:sz="0" w:space="0" w:color="auto"/>
        <w:left w:val="none" w:sz="0" w:space="0" w:color="auto"/>
        <w:bottom w:val="none" w:sz="0" w:space="0" w:color="auto"/>
        <w:right w:val="none" w:sz="0" w:space="0" w:color="auto"/>
      </w:divBdr>
    </w:div>
    <w:div w:id="1105154198">
      <w:bodyDiv w:val="1"/>
      <w:marLeft w:val="0"/>
      <w:marRight w:val="0"/>
      <w:marTop w:val="0"/>
      <w:marBottom w:val="0"/>
      <w:divBdr>
        <w:top w:val="none" w:sz="0" w:space="0" w:color="auto"/>
        <w:left w:val="none" w:sz="0" w:space="0" w:color="auto"/>
        <w:bottom w:val="none" w:sz="0" w:space="0" w:color="auto"/>
        <w:right w:val="none" w:sz="0" w:space="0" w:color="auto"/>
      </w:divBdr>
    </w:div>
    <w:div w:id="1119880442">
      <w:bodyDiv w:val="1"/>
      <w:marLeft w:val="0"/>
      <w:marRight w:val="0"/>
      <w:marTop w:val="0"/>
      <w:marBottom w:val="0"/>
      <w:divBdr>
        <w:top w:val="none" w:sz="0" w:space="0" w:color="auto"/>
        <w:left w:val="none" w:sz="0" w:space="0" w:color="auto"/>
        <w:bottom w:val="none" w:sz="0" w:space="0" w:color="auto"/>
        <w:right w:val="none" w:sz="0" w:space="0" w:color="auto"/>
      </w:divBdr>
      <w:divsChild>
        <w:div w:id="853425084">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125201523">
      <w:bodyDiv w:val="1"/>
      <w:marLeft w:val="0"/>
      <w:marRight w:val="0"/>
      <w:marTop w:val="0"/>
      <w:marBottom w:val="0"/>
      <w:divBdr>
        <w:top w:val="none" w:sz="0" w:space="0" w:color="auto"/>
        <w:left w:val="none" w:sz="0" w:space="0" w:color="auto"/>
        <w:bottom w:val="none" w:sz="0" w:space="0" w:color="auto"/>
        <w:right w:val="none" w:sz="0" w:space="0" w:color="auto"/>
      </w:divBdr>
    </w:div>
    <w:div w:id="1126654966">
      <w:bodyDiv w:val="1"/>
      <w:marLeft w:val="0"/>
      <w:marRight w:val="0"/>
      <w:marTop w:val="0"/>
      <w:marBottom w:val="0"/>
      <w:divBdr>
        <w:top w:val="none" w:sz="0" w:space="0" w:color="auto"/>
        <w:left w:val="none" w:sz="0" w:space="0" w:color="auto"/>
        <w:bottom w:val="none" w:sz="0" w:space="0" w:color="auto"/>
        <w:right w:val="none" w:sz="0" w:space="0" w:color="auto"/>
      </w:divBdr>
    </w:div>
    <w:div w:id="1126700376">
      <w:bodyDiv w:val="1"/>
      <w:marLeft w:val="0"/>
      <w:marRight w:val="0"/>
      <w:marTop w:val="0"/>
      <w:marBottom w:val="0"/>
      <w:divBdr>
        <w:top w:val="none" w:sz="0" w:space="0" w:color="auto"/>
        <w:left w:val="none" w:sz="0" w:space="0" w:color="auto"/>
        <w:bottom w:val="none" w:sz="0" w:space="0" w:color="auto"/>
        <w:right w:val="none" w:sz="0" w:space="0" w:color="auto"/>
      </w:divBdr>
      <w:divsChild>
        <w:div w:id="765081335">
          <w:marLeft w:val="274"/>
          <w:marRight w:val="0"/>
          <w:marTop w:val="0"/>
          <w:marBottom w:val="0"/>
          <w:divBdr>
            <w:top w:val="none" w:sz="0" w:space="0" w:color="auto"/>
            <w:left w:val="none" w:sz="0" w:space="0" w:color="auto"/>
            <w:bottom w:val="none" w:sz="0" w:space="0" w:color="auto"/>
            <w:right w:val="none" w:sz="0" w:space="0" w:color="auto"/>
          </w:divBdr>
        </w:div>
      </w:divsChild>
    </w:div>
    <w:div w:id="1139765884">
      <w:bodyDiv w:val="1"/>
      <w:marLeft w:val="0"/>
      <w:marRight w:val="0"/>
      <w:marTop w:val="0"/>
      <w:marBottom w:val="0"/>
      <w:divBdr>
        <w:top w:val="none" w:sz="0" w:space="0" w:color="auto"/>
        <w:left w:val="none" w:sz="0" w:space="0" w:color="auto"/>
        <w:bottom w:val="none" w:sz="0" w:space="0" w:color="auto"/>
        <w:right w:val="none" w:sz="0" w:space="0" w:color="auto"/>
      </w:divBdr>
    </w:div>
    <w:div w:id="1141733610">
      <w:bodyDiv w:val="1"/>
      <w:marLeft w:val="0"/>
      <w:marRight w:val="0"/>
      <w:marTop w:val="0"/>
      <w:marBottom w:val="0"/>
      <w:divBdr>
        <w:top w:val="none" w:sz="0" w:space="0" w:color="auto"/>
        <w:left w:val="none" w:sz="0" w:space="0" w:color="auto"/>
        <w:bottom w:val="none" w:sz="0" w:space="0" w:color="auto"/>
        <w:right w:val="none" w:sz="0" w:space="0" w:color="auto"/>
      </w:divBdr>
    </w:div>
    <w:div w:id="1147624020">
      <w:bodyDiv w:val="1"/>
      <w:marLeft w:val="0"/>
      <w:marRight w:val="0"/>
      <w:marTop w:val="0"/>
      <w:marBottom w:val="0"/>
      <w:divBdr>
        <w:top w:val="none" w:sz="0" w:space="0" w:color="auto"/>
        <w:left w:val="none" w:sz="0" w:space="0" w:color="auto"/>
        <w:bottom w:val="none" w:sz="0" w:space="0" w:color="auto"/>
        <w:right w:val="none" w:sz="0" w:space="0" w:color="auto"/>
      </w:divBdr>
    </w:div>
    <w:div w:id="1150900337">
      <w:bodyDiv w:val="1"/>
      <w:marLeft w:val="0"/>
      <w:marRight w:val="0"/>
      <w:marTop w:val="0"/>
      <w:marBottom w:val="0"/>
      <w:divBdr>
        <w:top w:val="none" w:sz="0" w:space="0" w:color="auto"/>
        <w:left w:val="none" w:sz="0" w:space="0" w:color="auto"/>
        <w:bottom w:val="none" w:sz="0" w:space="0" w:color="auto"/>
        <w:right w:val="none" w:sz="0" w:space="0" w:color="auto"/>
      </w:divBdr>
    </w:div>
    <w:div w:id="1158422406">
      <w:bodyDiv w:val="1"/>
      <w:marLeft w:val="0"/>
      <w:marRight w:val="0"/>
      <w:marTop w:val="0"/>
      <w:marBottom w:val="0"/>
      <w:divBdr>
        <w:top w:val="none" w:sz="0" w:space="0" w:color="auto"/>
        <w:left w:val="none" w:sz="0" w:space="0" w:color="auto"/>
        <w:bottom w:val="none" w:sz="0" w:space="0" w:color="auto"/>
        <w:right w:val="none" w:sz="0" w:space="0" w:color="auto"/>
      </w:divBdr>
    </w:div>
    <w:div w:id="1160728898">
      <w:bodyDiv w:val="1"/>
      <w:marLeft w:val="0"/>
      <w:marRight w:val="0"/>
      <w:marTop w:val="0"/>
      <w:marBottom w:val="0"/>
      <w:divBdr>
        <w:top w:val="none" w:sz="0" w:space="0" w:color="auto"/>
        <w:left w:val="none" w:sz="0" w:space="0" w:color="auto"/>
        <w:bottom w:val="none" w:sz="0" w:space="0" w:color="auto"/>
        <w:right w:val="none" w:sz="0" w:space="0" w:color="auto"/>
      </w:divBdr>
    </w:div>
    <w:div w:id="1164584837">
      <w:bodyDiv w:val="1"/>
      <w:marLeft w:val="0"/>
      <w:marRight w:val="0"/>
      <w:marTop w:val="0"/>
      <w:marBottom w:val="0"/>
      <w:divBdr>
        <w:top w:val="none" w:sz="0" w:space="0" w:color="auto"/>
        <w:left w:val="none" w:sz="0" w:space="0" w:color="auto"/>
        <w:bottom w:val="none" w:sz="0" w:space="0" w:color="auto"/>
        <w:right w:val="none" w:sz="0" w:space="0" w:color="auto"/>
      </w:divBdr>
    </w:div>
    <w:div w:id="1176772254">
      <w:bodyDiv w:val="1"/>
      <w:marLeft w:val="0"/>
      <w:marRight w:val="0"/>
      <w:marTop w:val="0"/>
      <w:marBottom w:val="0"/>
      <w:divBdr>
        <w:top w:val="none" w:sz="0" w:space="0" w:color="auto"/>
        <w:left w:val="none" w:sz="0" w:space="0" w:color="auto"/>
        <w:bottom w:val="none" w:sz="0" w:space="0" w:color="auto"/>
        <w:right w:val="none" w:sz="0" w:space="0" w:color="auto"/>
      </w:divBdr>
    </w:div>
    <w:div w:id="1194684379">
      <w:bodyDiv w:val="1"/>
      <w:marLeft w:val="0"/>
      <w:marRight w:val="0"/>
      <w:marTop w:val="0"/>
      <w:marBottom w:val="0"/>
      <w:divBdr>
        <w:top w:val="none" w:sz="0" w:space="0" w:color="auto"/>
        <w:left w:val="none" w:sz="0" w:space="0" w:color="auto"/>
        <w:bottom w:val="none" w:sz="0" w:space="0" w:color="auto"/>
        <w:right w:val="none" w:sz="0" w:space="0" w:color="auto"/>
      </w:divBdr>
    </w:div>
    <w:div w:id="1202792186">
      <w:bodyDiv w:val="1"/>
      <w:marLeft w:val="0"/>
      <w:marRight w:val="0"/>
      <w:marTop w:val="0"/>
      <w:marBottom w:val="0"/>
      <w:divBdr>
        <w:top w:val="none" w:sz="0" w:space="0" w:color="auto"/>
        <w:left w:val="none" w:sz="0" w:space="0" w:color="auto"/>
        <w:bottom w:val="none" w:sz="0" w:space="0" w:color="auto"/>
        <w:right w:val="none" w:sz="0" w:space="0" w:color="auto"/>
      </w:divBdr>
    </w:div>
    <w:div w:id="1209028590">
      <w:bodyDiv w:val="1"/>
      <w:marLeft w:val="0"/>
      <w:marRight w:val="0"/>
      <w:marTop w:val="0"/>
      <w:marBottom w:val="0"/>
      <w:divBdr>
        <w:top w:val="none" w:sz="0" w:space="0" w:color="auto"/>
        <w:left w:val="none" w:sz="0" w:space="0" w:color="auto"/>
        <w:bottom w:val="none" w:sz="0" w:space="0" w:color="auto"/>
        <w:right w:val="none" w:sz="0" w:space="0" w:color="auto"/>
      </w:divBdr>
      <w:divsChild>
        <w:div w:id="290330003">
          <w:marLeft w:val="0"/>
          <w:marRight w:val="0"/>
          <w:marTop w:val="0"/>
          <w:marBottom w:val="0"/>
          <w:divBdr>
            <w:top w:val="none" w:sz="0" w:space="0" w:color="auto"/>
            <w:left w:val="none" w:sz="0" w:space="0" w:color="auto"/>
            <w:bottom w:val="none" w:sz="0" w:space="0" w:color="auto"/>
            <w:right w:val="none" w:sz="0" w:space="0" w:color="auto"/>
          </w:divBdr>
          <w:divsChild>
            <w:div w:id="649166270">
              <w:marLeft w:val="0"/>
              <w:marRight w:val="0"/>
              <w:marTop w:val="0"/>
              <w:marBottom w:val="0"/>
              <w:divBdr>
                <w:top w:val="none" w:sz="0" w:space="0" w:color="auto"/>
                <w:left w:val="none" w:sz="0" w:space="0" w:color="auto"/>
                <w:bottom w:val="none" w:sz="0" w:space="0" w:color="auto"/>
                <w:right w:val="none" w:sz="0" w:space="0" w:color="auto"/>
              </w:divBdr>
              <w:divsChild>
                <w:div w:id="1108429710">
                  <w:marLeft w:val="0"/>
                  <w:marRight w:val="0"/>
                  <w:marTop w:val="0"/>
                  <w:marBottom w:val="0"/>
                  <w:divBdr>
                    <w:top w:val="none" w:sz="0" w:space="0" w:color="auto"/>
                    <w:left w:val="none" w:sz="0" w:space="0" w:color="auto"/>
                    <w:bottom w:val="none" w:sz="0" w:space="0" w:color="auto"/>
                    <w:right w:val="none" w:sz="0" w:space="0" w:color="auto"/>
                  </w:divBdr>
                  <w:divsChild>
                    <w:div w:id="1237009094">
                      <w:marLeft w:val="0"/>
                      <w:marRight w:val="0"/>
                      <w:marTop w:val="0"/>
                      <w:marBottom w:val="0"/>
                      <w:divBdr>
                        <w:top w:val="none" w:sz="0" w:space="0" w:color="auto"/>
                        <w:left w:val="none" w:sz="0" w:space="0" w:color="auto"/>
                        <w:bottom w:val="none" w:sz="0" w:space="0" w:color="auto"/>
                        <w:right w:val="none" w:sz="0" w:space="0" w:color="auto"/>
                      </w:divBdr>
                      <w:divsChild>
                        <w:div w:id="778524853">
                          <w:marLeft w:val="0"/>
                          <w:marRight w:val="0"/>
                          <w:marTop w:val="0"/>
                          <w:marBottom w:val="0"/>
                          <w:divBdr>
                            <w:top w:val="none" w:sz="0" w:space="0" w:color="auto"/>
                            <w:left w:val="none" w:sz="0" w:space="0" w:color="auto"/>
                            <w:bottom w:val="none" w:sz="0" w:space="0" w:color="auto"/>
                            <w:right w:val="none" w:sz="0" w:space="0" w:color="auto"/>
                          </w:divBdr>
                          <w:divsChild>
                            <w:div w:id="203980330">
                              <w:marLeft w:val="0"/>
                              <w:marRight w:val="0"/>
                              <w:marTop w:val="0"/>
                              <w:marBottom w:val="0"/>
                              <w:divBdr>
                                <w:top w:val="none" w:sz="0" w:space="0" w:color="auto"/>
                                <w:left w:val="none" w:sz="0" w:space="0" w:color="auto"/>
                                <w:bottom w:val="none" w:sz="0" w:space="0" w:color="auto"/>
                                <w:right w:val="none" w:sz="0" w:space="0" w:color="auto"/>
                              </w:divBdr>
                              <w:divsChild>
                                <w:div w:id="1860460484">
                                  <w:marLeft w:val="0"/>
                                  <w:marRight w:val="0"/>
                                  <w:marTop w:val="0"/>
                                  <w:marBottom w:val="0"/>
                                  <w:divBdr>
                                    <w:top w:val="none" w:sz="0" w:space="0" w:color="auto"/>
                                    <w:left w:val="none" w:sz="0" w:space="0" w:color="auto"/>
                                    <w:bottom w:val="none" w:sz="0" w:space="0" w:color="auto"/>
                                    <w:right w:val="none" w:sz="0" w:space="0" w:color="auto"/>
                                  </w:divBdr>
                                  <w:divsChild>
                                    <w:div w:id="771510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8942660">
                          <w:marLeft w:val="0"/>
                          <w:marRight w:val="0"/>
                          <w:marTop w:val="0"/>
                          <w:marBottom w:val="0"/>
                          <w:divBdr>
                            <w:top w:val="none" w:sz="0" w:space="0" w:color="auto"/>
                            <w:left w:val="none" w:sz="0" w:space="0" w:color="auto"/>
                            <w:bottom w:val="none" w:sz="0" w:space="0" w:color="auto"/>
                            <w:right w:val="none" w:sz="0" w:space="0" w:color="auto"/>
                          </w:divBdr>
                          <w:divsChild>
                            <w:div w:id="1806506302">
                              <w:marLeft w:val="0"/>
                              <w:marRight w:val="0"/>
                              <w:marTop w:val="0"/>
                              <w:marBottom w:val="0"/>
                              <w:divBdr>
                                <w:top w:val="none" w:sz="0" w:space="0" w:color="auto"/>
                                <w:left w:val="none" w:sz="0" w:space="0" w:color="auto"/>
                                <w:bottom w:val="none" w:sz="0" w:space="0" w:color="auto"/>
                                <w:right w:val="none" w:sz="0" w:space="0" w:color="auto"/>
                              </w:divBdr>
                              <w:divsChild>
                                <w:div w:id="1263613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9755807">
      <w:bodyDiv w:val="1"/>
      <w:marLeft w:val="0"/>
      <w:marRight w:val="0"/>
      <w:marTop w:val="0"/>
      <w:marBottom w:val="0"/>
      <w:divBdr>
        <w:top w:val="none" w:sz="0" w:space="0" w:color="auto"/>
        <w:left w:val="none" w:sz="0" w:space="0" w:color="auto"/>
        <w:bottom w:val="none" w:sz="0" w:space="0" w:color="auto"/>
        <w:right w:val="none" w:sz="0" w:space="0" w:color="auto"/>
      </w:divBdr>
    </w:div>
    <w:div w:id="1216045726">
      <w:bodyDiv w:val="1"/>
      <w:marLeft w:val="0"/>
      <w:marRight w:val="0"/>
      <w:marTop w:val="0"/>
      <w:marBottom w:val="0"/>
      <w:divBdr>
        <w:top w:val="none" w:sz="0" w:space="0" w:color="auto"/>
        <w:left w:val="none" w:sz="0" w:space="0" w:color="auto"/>
        <w:bottom w:val="none" w:sz="0" w:space="0" w:color="auto"/>
        <w:right w:val="none" w:sz="0" w:space="0" w:color="auto"/>
      </w:divBdr>
    </w:div>
    <w:div w:id="1217933370">
      <w:bodyDiv w:val="1"/>
      <w:marLeft w:val="0"/>
      <w:marRight w:val="0"/>
      <w:marTop w:val="0"/>
      <w:marBottom w:val="0"/>
      <w:divBdr>
        <w:top w:val="none" w:sz="0" w:space="0" w:color="auto"/>
        <w:left w:val="none" w:sz="0" w:space="0" w:color="auto"/>
        <w:bottom w:val="none" w:sz="0" w:space="0" w:color="auto"/>
        <w:right w:val="none" w:sz="0" w:space="0" w:color="auto"/>
      </w:divBdr>
    </w:div>
    <w:div w:id="1235970480">
      <w:bodyDiv w:val="1"/>
      <w:marLeft w:val="0"/>
      <w:marRight w:val="0"/>
      <w:marTop w:val="0"/>
      <w:marBottom w:val="0"/>
      <w:divBdr>
        <w:top w:val="none" w:sz="0" w:space="0" w:color="auto"/>
        <w:left w:val="none" w:sz="0" w:space="0" w:color="auto"/>
        <w:bottom w:val="none" w:sz="0" w:space="0" w:color="auto"/>
        <w:right w:val="none" w:sz="0" w:space="0" w:color="auto"/>
      </w:divBdr>
    </w:div>
    <w:div w:id="1237933491">
      <w:bodyDiv w:val="1"/>
      <w:marLeft w:val="0"/>
      <w:marRight w:val="0"/>
      <w:marTop w:val="0"/>
      <w:marBottom w:val="0"/>
      <w:divBdr>
        <w:top w:val="none" w:sz="0" w:space="0" w:color="auto"/>
        <w:left w:val="none" w:sz="0" w:space="0" w:color="auto"/>
        <w:bottom w:val="none" w:sz="0" w:space="0" w:color="auto"/>
        <w:right w:val="none" w:sz="0" w:space="0" w:color="auto"/>
      </w:divBdr>
    </w:div>
    <w:div w:id="1238326624">
      <w:bodyDiv w:val="1"/>
      <w:marLeft w:val="0"/>
      <w:marRight w:val="0"/>
      <w:marTop w:val="0"/>
      <w:marBottom w:val="0"/>
      <w:divBdr>
        <w:top w:val="none" w:sz="0" w:space="0" w:color="auto"/>
        <w:left w:val="none" w:sz="0" w:space="0" w:color="auto"/>
        <w:bottom w:val="none" w:sz="0" w:space="0" w:color="auto"/>
        <w:right w:val="none" w:sz="0" w:space="0" w:color="auto"/>
      </w:divBdr>
    </w:div>
    <w:div w:id="1244682184">
      <w:bodyDiv w:val="1"/>
      <w:marLeft w:val="0"/>
      <w:marRight w:val="0"/>
      <w:marTop w:val="0"/>
      <w:marBottom w:val="0"/>
      <w:divBdr>
        <w:top w:val="none" w:sz="0" w:space="0" w:color="auto"/>
        <w:left w:val="none" w:sz="0" w:space="0" w:color="auto"/>
        <w:bottom w:val="none" w:sz="0" w:space="0" w:color="auto"/>
        <w:right w:val="none" w:sz="0" w:space="0" w:color="auto"/>
      </w:divBdr>
    </w:div>
    <w:div w:id="1245995634">
      <w:bodyDiv w:val="1"/>
      <w:marLeft w:val="0"/>
      <w:marRight w:val="0"/>
      <w:marTop w:val="0"/>
      <w:marBottom w:val="0"/>
      <w:divBdr>
        <w:top w:val="none" w:sz="0" w:space="0" w:color="auto"/>
        <w:left w:val="none" w:sz="0" w:space="0" w:color="auto"/>
        <w:bottom w:val="none" w:sz="0" w:space="0" w:color="auto"/>
        <w:right w:val="none" w:sz="0" w:space="0" w:color="auto"/>
      </w:divBdr>
    </w:div>
    <w:div w:id="1249001108">
      <w:bodyDiv w:val="1"/>
      <w:marLeft w:val="0"/>
      <w:marRight w:val="0"/>
      <w:marTop w:val="0"/>
      <w:marBottom w:val="0"/>
      <w:divBdr>
        <w:top w:val="none" w:sz="0" w:space="0" w:color="auto"/>
        <w:left w:val="none" w:sz="0" w:space="0" w:color="auto"/>
        <w:bottom w:val="none" w:sz="0" w:space="0" w:color="auto"/>
        <w:right w:val="none" w:sz="0" w:space="0" w:color="auto"/>
      </w:divBdr>
    </w:div>
    <w:div w:id="1256132818">
      <w:bodyDiv w:val="1"/>
      <w:marLeft w:val="0"/>
      <w:marRight w:val="0"/>
      <w:marTop w:val="0"/>
      <w:marBottom w:val="0"/>
      <w:divBdr>
        <w:top w:val="none" w:sz="0" w:space="0" w:color="auto"/>
        <w:left w:val="none" w:sz="0" w:space="0" w:color="auto"/>
        <w:bottom w:val="none" w:sz="0" w:space="0" w:color="auto"/>
        <w:right w:val="none" w:sz="0" w:space="0" w:color="auto"/>
      </w:divBdr>
    </w:div>
    <w:div w:id="1260525325">
      <w:bodyDiv w:val="1"/>
      <w:marLeft w:val="0"/>
      <w:marRight w:val="0"/>
      <w:marTop w:val="0"/>
      <w:marBottom w:val="0"/>
      <w:divBdr>
        <w:top w:val="none" w:sz="0" w:space="0" w:color="auto"/>
        <w:left w:val="none" w:sz="0" w:space="0" w:color="auto"/>
        <w:bottom w:val="none" w:sz="0" w:space="0" w:color="auto"/>
        <w:right w:val="none" w:sz="0" w:space="0" w:color="auto"/>
      </w:divBdr>
    </w:div>
    <w:div w:id="1263953419">
      <w:bodyDiv w:val="1"/>
      <w:marLeft w:val="0"/>
      <w:marRight w:val="0"/>
      <w:marTop w:val="0"/>
      <w:marBottom w:val="0"/>
      <w:divBdr>
        <w:top w:val="none" w:sz="0" w:space="0" w:color="auto"/>
        <w:left w:val="none" w:sz="0" w:space="0" w:color="auto"/>
        <w:bottom w:val="none" w:sz="0" w:space="0" w:color="auto"/>
        <w:right w:val="none" w:sz="0" w:space="0" w:color="auto"/>
      </w:divBdr>
      <w:divsChild>
        <w:div w:id="177547440">
          <w:marLeft w:val="446"/>
          <w:marRight w:val="0"/>
          <w:marTop w:val="0"/>
          <w:marBottom w:val="120"/>
          <w:divBdr>
            <w:top w:val="none" w:sz="0" w:space="0" w:color="auto"/>
            <w:left w:val="none" w:sz="0" w:space="0" w:color="auto"/>
            <w:bottom w:val="none" w:sz="0" w:space="0" w:color="auto"/>
            <w:right w:val="none" w:sz="0" w:space="0" w:color="auto"/>
          </w:divBdr>
        </w:div>
        <w:div w:id="524372065">
          <w:marLeft w:val="979"/>
          <w:marRight w:val="0"/>
          <w:marTop w:val="0"/>
          <w:marBottom w:val="120"/>
          <w:divBdr>
            <w:top w:val="none" w:sz="0" w:space="0" w:color="auto"/>
            <w:left w:val="none" w:sz="0" w:space="0" w:color="auto"/>
            <w:bottom w:val="none" w:sz="0" w:space="0" w:color="auto"/>
            <w:right w:val="none" w:sz="0" w:space="0" w:color="auto"/>
          </w:divBdr>
        </w:div>
        <w:div w:id="695539543">
          <w:marLeft w:val="446"/>
          <w:marRight w:val="0"/>
          <w:marTop w:val="0"/>
          <w:marBottom w:val="120"/>
          <w:divBdr>
            <w:top w:val="none" w:sz="0" w:space="0" w:color="auto"/>
            <w:left w:val="none" w:sz="0" w:space="0" w:color="auto"/>
            <w:bottom w:val="none" w:sz="0" w:space="0" w:color="auto"/>
            <w:right w:val="none" w:sz="0" w:space="0" w:color="auto"/>
          </w:divBdr>
        </w:div>
        <w:div w:id="732317744">
          <w:marLeft w:val="446"/>
          <w:marRight w:val="0"/>
          <w:marTop w:val="0"/>
          <w:marBottom w:val="120"/>
          <w:divBdr>
            <w:top w:val="none" w:sz="0" w:space="0" w:color="auto"/>
            <w:left w:val="none" w:sz="0" w:space="0" w:color="auto"/>
            <w:bottom w:val="none" w:sz="0" w:space="0" w:color="auto"/>
            <w:right w:val="none" w:sz="0" w:space="0" w:color="auto"/>
          </w:divBdr>
        </w:div>
        <w:div w:id="1246913127">
          <w:marLeft w:val="979"/>
          <w:marRight w:val="0"/>
          <w:marTop w:val="0"/>
          <w:marBottom w:val="120"/>
          <w:divBdr>
            <w:top w:val="none" w:sz="0" w:space="0" w:color="auto"/>
            <w:left w:val="none" w:sz="0" w:space="0" w:color="auto"/>
            <w:bottom w:val="none" w:sz="0" w:space="0" w:color="auto"/>
            <w:right w:val="none" w:sz="0" w:space="0" w:color="auto"/>
          </w:divBdr>
        </w:div>
        <w:div w:id="1652518796">
          <w:marLeft w:val="979"/>
          <w:marRight w:val="0"/>
          <w:marTop w:val="0"/>
          <w:marBottom w:val="120"/>
          <w:divBdr>
            <w:top w:val="none" w:sz="0" w:space="0" w:color="auto"/>
            <w:left w:val="none" w:sz="0" w:space="0" w:color="auto"/>
            <w:bottom w:val="none" w:sz="0" w:space="0" w:color="auto"/>
            <w:right w:val="none" w:sz="0" w:space="0" w:color="auto"/>
          </w:divBdr>
        </w:div>
        <w:div w:id="1657608305">
          <w:marLeft w:val="446"/>
          <w:marRight w:val="0"/>
          <w:marTop w:val="0"/>
          <w:marBottom w:val="120"/>
          <w:divBdr>
            <w:top w:val="none" w:sz="0" w:space="0" w:color="auto"/>
            <w:left w:val="none" w:sz="0" w:space="0" w:color="auto"/>
            <w:bottom w:val="none" w:sz="0" w:space="0" w:color="auto"/>
            <w:right w:val="none" w:sz="0" w:space="0" w:color="auto"/>
          </w:divBdr>
        </w:div>
      </w:divsChild>
    </w:div>
    <w:div w:id="1282999624">
      <w:bodyDiv w:val="1"/>
      <w:marLeft w:val="0"/>
      <w:marRight w:val="0"/>
      <w:marTop w:val="0"/>
      <w:marBottom w:val="0"/>
      <w:divBdr>
        <w:top w:val="none" w:sz="0" w:space="0" w:color="auto"/>
        <w:left w:val="none" w:sz="0" w:space="0" w:color="auto"/>
        <w:bottom w:val="none" w:sz="0" w:space="0" w:color="auto"/>
        <w:right w:val="none" w:sz="0" w:space="0" w:color="auto"/>
      </w:divBdr>
    </w:div>
    <w:div w:id="1298337910">
      <w:bodyDiv w:val="1"/>
      <w:marLeft w:val="0"/>
      <w:marRight w:val="0"/>
      <w:marTop w:val="0"/>
      <w:marBottom w:val="0"/>
      <w:divBdr>
        <w:top w:val="none" w:sz="0" w:space="0" w:color="auto"/>
        <w:left w:val="none" w:sz="0" w:space="0" w:color="auto"/>
        <w:bottom w:val="none" w:sz="0" w:space="0" w:color="auto"/>
        <w:right w:val="none" w:sz="0" w:space="0" w:color="auto"/>
      </w:divBdr>
    </w:div>
    <w:div w:id="1303073613">
      <w:bodyDiv w:val="1"/>
      <w:marLeft w:val="0"/>
      <w:marRight w:val="0"/>
      <w:marTop w:val="0"/>
      <w:marBottom w:val="0"/>
      <w:divBdr>
        <w:top w:val="none" w:sz="0" w:space="0" w:color="auto"/>
        <w:left w:val="none" w:sz="0" w:space="0" w:color="auto"/>
        <w:bottom w:val="none" w:sz="0" w:space="0" w:color="auto"/>
        <w:right w:val="none" w:sz="0" w:space="0" w:color="auto"/>
      </w:divBdr>
      <w:divsChild>
        <w:div w:id="1511600363">
          <w:marLeft w:val="274"/>
          <w:marRight w:val="0"/>
          <w:marTop w:val="0"/>
          <w:marBottom w:val="60"/>
          <w:divBdr>
            <w:top w:val="none" w:sz="0" w:space="0" w:color="auto"/>
            <w:left w:val="none" w:sz="0" w:space="0" w:color="auto"/>
            <w:bottom w:val="none" w:sz="0" w:space="0" w:color="auto"/>
            <w:right w:val="none" w:sz="0" w:space="0" w:color="auto"/>
          </w:divBdr>
        </w:div>
        <w:div w:id="1524005707">
          <w:marLeft w:val="274"/>
          <w:marRight w:val="0"/>
          <w:marTop w:val="0"/>
          <w:marBottom w:val="60"/>
          <w:divBdr>
            <w:top w:val="none" w:sz="0" w:space="0" w:color="auto"/>
            <w:left w:val="none" w:sz="0" w:space="0" w:color="auto"/>
            <w:bottom w:val="none" w:sz="0" w:space="0" w:color="auto"/>
            <w:right w:val="none" w:sz="0" w:space="0" w:color="auto"/>
          </w:divBdr>
        </w:div>
        <w:div w:id="1634141521">
          <w:marLeft w:val="274"/>
          <w:marRight w:val="0"/>
          <w:marTop w:val="0"/>
          <w:marBottom w:val="60"/>
          <w:divBdr>
            <w:top w:val="none" w:sz="0" w:space="0" w:color="auto"/>
            <w:left w:val="none" w:sz="0" w:space="0" w:color="auto"/>
            <w:bottom w:val="none" w:sz="0" w:space="0" w:color="auto"/>
            <w:right w:val="none" w:sz="0" w:space="0" w:color="auto"/>
          </w:divBdr>
        </w:div>
        <w:div w:id="1771774596">
          <w:marLeft w:val="274"/>
          <w:marRight w:val="0"/>
          <w:marTop w:val="0"/>
          <w:marBottom w:val="60"/>
          <w:divBdr>
            <w:top w:val="none" w:sz="0" w:space="0" w:color="auto"/>
            <w:left w:val="none" w:sz="0" w:space="0" w:color="auto"/>
            <w:bottom w:val="none" w:sz="0" w:space="0" w:color="auto"/>
            <w:right w:val="none" w:sz="0" w:space="0" w:color="auto"/>
          </w:divBdr>
        </w:div>
        <w:div w:id="1925524855">
          <w:marLeft w:val="274"/>
          <w:marRight w:val="0"/>
          <w:marTop w:val="0"/>
          <w:marBottom w:val="60"/>
          <w:divBdr>
            <w:top w:val="none" w:sz="0" w:space="0" w:color="auto"/>
            <w:left w:val="none" w:sz="0" w:space="0" w:color="auto"/>
            <w:bottom w:val="none" w:sz="0" w:space="0" w:color="auto"/>
            <w:right w:val="none" w:sz="0" w:space="0" w:color="auto"/>
          </w:divBdr>
        </w:div>
      </w:divsChild>
    </w:div>
    <w:div w:id="1304773484">
      <w:bodyDiv w:val="1"/>
      <w:marLeft w:val="0"/>
      <w:marRight w:val="0"/>
      <w:marTop w:val="0"/>
      <w:marBottom w:val="0"/>
      <w:divBdr>
        <w:top w:val="none" w:sz="0" w:space="0" w:color="auto"/>
        <w:left w:val="none" w:sz="0" w:space="0" w:color="auto"/>
        <w:bottom w:val="none" w:sz="0" w:space="0" w:color="auto"/>
        <w:right w:val="none" w:sz="0" w:space="0" w:color="auto"/>
      </w:divBdr>
    </w:div>
    <w:div w:id="1306468536">
      <w:bodyDiv w:val="1"/>
      <w:marLeft w:val="0"/>
      <w:marRight w:val="0"/>
      <w:marTop w:val="0"/>
      <w:marBottom w:val="0"/>
      <w:divBdr>
        <w:top w:val="none" w:sz="0" w:space="0" w:color="auto"/>
        <w:left w:val="none" w:sz="0" w:space="0" w:color="auto"/>
        <w:bottom w:val="none" w:sz="0" w:space="0" w:color="auto"/>
        <w:right w:val="none" w:sz="0" w:space="0" w:color="auto"/>
      </w:divBdr>
    </w:div>
    <w:div w:id="1308128717">
      <w:bodyDiv w:val="1"/>
      <w:marLeft w:val="0"/>
      <w:marRight w:val="0"/>
      <w:marTop w:val="0"/>
      <w:marBottom w:val="0"/>
      <w:divBdr>
        <w:top w:val="none" w:sz="0" w:space="0" w:color="auto"/>
        <w:left w:val="none" w:sz="0" w:space="0" w:color="auto"/>
        <w:bottom w:val="none" w:sz="0" w:space="0" w:color="auto"/>
        <w:right w:val="none" w:sz="0" w:space="0" w:color="auto"/>
      </w:divBdr>
    </w:div>
    <w:div w:id="1315257435">
      <w:bodyDiv w:val="1"/>
      <w:marLeft w:val="0"/>
      <w:marRight w:val="0"/>
      <w:marTop w:val="0"/>
      <w:marBottom w:val="0"/>
      <w:divBdr>
        <w:top w:val="none" w:sz="0" w:space="0" w:color="auto"/>
        <w:left w:val="none" w:sz="0" w:space="0" w:color="auto"/>
        <w:bottom w:val="none" w:sz="0" w:space="0" w:color="auto"/>
        <w:right w:val="none" w:sz="0" w:space="0" w:color="auto"/>
      </w:divBdr>
      <w:divsChild>
        <w:div w:id="728576574">
          <w:marLeft w:val="274"/>
          <w:marRight w:val="0"/>
          <w:marTop w:val="0"/>
          <w:marBottom w:val="60"/>
          <w:divBdr>
            <w:top w:val="none" w:sz="0" w:space="0" w:color="auto"/>
            <w:left w:val="none" w:sz="0" w:space="0" w:color="auto"/>
            <w:bottom w:val="none" w:sz="0" w:space="0" w:color="auto"/>
            <w:right w:val="none" w:sz="0" w:space="0" w:color="auto"/>
          </w:divBdr>
        </w:div>
        <w:div w:id="955335547">
          <w:marLeft w:val="274"/>
          <w:marRight w:val="0"/>
          <w:marTop w:val="0"/>
          <w:marBottom w:val="60"/>
          <w:divBdr>
            <w:top w:val="none" w:sz="0" w:space="0" w:color="auto"/>
            <w:left w:val="none" w:sz="0" w:space="0" w:color="auto"/>
            <w:bottom w:val="none" w:sz="0" w:space="0" w:color="auto"/>
            <w:right w:val="none" w:sz="0" w:space="0" w:color="auto"/>
          </w:divBdr>
        </w:div>
        <w:div w:id="1025063429">
          <w:marLeft w:val="274"/>
          <w:marRight w:val="0"/>
          <w:marTop w:val="0"/>
          <w:marBottom w:val="60"/>
          <w:divBdr>
            <w:top w:val="none" w:sz="0" w:space="0" w:color="auto"/>
            <w:left w:val="none" w:sz="0" w:space="0" w:color="auto"/>
            <w:bottom w:val="none" w:sz="0" w:space="0" w:color="auto"/>
            <w:right w:val="none" w:sz="0" w:space="0" w:color="auto"/>
          </w:divBdr>
        </w:div>
        <w:div w:id="1118110445">
          <w:marLeft w:val="274"/>
          <w:marRight w:val="0"/>
          <w:marTop w:val="0"/>
          <w:marBottom w:val="60"/>
          <w:divBdr>
            <w:top w:val="none" w:sz="0" w:space="0" w:color="auto"/>
            <w:left w:val="none" w:sz="0" w:space="0" w:color="auto"/>
            <w:bottom w:val="none" w:sz="0" w:space="0" w:color="auto"/>
            <w:right w:val="none" w:sz="0" w:space="0" w:color="auto"/>
          </w:divBdr>
        </w:div>
        <w:div w:id="1695762066">
          <w:marLeft w:val="274"/>
          <w:marRight w:val="0"/>
          <w:marTop w:val="0"/>
          <w:marBottom w:val="60"/>
          <w:divBdr>
            <w:top w:val="none" w:sz="0" w:space="0" w:color="auto"/>
            <w:left w:val="none" w:sz="0" w:space="0" w:color="auto"/>
            <w:bottom w:val="none" w:sz="0" w:space="0" w:color="auto"/>
            <w:right w:val="none" w:sz="0" w:space="0" w:color="auto"/>
          </w:divBdr>
        </w:div>
        <w:div w:id="2137287679">
          <w:marLeft w:val="274"/>
          <w:marRight w:val="0"/>
          <w:marTop w:val="0"/>
          <w:marBottom w:val="60"/>
          <w:divBdr>
            <w:top w:val="none" w:sz="0" w:space="0" w:color="auto"/>
            <w:left w:val="none" w:sz="0" w:space="0" w:color="auto"/>
            <w:bottom w:val="none" w:sz="0" w:space="0" w:color="auto"/>
            <w:right w:val="none" w:sz="0" w:space="0" w:color="auto"/>
          </w:divBdr>
        </w:div>
      </w:divsChild>
    </w:div>
    <w:div w:id="1315721732">
      <w:bodyDiv w:val="1"/>
      <w:marLeft w:val="0"/>
      <w:marRight w:val="0"/>
      <w:marTop w:val="0"/>
      <w:marBottom w:val="0"/>
      <w:divBdr>
        <w:top w:val="none" w:sz="0" w:space="0" w:color="auto"/>
        <w:left w:val="none" w:sz="0" w:space="0" w:color="auto"/>
        <w:bottom w:val="none" w:sz="0" w:space="0" w:color="auto"/>
        <w:right w:val="none" w:sz="0" w:space="0" w:color="auto"/>
      </w:divBdr>
    </w:div>
    <w:div w:id="1320843630">
      <w:bodyDiv w:val="1"/>
      <w:marLeft w:val="0"/>
      <w:marRight w:val="0"/>
      <w:marTop w:val="0"/>
      <w:marBottom w:val="0"/>
      <w:divBdr>
        <w:top w:val="none" w:sz="0" w:space="0" w:color="auto"/>
        <w:left w:val="none" w:sz="0" w:space="0" w:color="auto"/>
        <w:bottom w:val="none" w:sz="0" w:space="0" w:color="auto"/>
        <w:right w:val="none" w:sz="0" w:space="0" w:color="auto"/>
      </w:divBdr>
    </w:div>
    <w:div w:id="1324509841">
      <w:bodyDiv w:val="1"/>
      <w:marLeft w:val="0"/>
      <w:marRight w:val="0"/>
      <w:marTop w:val="0"/>
      <w:marBottom w:val="0"/>
      <w:divBdr>
        <w:top w:val="none" w:sz="0" w:space="0" w:color="auto"/>
        <w:left w:val="none" w:sz="0" w:space="0" w:color="auto"/>
        <w:bottom w:val="none" w:sz="0" w:space="0" w:color="auto"/>
        <w:right w:val="none" w:sz="0" w:space="0" w:color="auto"/>
      </w:divBdr>
    </w:div>
    <w:div w:id="1326009912">
      <w:bodyDiv w:val="1"/>
      <w:marLeft w:val="0"/>
      <w:marRight w:val="0"/>
      <w:marTop w:val="0"/>
      <w:marBottom w:val="0"/>
      <w:divBdr>
        <w:top w:val="none" w:sz="0" w:space="0" w:color="auto"/>
        <w:left w:val="none" w:sz="0" w:space="0" w:color="auto"/>
        <w:bottom w:val="none" w:sz="0" w:space="0" w:color="auto"/>
        <w:right w:val="none" w:sz="0" w:space="0" w:color="auto"/>
      </w:divBdr>
    </w:div>
    <w:div w:id="1331830136">
      <w:bodyDiv w:val="1"/>
      <w:marLeft w:val="0"/>
      <w:marRight w:val="0"/>
      <w:marTop w:val="0"/>
      <w:marBottom w:val="0"/>
      <w:divBdr>
        <w:top w:val="none" w:sz="0" w:space="0" w:color="auto"/>
        <w:left w:val="none" w:sz="0" w:space="0" w:color="auto"/>
        <w:bottom w:val="none" w:sz="0" w:space="0" w:color="auto"/>
        <w:right w:val="none" w:sz="0" w:space="0" w:color="auto"/>
      </w:divBdr>
    </w:div>
    <w:div w:id="1342779647">
      <w:bodyDiv w:val="1"/>
      <w:marLeft w:val="0"/>
      <w:marRight w:val="0"/>
      <w:marTop w:val="0"/>
      <w:marBottom w:val="0"/>
      <w:divBdr>
        <w:top w:val="none" w:sz="0" w:space="0" w:color="auto"/>
        <w:left w:val="none" w:sz="0" w:space="0" w:color="auto"/>
        <w:bottom w:val="none" w:sz="0" w:space="0" w:color="auto"/>
        <w:right w:val="none" w:sz="0" w:space="0" w:color="auto"/>
      </w:divBdr>
    </w:div>
    <w:div w:id="1347706018">
      <w:bodyDiv w:val="1"/>
      <w:marLeft w:val="0"/>
      <w:marRight w:val="0"/>
      <w:marTop w:val="0"/>
      <w:marBottom w:val="0"/>
      <w:divBdr>
        <w:top w:val="none" w:sz="0" w:space="0" w:color="auto"/>
        <w:left w:val="none" w:sz="0" w:space="0" w:color="auto"/>
        <w:bottom w:val="none" w:sz="0" w:space="0" w:color="auto"/>
        <w:right w:val="none" w:sz="0" w:space="0" w:color="auto"/>
      </w:divBdr>
    </w:div>
    <w:div w:id="1347706301">
      <w:bodyDiv w:val="1"/>
      <w:marLeft w:val="0"/>
      <w:marRight w:val="0"/>
      <w:marTop w:val="0"/>
      <w:marBottom w:val="0"/>
      <w:divBdr>
        <w:top w:val="none" w:sz="0" w:space="0" w:color="auto"/>
        <w:left w:val="none" w:sz="0" w:space="0" w:color="auto"/>
        <w:bottom w:val="none" w:sz="0" w:space="0" w:color="auto"/>
        <w:right w:val="none" w:sz="0" w:space="0" w:color="auto"/>
      </w:divBdr>
    </w:div>
    <w:div w:id="1351685183">
      <w:bodyDiv w:val="1"/>
      <w:marLeft w:val="0"/>
      <w:marRight w:val="0"/>
      <w:marTop w:val="0"/>
      <w:marBottom w:val="0"/>
      <w:divBdr>
        <w:top w:val="none" w:sz="0" w:space="0" w:color="auto"/>
        <w:left w:val="none" w:sz="0" w:space="0" w:color="auto"/>
        <w:bottom w:val="none" w:sz="0" w:space="0" w:color="auto"/>
        <w:right w:val="none" w:sz="0" w:space="0" w:color="auto"/>
      </w:divBdr>
      <w:divsChild>
        <w:div w:id="1543709650">
          <w:marLeft w:val="0"/>
          <w:marRight w:val="0"/>
          <w:marTop w:val="0"/>
          <w:marBottom w:val="0"/>
          <w:divBdr>
            <w:top w:val="none" w:sz="0" w:space="0" w:color="auto"/>
            <w:left w:val="none" w:sz="0" w:space="0" w:color="auto"/>
            <w:bottom w:val="none" w:sz="0" w:space="0" w:color="auto"/>
            <w:right w:val="none" w:sz="0" w:space="0" w:color="auto"/>
          </w:divBdr>
          <w:divsChild>
            <w:div w:id="1004280559">
              <w:marLeft w:val="0"/>
              <w:marRight w:val="0"/>
              <w:marTop w:val="0"/>
              <w:marBottom w:val="0"/>
              <w:divBdr>
                <w:top w:val="none" w:sz="0" w:space="0" w:color="auto"/>
                <w:left w:val="none" w:sz="0" w:space="0" w:color="auto"/>
                <w:bottom w:val="none" w:sz="0" w:space="0" w:color="auto"/>
                <w:right w:val="none" w:sz="0" w:space="0" w:color="auto"/>
              </w:divBdr>
              <w:divsChild>
                <w:div w:id="1634554444">
                  <w:marLeft w:val="0"/>
                  <w:marRight w:val="0"/>
                  <w:marTop w:val="0"/>
                  <w:marBottom w:val="0"/>
                  <w:divBdr>
                    <w:top w:val="none" w:sz="0" w:space="0" w:color="auto"/>
                    <w:left w:val="none" w:sz="0" w:space="0" w:color="auto"/>
                    <w:bottom w:val="none" w:sz="0" w:space="0" w:color="auto"/>
                    <w:right w:val="none" w:sz="0" w:space="0" w:color="auto"/>
                  </w:divBdr>
                  <w:divsChild>
                    <w:div w:id="1506822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7730616">
      <w:bodyDiv w:val="1"/>
      <w:marLeft w:val="0"/>
      <w:marRight w:val="0"/>
      <w:marTop w:val="0"/>
      <w:marBottom w:val="0"/>
      <w:divBdr>
        <w:top w:val="none" w:sz="0" w:space="0" w:color="auto"/>
        <w:left w:val="none" w:sz="0" w:space="0" w:color="auto"/>
        <w:bottom w:val="none" w:sz="0" w:space="0" w:color="auto"/>
        <w:right w:val="none" w:sz="0" w:space="0" w:color="auto"/>
      </w:divBdr>
    </w:div>
    <w:div w:id="1362121362">
      <w:bodyDiv w:val="1"/>
      <w:marLeft w:val="0"/>
      <w:marRight w:val="0"/>
      <w:marTop w:val="0"/>
      <w:marBottom w:val="0"/>
      <w:divBdr>
        <w:top w:val="none" w:sz="0" w:space="0" w:color="auto"/>
        <w:left w:val="none" w:sz="0" w:space="0" w:color="auto"/>
        <w:bottom w:val="none" w:sz="0" w:space="0" w:color="auto"/>
        <w:right w:val="none" w:sz="0" w:space="0" w:color="auto"/>
      </w:divBdr>
    </w:div>
    <w:div w:id="1364163582">
      <w:bodyDiv w:val="1"/>
      <w:marLeft w:val="0"/>
      <w:marRight w:val="0"/>
      <w:marTop w:val="0"/>
      <w:marBottom w:val="0"/>
      <w:divBdr>
        <w:top w:val="none" w:sz="0" w:space="0" w:color="auto"/>
        <w:left w:val="none" w:sz="0" w:space="0" w:color="auto"/>
        <w:bottom w:val="none" w:sz="0" w:space="0" w:color="auto"/>
        <w:right w:val="none" w:sz="0" w:space="0" w:color="auto"/>
      </w:divBdr>
      <w:divsChild>
        <w:div w:id="445272746">
          <w:marLeft w:val="274"/>
          <w:marRight w:val="0"/>
          <w:marTop w:val="120"/>
          <w:marBottom w:val="22"/>
          <w:divBdr>
            <w:top w:val="none" w:sz="0" w:space="0" w:color="auto"/>
            <w:left w:val="none" w:sz="0" w:space="0" w:color="auto"/>
            <w:bottom w:val="none" w:sz="0" w:space="0" w:color="auto"/>
            <w:right w:val="none" w:sz="0" w:space="0" w:color="auto"/>
          </w:divBdr>
        </w:div>
      </w:divsChild>
    </w:div>
    <w:div w:id="1365211706">
      <w:bodyDiv w:val="1"/>
      <w:marLeft w:val="0"/>
      <w:marRight w:val="0"/>
      <w:marTop w:val="0"/>
      <w:marBottom w:val="0"/>
      <w:divBdr>
        <w:top w:val="none" w:sz="0" w:space="0" w:color="auto"/>
        <w:left w:val="none" w:sz="0" w:space="0" w:color="auto"/>
        <w:bottom w:val="none" w:sz="0" w:space="0" w:color="auto"/>
        <w:right w:val="none" w:sz="0" w:space="0" w:color="auto"/>
      </w:divBdr>
    </w:div>
    <w:div w:id="1371800995">
      <w:bodyDiv w:val="1"/>
      <w:marLeft w:val="0"/>
      <w:marRight w:val="0"/>
      <w:marTop w:val="0"/>
      <w:marBottom w:val="0"/>
      <w:divBdr>
        <w:top w:val="none" w:sz="0" w:space="0" w:color="auto"/>
        <w:left w:val="none" w:sz="0" w:space="0" w:color="auto"/>
        <w:bottom w:val="none" w:sz="0" w:space="0" w:color="auto"/>
        <w:right w:val="none" w:sz="0" w:space="0" w:color="auto"/>
      </w:divBdr>
    </w:div>
    <w:div w:id="1371958276">
      <w:bodyDiv w:val="1"/>
      <w:marLeft w:val="0"/>
      <w:marRight w:val="0"/>
      <w:marTop w:val="0"/>
      <w:marBottom w:val="0"/>
      <w:divBdr>
        <w:top w:val="none" w:sz="0" w:space="0" w:color="auto"/>
        <w:left w:val="none" w:sz="0" w:space="0" w:color="auto"/>
        <w:bottom w:val="none" w:sz="0" w:space="0" w:color="auto"/>
        <w:right w:val="none" w:sz="0" w:space="0" w:color="auto"/>
      </w:divBdr>
    </w:div>
    <w:div w:id="1381399748">
      <w:bodyDiv w:val="1"/>
      <w:marLeft w:val="0"/>
      <w:marRight w:val="0"/>
      <w:marTop w:val="0"/>
      <w:marBottom w:val="0"/>
      <w:divBdr>
        <w:top w:val="none" w:sz="0" w:space="0" w:color="auto"/>
        <w:left w:val="none" w:sz="0" w:space="0" w:color="auto"/>
        <w:bottom w:val="none" w:sz="0" w:space="0" w:color="auto"/>
        <w:right w:val="none" w:sz="0" w:space="0" w:color="auto"/>
      </w:divBdr>
    </w:div>
    <w:div w:id="1382709305">
      <w:bodyDiv w:val="1"/>
      <w:marLeft w:val="0"/>
      <w:marRight w:val="0"/>
      <w:marTop w:val="0"/>
      <w:marBottom w:val="0"/>
      <w:divBdr>
        <w:top w:val="none" w:sz="0" w:space="0" w:color="auto"/>
        <w:left w:val="none" w:sz="0" w:space="0" w:color="auto"/>
        <w:bottom w:val="none" w:sz="0" w:space="0" w:color="auto"/>
        <w:right w:val="none" w:sz="0" w:space="0" w:color="auto"/>
      </w:divBdr>
    </w:div>
    <w:div w:id="1384255680">
      <w:bodyDiv w:val="1"/>
      <w:marLeft w:val="0"/>
      <w:marRight w:val="0"/>
      <w:marTop w:val="0"/>
      <w:marBottom w:val="0"/>
      <w:divBdr>
        <w:top w:val="none" w:sz="0" w:space="0" w:color="auto"/>
        <w:left w:val="none" w:sz="0" w:space="0" w:color="auto"/>
        <w:bottom w:val="none" w:sz="0" w:space="0" w:color="auto"/>
        <w:right w:val="none" w:sz="0" w:space="0" w:color="auto"/>
      </w:divBdr>
    </w:div>
    <w:div w:id="1390496805">
      <w:bodyDiv w:val="1"/>
      <w:marLeft w:val="0"/>
      <w:marRight w:val="0"/>
      <w:marTop w:val="0"/>
      <w:marBottom w:val="0"/>
      <w:divBdr>
        <w:top w:val="none" w:sz="0" w:space="0" w:color="auto"/>
        <w:left w:val="none" w:sz="0" w:space="0" w:color="auto"/>
        <w:bottom w:val="none" w:sz="0" w:space="0" w:color="auto"/>
        <w:right w:val="none" w:sz="0" w:space="0" w:color="auto"/>
      </w:divBdr>
    </w:div>
    <w:div w:id="1392188210">
      <w:bodyDiv w:val="1"/>
      <w:marLeft w:val="0"/>
      <w:marRight w:val="0"/>
      <w:marTop w:val="0"/>
      <w:marBottom w:val="0"/>
      <w:divBdr>
        <w:top w:val="none" w:sz="0" w:space="0" w:color="auto"/>
        <w:left w:val="none" w:sz="0" w:space="0" w:color="auto"/>
        <w:bottom w:val="none" w:sz="0" w:space="0" w:color="auto"/>
        <w:right w:val="none" w:sz="0" w:space="0" w:color="auto"/>
      </w:divBdr>
    </w:div>
    <w:div w:id="1393307108">
      <w:bodyDiv w:val="1"/>
      <w:marLeft w:val="0"/>
      <w:marRight w:val="0"/>
      <w:marTop w:val="0"/>
      <w:marBottom w:val="0"/>
      <w:divBdr>
        <w:top w:val="none" w:sz="0" w:space="0" w:color="auto"/>
        <w:left w:val="none" w:sz="0" w:space="0" w:color="auto"/>
        <w:bottom w:val="none" w:sz="0" w:space="0" w:color="auto"/>
        <w:right w:val="none" w:sz="0" w:space="0" w:color="auto"/>
      </w:divBdr>
      <w:divsChild>
        <w:div w:id="699548419">
          <w:marLeft w:val="274"/>
          <w:marRight w:val="0"/>
          <w:marTop w:val="0"/>
          <w:marBottom w:val="0"/>
          <w:divBdr>
            <w:top w:val="none" w:sz="0" w:space="0" w:color="auto"/>
            <w:left w:val="none" w:sz="0" w:space="0" w:color="auto"/>
            <w:bottom w:val="none" w:sz="0" w:space="0" w:color="auto"/>
            <w:right w:val="none" w:sz="0" w:space="0" w:color="auto"/>
          </w:divBdr>
        </w:div>
      </w:divsChild>
    </w:div>
    <w:div w:id="1396052120">
      <w:bodyDiv w:val="1"/>
      <w:marLeft w:val="0"/>
      <w:marRight w:val="0"/>
      <w:marTop w:val="0"/>
      <w:marBottom w:val="0"/>
      <w:divBdr>
        <w:top w:val="none" w:sz="0" w:space="0" w:color="auto"/>
        <w:left w:val="none" w:sz="0" w:space="0" w:color="auto"/>
        <w:bottom w:val="none" w:sz="0" w:space="0" w:color="auto"/>
        <w:right w:val="none" w:sz="0" w:space="0" w:color="auto"/>
      </w:divBdr>
    </w:div>
    <w:div w:id="1410883497">
      <w:bodyDiv w:val="1"/>
      <w:marLeft w:val="0"/>
      <w:marRight w:val="0"/>
      <w:marTop w:val="0"/>
      <w:marBottom w:val="0"/>
      <w:divBdr>
        <w:top w:val="none" w:sz="0" w:space="0" w:color="auto"/>
        <w:left w:val="none" w:sz="0" w:space="0" w:color="auto"/>
        <w:bottom w:val="none" w:sz="0" w:space="0" w:color="auto"/>
        <w:right w:val="none" w:sz="0" w:space="0" w:color="auto"/>
      </w:divBdr>
    </w:div>
    <w:div w:id="1412580897">
      <w:bodyDiv w:val="1"/>
      <w:marLeft w:val="0"/>
      <w:marRight w:val="0"/>
      <w:marTop w:val="0"/>
      <w:marBottom w:val="0"/>
      <w:divBdr>
        <w:top w:val="none" w:sz="0" w:space="0" w:color="auto"/>
        <w:left w:val="none" w:sz="0" w:space="0" w:color="auto"/>
        <w:bottom w:val="none" w:sz="0" w:space="0" w:color="auto"/>
        <w:right w:val="none" w:sz="0" w:space="0" w:color="auto"/>
      </w:divBdr>
    </w:div>
    <w:div w:id="1421482476">
      <w:bodyDiv w:val="1"/>
      <w:marLeft w:val="0"/>
      <w:marRight w:val="0"/>
      <w:marTop w:val="0"/>
      <w:marBottom w:val="0"/>
      <w:divBdr>
        <w:top w:val="none" w:sz="0" w:space="0" w:color="auto"/>
        <w:left w:val="none" w:sz="0" w:space="0" w:color="auto"/>
        <w:bottom w:val="none" w:sz="0" w:space="0" w:color="auto"/>
        <w:right w:val="none" w:sz="0" w:space="0" w:color="auto"/>
      </w:divBdr>
    </w:div>
    <w:div w:id="1426152860">
      <w:bodyDiv w:val="1"/>
      <w:marLeft w:val="0"/>
      <w:marRight w:val="0"/>
      <w:marTop w:val="0"/>
      <w:marBottom w:val="0"/>
      <w:divBdr>
        <w:top w:val="none" w:sz="0" w:space="0" w:color="auto"/>
        <w:left w:val="none" w:sz="0" w:space="0" w:color="auto"/>
        <w:bottom w:val="none" w:sz="0" w:space="0" w:color="auto"/>
        <w:right w:val="none" w:sz="0" w:space="0" w:color="auto"/>
      </w:divBdr>
    </w:div>
    <w:div w:id="1428308623">
      <w:bodyDiv w:val="1"/>
      <w:marLeft w:val="0"/>
      <w:marRight w:val="0"/>
      <w:marTop w:val="0"/>
      <w:marBottom w:val="0"/>
      <w:divBdr>
        <w:top w:val="none" w:sz="0" w:space="0" w:color="auto"/>
        <w:left w:val="none" w:sz="0" w:space="0" w:color="auto"/>
        <w:bottom w:val="none" w:sz="0" w:space="0" w:color="auto"/>
        <w:right w:val="none" w:sz="0" w:space="0" w:color="auto"/>
      </w:divBdr>
      <w:divsChild>
        <w:div w:id="151803004">
          <w:marLeft w:val="173"/>
          <w:marRight w:val="0"/>
          <w:marTop w:val="0"/>
          <w:marBottom w:val="120"/>
          <w:divBdr>
            <w:top w:val="none" w:sz="0" w:space="0" w:color="auto"/>
            <w:left w:val="none" w:sz="0" w:space="0" w:color="auto"/>
            <w:bottom w:val="none" w:sz="0" w:space="0" w:color="auto"/>
            <w:right w:val="none" w:sz="0" w:space="0" w:color="auto"/>
          </w:divBdr>
        </w:div>
        <w:div w:id="278267655">
          <w:marLeft w:val="173"/>
          <w:marRight w:val="0"/>
          <w:marTop w:val="0"/>
          <w:marBottom w:val="120"/>
          <w:divBdr>
            <w:top w:val="none" w:sz="0" w:space="0" w:color="auto"/>
            <w:left w:val="none" w:sz="0" w:space="0" w:color="auto"/>
            <w:bottom w:val="none" w:sz="0" w:space="0" w:color="auto"/>
            <w:right w:val="none" w:sz="0" w:space="0" w:color="auto"/>
          </w:divBdr>
        </w:div>
        <w:div w:id="433012624">
          <w:marLeft w:val="490"/>
          <w:marRight w:val="0"/>
          <w:marTop w:val="0"/>
          <w:marBottom w:val="120"/>
          <w:divBdr>
            <w:top w:val="none" w:sz="0" w:space="0" w:color="auto"/>
            <w:left w:val="none" w:sz="0" w:space="0" w:color="auto"/>
            <w:bottom w:val="none" w:sz="0" w:space="0" w:color="auto"/>
            <w:right w:val="none" w:sz="0" w:space="0" w:color="auto"/>
          </w:divBdr>
        </w:div>
        <w:div w:id="711265956">
          <w:marLeft w:val="173"/>
          <w:marRight w:val="0"/>
          <w:marTop w:val="0"/>
          <w:marBottom w:val="120"/>
          <w:divBdr>
            <w:top w:val="none" w:sz="0" w:space="0" w:color="auto"/>
            <w:left w:val="none" w:sz="0" w:space="0" w:color="auto"/>
            <w:bottom w:val="none" w:sz="0" w:space="0" w:color="auto"/>
            <w:right w:val="none" w:sz="0" w:space="0" w:color="auto"/>
          </w:divBdr>
        </w:div>
        <w:div w:id="889459669">
          <w:marLeft w:val="173"/>
          <w:marRight w:val="0"/>
          <w:marTop w:val="0"/>
          <w:marBottom w:val="120"/>
          <w:divBdr>
            <w:top w:val="none" w:sz="0" w:space="0" w:color="auto"/>
            <w:left w:val="none" w:sz="0" w:space="0" w:color="auto"/>
            <w:bottom w:val="none" w:sz="0" w:space="0" w:color="auto"/>
            <w:right w:val="none" w:sz="0" w:space="0" w:color="auto"/>
          </w:divBdr>
        </w:div>
        <w:div w:id="930431404">
          <w:marLeft w:val="490"/>
          <w:marRight w:val="0"/>
          <w:marTop w:val="0"/>
          <w:marBottom w:val="120"/>
          <w:divBdr>
            <w:top w:val="none" w:sz="0" w:space="0" w:color="auto"/>
            <w:left w:val="none" w:sz="0" w:space="0" w:color="auto"/>
            <w:bottom w:val="none" w:sz="0" w:space="0" w:color="auto"/>
            <w:right w:val="none" w:sz="0" w:space="0" w:color="auto"/>
          </w:divBdr>
        </w:div>
        <w:div w:id="1263148312">
          <w:marLeft w:val="173"/>
          <w:marRight w:val="0"/>
          <w:marTop w:val="0"/>
          <w:marBottom w:val="120"/>
          <w:divBdr>
            <w:top w:val="none" w:sz="0" w:space="0" w:color="auto"/>
            <w:left w:val="none" w:sz="0" w:space="0" w:color="auto"/>
            <w:bottom w:val="none" w:sz="0" w:space="0" w:color="auto"/>
            <w:right w:val="none" w:sz="0" w:space="0" w:color="auto"/>
          </w:divBdr>
        </w:div>
        <w:div w:id="1447968152">
          <w:marLeft w:val="490"/>
          <w:marRight w:val="0"/>
          <w:marTop w:val="0"/>
          <w:marBottom w:val="120"/>
          <w:divBdr>
            <w:top w:val="none" w:sz="0" w:space="0" w:color="auto"/>
            <w:left w:val="none" w:sz="0" w:space="0" w:color="auto"/>
            <w:bottom w:val="none" w:sz="0" w:space="0" w:color="auto"/>
            <w:right w:val="none" w:sz="0" w:space="0" w:color="auto"/>
          </w:divBdr>
        </w:div>
        <w:div w:id="1853912661">
          <w:marLeft w:val="490"/>
          <w:marRight w:val="0"/>
          <w:marTop w:val="0"/>
          <w:marBottom w:val="120"/>
          <w:divBdr>
            <w:top w:val="none" w:sz="0" w:space="0" w:color="auto"/>
            <w:left w:val="none" w:sz="0" w:space="0" w:color="auto"/>
            <w:bottom w:val="none" w:sz="0" w:space="0" w:color="auto"/>
            <w:right w:val="none" w:sz="0" w:space="0" w:color="auto"/>
          </w:divBdr>
        </w:div>
        <w:div w:id="1856503962">
          <w:marLeft w:val="173"/>
          <w:marRight w:val="0"/>
          <w:marTop w:val="0"/>
          <w:marBottom w:val="120"/>
          <w:divBdr>
            <w:top w:val="none" w:sz="0" w:space="0" w:color="auto"/>
            <w:left w:val="none" w:sz="0" w:space="0" w:color="auto"/>
            <w:bottom w:val="none" w:sz="0" w:space="0" w:color="auto"/>
            <w:right w:val="none" w:sz="0" w:space="0" w:color="auto"/>
          </w:divBdr>
        </w:div>
      </w:divsChild>
    </w:div>
    <w:div w:id="1435594095">
      <w:bodyDiv w:val="1"/>
      <w:marLeft w:val="0"/>
      <w:marRight w:val="0"/>
      <w:marTop w:val="0"/>
      <w:marBottom w:val="0"/>
      <w:divBdr>
        <w:top w:val="none" w:sz="0" w:space="0" w:color="auto"/>
        <w:left w:val="none" w:sz="0" w:space="0" w:color="auto"/>
        <w:bottom w:val="none" w:sz="0" w:space="0" w:color="auto"/>
        <w:right w:val="none" w:sz="0" w:space="0" w:color="auto"/>
      </w:divBdr>
    </w:div>
    <w:div w:id="1436292445">
      <w:bodyDiv w:val="1"/>
      <w:marLeft w:val="0"/>
      <w:marRight w:val="0"/>
      <w:marTop w:val="0"/>
      <w:marBottom w:val="0"/>
      <w:divBdr>
        <w:top w:val="none" w:sz="0" w:space="0" w:color="auto"/>
        <w:left w:val="none" w:sz="0" w:space="0" w:color="auto"/>
        <w:bottom w:val="none" w:sz="0" w:space="0" w:color="auto"/>
        <w:right w:val="none" w:sz="0" w:space="0" w:color="auto"/>
      </w:divBdr>
    </w:div>
    <w:div w:id="1440754931">
      <w:bodyDiv w:val="1"/>
      <w:marLeft w:val="0"/>
      <w:marRight w:val="0"/>
      <w:marTop w:val="0"/>
      <w:marBottom w:val="0"/>
      <w:divBdr>
        <w:top w:val="none" w:sz="0" w:space="0" w:color="auto"/>
        <w:left w:val="none" w:sz="0" w:space="0" w:color="auto"/>
        <w:bottom w:val="none" w:sz="0" w:space="0" w:color="auto"/>
        <w:right w:val="none" w:sz="0" w:space="0" w:color="auto"/>
      </w:divBdr>
    </w:div>
    <w:div w:id="1452095682">
      <w:bodyDiv w:val="1"/>
      <w:marLeft w:val="0"/>
      <w:marRight w:val="0"/>
      <w:marTop w:val="0"/>
      <w:marBottom w:val="0"/>
      <w:divBdr>
        <w:top w:val="none" w:sz="0" w:space="0" w:color="auto"/>
        <w:left w:val="none" w:sz="0" w:space="0" w:color="auto"/>
        <w:bottom w:val="none" w:sz="0" w:space="0" w:color="auto"/>
        <w:right w:val="none" w:sz="0" w:space="0" w:color="auto"/>
      </w:divBdr>
    </w:div>
    <w:div w:id="1461995123">
      <w:bodyDiv w:val="1"/>
      <w:marLeft w:val="0"/>
      <w:marRight w:val="0"/>
      <w:marTop w:val="0"/>
      <w:marBottom w:val="0"/>
      <w:divBdr>
        <w:top w:val="none" w:sz="0" w:space="0" w:color="auto"/>
        <w:left w:val="none" w:sz="0" w:space="0" w:color="auto"/>
        <w:bottom w:val="none" w:sz="0" w:space="0" w:color="auto"/>
        <w:right w:val="none" w:sz="0" w:space="0" w:color="auto"/>
      </w:divBdr>
      <w:divsChild>
        <w:div w:id="377359820">
          <w:marLeft w:val="446"/>
          <w:marRight w:val="0"/>
          <w:marTop w:val="120"/>
          <w:marBottom w:val="120"/>
          <w:divBdr>
            <w:top w:val="none" w:sz="0" w:space="0" w:color="auto"/>
            <w:left w:val="none" w:sz="0" w:space="0" w:color="auto"/>
            <w:bottom w:val="none" w:sz="0" w:space="0" w:color="auto"/>
            <w:right w:val="none" w:sz="0" w:space="0" w:color="auto"/>
          </w:divBdr>
        </w:div>
        <w:div w:id="1754665026">
          <w:marLeft w:val="446"/>
          <w:marRight w:val="0"/>
          <w:marTop w:val="120"/>
          <w:marBottom w:val="120"/>
          <w:divBdr>
            <w:top w:val="none" w:sz="0" w:space="0" w:color="auto"/>
            <w:left w:val="none" w:sz="0" w:space="0" w:color="auto"/>
            <w:bottom w:val="none" w:sz="0" w:space="0" w:color="auto"/>
            <w:right w:val="none" w:sz="0" w:space="0" w:color="auto"/>
          </w:divBdr>
        </w:div>
      </w:divsChild>
    </w:div>
    <w:div w:id="1466657068">
      <w:bodyDiv w:val="1"/>
      <w:marLeft w:val="0"/>
      <w:marRight w:val="0"/>
      <w:marTop w:val="0"/>
      <w:marBottom w:val="0"/>
      <w:divBdr>
        <w:top w:val="none" w:sz="0" w:space="0" w:color="auto"/>
        <w:left w:val="none" w:sz="0" w:space="0" w:color="auto"/>
        <w:bottom w:val="none" w:sz="0" w:space="0" w:color="auto"/>
        <w:right w:val="none" w:sz="0" w:space="0" w:color="auto"/>
      </w:divBdr>
    </w:div>
    <w:div w:id="1467426582">
      <w:bodyDiv w:val="1"/>
      <w:marLeft w:val="0"/>
      <w:marRight w:val="0"/>
      <w:marTop w:val="0"/>
      <w:marBottom w:val="0"/>
      <w:divBdr>
        <w:top w:val="none" w:sz="0" w:space="0" w:color="auto"/>
        <w:left w:val="none" w:sz="0" w:space="0" w:color="auto"/>
        <w:bottom w:val="none" w:sz="0" w:space="0" w:color="auto"/>
        <w:right w:val="none" w:sz="0" w:space="0" w:color="auto"/>
      </w:divBdr>
    </w:div>
    <w:div w:id="1471170106">
      <w:bodyDiv w:val="1"/>
      <w:marLeft w:val="0"/>
      <w:marRight w:val="0"/>
      <w:marTop w:val="0"/>
      <w:marBottom w:val="0"/>
      <w:divBdr>
        <w:top w:val="none" w:sz="0" w:space="0" w:color="auto"/>
        <w:left w:val="none" w:sz="0" w:space="0" w:color="auto"/>
        <w:bottom w:val="none" w:sz="0" w:space="0" w:color="auto"/>
        <w:right w:val="none" w:sz="0" w:space="0" w:color="auto"/>
      </w:divBdr>
    </w:div>
    <w:div w:id="1476946171">
      <w:bodyDiv w:val="1"/>
      <w:marLeft w:val="0"/>
      <w:marRight w:val="0"/>
      <w:marTop w:val="0"/>
      <w:marBottom w:val="0"/>
      <w:divBdr>
        <w:top w:val="none" w:sz="0" w:space="0" w:color="auto"/>
        <w:left w:val="none" w:sz="0" w:space="0" w:color="auto"/>
        <w:bottom w:val="none" w:sz="0" w:space="0" w:color="auto"/>
        <w:right w:val="none" w:sz="0" w:space="0" w:color="auto"/>
      </w:divBdr>
      <w:divsChild>
        <w:div w:id="2040155013">
          <w:marLeft w:val="0"/>
          <w:marRight w:val="0"/>
          <w:marTop w:val="0"/>
          <w:marBottom w:val="0"/>
          <w:divBdr>
            <w:top w:val="none" w:sz="0" w:space="0" w:color="auto"/>
            <w:left w:val="none" w:sz="0" w:space="0" w:color="auto"/>
            <w:bottom w:val="none" w:sz="0" w:space="0" w:color="auto"/>
            <w:right w:val="none" w:sz="0" w:space="0" w:color="auto"/>
          </w:divBdr>
          <w:divsChild>
            <w:div w:id="179778006">
              <w:marLeft w:val="0"/>
              <w:marRight w:val="0"/>
              <w:marTop w:val="0"/>
              <w:marBottom w:val="0"/>
              <w:divBdr>
                <w:top w:val="none" w:sz="0" w:space="0" w:color="auto"/>
                <w:left w:val="none" w:sz="0" w:space="0" w:color="auto"/>
                <w:bottom w:val="none" w:sz="0" w:space="0" w:color="auto"/>
                <w:right w:val="none" w:sz="0" w:space="0" w:color="auto"/>
              </w:divBdr>
              <w:divsChild>
                <w:div w:id="2014525444">
                  <w:marLeft w:val="0"/>
                  <w:marRight w:val="0"/>
                  <w:marTop w:val="0"/>
                  <w:marBottom w:val="0"/>
                  <w:divBdr>
                    <w:top w:val="none" w:sz="0" w:space="0" w:color="auto"/>
                    <w:left w:val="none" w:sz="0" w:space="0" w:color="auto"/>
                    <w:bottom w:val="none" w:sz="0" w:space="0" w:color="auto"/>
                    <w:right w:val="none" w:sz="0" w:space="0" w:color="auto"/>
                  </w:divBdr>
                  <w:divsChild>
                    <w:div w:id="1453552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8650652">
      <w:bodyDiv w:val="1"/>
      <w:marLeft w:val="0"/>
      <w:marRight w:val="0"/>
      <w:marTop w:val="0"/>
      <w:marBottom w:val="0"/>
      <w:divBdr>
        <w:top w:val="none" w:sz="0" w:space="0" w:color="auto"/>
        <w:left w:val="none" w:sz="0" w:space="0" w:color="auto"/>
        <w:bottom w:val="none" w:sz="0" w:space="0" w:color="auto"/>
        <w:right w:val="none" w:sz="0" w:space="0" w:color="auto"/>
      </w:divBdr>
      <w:divsChild>
        <w:div w:id="329872134">
          <w:marLeft w:val="274"/>
          <w:marRight w:val="0"/>
          <w:marTop w:val="0"/>
          <w:marBottom w:val="0"/>
          <w:divBdr>
            <w:top w:val="none" w:sz="0" w:space="0" w:color="auto"/>
            <w:left w:val="none" w:sz="0" w:space="0" w:color="auto"/>
            <w:bottom w:val="none" w:sz="0" w:space="0" w:color="auto"/>
            <w:right w:val="none" w:sz="0" w:space="0" w:color="auto"/>
          </w:divBdr>
        </w:div>
        <w:div w:id="1253854795">
          <w:marLeft w:val="274"/>
          <w:marRight w:val="0"/>
          <w:marTop w:val="0"/>
          <w:marBottom w:val="0"/>
          <w:divBdr>
            <w:top w:val="none" w:sz="0" w:space="0" w:color="auto"/>
            <w:left w:val="none" w:sz="0" w:space="0" w:color="auto"/>
            <w:bottom w:val="none" w:sz="0" w:space="0" w:color="auto"/>
            <w:right w:val="none" w:sz="0" w:space="0" w:color="auto"/>
          </w:divBdr>
        </w:div>
      </w:divsChild>
    </w:div>
    <w:div w:id="1480340429">
      <w:bodyDiv w:val="1"/>
      <w:marLeft w:val="0"/>
      <w:marRight w:val="0"/>
      <w:marTop w:val="0"/>
      <w:marBottom w:val="0"/>
      <w:divBdr>
        <w:top w:val="none" w:sz="0" w:space="0" w:color="auto"/>
        <w:left w:val="none" w:sz="0" w:space="0" w:color="auto"/>
        <w:bottom w:val="none" w:sz="0" w:space="0" w:color="auto"/>
        <w:right w:val="none" w:sz="0" w:space="0" w:color="auto"/>
      </w:divBdr>
    </w:div>
    <w:div w:id="1492671821">
      <w:bodyDiv w:val="1"/>
      <w:marLeft w:val="0"/>
      <w:marRight w:val="0"/>
      <w:marTop w:val="0"/>
      <w:marBottom w:val="0"/>
      <w:divBdr>
        <w:top w:val="none" w:sz="0" w:space="0" w:color="auto"/>
        <w:left w:val="none" w:sz="0" w:space="0" w:color="auto"/>
        <w:bottom w:val="none" w:sz="0" w:space="0" w:color="auto"/>
        <w:right w:val="none" w:sz="0" w:space="0" w:color="auto"/>
      </w:divBdr>
      <w:divsChild>
        <w:div w:id="62340601">
          <w:marLeft w:val="173"/>
          <w:marRight w:val="0"/>
          <w:marTop w:val="0"/>
          <w:marBottom w:val="0"/>
          <w:divBdr>
            <w:top w:val="none" w:sz="0" w:space="0" w:color="auto"/>
            <w:left w:val="none" w:sz="0" w:space="0" w:color="auto"/>
            <w:bottom w:val="none" w:sz="0" w:space="0" w:color="auto"/>
            <w:right w:val="none" w:sz="0" w:space="0" w:color="auto"/>
          </w:divBdr>
        </w:div>
        <w:div w:id="375206671">
          <w:marLeft w:val="173"/>
          <w:marRight w:val="0"/>
          <w:marTop w:val="0"/>
          <w:marBottom w:val="0"/>
          <w:divBdr>
            <w:top w:val="none" w:sz="0" w:space="0" w:color="auto"/>
            <w:left w:val="none" w:sz="0" w:space="0" w:color="auto"/>
            <w:bottom w:val="none" w:sz="0" w:space="0" w:color="auto"/>
            <w:right w:val="none" w:sz="0" w:space="0" w:color="auto"/>
          </w:divBdr>
        </w:div>
        <w:div w:id="452675817">
          <w:marLeft w:val="173"/>
          <w:marRight w:val="0"/>
          <w:marTop w:val="0"/>
          <w:marBottom w:val="0"/>
          <w:divBdr>
            <w:top w:val="none" w:sz="0" w:space="0" w:color="auto"/>
            <w:left w:val="none" w:sz="0" w:space="0" w:color="auto"/>
            <w:bottom w:val="none" w:sz="0" w:space="0" w:color="auto"/>
            <w:right w:val="none" w:sz="0" w:space="0" w:color="auto"/>
          </w:divBdr>
        </w:div>
        <w:div w:id="1141311317">
          <w:marLeft w:val="173"/>
          <w:marRight w:val="0"/>
          <w:marTop w:val="0"/>
          <w:marBottom w:val="0"/>
          <w:divBdr>
            <w:top w:val="none" w:sz="0" w:space="0" w:color="auto"/>
            <w:left w:val="none" w:sz="0" w:space="0" w:color="auto"/>
            <w:bottom w:val="none" w:sz="0" w:space="0" w:color="auto"/>
            <w:right w:val="none" w:sz="0" w:space="0" w:color="auto"/>
          </w:divBdr>
        </w:div>
        <w:div w:id="1572160447">
          <w:marLeft w:val="173"/>
          <w:marRight w:val="0"/>
          <w:marTop w:val="0"/>
          <w:marBottom w:val="0"/>
          <w:divBdr>
            <w:top w:val="none" w:sz="0" w:space="0" w:color="auto"/>
            <w:left w:val="none" w:sz="0" w:space="0" w:color="auto"/>
            <w:bottom w:val="none" w:sz="0" w:space="0" w:color="auto"/>
            <w:right w:val="none" w:sz="0" w:space="0" w:color="auto"/>
          </w:divBdr>
        </w:div>
        <w:div w:id="2105877845">
          <w:marLeft w:val="173"/>
          <w:marRight w:val="0"/>
          <w:marTop w:val="0"/>
          <w:marBottom w:val="0"/>
          <w:divBdr>
            <w:top w:val="none" w:sz="0" w:space="0" w:color="auto"/>
            <w:left w:val="none" w:sz="0" w:space="0" w:color="auto"/>
            <w:bottom w:val="none" w:sz="0" w:space="0" w:color="auto"/>
            <w:right w:val="none" w:sz="0" w:space="0" w:color="auto"/>
          </w:divBdr>
        </w:div>
      </w:divsChild>
    </w:div>
    <w:div w:id="1494878407">
      <w:bodyDiv w:val="1"/>
      <w:marLeft w:val="0"/>
      <w:marRight w:val="0"/>
      <w:marTop w:val="0"/>
      <w:marBottom w:val="0"/>
      <w:divBdr>
        <w:top w:val="none" w:sz="0" w:space="0" w:color="auto"/>
        <w:left w:val="none" w:sz="0" w:space="0" w:color="auto"/>
        <w:bottom w:val="none" w:sz="0" w:space="0" w:color="auto"/>
        <w:right w:val="none" w:sz="0" w:space="0" w:color="auto"/>
      </w:divBdr>
    </w:div>
    <w:div w:id="1495805624">
      <w:bodyDiv w:val="1"/>
      <w:marLeft w:val="0"/>
      <w:marRight w:val="0"/>
      <w:marTop w:val="0"/>
      <w:marBottom w:val="0"/>
      <w:divBdr>
        <w:top w:val="none" w:sz="0" w:space="0" w:color="auto"/>
        <w:left w:val="none" w:sz="0" w:space="0" w:color="auto"/>
        <w:bottom w:val="none" w:sz="0" w:space="0" w:color="auto"/>
        <w:right w:val="none" w:sz="0" w:space="0" w:color="auto"/>
      </w:divBdr>
      <w:divsChild>
        <w:div w:id="195772035">
          <w:marLeft w:val="0"/>
          <w:marRight w:val="0"/>
          <w:marTop w:val="0"/>
          <w:marBottom w:val="0"/>
          <w:divBdr>
            <w:top w:val="none" w:sz="0" w:space="0" w:color="auto"/>
            <w:left w:val="none" w:sz="0" w:space="0" w:color="auto"/>
            <w:bottom w:val="none" w:sz="0" w:space="0" w:color="auto"/>
            <w:right w:val="none" w:sz="0" w:space="0" w:color="auto"/>
          </w:divBdr>
        </w:div>
        <w:div w:id="522524900">
          <w:marLeft w:val="0"/>
          <w:marRight w:val="0"/>
          <w:marTop w:val="0"/>
          <w:marBottom w:val="0"/>
          <w:divBdr>
            <w:top w:val="none" w:sz="0" w:space="0" w:color="auto"/>
            <w:left w:val="none" w:sz="0" w:space="0" w:color="auto"/>
            <w:bottom w:val="none" w:sz="0" w:space="0" w:color="auto"/>
            <w:right w:val="none" w:sz="0" w:space="0" w:color="auto"/>
          </w:divBdr>
        </w:div>
        <w:div w:id="835922368">
          <w:marLeft w:val="0"/>
          <w:marRight w:val="0"/>
          <w:marTop w:val="0"/>
          <w:marBottom w:val="0"/>
          <w:divBdr>
            <w:top w:val="none" w:sz="0" w:space="0" w:color="auto"/>
            <w:left w:val="none" w:sz="0" w:space="0" w:color="auto"/>
            <w:bottom w:val="none" w:sz="0" w:space="0" w:color="auto"/>
            <w:right w:val="none" w:sz="0" w:space="0" w:color="auto"/>
          </w:divBdr>
        </w:div>
        <w:div w:id="967005245">
          <w:marLeft w:val="0"/>
          <w:marRight w:val="0"/>
          <w:marTop w:val="0"/>
          <w:marBottom w:val="0"/>
          <w:divBdr>
            <w:top w:val="none" w:sz="0" w:space="0" w:color="auto"/>
            <w:left w:val="none" w:sz="0" w:space="0" w:color="auto"/>
            <w:bottom w:val="none" w:sz="0" w:space="0" w:color="auto"/>
            <w:right w:val="none" w:sz="0" w:space="0" w:color="auto"/>
          </w:divBdr>
        </w:div>
        <w:div w:id="975338097">
          <w:marLeft w:val="0"/>
          <w:marRight w:val="0"/>
          <w:marTop w:val="0"/>
          <w:marBottom w:val="0"/>
          <w:divBdr>
            <w:top w:val="none" w:sz="0" w:space="0" w:color="auto"/>
            <w:left w:val="none" w:sz="0" w:space="0" w:color="auto"/>
            <w:bottom w:val="none" w:sz="0" w:space="0" w:color="auto"/>
            <w:right w:val="none" w:sz="0" w:space="0" w:color="auto"/>
          </w:divBdr>
        </w:div>
        <w:div w:id="1844126757">
          <w:marLeft w:val="0"/>
          <w:marRight w:val="0"/>
          <w:marTop w:val="0"/>
          <w:marBottom w:val="0"/>
          <w:divBdr>
            <w:top w:val="none" w:sz="0" w:space="0" w:color="auto"/>
            <w:left w:val="none" w:sz="0" w:space="0" w:color="auto"/>
            <w:bottom w:val="none" w:sz="0" w:space="0" w:color="auto"/>
            <w:right w:val="none" w:sz="0" w:space="0" w:color="auto"/>
          </w:divBdr>
        </w:div>
        <w:div w:id="1889143339">
          <w:marLeft w:val="0"/>
          <w:marRight w:val="0"/>
          <w:marTop w:val="0"/>
          <w:marBottom w:val="0"/>
          <w:divBdr>
            <w:top w:val="none" w:sz="0" w:space="0" w:color="auto"/>
            <w:left w:val="none" w:sz="0" w:space="0" w:color="auto"/>
            <w:bottom w:val="none" w:sz="0" w:space="0" w:color="auto"/>
            <w:right w:val="none" w:sz="0" w:space="0" w:color="auto"/>
          </w:divBdr>
        </w:div>
        <w:div w:id="2043627656">
          <w:marLeft w:val="0"/>
          <w:marRight w:val="0"/>
          <w:marTop w:val="0"/>
          <w:marBottom w:val="0"/>
          <w:divBdr>
            <w:top w:val="none" w:sz="0" w:space="0" w:color="auto"/>
            <w:left w:val="none" w:sz="0" w:space="0" w:color="auto"/>
            <w:bottom w:val="none" w:sz="0" w:space="0" w:color="auto"/>
            <w:right w:val="none" w:sz="0" w:space="0" w:color="auto"/>
          </w:divBdr>
        </w:div>
      </w:divsChild>
    </w:div>
    <w:div w:id="1503857803">
      <w:bodyDiv w:val="1"/>
      <w:marLeft w:val="0"/>
      <w:marRight w:val="0"/>
      <w:marTop w:val="0"/>
      <w:marBottom w:val="0"/>
      <w:divBdr>
        <w:top w:val="none" w:sz="0" w:space="0" w:color="auto"/>
        <w:left w:val="none" w:sz="0" w:space="0" w:color="auto"/>
        <w:bottom w:val="none" w:sz="0" w:space="0" w:color="auto"/>
        <w:right w:val="none" w:sz="0" w:space="0" w:color="auto"/>
      </w:divBdr>
      <w:divsChild>
        <w:div w:id="490098270">
          <w:marLeft w:val="274"/>
          <w:marRight w:val="0"/>
          <w:marTop w:val="0"/>
          <w:marBottom w:val="40"/>
          <w:divBdr>
            <w:top w:val="none" w:sz="0" w:space="0" w:color="auto"/>
            <w:left w:val="none" w:sz="0" w:space="0" w:color="auto"/>
            <w:bottom w:val="none" w:sz="0" w:space="0" w:color="auto"/>
            <w:right w:val="none" w:sz="0" w:space="0" w:color="auto"/>
          </w:divBdr>
        </w:div>
        <w:div w:id="723017979">
          <w:marLeft w:val="274"/>
          <w:marRight w:val="0"/>
          <w:marTop w:val="0"/>
          <w:marBottom w:val="40"/>
          <w:divBdr>
            <w:top w:val="none" w:sz="0" w:space="0" w:color="auto"/>
            <w:left w:val="none" w:sz="0" w:space="0" w:color="auto"/>
            <w:bottom w:val="none" w:sz="0" w:space="0" w:color="auto"/>
            <w:right w:val="none" w:sz="0" w:space="0" w:color="auto"/>
          </w:divBdr>
        </w:div>
        <w:div w:id="971060837">
          <w:marLeft w:val="274"/>
          <w:marRight w:val="0"/>
          <w:marTop w:val="0"/>
          <w:marBottom w:val="40"/>
          <w:divBdr>
            <w:top w:val="none" w:sz="0" w:space="0" w:color="auto"/>
            <w:left w:val="none" w:sz="0" w:space="0" w:color="auto"/>
            <w:bottom w:val="none" w:sz="0" w:space="0" w:color="auto"/>
            <w:right w:val="none" w:sz="0" w:space="0" w:color="auto"/>
          </w:divBdr>
        </w:div>
      </w:divsChild>
    </w:div>
    <w:div w:id="1508708726">
      <w:bodyDiv w:val="1"/>
      <w:marLeft w:val="0"/>
      <w:marRight w:val="0"/>
      <w:marTop w:val="0"/>
      <w:marBottom w:val="0"/>
      <w:divBdr>
        <w:top w:val="none" w:sz="0" w:space="0" w:color="auto"/>
        <w:left w:val="none" w:sz="0" w:space="0" w:color="auto"/>
        <w:bottom w:val="none" w:sz="0" w:space="0" w:color="auto"/>
        <w:right w:val="none" w:sz="0" w:space="0" w:color="auto"/>
      </w:divBdr>
      <w:divsChild>
        <w:div w:id="1917784592">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511989674">
      <w:bodyDiv w:val="1"/>
      <w:marLeft w:val="0"/>
      <w:marRight w:val="0"/>
      <w:marTop w:val="0"/>
      <w:marBottom w:val="0"/>
      <w:divBdr>
        <w:top w:val="none" w:sz="0" w:space="0" w:color="auto"/>
        <w:left w:val="none" w:sz="0" w:space="0" w:color="auto"/>
        <w:bottom w:val="none" w:sz="0" w:space="0" w:color="auto"/>
        <w:right w:val="none" w:sz="0" w:space="0" w:color="auto"/>
      </w:divBdr>
    </w:div>
    <w:div w:id="1519586440">
      <w:bodyDiv w:val="1"/>
      <w:marLeft w:val="0"/>
      <w:marRight w:val="0"/>
      <w:marTop w:val="0"/>
      <w:marBottom w:val="0"/>
      <w:divBdr>
        <w:top w:val="none" w:sz="0" w:space="0" w:color="auto"/>
        <w:left w:val="none" w:sz="0" w:space="0" w:color="auto"/>
        <w:bottom w:val="none" w:sz="0" w:space="0" w:color="auto"/>
        <w:right w:val="none" w:sz="0" w:space="0" w:color="auto"/>
      </w:divBdr>
    </w:div>
    <w:div w:id="1527133291">
      <w:bodyDiv w:val="1"/>
      <w:marLeft w:val="0"/>
      <w:marRight w:val="0"/>
      <w:marTop w:val="0"/>
      <w:marBottom w:val="0"/>
      <w:divBdr>
        <w:top w:val="none" w:sz="0" w:space="0" w:color="auto"/>
        <w:left w:val="none" w:sz="0" w:space="0" w:color="auto"/>
        <w:bottom w:val="none" w:sz="0" w:space="0" w:color="auto"/>
        <w:right w:val="none" w:sz="0" w:space="0" w:color="auto"/>
      </w:divBdr>
      <w:divsChild>
        <w:div w:id="1981182162">
          <w:marLeft w:val="0"/>
          <w:marRight w:val="0"/>
          <w:marTop w:val="0"/>
          <w:marBottom w:val="0"/>
          <w:divBdr>
            <w:top w:val="none" w:sz="0" w:space="0" w:color="auto"/>
            <w:left w:val="none" w:sz="0" w:space="0" w:color="auto"/>
            <w:bottom w:val="none" w:sz="0" w:space="0" w:color="auto"/>
            <w:right w:val="none" w:sz="0" w:space="0" w:color="auto"/>
          </w:divBdr>
          <w:divsChild>
            <w:div w:id="774178266">
              <w:marLeft w:val="0"/>
              <w:marRight w:val="0"/>
              <w:marTop w:val="0"/>
              <w:marBottom w:val="0"/>
              <w:divBdr>
                <w:top w:val="none" w:sz="0" w:space="0" w:color="auto"/>
                <w:left w:val="none" w:sz="0" w:space="0" w:color="auto"/>
                <w:bottom w:val="none" w:sz="0" w:space="0" w:color="auto"/>
                <w:right w:val="none" w:sz="0" w:space="0" w:color="auto"/>
              </w:divBdr>
              <w:divsChild>
                <w:div w:id="92284478">
                  <w:marLeft w:val="0"/>
                  <w:marRight w:val="0"/>
                  <w:marTop w:val="0"/>
                  <w:marBottom w:val="0"/>
                  <w:divBdr>
                    <w:top w:val="none" w:sz="0" w:space="0" w:color="auto"/>
                    <w:left w:val="none" w:sz="0" w:space="0" w:color="auto"/>
                    <w:bottom w:val="none" w:sz="0" w:space="0" w:color="auto"/>
                    <w:right w:val="none" w:sz="0" w:space="0" w:color="auto"/>
                  </w:divBdr>
                  <w:divsChild>
                    <w:div w:id="1144464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6767862">
      <w:bodyDiv w:val="1"/>
      <w:marLeft w:val="0"/>
      <w:marRight w:val="0"/>
      <w:marTop w:val="0"/>
      <w:marBottom w:val="0"/>
      <w:divBdr>
        <w:top w:val="none" w:sz="0" w:space="0" w:color="auto"/>
        <w:left w:val="none" w:sz="0" w:space="0" w:color="auto"/>
        <w:bottom w:val="none" w:sz="0" w:space="0" w:color="auto"/>
        <w:right w:val="none" w:sz="0" w:space="0" w:color="auto"/>
      </w:divBdr>
    </w:div>
    <w:div w:id="1544637396">
      <w:bodyDiv w:val="1"/>
      <w:marLeft w:val="0"/>
      <w:marRight w:val="0"/>
      <w:marTop w:val="0"/>
      <w:marBottom w:val="0"/>
      <w:divBdr>
        <w:top w:val="none" w:sz="0" w:space="0" w:color="auto"/>
        <w:left w:val="none" w:sz="0" w:space="0" w:color="auto"/>
        <w:bottom w:val="none" w:sz="0" w:space="0" w:color="auto"/>
        <w:right w:val="none" w:sz="0" w:space="0" w:color="auto"/>
      </w:divBdr>
    </w:div>
    <w:div w:id="1567063812">
      <w:bodyDiv w:val="1"/>
      <w:marLeft w:val="0"/>
      <w:marRight w:val="0"/>
      <w:marTop w:val="0"/>
      <w:marBottom w:val="0"/>
      <w:divBdr>
        <w:top w:val="none" w:sz="0" w:space="0" w:color="auto"/>
        <w:left w:val="none" w:sz="0" w:space="0" w:color="auto"/>
        <w:bottom w:val="none" w:sz="0" w:space="0" w:color="auto"/>
        <w:right w:val="none" w:sz="0" w:space="0" w:color="auto"/>
      </w:divBdr>
    </w:div>
    <w:div w:id="1577739153">
      <w:bodyDiv w:val="1"/>
      <w:marLeft w:val="0"/>
      <w:marRight w:val="0"/>
      <w:marTop w:val="0"/>
      <w:marBottom w:val="0"/>
      <w:divBdr>
        <w:top w:val="none" w:sz="0" w:space="0" w:color="auto"/>
        <w:left w:val="none" w:sz="0" w:space="0" w:color="auto"/>
        <w:bottom w:val="none" w:sz="0" w:space="0" w:color="auto"/>
        <w:right w:val="none" w:sz="0" w:space="0" w:color="auto"/>
      </w:divBdr>
    </w:div>
    <w:div w:id="1591353946">
      <w:bodyDiv w:val="1"/>
      <w:marLeft w:val="0"/>
      <w:marRight w:val="0"/>
      <w:marTop w:val="0"/>
      <w:marBottom w:val="0"/>
      <w:divBdr>
        <w:top w:val="none" w:sz="0" w:space="0" w:color="auto"/>
        <w:left w:val="none" w:sz="0" w:space="0" w:color="auto"/>
        <w:bottom w:val="none" w:sz="0" w:space="0" w:color="auto"/>
        <w:right w:val="none" w:sz="0" w:space="0" w:color="auto"/>
      </w:divBdr>
    </w:div>
    <w:div w:id="1598753433">
      <w:bodyDiv w:val="1"/>
      <w:marLeft w:val="0"/>
      <w:marRight w:val="0"/>
      <w:marTop w:val="0"/>
      <w:marBottom w:val="0"/>
      <w:divBdr>
        <w:top w:val="none" w:sz="0" w:space="0" w:color="auto"/>
        <w:left w:val="none" w:sz="0" w:space="0" w:color="auto"/>
        <w:bottom w:val="none" w:sz="0" w:space="0" w:color="auto"/>
        <w:right w:val="none" w:sz="0" w:space="0" w:color="auto"/>
      </w:divBdr>
    </w:div>
    <w:div w:id="1606113185">
      <w:bodyDiv w:val="1"/>
      <w:marLeft w:val="0"/>
      <w:marRight w:val="0"/>
      <w:marTop w:val="0"/>
      <w:marBottom w:val="0"/>
      <w:divBdr>
        <w:top w:val="none" w:sz="0" w:space="0" w:color="auto"/>
        <w:left w:val="none" w:sz="0" w:space="0" w:color="auto"/>
        <w:bottom w:val="none" w:sz="0" w:space="0" w:color="auto"/>
        <w:right w:val="none" w:sz="0" w:space="0" w:color="auto"/>
      </w:divBdr>
    </w:div>
    <w:div w:id="1606617432">
      <w:bodyDiv w:val="1"/>
      <w:marLeft w:val="0"/>
      <w:marRight w:val="0"/>
      <w:marTop w:val="0"/>
      <w:marBottom w:val="0"/>
      <w:divBdr>
        <w:top w:val="none" w:sz="0" w:space="0" w:color="auto"/>
        <w:left w:val="none" w:sz="0" w:space="0" w:color="auto"/>
        <w:bottom w:val="none" w:sz="0" w:space="0" w:color="auto"/>
        <w:right w:val="none" w:sz="0" w:space="0" w:color="auto"/>
      </w:divBdr>
      <w:divsChild>
        <w:div w:id="1632131514">
          <w:marLeft w:val="0"/>
          <w:marRight w:val="0"/>
          <w:marTop w:val="0"/>
          <w:marBottom w:val="0"/>
          <w:divBdr>
            <w:top w:val="none" w:sz="0" w:space="0" w:color="auto"/>
            <w:left w:val="none" w:sz="0" w:space="0" w:color="auto"/>
            <w:bottom w:val="none" w:sz="0" w:space="0" w:color="auto"/>
            <w:right w:val="none" w:sz="0" w:space="0" w:color="auto"/>
          </w:divBdr>
          <w:divsChild>
            <w:div w:id="47920758">
              <w:marLeft w:val="0"/>
              <w:marRight w:val="0"/>
              <w:marTop w:val="0"/>
              <w:marBottom w:val="0"/>
              <w:divBdr>
                <w:top w:val="none" w:sz="0" w:space="0" w:color="auto"/>
                <w:left w:val="none" w:sz="0" w:space="0" w:color="auto"/>
                <w:bottom w:val="none" w:sz="0" w:space="0" w:color="auto"/>
                <w:right w:val="none" w:sz="0" w:space="0" w:color="auto"/>
              </w:divBdr>
              <w:divsChild>
                <w:div w:id="909853817">
                  <w:marLeft w:val="0"/>
                  <w:marRight w:val="0"/>
                  <w:marTop w:val="0"/>
                  <w:marBottom w:val="0"/>
                  <w:divBdr>
                    <w:top w:val="none" w:sz="0" w:space="0" w:color="auto"/>
                    <w:left w:val="none" w:sz="0" w:space="0" w:color="auto"/>
                    <w:bottom w:val="none" w:sz="0" w:space="0" w:color="auto"/>
                    <w:right w:val="none" w:sz="0" w:space="0" w:color="auto"/>
                  </w:divBdr>
                  <w:divsChild>
                    <w:div w:id="1058552497">
                      <w:marLeft w:val="0"/>
                      <w:marRight w:val="0"/>
                      <w:marTop w:val="0"/>
                      <w:marBottom w:val="0"/>
                      <w:divBdr>
                        <w:top w:val="none" w:sz="0" w:space="0" w:color="auto"/>
                        <w:left w:val="none" w:sz="0" w:space="0" w:color="auto"/>
                        <w:bottom w:val="none" w:sz="0" w:space="0" w:color="auto"/>
                        <w:right w:val="none" w:sz="0" w:space="0" w:color="auto"/>
                      </w:divBdr>
                      <w:divsChild>
                        <w:div w:id="67969258">
                          <w:marLeft w:val="0"/>
                          <w:marRight w:val="0"/>
                          <w:marTop w:val="0"/>
                          <w:marBottom w:val="0"/>
                          <w:divBdr>
                            <w:top w:val="none" w:sz="0" w:space="0" w:color="auto"/>
                            <w:left w:val="none" w:sz="0" w:space="0" w:color="auto"/>
                            <w:bottom w:val="none" w:sz="0" w:space="0" w:color="auto"/>
                            <w:right w:val="none" w:sz="0" w:space="0" w:color="auto"/>
                          </w:divBdr>
                          <w:divsChild>
                            <w:div w:id="366298250">
                              <w:marLeft w:val="0"/>
                              <w:marRight w:val="0"/>
                              <w:marTop w:val="0"/>
                              <w:marBottom w:val="0"/>
                              <w:divBdr>
                                <w:top w:val="none" w:sz="0" w:space="0" w:color="auto"/>
                                <w:left w:val="none" w:sz="0" w:space="0" w:color="auto"/>
                                <w:bottom w:val="none" w:sz="0" w:space="0" w:color="auto"/>
                                <w:right w:val="none" w:sz="0" w:space="0" w:color="auto"/>
                              </w:divBdr>
                              <w:divsChild>
                                <w:div w:id="1830755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4689786">
                          <w:marLeft w:val="0"/>
                          <w:marRight w:val="0"/>
                          <w:marTop w:val="0"/>
                          <w:marBottom w:val="0"/>
                          <w:divBdr>
                            <w:top w:val="none" w:sz="0" w:space="0" w:color="auto"/>
                            <w:left w:val="none" w:sz="0" w:space="0" w:color="auto"/>
                            <w:bottom w:val="none" w:sz="0" w:space="0" w:color="auto"/>
                            <w:right w:val="none" w:sz="0" w:space="0" w:color="auto"/>
                          </w:divBdr>
                          <w:divsChild>
                            <w:div w:id="1304236166">
                              <w:marLeft w:val="0"/>
                              <w:marRight w:val="0"/>
                              <w:marTop w:val="0"/>
                              <w:marBottom w:val="0"/>
                              <w:divBdr>
                                <w:top w:val="none" w:sz="0" w:space="0" w:color="auto"/>
                                <w:left w:val="none" w:sz="0" w:space="0" w:color="auto"/>
                                <w:bottom w:val="none" w:sz="0" w:space="0" w:color="auto"/>
                                <w:right w:val="none" w:sz="0" w:space="0" w:color="auto"/>
                              </w:divBdr>
                              <w:divsChild>
                                <w:div w:id="906182055">
                                  <w:marLeft w:val="0"/>
                                  <w:marRight w:val="0"/>
                                  <w:marTop w:val="0"/>
                                  <w:marBottom w:val="0"/>
                                  <w:divBdr>
                                    <w:top w:val="none" w:sz="0" w:space="0" w:color="auto"/>
                                    <w:left w:val="none" w:sz="0" w:space="0" w:color="auto"/>
                                    <w:bottom w:val="none" w:sz="0" w:space="0" w:color="auto"/>
                                    <w:right w:val="none" w:sz="0" w:space="0" w:color="auto"/>
                                  </w:divBdr>
                                  <w:divsChild>
                                    <w:div w:id="432557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08854574">
      <w:bodyDiv w:val="1"/>
      <w:marLeft w:val="0"/>
      <w:marRight w:val="0"/>
      <w:marTop w:val="0"/>
      <w:marBottom w:val="0"/>
      <w:divBdr>
        <w:top w:val="none" w:sz="0" w:space="0" w:color="auto"/>
        <w:left w:val="none" w:sz="0" w:space="0" w:color="auto"/>
        <w:bottom w:val="none" w:sz="0" w:space="0" w:color="auto"/>
        <w:right w:val="none" w:sz="0" w:space="0" w:color="auto"/>
      </w:divBdr>
    </w:div>
    <w:div w:id="1617563046">
      <w:bodyDiv w:val="1"/>
      <w:marLeft w:val="0"/>
      <w:marRight w:val="0"/>
      <w:marTop w:val="0"/>
      <w:marBottom w:val="0"/>
      <w:divBdr>
        <w:top w:val="none" w:sz="0" w:space="0" w:color="auto"/>
        <w:left w:val="none" w:sz="0" w:space="0" w:color="auto"/>
        <w:bottom w:val="none" w:sz="0" w:space="0" w:color="auto"/>
        <w:right w:val="none" w:sz="0" w:space="0" w:color="auto"/>
      </w:divBdr>
    </w:div>
    <w:div w:id="1620800851">
      <w:bodyDiv w:val="1"/>
      <w:marLeft w:val="0"/>
      <w:marRight w:val="0"/>
      <w:marTop w:val="0"/>
      <w:marBottom w:val="0"/>
      <w:divBdr>
        <w:top w:val="none" w:sz="0" w:space="0" w:color="auto"/>
        <w:left w:val="none" w:sz="0" w:space="0" w:color="auto"/>
        <w:bottom w:val="none" w:sz="0" w:space="0" w:color="auto"/>
        <w:right w:val="none" w:sz="0" w:space="0" w:color="auto"/>
      </w:divBdr>
    </w:div>
    <w:div w:id="1622298945">
      <w:bodyDiv w:val="1"/>
      <w:marLeft w:val="0"/>
      <w:marRight w:val="0"/>
      <w:marTop w:val="0"/>
      <w:marBottom w:val="0"/>
      <w:divBdr>
        <w:top w:val="none" w:sz="0" w:space="0" w:color="auto"/>
        <w:left w:val="none" w:sz="0" w:space="0" w:color="auto"/>
        <w:bottom w:val="none" w:sz="0" w:space="0" w:color="auto"/>
        <w:right w:val="none" w:sz="0" w:space="0" w:color="auto"/>
      </w:divBdr>
    </w:div>
    <w:div w:id="1623537848">
      <w:bodyDiv w:val="1"/>
      <w:marLeft w:val="0"/>
      <w:marRight w:val="0"/>
      <w:marTop w:val="0"/>
      <w:marBottom w:val="0"/>
      <w:divBdr>
        <w:top w:val="none" w:sz="0" w:space="0" w:color="auto"/>
        <w:left w:val="none" w:sz="0" w:space="0" w:color="auto"/>
        <w:bottom w:val="none" w:sz="0" w:space="0" w:color="auto"/>
        <w:right w:val="none" w:sz="0" w:space="0" w:color="auto"/>
      </w:divBdr>
    </w:div>
    <w:div w:id="1633167224">
      <w:bodyDiv w:val="1"/>
      <w:marLeft w:val="0"/>
      <w:marRight w:val="0"/>
      <w:marTop w:val="0"/>
      <w:marBottom w:val="0"/>
      <w:divBdr>
        <w:top w:val="none" w:sz="0" w:space="0" w:color="auto"/>
        <w:left w:val="none" w:sz="0" w:space="0" w:color="auto"/>
        <w:bottom w:val="none" w:sz="0" w:space="0" w:color="auto"/>
        <w:right w:val="none" w:sz="0" w:space="0" w:color="auto"/>
      </w:divBdr>
    </w:div>
    <w:div w:id="1635140863">
      <w:bodyDiv w:val="1"/>
      <w:marLeft w:val="0"/>
      <w:marRight w:val="0"/>
      <w:marTop w:val="0"/>
      <w:marBottom w:val="0"/>
      <w:divBdr>
        <w:top w:val="none" w:sz="0" w:space="0" w:color="auto"/>
        <w:left w:val="none" w:sz="0" w:space="0" w:color="auto"/>
        <w:bottom w:val="none" w:sz="0" w:space="0" w:color="auto"/>
        <w:right w:val="none" w:sz="0" w:space="0" w:color="auto"/>
      </w:divBdr>
    </w:div>
    <w:div w:id="1638753585">
      <w:bodyDiv w:val="1"/>
      <w:marLeft w:val="0"/>
      <w:marRight w:val="0"/>
      <w:marTop w:val="0"/>
      <w:marBottom w:val="0"/>
      <w:divBdr>
        <w:top w:val="none" w:sz="0" w:space="0" w:color="auto"/>
        <w:left w:val="none" w:sz="0" w:space="0" w:color="auto"/>
        <w:bottom w:val="none" w:sz="0" w:space="0" w:color="auto"/>
        <w:right w:val="none" w:sz="0" w:space="0" w:color="auto"/>
      </w:divBdr>
    </w:div>
    <w:div w:id="1640577391">
      <w:bodyDiv w:val="1"/>
      <w:marLeft w:val="0"/>
      <w:marRight w:val="0"/>
      <w:marTop w:val="0"/>
      <w:marBottom w:val="0"/>
      <w:divBdr>
        <w:top w:val="none" w:sz="0" w:space="0" w:color="auto"/>
        <w:left w:val="none" w:sz="0" w:space="0" w:color="auto"/>
        <w:bottom w:val="none" w:sz="0" w:space="0" w:color="auto"/>
        <w:right w:val="none" w:sz="0" w:space="0" w:color="auto"/>
      </w:divBdr>
      <w:divsChild>
        <w:div w:id="850411784">
          <w:marLeft w:val="0"/>
          <w:marRight w:val="0"/>
          <w:marTop w:val="0"/>
          <w:marBottom w:val="0"/>
          <w:divBdr>
            <w:top w:val="none" w:sz="0" w:space="0" w:color="auto"/>
            <w:left w:val="none" w:sz="0" w:space="0" w:color="auto"/>
            <w:bottom w:val="none" w:sz="0" w:space="0" w:color="auto"/>
            <w:right w:val="none" w:sz="0" w:space="0" w:color="auto"/>
          </w:divBdr>
          <w:divsChild>
            <w:div w:id="238175425">
              <w:marLeft w:val="0"/>
              <w:marRight w:val="0"/>
              <w:marTop w:val="0"/>
              <w:marBottom w:val="0"/>
              <w:divBdr>
                <w:top w:val="none" w:sz="0" w:space="0" w:color="auto"/>
                <w:left w:val="none" w:sz="0" w:space="0" w:color="auto"/>
                <w:bottom w:val="none" w:sz="0" w:space="0" w:color="auto"/>
                <w:right w:val="none" w:sz="0" w:space="0" w:color="auto"/>
              </w:divBdr>
              <w:divsChild>
                <w:div w:id="937248159">
                  <w:marLeft w:val="0"/>
                  <w:marRight w:val="0"/>
                  <w:marTop w:val="0"/>
                  <w:marBottom w:val="0"/>
                  <w:divBdr>
                    <w:top w:val="none" w:sz="0" w:space="0" w:color="auto"/>
                    <w:left w:val="none" w:sz="0" w:space="0" w:color="auto"/>
                    <w:bottom w:val="none" w:sz="0" w:space="0" w:color="auto"/>
                    <w:right w:val="none" w:sz="0" w:space="0" w:color="auto"/>
                  </w:divBdr>
                  <w:divsChild>
                    <w:div w:id="239557753">
                      <w:marLeft w:val="0"/>
                      <w:marRight w:val="0"/>
                      <w:marTop w:val="0"/>
                      <w:marBottom w:val="0"/>
                      <w:divBdr>
                        <w:top w:val="none" w:sz="0" w:space="0" w:color="auto"/>
                        <w:left w:val="none" w:sz="0" w:space="0" w:color="auto"/>
                        <w:bottom w:val="none" w:sz="0" w:space="0" w:color="auto"/>
                        <w:right w:val="none" w:sz="0" w:space="0" w:color="auto"/>
                      </w:divBdr>
                      <w:divsChild>
                        <w:div w:id="854347444">
                          <w:marLeft w:val="0"/>
                          <w:marRight w:val="0"/>
                          <w:marTop w:val="0"/>
                          <w:marBottom w:val="0"/>
                          <w:divBdr>
                            <w:top w:val="none" w:sz="0" w:space="0" w:color="auto"/>
                            <w:left w:val="none" w:sz="0" w:space="0" w:color="auto"/>
                            <w:bottom w:val="none" w:sz="0" w:space="0" w:color="auto"/>
                            <w:right w:val="none" w:sz="0" w:space="0" w:color="auto"/>
                          </w:divBdr>
                          <w:divsChild>
                            <w:div w:id="714698347">
                              <w:marLeft w:val="0"/>
                              <w:marRight w:val="0"/>
                              <w:marTop w:val="0"/>
                              <w:marBottom w:val="0"/>
                              <w:divBdr>
                                <w:top w:val="none" w:sz="0" w:space="0" w:color="auto"/>
                                <w:left w:val="none" w:sz="0" w:space="0" w:color="auto"/>
                                <w:bottom w:val="none" w:sz="0" w:space="0" w:color="auto"/>
                                <w:right w:val="none" w:sz="0" w:space="0" w:color="auto"/>
                              </w:divBdr>
                              <w:divsChild>
                                <w:div w:id="264731354">
                                  <w:marLeft w:val="0"/>
                                  <w:marRight w:val="0"/>
                                  <w:marTop w:val="0"/>
                                  <w:marBottom w:val="0"/>
                                  <w:divBdr>
                                    <w:top w:val="none" w:sz="0" w:space="0" w:color="auto"/>
                                    <w:left w:val="none" w:sz="0" w:space="0" w:color="auto"/>
                                    <w:bottom w:val="none" w:sz="0" w:space="0" w:color="auto"/>
                                    <w:right w:val="none" w:sz="0" w:space="0" w:color="auto"/>
                                  </w:divBdr>
                                  <w:divsChild>
                                    <w:div w:id="9451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759680">
                          <w:marLeft w:val="0"/>
                          <w:marRight w:val="0"/>
                          <w:marTop w:val="0"/>
                          <w:marBottom w:val="0"/>
                          <w:divBdr>
                            <w:top w:val="none" w:sz="0" w:space="0" w:color="auto"/>
                            <w:left w:val="none" w:sz="0" w:space="0" w:color="auto"/>
                            <w:bottom w:val="none" w:sz="0" w:space="0" w:color="auto"/>
                            <w:right w:val="none" w:sz="0" w:space="0" w:color="auto"/>
                          </w:divBdr>
                          <w:divsChild>
                            <w:div w:id="449208672">
                              <w:marLeft w:val="0"/>
                              <w:marRight w:val="0"/>
                              <w:marTop w:val="0"/>
                              <w:marBottom w:val="0"/>
                              <w:divBdr>
                                <w:top w:val="none" w:sz="0" w:space="0" w:color="auto"/>
                                <w:left w:val="none" w:sz="0" w:space="0" w:color="auto"/>
                                <w:bottom w:val="none" w:sz="0" w:space="0" w:color="auto"/>
                                <w:right w:val="none" w:sz="0" w:space="0" w:color="auto"/>
                              </w:divBdr>
                              <w:divsChild>
                                <w:div w:id="2038312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2924274">
      <w:bodyDiv w:val="1"/>
      <w:marLeft w:val="0"/>
      <w:marRight w:val="0"/>
      <w:marTop w:val="0"/>
      <w:marBottom w:val="0"/>
      <w:divBdr>
        <w:top w:val="none" w:sz="0" w:space="0" w:color="auto"/>
        <w:left w:val="none" w:sz="0" w:space="0" w:color="auto"/>
        <w:bottom w:val="none" w:sz="0" w:space="0" w:color="auto"/>
        <w:right w:val="none" w:sz="0" w:space="0" w:color="auto"/>
      </w:divBdr>
    </w:div>
    <w:div w:id="1653172393">
      <w:bodyDiv w:val="1"/>
      <w:marLeft w:val="0"/>
      <w:marRight w:val="0"/>
      <w:marTop w:val="0"/>
      <w:marBottom w:val="0"/>
      <w:divBdr>
        <w:top w:val="none" w:sz="0" w:space="0" w:color="auto"/>
        <w:left w:val="none" w:sz="0" w:space="0" w:color="auto"/>
        <w:bottom w:val="none" w:sz="0" w:space="0" w:color="auto"/>
        <w:right w:val="none" w:sz="0" w:space="0" w:color="auto"/>
      </w:divBdr>
    </w:div>
    <w:div w:id="1660378493">
      <w:bodyDiv w:val="1"/>
      <w:marLeft w:val="0"/>
      <w:marRight w:val="0"/>
      <w:marTop w:val="0"/>
      <w:marBottom w:val="0"/>
      <w:divBdr>
        <w:top w:val="none" w:sz="0" w:space="0" w:color="auto"/>
        <w:left w:val="none" w:sz="0" w:space="0" w:color="auto"/>
        <w:bottom w:val="none" w:sz="0" w:space="0" w:color="auto"/>
        <w:right w:val="none" w:sz="0" w:space="0" w:color="auto"/>
      </w:divBdr>
    </w:div>
    <w:div w:id="1664969242">
      <w:bodyDiv w:val="1"/>
      <w:marLeft w:val="0"/>
      <w:marRight w:val="0"/>
      <w:marTop w:val="0"/>
      <w:marBottom w:val="0"/>
      <w:divBdr>
        <w:top w:val="none" w:sz="0" w:space="0" w:color="auto"/>
        <w:left w:val="none" w:sz="0" w:space="0" w:color="auto"/>
        <w:bottom w:val="none" w:sz="0" w:space="0" w:color="auto"/>
        <w:right w:val="none" w:sz="0" w:space="0" w:color="auto"/>
      </w:divBdr>
    </w:div>
    <w:div w:id="1665891690">
      <w:bodyDiv w:val="1"/>
      <w:marLeft w:val="0"/>
      <w:marRight w:val="0"/>
      <w:marTop w:val="0"/>
      <w:marBottom w:val="0"/>
      <w:divBdr>
        <w:top w:val="none" w:sz="0" w:space="0" w:color="auto"/>
        <w:left w:val="none" w:sz="0" w:space="0" w:color="auto"/>
        <w:bottom w:val="none" w:sz="0" w:space="0" w:color="auto"/>
        <w:right w:val="none" w:sz="0" w:space="0" w:color="auto"/>
      </w:divBdr>
    </w:div>
    <w:div w:id="1672221371">
      <w:bodyDiv w:val="1"/>
      <w:marLeft w:val="0"/>
      <w:marRight w:val="0"/>
      <w:marTop w:val="0"/>
      <w:marBottom w:val="0"/>
      <w:divBdr>
        <w:top w:val="none" w:sz="0" w:space="0" w:color="auto"/>
        <w:left w:val="none" w:sz="0" w:space="0" w:color="auto"/>
        <w:bottom w:val="none" w:sz="0" w:space="0" w:color="auto"/>
        <w:right w:val="none" w:sz="0" w:space="0" w:color="auto"/>
      </w:divBdr>
      <w:divsChild>
        <w:div w:id="160580675">
          <w:marLeft w:val="274"/>
          <w:marRight w:val="0"/>
          <w:marTop w:val="0"/>
          <w:marBottom w:val="60"/>
          <w:divBdr>
            <w:top w:val="none" w:sz="0" w:space="0" w:color="auto"/>
            <w:left w:val="none" w:sz="0" w:space="0" w:color="auto"/>
            <w:bottom w:val="none" w:sz="0" w:space="0" w:color="auto"/>
            <w:right w:val="none" w:sz="0" w:space="0" w:color="auto"/>
          </w:divBdr>
        </w:div>
        <w:div w:id="583807466">
          <w:marLeft w:val="274"/>
          <w:marRight w:val="0"/>
          <w:marTop w:val="120"/>
          <w:marBottom w:val="60"/>
          <w:divBdr>
            <w:top w:val="none" w:sz="0" w:space="0" w:color="auto"/>
            <w:left w:val="none" w:sz="0" w:space="0" w:color="auto"/>
            <w:bottom w:val="none" w:sz="0" w:space="0" w:color="auto"/>
            <w:right w:val="none" w:sz="0" w:space="0" w:color="auto"/>
          </w:divBdr>
        </w:div>
        <w:div w:id="928079616">
          <w:marLeft w:val="274"/>
          <w:marRight w:val="0"/>
          <w:marTop w:val="0"/>
          <w:marBottom w:val="60"/>
          <w:divBdr>
            <w:top w:val="none" w:sz="0" w:space="0" w:color="auto"/>
            <w:left w:val="none" w:sz="0" w:space="0" w:color="auto"/>
            <w:bottom w:val="none" w:sz="0" w:space="0" w:color="auto"/>
            <w:right w:val="none" w:sz="0" w:space="0" w:color="auto"/>
          </w:divBdr>
        </w:div>
        <w:div w:id="1342273700">
          <w:marLeft w:val="274"/>
          <w:marRight w:val="0"/>
          <w:marTop w:val="0"/>
          <w:marBottom w:val="60"/>
          <w:divBdr>
            <w:top w:val="none" w:sz="0" w:space="0" w:color="auto"/>
            <w:left w:val="none" w:sz="0" w:space="0" w:color="auto"/>
            <w:bottom w:val="none" w:sz="0" w:space="0" w:color="auto"/>
            <w:right w:val="none" w:sz="0" w:space="0" w:color="auto"/>
          </w:divBdr>
        </w:div>
        <w:div w:id="1815368414">
          <w:marLeft w:val="274"/>
          <w:marRight w:val="0"/>
          <w:marTop w:val="0"/>
          <w:marBottom w:val="60"/>
          <w:divBdr>
            <w:top w:val="none" w:sz="0" w:space="0" w:color="auto"/>
            <w:left w:val="none" w:sz="0" w:space="0" w:color="auto"/>
            <w:bottom w:val="none" w:sz="0" w:space="0" w:color="auto"/>
            <w:right w:val="none" w:sz="0" w:space="0" w:color="auto"/>
          </w:divBdr>
        </w:div>
      </w:divsChild>
    </w:div>
    <w:div w:id="1675497988">
      <w:bodyDiv w:val="1"/>
      <w:marLeft w:val="0"/>
      <w:marRight w:val="0"/>
      <w:marTop w:val="0"/>
      <w:marBottom w:val="0"/>
      <w:divBdr>
        <w:top w:val="none" w:sz="0" w:space="0" w:color="auto"/>
        <w:left w:val="none" w:sz="0" w:space="0" w:color="auto"/>
        <w:bottom w:val="none" w:sz="0" w:space="0" w:color="auto"/>
        <w:right w:val="none" w:sz="0" w:space="0" w:color="auto"/>
      </w:divBdr>
      <w:divsChild>
        <w:div w:id="274602949">
          <w:marLeft w:val="0"/>
          <w:marRight w:val="0"/>
          <w:marTop w:val="0"/>
          <w:marBottom w:val="0"/>
          <w:divBdr>
            <w:top w:val="none" w:sz="0" w:space="0" w:color="auto"/>
            <w:left w:val="none" w:sz="0" w:space="0" w:color="auto"/>
            <w:bottom w:val="none" w:sz="0" w:space="0" w:color="auto"/>
            <w:right w:val="none" w:sz="0" w:space="0" w:color="auto"/>
          </w:divBdr>
          <w:divsChild>
            <w:div w:id="2099907251">
              <w:marLeft w:val="0"/>
              <w:marRight w:val="0"/>
              <w:marTop w:val="0"/>
              <w:marBottom w:val="0"/>
              <w:divBdr>
                <w:top w:val="none" w:sz="0" w:space="0" w:color="auto"/>
                <w:left w:val="none" w:sz="0" w:space="0" w:color="auto"/>
                <w:bottom w:val="none" w:sz="0" w:space="0" w:color="auto"/>
                <w:right w:val="none" w:sz="0" w:space="0" w:color="auto"/>
              </w:divBdr>
              <w:divsChild>
                <w:div w:id="1884905855">
                  <w:marLeft w:val="0"/>
                  <w:marRight w:val="0"/>
                  <w:marTop w:val="0"/>
                  <w:marBottom w:val="0"/>
                  <w:divBdr>
                    <w:top w:val="none" w:sz="0" w:space="0" w:color="auto"/>
                    <w:left w:val="none" w:sz="0" w:space="0" w:color="auto"/>
                    <w:bottom w:val="none" w:sz="0" w:space="0" w:color="auto"/>
                    <w:right w:val="none" w:sz="0" w:space="0" w:color="auto"/>
                  </w:divBdr>
                  <w:divsChild>
                    <w:div w:id="1175269502">
                      <w:marLeft w:val="0"/>
                      <w:marRight w:val="0"/>
                      <w:marTop w:val="0"/>
                      <w:marBottom w:val="0"/>
                      <w:divBdr>
                        <w:top w:val="none" w:sz="0" w:space="0" w:color="auto"/>
                        <w:left w:val="none" w:sz="0" w:space="0" w:color="auto"/>
                        <w:bottom w:val="none" w:sz="0" w:space="0" w:color="auto"/>
                        <w:right w:val="none" w:sz="0" w:space="0" w:color="auto"/>
                      </w:divBdr>
                      <w:divsChild>
                        <w:div w:id="140930284">
                          <w:marLeft w:val="0"/>
                          <w:marRight w:val="0"/>
                          <w:marTop w:val="0"/>
                          <w:marBottom w:val="0"/>
                          <w:divBdr>
                            <w:top w:val="none" w:sz="0" w:space="0" w:color="auto"/>
                            <w:left w:val="none" w:sz="0" w:space="0" w:color="auto"/>
                            <w:bottom w:val="none" w:sz="0" w:space="0" w:color="auto"/>
                            <w:right w:val="none" w:sz="0" w:space="0" w:color="auto"/>
                          </w:divBdr>
                          <w:divsChild>
                            <w:div w:id="415251150">
                              <w:marLeft w:val="0"/>
                              <w:marRight w:val="0"/>
                              <w:marTop w:val="0"/>
                              <w:marBottom w:val="0"/>
                              <w:divBdr>
                                <w:top w:val="none" w:sz="0" w:space="0" w:color="auto"/>
                                <w:left w:val="none" w:sz="0" w:space="0" w:color="auto"/>
                                <w:bottom w:val="none" w:sz="0" w:space="0" w:color="auto"/>
                                <w:right w:val="none" w:sz="0" w:space="0" w:color="auto"/>
                              </w:divBdr>
                              <w:divsChild>
                                <w:div w:id="243028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8309941">
                          <w:marLeft w:val="0"/>
                          <w:marRight w:val="0"/>
                          <w:marTop w:val="0"/>
                          <w:marBottom w:val="0"/>
                          <w:divBdr>
                            <w:top w:val="none" w:sz="0" w:space="0" w:color="auto"/>
                            <w:left w:val="none" w:sz="0" w:space="0" w:color="auto"/>
                            <w:bottom w:val="none" w:sz="0" w:space="0" w:color="auto"/>
                            <w:right w:val="none" w:sz="0" w:space="0" w:color="auto"/>
                          </w:divBdr>
                          <w:divsChild>
                            <w:div w:id="416636550">
                              <w:marLeft w:val="0"/>
                              <w:marRight w:val="0"/>
                              <w:marTop w:val="0"/>
                              <w:marBottom w:val="0"/>
                              <w:divBdr>
                                <w:top w:val="none" w:sz="0" w:space="0" w:color="auto"/>
                                <w:left w:val="none" w:sz="0" w:space="0" w:color="auto"/>
                                <w:bottom w:val="none" w:sz="0" w:space="0" w:color="auto"/>
                                <w:right w:val="none" w:sz="0" w:space="0" w:color="auto"/>
                              </w:divBdr>
                              <w:divsChild>
                                <w:div w:id="926693420">
                                  <w:marLeft w:val="0"/>
                                  <w:marRight w:val="0"/>
                                  <w:marTop w:val="0"/>
                                  <w:marBottom w:val="0"/>
                                  <w:divBdr>
                                    <w:top w:val="none" w:sz="0" w:space="0" w:color="auto"/>
                                    <w:left w:val="none" w:sz="0" w:space="0" w:color="auto"/>
                                    <w:bottom w:val="none" w:sz="0" w:space="0" w:color="auto"/>
                                    <w:right w:val="none" w:sz="0" w:space="0" w:color="auto"/>
                                  </w:divBdr>
                                  <w:divsChild>
                                    <w:div w:id="95394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83361672">
      <w:bodyDiv w:val="1"/>
      <w:marLeft w:val="0"/>
      <w:marRight w:val="0"/>
      <w:marTop w:val="0"/>
      <w:marBottom w:val="0"/>
      <w:divBdr>
        <w:top w:val="none" w:sz="0" w:space="0" w:color="auto"/>
        <w:left w:val="none" w:sz="0" w:space="0" w:color="auto"/>
        <w:bottom w:val="none" w:sz="0" w:space="0" w:color="auto"/>
        <w:right w:val="none" w:sz="0" w:space="0" w:color="auto"/>
      </w:divBdr>
    </w:div>
    <w:div w:id="1687436102">
      <w:bodyDiv w:val="1"/>
      <w:marLeft w:val="0"/>
      <w:marRight w:val="0"/>
      <w:marTop w:val="0"/>
      <w:marBottom w:val="0"/>
      <w:divBdr>
        <w:top w:val="none" w:sz="0" w:space="0" w:color="auto"/>
        <w:left w:val="none" w:sz="0" w:space="0" w:color="auto"/>
        <w:bottom w:val="none" w:sz="0" w:space="0" w:color="auto"/>
        <w:right w:val="none" w:sz="0" w:space="0" w:color="auto"/>
      </w:divBdr>
    </w:div>
    <w:div w:id="1689259789">
      <w:bodyDiv w:val="1"/>
      <w:marLeft w:val="0"/>
      <w:marRight w:val="0"/>
      <w:marTop w:val="0"/>
      <w:marBottom w:val="0"/>
      <w:divBdr>
        <w:top w:val="none" w:sz="0" w:space="0" w:color="auto"/>
        <w:left w:val="none" w:sz="0" w:space="0" w:color="auto"/>
        <w:bottom w:val="none" w:sz="0" w:space="0" w:color="auto"/>
        <w:right w:val="none" w:sz="0" w:space="0" w:color="auto"/>
      </w:divBdr>
    </w:div>
    <w:div w:id="1692757968">
      <w:bodyDiv w:val="1"/>
      <w:marLeft w:val="0"/>
      <w:marRight w:val="0"/>
      <w:marTop w:val="0"/>
      <w:marBottom w:val="0"/>
      <w:divBdr>
        <w:top w:val="none" w:sz="0" w:space="0" w:color="auto"/>
        <w:left w:val="none" w:sz="0" w:space="0" w:color="auto"/>
        <w:bottom w:val="none" w:sz="0" w:space="0" w:color="auto"/>
        <w:right w:val="none" w:sz="0" w:space="0" w:color="auto"/>
      </w:divBdr>
      <w:divsChild>
        <w:div w:id="745224726">
          <w:marLeft w:val="446"/>
          <w:marRight w:val="0"/>
          <w:marTop w:val="0"/>
          <w:marBottom w:val="120"/>
          <w:divBdr>
            <w:top w:val="none" w:sz="0" w:space="0" w:color="auto"/>
            <w:left w:val="none" w:sz="0" w:space="0" w:color="auto"/>
            <w:bottom w:val="none" w:sz="0" w:space="0" w:color="auto"/>
            <w:right w:val="none" w:sz="0" w:space="0" w:color="auto"/>
          </w:divBdr>
        </w:div>
        <w:div w:id="1709331798">
          <w:marLeft w:val="446"/>
          <w:marRight w:val="0"/>
          <w:marTop w:val="0"/>
          <w:marBottom w:val="120"/>
          <w:divBdr>
            <w:top w:val="none" w:sz="0" w:space="0" w:color="auto"/>
            <w:left w:val="none" w:sz="0" w:space="0" w:color="auto"/>
            <w:bottom w:val="none" w:sz="0" w:space="0" w:color="auto"/>
            <w:right w:val="none" w:sz="0" w:space="0" w:color="auto"/>
          </w:divBdr>
        </w:div>
      </w:divsChild>
    </w:div>
    <w:div w:id="1698123270">
      <w:bodyDiv w:val="1"/>
      <w:marLeft w:val="0"/>
      <w:marRight w:val="0"/>
      <w:marTop w:val="0"/>
      <w:marBottom w:val="0"/>
      <w:divBdr>
        <w:top w:val="none" w:sz="0" w:space="0" w:color="auto"/>
        <w:left w:val="none" w:sz="0" w:space="0" w:color="auto"/>
        <w:bottom w:val="none" w:sz="0" w:space="0" w:color="auto"/>
        <w:right w:val="none" w:sz="0" w:space="0" w:color="auto"/>
      </w:divBdr>
      <w:divsChild>
        <w:div w:id="604338915">
          <w:marLeft w:val="274"/>
          <w:marRight w:val="0"/>
          <w:marTop w:val="0"/>
          <w:marBottom w:val="120"/>
          <w:divBdr>
            <w:top w:val="none" w:sz="0" w:space="0" w:color="auto"/>
            <w:left w:val="none" w:sz="0" w:space="0" w:color="auto"/>
            <w:bottom w:val="none" w:sz="0" w:space="0" w:color="auto"/>
            <w:right w:val="none" w:sz="0" w:space="0" w:color="auto"/>
          </w:divBdr>
        </w:div>
        <w:div w:id="879323543">
          <w:marLeft w:val="274"/>
          <w:marRight w:val="0"/>
          <w:marTop w:val="0"/>
          <w:marBottom w:val="120"/>
          <w:divBdr>
            <w:top w:val="none" w:sz="0" w:space="0" w:color="auto"/>
            <w:left w:val="none" w:sz="0" w:space="0" w:color="auto"/>
            <w:bottom w:val="none" w:sz="0" w:space="0" w:color="auto"/>
            <w:right w:val="none" w:sz="0" w:space="0" w:color="auto"/>
          </w:divBdr>
        </w:div>
        <w:div w:id="1039667971">
          <w:marLeft w:val="274"/>
          <w:marRight w:val="0"/>
          <w:marTop w:val="0"/>
          <w:marBottom w:val="120"/>
          <w:divBdr>
            <w:top w:val="none" w:sz="0" w:space="0" w:color="auto"/>
            <w:left w:val="none" w:sz="0" w:space="0" w:color="auto"/>
            <w:bottom w:val="none" w:sz="0" w:space="0" w:color="auto"/>
            <w:right w:val="none" w:sz="0" w:space="0" w:color="auto"/>
          </w:divBdr>
        </w:div>
      </w:divsChild>
    </w:div>
    <w:div w:id="1702782943">
      <w:bodyDiv w:val="1"/>
      <w:marLeft w:val="0"/>
      <w:marRight w:val="0"/>
      <w:marTop w:val="0"/>
      <w:marBottom w:val="0"/>
      <w:divBdr>
        <w:top w:val="none" w:sz="0" w:space="0" w:color="auto"/>
        <w:left w:val="none" w:sz="0" w:space="0" w:color="auto"/>
        <w:bottom w:val="none" w:sz="0" w:space="0" w:color="auto"/>
        <w:right w:val="none" w:sz="0" w:space="0" w:color="auto"/>
      </w:divBdr>
    </w:div>
    <w:div w:id="1708989784">
      <w:bodyDiv w:val="1"/>
      <w:marLeft w:val="0"/>
      <w:marRight w:val="0"/>
      <w:marTop w:val="0"/>
      <w:marBottom w:val="0"/>
      <w:divBdr>
        <w:top w:val="none" w:sz="0" w:space="0" w:color="auto"/>
        <w:left w:val="none" w:sz="0" w:space="0" w:color="auto"/>
        <w:bottom w:val="none" w:sz="0" w:space="0" w:color="auto"/>
        <w:right w:val="none" w:sz="0" w:space="0" w:color="auto"/>
      </w:divBdr>
    </w:div>
    <w:div w:id="1710764537">
      <w:bodyDiv w:val="1"/>
      <w:marLeft w:val="0"/>
      <w:marRight w:val="0"/>
      <w:marTop w:val="0"/>
      <w:marBottom w:val="0"/>
      <w:divBdr>
        <w:top w:val="none" w:sz="0" w:space="0" w:color="auto"/>
        <w:left w:val="none" w:sz="0" w:space="0" w:color="auto"/>
        <w:bottom w:val="none" w:sz="0" w:space="0" w:color="auto"/>
        <w:right w:val="none" w:sz="0" w:space="0" w:color="auto"/>
      </w:divBdr>
    </w:div>
    <w:div w:id="1714772259">
      <w:bodyDiv w:val="1"/>
      <w:marLeft w:val="0"/>
      <w:marRight w:val="0"/>
      <w:marTop w:val="0"/>
      <w:marBottom w:val="0"/>
      <w:divBdr>
        <w:top w:val="none" w:sz="0" w:space="0" w:color="auto"/>
        <w:left w:val="none" w:sz="0" w:space="0" w:color="auto"/>
        <w:bottom w:val="none" w:sz="0" w:space="0" w:color="auto"/>
        <w:right w:val="none" w:sz="0" w:space="0" w:color="auto"/>
      </w:divBdr>
      <w:divsChild>
        <w:div w:id="3020573">
          <w:marLeft w:val="274"/>
          <w:marRight w:val="0"/>
          <w:marTop w:val="0"/>
          <w:marBottom w:val="0"/>
          <w:divBdr>
            <w:top w:val="none" w:sz="0" w:space="0" w:color="auto"/>
            <w:left w:val="none" w:sz="0" w:space="0" w:color="auto"/>
            <w:bottom w:val="none" w:sz="0" w:space="0" w:color="auto"/>
            <w:right w:val="none" w:sz="0" w:space="0" w:color="auto"/>
          </w:divBdr>
        </w:div>
        <w:div w:id="152449595">
          <w:marLeft w:val="274"/>
          <w:marRight w:val="0"/>
          <w:marTop w:val="0"/>
          <w:marBottom w:val="0"/>
          <w:divBdr>
            <w:top w:val="none" w:sz="0" w:space="0" w:color="auto"/>
            <w:left w:val="none" w:sz="0" w:space="0" w:color="auto"/>
            <w:bottom w:val="none" w:sz="0" w:space="0" w:color="auto"/>
            <w:right w:val="none" w:sz="0" w:space="0" w:color="auto"/>
          </w:divBdr>
        </w:div>
        <w:div w:id="172188620">
          <w:marLeft w:val="274"/>
          <w:marRight w:val="0"/>
          <w:marTop w:val="0"/>
          <w:marBottom w:val="0"/>
          <w:divBdr>
            <w:top w:val="none" w:sz="0" w:space="0" w:color="auto"/>
            <w:left w:val="none" w:sz="0" w:space="0" w:color="auto"/>
            <w:bottom w:val="none" w:sz="0" w:space="0" w:color="auto"/>
            <w:right w:val="none" w:sz="0" w:space="0" w:color="auto"/>
          </w:divBdr>
        </w:div>
        <w:div w:id="925923129">
          <w:marLeft w:val="274"/>
          <w:marRight w:val="0"/>
          <w:marTop w:val="0"/>
          <w:marBottom w:val="0"/>
          <w:divBdr>
            <w:top w:val="none" w:sz="0" w:space="0" w:color="auto"/>
            <w:left w:val="none" w:sz="0" w:space="0" w:color="auto"/>
            <w:bottom w:val="none" w:sz="0" w:space="0" w:color="auto"/>
            <w:right w:val="none" w:sz="0" w:space="0" w:color="auto"/>
          </w:divBdr>
        </w:div>
        <w:div w:id="1356925763">
          <w:marLeft w:val="274"/>
          <w:marRight w:val="0"/>
          <w:marTop w:val="0"/>
          <w:marBottom w:val="0"/>
          <w:divBdr>
            <w:top w:val="none" w:sz="0" w:space="0" w:color="auto"/>
            <w:left w:val="none" w:sz="0" w:space="0" w:color="auto"/>
            <w:bottom w:val="none" w:sz="0" w:space="0" w:color="auto"/>
            <w:right w:val="none" w:sz="0" w:space="0" w:color="auto"/>
          </w:divBdr>
        </w:div>
        <w:div w:id="1398698740">
          <w:marLeft w:val="274"/>
          <w:marRight w:val="0"/>
          <w:marTop w:val="0"/>
          <w:marBottom w:val="0"/>
          <w:divBdr>
            <w:top w:val="none" w:sz="0" w:space="0" w:color="auto"/>
            <w:left w:val="none" w:sz="0" w:space="0" w:color="auto"/>
            <w:bottom w:val="none" w:sz="0" w:space="0" w:color="auto"/>
            <w:right w:val="none" w:sz="0" w:space="0" w:color="auto"/>
          </w:divBdr>
        </w:div>
        <w:div w:id="1712605768">
          <w:marLeft w:val="274"/>
          <w:marRight w:val="0"/>
          <w:marTop w:val="0"/>
          <w:marBottom w:val="0"/>
          <w:divBdr>
            <w:top w:val="none" w:sz="0" w:space="0" w:color="auto"/>
            <w:left w:val="none" w:sz="0" w:space="0" w:color="auto"/>
            <w:bottom w:val="none" w:sz="0" w:space="0" w:color="auto"/>
            <w:right w:val="none" w:sz="0" w:space="0" w:color="auto"/>
          </w:divBdr>
        </w:div>
      </w:divsChild>
    </w:div>
    <w:div w:id="1715420001">
      <w:bodyDiv w:val="1"/>
      <w:marLeft w:val="0"/>
      <w:marRight w:val="0"/>
      <w:marTop w:val="0"/>
      <w:marBottom w:val="0"/>
      <w:divBdr>
        <w:top w:val="none" w:sz="0" w:space="0" w:color="auto"/>
        <w:left w:val="none" w:sz="0" w:space="0" w:color="auto"/>
        <w:bottom w:val="none" w:sz="0" w:space="0" w:color="auto"/>
        <w:right w:val="none" w:sz="0" w:space="0" w:color="auto"/>
      </w:divBdr>
    </w:div>
    <w:div w:id="1715543777">
      <w:bodyDiv w:val="1"/>
      <w:marLeft w:val="0"/>
      <w:marRight w:val="0"/>
      <w:marTop w:val="0"/>
      <w:marBottom w:val="0"/>
      <w:divBdr>
        <w:top w:val="none" w:sz="0" w:space="0" w:color="auto"/>
        <w:left w:val="none" w:sz="0" w:space="0" w:color="auto"/>
        <w:bottom w:val="none" w:sz="0" w:space="0" w:color="auto"/>
        <w:right w:val="none" w:sz="0" w:space="0" w:color="auto"/>
      </w:divBdr>
    </w:div>
    <w:div w:id="1718241099">
      <w:bodyDiv w:val="1"/>
      <w:marLeft w:val="0"/>
      <w:marRight w:val="0"/>
      <w:marTop w:val="0"/>
      <w:marBottom w:val="0"/>
      <w:divBdr>
        <w:top w:val="none" w:sz="0" w:space="0" w:color="auto"/>
        <w:left w:val="none" w:sz="0" w:space="0" w:color="auto"/>
        <w:bottom w:val="none" w:sz="0" w:space="0" w:color="auto"/>
        <w:right w:val="none" w:sz="0" w:space="0" w:color="auto"/>
      </w:divBdr>
    </w:div>
    <w:div w:id="1718965708">
      <w:bodyDiv w:val="1"/>
      <w:marLeft w:val="0"/>
      <w:marRight w:val="0"/>
      <w:marTop w:val="0"/>
      <w:marBottom w:val="0"/>
      <w:divBdr>
        <w:top w:val="none" w:sz="0" w:space="0" w:color="auto"/>
        <w:left w:val="none" w:sz="0" w:space="0" w:color="auto"/>
        <w:bottom w:val="none" w:sz="0" w:space="0" w:color="auto"/>
        <w:right w:val="none" w:sz="0" w:space="0" w:color="auto"/>
      </w:divBdr>
      <w:divsChild>
        <w:div w:id="1948847504">
          <w:marLeft w:val="274"/>
          <w:marRight w:val="0"/>
          <w:marTop w:val="120"/>
          <w:marBottom w:val="240"/>
          <w:divBdr>
            <w:top w:val="none" w:sz="0" w:space="0" w:color="auto"/>
            <w:left w:val="none" w:sz="0" w:space="0" w:color="auto"/>
            <w:bottom w:val="none" w:sz="0" w:space="0" w:color="auto"/>
            <w:right w:val="none" w:sz="0" w:space="0" w:color="auto"/>
          </w:divBdr>
        </w:div>
        <w:div w:id="2023968898">
          <w:marLeft w:val="274"/>
          <w:marRight w:val="0"/>
          <w:marTop w:val="120"/>
          <w:marBottom w:val="120"/>
          <w:divBdr>
            <w:top w:val="none" w:sz="0" w:space="0" w:color="auto"/>
            <w:left w:val="none" w:sz="0" w:space="0" w:color="auto"/>
            <w:bottom w:val="none" w:sz="0" w:space="0" w:color="auto"/>
            <w:right w:val="none" w:sz="0" w:space="0" w:color="auto"/>
          </w:divBdr>
        </w:div>
      </w:divsChild>
    </w:div>
    <w:div w:id="1719817017">
      <w:bodyDiv w:val="1"/>
      <w:marLeft w:val="0"/>
      <w:marRight w:val="0"/>
      <w:marTop w:val="0"/>
      <w:marBottom w:val="0"/>
      <w:divBdr>
        <w:top w:val="none" w:sz="0" w:space="0" w:color="auto"/>
        <w:left w:val="none" w:sz="0" w:space="0" w:color="auto"/>
        <w:bottom w:val="none" w:sz="0" w:space="0" w:color="auto"/>
        <w:right w:val="none" w:sz="0" w:space="0" w:color="auto"/>
      </w:divBdr>
    </w:div>
    <w:div w:id="1731922623">
      <w:bodyDiv w:val="1"/>
      <w:marLeft w:val="0"/>
      <w:marRight w:val="0"/>
      <w:marTop w:val="0"/>
      <w:marBottom w:val="0"/>
      <w:divBdr>
        <w:top w:val="none" w:sz="0" w:space="0" w:color="auto"/>
        <w:left w:val="none" w:sz="0" w:space="0" w:color="auto"/>
        <w:bottom w:val="none" w:sz="0" w:space="0" w:color="auto"/>
        <w:right w:val="none" w:sz="0" w:space="0" w:color="auto"/>
      </w:divBdr>
    </w:div>
    <w:div w:id="1733969671">
      <w:bodyDiv w:val="1"/>
      <w:marLeft w:val="0"/>
      <w:marRight w:val="0"/>
      <w:marTop w:val="0"/>
      <w:marBottom w:val="0"/>
      <w:divBdr>
        <w:top w:val="none" w:sz="0" w:space="0" w:color="auto"/>
        <w:left w:val="none" w:sz="0" w:space="0" w:color="auto"/>
        <w:bottom w:val="none" w:sz="0" w:space="0" w:color="auto"/>
        <w:right w:val="none" w:sz="0" w:space="0" w:color="auto"/>
      </w:divBdr>
    </w:div>
    <w:div w:id="1739401168">
      <w:bodyDiv w:val="1"/>
      <w:marLeft w:val="0"/>
      <w:marRight w:val="0"/>
      <w:marTop w:val="0"/>
      <w:marBottom w:val="0"/>
      <w:divBdr>
        <w:top w:val="none" w:sz="0" w:space="0" w:color="auto"/>
        <w:left w:val="none" w:sz="0" w:space="0" w:color="auto"/>
        <w:bottom w:val="none" w:sz="0" w:space="0" w:color="auto"/>
        <w:right w:val="none" w:sz="0" w:space="0" w:color="auto"/>
      </w:divBdr>
    </w:div>
    <w:div w:id="1743067314">
      <w:bodyDiv w:val="1"/>
      <w:marLeft w:val="0"/>
      <w:marRight w:val="0"/>
      <w:marTop w:val="0"/>
      <w:marBottom w:val="0"/>
      <w:divBdr>
        <w:top w:val="none" w:sz="0" w:space="0" w:color="auto"/>
        <w:left w:val="none" w:sz="0" w:space="0" w:color="auto"/>
        <w:bottom w:val="none" w:sz="0" w:space="0" w:color="auto"/>
        <w:right w:val="none" w:sz="0" w:space="0" w:color="auto"/>
      </w:divBdr>
      <w:divsChild>
        <w:div w:id="1853644377">
          <w:marLeft w:val="274"/>
          <w:marRight w:val="0"/>
          <w:marTop w:val="0"/>
          <w:marBottom w:val="0"/>
          <w:divBdr>
            <w:top w:val="none" w:sz="0" w:space="0" w:color="auto"/>
            <w:left w:val="none" w:sz="0" w:space="0" w:color="auto"/>
            <w:bottom w:val="none" w:sz="0" w:space="0" w:color="auto"/>
            <w:right w:val="none" w:sz="0" w:space="0" w:color="auto"/>
          </w:divBdr>
        </w:div>
        <w:div w:id="2091347655">
          <w:marLeft w:val="274"/>
          <w:marRight w:val="0"/>
          <w:marTop w:val="0"/>
          <w:marBottom w:val="0"/>
          <w:divBdr>
            <w:top w:val="none" w:sz="0" w:space="0" w:color="auto"/>
            <w:left w:val="none" w:sz="0" w:space="0" w:color="auto"/>
            <w:bottom w:val="none" w:sz="0" w:space="0" w:color="auto"/>
            <w:right w:val="none" w:sz="0" w:space="0" w:color="auto"/>
          </w:divBdr>
        </w:div>
      </w:divsChild>
    </w:div>
    <w:div w:id="1750274545">
      <w:bodyDiv w:val="1"/>
      <w:marLeft w:val="0"/>
      <w:marRight w:val="0"/>
      <w:marTop w:val="0"/>
      <w:marBottom w:val="0"/>
      <w:divBdr>
        <w:top w:val="none" w:sz="0" w:space="0" w:color="auto"/>
        <w:left w:val="none" w:sz="0" w:space="0" w:color="auto"/>
        <w:bottom w:val="none" w:sz="0" w:space="0" w:color="auto"/>
        <w:right w:val="none" w:sz="0" w:space="0" w:color="auto"/>
      </w:divBdr>
      <w:divsChild>
        <w:div w:id="751778907">
          <w:marLeft w:val="274"/>
          <w:marRight w:val="0"/>
          <w:marTop w:val="0"/>
          <w:marBottom w:val="160"/>
          <w:divBdr>
            <w:top w:val="none" w:sz="0" w:space="0" w:color="auto"/>
            <w:left w:val="none" w:sz="0" w:space="0" w:color="auto"/>
            <w:bottom w:val="none" w:sz="0" w:space="0" w:color="auto"/>
            <w:right w:val="none" w:sz="0" w:space="0" w:color="auto"/>
          </w:divBdr>
        </w:div>
        <w:div w:id="1127965438">
          <w:marLeft w:val="576"/>
          <w:marRight w:val="0"/>
          <w:marTop w:val="0"/>
          <w:marBottom w:val="160"/>
          <w:divBdr>
            <w:top w:val="none" w:sz="0" w:space="0" w:color="auto"/>
            <w:left w:val="none" w:sz="0" w:space="0" w:color="auto"/>
            <w:bottom w:val="none" w:sz="0" w:space="0" w:color="auto"/>
            <w:right w:val="none" w:sz="0" w:space="0" w:color="auto"/>
          </w:divBdr>
        </w:div>
        <w:div w:id="1395395417">
          <w:marLeft w:val="576"/>
          <w:marRight w:val="0"/>
          <w:marTop w:val="0"/>
          <w:marBottom w:val="160"/>
          <w:divBdr>
            <w:top w:val="none" w:sz="0" w:space="0" w:color="auto"/>
            <w:left w:val="none" w:sz="0" w:space="0" w:color="auto"/>
            <w:bottom w:val="none" w:sz="0" w:space="0" w:color="auto"/>
            <w:right w:val="none" w:sz="0" w:space="0" w:color="auto"/>
          </w:divBdr>
        </w:div>
        <w:div w:id="1503354565">
          <w:marLeft w:val="576"/>
          <w:marRight w:val="0"/>
          <w:marTop w:val="0"/>
          <w:marBottom w:val="160"/>
          <w:divBdr>
            <w:top w:val="none" w:sz="0" w:space="0" w:color="auto"/>
            <w:left w:val="none" w:sz="0" w:space="0" w:color="auto"/>
            <w:bottom w:val="none" w:sz="0" w:space="0" w:color="auto"/>
            <w:right w:val="none" w:sz="0" w:space="0" w:color="auto"/>
          </w:divBdr>
        </w:div>
        <w:div w:id="2112431866">
          <w:marLeft w:val="576"/>
          <w:marRight w:val="0"/>
          <w:marTop w:val="0"/>
          <w:marBottom w:val="160"/>
          <w:divBdr>
            <w:top w:val="none" w:sz="0" w:space="0" w:color="auto"/>
            <w:left w:val="none" w:sz="0" w:space="0" w:color="auto"/>
            <w:bottom w:val="none" w:sz="0" w:space="0" w:color="auto"/>
            <w:right w:val="none" w:sz="0" w:space="0" w:color="auto"/>
          </w:divBdr>
        </w:div>
      </w:divsChild>
    </w:div>
    <w:div w:id="1752385302">
      <w:bodyDiv w:val="1"/>
      <w:marLeft w:val="0"/>
      <w:marRight w:val="0"/>
      <w:marTop w:val="0"/>
      <w:marBottom w:val="0"/>
      <w:divBdr>
        <w:top w:val="none" w:sz="0" w:space="0" w:color="auto"/>
        <w:left w:val="none" w:sz="0" w:space="0" w:color="auto"/>
        <w:bottom w:val="none" w:sz="0" w:space="0" w:color="auto"/>
        <w:right w:val="none" w:sz="0" w:space="0" w:color="auto"/>
      </w:divBdr>
      <w:divsChild>
        <w:div w:id="771902612">
          <w:marLeft w:val="0"/>
          <w:marRight w:val="0"/>
          <w:marTop w:val="0"/>
          <w:marBottom w:val="0"/>
          <w:divBdr>
            <w:top w:val="none" w:sz="0" w:space="0" w:color="auto"/>
            <w:left w:val="none" w:sz="0" w:space="0" w:color="auto"/>
            <w:bottom w:val="none" w:sz="0" w:space="0" w:color="auto"/>
            <w:right w:val="none" w:sz="0" w:space="0" w:color="auto"/>
          </w:divBdr>
          <w:divsChild>
            <w:div w:id="743380498">
              <w:marLeft w:val="0"/>
              <w:marRight w:val="0"/>
              <w:marTop w:val="0"/>
              <w:marBottom w:val="0"/>
              <w:divBdr>
                <w:top w:val="none" w:sz="0" w:space="0" w:color="auto"/>
                <w:left w:val="none" w:sz="0" w:space="0" w:color="auto"/>
                <w:bottom w:val="none" w:sz="0" w:space="0" w:color="auto"/>
                <w:right w:val="none" w:sz="0" w:space="0" w:color="auto"/>
              </w:divBdr>
              <w:divsChild>
                <w:div w:id="964700674">
                  <w:marLeft w:val="0"/>
                  <w:marRight w:val="0"/>
                  <w:marTop w:val="0"/>
                  <w:marBottom w:val="0"/>
                  <w:divBdr>
                    <w:top w:val="none" w:sz="0" w:space="0" w:color="auto"/>
                    <w:left w:val="none" w:sz="0" w:space="0" w:color="auto"/>
                    <w:bottom w:val="none" w:sz="0" w:space="0" w:color="auto"/>
                    <w:right w:val="none" w:sz="0" w:space="0" w:color="auto"/>
                  </w:divBdr>
                  <w:divsChild>
                    <w:div w:id="442119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7365563">
      <w:bodyDiv w:val="1"/>
      <w:marLeft w:val="0"/>
      <w:marRight w:val="0"/>
      <w:marTop w:val="0"/>
      <w:marBottom w:val="0"/>
      <w:divBdr>
        <w:top w:val="none" w:sz="0" w:space="0" w:color="auto"/>
        <w:left w:val="none" w:sz="0" w:space="0" w:color="auto"/>
        <w:bottom w:val="none" w:sz="0" w:space="0" w:color="auto"/>
        <w:right w:val="none" w:sz="0" w:space="0" w:color="auto"/>
      </w:divBdr>
    </w:div>
    <w:div w:id="1763524736">
      <w:bodyDiv w:val="1"/>
      <w:marLeft w:val="0"/>
      <w:marRight w:val="0"/>
      <w:marTop w:val="0"/>
      <w:marBottom w:val="0"/>
      <w:divBdr>
        <w:top w:val="none" w:sz="0" w:space="0" w:color="auto"/>
        <w:left w:val="none" w:sz="0" w:space="0" w:color="auto"/>
        <w:bottom w:val="none" w:sz="0" w:space="0" w:color="auto"/>
        <w:right w:val="none" w:sz="0" w:space="0" w:color="auto"/>
      </w:divBdr>
    </w:div>
    <w:div w:id="1765806714">
      <w:bodyDiv w:val="1"/>
      <w:marLeft w:val="0"/>
      <w:marRight w:val="0"/>
      <w:marTop w:val="0"/>
      <w:marBottom w:val="0"/>
      <w:divBdr>
        <w:top w:val="none" w:sz="0" w:space="0" w:color="auto"/>
        <w:left w:val="none" w:sz="0" w:space="0" w:color="auto"/>
        <w:bottom w:val="none" w:sz="0" w:space="0" w:color="auto"/>
        <w:right w:val="none" w:sz="0" w:space="0" w:color="auto"/>
      </w:divBdr>
    </w:div>
    <w:div w:id="1769275684">
      <w:bodyDiv w:val="1"/>
      <w:marLeft w:val="0"/>
      <w:marRight w:val="0"/>
      <w:marTop w:val="0"/>
      <w:marBottom w:val="0"/>
      <w:divBdr>
        <w:top w:val="none" w:sz="0" w:space="0" w:color="auto"/>
        <w:left w:val="none" w:sz="0" w:space="0" w:color="auto"/>
        <w:bottom w:val="none" w:sz="0" w:space="0" w:color="auto"/>
        <w:right w:val="none" w:sz="0" w:space="0" w:color="auto"/>
      </w:divBdr>
    </w:div>
    <w:div w:id="1769352877">
      <w:bodyDiv w:val="1"/>
      <w:marLeft w:val="0"/>
      <w:marRight w:val="0"/>
      <w:marTop w:val="0"/>
      <w:marBottom w:val="0"/>
      <w:divBdr>
        <w:top w:val="none" w:sz="0" w:space="0" w:color="auto"/>
        <w:left w:val="none" w:sz="0" w:space="0" w:color="auto"/>
        <w:bottom w:val="none" w:sz="0" w:space="0" w:color="auto"/>
        <w:right w:val="none" w:sz="0" w:space="0" w:color="auto"/>
      </w:divBdr>
    </w:div>
    <w:div w:id="1770077082">
      <w:bodyDiv w:val="1"/>
      <w:marLeft w:val="0"/>
      <w:marRight w:val="0"/>
      <w:marTop w:val="0"/>
      <w:marBottom w:val="0"/>
      <w:divBdr>
        <w:top w:val="none" w:sz="0" w:space="0" w:color="auto"/>
        <w:left w:val="none" w:sz="0" w:space="0" w:color="auto"/>
        <w:bottom w:val="none" w:sz="0" w:space="0" w:color="auto"/>
        <w:right w:val="none" w:sz="0" w:space="0" w:color="auto"/>
      </w:divBdr>
    </w:div>
    <w:div w:id="1771971661">
      <w:bodyDiv w:val="1"/>
      <w:marLeft w:val="0"/>
      <w:marRight w:val="0"/>
      <w:marTop w:val="0"/>
      <w:marBottom w:val="0"/>
      <w:divBdr>
        <w:top w:val="none" w:sz="0" w:space="0" w:color="auto"/>
        <w:left w:val="none" w:sz="0" w:space="0" w:color="auto"/>
        <w:bottom w:val="none" w:sz="0" w:space="0" w:color="auto"/>
        <w:right w:val="none" w:sz="0" w:space="0" w:color="auto"/>
      </w:divBdr>
      <w:divsChild>
        <w:div w:id="1251498707">
          <w:marLeft w:val="274"/>
          <w:marRight w:val="0"/>
          <w:marTop w:val="0"/>
          <w:marBottom w:val="120"/>
          <w:divBdr>
            <w:top w:val="none" w:sz="0" w:space="0" w:color="auto"/>
            <w:left w:val="none" w:sz="0" w:space="0" w:color="auto"/>
            <w:bottom w:val="none" w:sz="0" w:space="0" w:color="auto"/>
            <w:right w:val="none" w:sz="0" w:space="0" w:color="auto"/>
          </w:divBdr>
        </w:div>
        <w:div w:id="1406881782">
          <w:marLeft w:val="274"/>
          <w:marRight w:val="0"/>
          <w:marTop w:val="0"/>
          <w:marBottom w:val="120"/>
          <w:divBdr>
            <w:top w:val="none" w:sz="0" w:space="0" w:color="auto"/>
            <w:left w:val="none" w:sz="0" w:space="0" w:color="auto"/>
            <w:bottom w:val="none" w:sz="0" w:space="0" w:color="auto"/>
            <w:right w:val="none" w:sz="0" w:space="0" w:color="auto"/>
          </w:divBdr>
        </w:div>
        <w:div w:id="1489590604">
          <w:marLeft w:val="274"/>
          <w:marRight w:val="0"/>
          <w:marTop w:val="0"/>
          <w:marBottom w:val="120"/>
          <w:divBdr>
            <w:top w:val="none" w:sz="0" w:space="0" w:color="auto"/>
            <w:left w:val="none" w:sz="0" w:space="0" w:color="auto"/>
            <w:bottom w:val="none" w:sz="0" w:space="0" w:color="auto"/>
            <w:right w:val="none" w:sz="0" w:space="0" w:color="auto"/>
          </w:divBdr>
        </w:div>
      </w:divsChild>
    </w:div>
    <w:div w:id="1787625810">
      <w:bodyDiv w:val="1"/>
      <w:marLeft w:val="0"/>
      <w:marRight w:val="0"/>
      <w:marTop w:val="0"/>
      <w:marBottom w:val="0"/>
      <w:divBdr>
        <w:top w:val="none" w:sz="0" w:space="0" w:color="auto"/>
        <w:left w:val="none" w:sz="0" w:space="0" w:color="auto"/>
        <w:bottom w:val="none" w:sz="0" w:space="0" w:color="auto"/>
        <w:right w:val="none" w:sz="0" w:space="0" w:color="auto"/>
      </w:divBdr>
    </w:div>
    <w:div w:id="1790777562">
      <w:bodyDiv w:val="1"/>
      <w:marLeft w:val="0"/>
      <w:marRight w:val="0"/>
      <w:marTop w:val="0"/>
      <w:marBottom w:val="0"/>
      <w:divBdr>
        <w:top w:val="none" w:sz="0" w:space="0" w:color="auto"/>
        <w:left w:val="none" w:sz="0" w:space="0" w:color="auto"/>
        <w:bottom w:val="none" w:sz="0" w:space="0" w:color="auto"/>
        <w:right w:val="none" w:sz="0" w:space="0" w:color="auto"/>
      </w:divBdr>
    </w:div>
    <w:div w:id="1798140112">
      <w:bodyDiv w:val="1"/>
      <w:marLeft w:val="0"/>
      <w:marRight w:val="0"/>
      <w:marTop w:val="0"/>
      <w:marBottom w:val="0"/>
      <w:divBdr>
        <w:top w:val="none" w:sz="0" w:space="0" w:color="auto"/>
        <w:left w:val="none" w:sz="0" w:space="0" w:color="auto"/>
        <w:bottom w:val="none" w:sz="0" w:space="0" w:color="auto"/>
        <w:right w:val="none" w:sz="0" w:space="0" w:color="auto"/>
      </w:divBdr>
    </w:div>
    <w:div w:id="1819686246">
      <w:bodyDiv w:val="1"/>
      <w:marLeft w:val="0"/>
      <w:marRight w:val="0"/>
      <w:marTop w:val="0"/>
      <w:marBottom w:val="0"/>
      <w:divBdr>
        <w:top w:val="none" w:sz="0" w:space="0" w:color="auto"/>
        <w:left w:val="none" w:sz="0" w:space="0" w:color="auto"/>
        <w:bottom w:val="none" w:sz="0" w:space="0" w:color="auto"/>
        <w:right w:val="none" w:sz="0" w:space="0" w:color="auto"/>
      </w:divBdr>
      <w:divsChild>
        <w:div w:id="31807209">
          <w:marLeft w:val="288"/>
          <w:marRight w:val="0"/>
          <w:marTop w:val="0"/>
          <w:marBottom w:val="40"/>
          <w:divBdr>
            <w:top w:val="none" w:sz="0" w:space="0" w:color="auto"/>
            <w:left w:val="none" w:sz="0" w:space="0" w:color="auto"/>
            <w:bottom w:val="none" w:sz="0" w:space="0" w:color="auto"/>
            <w:right w:val="none" w:sz="0" w:space="0" w:color="auto"/>
          </w:divBdr>
        </w:div>
        <w:div w:id="88741245">
          <w:marLeft w:val="288"/>
          <w:marRight w:val="0"/>
          <w:marTop w:val="0"/>
          <w:marBottom w:val="40"/>
          <w:divBdr>
            <w:top w:val="none" w:sz="0" w:space="0" w:color="auto"/>
            <w:left w:val="none" w:sz="0" w:space="0" w:color="auto"/>
            <w:bottom w:val="none" w:sz="0" w:space="0" w:color="auto"/>
            <w:right w:val="none" w:sz="0" w:space="0" w:color="auto"/>
          </w:divBdr>
        </w:div>
        <w:div w:id="441996427">
          <w:marLeft w:val="274"/>
          <w:marRight w:val="0"/>
          <w:marTop w:val="0"/>
          <w:marBottom w:val="120"/>
          <w:divBdr>
            <w:top w:val="none" w:sz="0" w:space="0" w:color="auto"/>
            <w:left w:val="none" w:sz="0" w:space="0" w:color="auto"/>
            <w:bottom w:val="none" w:sz="0" w:space="0" w:color="auto"/>
            <w:right w:val="none" w:sz="0" w:space="0" w:color="auto"/>
          </w:divBdr>
        </w:div>
        <w:div w:id="739986145">
          <w:marLeft w:val="288"/>
          <w:marRight w:val="0"/>
          <w:marTop w:val="0"/>
          <w:marBottom w:val="40"/>
          <w:divBdr>
            <w:top w:val="none" w:sz="0" w:space="0" w:color="auto"/>
            <w:left w:val="none" w:sz="0" w:space="0" w:color="auto"/>
            <w:bottom w:val="none" w:sz="0" w:space="0" w:color="auto"/>
            <w:right w:val="none" w:sz="0" w:space="0" w:color="auto"/>
          </w:divBdr>
        </w:div>
        <w:div w:id="1093546540">
          <w:marLeft w:val="288"/>
          <w:marRight w:val="0"/>
          <w:marTop w:val="0"/>
          <w:marBottom w:val="40"/>
          <w:divBdr>
            <w:top w:val="none" w:sz="0" w:space="0" w:color="auto"/>
            <w:left w:val="none" w:sz="0" w:space="0" w:color="auto"/>
            <w:bottom w:val="none" w:sz="0" w:space="0" w:color="auto"/>
            <w:right w:val="none" w:sz="0" w:space="0" w:color="auto"/>
          </w:divBdr>
        </w:div>
        <w:div w:id="1307474137">
          <w:marLeft w:val="288"/>
          <w:marRight w:val="0"/>
          <w:marTop w:val="0"/>
          <w:marBottom w:val="40"/>
          <w:divBdr>
            <w:top w:val="none" w:sz="0" w:space="0" w:color="auto"/>
            <w:left w:val="none" w:sz="0" w:space="0" w:color="auto"/>
            <w:bottom w:val="none" w:sz="0" w:space="0" w:color="auto"/>
            <w:right w:val="none" w:sz="0" w:space="0" w:color="auto"/>
          </w:divBdr>
        </w:div>
        <w:div w:id="1351687378">
          <w:marLeft w:val="288"/>
          <w:marRight w:val="0"/>
          <w:marTop w:val="0"/>
          <w:marBottom w:val="40"/>
          <w:divBdr>
            <w:top w:val="none" w:sz="0" w:space="0" w:color="auto"/>
            <w:left w:val="none" w:sz="0" w:space="0" w:color="auto"/>
            <w:bottom w:val="none" w:sz="0" w:space="0" w:color="auto"/>
            <w:right w:val="none" w:sz="0" w:space="0" w:color="auto"/>
          </w:divBdr>
        </w:div>
        <w:div w:id="1907764944">
          <w:marLeft w:val="288"/>
          <w:marRight w:val="0"/>
          <w:marTop w:val="0"/>
          <w:marBottom w:val="40"/>
          <w:divBdr>
            <w:top w:val="none" w:sz="0" w:space="0" w:color="auto"/>
            <w:left w:val="none" w:sz="0" w:space="0" w:color="auto"/>
            <w:bottom w:val="none" w:sz="0" w:space="0" w:color="auto"/>
            <w:right w:val="none" w:sz="0" w:space="0" w:color="auto"/>
          </w:divBdr>
        </w:div>
      </w:divsChild>
    </w:div>
    <w:div w:id="1821576532">
      <w:bodyDiv w:val="1"/>
      <w:marLeft w:val="0"/>
      <w:marRight w:val="0"/>
      <w:marTop w:val="0"/>
      <w:marBottom w:val="0"/>
      <w:divBdr>
        <w:top w:val="none" w:sz="0" w:space="0" w:color="auto"/>
        <w:left w:val="none" w:sz="0" w:space="0" w:color="auto"/>
        <w:bottom w:val="none" w:sz="0" w:space="0" w:color="auto"/>
        <w:right w:val="none" w:sz="0" w:space="0" w:color="auto"/>
      </w:divBdr>
    </w:div>
    <w:div w:id="1835223849">
      <w:bodyDiv w:val="1"/>
      <w:marLeft w:val="0"/>
      <w:marRight w:val="0"/>
      <w:marTop w:val="0"/>
      <w:marBottom w:val="0"/>
      <w:divBdr>
        <w:top w:val="none" w:sz="0" w:space="0" w:color="auto"/>
        <w:left w:val="none" w:sz="0" w:space="0" w:color="auto"/>
        <w:bottom w:val="none" w:sz="0" w:space="0" w:color="auto"/>
        <w:right w:val="none" w:sz="0" w:space="0" w:color="auto"/>
      </w:divBdr>
      <w:divsChild>
        <w:div w:id="358628299">
          <w:marLeft w:val="274"/>
          <w:marRight w:val="0"/>
          <w:marTop w:val="0"/>
          <w:marBottom w:val="160"/>
          <w:divBdr>
            <w:top w:val="none" w:sz="0" w:space="0" w:color="auto"/>
            <w:left w:val="none" w:sz="0" w:space="0" w:color="auto"/>
            <w:bottom w:val="none" w:sz="0" w:space="0" w:color="auto"/>
            <w:right w:val="none" w:sz="0" w:space="0" w:color="auto"/>
          </w:divBdr>
        </w:div>
        <w:div w:id="1015112907">
          <w:marLeft w:val="274"/>
          <w:marRight w:val="0"/>
          <w:marTop w:val="0"/>
          <w:marBottom w:val="160"/>
          <w:divBdr>
            <w:top w:val="none" w:sz="0" w:space="0" w:color="auto"/>
            <w:left w:val="none" w:sz="0" w:space="0" w:color="auto"/>
            <w:bottom w:val="none" w:sz="0" w:space="0" w:color="auto"/>
            <w:right w:val="none" w:sz="0" w:space="0" w:color="auto"/>
          </w:divBdr>
        </w:div>
        <w:div w:id="1301230070">
          <w:marLeft w:val="274"/>
          <w:marRight w:val="0"/>
          <w:marTop w:val="0"/>
          <w:marBottom w:val="160"/>
          <w:divBdr>
            <w:top w:val="none" w:sz="0" w:space="0" w:color="auto"/>
            <w:left w:val="none" w:sz="0" w:space="0" w:color="auto"/>
            <w:bottom w:val="none" w:sz="0" w:space="0" w:color="auto"/>
            <w:right w:val="none" w:sz="0" w:space="0" w:color="auto"/>
          </w:divBdr>
        </w:div>
      </w:divsChild>
    </w:div>
    <w:div w:id="1841002255">
      <w:bodyDiv w:val="1"/>
      <w:marLeft w:val="0"/>
      <w:marRight w:val="0"/>
      <w:marTop w:val="0"/>
      <w:marBottom w:val="0"/>
      <w:divBdr>
        <w:top w:val="none" w:sz="0" w:space="0" w:color="auto"/>
        <w:left w:val="none" w:sz="0" w:space="0" w:color="auto"/>
        <w:bottom w:val="none" w:sz="0" w:space="0" w:color="auto"/>
        <w:right w:val="none" w:sz="0" w:space="0" w:color="auto"/>
      </w:divBdr>
      <w:divsChild>
        <w:div w:id="1126854503">
          <w:marLeft w:val="0"/>
          <w:marRight w:val="0"/>
          <w:marTop w:val="0"/>
          <w:marBottom w:val="0"/>
          <w:divBdr>
            <w:top w:val="none" w:sz="0" w:space="0" w:color="auto"/>
            <w:left w:val="none" w:sz="0" w:space="0" w:color="auto"/>
            <w:bottom w:val="none" w:sz="0" w:space="0" w:color="auto"/>
            <w:right w:val="none" w:sz="0" w:space="0" w:color="auto"/>
          </w:divBdr>
          <w:divsChild>
            <w:div w:id="331032664">
              <w:marLeft w:val="0"/>
              <w:marRight w:val="0"/>
              <w:marTop w:val="0"/>
              <w:marBottom w:val="0"/>
              <w:divBdr>
                <w:top w:val="none" w:sz="0" w:space="0" w:color="auto"/>
                <w:left w:val="none" w:sz="0" w:space="0" w:color="auto"/>
                <w:bottom w:val="none" w:sz="0" w:space="0" w:color="auto"/>
                <w:right w:val="none" w:sz="0" w:space="0" w:color="auto"/>
              </w:divBdr>
              <w:divsChild>
                <w:div w:id="975647251">
                  <w:marLeft w:val="0"/>
                  <w:marRight w:val="0"/>
                  <w:marTop w:val="0"/>
                  <w:marBottom w:val="0"/>
                  <w:divBdr>
                    <w:top w:val="none" w:sz="0" w:space="0" w:color="auto"/>
                    <w:left w:val="none" w:sz="0" w:space="0" w:color="auto"/>
                    <w:bottom w:val="none" w:sz="0" w:space="0" w:color="auto"/>
                    <w:right w:val="none" w:sz="0" w:space="0" w:color="auto"/>
                  </w:divBdr>
                  <w:divsChild>
                    <w:div w:id="1343050122">
                      <w:marLeft w:val="0"/>
                      <w:marRight w:val="0"/>
                      <w:marTop w:val="0"/>
                      <w:marBottom w:val="0"/>
                      <w:divBdr>
                        <w:top w:val="none" w:sz="0" w:space="0" w:color="auto"/>
                        <w:left w:val="none" w:sz="0" w:space="0" w:color="auto"/>
                        <w:bottom w:val="none" w:sz="0" w:space="0" w:color="auto"/>
                        <w:right w:val="none" w:sz="0" w:space="0" w:color="auto"/>
                      </w:divBdr>
                      <w:divsChild>
                        <w:div w:id="107504749">
                          <w:marLeft w:val="0"/>
                          <w:marRight w:val="0"/>
                          <w:marTop w:val="0"/>
                          <w:marBottom w:val="0"/>
                          <w:divBdr>
                            <w:top w:val="none" w:sz="0" w:space="0" w:color="auto"/>
                            <w:left w:val="none" w:sz="0" w:space="0" w:color="auto"/>
                            <w:bottom w:val="none" w:sz="0" w:space="0" w:color="auto"/>
                            <w:right w:val="none" w:sz="0" w:space="0" w:color="auto"/>
                          </w:divBdr>
                          <w:divsChild>
                            <w:div w:id="880944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1583521">
      <w:bodyDiv w:val="1"/>
      <w:marLeft w:val="0"/>
      <w:marRight w:val="0"/>
      <w:marTop w:val="0"/>
      <w:marBottom w:val="0"/>
      <w:divBdr>
        <w:top w:val="none" w:sz="0" w:space="0" w:color="auto"/>
        <w:left w:val="none" w:sz="0" w:space="0" w:color="auto"/>
        <w:bottom w:val="none" w:sz="0" w:space="0" w:color="auto"/>
        <w:right w:val="none" w:sz="0" w:space="0" w:color="auto"/>
      </w:divBdr>
    </w:div>
    <w:div w:id="1844970805">
      <w:bodyDiv w:val="1"/>
      <w:marLeft w:val="0"/>
      <w:marRight w:val="0"/>
      <w:marTop w:val="0"/>
      <w:marBottom w:val="0"/>
      <w:divBdr>
        <w:top w:val="none" w:sz="0" w:space="0" w:color="auto"/>
        <w:left w:val="none" w:sz="0" w:space="0" w:color="auto"/>
        <w:bottom w:val="none" w:sz="0" w:space="0" w:color="auto"/>
        <w:right w:val="none" w:sz="0" w:space="0" w:color="auto"/>
      </w:divBdr>
    </w:div>
    <w:div w:id="1846093243">
      <w:bodyDiv w:val="1"/>
      <w:marLeft w:val="0"/>
      <w:marRight w:val="0"/>
      <w:marTop w:val="0"/>
      <w:marBottom w:val="0"/>
      <w:divBdr>
        <w:top w:val="none" w:sz="0" w:space="0" w:color="auto"/>
        <w:left w:val="none" w:sz="0" w:space="0" w:color="auto"/>
        <w:bottom w:val="none" w:sz="0" w:space="0" w:color="auto"/>
        <w:right w:val="none" w:sz="0" w:space="0" w:color="auto"/>
      </w:divBdr>
      <w:divsChild>
        <w:div w:id="202712367">
          <w:marLeft w:val="274"/>
          <w:marRight w:val="0"/>
          <w:marTop w:val="60"/>
          <w:marBottom w:val="0"/>
          <w:divBdr>
            <w:top w:val="none" w:sz="0" w:space="0" w:color="auto"/>
            <w:left w:val="none" w:sz="0" w:space="0" w:color="auto"/>
            <w:bottom w:val="none" w:sz="0" w:space="0" w:color="auto"/>
            <w:right w:val="none" w:sz="0" w:space="0" w:color="auto"/>
          </w:divBdr>
        </w:div>
        <w:div w:id="1313800522">
          <w:marLeft w:val="274"/>
          <w:marRight w:val="0"/>
          <w:marTop w:val="60"/>
          <w:marBottom w:val="0"/>
          <w:divBdr>
            <w:top w:val="none" w:sz="0" w:space="0" w:color="auto"/>
            <w:left w:val="none" w:sz="0" w:space="0" w:color="auto"/>
            <w:bottom w:val="none" w:sz="0" w:space="0" w:color="auto"/>
            <w:right w:val="none" w:sz="0" w:space="0" w:color="auto"/>
          </w:divBdr>
        </w:div>
        <w:div w:id="1878472580">
          <w:marLeft w:val="274"/>
          <w:marRight w:val="0"/>
          <w:marTop w:val="60"/>
          <w:marBottom w:val="0"/>
          <w:divBdr>
            <w:top w:val="none" w:sz="0" w:space="0" w:color="auto"/>
            <w:left w:val="none" w:sz="0" w:space="0" w:color="auto"/>
            <w:bottom w:val="none" w:sz="0" w:space="0" w:color="auto"/>
            <w:right w:val="none" w:sz="0" w:space="0" w:color="auto"/>
          </w:divBdr>
        </w:div>
      </w:divsChild>
    </w:div>
    <w:div w:id="1846938017">
      <w:bodyDiv w:val="1"/>
      <w:marLeft w:val="0"/>
      <w:marRight w:val="0"/>
      <w:marTop w:val="0"/>
      <w:marBottom w:val="0"/>
      <w:divBdr>
        <w:top w:val="none" w:sz="0" w:space="0" w:color="auto"/>
        <w:left w:val="none" w:sz="0" w:space="0" w:color="auto"/>
        <w:bottom w:val="none" w:sz="0" w:space="0" w:color="auto"/>
        <w:right w:val="none" w:sz="0" w:space="0" w:color="auto"/>
      </w:divBdr>
    </w:div>
    <w:div w:id="1850900364">
      <w:bodyDiv w:val="1"/>
      <w:marLeft w:val="0"/>
      <w:marRight w:val="0"/>
      <w:marTop w:val="0"/>
      <w:marBottom w:val="0"/>
      <w:divBdr>
        <w:top w:val="none" w:sz="0" w:space="0" w:color="auto"/>
        <w:left w:val="none" w:sz="0" w:space="0" w:color="auto"/>
        <w:bottom w:val="none" w:sz="0" w:space="0" w:color="auto"/>
        <w:right w:val="none" w:sz="0" w:space="0" w:color="auto"/>
      </w:divBdr>
      <w:divsChild>
        <w:div w:id="1286548112">
          <w:marLeft w:val="0"/>
          <w:marRight w:val="0"/>
          <w:marTop w:val="0"/>
          <w:marBottom w:val="0"/>
          <w:divBdr>
            <w:top w:val="none" w:sz="0" w:space="0" w:color="auto"/>
            <w:left w:val="none" w:sz="0" w:space="0" w:color="auto"/>
            <w:bottom w:val="none" w:sz="0" w:space="0" w:color="auto"/>
            <w:right w:val="none" w:sz="0" w:space="0" w:color="auto"/>
          </w:divBdr>
          <w:divsChild>
            <w:div w:id="1687290108">
              <w:marLeft w:val="0"/>
              <w:marRight w:val="0"/>
              <w:marTop w:val="0"/>
              <w:marBottom w:val="0"/>
              <w:divBdr>
                <w:top w:val="none" w:sz="0" w:space="0" w:color="auto"/>
                <w:left w:val="none" w:sz="0" w:space="0" w:color="auto"/>
                <w:bottom w:val="none" w:sz="0" w:space="0" w:color="auto"/>
                <w:right w:val="none" w:sz="0" w:space="0" w:color="auto"/>
              </w:divBdr>
              <w:divsChild>
                <w:div w:id="1783645902">
                  <w:marLeft w:val="0"/>
                  <w:marRight w:val="0"/>
                  <w:marTop w:val="0"/>
                  <w:marBottom w:val="0"/>
                  <w:divBdr>
                    <w:top w:val="none" w:sz="0" w:space="0" w:color="auto"/>
                    <w:left w:val="none" w:sz="0" w:space="0" w:color="auto"/>
                    <w:bottom w:val="none" w:sz="0" w:space="0" w:color="auto"/>
                    <w:right w:val="none" w:sz="0" w:space="0" w:color="auto"/>
                  </w:divBdr>
                  <w:divsChild>
                    <w:div w:id="601765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2448760">
      <w:bodyDiv w:val="1"/>
      <w:marLeft w:val="0"/>
      <w:marRight w:val="0"/>
      <w:marTop w:val="0"/>
      <w:marBottom w:val="0"/>
      <w:divBdr>
        <w:top w:val="none" w:sz="0" w:space="0" w:color="auto"/>
        <w:left w:val="none" w:sz="0" w:space="0" w:color="auto"/>
        <w:bottom w:val="none" w:sz="0" w:space="0" w:color="auto"/>
        <w:right w:val="none" w:sz="0" w:space="0" w:color="auto"/>
      </w:divBdr>
    </w:div>
    <w:div w:id="1858428257">
      <w:bodyDiv w:val="1"/>
      <w:marLeft w:val="0"/>
      <w:marRight w:val="0"/>
      <w:marTop w:val="0"/>
      <w:marBottom w:val="0"/>
      <w:divBdr>
        <w:top w:val="none" w:sz="0" w:space="0" w:color="auto"/>
        <w:left w:val="none" w:sz="0" w:space="0" w:color="auto"/>
        <w:bottom w:val="none" w:sz="0" w:space="0" w:color="auto"/>
        <w:right w:val="none" w:sz="0" w:space="0" w:color="auto"/>
      </w:divBdr>
      <w:divsChild>
        <w:div w:id="79370786">
          <w:marLeft w:val="562"/>
          <w:marRight w:val="0"/>
          <w:marTop w:val="0"/>
          <w:marBottom w:val="120"/>
          <w:divBdr>
            <w:top w:val="none" w:sz="0" w:space="0" w:color="auto"/>
            <w:left w:val="none" w:sz="0" w:space="0" w:color="auto"/>
            <w:bottom w:val="none" w:sz="0" w:space="0" w:color="auto"/>
            <w:right w:val="none" w:sz="0" w:space="0" w:color="auto"/>
          </w:divBdr>
        </w:div>
        <w:div w:id="142746445">
          <w:marLeft w:val="562"/>
          <w:marRight w:val="0"/>
          <w:marTop w:val="0"/>
          <w:marBottom w:val="120"/>
          <w:divBdr>
            <w:top w:val="none" w:sz="0" w:space="0" w:color="auto"/>
            <w:left w:val="none" w:sz="0" w:space="0" w:color="auto"/>
            <w:bottom w:val="none" w:sz="0" w:space="0" w:color="auto"/>
            <w:right w:val="none" w:sz="0" w:space="0" w:color="auto"/>
          </w:divBdr>
        </w:div>
        <w:div w:id="274797495">
          <w:marLeft w:val="274"/>
          <w:marRight w:val="0"/>
          <w:marTop w:val="0"/>
          <w:marBottom w:val="120"/>
          <w:divBdr>
            <w:top w:val="none" w:sz="0" w:space="0" w:color="auto"/>
            <w:left w:val="none" w:sz="0" w:space="0" w:color="auto"/>
            <w:bottom w:val="none" w:sz="0" w:space="0" w:color="auto"/>
            <w:right w:val="none" w:sz="0" w:space="0" w:color="auto"/>
          </w:divBdr>
        </w:div>
        <w:div w:id="1077047700">
          <w:marLeft w:val="274"/>
          <w:marRight w:val="0"/>
          <w:marTop w:val="0"/>
          <w:marBottom w:val="120"/>
          <w:divBdr>
            <w:top w:val="none" w:sz="0" w:space="0" w:color="auto"/>
            <w:left w:val="none" w:sz="0" w:space="0" w:color="auto"/>
            <w:bottom w:val="none" w:sz="0" w:space="0" w:color="auto"/>
            <w:right w:val="none" w:sz="0" w:space="0" w:color="auto"/>
          </w:divBdr>
        </w:div>
        <w:div w:id="1494493084">
          <w:marLeft w:val="274"/>
          <w:marRight w:val="0"/>
          <w:marTop w:val="0"/>
          <w:marBottom w:val="120"/>
          <w:divBdr>
            <w:top w:val="none" w:sz="0" w:space="0" w:color="auto"/>
            <w:left w:val="none" w:sz="0" w:space="0" w:color="auto"/>
            <w:bottom w:val="none" w:sz="0" w:space="0" w:color="auto"/>
            <w:right w:val="none" w:sz="0" w:space="0" w:color="auto"/>
          </w:divBdr>
        </w:div>
        <w:div w:id="1931427013">
          <w:marLeft w:val="274"/>
          <w:marRight w:val="0"/>
          <w:marTop w:val="0"/>
          <w:marBottom w:val="120"/>
          <w:divBdr>
            <w:top w:val="none" w:sz="0" w:space="0" w:color="auto"/>
            <w:left w:val="none" w:sz="0" w:space="0" w:color="auto"/>
            <w:bottom w:val="none" w:sz="0" w:space="0" w:color="auto"/>
            <w:right w:val="none" w:sz="0" w:space="0" w:color="auto"/>
          </w:divBdr>
        </w:div>
      </w:divsChild>
    </w:div>
    <w:div w:id="1864509608">
      <w:bodyDiv w:val="1"/>
      <w:marLeft w:val="0"/>
      <w:marRight w:val="0"/>
      <w:marTop w:val="0"/>
      <w:marBottom w:val="0"/>
      <w:divBdr>
        <w:top w:val="none" w:sz="0" w:space="0" w:color="auto"/>
        <w:left w:val="none" w:sz="0" w:space="0" w:color="auto"/>
        <w:bottom w:val="none" w:sz="0" w:space="0" w:color="auto"/>
        <w:right w:val="none" w:sz="0" w:space="0" w:color="auto"/>
      </w:divBdr>
    </w:div>
    <w:div w:id="1864786595">
      <w:bodyDiv w:val="1"/>
      <w:marLeft w:val="0"/>
      <w:marRight w:val="0"/>
      <w:marTop w:val="0"/>
      <w:marBottom w:val="0"/>
      <w:divBdr>
        <w:top w:val="none" w:sz="0" w:space="0" w:color="auto"/>
        <w:left w:val="none" w:sz="0" w:space="0" w:color="auto"/>
        <w:bottom w:val="none" w:sz="0" w:space="0" w:color="auto"/>
        <w:right w:val="none" w:sz="0" w:space="0" w:color="auto"/>
      </w:divBdr>
      <w:divsChild>
        <w:div w:id="1130589818">
          <w:marLeft w:val="360"/>
          <w:marRight w:val="0"/>
          <w:marTop w:val="0"/>
          <w:marBottom w:val="0"/>
          <w:divBdr>
            <w:top w:val="none" w:sz="0" w:space="0" w:color="auto"/>
            <w:left w:val="none" w:sz="0" w:space="0" w:color="auto"/>
            <w:bottom w:val="none" w:sz="0" w:space="0" w:color="auto"/>
            <w:right w:val="none" w:sz="0" w:space="0" w:color="auto"/>
          </w:divBdr>
        </w:div>
      </w:divsChild>
    </w:div>
    <w:div w:id="1866862587">
      <w:bodyDiv w:val="1"/>
      <w:marLeft w:val="0"/>
      <w:marRight w:val="0"/>
      <w:marTop w:val="0"/>
      <w:marBottom w:val="0"/>
      <w:divBdr>
        <w:top w:val="none" w:sz="0" w:space="0" w:color="auto"/>
        <w:left w:val="none" w:sz="0" w:space="0" w:color="auto"/>
        <w:bottom w:val="none" w:sz="0" w:space="0" w:color="auto"/>
        <w:right w:val="none" w:sz="0" w:space="0" w:color="auto"/>
      </w:divBdr>
    </w:div>
    <w:div w:id="1872066561">
      <w:bodyDiv w:val="1"/>
      <w:marLeft w:val="0"/>
      <w:marRight w:val="0"/>
      <w:marTop w:val="0"/>
      <w:marBottom w:val="0"/>
      <w:divBdr>
        <w:top w:val="none" w:sz="0" w:space="0" w:color="auto"/>
        <w:left w:val="none" w:sz="0" w:space="0" w:color="auto"/>
        <w:bottom w:val="none" w:sz="0" w:space="0" w:color="auto"/>
        <w:right w:val="none" w:sz="0" w:space="0" w:color="auto"/>
      </w:divBdr>
    </w:div>
    <w:div w:id="1875725780">
      <w:bodyDiv w:val="1"/>
      <w:marLeft w:val="0"/>
      <w:marRight w:val="0"/>
      <w:marTop w:val="0"/>
      <w:marBottom w:val="0"/>
      <w:divBdr>
        <w:top w:val="none" w:sz="0" w:space="0" w:color="auto"/>
        <w:left w:val="none" w:sz="0" w:space="0" w:color="auto"/>
        <w:bottom w:val="none" w:sz="0" w:space="0" w:color="auto"/>
        <w:right w:val="none" w:sz="0" w:space="0" w:color="auto"/>
      </w:divBdr>
    </w:div>
    <w:div w:id="1876311395">
      <w:bodyDiv w:val="1"/>
      <w:marLeft w:val="0"/>
      <w:marRight w:val="0"/>
      <w:marTop w:val="0"/>
      <w:marBottom w:val="0"/>
      <w:divBdr>
        <w:top w:val="none" w:sz="0" w:space="0" w:color="auto"/>
        <w:left w:val="none" w:sz="0" w:space="0" w:color="auto"/>
        <w:bottom w:val="none" w:sz="0" w:space="0" w:color="auto"/>
        <w:right w:val="none" w:sz="0" w:space="0" w:color="auto"/>
      </w:divBdr>
    </w:div>
    <w:div w:id="1881282467">
      <w:bodyDiv w:val="1"/>
      <w:marLeft w:val="0"/>
      <w:marRight w:val="0"/>
      <w:marTop w:val="0"/>
      <w:marBottom w:val="0"/>
      <w:divBdr>
        <w:top w:val="none" w:sz="0" w:space="0" w:color="auto"/>
        <w:left w:val="none" w:sz="0" w:space="0" w:color="auto"/>
        <w:bottom w:val="none" w:sz="0" w:space="0" w:color="auto"/>
        <w:right w:val="none" w:sz="0" w:space="0" w:color="auto"/>
      </w:divBdr>
    </w:div>
    <w:div w:id="1882746812">
      <w:bodyDiv w:val="1"/>
      <w:marLeft w:val="0"/>
      <w:marRight w:val="0"/>
      <w:marTop w:val="0"/>
      <w:marBottom w:val="0"/>
      <w:divBdr>
        <w:top w:val="none" w:sz="0" w:space="0" w:color="auto"/>
        <w:left w:val="none" w:sz="0" w:space="0" w:color="auto"/>
        <w:bottom w:val="none" w:sz="0" w:space="0" w:color="auto"/>
        <w:right w:val="none" w:sz="0" w:space="0" w:color="auto"/>
      </w:divBdr>
    </w:div>
    <w:div w:id="1883443376">
      <w:bodyDiv w:val="1"/>
      <w:marLeft w:val="0"/>
      <w:marRight w:val="0"/>
      <w:marTop w:val="0"/>
      <w:marBottom w:val="0"/>
      <w:divBdr>
        <w:top w:val="none" w:sz="0" w:space="0" w:color="auto"/>
        <w:left w:val="none" w:sz="0" w:space="0" w:color="auto"/>
        <w:bottom w:val="none" w:sz="0" w:space="0" w:color="auto"/>
        <w:right w:val="none" w:sz="0" w:space="0" w:color="auto"/>
      </w:divBdr>
      <w:divsChild>
        <w:div w:id="215626074">
          <w:marLeft w:val="274"/>
          <w:marRight w:val="0"/>
          <w:marTop w:val="0"/>
          <w:marBottom w:val="0"/>
          <w:divBdr>
            <w:top w:val="none" w:sz="0" w:space="0" w:color="auto"/>
            <w:left w:val="none" w:sz="0" w:space="0" w:color="auto"/>
            <w:bottom w:val="none" w:sz="0" w:space="0" w:color="auto"/>
            <w:right w:val="none" w:sz="0" w:space="0" w:color="auto"/>
          </w:divBdr>
        </w:div>
      </w:divsChild>
    </w:div>
    <w:div w:id="1889536670">
      <w:bodyDiv w:val="1"/>
      <w:marLeft w:val="0"/>
      <w:marRight w:val="0"/>
      <w:marTop w:val="0"/>
      <w:marBottom w:val="0"/>
      <w:divBdr>
        <w:top w:val="none" w:sz="0" w:space="0" w:color="auto"/>
        <w:left w:val="none" w:sz="0" w:space="0" w:color="auto"/>
        <w:bottom w:val="none" w:sz="0" w:space="0" w:color="auto"/>
        <w:right w:val="none" w:sz="0" w:space="0" w:color="auto"/>
      </w:divBdr>
    </w:div>
    <w:div w:id="1899895397">
      <w:bodyDiv w:val="1"/>
      <w:marLeft w:val="0"/>
      <w:marRight w:val="0"/>
      <w:marTop w:val="0"/>
      <w:marBottom w:val="0"/>
      <w:divBdr>
        <w:top w:val="none" w:sz="0" w:space="0" w:color="auto"/>
        <w:left w:val="none" w:sz="0" w:space="0" w:color="auto"/>
        <w:bottom w:val="none" w:sz="0" w:space="0" w:color="auto"/>
        <w:right w:val="none" w:sz="0" w:space="0" w:color="auto"/>
      </w:divBdr>
    </w:div>
    <w:div w:id="1910773435">
      <w:bodyDiv w:val="1"/>
      <w:marLeft w:val="0"/>
      <w:marRight w:val="0"/>
      <w:marTop w:val="0"/>
      <w:marBottom w:val="0"/>
      <w:divBdr>
        <w:top w:val="none" w:sz="0" w:space="0" w:color="auto"/>
        <w:left w:val="none" w:sz="0" w:space="0" w:color="auto"/>
        <w:bottom w:val="none" w:sz="0" w:space="0" w:color="auto"/>
        <w:right w:val="none" w:sz="0" w:space="0" w:color="auto"/>
      </w:divBdr>
      <w:divsChild>
        <w:div w:id="1492332303">
          <w:marLeft w:val="274"/>
          <w:marRight w:val="0"/>
          <w:marTop w:val="0"/>
          <w:marBottom w:val="60"/>
          <w:divBdr>
            <w:top w:val="none" w:sz="0" w:space="0" w:color="auto"/>
            <w:left w:val="none" w:sz="0" w:space="0" w:color="auto"/>
            <w:bottom w:val="none" w:sz="0" w:space="0" w:color="auto"/>
            <w:right w:val="none" w:sz="0" w:space="0" w:color="auto"/>
          </w:divBdr>
        </w:div>
      </w:divsChild>
    </w:div>
    <w:div w:id="1910925131">
      <w:bodyDiv w:val="1"/>
      <w:marLeft w:val="0"/>
      <w:marRight w:val="0"/>
      <w:marTop w:val="0"/>
      <w:marBottom w:val="0"/>
      <w:divBdr>
        <w:top w:val="none" w:sz="0" w:space="0" w:color="auto"/>
        <w:left w:val="none" w:sz="0" w:space="0" w:color="auto"/>
        <w:bottom w:val="none" w:sz="0" w:space="0" w:color="auto"/>
        <w:right w:val="none" w:sz="0" w:space="0" w:color="auto"/>
      </w:divBdr>
    </w:div>
    <w:div w:id="1914776540">
      <w:bodyDiv w:val="1"/>
      <w:marLeft w:val="0"/>
      <w:marRight w:val="0"/>
      <w:marTop w:val="0"/>
      <w:marBottom w:val="0"/>
      <w:divBdr>
        <w:top w:val="none" w:sz="0" w:space="0" w:color="auto"/>
        <w:left w:val="none" w:sz="0" w:space="0" w:color="auto"/>
        <w:bottom w:val="none" w:sz="0" w:space="0" w:color="auto"/>
        <w:right w:val="none" w:sz="0" w:space="0" w:color="auto"/>
      </w:divBdr>
    </w:div>
    <w:div w:id="1917863256">
      <w:bodyDiv w:val="1"/>
      <w:marLeft w:val="0"/>
      <w:marRight w:val="0"/>
      <w:marTop w:val="0"/>
      <w:marBottom w:val="0"/>
      <w:divBdr>
        <w:top w:val="none" w:sz="0" w:space="0" w:color="auto"/>
        <w:left w:val="none" w:sz="0" w:space="0" w:color="auto"/>
        <w:bottom w:val="none" w:sz="0" w:space="0" w:color="auto"/>
        <w:right w:val="none" w:sz="0" w:space="0" w:color="auto"/>
      </w:divBdr>
    </w:div>
    <w:div w:id="1941182293">
      <w:bodyDiv w:val="1"/>
      <w:marLeft w:val="0"/>
      <w:marRight w:val="0"/>
      <w:marTop w:val="0"/>
      <w:marBottom w:val="0"/>
      <w:divBdr>
        <w:top w:val="none" w:sz="0" w:space="0" w:color="auto"/>
        <w:left w:val="none" w:sz="0" w:space="0" w:color="auto"/>
        <w:bottom w:val="none" w:sz="0" w:space="0" w:color="auto"/>
        <w:right w:val="none" w:sz="0" w:space="0" w:color="auto"/>
      </w:divBdr>
    </w:div>
    <w:div w:id="1942375499">
      <w:bodyDiv w:val="1"/>
      <w:marLeft w:val="0"/>
      <w:marRight w:val="0"/>
      <w:marTop w:val="0"/>
      <w:marBottom w:val="0"/>
      <w:divBdr>
        <w:top w:val="none" w:sz="0" w:space="0" w:color="auto"/>
        <w:left w:val="none" w:sz="0" w:space="0" w:color="auto"/>
        <w:bottom w:val="none" w:sz="0" w:space="0" w:color="auto"/>
        <w:right w:val="none" w:sz="0" w:space="0" w:color="auto"/>
      </w:divBdr>
    </w:div>
    <w:div w:id="1945530706">
      <w:bodyDiv w:val="1"/>
      <w:marLeft w:val="0"/>
      <w:marRight w:val="0"/>
      <w:marTop w:val="0"/>
      <w:marBottom w:val="0"/>
      <w:divBdr>
        <w:top w:val="none" w:sz="0" w:space="0" w:color="auto"/>
        <w:left w:val="none" w:sz="0" w:space="0" w:color="auto"/>
        <w:bottom w:val="none" w:sz="0" w:space="0" w:color="auto"/>
        <w:right w:val="none" w:sz="0" w:space="0" w:color="auto"/>
      </w:divBdr>
    </w:div>
    <w:div w:id="1946958850">
      <w:bodyDiv w:val="1"/>
      <w:marLeft w:val="0"/>
      <w:marRight w:val="0"/>
      <w:marTop w:val="0"/>
      <w:marBottom w:val="0"/>
      <w:divBdr>
        <w:top w:val="none" w:sz="0" w:space="0" w:color="auto"/>
        <w:left w:val="none" w:sz="0" w:space="0" w:color="auto"/>
        <w:bottom w:val="none" w:sz="0" w:space="0" w:color="auto"/>
        <w:right w:val="none" w:sz="0" w:space="0" w:color="auto"/>
      </w:divBdr>
    </w:div>
    <w:div w:id="1952470107">
      <w:bodyDiv w:val="1"/>
      <w:marLeft w:val="0"/>
      <w:marRight w:val="0"/>
      <w:marTop w:val="0"/>
      <w:marBottom w:val="0"/>
      <w:divBdr>
        <w:top w:val="none" w:sz="0" w:space="0" w:color="auto"/>
        <w:left w:val="none" w:sz="0" w:space="0" w:color="auto"/>
        <w:bottom w:val="none" w:sz="0" w:space="0" w:color="auto"/>
        <w:right w:val="none" w:sz="0" w:space="0" w:color="auto"/>
      </w:divBdr>
    </w:div>
    <w:div w:id="1952856823">
      <w:bodyDiv w:val="1"/>
      <w:marLeft w:val="0"/>
      <w:marRight w:val="0"/>
      <w:marTop w:val="0"/>
      <w:marBottom w:val="0"/>
      <w:divBdr>
        <w:top w:val="none" w:sz="0" w:space="0" w:color="auto"/>
        <w:left w:val="none" w:sz="0" w:space="0" w:color="auto"/>
        <w:bottom w:val="none" w:sz="0" w:space="0" w:color="auto"/>
        <w:right w:val="none" w:sz="0" w:space="0" w:color="auto"/>
      </w:divBdr>
    </w:div>
    <w:div w:id="1956059322">
      <w:bodyDiv w:val="1"/>
      <w:marLeft w:val="0"/>
      <w:marRight w:val="0"/>
      <w:marTop w:val="0"/>
      <w:marBottom w:val="0"/>
      <w:divBdr>
        <w:top w:val="none" w:sz="0" w:space="0" w:color="auto"/>
        <w:left w:val="none" w:sz="0" w:space="0" w:color="auto"/>
        <w:bottom w:val="none" w:sz="0" w:space="0" w:color="auto"/>
        <w:right w:val="none" w:sz="0" w:space="0" w:color="auto"/>
      </w:divBdr>
    </w:div>
    <w:div w:id="1957173035">
      <w:bodyDiv w:val="1"/>
      <w:marLeft w:val="0"/>
      <w:marRight w:val="0"/>
      <w:marTop w:val="0"/>
      <w:marBottom w:val="0"/>
      <w:divBdr>
        <w:top w:val="none" w:sz="0" w:space="0" w:color="auto"/>
        <w:left w:val="none" w:sz="0" w:space="0" w:color="auto"/>
        <w:bottom w:val="none" w:sz="0" w:space="0" w:color="auto"/>
        <w:right w:val="none" w:sz="0" w:space="0" w:color="auto"/>
      </w:divBdr>
    </w:div>
    <w:div w:id="1970237285">
      <w:bodyDiv w:val="1"/>
      <w:marLeft w:val="0"/>
      <w:marRight w:val="0"/>
      <w:marTop w:val="0"/>
      <w:marBottom w:val="0"/>
      <w:divBdr>
        <w:top w:val="none" w:sz="0" w:space="0" w:color="auto"/>
        <w:left w:val="none" w:sz="0" w:space="0" w:color="auto"/>
        <w:bottom w:val="none" w:sz="0" w:space="0" w:color="auto"/>
        <w:right w:val="none" w:sz="0" w:space="0" w:color="auto"/>
      </w:divBdr>
    </w:div>
    <w:div w:id="1972132549">
      <w:bodyDiv w:val="1"/>
      <w:marLeft w:val="0"/>
      <w:marRight w:val="0"/>
      <w:marTop w:val="0"/>
      <w:marBottom w:val="0"/>
      <w:divBdr>
        <w:top w:val="none" w:sz="0" w:space="0" w:color="auto"/>
        <w:left w:val="none" w:sz="0" w:space="0" w:color="auto"/>
        <w:bottom w:val="none" w:sz="0" w:space="0" w:color="auto"/>
        <w:right w:val="none" w:sz="0" w:space="0" w:color="auto"/>
      </w:divBdr>
    </w:div>
    <w:div w:id="1975018370">
      <w:bodyDiv w:val="1"/>
      <w:marLeft w:val="0"/>
      <w:marRight w:val="0"/>
      <w:marTop w:val="0"/>
      <w:marBottom w:val="0"/>
      <w:divBdr>
        <w:top w:val="none" w:sz="0" w:space="0" w:color="auto"/>
        <w:left w:val="none" w:sz="0" w:space="0" w:color="auto"/>
        <w:bottom w:val="none" w:sz="0" w:space="0" w:color="auto"/>
        <w:right w:val="none" w:sz="0" w:space="0" w:color="auto"/>
      </w:divBdr>
    </w:div>
    <w:div w:id="1975476582">
      <w:bodyDiv w:val="1"/>
      <w:marLeft w:val="0"/>
      <w:marRight w:val="0"/>
      <w:marTop w:val="0"/>
      <w:marBottom w:val="0"/>
      <w:divBdr>
        <w:top w:val="none" w:sz="0" w:space="0" w:color="auto"/>
        <w:left w:val="none" w:sz="0" w:space="0" w:color="auto"/>
        <w:bottom w:val="none" w:sz="0" w:space="0" w:color="auto"/>
        <w:right w:val="none" w:sz="0" w:space="0" w:color="auto"/>
      </w:divBdr>
    </w:div>
    <w:div w:id="1976137716">
      <w:bodyDiv w:val="1"/>
      <w:marLeft w:val="0"/>
      <w:marRight w:val="0"/>
      <w:marTop w:val="0"/>
      <w:marBottom w:val="0"/>
      <w:divBdr>
        <w:top w:val="none" w:sz="0" w:space="0" w:color="auto"/>
        <w:left w:val="none" w:sz="0" w:space="0" w:color="auto"/>
        <w:bottom w:val="none" w:sz="0" w:space="0" w:color="auto"/>
        <w:right w:val="none" w:sz="0" w:space="0" w:color="auto"/>
      </w:divBdr>
    </w:div>
    <w:div w:id="1979332501">
      <w:bodyDiv w:val="1"/>
      <w:marLeft w:val="0"/>
      <w:marRight w:val="0"/>
      <w:marTop w:val="0"/>
      <w:marBottom w:val="0"/>
      <w:divBdr>
        <w:top w:val="none" w:sz="0" w:space="0" w:color="auto"/>
        <w:left w:val="none" w:sz="0" w:space="0" w:color="auto"/>
        <w:bottom w:val="none" w:sz="0" w:space="0" w:color="auto"/>
        <w:right w:val="none" w:sz="0" w:space="0" w:color="auto"/>
      </w:divBdr>
    </w:div>
    <w:div w:id="1980916603">
      <w:bodyDiv w:val="1"/>
      <w:marLeft w:val="0"/>
      <w:marRight w:val="0"/>
      <w:marTop w:val="0"/>
      <w:marBottom w:val="0"/>
      <w:divBdr>
        <w:top w:val="none" w:sz="0" w:space="0" w:color="auto"/>
        <w:left w:val="none" w:sz="0" w:space="0" w:color="auto"/>
        <w:bottom w:val="none" w:sz="0" w:space="0" w:color="auto"/>
        <w:right w:val="none" w:sz="0" w:space="0" w:color="auto"/>
      </w:divBdr>
    </w:div>
    <w:div w:id="1982347965">
      <w:bodyDiv w:val="1"/>
      <w:marLeft w:val="0"/>
      <w:marRight w:val="0"/>
      <w:marTop w:val="0"/>
      <w:marBottom w:val="0"/>
      <w:divBdr>
        <w:top w:val="none" w:sz="0" w:space="0" w:color="auto"/>
        <w:left w:val="none" w:sz="0" w:space="0" w:color="auto"/>
        <w:bottom w:val="none" w:sz="0" w:space="0" w:color="auto"/>
        <w:right w:val="none" w:sz="0" w:space="0" w:color="auto"/>
      </w:divBdr>
    </w:div>
    <w:div w:id="1986540343">
      <w:bodyDiv w:val="1"/>
      <w:marLeft w:val="0"/>
      <w:marRight w:val="0"/>
      <w:marTop w:val="0"/>
      <w:marBottom w:val="0"/>
      <w:divBdr>
        <w:top w:val="none" w:sz="0" w:space="0" w:color="auto"/>
        <w:left w:val="none" w:sz="0" w:space="0" w:color="auto"/>
        <w:bottom w:val="none" w:sz="0" w:space="0" w:color="auto"/>
        <w:right w:val="none" w:sz="0" w:space="0" w:color="auto"/>
      </w:divBdr>
    </w:div>
    <w:div w:id="1989433216">
      <w:bodyDiv w:val="1"/>
      <w:marLeft w:val="0"/>
      <w:marRight w:val="0"/>
      <w:marTop w:val="0"/>
      <w:marBottom w:val="0"/>
      <w:divBdr>
        <w:top w:val="none" w:sz="0" w:space="0" w:color="auto"/>
        <w:left w:val="none" w:sz="0" w:space="0" w:color="auto"/>
        <w:bottom w:val="none" w:sz="0" w:space="0" w:color="auto"/>
        <w:right w:val="none" w:sz="0" w:space="0" w:color="auto"/>
      </w:divBdr>
    </w:div>
    <w:div w:id="1996643046">
      <w:bodyDiv w:val="1"/>
      <w:marLeft w:val="0"/>
      <w:marRight w:val="0"/>
      <w:marTop w:val="0"/>
      <w:marBottom w:val="0"/>
      <w:divBdr>
        <w:top w:val="none" w:sz="0" w:space="0" w:color="auto"/>
        <w:left w:val="none" w:sz="0" w:space="0" w:color="auto"/>
        <w:bottom w:val="none" w:sz="0" w:space="0" w:color="auto"/>
        <w:right w:val="none" w:sz="0" w:space="0" w:color="auto"/>
      </w:divBdr>
      <w:divsChild>
        <w:div w:id="1360155945">
          <w:marLeft w:val="274"/>
          <w:marRight w:val="0"/>
          <w:marTop w:val="0"/>
          <w:marBottom w:val="40"/>
          <w:divBdr>
            <w:top w:val="none" w:sz="0" w:space="0" w:color="auto"/>
            <w:left w:val="none" w:sz="0" w:space="0" w:color="auto"/>
            <w:bottom w:val="none" w:sz="0" w:space="0" w:color="auto"/>
            <w:right w:val="none" w:sz="0" w:space="0" w:color="auto"/>
          </w:divBdr>
        </w:div>
        <w:div w:id="1912622004">
          <w:marLeft w:val="274"/>
          <w:marRight w:val="0"/>
          <w:marTop w:val="0"/>
          <w:marBottom w:val="40"/>
          <w:divBdr>
            <w:top w:val="none" w:sz="0" w:space="0" w:color="auto"/>
            <w:left w:val="none" w:sz="0" w:space="0" w:color="auto"/>
            <w:bottom w:val="none" w:sz="0" w:space="0" w:color="auto"/>
            <w:right w:val="none" w:sz="0" w:space="0" w:color="auto"/>
          </w:divBdr>
        </w:div>
        <w:div w:id="1994747461">
          <w:marLeft w:val="274"/>
          <w:marRight w:val="0"/>
          <w:marTop w:val="0"/>
          <w:marBottom w:val="40"/>
          <w:divBdr>
            <w:top w:val="none" w:sz="0" w:space="0" w:color="auto"/>
            <w:left w:val="none" w:sz="0" w:space="0" w:color="auto"/>
            <w:bottom w:val="none" w:sz="0" w:space="0" w:color="auto"/>
            <w:right w:val="none" w:sz="0" w:space="0" w:color="auto"/>
          </w:divBdr>
        </w:div>
      </w:divsChild>
    </w:div>
    <w:div w:id="1996764565">
      <w:bodyDiv w:val="1"/>
      <w:marLeft w:val="0"/>
      <w:marRight w:val="0"/>
      <w:marTop w:val="0"/>
      <w:marBottom w:val="0"/>
      <w:divBdr>
        <w:top w:val="none" w:sz="0" w:space="0" w:color="auto"/>
        <w:left w:val="none" w:sz="0" w:space="0" w:color="auto"/>
        <w:bottom w:val="none" w:sz="0" w:space="0" w:color="auto"/>
        <w:right w:val="none" w:sz="0" w:space="0" w:color="auto"/>
      </w:divBdr>
      <w:divsChild>
        <w:div w:id="505217437">
          <w:marLeft w:val="0"/>
          <w:marRight w:val="0"/>
          <w:marTop w:val="0"/>
          <w:marBottom w:val="0"/>
          <w:divBdr>
            <w:top w:val="none" w:sz="0" w:space="0" w:color="auto"/>
            <w:left w:val="none" w:sz="0" w:space="0" w:color="auto"/>
            <w:bottom w:val="none" w:sz="0" w:space="0" w:color="auto"/>
            <w:right w:val="none" w:sz="0" w:space="0" w:color="auto"/>
          </w:divBdr>
          <w:divsChild>
            <w:div w:id="1992563654">
              <w:marLeft w:val="0"/>
              <w:marRight w:val="0"/>
              <w:marTop w:val="0"/>
              <w:marBottom w:val="0"/>
              <w:divBdr>
                <w:top w:val="none" w:sz="0" w:space="0" w:color="auto"/>
                <w:left w:val="none" w:sz="0" w:space="0" w:color="auto"/>
                <w:bottom w:val="none" w:sz="0" w:space="0" w:color="auto"/>
                <w:right w:val="none" w:sz="0" w:space="0" w:color="auto"/>
              </w:divBdr>
              <w:divsChild>
                <w:div w:id="1430203188">
                  <w:marLeft w:val="0"/>
                  <w:marRight w:val="0"/>
                  <w:marTop w:val="0"/>
                  <w:marBottom w:val="0"/>
                  <w:divBdr>
                    <w:top w:val="none" w:sz="0" w:space="0" w:color="auto"/>
                    <w:left w:val="none" w:sz="0" w:space="0" w:color="auto"/>
                    <w:bottom w:val="none" w:sz="0" w:space="0" w:color="auto"/>
                    <w:right w:val="none" w:sz="0" w:space="0" w:color="auto"/>
                  </w:divBdr>
                  <w:divsChild>
                    <w:div w:id="213451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3006984">
      <w:bodyDiv w:val="1"/>
      <w:marLeft w:val="0"/>
      <w:marRight w:val="0"/>
      <w:marTop w:val="0"/>
      <w:marBottom w:val="0"/>
      <w:divBdr>
        <w:top w:val="none" w:sz="0" w:space="0" w:color="auto"/>
        <w:left w:val="none" w:sz="0" w:space="0" w:color="auto"/>
        <w:bottom w:val="none" w:sz="0" w:space="0" w:color="auto"/>
        <w:right w:val="none" w:sz="0" w:space="0" w:color="auto"/>
      </w:divBdr>
    </w:div>
    <w:div w:id="2007321412">
      <w:bodyDiv w:val="1"/>
      <w:marLeft w:val="0"/>
      <w:marRight w:val="0"/>
      <w:marTop w:val="0"/>
      <w:marBottom w:val="0"/>
      <w:divBdr>
        <w:top w:val="none" w:sz="0" w:space="0" w:color="auto"/>
        <w:left w:val="none" w:sz="0" w:space="0" w:color="auto"/>
        <w:bottom w:val="none" w:sz="0" w:space="0" w:color="auto"/>
        <w:right w:val="none" w:sz="0" w:space="0" w:color="auto"/>
      </w:divBdr>
    </w:div>
    <w:div w:id="2007592192">
      <w:bodyDiv w:val="1"/>
      <w:marLeft w:val="0"/>
      <w:marRight w:val="0"/>
      <w:marTop w:val="0"/>
      <w:marBottom w:val="0"/>
      <w:divBdr>
        <w:top w:val="none" w:sz="0" w:space="0" w:color="auto"/>
        <w:left w:val="none" w:sz="0" w:space="0" w:color="auto"/>
        <w:bottom w:val="none" w:sz="0" w:space="0" w:color="auto"/>
        <w:right w:val="none" w:sz="0" w:space="0" w:color="auto"/>
      </w:divBdr>
    </w:div>
    <w:div w:id="2007702858">
      <w:bodyDiv w:val="1"/>
      <w:marLeft w:val="0"/>
      <w:marRight w:val="0"/>
      <w:marTop w:val="0"/>
      <w:marBottom w:val="0"/>
      <w:divBdr>
        <w:top w:val="none" w:sz="0" w:space="0" w:color="auto"/>
        <w:left w:val="none" w:sz="0" w:space="0" w:color="auto"/>
        <w:bottom w:val="none" w:sz="0" w:space="0" w:color="auto"/>
        <w:right w:val="none" w:sz="0" w:space="0" w:color="auto"/>
      </w:divBdr>
    </w:div>
    <w:div w:id="2016564685">
      <w:bodyDiv w:val="1"/>
      <w:marLeft w:val="0"/>
      <w:marRight w:val="0"/>
      <w:marTop w:val="0"/>
      <w:marBottom w:val="0"/>
      <w:divBdr>
        <w:top w:val="none" w:sz="0" w:space="0" w:color="auto"/>
        <w:left w:val="none" w:sz="0" w:space="0" w:color="auto"/>
        <w:bottom w:val="none" w:sz="0" w:space="0" w:color="auto"/>
        <w:right w:val="none" w:sz="0" w:space="0" w:color="auto"/>
      </w:divBdr>
    </w:div>
    <w:div w:id="2017683519">
      <w:bodyDiv w:val="1"/>
      <w:marLeft w:val="0"/>
      <w:marRight w:val="0"/>
      <w:marTop w:val="0"/>
      <w:marBottom w:val="0"/>
      <w:divBdr>
        <w:top w:val="none" w:sz="0" w:space="0" w:color="auto"/>
        <w:left w:val="none" w:sz="0" w:space="0" w:color="auto"/>
        <w:bottom w:val="none" w:sz="0" w:space="0" w:color="auto"/>
        <w:right w:val="none" w:sz="0" w:space="0" w:color="auto"/>
      </w:divBdr>
      <w:divsChild>
        <w:div w:id="807091230">
          <w:marLeft w:val="274"/>
          <w:marRight w:val="0"/>
          <w:marTop w:val="0"/>
          <w:marBottom w:val="160"/>
          <w:divBdr>
            <w:top w:val="none" w:sz="0" w:space="0" w:color="auto"/>
            <w:left w:val="none" w:sz="0" w:space="0" w:color="auto"/>
            <w:bottom w:val="none" w:sz="0" w:space="0" w:color="auto"/>
            <w:right w:val="none" w:sz="0" w:space="0" w:color="auto"/>
          </w:divBdr>
        </w:div>
        <w:div w:id="878514042">
          <w:marLeft w:val="274"/>
          <w:marRight w:val="0"/>
          <w:marTop w:val="0"/>
          <w:marBottom w:val="160"/>
          <w:divBdr>
            <w:top w:val="none" w:sz="0" w:space="0" w:color="auto"/>
            <w:left w:val="none" w:sz="0" w:space="0" w:color="auto"/>
            <w:bottom w:val="none" w:sz="0" w:space="0" w:color="auto"/>
            <w:right w:val="none" w:sz="0" w:space="0" w:color="auto"/>
          </w:divBdr>
        </w:div>
        <w:div w:id="1229413415">
          <w:marLeft w:val="274"/>
          <w:marRight w:val="0"/>
          <w:marTop w:val="0"/>
          <w:marBottom w:val="160"/>
          <w:divBdr>
            <w:top w:val="none" w:sz="0" w:space="0" w:color="auto"/>
            <w:left w:val="none" w:sz="0" w:space="0" w:color="auto"/>
            <w:bottom w:val="none" w:sz="0" w:space="0" w:color="auto"/>
            <w:right w:val="none" w:sz="0" w:space="0" w:color="auto"/>
          </w:divBdr>
        </w:div>
      </w:divsChild>
    </w:div>
    <w:div w:id="2023895358">
      <w:bodyDiv w:val="1"/>
      <w:marLeft w:val="0"/>
      <w:marRight w:val="0"/>
      <w:marTop w:val="0"/>
      <w:marBottom w:val="0"/>
      <w:divBdr>
        <w:top w:val="none" w:sz="0" w:space="0" w:color="auto"/>
        <w:left w:val="none" w:sz="0" w:space="0" w:color="auto"/>
        <w:bottom w:val="none" w:sz="0" w:space="0" w:color="auto"/>
        <w:right w:val="none" w:sz="0" w:space="0" w:color="auto"/>
      </w:divBdr>
    </w:div>
    <w:div w:id="2026900080">
      <w:bodyDiv w:val="1"/>
      <w:marLeft w:val="0"/>
      <w:marRight w:val="0"/>
      <w:marTop w:val="0"/>
      <w:marBottom w:val="0"/>
      <w:divBdr>
        <w:top w:val="none" w:sz="0" w:space="0" w:color="auto"/>
        <w:left w:val="none" w:sz="0" w:space="0" w:color="auto"/>
        <w:bottom w:val="none" w:sz="0" w:space="0" w:color="auto"/>
        <w:right w:val="none" w:sz="0" w:space="0" w:color="auto"/>
      </w:divBdr>
    </w:div>
    <w:div w:id="2029670122">
      <w:bodyDiv w:val="1"/>
      <w:marLeft w:val="0"/>
      <w:marRight w:val="0"/>
      <w:marTop w:val="0"/>
      <w:marBottom w:val="0"/>
      <w:divBdr>
        <w:top w:val="none" w:sz="0" w:space="0" w:color="auto"/>
        <w:left w:val="none" w:sz="0" w:space="0" w:color="auto"/>
        <w:bottom w:val="none" w:sz="0" w:space="0" w:color="auto"/>
        <w:right w:val="none" w:sz="0" w:space="0" w:color="auto"/>
      </w:divBdr>
    </w:div>
    <w:div w:id="2031374225">
      <w:bodyDiv w:val="1"/>
      <w:marLeft w:val="0"/>
      <w:marRight w:val="0"/>
      <w:marTop w:val="0"/>
      <w:marBottom w:val="0"/>
      <w:divBdr>
        <w:top w:val="none" w:sz="0" w:space="0" w:color="auto"/>
        <w:left w:val="none" w:sz="0" w:space="0" w:color="auto"/>
        <w:bottom w:val="none" w:sz="0" w:space="0" w:color="auto"/>
        <w:right w:val="none" w:sz="0" w:space="0" w:color="auto"/>
      </w:divBdr>
      <w:divsChild>
        <w:div w:id="189495564">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2031643917">
      <w:bodyDiv w:val="1"/>
      <w:marLeft w:val="0"/>
      <w:marRight w:val="0"/>
      <w:marTop w:val="0"/>
      <w:marBottom w:val="0"/>
      <w:divBdr>
        <w:top w:val="none" w:sz="0" w:space="0" w:color="auto"/>
        <w:left w:val="none" w:sz="0" w:space="0" w:color="auto"/>
        <w:bottom w:val="none" w:sz="0" w:space="0" w:color="auto"/>
        <w:right w:val="none" w:sz="0" w:space="0" w:color="auto"/>
      </w:divBdr>
    </w:div>
    <w:div w:id="2034065930">
      <w:bodyDiv w:val="1"/>
      <w:marLeft w:val="0"/>
      <w:marRight w:val="0"/>
      <w:marTop w:val="0"/>
      <w:marBottom w:val="0"/>
      <w:divBdr>
        <w:top w:val="none" w:sz="0" w:space="0" w:color="auto"/>
        <w:left w:val="none" w:sz="0" w:space="0" w:color="auto"/>
        <w:bottom w:val="none" w:sz="0" w:space="0" w:color="auto"/>
        <w:right w:val="none" w:sz="0" w:space="0" w:color="auto"/>
      </w:divBdr>
    </w:div>
    <w:div w:id="2038776669">
      <w:bodyDiv w:val="1"/>
      <w:marLeft w:val="0"/>
      <w:marRight w:val="0"/>
      <w:marTop w:val="0"/>
      <w:marBottom w:val="0"/>
      <w:divBdr>
        <w:top w:val="none" w:sz="0" w:space="0" w:color="auto"/>
        <w:left w:val="none" w:sz="0" w:space="0" w:color="auto"/>
        <w:bottom w:val="none" w:sz="0" w:space="0" w:color="auto"/>
        <w:right w:val="none" w:sz="0" w:space="0" w:color="auto"/>
      </w:divBdr>
    </w:div>
    <w:div w:id="2040202602">
      <w:bodyDiv w:val="1"/>
      <w:marLeft w:val="0"/>
      <w:marRight w:val="0"/>
      <w:marTop w:val="0"/>
      <w:marBottom w:val="0"/>
      <w:divBdr>
        <w:top w:val="none" w:sz="0" w:space="0" w:color="auto"/>
        <w:left w:val="none" w:sz="0" w:space="0" w:color="auto"/>
        <w:bottom w:val="none" w:sz="0" w:space="0" w:color="auto"/>
        <w:right w:val="none" w:sz="0" w:space="0" w:color="auto"/>
      </w:divBdr>
    </w:div>
    <w:div w:id="2041011239">
      <w:bodyDiv w:val="1"/>
      <w:marLeft w:val="0"/>
      <w:marRight w:val="0"/>
      <w:marTop w:val="0"/>
      <w:marBottom w:val="0"/>
      <w:divBdr>
        <w:top w:val="none" w:sz="0" w:space="0" w:color="auto"/>
        <w:left w:val="none" w:sz="0" w:space="0" w:color="auto"/>
        <w:bottom w:val="none" w:sz="0" w:space="0" w:color="auto"/>
        <w:right w:val="none" w:sz="0" w:space="0" w:color="auto"/>
      </w:divBdr>
      <w:divsChild>
        <w:div w:id="27725955">
          <w:marLeft w:val="274"/>
          <w:marRight w:val="0"/>
          <w:marTop w:val="0"/>
          <w:marBottom w:val="40"/>
          <w:divBdr>
            <w:top w:val="none" w:sz="0" w:space="0" w:color="auto"/>
            <w:left w:val="none" w:sz="0" w:space="0" w:color="auto"/>
            <w:bottom w:val="none" w:sz="0" w:space="0" w:color="auto"/>
            <w:right w:val="none" w:sz="0" w:space="0" w:color="auto"/>
          </w:divBdr>
        </w:div>
        <w:div w:id="602149252">
          <w:marLeft w:val="274"/>
          <w:marRight w:val="0"/>
          <w:marTop w:val="0"/>
          <w:marBottom w:val="40"/>
          <w:divBdr>
            <w:top w:val="none" w:sz="0" w:space="0" w:color="auto"/>
            <w:left w:val="none" w:sz="0" w:space="0" w:color="auto"/>
            <w:bottom w:val="none" w:sz="0" w:space="0" w:color="auto"/>
            <w:right w:val="none" w:sz="0" w:space="0" w:color="auto"/>
          </w:divBdr>
        </w:div>
      </w:divsChild>
    </w:div>
    <w:div w:id="2052921994">
      <w:bodyDiv w:val="1"/>
      <w:marLeft w:val="0"/>
      <w:marRight w:val="0"/>
      <w:marTop w:val="0"/>
      <w:marBottom w:val="0"/>
      <w:divBdr>
        <w:top w:val="none" w:sz="0" w:space="0" w:color="auto"/>
        <w:left w:val="none" w:sz="0" w:space="0" w:color="auto"/>
        <w:bottom w:val="none" w:sz="0" w:space="0" w:color="auto"/>
        <w:right w:val="none" w:sz="0" w:space="0" w:color="auto"/>
      </w:divBdr>
    </w:div>
    <w:div w:id="2053454808">
      <w:bodyDiv w:val="1"/>
      <w:marLeft w:val="0"/>
      <w:marRight w:val="0"/>
      <w:marTop w:val="0"/>
      <w:marBottom w:val="0"/>
      <w:divBdr>
        <w:top w:val="none" w:sz="0" w:space="0" w:color="auto"/>
        <w:left w:val="none" w:sz="0" w:space="0" w:color="auto"/>
        <w:bottom w:val="none" w:sz="0" w:space="0" w:color="auto"/>
        <w:right w:val="none" w:sz="0" w:space="0" w:color="auto"/>
      </w:divBdr>
    </w:div>
    <w:div w:id="2060743317">
      <w:bodyDiv w:val="1"/>
      <w:marLeft w:val="0"/>
      <w:marRight w:val="0"/>
      <w:marTop w:val="0"/>
      <w:marBottom w:val="0"/>
      <w:divBdr>
        <w:top w:val="none" w:sz="0" w:space="0" w:color="auto"/>
        <w:left w:val="none" w:sz="0" w:space="0" w:color="auto"/>
        <w:bottom w:val="none" w:sz="0" w:space="0" w:color="auto"/>
        <w:right w:val="none" w:sz="0" w:space="0" w:color="auto"/>
      </w:divBdr>
    </w:div>
    <w:div w:id="2069643769">
      <w:bodyDiv w:val="1"/>
      <w:marLeft w:val="0"/>
      <w:marRight w:val="0"/>
      <w:marTop w:val="0"/>
      <w:marBottom w:val="0"/>
      <w:divBdr>
        <w:top w:val="none" w:sz="0" w:space="0" w:color="auto"/>
        <w:left w:val="none" w:sz="0" w:space="0" w:color="auto"/>
        <w:bottom w:val="none" w:sz="0" w:space="0" w:color="auto"/>
        <w:right w:val="none" w:sz="0" w:space="0" w:color="auto"/>
      </w:divBdr>
    </w:div>
    <w:div w:id="2077243765">
      <w:bodyDiv w:val="1"/>
      <w:marLeft w:val="0"/>
      <w:marRight w:val="0"/>
      <w:marTop w:val="0"/>
      <w:marBottom w:val="0"/>
      <w:divBdr>
        <w:top w:val="none" w:sz="0" w:space="0" w:color="auto"/>
        <w:left w:val="none" w:sz="0" w:space="0" w:color="auto"/>
        <w:bottom w:val="none" w:sz="0" w:space="0" w:color="auto"/>
        <w:right w:val="none" w:sz="0" w:space="0" w:color="auto"/>
      </w:divBdr>
      <w:divsChild>
        <w:div w:id="1167134427">
          <w:marLeft w:val="360"/>
          <w:marRight w:val="0"/>
          <w:marTop w:val="0"/>
          <w:marBottom w:val="0"/>
          <w:divBdr>
            <w:top w:val="none" w:sz="0" w:space="0" w:color="auto"/>
            <w:left w:val="none" w:sz="0" w:space="0" w:color="auto"/>
            <w:bottom w:val="none" w:sz="0" w:space="0" w:color="auto"/>
            <w:right w:val="none" w:sz="0" w:space="0" w:color="auto"/>
          </w:divBdr>
        </w:div>
      </w:divsChild>
    </w:div>
    <w:div w:id="2079473915">
      <w:bodyDiv w:val="1"/>
      <w:marLeft w:val="0"/>
      <w:marRight w:val="0"/>
      <w:marTop w:val="0"/>
      <w:marBottom w:val="0"/>
      <w:divBdr>
        <w:top w:val="none" w:sz="0" w:space="0" w:color="auto"/>
        <w:left w:val="none" w:sz="0" w:space="0" w:color="auto"/>
        <w:bottom w:val="none" w:sz="0" w:space="0" w:color="auto"/>
        <w:right w:val="none" w:sz="0" w:space="0" w:color="auto"/>
      </w:divBdr>
    </w:div>
    <w:div w:id="2082017803">
      <w:bodyDiv w:val="1"/>
      <w:marLeft w:val="0"/>
      <w:marRight w:val="0"/>
      <w:marTop w:val="0"/>
      <w:marBottom w:val="0"/>
      <w:divBdr>
        <w:top w:val="none" w:sz="0" w:space="0" w:color="auto"/>
        <w:left w:val="none" w:sz="0" w:space="0" w:color="auto"/>
        <w:bottom w:val="none" w:sz="0" w:space="0" w:color="auto"/>
        <w:right w:val="none" w:sz="0" w:space="0" w:color="auto"/>
      </w:divBdr>
    </w:div>
    <w:div w:id="2083289335">
      <w:bodyDiv w:val="1"/>
      <w:marLeft w:val="0"/>
      <w:marRight w:val="0"/>
      <w:marTop w:val="0"/>
      <w:marBottom w:val="0"/>
      <w:divBdr>
        <w:top w:val="none" w:sz="0" w:space="0" w:color="auto"/>
        <w:left w:val="none" w:sz="0" w:space="0" w:color="auto"/>
        <w:bottom w:val="none" w:sz="0" w:space="0" w:color="auto"/>
        <w:right w:val="none" w:sz="0" w:space="0" w:color="auto"/>
      </w:divBdr>
    </w:div>
    <w:div w:id="2090299851">
      <w:bodyDiv w:val="1"/>
      <w:marLeft w:val="0"/>
      <w:marRight w:val="0"/>
      <w:marTop w:val="0"/>
      <w:marBottom w:val="0"/>
      <w:divBdr>
        <w:top w:val="none" w:sz="0" w:space="0" w:color="auto"/>
        <w:left w:val="none" w:sz="0" w:space="0" w:color="auto"/>
        <w:bottom w:val="none" w:sz="0" w:space="0" w:color="auto"/>
        <w:right w:val="none" w:sz="0" w:space="0" w:color="auto"/>
      </w:divBdr>
    </w:div>
    <w:div w:id="2095010442">
      <w:bodyDiv w:val="1"/>
      <w:marLeft w:val="0"/>
      <w:marRight w:val="0"/>
      <w:marTop w:val="0"/>
      <w:marBottom w:val="0"/>
      <w:divBdr>
        <w:top w:val="none" w:sz="0" w:space="0" w:color="auto"/>
        <w:left w:val="none" w:sz="0" w:space="0" w:color="auto"/>
        <w:bottom w:val="none" w:sz="0" w:space="0" w:color="auto"/>
        <w:right w:val="none" w:sz="0" w:space="0" w:color="auto"/>
      </w:divBdr>
      <w:divsChild>
        <w:div w:id="913010193">
          <w:marLeft w:val="230"/>
          <w:marRight w:val="0"/>
          <w:marTop w:val="60"/>
          <w:marBottom w:val="40"/>
          <w:divBdr>
            <w:top w:val="none" w:sz="0" w:space="0" w:color="auto"/>
            <w:left w:val="none" w:sz="0" w:space="0" w:color="auto"/>
            <w:bottom w:val="none" w:sz="0" w:space="0" w:color="auto"/>
            <w:right w:val="none" w:sz="0" w:space="0" w:color="auto"/>
          </w:divBdr>
        </w:div>
        <w:div w:id="1137646455">
          <w:marLeft w:val="230"/>
          <w:marRight w:val="0"/>
          <w:marTop w:val="60"/>
          <w:marBottom w:val="40"/>
          <w:divBdr>
            <w:top w:val="none" w:sz="0" w:space="0" w:color="auto"/>
            <w:left w:val="none" w:sz="0" w:space="0" w:color="auto"/>
            <w:bottom w:val="none" w:sz="0" w:space="0" w:color="auto"/>
            <w:right w:val="none" w:sz="0" w:space="0" w:color="auto"/>
          </w:divBdr>
        </w:div>
        <w:div w:id="1156534931">
          <w:marLeft w:val="230"/>
          <w:marRight w:val="0"/>
          <w:marTop w:val="60"/>
          <w:marBottom w:val="40"/>
          <w:divBdr>
            <w:top w:val="none" w:sz="0" w:space="0" w:color="auto"/>
            <w:left w:val="none" w:sz="0" w:space="0" w:color="auto"/>
            <w:bottom w:val="none" w:sz="0" w:space="0" w:color="auto"/>
            <w:right w:val="none" w:sz="0" w:space="0" w:color="auto"/>
          </w:divBdr>
        </w:div>
        <w:div w:id="1378046861">
          <w:marLeft w:val="230"/>
          <w:marRight w:val="0"/>
          <w:marTop w:val="60"/>
          <w:marBottom w:val="40"/>
          <w:divBdr>
            <w:top w:val="none" w:sz="0" w:space="0" w:color="auto"/>
            <w:left w:val="none" w:sz="0" w:space="0" w:color="auto"/>
            <w:bottom w:val="none" w:sz="0" w:space="0" w:color="auto"/>
            <w:right w:val="none" w:sz="0" w:space="0" w:color="auto"/>
          </w:divBdr>
        </w:div>
        <w:div w:id="1739982018">
          <w:marLeft w:val="230"/>
          <w:marRight w:val="0"/>
          <w:marTop w:val="60"/>
          <w:marBottom w:val="40"/>
          <w:divBdr>
            <w:top w:val="none" w:sz="0" w:space="0" w:color="auto"/>
            <w:left w:val="none" w:sz="0" w:space="0" w:color="auto"/>
            <w:bottom w:val="none" w:sz="0" w:space="0" w:color="auto"/>
            <w:right w:val="none" w:sz="0" w:space="0" w:color="auto"/>
          </w:divBdr>
        </w:div>
        <w:div w:id="2021470406">
          <w:marLeft w:val="230"/>
          <w:marRight w:val="0"/>
          <w:marTop w:val="60"/>
          <w:marBottom w:val="40"/>
          <w:divBdr>
            <w:top w:val="none" w:sz="0" w:space="0" w:color="auto"/>
            <w:left w:val="none" w:sz="0" w:space="0" w:color="auto"/>
            <w:bottom w:val="none" w:sz="0" w:space="0" w:color="auto"/>
            <w:right w:val="none" w:sz="0" w:space="0" w:color="auto"/>
          </w:divBdr>
        </w:div>
      </w:divsChild>
    </w:div>
    <w:div w:id="2097820078">
      <w:bodyDiv w:val="1"/>
      <w:marLeft w:val="0"/>
      <w:marRight w:val="0"/>
      <w:marTop w:val="0"/>
      <w:marBottom w:val="0"/>
      <w:divBdr>
        <w:top w:val="none" w:sz="0" w:space="0" w:color="auto"/>
        <w:left w:val="none" w:sz="0" w:space="0" w:color="auto"/>
        <w:bottom w:val="none" w:sz="0" w:space="0" w:color="auto"/>
        <w:right w:val="none" w:sz="0" w:space="0" w:color="auto"/>
      </w:divBdr>
      <w:divsChild>
        <w:div w:id="1736583508">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2099053360">
      <w:bodyDiv w:val="1"/>
      <w:marLeft w:val="0"/>
      <w:marRight w:val="0"/>
      <w:marTop w:val="0"/>
      <w:marBottom w:val="0"/>
      <w:divBdr>
        <w:top w:val="none" w:sz="0" w:space="0" w:color="auto"/>
        <w:left w:val="none" w:sz="0" w:space="0" w:color="auto"/>
        <w:bottom w:val="none" w:sz="0" w:space="0" w:color="auto"/>
        <w:right w:val="none" w:sz="0" w:space="0" w:color="auto"/>
      </w:divBdr>
    </w:div>
    <w:div w:id="2100366441">
      <w:bodyDiv w:val="1"/>
      <w:marLeft w:val="0"/>
      <w:marRight w:val="0"/>
      <w:marTop w:val="0"/>
      <w:marBottom w:val="0"/>
      <w:divBdr>
        <w:top w:val="none" w:sz="0" w:space="0" w:color="auto"/>
        <w:left w:val="none" w:sz="0" w:space="0" w:color="auto"/>
        <w:bottom w:val="none" w:sz="0" w:space="0" w:color="auto"/>
        <w:right w:val="none" w:sz="0" w:space="0" w:color="auto"/>
      </w:divBdr>
    </w:div>
    <w:div w:id="2101755199">
      <w:bodyDiv w:val="1"/>
      <w:marLeft w:val="0"/>
      <w:marRight w:val="0"/>
      <w:marTop w:val="0"/>
      <w:marBottom w:val="0"/>
      <w:divBdr>
        <w:top w:val="none" w:sz="0" w:space="0" w:color="auto"/>
        <w:left w:val="none" w:sz="0" w:space="0" w:color="auto"/>
        <w:bottom w:val="none" w:sz="0" w:space="0" w:color="auto"/>
        <w:right w:val="none" w:sz="0" w:space="0" w:color="auto"/>
      </w:divBdr>
    </w:div>
    <w:div w:id="2101829068">
      <w:bodyDiv w:val="1"/>
      <w:marLeft w:val="0"/>
      <w:marRight w:val="0"/>
      <w:marTop w:val="0"/>
      <w:marBottom w:val="0"/>
      <w:divBdr>
        <w:top w:val="none" w:sz="0" w:space="0" w:color="auto"/>
        <w:left w:val="none" w:sz="0" w:space="0" w:color="auto"/>
        <w:bottom w:val="none" w:sz="0" w:space="0" w:color="auto"/>
        <w:right w:val="none" w:sz="0" w:space="0" w:color="auto"/>
      </w:divBdr>
    </w:div>
    <w:div w:id="2113092057">
      <w:bodyDiv w:val="1"/>
      <w:marLeft w:val="0"/>
      <w:marRight w:val="0"/>
      <w:marTop w:val="0"/>
      <w:marBottom w:val="0"/>
      <w:divBdr>
        <w:top w:val="none" w:sz="0" w:space="0" w:color="auto"/>
        <w:left w:val="none" w:sz="0" w:space="0" w:color="auto"/>
        <w:bottom w:val="none" w:sz="0" w:space="0" w:color="auto"/>
        <w:right w:val="none" w:sz="0" w:space="0" w:color="auto"/>
      </w:divBdr>
    </w:div>
    <w:div w:id="2118133567">
      <w:bodyDiv w:val="1"/>
      <w:marLeft w:val="0"/>
      <w:marRight w:val="0"/>
      <w:marTop w:val="0"/>
      <w:marBottom w:val="0"/>
      <w:divBdr>
        <w:top w:val="none" w:sz="0" w:space="0" w:color="auto"/>
        <w:left w:val="none" w:sz="0" w:space="0" w:color="auto"/>
        <w:bottom w:val="none" w:sz="0" w:space="0" w:color="auto"/>
        <w:right w:val="none" w:sz="0" w:space="0" w:color="auto"/>
      </w:divBdr>
    </w:div>
    <w:div w:id="2119375689">
      <w:bodyDiv w:val="1"/>
      <w:marLeft w:val="0"/>
      <w:marRight w:val="0"/>
      <w:marTop w:val="0"/>
      <w:marBottom w:val="0"/>
      <w:divBdr>
        <w:top w:val="none" w:sz="0" w:space="0" w:color="auto"/>
        <w:left w:val="none" w:sz="0" w:space="0" w:color="auto"/>
        <w:bottom w:val="none" w:sz="0" w:space="0" w:color="auto"/>
        <w:right w:val="none" w:sz="0" w:space="0" w:color="auto"/>
      </w:divBdr>
    </w:div>
    <w:div w:id="2121410839">
      <w:bodyDiv w:val="1"/>
      <w:marLeft w:val="0"/>
      <w:marRight w:val="0"/>
      <w:marTop w:val="0"/>
      <w:marBottom w:val="0"/>
      <w:divBdr>
        <w:top w:val="none" w:sz="0" w:space="0" w:color="auto"/>
        <w:left w:val="none" w:sz="0" w:space="0" w:color="auto"/>
        <w:bottom w:val="none" w:sz="0" w:space="0" w:color="auto"/>
        <w:right w:val="none" w:sz="0" w:space="0" w:color="auto"/>
      </w:divBdr>
    </w:div>
    <w:div w:id="2130732112">
      <w:bodyDiv w:val="1"/>
      <w:marLeft w:val="0"/>
      <w:marRight w:val="0"/>
      <w:marTop w:val="0"/>
      <w:marBottom w:val="0"/>
      <w:divBdr>
        <w:top w:val="none" w:sz="0" w:space="0" w:color="auto"/>
        <w:left w:val="none" w:sz="0" w:space="0" w:color="auto"/>
        <w:bottom w:val="none" w:sz="0" w:space="0" w:color="auto"/>
        <w:right w:val="none" w:sz="0" w:space="0" w:color="auto"/>
      </w:divBdr>
      <w:divsChild>
        <w:div w:id="321084449">
          <w:marLeft w:val="0"/>
          <w:marRight w:val="0"/>
          <w:marTop w:val="0"/>
          <w:marBottom w:val="0"/>
          <w:divBdr>
            <w:top w:val="none" w:sz="0" w:space="0" w:color="auto"/>
            <w:left w:val="none" w:sz="0" w:space="0" w:color="auto"/>
            <w:bottom w:val="none" w:sz="0" w:space="0" w:color="auto"/>
            <w:right w:val="none" w:sz="0" w:space="0" w:color="auto"/>
          </w:divBdr>
          <w:divsChild>
            <w:div w:id="763183866">
              <w:marLeft w:val="0"/>
              <w:marRight w:val="0"/>
              <w:marTop w:val="0"/>
              <w:marBottom w:val="0"/>
              <w:divBdr>
                <w:top w:val="none" w:sz="0" w:space="0" w:color="auto"/>
                <w:left w:val="none" w:sz="0" w:space="0" w:color="auto"/>
                <w:bottom w:val="none" w:sz="0" w:space="0" w:color="auto"/>
                <w:right w:val="none" w:sz="0" w:space="0" w:color="auto"/>
              </w:divBdr>
              <w:divsChild>
                <w:div w:id="618805073">
                  <w:marLeft w:val="0"/>
                  <w:marRight w:val="0"/>
                  <w:marTop w:val="0"/>
                  <w:marBottom w:val="0"/>
                  <w:divBdr>
                    <w:top w:val="none" w:sz="0" w:space="0" w:color="auto"/>
                    <w:left w:val="none" w:sz="0" w:space="0" w:color="auto"/>
                    <w:bottom w:val="none" w:sz="0" w:space="0" w:color="auto"/>
                    <w:right w:val="none" w:sz="0" w:space="0" w:color="auto"/>
                  </w:divBdr>
                  <w:divsChild>
                    <w:div w:id="964308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86030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6.xml"/><Relationship Id="rId117" Type="http://schemas.openxmlformats.org/officeDocument/2006/relationships/glossaryDocument" Target="glossary/document.xml"/><Relationship Id="rId21" Type="http://schemas.openxmlformats.org/officeDocument/2006/relationships/image" Target="media/image3.png"/><Relationship Id="rId42" Type="http://schemas.openxmlformats.org/officeDocument/2006/relationships/image" Target="media/image14.svg"/><Relationship Id="rId47" Type="http://schemas.openxmlformats.org/officeDocument/2006/relationships/image" Target="media/image18.png"/><Relationship Id="rId63" Type="http://schemas.openxmlformats.org/officeDocument/2006/relationships/header" Target="header20.xml"/><Relationship Id="rId68" Type="http://schemas.openxmlformats.org/officeDocument/2006/relationships/header" Target="header24.xml"/><Relationship Id="rId84" Type="http://schemas.openxmlformats.org/officeDocument/2006/relationships/image" Target="media/image39.emf"/><Relationship Id="rId89" Type="http://schemas.openxmlformats.org/officeDocument/2006/relationships/header" Target="header33.xml"/><Relationship Id="rId112" Type="http://schemas.openxmlformats.org/officeDocument/2006/relationships/header" Target="header42.xml"/><Relationship Id="rId16" Type="http://schemas.openxmlformats.org/officeDocument/2006/relationships/footer" Target="footer1.xml"/><Relationship Id="rId107" Type="http://schemas.openxmlformats.org/officeDocument/2006/relationships/image" Target="media/image49.emf"/><Relationship Id="rId11" Type="http://schemas.openxmlformats.org/officeDocument/2006/relationships/footnotes" Target="footnotes.xml"/><Relationship Id="rId32" Type="http://schemas.openxmlformats.org/officeDocument/2006/relationships/image" Target="media/image8.png"/><Relationship Id="rId37" Type="http://schemas.openxmlformats.org/officeDocument/2006/relationships/header" Target="header9.xml"/><Relationship Id="rId53" Type="http://schemas.openxmlformats.org/officeDocument/2006/relationships/header" Target="header16.xml"/><Relationship Id="rId58" Type="http://schemas.openxmlformats.org/officeDocument/2006/relationships/image" Target="media/image23.png"/><Relationship Id="rId74" Type="http://schemas.openxmlformats.org/officeDocument/2006/relationships/image" Target="media/image31.png"/><Relationship Id="rId79" Type="http://schemas.openxmlformats.org/officeDocument/2006/relationships/image" Target="media/image36.svg"/><Relationship Id="rId102" Type="http://schemas.openxmlformats.org/officeDocument/2006/relationships/image" Target="media/image44.png"/><Relationship Id="rId5" Type="http://schemas.openxmlformats.org/officeDocument/2006/relationships/customXml" Target="../customXml/item5.xml"/><Relationship Id="rId90" Type="http://schemas.openxmlformats.org/officeDocument/2006/relationships/header" Target="header34.xml"/><Relationship Id="rId95" Type="http://schemas.openxmlformats.org/officeDocument/2006/relationships/footer" Target="footer6.xml"/><Relationship Id="rId22" Type="http://schemas.openxmlformats.org/officeDocument/2006/relationships/header" Target="header4.xml"/><Relationship Id="rId27" Type="http://schemas.openxmlformats.org/officeDocument/2006/relationships/footer" Target="footer5.xml"/><Relationship Id="rId43" Type="http://schemas.openxmlformats.org/officeDocument/2006/relationships/image" Target="media/image15.png"/><Relationship Id="rId48" Type="http://schemas.openxmlformats.org/officeDocument/2006/relationships/header" Target="header13.xml"/><Relationship Id="rId64" Type="http://schemas.openxmlformats.org/officeDocument/2006/relationships/header" Target="header21.xml"/><Relationship Id="rId69" Type="http://schemas.openxmlformats.org/officeDocument/2006/relationships/header" Target="header25.xml"/><Relationship Id="rId113" Type="http://schemas.openxmlformats.org/officeDocument/2006/relationships/header" Target="header43.xml"/><Relationship Id="rId118" Type="http://schemas.openxmlformats.org/officeDocument/2006/relationships/theme" Target="theme/theme1.xml"/><Relationship Id="rId80" Type="http://schemas.openxmlformats.org/officeDocument/2006/relationships/header" Target="header28.xml"/><Relationship Id="rId85" Type="http://schemas.openxmlformats.org/officeDocument/2006/relationships/image" Target="media/image40.emf"/><Relationship Id="rId12" Type="http://schemas.openxmlformats.org/officeDocument/2006/relationships/endnotes" Target="endnotes.xml"/><Relationship Id="rId17" Type="http://schemas.openxmlformats.org/officeDocument/2006/relationships/footer" Target="footer2.xml"/><Relationship Id="rId33" Type="http://schemas.openxmlformats.org/officeDocument/2006/relationships/image" Target="media/image9.svg"/><Relationship Id="rId38" Type="http://schemas.openxmlformats.org/officeDocument/2006/relationships/header" Target="header10.xml"/><Relationship Id="rId59" Type="http://schemas.openxmlformats.org/officeDocument/2006/relationships/image" Target="media/image24.png"/><Relationship Id="rId103" Type="http://schemas.openxmlformats.org/officeDocument/2006/relationships/image" Target="media/image45.emf"/><Relationship Id="rId108" Type="http://schemas.openxmlformats.org/officeDocument/2006/relationships/image" Target="media/image50.png"/><Relationship Id="rId54" Type="http://schemas.openxmlformats.org/officeDocument/2006/relationships/header" Target="header17.xml"/><Relationship Id="rId70" Type="http://schemas.openxmlformats.org/officeDocument/2006/relationships/image" Target="media/image29.png"/><Relationship Id="rId75" Type="http://schemas.openxmlformats.org/officeDocument/2006/relationships/image" Target="media/image32.svg"/><Relationship Id="rId91" Type="http://schemas.openxmlformats.org/officeDocument/2006/relationships/header" Target="header35.xml"/><Relationship Id="rId96" Type="http://schemas.openxmlformats.org/officeDocument/2006/relationships/header" Target="header38.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4.png"/><Relationship Id="rId28" Type="http://schemas.openxmlformats.org/officeDocument/2006/relationships/header" Target="header7.xml"/><Relationship Id="rId49" Type="http://schemas.openxmlformats.org/officeDocument/2006/relationships/header" Target="header14.xml"/><Relationship Id="rId114" Type="http://schemas.openxmlformats.org/officeDocument/2006/relationships/footer" Target="footer7.xml"/><Relationship Id="rId10" Type="http://schemas.openxmlformats.org/officeDocument/2006/relationships/webSettings" Target="webSettings.xml"/><Relationship Id="rId31" Type="http://schemas.openxmlformats.org/officeDocument/2006/relationships/image" Target="media/image7.svg"/><Relationship Id="rId44" Type="http://schemas.openxmlformats.org/officeDocument/2006/relationships/image" Target="media/image16.png"/><Relationship Id="rId52" Type="http://schemas.openxmlformats.org/officeDocument/2006/relationships/image" Target="media/image20.svg"/><Relationship Id="rId60" Type="http://schemas.openxmlformats.org/officeDocument/2006/relationships/image" Target="media/image25.svg"/><Relationship Id="rId65" Type="http://schemas.openxmlformats.org/officeDocument/2006/relationships/image" Target="media/image27.png"/><Relationship Id="rId73" Type="http://schemas.openxmlformats.org/officeDocument/2006/relationships/image" Target="media/image30.png"/><Relationship Id="rId78" Type="http://schemas.openxmlformats.org/officeDocument/2006/relationships/image" Target="media/image35.png"/><Relationship Id="rId81" Type="http://schemas.openxmlformats.org/officeDocument/2006/relationships/image" Target="media/image37.png"/><Relationship Id="rId86" Type="http://schemas.openxmlformats.org/officeDocument/2006/relationships/header" Target="header30.xml"/><Relationship Id="rId94" Type="http://schemas.openxmlformats.org/officeDocument/2006/relationships/header" Target="header37.xml"/><Relationship Id="rId99" Type="http://schemas.openxmlformats.org/officeDocument/2006/relationships/header" Target="header41.xml"/><Relationship Id="rId101" Type="http://schemas.openxmlformats.org/officeDocument/2006/relationships/image" Target="media/image43.png"/><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header" Target="header3.xml"/><Relationship Id="rId39" Type="http://schemas.openxmlformats.org/officeDocument/2006/relationships/header" Target="header11.xml"/><Relationship Id="rId109" Type="http://schemas.openxmlformats.org/officeDocument/2006/relationships/image" Target="media/image51.png"/><Relationship Id="rId34" Type="http://schemas.openxmlformats.org/officeDocument/2006/relationships/image" Target="media/image10.png"/><Relationship Id="rId50" Type="http://schemas.openxmlformats.org/officeDocument/2006/relationships/header" Target="header15.xml"/><Relationship Id="rId55" Type="http://schemas.openxmlformats.org/officeDocument/2006/relationships/header" Target="header18.xml"/><Relationship Id="rId76" Type="http://schemas.openxmlformats.org/officeDocument/2006/relationships/image" Target="media/image33.png"/><Relationship Id="rId97" Type="http://schemas.openxmlformats.org/officeDocument/2006/relationships/header" Target="header39.xml"/><Relationship Id="rId104" Type="http://schemas.openxmlformats.org/officeDocument/2006/relationships/image" Target="media/image46.png"/><Relationship Id="rId7" Type="http://schemas.openxmlformats.org/officeDocument/2006/relationships/numbering" Target="numbering.xml"/><Relationship Id="rId71" Type="http://schemas.openxmlformats.org/officeDocument/2006/relationships/header" Target="header26.xml"/><Relationship Id="rId92" Type="http://schemas.openxmlformats.org/officeDocument/2006/relationships/image" Target="media/image41.png"/><Relationship Id="rId2" Type="http://schemas.openxmlformats.org/officeDocument/2006/relationships/customXml" Target="../customXml/item2.xml"/><Relationship Id="rId29" Type="http://schemas.openxmlformats.org/officeDocument/2006/relationships/image" Target="media/image5.png"/><Relationship Id="rId24" Type="http://schemas.openxmlformats.org/officeDocument/2006/relationships/header" Target="header5.xml"/><Relationship Id="rId40" Type="http://schemas.openxmlformats.org/officeDocument/2006/relationships/image" Target="media/image12.png"/><Relationship Id="rId45" Type="http://schemas.openxmlformats.org/officeDocument/2006/relationships/image" Target="media/image17.svg"/><Relationship Id="rId66" Type="http://schemas.openxmlformats.org/officeDocument/2006/relationships/header" Target="header22.xml"/><Relationship Id="rId87" Type="http://schemas.openxmlformats.org/officeDocument/2006/relationships/header" Target="header31.xml"/><Relationship Id="rId110" Type="http://schemas.openxmlformats.org/officeDocument/2006/relationships/hyperlink" Target="https://www.ncbi.nlm.nih.gov/books/NBK513248/" TargetMode="External"/><Relationship Id="rId115" Type="http://schemas.openxmlformats.org/officeDocument/2006/relationships/header" Target="header44.xml"/><Relationship Id="rId61" Type="http://schemas.openxmlformats.org/officeDocument/2006/relationships/image" Target="media/image26.png"/><Relationship Id="rId82" Type="http://schemas.openxmlformats.org/officeDocument/2006/relationships/header" Target="header29.xml"/><Relationship Id="rId19" Type="http://schemas.openxmlformats.org/officeDocument/2006/relationships/footer" Target="footer3.xml"/><Relationship Id="rId14" Type="http://schemas.openxmlformats.org/officeDocument/2006/relationships/header" Target="header1.xml"/><Relationship Id="rId30" Type="http://schemas.openxmlformats.org/officeDocument/2006/relationships/image" Target="media/image6.png"/><Relationship Id="rId35" Type="http://schemas.openxmlformats.org/officeDocument/2006/relationships/image" Target="media/image11.svg"/><Relationship Id="rId56" Type="http://schemas.openxmlformats.org/officeDocument/2006/relationships/image" Target="media/image21.png"/><Relationship Id="rId77" Type="http://schemas.openxmlformats.org/officeDocument/2006/relationships/image" Target="media/image34.svg"/><Relationship Id="rId100" Type="http://schemas.openxmlformats.org/officeDocument/2006/relationships/image" Target="media/image42.png"/><Relationship Id="rId105" Type="http://schemas.openxmlformats.org/officeDocument/2006/relationships/image" Target="media/image47.png"/><Relationship Id="rId8" Type="http://schemas.openxmlformats.org/officeDocument/2006/relationships/styles" Target="styles.xml"/><Relationship Id="rId51" Type="http://schemas.openxmlformats.org/officeDocument/2006/relationships/image" Target="media/image19.png"/><Relationship Id="rId72" Type="http://schemas.openxmlformats.org/officeDocument/2006/relationships/header" Target="header27.xml"/><Relationship Id="rId93" Type="http://schemas.openxmlformats.org/officeDocument/2006/relationships/header" Target="header36.xml"/><Relationship Id="rId98" Type="http://schemas.openxmlformats.org/officeDocument/2006/relationships/header" Target="header40.xml"/><Relationship Id="rId3" Type="http://schemas.openxmlformats.org/officeDocument/2006/relationships/customXml" Target="../customXml/item3.xml"/><Relationship Id="rId25" Type="http://schemas.openxmlformats.org/officeDocument/2006/relationships/footer" Target="footer4.xml"/><Relationship Id="rId46" Type="http://schemas.openxmlformats.org/officeDocument/2006/relationships/header" Target="header12.xml"/><Relationship Id="rId67" Type="http://schemas.openxmlformats.org/officeDocument/2006/relationships/header" Target="header23.xml"/><Relationship Id="rId116" Type="http://schemas.openxmlformats.org/officeDocument/2006/relationships/fontTable" Target="fontTable.xml"/><Relationship Id="rId20" Type="http://schemas.openxmlformats.org/officeDocument/2006/relationships/image" Target="media/image2.png"/><Relationship Id="rId41" Type="http://schemas.openxmlformats.org/officeDocument/2006/relationships/image" Target="media/image13.png"/><Relationship Id="rId62" Type="http://schemas.openxmlformats.org/officeDocument/2006/relationships/header" Target="header19.xml"/><Relationship Id="rId83" Type="http://schemas.openxmlformats.org/officeDocument/2006/relationships/image" Target="media/image38.emf"/><Relationship Id="rId88" Type="http://schemas.openxmlformats.org/officeDocument/2006/relationships/header" Target="header32.xml"/><Relationship Id="rId111" Type="http://schemas.openxmlformats.org/officeDocument/2006/relationships/image" Target="media/image52.png"/><Relationship Id="rId15" Type="http://schemas.openxmlformats.org/officeDocument/2006/relationships/header" Target="header2.xml"/><Relationship Id="rId36" Type="http://schemas.openxmlformats.org/officeDocument/2006/relationships/header" Target="header8.xml"/><Relationship Id="rId57" Type="http://schemas.openxmlformats.org/officeDocument/2006/relationships/image" Target="media/image22.svg"/><Relationship Id="rId106" Type="http://schemas.openxmlformats.org/officeDocument/2006/relationships/image" Target="media/image48.png"/></Relationships>
</file>

<file path=word/_rels/footnotes.xml.rels><?xml version="1.0" encoding="UTF-8" standalone="yes"?>
<Relationships xmlns="http://schemas.openxmlformats.org/package/2006/relationships"><Relationship Id="rId3" Type="http://schemas.openxmlformats.org/officeDocument/2006/relationships/hyperlink" Target="https://www.sciencedirect.com/science/article/pii/S1368837519300636" TargetMode="External"/><Relationship Id="rId2" Type="http://schemas.openxmlformats.org/officeDocument/2006/relationships/hyperlink" Target="https://www.sciencedirect.com/science/article/pii/S1368837519300636" TargetMode="External"/><Relationship Id="rId1" Type="http://schemas.openxmlformats.org/officeDocument/2006/relationships/hyperlink" Target="https://www.msdmanuals.com/home/special-subjects/limb-prosthetics/overview-of-limb-prosthetics" TargetMode="External"/></Relationships>
</file>

<file path=word/_rels/header25.xml.rels><?xml version="1.0" encoding="UTF-8" standalone="yes"?>
<Relationships xmlns="http://schemas.openxmlformats.org/package/2006/relationships"><Relationship Id="rId1" Type="http://schemas.openxmlformats.org/officeDocument/2006/relationships/image" Target="media/image28.jpeg"/></Relationships>
</file>

<file path=word/_rels/header34.xml.rels><?xml version="1.0" encoding="UTF-8" standalone="yes"?>
<Relationships xmlns="http://schemas.openxmlformats.org/package/2006/relationships"><Relationship Id="rId1" Type="http://schemas.openxmlformats.org/officeDocument/2006/relationships/image" Target="media/image2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reibelt\AppData\Local\Temp\Templafy\WordVsto\Report.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0D3A31C8E0CA447081911CA309F45BCE"/>
        <w:category>
          <w:name w:val="General"/>
          <w:gallery w:val="placeholder"/>
        </w:category>
        <w:types>
          <w:type w:val="bbPlcHdr"/>
        </w:types>
        <w:behaviors>
          <w:behavior w:val="content"/>
        </w:behaviors>
        <w:guid w:val="{B66677BB-A44C-4199-B0FC-6825805BDCC7}"/>
      </w:docPartPr>
      <w:docPartBody>
        <w:p w:rsidR="000A4796" w:rsidRDefault="000A4796" w:rsidP="000A4796">
          <w:pPr>
            <w:pStyle w:val="0D3A31C8E0CA447081911CA309F45BCE"/>
          </w:pPr>
          <w:r w:rsidRPr="002B4A58">
            <w:rPr>
              <w:rStyle w:val="PlaceholderText"/>
            </w:rPr>
            <w:t>2024</w:t>
          </w:r>
        </w:p>
      </w:docPartBody>
    </w:docPart>
    <w:docPart>
      <w:docPartPr>
        <w:name w:val="F0BC26D732DC45C4889BEFD393A727AD"/>
        <w:category>
          <w:name w:val="General"/>
          <w:gallery w:val="placeholder"/>
        </w:category>
        <w:types>
          <w:type w:val="bbPlcHdr"/>
        </w:types>
        <w:behaviors>
          <w:behavior w:val="content"/>
        </w:behaviors>
        <w:guid w:val="{ABAC650D-DEF2-4A34-8FCB-C75E5C23A724}"/>
      </w:docPartPr>
      <w:docPartBody>
        <w:p w:rsidR="000A4796" w:rsidRDefault="000A4796" w:rsidP="000A4796">
          <w:pPr>
            <w:pStyle w:val="F0BC26D732DC45C4889BEFD393A727AD"/>
          </w:pPr>
          <w:r w:rsidRPr="002B4A58">
            <w:rPr>
              <w:rStyle w:val="PlaceholderText"/>
            </w:rPr>
            <w:t>2024</w:t>
          </w:r>
        </w:p>
      </w:docPartBody>
    </w:docPart>
    <w:docPart>
      <w:docPartPr>
        <w:name w:val="F073B62161D545EA949D99FD1CD8AA3E"/>
        <w:category>
          <w:name w:val="General"/>
          <w:gallery w:val="placeholder"/>
        </w:category>
        <w:types>
          <w:type w:val="bbPlcHdr"/>
        </w:types>
        <w:behaviors>
          <w:behavior w:val="content"/>
        </w:behaviors>
        <w:guid w:val="{2EBFC6B2-84FE-4458-9825-09ABCC80736D}"/>
      </w:docPartPr>
      <w:docPartBody>
        <w:p w:rsidR="000A4796" w:rsidRDefault="000A4796" w:rsidP="000A4796">
          <w:pPr>
            <w:pStyle w:val="F073B62161D545EA949D99FD1CD8AA3E"/>
          </w:pPr>
          <w:r w:rsidRPr="002B4A58">
            <w:rPr>
              <w:rStyle w:val="PlaceholderText"/>
            </w:rPr>
            <w:t>2024</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altName w:val="Calibri"/>
    <w:charset w:val="00"/>
    <w:family w:val="auto"/>
    <w:pitch w:val="variable"/>
    <w:sig w:usb0="8000002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9999999">
    <w:altName w:val="Cambria"/>
    <w:panose1 w:val="00000000000000000000"/>
    <w:charset w:val="00"/>
    <w:family w:val="roman"/>
    <w:notTrueType/>
    <w:pitch w:val="default"/>
  </w:font>
  <w:font w:name="MS PGothic">
    <w:panose1 w:val="020B0600070205080204"/>
    <w:charset w:val="80"/>
    <w:family w:val="swiss"/>
    <w:pitch w:val="variable"/>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200247B" w:usb2="00000009" w:usb3="00000000" w:csb0="000001FF" w:csb1="00000000"/>
  </w:font>
  <w:font w:name="ZWAdobeF">
    <w:panose1 w:val="00000000000000000000"/>
    <w:charset w:val="00"/>
    <w:family w:val="auto"/>
    <w:pitch w:val="variable"/>
    <w:sig w:usb0="20002A87" w:usb1="00000000" w:usb2="00000000"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4796"/>
    <w:rsid w:val="000A4796"/>
    <w:rsid w:val="005E6556"/>
    <w:rsid w:val="006B2BCB"/>
    <w:rsid w:val="00933EEA"/>
    <w:rsid w:val="00BF1DF3"/>
    <w:rsid w:val="00D4565D"/>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A4796"/>
  </w:style>
  <w:style w:type="paragraph" w:customStyle="1" w:styleId="0D3A31C8E0CA447081911CA309F45BCE">
    <w:name w:val="0D3A31C8E0CA447081911CA309F45BCE"/>
    <w:rsid w:val="000A4796"/>
  </w:style>
  <w:style w:type="paragraph" w:customStyle="1" w:styleId="F0BC26D732DC45C4889BEFD393A727AD">
    <w:name w:val="F0BC26D732DC45C4889BEFD393A727AD"/>
    <w:rsid w:val="000A4796"/>
  </w:style>
  <w:style w:type="paragraph" w:customStyle="1" w:styleId="F073B62161D545EA949D99FD1CD8AA3E">
    <w:name w:val="F073B62161D545EA949D99FD1CD8AA3E"/>
    <w:rsid w:val="000A479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KPMG 2022 Brand">
      <a:dk1>
        <a:srgbClr val="000000"/>
      </a:dk1>
      <a:lt1>
        <a:sysClr val="window" lastClr="FFFFFF"/>
      </a:lt1>
      <a:dk2>
        <a:srgbClr val="00338D"/>
      </a:dk2>
      <a:lt2>
        <a:srgbClr val="F0F0F0"/>
      </a:lt2>
      <a:accent1>
        <a:srgbClr val="1E49E2"/>
      </a:accent1>
      <a:accent2>
        <a:srgbClr val="00B8F5"/>
      </a:accent2>
      <a:accent3>
        <a:srgbClr val="7213EA"/>
      </a:accent3>
      <a:accent4>
        <a:srgbClr val="00A3A1"/>
      </a:accent4>
      <a:accent5>
        <a:srgbClr val="FD349C"/>
      </a:accent5>
      <a:accent6>
        <a:srgbClr val="7030A0"/>
      </a:accent6>
      <a:hlink>
        <a:srgbClr val="0091DA"/>
      </a:hlink>
      <a:folHlink>
        <a:srgbClr val="0091DA"/>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TemplafyTemplateConfiguration><![CDATA[{"elementsMetadata":[{"elementConfiguration":{"binding":"{{FormatDateTime(Now(),\"yyyy\")}}","promptAiService":false,"visibility":"","removeAndKeepContent":false,"disableUpdates":false,"type":"text"},"type":"richTextContentControl","id":"d47e1623-cdd2-4cab-96f4-68f8e7f402e8"},{"elementConfiguration":{"binding":"{{FormatDateTime(Now(),\"yyyy\")}}","promptAiService":false,"visibility":"","removeAndKeepContent":false,"disableUpdates":false,"type":"text"},"type":"richTextContentControl","id":"984df128-494e-40f6-81bd-2449174a9c02"},{"elementConfiguration":{"binding":"{{FormatDateTime(Now(),\"yyyy\")}}","promptAiService":false,"visibility":"","removeAndKeepContent":false,"disableUpdates":false,"type":"text"},"type":"richTextContentControl","id":"83de8e3a-46e2-486b-85ca-bfafa61ff6d8"},{"elementConfiguration":{"binding":"{{FormatDateTime(Now(),\"yyyy\")}}","promptAiService":false,"visibility":"","removeAndKeepContent":false,"disableUpdates":false,"type":"text"},"type":"richTextContentControl","id":"849235fa-b877-485f-ae74-4c3b2383246b"}],"transformationConfigurations":[],"templateName":"Report","templateDescription":"","enableDocumentContentUpdater":false,"version":"2.0"}]]></TemplafyTemplateConfiguration>
</file>

<file path=customXml/item3.xml><?xml version="1.0" encoding="utf-8"?>
<TemplafyFormConfiguration><![CDATA[{"formFields":[],"formDataEntries":[]}]]></TemplafyFormConfiguration>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ct:contentTypeSchema xmlns:ct="http://schemas.microsoft.com/office/2006/metadata/contentType" xmlns:ma="http://schemas.microsoft.com/office/2006/metadata/properties/metaAttributes" ct:_="" ma:_="" ma:contentTypeName="Document" ma:contentTypeID="0x010100DAB653B601F0554FB93F181CF3D9B1EF" ma:contentTypeVersion="4" ma:contentTypeDescription="Create a new document." ma:contentTypeScope="" ma:versionID="20f00271db927437678b7779e4569494">
  <xsd:schema xmlns:xsd="http://www.w3.org/2001/XMLSchema" xmlns:xs="http://www.w3.org/2001/XMLSchema" xmlns:p="http://schemas.microsoft.com/office/2006/metadata/properties" xmlns:ns2="ee3feb82-402b-42ea-bfcb-51dd9d4a5b0c" targetNamespace="http://schemas.microsoft.com/office/2006/metadata/properties" ma:root="true" ma:fieldsID="7a067cc1c84b075bd5ed0f1c4fc5ce79" ns2:_="">
    <xsd:import namespace="ee3feb82-402b-42ea-bfcb-51dd9d4a5b0c"/>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e3feb82-402b-42ea-bfcb-51dd9d4a5b0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557A6B2-28E0-4DDA-89B6-24266CB9C7A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92BE696B-D946-405C-8F4C-63B247C928E8}">
  <ds:schemaRefs/>
</ds:datastoreItem>
</file>

<file path=customXml/itemProps3.xml><?xml version="1.0" encoding="utf-8"?>
<ds:datastoreItem xmlns:ds="http://schemas.openxmlformats.org/officeDocument/2006/customXml" ds:itemID="{CDB18FB9-0BE6-4B50-93DE-5909F8ADB767}">
  <ds:schemaRefs/>
</ds:datastoreItem>
</file>

<file path=customXml/itemProps4.xml><?xml version="1.0" encoding="utf-8"?>
<ds:datastoreItem xmlns:ds="http://schemas.openxmlformats.org/officeDocument/2006/customXml" ds:itemID="{B554258E-302F-4080-BC10-81E1451F5F09}">
  <ds:schemaRefs>
    <ds:schemaRef ds:uri="http://schemas.openxmlformats.org/officeDocument/2006/bibliography"/>
  </ds:schemaRefs>
</ds:datastoreItem>
</file>

<file path=customXml/itemProps5.xml><?xml version="1.0" encoding="utf-8"?>
<ds:datastoreItem xmlns:ds="http://schemas.openxmlformats.org/officeDocument/2006/customXml" ds:itemID="{D5267E47-3CF4-493F-BBD3-177BE31EFD5D}">
  <ds:schemaRefs>
    <ds:schemaRef ds:uri="http://schemas.microsoft.com/sharepoint/v3/contenttype/forms"/>
  </ds:schemaRefs>
</ds:datastoreItem>
</file>

<file path=customXml/itemProps6.xml><?xml version="1.0" encoding="utf-8"?>
<ds:datastoreItem xmlns:ds="http://schemas.openxmlformats.org/officeDocument/2006/customXml" ds:itemID="{8247E261-7C49-4CB6-9DB1-4D1596F2BC8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e3feb82-402b-42ea-bfcb-51dd9d4a5b0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deff24bb-2089-4400-8c8e-f71e680378b2}" enabled="0" method="" siteId="{deff24bb-2089-4400-8c8e-f71e680378b2}" removed="1"/>
</clbl:labelList>
</file>

<file path=docProps/app.xml><?xml version="1.0" encoding="utf-8"?>
<Properties xmlns="http://schemas.openxmlformats.org/officeDocument/2006/extended-properties" xmlns:vt="http://schemas.openxmlformats.org/officeDocument/2006/docPropsVTypes">
  <Template>Report.dotx</Template>
  <TotalTime>103</TotalTime>
  <Pages>188</Pages>
  <Words>70739</Words>
  <Characters>403218</Characters>
  <Application>Microsoft Office Word</Application>
  <DocSecurity>0</DocSecurity>
  <Lines>3360</Lines>
  <Paragraphs>946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473011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Independent review of cancer prostheses equity in Australia</dc:title>
  <dc:subject>Prostheses</dc:subject>
  <dc:creator>Australian Government Department of Health, Disability and Ageing</dc:creator>
  <cp:keywords>Prostheses; Cancer; </cp:keywords>
  <cp:lastModifiedBy>MASCHKE, Elvia</cp:lastModifiedBy>
  <cp:revision>17</cp:revision>
  <cp:lastPrinted>2024-10-15T16:07:00Z</cp:lastPrinted>
  <dcterms:created xsi:type="dcterms:W3CDTF">2026-05-25T02:35:00Z</dcterms:created>
  <dcterms:modified xsi:type="dcterms:W3CDTF">2026-05-26T05:52:00Z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TemplafyUserProfileId">
    <vt:lpwstr>710256010846273612</vt:lpwstr>
  </property>
  <property fmtid="{D5CDD505-2E9C-101B-9397-08002B2CF9AE}" pid="4" name="ContentTypeId">
    <vt:lpwstr>0x010100DAB653B601F0554FB93F181CF3D9B1EF</vt:lpwstr>
  </property>
  <property fmtid="{D5CDD505-2E9C-101B-9397-08002B2CF9AE}" pid="5" name="GrammarlyDocumentId">
    <vt:lpwstr>37fb140a-0b13-434c-af93-d927f4ff8fca</vt:lpwstr>
  </property>
  <property fmtid="{D5CDD505-2E9C-101B-9397-08002B2CF9AE}" pid="6" name="TemplafyTemplateId">
    <vt:lpwstr>748945574276890624</vt:lpwstr>
  </property>
  <property fmtid="{D5CDD505-2E9C-101B-9397-08002B2CF9AE}" pid="7" name="TemplafyFromBlank">
    <vt:bool>false</vt:bool>
  </property>
  <property fmtid="{D5CDD505-2E9C-101B-9397-08002B2CF9AE}" pid="8" name="TemplafyTenantId">
    <vt:lpwstr>kpmgau</vt:lpwstr>
  </property>
  <property fmtid="{D5CDD505-2E9C-101B-9397-08002B2CF9AE}" pid="9" name="MSIP_Label_7cd3e8b9-ffed-43a8-b7f4-cc2fa0382d36_Enabled">
    <vt:lpwstr>true</vt:lpwstr>
  </property>
  <property fmtid="{D5CDD505-2E9C-101B-9397-08002B2CF9AE}" pid="10" name="MSIP_Label_7cd3e8b9-ffed-43a8-b7f4-cc2fa0382d36_SetDate">
    <vt:lpwstr>2026-05-25T02:35:56Z</vt:lpwstr>
  </property>
  <property fmtid="{D5CDD505-2E9C-101B-9397-08002B2CF9AE}" pid="11" name="MSIP_Label_7cd3e8b9-ffed-43a8-b7f4-cc2fa0382d36_Method">
    <vt:lpwstr>Privileged</vt:lpwstr>
  </property>
  <property fmtid="{D5CDD505-2E9C-101B-9397-08002B2CF9AE}" pid="12" name="MSIP_Label_7cd3e8b9-ffed-43a8-b7f4-cc2fa0382d36_Name">
    <vt:lpwstr>O</vt:lpwstr>
  </property>
  <property fmtid="{D5CDD505-2E9C-101B-9397-08002B2CF9AE}" pid="13" name="MSIP_Label_7cd3e8b9-ffed-43a8-b7f4-cc2fa0382d36_SiteId">
    <vt:lpwstr>34a3929c-73cf-4954-abfe-147dc3517892</vt:lpwstr>
  </property>
  <property fmtid="{D5CDD505-2E9C-101B-9397-08002B2CF9AE}" pid="14" name="MSIP_Label_7cd3e8b9-ffed-43a8-b7f4-cc2fa0382d36_ActionId">
    <vt:lpwstr>c88707b2-6a1a-40ba-b058-2d0e5f43eaba</vt:lpwstr>
  </property>
  <property fmtid="{D5CDD505-2E9C-101B-9397-08002B2CF9AE}" pid="15" name="MSIP_Label_7cd3e8b9-ffed-43a8-b7f4-cc2fa0382d36_ContentBits">
    <vt:lpwstr>3</vt:lpwstr>
  </property>
  <property fmtid="{D5CDD505-2E9C-101B-9397-08002B2CF9AE}" pid="16" name="MSIP_Label_7cd3e8b9-ffed-43a8-b7f4-cc2fa0382d36_Tag">
    <vt:lpwstr>10, 0, 1, 1</vt:lpwstr>
  </property>
</Properties>
</file>