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A" w14:textId="7A00F11C" w:rsidR="00BA2732" w:rsidRDefault="00F8200F" w:rsidP="003D033A">
      <w:pPr>
        <w:pStyle w:val="Title"/>
      </w:pPr>
      <w:bookmarkStart w:id="0" w:name="_Hlk108790778"/>
      <w:r w:rsidRPr="00F8200F">
        <w:t xml:space="preserve">Hospital </w:t>
      </w:r>
      <w:proofErr w:type="spellStart"/>
      <w:r w:rsidRPr="00F8200F">
        <w:t>Casemix</w:t>
      </w:r>
      <w:proofErr w:type="spellEnd"/>
      <w:r w:rsidRPr="00F8200F">
        <w:t xml:space="preserve"> Protocol (HCP) and Private Hospital Data Bureau (PHDB)</w:t>
      </w:r>
      <w:r>
        <w:t xml:space="preserve"> r</w:t>
      </w:r>
      <w:r w:rsidR="00D075F2">
        <w:t>eporting requirements for hospitals and insurers</w:t>
      </w:r>
      <w:bookmarkEnd w:id="0"/>
    </w:p>
    <w:p w14:paraId="10F49743" w14:textId="298B0113" w:rsidR="00F27A23" w:rsidRPr="00F8200F" w:rsidRDefault="00CC2339" w:rsidP="00F8200F">
      <w:r>
        <w:t>May</w:t>
      </w:r>
      <w:r w:rsidR="00575179">
        <w:t xml:space="preserve"> 2026</w:t>
      </w:r>
      <w:r w:rsidR="00F27A23" w:rsidRPr="00F8200F">
        <w:t xml:space="preserve">This is to advise of the Hospital </w:t>
      </w:r>
      <w:proofErr w:type="spellStart"/>
      <w:r w:rsidR="00F27A23" w:rsidRPr="00F8200F">
        <w:t>Casemix</w:t>
      </w:r>
      <w:proofErr w:type="spellEnd"/>
      <w:r w:rsidR="00F27A23" w:rsidRPr="00F8200F">
        <w:t xml:space="preserve"> Protocol (HCP) and Private Hospital Data Bureau (PHDB) reporting requirements for declared hospitals and registered private health insurers under the following legislation:</w:t>
      </w:r>
    </w:p>
    <w:p w14:paraId="125B98E5" w14:textId="77777777" w:rsidR="00F27A23" w:rsidRPr="00981E26" w:rsidRDefault="00F27A23" w:rsidP="00981E26">
      <w:pPr>
        <w:pStyle w:val="ListBullet"/>
        <w:rPr>
          <w:rStyle w:val="Emphasis"/>
        </w:rPr>
      </w:pPr>
      <w:r w:rsidRPr="00981E26">
        <w:rPr>
          <w:rStyle w:val="Emphasis"/>
        </w:rPr>
        <w:t>Private Health Insurance Act 2007</w:t>
      </w:r>
    </w:p>
    <w:p w14:paraId="5F053B77" w14:textId="782E4894" w:rsidR="00F27A23" w:rsidRPr="00F8200F" w:rsidRDefault="00F27A23" w:rsidP="00981E26">
      <w:pPr>
        <w:pStyle w:val="ListBullet"/>
      </w:pPr>
      <w:r w:rsidRPr="00F8200F">
        <w:t>Private Health Insurance (Health Insurance Business) Rules 2018</w:t>
      </w:r>
    </w:p>
    <w:p w14:paraId="66C73FDC" w14:textId="27680484" w:rsidR="00F27A23" w:rsidRPr="00F8200F" w:rsidRDefault="00F27A23" w:rsidP="00981E26">
      <w:pPr>
        <w:pStyle w:val="ListBullet"/>
      </w:pPr>
      <w:r w:rsidRPr="00F8200F">
        <w:t>Private Health Insurance (Data Provision) Rules 2018</w:t>
      </w:r>
    </w:p>
    <w:p w14:paraId="04E9CFE4" w14:textId="7E9C89C0" w:rsidR="00F27A23" w:rsidRPr="00F8200F" w:rsidRDefault="00F27A23" w:rsidP="00F8200F">
      <w:r w:rsidRPr="00F8200F">
        <w:t>Please note that these are compulsory reporting requirements. PHI legislation allows for remedial action to be initiated where these requirements are not met.</w:t>
      </w:r>
    </w:p>
    <w:p w14:paraId="18D8FFB3" w14:textId="2842FD5F" w:rsidR="00F27A23" w:rsidRPr="00F27A23" w:rsidRDefault="00F27A23" w:rsidP="00981E26">
      <w:pPr>
        <w:pStyle w:val="Heading1"/>
        <w:rPr>
          <w:lang w:val="en-US"/>
        </w:rPr>
      </w:pPr>
      <w:r w:rsidRPr="00F27A23">
        <w:rPr>
          <w:lang w:val="en-US"/>
        </w:rPr>
        <w:t>Information to be provided by declared private hospitals</w:t>
      </w:r>
    </w:p>
    <w:p w14:paraId="57D62D66" w14:textId="77777777" w:rsidR="00F27A23" w:rsidRPr="00F8200F" w:rsidRDefault="00F27A23" w:rsidP="00F8200F">
      <w:r w:rsidRPr="00F8200F">
        <w:t xml:space="preserve">Private hospitals are required to provide: </w:t>
      </w:r>
    </w:p>
    <w:p w14:paraId="4E9884CF" w14:textId="77777777" w:rsidR="00F27A23" w:rsidRPr="00F8200F" w:rsidRDefault="00F27A23" w:rsidP="00981E26">
      <w:pPr>
        <w:pStyle w:val="ListNumber"/>
      </w:pPr>
      <w:r w:rsidRPr="00F8200F">
        <w:t xml:space="preserve">Hospital </w:t>
      </w:r>
      <w:proofErr w:type="spellStart"/>
      <w:r w:rsidRPr="00F8200F">
        <w:t>Casemix</w:t>
      </w:r>
      <w:proofErr w:type="spellEnd"/>
      <w:r w:rsidRPr="00F8200F">
        <w:t xml:space="preserve"> Protocol (HCP) data to private health insurers, and </w:t>
      </w:r>
    </w:p>
    <w:p w14:paraId="4C2BE279" w14:textId="19BD8D03" w:rsidR="00F27A23" w:rsidRPr="00F8200F" w:rsidRDefault="00F27A23" w:rsidP="00981E26">
      <w:pPr>
        <w:pStyle w:val="ListNumber"/>
      </w:pPr>
      <w:r w:rsidRPr="00F8200F">
        <w:t xml:space="preserve">Private Hospital Data Bureau (PHDB) data to the Australian Government Department of Health </w:t>
      </w:r>
      <w:r w:rsidR="00F8200F">
        <w:t xml:space="preserve">and Aged Care </w:t>
      </w:r>
      <w:r w:rsidRPr="00F8200F">
        <w:t xml:space="preserve">(the </w:t>
      </w:r>
      <w:r w:rsidR="00F8200F">
        <w:t>d</w:t>
      </w:r>
      <w:r w:rsidRPr="00F8200F">
        <w:t xml:space="preserve">epartment). </w:t>
      </w:r>
    </w:p>
    <w:p w14:paraId="4A9C1DAA" w14:textId="6A4737CC" w:rsidR="00F27A23" w:rsidRPr="00F8200F" w:rsidRDefault="00F27A23" w:rsidP="00F8200F">
      <w:r w:rsidRPr="00F8200F">
        <w:t xml:space="preserve">Information is to be supplied as a monthly data submission within six weeks after the insured person to whom the information relates has been discharged from the hospital. For example, a data file for all separations that occurred during the month of July must be submitted to the </w:t>
      </w:r>
      <w:r w:rsidR="00061100">
        <w:t>department</w:t>
      </w:r>
      <w:r w:rsidRPr="00F8200F">
        <w:t xml:space="preserve"> by mid-September. </w:t>
      </w:r>
    </w:p>
    <w:p w14:paraId="622AD733" w14:textId="5927A074" w:rsidR="00F27A23" w:rsidRPr="00981E26" w:rsidRDefault="00F27A23" w:rsidP="00981E26">
      <w:pPr>
        <w:pStyle w:val="Heading1"/>
      </w:pPr>
      <w:r w:rsidRPr="00F27A23">
        <w:rPr>
          <w:lang w:val="en-US"/>
        </w:rPr>
        <w:t>Information to be provided by declared public hospitals</w:t>
      </w:r>
    </w:p>
    <w:p w14:paraId="208EB491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Public hospitals are required to provide Hospital </w:t>
      </w:r>
      <w:proofErr w:type="spellStart"/>
      <w:r w:rsidRPr="00F27A23">
        <w:rPr>
          <w:lang w:val="en-US"/>
        </w:rPr>
        <w:t>Casemix</w:t>
      </w:r>
      <w:proofErr w:type="spellEnd"/>
      <w:r w:rsidRPr="00F27A23">
        <w:rPr>
          <w:lang w:val="en-US"/>
        </w:rPr>
        <w:t xml:space="preserve"> Protocol (HCP) data to private health insurers.</w:t>
      </w:r>
    </w:p>
    <w:p w14:paraId="1DB1EDE1" w14:textId="70AFB34B" w:rsidR="00F27A23" w:rsidRPr="00981E26" w:rsidRDefault="00F27A23" w:rsidP="00981E26">
      <w:pPr>
        <w:pStyle w:val="Heading1"/>
      </w:pPr>
      <w:r w:rsidRPr="00F27A23">
        <w:rPr>
          <w:lang w:val="en-US"/>
        </w:rPr>
        <w:lastRenderedPageBreak/>
        <w:t>Information to be provided by insurers</w:t>
      </w:r>
    </w:p>
    <w:p w14:paraId="4DFF83FD" w14:textId="487C93E3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Private health insurers are required to provide HCP 1, HCP 2 and GT-Dental data to the </w:t>
      </w:r>
      <w:r w:rsidR="00061100">
        <w:rPr>
          <w:lang w:val="en-US"/>
        </w:rPr>
        <w:t>d</w:t>
      </w:r>
      <w:r w:rsidRPr="00F27A23">
        <w:rPr>
          <w:lang w:val="en-US"/>
        </w:rPr>
        <w:t xml:space="preserve">epartment. </w:t>
      </w:r>
    </w:p>
    <w:p w14:paraId="5E77640A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HCP 1 information is to be supplied as a monthly data submission within twenty weeks after the insured person to whom the information relates has been discharged from the hospital. </w:t>
      </w:r>
    </w:p>
    <w:p w14:paraId="2545B963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HCP 2 information is to be supplied as a quarterly data submission within four weeks after the end of each claims processing quarter for each service event. </w:t>
      </w:r>
    </w:p>
    <w:p w14:paraId="7EE5D810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GT-Dental information is to be supplied as a monthly data submission within four weeks after the end of each claims processing month for each service event. </w:t>
      </w:r>
    </w:p>
    <w:p w14:paraId="529EDA7E" w14:textId="7FD8AAE6" w:rsidR="00F27A23" w:rsidRPr="00981E26" w:rsidRDefault="00F27A23" w:rsidP="00981E26">
      <w:pPr>
        <w:pStyle w:val="Heading1"/>
      </w:pPr>
      <w:r w:rsidRPr="00F27A23">
        <w:rPr>
          <w:lang w:val="en-US"/>
        </w:rPr>
        <w:t>Format of information</w:t>
      </w:r>
    </w:p>
    <w:p w14:paraId="3330F734" w14:textId="585EFF69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Data specifications are </w:t>
      </w:r>
      <w:hyperlink r:id="rId12" w:anchor="data-specifications" w:history="1">
        <w:r w:rsidRPr="00046434">
          <w:rPr>
            <w:rStyle w:val="Hyperlink"/>
            <w:lang w:val="en-US"/>
          </w:rPr>
          <w:t xml:space="preserve">available on the </w:t>
        </w:r>
        <w:r w:rsidR="00061100" w:rsidRPr="00046434">
          <w:rPr>
            <w:rStyle w:val="Hyperlink"/>
            <w:lang w:val="en-US"/>
          </w:rPr>
          <w:t>d</w:t>
        </w:r>
        <w:r w:rsidRPr="00046434">
          <w:rPr>
            <w:rStyle w:val="Hyperlink"/>
            <w:lang w:val="en-US"/>
          </w:rPr>
          <w:t>epartment’s website</w:t>
        </w:r>
      </w:hyperlink>
      <w:r w:rsidR="00046434">
        <w:rPr>
          <w:lang w:val="en-US"/>
        </w:rPr>
        <w:t>.</w:t>
      </w:r>
    </w:p>
    <w:p w14:paraId="6A53A1B1" w14:textId="0D8660F6" w:rsidR="00F27A23" w:rsidRPr="00981E26" w:rsidRDefault="00F27A23" w:rsidP="00981E26">
      <w:pPr>
        <w:pStyle w:val="Heading1"/>
      </w:pPr>
      <w:r w:rsidRPr="00F27A23">
        <w:rPr>
          <w:lang w:val="en-US"/>
        </w:rPr>
        <w:t>Data submission portal</w:t>
      </w:r>
    </w:p>
    <w:p w14:paraId="256F05FA" w14:textId="6A0C8966" w:rsidR="00F27A23" w:rsidRPr="00A049EA" w:rsidRDefault="00F27A23" w:rsidP="00F8200F">
      <w:pPr>
        <w:rPr>
          <w:lang w:val="en-US"/>
        </w:rPr>
      </w:pPr>
      <w:r w:rsidRPr="00F27A23">
        <w:rPr>
          <w:lang w:val="en-US"/>
        </w:rPr>
        <w:t xml:space="preserve">The Data Submission Portal (DSP) of the </w:t>
      </w:r>
      <w:r w:rsidR="00061100">
        <w:rPr>
          <w:lang w:val="en-US"/>
        </w:rPr>
        <w:t>d</w:t>
      </w:r>
      <w:r w:rsidRPr="00F27A23">
        <w:rPr>
          <w:lang w:val="en-US"/>
        </w:rPr>
        <w:t>epartment’s Enterprise Data Warehouse</w:t>
      </w:r>
      <w:r w:rsidRPr="00981E26">
        <w:t xml:space="preserve"> </w:t>
      </w:r>
      <w:r w:rsidRPr="00F27A23">
        <w:rPr>
          <w:lang w:val="en-US"/>
        </w:rPr>
        <w:t xml:space="preserve">is available to insurers and hospitals to submit data files to the </w:t>
      </w:r>
      <w:r w:rsidR="00061100">
        <w:rPr>
          <w:lang w:val="en-US"/>
        </w:rPr>
        <w:t>d</w:t>
      </w:r>
      <w:r w:rsidRPr="00F27A23">
        <w:rPr>
          <w:lang w:val="en-US"/>
        </w:rPr>
        <w:t>epartment.</w:t>
      </w:r>
    </w:p>
    <w:p w14:paraId="2F451945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To arrange access to the DSP for submission of data please email </w:t>
      </w:r>
      <w:hyperlink r:id="rId13" w:history="1">
        <w:r w:rsidRPr="00F27A23">
          <w:rPr>
            <w:rStyle w:val="Hyperlink"/>
          </w:rPr>
          <w:t>hcp@health.gov.au</w:t>
        </w:r>
      </w:hyperlink>
      <w:r w:rsidRPr="00F27A23">
        <w:t xml:space="preserve"> with the following details:</w:t>
      </w:r>
    </w:p>
    <w:p w14:paraId="08E7308E" w14:textId="47B3C279" w:rsidR="00F27A23" w:rsidRPr="00981E26" w:rsidRDefault="00F27A23" w:rsidP="00981E26">
      <w:pPr>
        <w:pStyle w:val="ListBullet"/>
      </w:pPr>
      <w:r w:rsidRPr="00981E26">
        <w:t>Name of data submitter</w:t>
      </w:r>
    </w:p>
    <w:p w14:paraId="283E6BD0" w14:textId="51B52621" w:rsidR="00F27A23" w:rsidRPr="00981E26" w:rsidRDefault="00F27A23" w:rsidP="00981E26">
      <w:pPr>
        <w:pStyle w:val="ListBullet"/>
      </w:pPr>
      <w:r w:rsidRPr="00981E26">
        <w:t>Provider ID</w:t>
      </w:r>
    </w:p>
    <w:p w14:paraId="7DBAD530" w14:textId="561928A4" w:rsidR="00F27A23" w:rsidRPr="00981E26" w:rsidRDefault="00F27A23" w:rsidP="00981E26">
      <w:pPr>
        <w:pStyle w:val="ListBullet"/>
      </w:pPr>
      <w:r w:rsidRPr="00981E26">
        <w:t>Provider name</w:t>
      </w:r>
    </w:p>
    <w:p w14:paraId="03918F59" w14:textId="2C3E2DC6" w:rsidR="00F27A23" w:rsidRPr="00981E26" w:rsidRDefault="00F27A23" w:rsidP="00981E26">
      <w:pPr>
        <w:pStyle w:val="ListBullet"/>
      </w:pPr>
      <w:r w:rsidRPr="00981E26">
        <w:t>Email for validation reports</w:t>
      </w:r>
      <w:r w:rsidR="00A049EA" w:rsidRPr="00981E26">
        <w:t>.</w:t>
      </w:r>
    </w:p>
    <w:p w14:paraId="0234F505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If you submit data for more than one hospital and require this to be set up, please provide the </w:t>
      </w:r>
      <w:proofErr w:type="gramStart"/>
      <w:r w:rsidRPr="00F27A23">
        <w:rPr>
          <w:lang w:val="en-US"/>
        </w:rPr>
        <w:t>provider</w:t>
      </w:r>
      <w:proofErr w:type="gramEnd"/>
      <w:r w:rsidRPr="00F27A23">
        <w:rPr>
          <w:lang w:val="en-US"/>
        </w:rPr>
        <w:t xml:space="preserve"> ID for your other facilities.</w:t>
      </w:r>
    </w:p>
    <w:p w14:paraId="44A87052" w14:textId="77777777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Please telephone (02) 6289 8058 or email </w:t>
      </w:r>
      <w:hyperlink r:id="rId14" w:history="1">
        <w:r w:rsidRPr="00F27A23">
          <w:rPr>
            <w:rStyle w:val="Hyperlink"/>
          </w:rPr>
          <w:t>hcp@health.gov.au</w:t>
        </w:r>
      </w:hyperlink>
      <w:r w:rsidRPr="00F27A23">
        <w:rPr>
          <w:u w:val="single"/>
        </w:rPr>
        <w:t xml:space="preserve"> </w:t>
      </w:r>
      <w:r w:rsidRPr="00F27A23">
        <w:rPr>
          <w:lang w:val="en-US"/>
        </w:rPr>
        <w:t xml:space="preserve">if you have any queries. </w:t>
      </w:r>
    </w:p>
    <w:p w14:paraId="0CE9D9C7" w14:textId="1C2C09E2" w:rsidR="00F27A23" w:rsidRPr="00981E26" w:rsidRDefault="00F27A23" w:rsidP="00981E26">
      <w:pPr>
        <w:pStyle w:val="Heading1"/>
      </w:pPr>
      <w:r w:rsidRPr="00F27A23">
        <w:rPr>
          <w:lang w:val="en-US"/>
        </w:rPr>
        <w:t>Steps for follow up (</w:t>
      </w:r>
      <w:r w:rsidR="00A049EA">
        <w:rPr>
          <w:lang w:val="en-US"/>
        </w:rPr>
        <w:t>HCP</w:t>
      </w:r>
      <w:r w:rsidRPr="00F27A23">
        <w:rPr>
          <w:lang w:val="en-US"/>
        </w:rPr>
        <w:t xml:space="preserve"> – insurer compliance)</w:t>
      </w:r>
    </w:p>
    <w:p w14:paraId="02546590" w14:textId="6083F66C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The following are the steps for following up insurers who have not submitted their HCP data to the </w:t>
      </w:r>
      <w:r w:rsidR="00061100">
        <w:rPr>
          <w:lang w:val="en-US"/>
        </w:rPr>
        <w:t>d</w:t>
      </w:r>
      <w:r w:rsidRPr="00F27A23">
        <w:rPr>
          <w:lang w:val="en-US"/>
        </w:rPr>
        <w:t xml:space="preserve">epartment, or who have submitted data which has errors </w:t>
      </w:r>
      <w:proofErr w:type="gramStart"/>
      <w:r w:rsidRPr="00F27A23">
        <w:rPr>
          <w:lang w:val="en-US"/>
        </w:rPr>
        <w:t>over</w:t>
      </w:r>
      <w:proofErr w:type="gramEnd"/>
      <w:r w:rsidRPr="00F27A23">
        <w:rPr>
          <w:lang w:val="en-US"/>
        </w:rPr>
        <w:t xml:space="preserve"> and above the tolerance level predetermined for that year:</w:t>
      </w:r>
    </w:p>
    <w:p w14:paraId="7AC8F69D" w14:textId="0CA329B8" w:rsidR="00F27A23" w:rsidRPr="00A049EA" w:rsidRDefault="00F27A23" w:rsidP="00981E26">
      <w:pPr>
        <w:pStyle w:val="ListNumber"/>
      </w:pPr>
      <w:r w:rsidRPr="00A049EA">
        <w:t xml:space="preserve">For data which has errors </w:t>
      </w:r>
      <w:proofErr w:type="gramStart"/>
      <w:r w:rsidRPr="00A049EA">
        <w:t>over</w:t>
      </w:r>
      <w:proofErr w:type="gramEnd"/>
      <w:r w:rsidRPr="00A049EA">
        <w:t xml:space="preserve"> and above the tolerance level predetermined for that year, the summary report will include a request for submission/resubmission of the </w:t>
      </w:r>
      <w:r w:rsidRPr="00A049EA">
        <w:lastRenderedPageBreak/>
        <w:t>data in compliance with the performance framework within two weeks of the summary report date.</w:t>
      </w:r>
    </w:p>
    <w:p w14:paraId="0AA9D2D0" w14:textId="71807DA5" w:rsidR="00F27A23" w:rsidRPr="00A049EA" w:rsidRDefault="00F27A23" w:rsidP="00981E26">
      <w:pPr>
        <w:pStyle w:val="ListNumber"/>
      </w:pPr>
      <w:r w:rsidRPr="00A049EA">
        <w:t xml:space="preserve">For data which has not been submitted within twenty weeks of the month of separation, the </w:t>
      </w:r>
      <w:r w:rsidR="00061100" w:rsidRPr="00A049EA">
        <w:t>d</w:t>
      </w:r>
      <w:r w:rsidRPr="00A049EA">
        <w:t xml:space="preserve">epartment will contact the </w:t>
      </w:r>
      <w:proofErr w:type="gramStart"/>
      <w:r w:rsidRPr="00A049EA">
        <w:t>fund</w:t>
      </w:r>
      <w:proofErr w:type="gramEnd"/>
      <w:r w:rsidRPr="00A049EA">
        <w:t xml:space="preserve"> by email and request submission.</w:t>
      </w:r>
    </w:p>
    <w:p w14:paraId="30091DA7" w14:textId="696AF262" w:rsidR="00F27A23" w:rsidRPr="00A049EA" w:rsidRDefault="00F27A23" w:rsidP="00981E26">
      <w:pPr>
        <w:pStyle w:val="ListNumber"/>
      </w:pPr>
      <w:r w:rsidRPr="00A049EA">
        <w:t xml:space="preserve">If the requested data is not received within two weeks of the initial email from the </w:t>
      </w:r>
      <w:r w:rsidR="00061100" w:rsidRPr="00A049EA">
        <w:t>d</w:t>
      </w:r>
      <w:r w:rsidRPr="00A049EA">
        <w:t>epartment, a reminder will be sent.</w:t>
      </w:r>
    </w:p>
    <w:p w14:paraId="68C349F6" w14:textId="048570B8" w:rsidR="00F27A23" w:rsidRPr="00A049EA" w:rsidRDefault="00F27A23" w:rsidP="00981E26">
      <w:pPr>
        <w:pStyle w:val="ListNumber"/>
      </w:pPr>
      <w:r w:rsidRPr="00A049EA">
        <w:t xml:space="preserve">If the data is still not received within another two weeks, a formal letter will be dispatched from the Assistant Secretary, </w:t>
      </w:r>
      <w:r w:rsidR="00574FE9">
        <w:t>Private Hospitals Branch</w:t>
      </w:r>
      <w:r w:rsidRPr="00A049EA">
        <w:t xml:space="preserve">, to the Chief Executive Officer (CEO) of the Health Fund notifying them of the issue and requesting a response to the </w:t>
      </w:r>
      <w:r w:rsidR="00061100" w:rsidRPr="00A049EA">
        <w:t>d</w:t>
      </w:r>
      <w:r w:rsidRPr="00A049EA">
        <w:t>epartment within two weeks from the date of the letter.</w:t>
      </w:r>
    </w:p>
    <w:p w14:paraId="26F94859" w14:textId="0E42011D" w:rsidR="00F27A23" w:rsidRPr="00A049EA" w:rsidRDefault="00F27A23" w:rsidP="00981E26">
      <w:pPr>
        <w:pStyle w:val="ListNumber"/>
      </w:pPr>
      <w:r w:rsidRPr="00A049EA">
        <w:t xml:space="preserve">Should there be an issue causing the data to be late, the CEO must formally apply, by letter, to the Assistant Secretary of the Private </w:t>
      </w:r>
      <w:r w:rsidR="00BA074A">
        <w:t xml:space="preserve">Hospitals Branch </w:t>
      </w:r>
      <w:r w:rsidRPr="00A049EA">
        <w:t>for an extension.</w:t>
      </w:r>
    </w:p>
    <w:p w14:paraId="445939FA" w14:textId="223AD18D" w:rsidR="00F27A23" w:rsidRPr="00A049EA" w:rsidRDefault="00F27A23" w:rsidP="00981E26">
      <w:pPr>
        <w:pStyle w:val="ListNumber"/>
      </w:pPr>
      <w:r w:rsidRPr="00A049EA">
        <w:t xml:space="preserve">If </w:t>
      </w:r>
      <w:proofErr w:type="gramStart"/>
      <w:r w:rsidRPr="00A049EA">
        <w:t>a nil</w:t>
      </w:r>
      <w:proofErr w:type="gramEnd"/>
      <w:r w:rsidRPr="00A049EA">
        <w:t xml:space="preserve"> response, a second letter will be sent to the CEO with a warning of </w:t>
      </w:r>
      <w:r w:rsidR="00061100" w:rsidRPr="00A049EA">
        <w:t>m</w:t>
      </w:r>
      <w:r w:rsidRPr="00A049EA">
        <w:t xml:space="preserve">inisterial notification within two weeks. </w:t>
      </w:r>
    </w:p>
    <w:p w14:paraId="2E11F5C7" w14:textId="4466D8FF" w:rsidR="00F27A23" w:rsidRPr="00A049EA" w:rsidRDefault="00F27A23" w:rsidP="00981E26">
      <w:pPr>
        <w:pStyle w:val="ListNumber"/>
      </w:pPr>
      <w:r w:rsidRPr="00A049EA">
        <w:t xml:space="preserve">If no response is received by the </w:t>
      </w:r>
      <w:r w:rsidR="00061100" w:rsidRPr="00A049EA">
        <w:t>d</w:t>
      </w:r>
      <w:r w:rsidRPr="00A049EA">
        <w:t xml:space="preserve">epartment, the </w:t>
      </w:r>
      <w:r w:rsidR="00A049EA" w:rsidRPr="00A049EA">
        <w:t>Minister for Health and Aged Care</w:t>
      </w:r>
      <w:r w:rsidRPr="00A049EA">
        <w:t xml:space="preserve"> will be notified with a view to considering appropriate enforcement activities.</w:t>
      </w:r>
    </w:p>
    <w:p w14:paraId="020E917D" w14:textId="389F93CA" w:rsidR="00F27A23" w:rsidRPr="00981E26" w:rsidRDefault="00F27A23" w:rsidP="00981E26">
      <w:pPr>
        <w:pStyle w:val="Heading1"/>
      </w:pPr>
      <w:r w:rsidRPr="00F27A23">
        <w:rPr>
          <w:lang w:val="en-US"/>
        </w:rPr>
        <w:t>Steps for follow up (</w:t>
      </w:r>
      <w:r w:rsidR="00061100">
        <w:rPr>
          <w:lang w:val="en-US"/>
        </w:rPr>
        <w:t>HCP</w:t>
      </w:r>
      <w:r w:rsidRPr="00F27A23">
        <w:rPr>
          <w:lang w:val="en-US"/>
        </w:rPr>
        <w:t xml:space="preserve"> </w:t>
      </w:r>
      <w:r w:rsidR="00061100">
        <w:rPr>
          <w:lang w:val="en-US"/>
        </w:rPr>
        <w:t>–</w:t>
      </w:r>
      <w:r w:rsidRPr="00F27A23">
        <w:rPr>
          <w:lang w:val="en-US"/>
        </w:rPr>
        <w:t xml:space="preserve"> hospital compliance)</w:t>
      </w:r>
    </w:p>
    <w:p w14:paraId="03F012C0" w14:textId="5CF58E76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>The following are the steps for following up hospitals who have not submitted their HCP data to health funds six weeks after the end of a month:</w:t>
      </w:r>
    </w:p>
    <w:p w14:paraId="2C0BF4EB" w14:textId="53673C27" w:rsidR="00F27A23" w:rsidRPr="00A049EA" w:rsidRDefault="00F27A23" w:rsidP="00981E26">
      <w:pPr>
        <w:pStyle w:val="ListNumber"/>
        <w:numPr>
          <w:ilvl w:val="0"/>
          <w:numId w:val="43"/>
        </w:numPr>
      </w:pPr>
      <w:r w:rsidRPr="00A049EA">
        <w:t xml:space="preserve">Insurers should send a written (electronic or letter) reminder to the hospital to provide the required HCP data, and if </w:t>
      </w:r>
      <w:proofErr w:type="gramStart"/>
      <w:r w:rsidRPr="00A049EA">
        <w:t>necessary</w:t>
      </w:r>
      <w:proofErr w:type="gramEnd"/>
      <w:r w:rsidRPr="00A049EA">
        <w:t xml:space="preserve"> state their obligations under the PHI Act.</w:t>
      </w:r>
    </w:p>
    <w:p w14:paraId="61BFA96F" w14:textId="3A7B849A" w:rsidR="00F27A23" w:rsidRPr="00A049EA" w:rsidRDefault="00F27A23" w:rsidP="00981E26">
      <w:pPr>
        <w:pStyle w:val="ListNumber"/>
      </w:pPr>
      <w:r w:rsidRPr="00A049EA">
        <w:t xml:space="preserve">If there is no action from the hospital within two weeks, the insurer should notify the </w:t>
      </w:r>
      <w:r w:rsidR="00061100" w:rsidRPr="00A049EA">
        <w:t>department</w:t>
      </w:r>
      <w:r w:rsidRPr="00A049EA">
        <w:t xml:space="preserve"> at by email to </w:t>
      </w:r>
      <w:hyperlink r:id="rId15" w:history="1">
        <w:r w:rsidR="00061100" w:rsidRPr="00A049EA">
          <w:rPr>
            <w:rStyle w:val="Hyperlink"/>
          </w:rPr>
          <w:t>hcp@health.gov.au</w:t>
        </w:r>
      </w:hyperlink>
      <w:r w:rsidRPr="00A049EA">
        <w:t>. Insurers should provide details of the hospital, the issue, and of their correspondence with the hospital.</w:t>
      </w:r>
    </w:p>
    <w:p w14:paraId="10D4029F" w14:textId="2F9AD905" w:rsidR="00F27A23" w:rsidRPr="00A049EA" w:rsidRDefault="00F27A23" w:rsidP="00981E26">
      <w:pPr>
        <w:pStyle w:val="ListNumber"/>
      </w:pPr>
      <w:r w:rsidRPr="00A049EA">
        <w:t xml:space="preserve">The </w:t>
      </w:r>
      <w:r w:rsidR="00061100" w:rsidRPr="00A049EA">
        <w:t>department</w:t>
      </w:r>
      <w:r w:rsidRPr="00A049EA">
        <w:t xml:space="preserve"> will follow up with the hospital to clarify the issue, and if </w:t>
      </w:r>
      <w:proofErr w:type="gramStart"/>
      <w:r w:rsidRPr="00A049EA">
        <w:t>necessary</w:t>
      </w:r>
      <w:proofErr w:type="gramEnd"/>
      <w:r w:rsidRPr="00A049EA">
        <w:t xml:space="preserve"> request immediate action.</w:t>
      </w:r>
    </w:p>
    <w:p w14:paraId="30755026" w14:textId="62845CD2" w:rsidR="00F27A23" w:rsidRPr="00A049EA" w:rsidRDefault="00F27A23" w:rsidP="00981E26">
      <w:pPr>
        <w:pStyle w:val="ListNumber"/>
      </w:pPr>
      <w:r w:rsidRPr="00A049EA">
        <w:t xml:space="preserve">If there is still no action from the hospital within two weeks, the </w:t>
      </w:r>
      <w:r w:rsidR="00061100" w:rsidRPr="00A049EA">
        <w:t>department</w:t>
      </w:r>
      <w:r w:rsidRPr="00A049EA">
        <w:t xml:space="preserve"> will send a formal letter to the hospital’s CEO notifying them of the issue and </w:t>
      </w:r>
      <w:proofErr w:type="gramStart"/>
      <w:r w:rsidRPr="00A049EA">
        <w:t>requesting</w:t>
      </w:r>
      <w:proofErr w:type="gramEnd"/>
      <w:r w:rsidRPr="00A049EA">
        <w:t xml:space="preserve"> a response to the </w:t>
      </w:r>
      <w:r w:rsidR="00061100" w:rsidRPr="00A049EA">
        <w:t>department</w:t>
      </w:r>
      <w:r w:rsidRPr="00A049EA">
        <w:t xml:space="preserve"> within two weeks </w:t>
      </w:r>
      <w:proofErr w:type="gramStart"/>
      <w:r w:rsidRPr="00A049EA">
        <w:t>from</w:t>
      </w:r>
      <w:proofErr w:type="gramEnd"/>
      <w:r w:rsidRPr="00A049EA">
        <w:t xml:space="preserve"> the date of the letter.</w:t>
      </w:r>
    </w:p>
    <w:p w14:paraId="1F909919" w14:textId="04179BE7" w:rsidR="00F27A23" w:rsidRPr="00A049EA" w:rsidRDefault="00F27A23" w:rsidP="00981E26">
      <w:pPr>
        <w:pStyle w:val="ListNumber"/>
      </w:pPr>
      <w:r w:rsidRPr="00A049EA">
        <w:t xml:space="preserve">If </w:t>
      </w:r>
      <w:proofErr w:type="gramStart"/>
      <w:r w:rsidRPr="00A049EA">
        <w:t>a nil</w:t>
      </w:r>
      <w:proofErr w:type="gramEnd"/>
      <w:r w:rsidRPr="00A049EA">
        <w:t xml:space="preserve"> response, the </w:t>
      </w:r>
      <w:r w:rsidR="00061100" w:rsidRPr="00A049EA">
        <w:t>department</w:t>
      </w:r>
      <w:r w:rsidRPr="00A049EA">
        <w:t xml:space="preserve"> will send a second letter to the CEO with a warning of </w:t>
      </w:r>
      <w:r w:rsidR="00061100" w:rsidRPr="00A049EA">
        <w:t>m</w:t>
      </w:r>
      <w:r w:rsidRPr="00A049EA">
        <w:t xml:space="preserve">inisterial notification within two weeks; and </w:t>
      </w:r>
    </w:p>
    <w:p w14:paraId="094E1F04" w14:textId="54A7B1E4" w:rsidR="00F27A23" w:rsidRPr="00A049EA" w:rsidRDefault="00F27A23" w:rsidP="00981E26">
      <w:pPr>
        <w:pStyle w:val="ListNumber"/>
      </w:pPr>
      <w:r w:rsidRPr="00A049EA">
        <w:t xml:space="preserve">If no response is received by the </w:t>
      </w:r>
      <w:r w:rsidR="00061100" w:rsidRPr="00A049EA">
        <w:t>department</w:t>
      </w:r>
      <w:r w:rsidRPr="00A049EA">
        <w:t xml:space="preserve">, the </w:t>
      </w:r>
      <w:r w:rsidR="00A049EA" w:rsidRPr="00A049EA">
        <w:t xml:space="preserve">Minister for Health and Aged Care </w:t>
      </w:r>
      <w:r w:rsidRPr="00A049EA">
        <w:t>will be notified with a view to considering appropriate enforcement activities.</w:t>
      </w:r>
    </w:p>
    <w:p w14:paraId="15088225" w14:textId="4060557D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>The insurer will be notified of any arrangement made in steps 3 to 6.</w:t>
      </w:r>
    </w:p>
    <w:p w14:paraId="027586EF" w14:textId="0BB1D808" w:rsidR="00F27A23" w:rsidRPr="00981E26" w:rsidRDefault="00F27A23" w:rsidP="00981E26">
      <w:pPr>
        <w:pStyle w:val="Heading1"/>
      </w:pPr>
      <w:r w:rsidRPr="00F27A23">
        <w:rPr>
          <w:lang w:val="en-US"/>
        </w:rPr>
        <w:lastRenderedPageBreak/>
        <w:t>Steps for follow up (</w:t>
      </w:r>
      <w:r w:rsidR="00061100">
        <w:rPr>
          <w:lang w:val="en-US"/>
        </w:rPr>
        <w:t>PHDB</w:t>
      </w:r>
      <w:r w:rsidRPr="00F27A23">
        <w:rPr>
          <w:lang w:val="en-US"/>
        </w:rPr>
        <w:t xml:space="preserve"> </w:t>
      </w:r>
      <w:r w:rsidR="00061100">
        <w:rPr>
          <w:lang w:val="en-US"/>
        </w:rPr>
        <w:t>–</w:t>
      </w:r>
      <w:r w:rsidRPr="00F27A23">
        <w:rPr>
          <w:lang w:val="en-US"/>
        </w:rPr>
        <w:t xml:space="preserve"> hospital compliance)</w:t>
      </w:r>
    </w:p>
    <w:p w14:paraId="71C628DB" w14:textId="78A5ED09" w:rsidR="00F27A23" w:rsidRPr="00F27A23" w:rsidRDefault="00F27A23" w:rsidP="00F8200F">
      <w:pPr>
        <w:rPr>
          <w:lang w:val="en-US"/>
        </w:rPr>
      </w:pPr>
      <w:r w:rsidRPr="00F27A23">
        <w:rPr>
          <w:lang w:val="en-US"/>
        </w:rPr>
        <w:t xml:space="preserve">The following are the steps for following up hospitals who have not submitted their PHDB data to the </w:t>
      </w:r>
      <w:r w:rsidR="00061100">
        <w:rPr>
          <w:lang w:val="en-US"/>
        </w:rPr>
        <w:t>department</w:t>
      </w:r>
      <w:r w:rsidRPr="00F27A23">
        <w:rPr>
          <w:lang w:val="en-US"/>
        </w:rPr>
        <w:t xml:space="preserve"> six weeks after the end of a month: </w:t>
      </w:r>
    </w:p>
    <w:p w14:paraId="5A1A55F1" w14:textId="29F6B808" w:rsidR="00F27A23" w:rsidRPr="00981E26" w:rsidRDefault="00F27A23" w:rsidP="00981E26">
      <w:pPr>
        <w:pStyle w:val="ListNumber"/>
        <w:numPr>
          <w:ilvl w:val="0"/>
          <w:numId w:val="44"/>
        </w:numPr>
      </w:pPr>
      <w:r w:rsidRPr="00A049EA">
        <w:t xml:space="preserve">The </w:t>
      </w:r>
      <w:r w:rsidR="00061100" w:rsidRPr="00A049EA">
        <w:t>department</w:t>
      </w:r>
      <w:r w:rsidRPr="00A049EA">
        <w:t xml:space="preserve"> will s</w:t>
      </w:r>
      <w:r w:rsidRPr="00981E26">
        <w:t xml:space="preserve">end a written (electronic or letter) reminder to the hospital to provide the required PHDB data, and if </w:t>
      </w:r>
      <w:proofErr w:type="gramStart"/>
      <w:r w:rsidRPr="00981E26">
        <w:t>necessary</w:t>
      </w:r>
      <w:proofErr w:type="gramEnd"/>
      <w:r w:rsidRPr="00981E26">
        <w:t xml:space="preserve"> state their obligations under the PHI Act.</w:t>
      </w:r>
    </w:p>
    <w:p w14:paraId="3F5FDD30" w14:textId="65246A5C" w:rsidR="00F27A23" w:rsidRPr="00981E26" w:rsidRDefault="00F27A23" w:rsidP="00981E26">
      <w:pPr>
        <w:pStyle w:val="ListNumber"/>
      </w:pPr>
      <w:r w:rsidRPr="00981E26">
        <w:t>If the requested data is not received within 2 weeks, a reminder will be sent</w:t>
      </w:r>
      <w:r w:rsidR="00A049EA" w:rsidRPr="00981E26">
        <w:t>.</w:t>
      </w:r>
    </w:p>
    <w:p w14:paraId="5BB53DB9" w14:textId="1A54448F" w:rsidR="00F27A23" w:rsidRPr="00981E26" w:rsidRDefault="00F27A23" w:rsidP="00981E26">
      <w:pPr>
        <w:pStyle w:val="ListNumber"/>
      </w:pPr>
      <w:r w:rsidRPr="00981E26">
        <w:t xml:space="preserve">If there is no action from the hospital within two weeks, the </w:t>
      </w:r>
      <w:r w:rsidR="00061100" w:rsidRPr="00981E26">
        <w:t>department</w:t>
      </w:r>
      <w:r w:rsidRPr="00981E26">
        <w:t xml:space="preserve"> will send a formal letter to the hospital’s CEO notifying them of the issue and requesting a response to the </w:t>
      </w:r>
      <w:r w:rsidR="00061100" w:rsidRPr="00981E26">
        <w:t>department</w:t>
      </w:r>
      <w:r w:rsidRPr="00981E26">
        <w:t xml:space="preserve"> within 2 weeks </w:t>
      </w:r>
      <w:proofErr w:type="gramStart"/>
      <w:r w:rsidRPr="00981E26">
        <w:t>from</w:t>
      </w:r>
      <w:proofErr w:type="gramEnd"/>
      <w:r w:rsidRPr="00981E26">
        <w:t xml:space="preserve"> the date of the letter.</w:t>
      </w:r>
    </w:p>
    <w:p w14:paraId="530DC064" w14:textId="4B47BE17" w:rsidR="00F27A23" w:rsidRPr="00981E26" w:rsidRDefault="00F27A23" w:rsidP="00981E26">
      <w:pPr>
        <w:pStyle w:val="ListNumber"/>
      </w:pPr>
      <w:r w:rsidRPr="00981E26">
        <w:t xml:space="preserve">If </w:t>
      </w:r>
      <w:proofErr w:type="gramStart"/>
      <w:r w:rsidRPr="00981E26">
        <w:t>a nil</w:t>
      </w:r>
      <w:proofErr w:type="gramEnd"/>
      <w:r w:rsidRPr="00981E26">
        <w:t xml:space="preserve"> response, the </w:t>
      </w:r>
      <w:r w:rsidR="00061100" w:rsidRPr="00981E26">
        <w:t>department</w:t>
      </w:r>
      <w:r w:rsidRPr="00981E26">
        <w:t xml:space="preserve"> will send a second letter to the CEO with a warning of </w:t>
      </w:r>
      <w:r w:rsidR="00061100" w:rsidRPr="00981E26">
        <w:t>m</w:t>
      </w:r>
      <w:r w:rsidRPr="00981E26">
        <w:t>inisterial notification within 2 weeks.</w:t>
      </w:r>
    </w:p>
    <w:p w14:paraId="519AA288" w14:textId="54B1FD1A" w:rsidR="00F27A23" w:rsidRPr="00981E26" w:rsidRDefault="00F27A23" w:rsidP="00981E26">
      <w:pPr>
        <w:pStyle w:val="ListNumber"/>
      </w:pPr>
      <w:r w:rsidRPr="00981E26">
        <w:t xml:space="preserve">If no response is received by the </w:t>
      </w:r>
      <w:r w:rsidR="00061100" w:rsidRPr="00981E26">
        <w:t>department</w:t>
      </w:r>
      <w:r w:rsidRPr="00981E26">
        <w:t xml:space="preserve">, the </w:t>
      </w:r>
      <w:r w:rsidR="00061100" w:rsidRPr="00981E26">
        <w:t>m</w:t>
      </w:r>
      <w:r w:rsidRPr="00981E26">
        <w:t>inister will be notified with a view to considering appropriate enforcement activities.</w:t>
      </w:r>
    </w:p>
    <w:p w14:paraId="345A0BF5" w14:textId="553B0C33" w:rsidR="00F27A23" w:rsidRPr="00981E26" w:rsidRDefault="00F8200F" w:rsidP="00981E26">
      <w:pPr>
        <w:pStyle w:val="Heading1"/>
      </w:pPr>
      <w:r>
        <w:rPr>
          <w:lang w:val="en-US"/>
        </w:rPr>
        <w:t>HCP</w:t>
      </w:r>
      <w:r w:rsidR="00F27A23" w:rsidRPr="00F27A23">
        <w:rPr>
          <w:lang w:val="en-US"/>
        </w:rPr>
        <w:t>/</w:t>
      </w:r>
      <w:r>
        <w:rPr>
          <w:lang w:val="en-US"/>
        </w:rPr>
        <w:t>PHDB</w:t>
      </w:r>
      <w:r w:rsidR="00F27A23" w:rsidRPr="00F27A23">
        <w:rPr>
          <w:lang w:val="en-US"/>
        </w:rPr>
        <w:t xml:space="preserve"> contact details</w:t>
      </w:r>
    </w:p>
    <w:p w14:paraId="5C1AF284" w14:textId="0F8DB42F" w:rsidR="008F232D" w:rsidRDefault="008F232D" w:rsidP="00F8200F">
      <w:pPr>
        <w:rPr>
          <w:lang w:val="en-US"/>
        </w:rPr>
      </w:pPr>
      <w:r w:rsidRPr="00F27A23">
        <w:rPr>
          <w:lang w:val="en-US"/>
        </w:rPr>
        <w:t>If you require further information, please</w:t>
      </w:r>
      <w:r>
        <w:rPr>
          <w:lang w:val="en-US"/>
        </w:rPr>
        <w:t xml:space="preserve"> contact us by:</w:t>
      </w:r>
    </w:p>
    <w:p w14:paraId="7D897397" w14:textId="469E7FE6" w:rsidR="00F27A23" w:rsidRPr="008F232D" w:rsidRDefault="008F232D" w:rsidP="00981E26">
      <w:pPr>
        <w:pStyle w:val="ListBullet"/>
        <w:rPr>
          <w:lang w:val="en-US"/>
        </w:rPr>
      </w:pPr>
      <w:r>
        <w:rPr>
          <w:lang w:val="en-US"/>
        </w:rPr>
        <w:t>t</w:t>
      </w:r>
      <w:r w:rsidR="00F27A23" w:rsidRPr="008F232D">
        <w:rPr>
          <w:lang w:val="en-US"/>
        </w:rPr>
        <w:t>elephone: (02) 6289 8058</w:t>
      </w:r>
    </w:p>
    <w:p w14:paraId="7ED7186F" w14:textId="2980A09D" w:rsidR="009040E9" w:rsidRPr="008F232D" w:rsidRDefault="008F232D" w:rsidP="00981E26">
      <w:pPr>
        <w:pStyle w:val="ListBullet"/>
        <w:rPr>
          <w:lang w:val="en-US"/>
        </w:rPr>
      </w:pPr>
      <w:r>
        <w:rPr>
          <w:lang w:val="en-US"/>
        </w:rPr>
        <w:t>e</w:t>
      </w:r>
      <w:r w:rsidR="00F27A23" w:rsidRPr="008F232D">
        <w:rPr>
          <w:lang w:val="en-US"/>
        </w:rPr>
        <w:t xml:space="preserve">mail: </w:t>
      </w:r>
      <w:hyperlink r:id="rId16" w:history="1">
        <w:r w:rsidR="00F8200F" w:rsidRPr="008F232D">
          <w:rPr>
            <w:rStyle w:val="Hyperlink"/>
            <w:lang w:val="en-US"/>
          </w:rPr>
          <w:t>hcp@health.gov.au</w:t>
        </w:r>
      </w:hyperlink>
    </w:p>
    <w:sectPr w:rsidR="009040E9" w:rsidRPr="008F232D" w:rsidSect="00B539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0E5B" w14:textId="77777777" w:rsidR="00C375E7" w:rsidRDefault="00C375E7" w:rsidP="006B56BB">
      <w:r>
        <w:separator/>
      </w:r>
    </w:p>
    <w:p w14:paraId="1D348FFA" w14:textId="77777777" w:rsidR="00C375E7" w:rsidRDefault="00C375E7"/>
  </w:endnote>
  <w:endnote w:type="continuationSeparator" w:id="0">
    <w:p w14:paraId="5F6F8FB9" w14:textId="77777777" w:rsidR="00C375E7" w:rsidRDefault="00C375E7" w:rsidP="006B56BB">
      <w:r>
        <w:continuationSeparator/>
      </w:r>
    </w:p>
    <w:p w14:paraId="55E9922F" w14:textId="77777777" w:rsidR="00C375E7" w:rsidRDefault="00C375E7"/>
  </w:endnote>
  <w:endnote w:type="continuationNotice" w:id="1">
    <w:p w14:paraId="39A8AA95" w14:textId="77777777" w:rsidR="00C375E7" w:rsidRDefault="00C37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FE1" w14:textId="5CD4CB4A" w:rsidR="00C17671" w:rsidRDefault="00C176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87B94F" wp14:editId="264D6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3981026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F4C3F" w14:textId="2CDCC2D7" w:rsidR="00C17671" w:rsidRPr="00C17671" w:rsidRDefault="00C17671" w:rsidP="00C176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C176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7B9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textbox style="mso-fit-shape-to-text:t" inset="0,0,0,15pt">
                <w:txbxContent>
                  <w:p w14:paraId="13BF4C3F" w14:textId="2CDCC2D7" w:rsidR="00C17671" w:rsidRPr="00C17671" w:rsidRDefault="00C17671" w:rsidP="00C176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C176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BC28" w14:textId="201AB34A" w:rsidR="00B53987" w:rsidRDefault="00A049EA" w:rsidP="00B53987">
    <w:pPr>
      <w:pStyle w:val="Footer"/>
    </w:pPr>
    <w:r w:rsidRPr="00A049EA">
      <w:t>HCP and PHDB reporting requirements for hospitals and insurers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6149" w14:textId="6828E194" w:rsidR="00B53987" w:rsidRDefault="00A049EA" w:rsidP="00B53987">
    <w:pPr>
      <w:pStyle w:val="Footer"/>
    </w:pPr>
    <w:r w:rsidRPr="00A049EA">
      <w:t>HCP and PHDB reporting requirements for hospitals and insurers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49C1" w14:textId="77777777" w:rsidR="00C375E7" w:rsidRDefault="00C375E7" w:rsidP="006B56BB">
      <w:r>
        <w:separator/>
      </w:r>
    </w:p>
    <w:p w14:paraId="5774676D" w14:textId="77777777" w:rsidR="00C375E7" w:rsidRDefault="00C375E7"/>
  </w:footnote>
  <w:footnote w:type="continuationSeparator" w:id="0">
    <w:p w14:paraId="3C0D98C6" w14:textId="77777777" w:rsidR="00C375E7" w:rsidRDefault="00C375E7" w:rsidP="006B56BB">
      <w:r>
        <w:continuationSeparator/>
      </w:r>
    </w:p>
    <w:p w14:paraId="70AAC94E" w14:textId="77777777" w:rsidR="00C375E7" w:rsidRDefault="00C375E7"/>
  </w:footnote>
  <w:footnote w:type="continuationNotice" w:id="1">
    <w:p w14:paraId="1F54B0B7" w14:textId="77777777" w:rsidR="00C375E7" w:rsidRDefault="00C37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A87E" w14:textId="5B4F6BD8" w:rsidR="00C17671" w:rsidRDefault="00C176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936DB" wp14:editId="4FCED6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21077699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D4D83" w14:textId="16E34D9E" w:rsidR="00C17671" w:rsidRPr="00C17671" w:rsidRDefault="00C17671" w:rsidP="00C176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C176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936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textbox style="mso-fit-shape-to-text:t" inset="0,15pt,0,0">
                <w:txbxContent>
                  <w:p w14:paraId="1B8D4D83" w14:textId="16E34D9E" w:rsidR="00C17671" w:rsidRPr="00C17671" w:rsidRDefault="00C17671" w:rsidP="00C176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C176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4EAE" w14:textId="6F71D46F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E603" w14:textId="4A25E698" w:rsidR="00B53987" w:rsidRDefault="00D80A67">
    <w:pPr>
      <w:pStyle w:val="Header"/>
    </w:pPr>
    <w:r>
      <w:rPr>
        <w:noProof/>
        <w:lang w:eastAsia="en-AU"/>
      </w:rPr>
      <w:drawing>
        <wp:inline distT="0" distB="0" distL="0" distR="0" wp14:anchorId="09E2A100" wp14:editId="4F62DDD8">
          <wp:extent cx="5759450" cy="9417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96C0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DD54E0"/>
    <w:multiLevelType w:val="hybridMultilevel"/>
    <w:tmpl w:val="C288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0281C"/>
    <w:multiLevelType w:val="hybridMultilevel"/>
    <w:tmpl w:val="EBD025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D2DBA"/>
    <w:multiLevelType w:val="hybridMultilevel"/>
    <w:tmpl w:val="94F86790"/>
    <w:lvl w:ilvl="0" w:tplc="8AE0310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31595"/>
    <w:multiLevelType w:val="hybridMultilevel"/>
    <w:tmpl w:val="56A43F9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06C2"/>
    <w:multiLevelType w:val="hybridMultilevel"/>
    <w:tmpl w:val="E6FA9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600E6"/>
    <w:multiLevelType w:val="hybridMultilevel"/>
    <w:tmpl w:val="4EBA8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670E77"/>
    <w:multiLevelType w:val="hybridMultilevel"/>
    <w:tmpl w:val="4EDE2F9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A1E82"/>
    <w:multiLevelType w:val="hybridMultilevel"/>
    <w:tmpl w:val="48509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77D07"/>
    <w:multiLevelType w:val="hybridMultilevel"/>
    <w:tmpl w:val="AC9EB3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C2E4443"/>
    <w:multiLevelType w:val="hybridMultilevel"/>
    <w:tmpl w:val="09EAC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20F9B"/>
    <w:multiLevelType w:val="hybridMultilevel"/>
    <w:tmpl w:val="D584A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A415A"/>
    <w:multiLevelType w:val="hybridMultilevel"/>
    <w:tmpl w:val="D1C637E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04E37"/>
    <w:multiLevelType w:val="hybridMultilevel"/>
    <w:tmpl w:val="B4CEE41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164E6"/>
    <w:multiLevelType w:val="hybridMultilevel"/>
    <w:tmpl w:val="44BC5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45375094">
    <w:abstractNumId w:val="7"/>
  </w:num>
  <w:num w:numId="2" w16cid:durableId="322969674">
    <w:abstractNumId w:val="25"/>
  </w:num>
  <w:num w:numId="3" w16cid:durableId="968437469">
    <w:abstractNumId w:val="30"/>
  </w:num>
  <w:num w:numId="4" w16cid:durableId="1425108715">
    <w:abstractNumId w:val="9"/>
  </w:num>
  <w:num w:numId="5" w16cid:durableId="170609258">
    <w:abstractNumId w:val="9"/>
    <w:lvlOverride w:ilvl="0">
      <w:startOverride w:val="1"/>
    </w:lvlOverride>
  </w:num>
  <w:num w:numId="6" w16cid:durableId="415827422">
    <w:abstractNumId w:val="11"/>
  </w:num>
  <w:num w:numId="7" w16cid:durableId="952322066">
    <w:abstractNumId w:val="22"/>
  </w:num>
  <w:num w:numId="8" w16cid:durableId="1525557034">
    <w:abstractNumId w:val="29"/>
  </w:num>
  <w:num w:numId="9" w16cid:durableId="1630741473">
    <w:abstractNumId w:val="5"/>
  </w:num>
  <w:num w:numId="10" w16cid:durableId="648676377">
    <w:abstractNumId w:val="4"/>
  </w:num>
  <w:num w:numId="11" w16cid:durableId="114325853">
    <w:abstractNumId w:val="3"/>
  </w:num>
  <w:num w:numId="12" w16cid:durableId="675042042">
    <w:abstractNumId w:val="2"/>
  </w:num>
  <w:num w:numId="13" w16cid:durableId="1721585451">
    <w:abstractNumId w:val="6"/>
  </w:num>
  <w:num w:numId="14" w16cid:durableId="1153837950">
    <w:abstractNumId w:val="1"/>
  </w:num>
  <w:num w:numId="15" w16cid:durableId="150104837">
    <w:abstractNumId w:val="0"/>
  </w:num>
  <w:num w:numId="16" w16cid:durableId="33502757">
    <w:abstractNumId w:val="32"/>
  </w:num>
  <w:num w:numId="17" w16cid:durableId="1669480415">
    <w:abstractNumId w:val="12"/>
  </w:num>
  <w:num w:numId="18" w16cid:durableId="56369366">
    <w:abstractNumId w:val="14"/>
  </w:num>
  <w:num w:numId="19" w16cid:durableId="850026629">
    <w:abstractNumId w:val="18"/>
  </w:num>
  <w:num w:numId="20" w16cid:durableId="1524903948">
    <w:abstractNumId w:val="12"/>
  </w:num>
  <w:num w:numId="21" w16cid:durableId="1227565617">
    <w:abstractNumId w:val="18"/>
  </w:num>
  <w:num w:numId="22" w16cid:durableId="293949454">
    <w:abstractNumId w:val="32"/>
  </w:num>
  <w:num w:numId="23" w16cid:durableId="2045055423">
    <w:abstractNumId w:val="25"/>
  </w:num>
  <w:num w:numId="24" w16cid:durableId="1272280267">
    <w:abstractNumId w:val="30"/>
  </w:num>
  <w:num w:numId="25" w16cid:durableId="2103527509">
    <w:abstractNumId w:val="9"/>
  </w:num>
  <w:num w:numId="26" w16cid:durableId="691954333">
    <w:abstractNumId w:val="24"/>
  </w:num>
  <w:num w:numId="27" w16cid:durableId="14420663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1195687">
    <w:abstractNumId w:val="16"/>
  </w:num>
  <w:num w:numId="29" w16cid:durableId="21194461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2308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4541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278642">
    <w:abstractNumId w:val="20"/>
  </w:num>
  <w:num w:numId="33" w16cid:durableId="933633039">
    <w:abstractNumId w:val="15"/>
  </w:num>
  <w:num w:numId="34" w16cid:durableId="948854027">
    <w:abstractNumId w:val="17"/>
  </w:num>
  <w:num w:numId="35" w16cid:durableId="2108378621">
    <w:abstractNumId w:val="10"/>
  </w:num>
  <w:num w:numId="36" w16cid:durableId="1685015509">
    <w:abstractNumId w:val="26"/>
  </w:num>
  <w:num w:numId="37" w16cid:durableId="1046025450">
    <w:abstractNumId w:val="8"/>
  </w:num>
  <w:num w:numId="38" w16cid:durableId="1977367728">
    <w:abstractNumId w:val="21"/>
  </w:num>
  <w:num w:numId="39" w16cid:durableId="357971124">
    <w:abstractNumId w:val="31"/>
  </w:num>
  <w:num w:numId="40" w16cid:durableId="1580751965">
    <w:abstractNumId w:val="13"/>
  </w:num>
  <w:num w:numId="41" w16cid:durableId="1970158702">
    <w:abstractNumId w:val="23"/>
  </w:num>
  <w:num w:numId="42" w16cid:durableId="273366822">
    <w:abstractNumId w:val="6"/>
  </w:num>
  <w:num w:numId="43" w16cid:durableId="2068141562">
    <w:abstractNumId w:val="13"/>
    <w:lvlOverride w:ilvl="0">
      <w:startOverride w:val="1"/>
    </w:lvlOverride>
  </w:num>
  <w:num w:numId="44" w16cid:durableId="1960721829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F2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434"/>
    <w:rsid w:val="00046FF0"/>
    <w:rsid w:val="00050176"/>
    <w:rsid w:val="00050342"/>
    <w:rsid w:val="00061100"/>
    <w:rsid w:val="00067456"/>
    <w:rsid w:val="00071506"/>
    <w:rsid w:val="0007154F"/>
    <w:rsid w:val="00081AB1"/>
    <w:rsid w:val="000856A3"/>
    <w:rsid w:val="00085C53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0228"/>
    <w:rsid w:val="001044A0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12C4"/>
    <w:rsid w:val="00156D96"/>
    <w:rsid w:val="001571C7"/>
    <w:rsid w:val="00161094"/>
    <w:rsid w:val="0017528D"/>
    <w:rsid w:val="0017665C"/>
    <w:rsid w:val="00177AD2"/>
    <w:rsid w:val="001815A8"/>
    <w:rsid w:val="001833A7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06BB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D328C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2290"/>
    <w:rsid w:val="00404F8B"/>
    <w:rsid w:val="00405256"/>
    <w:rsid w:val="00410031"/>
    <w:rsid w:val="00415C81"/>
    <w:rsid w:val="0042100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4FE9"/>
    <w:rsid w:val="00575179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40C3C"/>
    <w:rsid w:val="006511B6"/>
    <w:rsid w:val="00651A68"/>
    <w:rsid w:val="006522C4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D7DDB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2DE9"/>
    <w:rsid w:val="00775E45"/>
    <w:rsid w:val="00776E74"/>
    <w:rsid w:val="00785169"/>
    <w:rsid w:val="007954AB"/>
    <w:rsid w:val="007A14C5"/>
    <w:rsid w:val="007A4A10"/>
    <w:rsid w:val="007B1760"/>
    <w:rsid w:val="007B6281"/>
    <w:rsid w:val="007C1FDC"/>
    <w:rsid w:val="007C55ED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C2D9D"/>
    <w:rsid w:val="008D0533"/>
    <w:rsid w:val="008D42CB"/>
    <w:rsid w:val="008D48C9"/>
    <w:rsid w:val="008D6381"/>
    <w:rsid w:val="008E0C77"/>
    <w:rsid w:val="008E625F"/>
    <w:rsid w:val="008F232D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1E26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049E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074A"/>
    <w:rsid w:val="00BA14BE"/>
    <w:rsid w:val="00BA2732"/>
    <w:rsid w:val="00BA293D"/>
    <w:rsid w:val="00BA49BC"/>
    <w:rsid w:val="00BA56B7"/>
    <w:rsid w:val="00BA7A1E"/>
    <w:rsid w:val="00BB20A6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17671"/>
    <w:rsid w:val="00C2176E"/>
    <w:rsid w:val="00C23430"/>
    <w:rsid w:val="00C27D67"/>
    <w:rsid w:val="00C375E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2339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75F2"/>
    <w:rsid w:val="00D147EB"/>
    <w:rsid w:val="00D34667"/>
    <w:rsid w:val="00D401E1"/>
    <w:rsid w:val="00D408B4"/>
    <w:rsid w:val="00D524C8"/>
    <w:rsid w:val="00D57CFC"/>
    <w:rsid w:val="00D65099"/>
    <w:rsid w:val="00D70E24"/>
    <w:rsid w:val="00D72B61"/>
    <w:rsid w:val="00D751B3"/>
    <w:rsid w:val="00D80A67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27A23"/>
    <w:rsid w:val="00F321DE"/>
    <w:rsid w:val="00F33777"/>
    <w:rsid w:val="00F40648"/>
    <w:rsid w:val="00F47DA2"/>
    <w:rsid w:val="00F519FC"/>
    <w:rsid w:val="00F5406F"/>
    <w:rsid w:val="00F6239D"/>
    <w:rsid w:val="00F715D2"/>
    <w:rsid w:val="00F7274F"/>
    <w:rsid w:val="00F74E84"/>
    <w:rsid w:val="00F76FA8"/>
    <w:rsid w:val="00F8200F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8B27A"/>
  <w15:docId w15:val="{40661397-A18A-469D-98DD-07ECBE61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81E26"/>
    <w:pPr>
      <w:spacing w:before="120" w:after="120" w:line="360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981E26"/>
    <w:pPr>
      <w:keepNext/>
      <w:spacing w:before="240" w:after="60"/>
      <w:outlineLvl w:val="0"/>
    </w:pPr>
    <w:rPr>
      <w:rFonts w:ascii="Arial" w:hAnsi="Arial" w:cs="Arial"/>
      <w:b/>
      <w:bCs/>
      <w:color w:val="358189" w:themeColor="accent2"/>
      <w:kern w:val="28"/>
      <w:sz w:val="36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7A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820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2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200F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200F"/>
    <w:rPr>
      <w:rFonts w:ascii="Arial" w:hAnsi="Arial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0856A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56A3"/>
    <w:rPr>
      <w:rFonts w:ascii="Arial" w:hAnsi="Arial"/>
      <w:color w:val="000000" w:themeColor="text1"/>
      <w:sz w:val="22"/>
      <w:szCs w:val="24"/>
      <w:lang w:eastAsia="en-US"/>
    </w:rPr>
  </w:style>
  <w:style w:type="paragraph" w:styleId="ListNumber">
    <w:name w:val="List Number"/>
    <w:basedOn w:val="ListParagraph"/>
    <w:rsid w:val="00981E26"/>
    <w:pPr>
      <w:numPr>
        <w:numId w:val="40"/>
      </w:numPr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cp@health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health.gov.au/resources/collections/hospital-data-resourc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cp@health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hcp@health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cp@health.gov.au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d5f7a-be03-4e9c-abe5-c85ece0a2186">
      <Value>5</Value>
      <Value>4</Value>
      <Value>45</Value>
      <Value>42</Value>
    </TaxCatchAll>
    <p76df81b8fed4a2fa2af18761f9ff90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22222222-2222-2222-2222-222222222222</TermId>
        </TermInfo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a54ebda2-a0fd-45ec-8fc0-1cf31001b526</TermId>
        </TermInfo>
      </Terms>
    </p76df81b8fed4a2fa2af18761f9ff90d>
    <_dlc_DocIdPersistId xmlns="d29d5f7a-be03-4e9c-abe5-c85ece0a2186" xsi:nil="true"/>
    <oldurl xmlns="d29d5f7a-be03-4e9c-abe5-c85ece0a2186" xsi:nil="true"/>
    <_dlc_DocIdUrl xmlns="d29d5f7a-be03-4e9c-abe5-c85ece0a2186">
      <Url>https://healthgov.sharepoint.com/sites/support-comms/_layouts/15/DocIdRedir.aspx?ID=INTCOMMS-1466148216-32</Url>
      <Description>INTCOMMS-1466148216-32</Description>
    </_dlc_DocIdUrl>
    <Last_x0020_reviewed xmlns="d29d5f7a-be03-4e9c-abe5-c85ece0a2186">2022-06-28T12:26:49+00:00</Last_x0020_reviewed>
    <_dlc_DocId xmlns="d29d5f7a-be03-4e9c-abe5-c85ece0a2186">INTCOMMS-1466148216-32</_dlc_DocId>
    <Sort_x0020_order xmlns="d29d5f7a-be03-4e9c-abe5-c85ece0a2186" xsi:nil="true"/>
    <Reference_x0020_no xmlns="d29d5f7a-be03-4e9c-abe5-c85ece0a2186" xsi:nil="true"/>
    <cb2019c76ecc464c80d551fda75bd74e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PCPD CC Corporate Communication SN</TermName>
          <TermId xmlns="http://schemas.microsoft.com/office/infopath/2007/PartnerControls">73cff0d0-7b20-43e0-ad96-75a3b55de641</TermId>
        </TermInfo>
      </Terms>
    </cb2019c76ecc464c80d551fda75bd74e>
    <TaxCatchAllLabel xmlns="d29d5f7a-be03-4e9c-abe5-c85ece0a2186" xsi:nil="true"/>
    <pfd27f99efda4409b63228bea026394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0635ea83-9a41-497c-9b11-d9d7178dcab7</TermId>
        </TermInfo>
      </Terms>
    </pfd27f99efda4409b63228bea026394d>
    <Intranet xmlns="d29d5f7a-be03-4e9c-abe5-c85ece0a2186">true</Intran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77CDBE4B4694FA79604431A628248" ma:contentTypeVersion="11" ma:contentTypeDescription="Create a new document." ma:contentTypeScope="" ma:versionID="4f60df538decde3ebbf3200ca4e3fc3d">
  <xsd:schema xmlns:xsd="http://www.w3.org/2001/XMLSchema" xmlns:xs="http://www.w3.org/2001/XMLSchema" xmlns:p="http://schemas.microsoft.com/office/2006/metadata/properties" xmlns:ns2="d29d5f7a-be03-4e9c-abe5-c85ece0a2186" xmlns:ns3="7b0f5f5d-7db3-4d3b-b63b-ce18a6ecc538" targetNamespace="http://schemas.microsoft.com/office/2006/metadata/properties" ma:root="true" ma:fieldsID="43ff9cf8645f91eca5ee2c91399915ab" ns2:_="" ns3:_="">
    <xsd:import namespace="d29d5f7a-be03-4e9c-abe5-c85ece0a2186"/>
    <xsd:import namespace="7b0f5f5d-7db3-4d3b-b63b-ce18a6ecc538"/>
    <xsd:element name="properties">
      <xsd:complexType>
        <xsd:sequence>
          <xsd:element name="documentManagement">
            <xsd:complexType>
              <xsd:all>
                <xsd:element ref="ns2:Last_x0020_reviewed"/>
                <xsd:element ref="ns2:Reference_x0020_no" minOccurs="0"/>
                <xsd:element ref="ns2:_dlc_DocIdUrl" minOccurs="0"/>
                <xsd:element ref="ns2:Sort_x0020_order" minOccurs="0"/>
                <xsd:element ref="ns2:_dlc_DocIdPersistId" minOccurs="0"/>
                <xsd:element ref="ns2:pfd27f99efda4409b63228bea026394d" minOccurs="0"/>
                <xsd:element ref="ns2:TaxCatchAll" minOccurs="0"/>
                <xsd:element ref="ns2:TaxCatchAllLabel" minOccurs="0"/>
                <xsd:element ref="ns2:Intranet" minOccurs="0"/>
                <xsd:element ref="ns2:p76df81b8fed4a2fa2af18761f9ff90d" minOccurs="0"/>
                <xsd:element ref="ns2:cb2019c76ecc464c80d551fda75bd74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ol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Last_x0020_reviewed" ma:index="4" ma:displayName="Last reviewed" ma:default="[today]" ma:format="DateOnly" ma:internalName="Last_x0020_reviewed" ma:readOnly="false">
      <xsd:simpleType>
        <xsd:restriction base="dms:DateTime"/>
      </xsd:simpleType>
    </xsd:element>
    <xsd:element name="Reference_x0020_no" ma:index="5" nillable="true" ma:displayName="Reference no" ma:internalName="Reference_x0020_no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rt_x0020_order" ma:index="8" nillable="true" ma:displayName="Sort order" ma:format="Dropdown" ma:internalName="Sort_x0020_order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fd27f99efda4409b63228bea026394d" ma:index="11" ma:taxonomy="true" ma:internalName="pfd27f99efda4409b63228bea026394d" ma:taxonomyFieldName="Information_x0020_type" ma:displayName="Information type" ma:readOnly="false" ma:default="23;#Document|4a540cb2-01e7-4be2-96f9-d9e7e1b556fd" ma:fieldId="{9fd27f99-efda-4409-b632-28bea026394d}" ma:sspId="89927c38-8944-418e-ac9b-4d6e75543028" ma:termSetId="9c4e6da8-cca8-4ef3-87a9-3524c702ad3e" ma:anchorId="4d20227a-88ae-4f96-bc43-9badfe7a6de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d120bb-aa24-4a37-a861-0884664f337e}" ma:internalName="TaxCatchAll" ma:readOnly="false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d120bb-aa24-4a37-a861-0884664f337e}" ma:internalName="TaxCatchAllLabel" ma:readOnly="fals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ranet" ma:index="15" nillable="true" ma:displayName="Intranet" ma:default="1" ma:hidden="true" ma:internalName="Intranet" ma:readOnly="false">
      <xsd:simpleType>
        <xsd:restriction base="dms:Boolean"/>
      </xsd:simpleType>
    </xsd:element>
    <xsd:element name="p76df81b8fed4a2fa2af18761f9ff90d" ma:index="16" ma:taxonomy="true" ma:internalName="p76df81b8fed4a2fa2af18761f9ff90d" ma:taxonomyFieldName="Keywords1" ma:displayName="Keywords" ma:readOnly="false" ma:default="3;#Communication|1555f834-eac3-4b05-99b9-03eafaec147f" ma:fieldId="{976df81b-8fed-4a2f-a2af-18761f9ff90d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cb2019c76ecc464c80d551fda75bd74e" ma:index="20" ma:taxonomy="true" ma:internalName="cb2019c76ecc464c80d551fda75bd74e" ma:taxonomyFieldName="Section" ma:displayName="Section" ma:readOnly="false" ma:default="" ma:fieldId="{cb2019c7-6ecc-464c-80d5-51fda75bd74e}" ma:sspId="89927c38-8944-418e-ac9b-4d6e75543028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oldurl" ma:index="27" nillable="true" ma:displayName="oldurl" ma:internalName="old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5f5d-7db3-4d3b-b63b-ce18a6ecc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</ds:schemaRefs>
</ds:datastoreItem>
</file>

<file path=customXml/itemProps4.xml><?xml version="1.0" encoding="utf-8"?>
<ds:datastoreItem xmlns:ds="http://schemas.openxmlformats.org/officeDocument/2006/customXml" ds:itemID="{A8905F4D-3010-445D-AF90-9F70DD27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d5f7a-be03-4e9c-abe5-c85ece0a2186"/>
    <ds:schemaRef ds:uri="7b0f5f5d-7db3-4d3b-b63b-ce18a6ecc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4</Pages>
  <Words>1112</Words>
  <Characters>5913</Characters>
  <Application>Microsoft Office Word</Application>
  <DocSecurity>0</DocSecurity>
  <Lines>137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Casemix Protocol (HCP) and Private Hospital Data Bureau (PHDB) reporting requirements for hospitals and insurers</vt:lpstr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Casemix Protocol (HCP) and Private Hospital Data Bureau (PHDB) reporting requirements for hospitals and insurers</dc:title>
  <dc:subject>Hospital care; Health data and medical research</dc:subject>
  <dc:creator>Australian Government Department of Health, Disability and Ageing</dc:creator>
  <cp:keywords>HCP data; PHDB data</cp:keywords>
  <dc:description/>
  <cp:lastModifiedBy>MASCHKE, Elvia</cp:lastModifiedBy>
  <cp:revision>24</cp:revision>
  <dcterms:created xsi:type="dcterms:W3CDTF">2026-04-23T04:29:00Z</dcterms:created>
  <dcterms:modified xsi:type="dcterms:W3CDTF">2026-05-25T04:43:00Z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0x010100BA077CDBE4B4694FA79604431A628248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ClassificationContentMarkingHeaderShapeIds">
    <vt:lpwstr>10c83191,7da20445,31e6603a</vt:lpwstr>
  </property>
  <property fmtid="{D5CDD505-2E9C-101B-9397-08002B2CF9AE}" pid="10" name="ClassificationContentMarkingHeaderFontProps">
    <vt:lpwstr>#ff0000,12,Aptos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163f6438,53555a69,31e0b7c6</vt:lpwstr>
  </property>
  <property fmtid="{D5CDD505-2E9C-101B-9397-08002B2CF9AE}" pid="13" name="ClassificationContentMarkingFooterFontProps">
    <vt:lpwstr>#ff0000,12,Aptos</vt:lpwstr>
  </property>
  <property fmtid="{D5CDD505-2E9C-101B-9397-08002B2CF9AE}" pid="14" name="ClassificationContentMarkingFooterText">
    <vt:lpwstr>OFFICIAL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SetDate">
    <vt:lpwstr>2026-04-21T23:53:55Z</vt:lpwstr>
  </property>
  <property fmtid="{D5CDD505-2E9C-101B-9397-08002B2CF9AE}" pid="17" name="MSIP_Label_7cd3e8b9-ffed-43a8-b7f4-cc2fa0382d36_Method">
    <vt:lpwstr>Privileged</vt:lpwstr>
  </property>
  <property fmtid="{D5CDD505-2E9C-101B-9397-08002B2CF9AE}" pid="18" name="MSIP_Label_7cd3e8b9-ffed-43a8-b7f4-cc2fa0382d36_Name">
    <vt:lpwstr>O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ActionId">
    <vt:lpwstr>084fe79d-9dbe-4afa-8b22-0ff482b3ce4a</vt:lpwstr>
  </property>
  <property fmtid="{D5CDD505-2E9C-101B-9397-08002B2CF9AE}" pid="21" name="MSIP_Label_7cd3e8b9-ffed-43a8-b7f4-cc2fa0382d36_ContentBits">
    <vt:lpwstr>3</vt:lpwstr>
  </property>
  <property fmtid="{D5CDD505-2E9C-101B-9397-08002B2CF9AE}" pid="22" name="MSIP_Label_7cd3e8b9-ffed-43a8-b7f4-cc2fa0382d36_Tag">
    <vt:lpwstr>10, 0, 1, 1</vt:lpwstr>
  </property>
</Properties>
</file>